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DD7E" w14:textId="199117E3" w:rsidR="00AF4070" w:rsidRPr="009577CF" w:rsidRDefault="005155C2">
      <w:pPr>
        <w:pBdr>
          <w:bottom w:val="single" w:sz="18" w:space="1" w:color="auto"/>
        </w:pBdr>
        <w:tabs>
          <w:tab w:val="left" w:pos="-1440"/>
          <w:tab w:val="left" w:pos="-720"/>
          <w:tab w:val="left" w:pos="1"/>
        </w:tabs>
        <w:jc w:val="both"/>
        <w:rPr>
          <w:rFonts w:ascii="Arial" w:hAnsi="Arial"/>
          <w:b/>
          <w:lang w:val="en-GB"/>
        </w:rPr>
      </w:pPr>
      <w:r w:rsidRPr="00A569EA">
        <w:rPr>
          <w:rFonts w:ascii="Arial" w:hAnsi="Arial"/>
          <w:b/>
          <w:noProof/>
          <w:lang w:val="en-GB" w:eastAsia="en-GB"/>
        </w:rPr>
        <w:drawing>
          <wp:inline distT="0" distB="0" distL="0" distR="0" wp14:anchorId="6E4E18DB" wp14:editId="451C8F02">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759E2C2" w14:textId="77777777" w:rsidR="009936ED" w:rsidRPr="009577CF" w:rsidRDefault="009936ED">
      <w:pPr>
        <w:pBdr>
          <w:bottom w:val="single" w:sz="18" w:space="1" w:color="auto"/>
        </w:pBdr>
        <w:tabs>
          <w:tab w:val="left" w:pos="-1440"/>
          <w:tab w:val="left" w:pos="-720"/>
          <w:tab w:val="left" w:pos="1"/>
        </w:tabs>
        <w:jc w:val="both"/>
        <w:rPr>
          <w:rFonts w:ascii="Arial" w:hAnsi="Arial"/>
          <w:b/>
          <w:lang w:val="en-GB"/>
        </w:rPr>
      </w:pPr>
    </w:p>
    <w:p w14:paraId="12E236D1" w14:textId="4FCFCB96" w:rsidR="00AF4070" w:rsidRPr="009577CF" w:rsidRDefault="005155C2">
      <w:pPr>
        <w:tabs>
          <w:tab w:val="left" w:pos="-1440"/>
          <w:tab w:val="left" w:pos="-720"/>
          <w:tab w:val="left" w:pos="1"/>
        </w:tabs>
        <w:jc w:val="right"/>
        <w:rPr>
          <w:rFonts w:ascii="Arial" w:hAnsi="Arial"/>
          <w:b/>
          <w:lang w:val="en-GB"/>
        </w:rPr>
      </w:pPr>
      <w:r>
        <w:rPr>
          <w:rFonts w:ascii="Arial" w:hAnsi="Arial"/>
          <w:b/>
          <w:lang w:val="en-GB"/>
        </w:rPr>
        <w:t>9B17M040</w:t>
      </w:r>
    </w:p>
    <w:p w14:paraId="0B5DB623" w14:textId="77777777" w:rsidR="00AF4070" w:rsidRPr="009577CF" w:rsidRDefault="00AF4070">
      <w:pPr>
        <w:tabs>
          <w:tab w:val="left" w:pos="-1440"/>
          <w:tab w:val="left" w:pos="-720"/>
          <w:tab w:val="left" w:pos="1"/>
        </w:tabs>
        <w:jc w:val="both"/>
        <w:rPr>
          <w:rFonts w:ascii="Arial" w:hAnsi="Arial"/>
          <w:b/>
          <w:sz w:val="28"/>
          <w:lang w:val="en-GB"/>
        </w:rPr>
      </w:pPr>
    </w:p>
    <w:p w14:paraId="252117C3" w14:textId="77777777" w:rsidR="00E27CE5" w:rsidRPr="009577CF" w:rsidRDefault="00E27CE5" w:rsidP="00E27CE5">
      <w:pPr>
        <w:ind w:right="1080"/>
        <w:jc w:val="both"/>
        <w:rPr>
          <w:spacing w:val="-1"/>
          <w:sz w:val="22"/>
          <w:szCs w:val="22"/>
          <w:lang w:val="en-GB"/>
        </w:rPr>
        <w:sectPr w:rsidR="00E27CE5" w:rsidRPr="009577CF" w:rsidSect="00F9125B">
          <w:headerReference w:type="default" r:id="rId10"/>
          <w:endnotePr>
            <w:numFmt w:val="decimal"/>
          </w:endnotePr>
          <w:type w:val="continuous"/>
          <w:pgSz w:w="12240" w:h="15840" w:code="1"/>
          <w:pgMar w:top="1080" w:right="1440" w:bottom="1440" w:left="1440" w:header="720" w:footer="720" w:gutter="0"/>
          <w:cols w:space="720"/>
          <w:titlePg/>
        </w:sectPr>
      </w:pPr>
    </w:p>
    <w:p w14:paraId="01994C6A" w14:textId="77777777" w:rsidR="00AF4070" w:rsidRPr="009577CF" w:rsidRDefault="00AF4070">
      <w:pPr>
        <w:tabs>
          <w:tab w:val="left" w:pos="-1440"/>
          <w:tab w:val="left" w:pos="-720"/>
          <w:tab w:val="left" w:pos="1"/>
        </w:tabs>
        <w:jc w:val="both"/>
        <w:rPr>
          <w:rFonts w:ascii="Arial" w:hAnsi="Arial"/>
          <w:b/>
          <w:sz w:val="28"/>
          <w:lang w:val="en-GB"/>
        </w:rPr>
      </w:pPr>
    </w:p>
    <w:p w14:paraId="7115374D" w14:textId="44267EBC" w:rsidR="00AF4070" w:rsidRPr="009577CF" w:rsidRDefault="00DC3F0D" w:rsidP="00A814DF">
      <w:pPr>
        <w:tabs>
          <w:tab w:val="left" w:pos="-1440"/>
          <w:tab w:val="left" w:pos="-720"/>
          <w:tab w:val="left" w:pos="1"/>
        </w:tabs>
        <w:rPr>
          <w:rFonts w:ascii="Arial" w:hAnsi="Arial"/>
          <w:lang w:val="en-GB"/>
        </w:rPr>
      </w:pPr>
      <w:r w:rsidRPr="009577CF">
        <w:rPr>
          <w:rFonts w:ascii="Arial" w:hAnsi="Arial"/>
          <w:b/>
          <w:sz w:val="28"/>
          <w:lang w:val="en-GB"/>
        </w:rPr>
        <w:tab/>
      </w:r>
      <w:r w:rsidR="00AF4070" w:rsidRPr="009577CF">
        <w:rPr>
          <w:rFonts w:ascii="Arial" w:hAnsi="Arial"/>
          <w:b/>
          <w:sz w:val="28"/>
          <w:lang w:val="en-GB"/>
        </w:rPr>
        <w:fldChar w:fldCharType="begin">
          <w:ffData>
            <w:name w:val="Text2"/>
            <w:enabled/>
            <w:calcOnExit w:val="0"/>
            <w:statusText w:type="text" w:val="Type the Title of the Case - Tab"/>
            <w:textInput>
              <w:format w:val="UPPERCASE"/>
            </w:textInput>
          </w:ffData>
        </w:fldChar>
      </w:r>
      <w:bookmarkStart w:id="0" w:name="Text2"/>
      <w:r w:rsidR="00AF4070" w:rsidRPr="009577CF">
        <w:rPr>
          <w:rFonts w:ascii="Arial" w:hAnsi="Arial"/>
          <w:b/>
          <w:sz w:val="28"/>
          <w:lang w:val="en-GB"/>
        </w:rPr>
        <w:instrText xml:space="preserve"> FORMTEXT </w:instrText>
      </w:r>
      <w:r w:rsidR="00AF4070" w:rsidRPr="009577CF">
        <w:rPr>
          <w:rFonts w:ascii="Arial" w:hAnsi="Arial"/>
          <w:b/>
          <w:sz w:val="28"/>
          <w:lang w:val="en-GB"/>
        </w:rPr>
      </w:r>
      <w:r w:rsidR="00AF4070" w:rsidRPr="009577CF">
        <w:rPr>
          <w:rFonts w:ascii="Arial" w:hAnsi="Arial"/>
          <w:b/>
          <w:sz w:val="28"/>
          <w:lang w:val="en-GB"/>
        </w:rPr>
        <w:fldChar w:fldCharType="separate"/>
      </w:r>
      <w:r w:rsidR="00115466" w:rsidRPr="009577CF">
        <w:rPr>
          <w:rFonts w:ascii="Arial" w:hAnsi="Arial"/>
          <w:b/>
          <w:noProof/>
          <w:sz w:val="28"/>
          <w:lang w:val="en-GB"/>
        </w:rPr>
        <w:t>HILLBERG &amp;</w:t>
      </w:r>
      <w:r w:rsidR="007B69D6" w:rsidRPr="009577CF">
        <w:rPr>
          <w:rFonts w:ascii="Arial" w:hAnsi="Arial"/>
          <w:b/>
          <w:noProof/>
          <w:sz w:val="28"/>
          <w:lang w:val="en-GB"/>
        </w:rPr>
        <w:t xml:space="preserve"> BERK: AIMING TO SPARKLE IN THE DESIGNER JEWELLERY BUSINESS </w:t>
      </w:r>
      <w:r w:rsidR="00AF4070" w:rsidRPr="009577CF">
        <w:rPr>
          <w:rFonts w:ascii="Arial" w:hAnsi="Arial"/>
          <w:b/>
          <w:sz w:val="28"/>
          <w:lang w:val="en-GB"/>
        </w:rPr>
        <w:fldChar w:fldCharType="end"/>
      </w:r>
      <w:bookmarkEnd w:id="0"/>
    </w:p>
    <w:p w14:paraId="11EB4196" w14:textId="77777777" w:rsidR="00AF4070" w:rsidRPr="009577CF" w:rsidRDefault="00AF4070" w:rsidP="00A814DF">
      <w:pPr>
        <w:tabs>
          <w:tab w:val="left" w:pos="-1440"/>
          <w:tab w:val="left" w:pos="-720"/>
          <w:tab w:val="left" w:pos="1"/>
        </w:tabs>
        <w:jc w:val="both"/>
        <w:rPr>
          <w:rFonts w:ascii="Arial" w:hAnsi="Arial"/>
          <w:lang w:val="en-GB"/>
        </w:rPr>
      </w:pPr>
    </w:p>
    <w:p w14:paraId="093FDFE0" w14:textId="77777777" w:rsidR="00AF4070" w:rsidRPr="009577CF" w:rsidRDefault="00AF4070" w:rsidP="00A814DF">
      <w:pPr>
        <w:pBdr>
          <w:bottom w:val="single" w:sz="8" w:space="1" w:color="auto"/>
        </w:pBdr>
        <w:tabs>
          <w:tab w:val="left" w:pos="-1440"/>
          <w:tab w:val="left" w:pos="-720"/>
          <w:tab w:val="left" w:pos="1"/>
        </w:tabs>
        <w:jc w:val="both"/>
        <w:rPr>
          <w:rFonts w:ascii="Arial" w:hAnsi="Arial"/>
          <w:lang w:val="en-GB"/>
        </w:rPr>
      </w:pPr>
    </w:p>
    <w:p w14:paraId="727C59AE" w14:textId="17BF8A9B" w:rsidR="00AF4070" w:rsidRPr="009577CF" w:rsidRDefault="00AF4070" w:rsidP="00A814DF">
      <w:pPr>
        <w:jc w:val="both"/>
        <w:rPr>
          <w:rFonts w:ascii="Arial" w:hAnsi="Arial"/>
          <w:i/>
          <w:sz w:val="16"/>
          <w:lang w:val="en-GB"/>
        </w:rPr>
      </w:pPr>
      <w:r w:rsidRPr="009577CF">
        <w:rPr>
          <w:rFonts w:ascii="Arial" w:hAnsi="Arial"/>
          <w:lang w:val="en-GB"/>
        </w:rPr>
        <w:fldChar w:fldCharType="begin"/>
      </w:r>
      <w:r w:rsidRPr="009577CF">
        <w:rPr>
          <w:rFonts w:ascii="Arial" w:hAnsi="Arial"/>
          <w:lang w:val="en-GB"/>
        </w:rPr>
        <w:instrText>ADVANCE \d 2"</w:instrText>
      </w:r>
      <w:r w:rsidRPr="009577CF">
        <w:rPr>
          <w:rFonts w:ascii="Arial" w:hAnsi="Arial"/>
          <w:lang w:val="en-GB"/>
        </w:rPr>
        <w:fldChar w:fldCharType="end"/>
      </w:r>
      <w:r w:rsidR="00A70933">
        <w:rPr>
          <w:rFonts w:ascii="Arial" w:hAnsi="Arial"/>
          <w:i/>
          <w:sz w:val="16"/>
        </w:rPr>
        <w:t xml:space="preserve">Selena Shannon Pritchard </w:t>
      </w:r>
      <w:r w:rsidR="00285451" w:rsidRPr="009577CF">
        <w:rPr>
          <w:rFonts w:ascii="Arial" w:hAnsi="Arial"/>
          <w:i/>
          <w:sz w:val="16"/>
          <w:lang w:val="en-GB"/>
        </w:rPr>
        <w:t>wrote</w:t>
      </w:r>
      <w:r w:rsidRPr="009577CF">
        <w:rPr>
          <w:rFonts w:ascii="Arial" w:hAnsi="Arial"/>
          <w:i/>
          <w:sz w:val="16"/>
          <w:lang w:val="en-GB"/>
        </w:rPr>
        <w:t xml:space="preserve"> this case under the supervision of </w:t>
      </w:r>
      <w:r w:rsidR="005155C2">
        <w:rPr>
          <w:rFonts w:ascii="Arial" w:hAnsi="Arial"/>
          <w:i/>
          <w:sz w:val="16"/>
          <w:lang w:val="en-GB"/>
        </w:rPr>
        <w:t xml:space="preserve">Professor </w:t>
      </w:r>
      <w:r w:rsidR="00E20EA5" w:rsidRPr="009577CF">
        <w:rPr>
          <w:rFonts w:ascii="Arial" w:hAnsi="Arial"/>
          <w:i/>
          <w:sz w:val="16"/>
          <w:lang w:val="en-GB"/>
        </w:rPr>
        <w:t xml:space="preserve">W. </w:t>
      </w:r>
      <w:r w:rsidR="005155C2">
        <w:rPr>
          <w:rFonts w:ascii="Arial" w:hAnsi="Arial"/>
          <w:i/>
          <w:sz w:val="16"/>
          <w:lang w:val="en-GB"/>
        </w:rPr>
        <w:t>Glenn Rowe</w:t>
      </w:r>
      <w:r w:rsidRPr="009577CF">
        <w:rPr>
          <w:rFonts w:ascii="Arial" w:hAnsi="Arial"/>
          <w:i/>
          <w:sz w:val="16"/>
          <w:lang w:val="en-GB"/>
        </w:rPr>
        <w:t xml:space="preserve"> solely to provide material for class discussion.</w:t>
      </w:r>
      <w:r w:rsidR="009577CF" w:rsidRPr="009577CF">
        <w:rPr>
          <w:rFonts w:ascii="Arial" w:hAnsi="Arial"/>
          <w:i/>
          <w:sz w:val="16"/>
          <w:lang w:val="en-GB"/>
        </w:rPr>
        <w:t xml:space="preserve"> </w:t>
      </w:r>
      <w:r w:rsidRPr="009577CF">
        <w:rPr>
          <w:rFonts w:ascii="Arial" w:hAnsi="Arial"/>
          <w:i/>
          <w:sz w:val="16"/>
          <w:lang w:val="en-GB"/>
        </w:rPr>
        <w:t>The authors do not intend to illustrate either effective or ineffective handling of a managerial situation.</w:t>
      </w:r>
      <w:r w:rsidR="009577CF" w:rsidRPr="009577CF">
        <w:rPr>
          <w:rFonts w:ascii="Arial" w:hAnsi="Arial"/>
          <w:i/>
          <w:sz w:val="16"/>
          <w:lang w:val="en-GB"/>
        </w:rPr>
        <w:t xml:space="preserve"> </w:t>
      </w:r>
      <w:r w:rsidRPr="009577CF">
        <w:rPr>
          <w:rFonts w:ascii="Arial" w:hAnsi="Arial"/>
          <w:i/>
          <w:sz w:val="16"/>
          <w:lang w:val="en-GB"/>
        </w:rPr>
        <w:t>The authors may have disguised certain names and other identifying information to protect confidentiality.</w:t>
      </w:r>
    </w:p>
    <w:p w14:paraId="27896917" w14:textId="77777777" w:rsidR="00AF4070" w:rsidRPr="009577CF" w:rsidRDefault="00AF4070" w:rsidP="00A814DF">
      <w:pPr>
        <w:jc w:val="both"/>
        <w:rPr>
          <w:rFonts w:ascii="Arial" w:hAnsi="Arial"/>
          <w:i/>
          <w:sz w:val="16"/>
          <w:lang w:val="en-GB"/>
        </w:rPr>
      </w:pPr>
    </w:p>
    <w:p w14:paraId="2C5D831E" w14:textId="00399C7F" w:rsidR="00AF4070" w:rsidRPr="009577CF" w:rsidRDefault="005155C2" w:rsidP="00A814DF">
      <w:pPr>
        <w:tabs>
          <w:tab w:val="left" w:pos="-1440"/>
          <w:tab w:val="left" w:pos="-720"/>
          <w:tab w:val="left" w:pos="1"/>
        </w:tabs>
        <w:jc w:val="both"/>
        <w:rPr>
          <w:rFonts w:ascii="Arial" w:hAnsi="Arial"/>
          <w:i/>
          <w:sz w:val="16"/>
          <w:lang w:val="en-GB"/>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p>
    <w:p w14:paraId="5C23E911" w14:textId="77777777" w:rsidR="009936ED" w:rsidRPr="009577CF" w:rsidRDefault="009936ED" w:rsidP="00A814DF">
      <w:pPr>
        <w:tabs>
          <w:tab w:val="left" w:pos="-1440"/>
          <w:tab w:val="left" w:pos="-720"/>
          <w:tab w:val="left" w:pos="1"/>
        </w:tabs>
        <w:jc w:val="both"/>
        <w:rPr>
          <w:rFonts w:ascii="Arial" w:hAnsi="Arial"/>
          <w:i/>
          <w:sz w:val="16"/>
          <w:lang w:val="en-GB"/>
        </w:rPr>
      </w:pPr>
    </w:p>
    <w:p w14:paraId="33F316B7" w14:textId="77777777" w:rsidR="009936ED" w:rsidRPr="009577CF" w:rsidRDefault="009936ED" w:rsidP="00A814DF">
      <w:pPr>
        <w:tabs>
          <w:tab w:val="left" w:pos="-1440"/>
          <w:tab w:val="left" w:pos="-720"/>
          <w:tab w:val="left" w:pos="1"/>
        </w:tabs>
        <w:jc w:val="both"/>
        <w:rPr>
          <w:rFonts w:ascii="Arial" w:hAnsi="Arial"/>
          <w:i/>
          <w:sz w:val="16"/>
          <w:lang w:val="en-GB"/>
        </w:rPr>
      </w:pPr>
    </w:p>
    <w:p w14:paraId="1A7BE77F" w14:textId="6B3A95A1" w:rsidR="00AF4070" w:rsidRPr="009577CF" w:rsidRDefault="00AF4070" w:rsidP="001F1970">
      <w:pPr>
        <w:pBdr>
          <w:bottom w:val="single" w:sz="8" w:space="1" w:color="auto"/>
        </w:pBdr>
        <w:tabs>
          <w:tab w:val="left" w:pos="-1440"/>
          <w:tab w:val="left" w:pos="-720"/>
          <w:tab w:val="left" w:pos="1"/>
          <w:tab w:val="right" w:pos="9360"/>
        </w:tabs>
        <w:jc w:val="both"/>
        <w:rPr>
          <w:rFonts w:ascii="Arial" w:hAnsi="Arial"/>
          <w:sz w:val="16"/>
          <w:lang w:val="en-GB"/>
        </w:rPr>
      </w:pPr>
      <w:r w:rsidRPr="009577CF">
        <w:rPr>
          <w:rFonts w:ascii="Arial" w:hAnsi="Arial"/>
          <w:i/>
          <w:sz w:val="16"/>
          <w:lang w:val="en-GB"/>
        </w:rPr>
        <w:t xml:space="preserve">Copyright </w:t>
      </w:r>
      <w:r w:rsidR="00E20EA5" w:rsidRPr="009577CF">
        <w:rPr>
          <w:rFonts w:ascii="Arial" w:hAnsi="Arial"/>
          <w:i/>
          <w:sz w:val="16"/>
          <w:lang w:val="en-GB"/>
        </w:rPr>
        <w:t xml:space="preserve">© </w:t>
      </w:r>
      <w:r w:rsidR="005155C2">
        <w:rPr>
          <w:rFonts w:ascii="Arial" w:hAnsi="Arial"/>
          <w:i/>
          <w:sz w:val="16"/>
          <w:lang w:val="en-GB"/>
        </w:rPr>
        <w:t>2017</w:t>
      </w:r>
      <w:r w:rsidRPr="009577CF">
        <w:rPr>
          <w:rFonts w:ascii="Arial" w:hAnsi="Arial"/>
          <w:i/>
          <w:sz w:val="16"/>
          <w:lang w:val="en-GB"/>
        </w:rPr>
        <w:t xml:space="preserve">, </w:t>
      </w:r>
      <w:r w:rsidR="00742A7E" w:rsidRPr="009577CF">
        <w:rPr>
          <w:rFonts w:ascii="Arial" w:hAnsi="Arial"/>
          <w:i/>
          <w:sz w:val="16"/>
          <w:lang w:val="en-GB"/>
        </w:rPr>
        <w:t>Richard Ivey School of Business Foundation</w:t>
      </w:r>
      <w:r w:rsidRPr="009577CF">
        <w:rPr>
          <w:rFonts w:ascii="Arial" w:hAnsi="Arial"/>
          <w:sz w:val="16"/>
          <w:lang w:val="en-GB"/>
        </w:rPr>
        <w:tab/>
      </w:r>
      <w:r w:rsidRPr="009577CF">
        <w:rPr>
          <w:rFonts w:ascii="Arial" w:hAnsi="Arial"/>
          <w:i/>
          <w:sz w:val="16"/>
          <w:lang w:val="en-GB"/>
        </w:rPr>
        <w:t xml:space="preserve">Version: </w:t>
      </w:r>
      <w:r w:rsidR="002105AB" w:rsidRPr="009577CF">
        <w:rPr>
          <w:rFonts w:ascii="Arial" w:hAnsi="Arial"/>
          <w:i/>
          <w:sz w:val="16"/>
          <w:lang w:val="en-GB"/>
        </w:rPr>
        <w:t>201</w:t>
      </w:r>
      <w:r w:rsidR="005155C2">
        <w:rPr>
          <w:rFonts w:ascii="Arial" w:hAnsi="Arial"/>
          <w:i/>
          <w:sz w:val="16"/>
          <w:lang w:val="en-GB"/>
        </w:rPr>
        <w:t>7</w:t>
      </w:r>
      <w:r w:rsidR="002105AB" w:rsidRPr="009577CF">
        <w:rPr>
          <w:rFonts w:ascii="Arial" w:hAnsi="Arial"/>
          <w:i/>
          <w:sz w:val="16"/>
          <w:lang w:val="en-GB"/>
        </w:rPr>
        <w:t>-</w:t>
      </w:r>
      <w:r w:rsidR="005155C2">
        <w:rPr>
          <w:rFonts w:ascii="Arial" w:hAnsi="Arial"/>
          <w:i/>
          <w:sz w:val="16"/>
          <w:lang w:val="en-GB"/>
        </w:rPr>
        <w:t>0</w:t>
      </w:r>
      <w:r w:rsidR="00BA4AB7">
        <w:rPr>
          <w:rFonts w:ascii="Arial" w:hAnsi="Arial"/>
          <w:i/>
          <w:sz w:val="16"/>
          <w:lang w:val="en-GB"/>
        </w:rPr>
        <w:t>4</w:t>
      </w:r>
      <w:r w:rsidR="002105AB" w:rsidRPr="009577CF">
        <w:rPr>
          <w:rFonts w:ascii="Arial" w:hAnsi="Arial"/>
          <w:i/>
          <w:sz w:val="16"/>
          <w:lang w:val="en-GB"/>
        </w:rPr>
        <w:t>-</w:t>
      </w:r>
      <w:r w:rsidR="00BA4AB7">
        <w:rPr>
          <w:rFonts w:ascii="Arial" w:hAnsi="Arial"/>
          <w:i/>
          <w:sz w:val="16"/>
          <w:lang w:val="en-GB"/>
        </w:rPr>
        <w:t>25</w:t>
      </w:r>
    </w:p>
    <w:p w14:paraId="1E6CC58F" w14:textId="77777777" w:rsidR="00AF4070" w:rsidRPr="005155C2" w:rsidRDefault="00AF4070" w:rsidP="00A814DF">
      <w:pPr>
        <w:jc w:val="both"/>
        <w:rPr>
          <w:spacing w:val="-1"/>
          <w:sz w:val="18"/>
          <w:szCs w:val="18"/>
          <w:lang w:val="en-GB"/>
        </w:rPr>
      </w:pPr>
    </w:p>
    <w:p w14:paraId="4DE3D14B" w14:textId="77777777" w:rsidR="00E242CF" w:rsidRPr="005155C2" w:rsidRDefault="00E242CF" w:rsidP="00A814DF">
      <w:pPr>
        <w:jc w:val="both"/>
        <w:rPr>
          <w:spacing w:val="-1"/>
          <w:sz w:val="18"/>
          <w:szCs w:val="18"/>
          <w:lang w:val="en-GB"/>
        </w:rPr>
      </w:pPr>
    </w:p>
    <w:p w14:paraId="39ACF345" w14:textId="2B21FE53" w:rsidR="001F1970" w:rsidRPr="009577CF" w:rsidRDefault="002105AB" w:rsidP="009936ED">
      <w:pPr>
        <w:pStyle w:val="BodyText"/>
        <w:rPr>
          <w:lang w:val="en-GB"/>
        </w:rPr>
      </w:pPr>
      <w:r w:rsidRPr="009577CF">
        <w:rPr>
          <w:lang w:val="en-GB"/>
        </w:rPr>
        <w:t>In September 2016, Rachel M</w:t>
      </w:r>
      <w:r w:rsidR="00193A03" w:rsidRPr="009577CF">
        <w:rPr>
          <w:lang w:val="en-GB"/>
        </w:rPr>
        <w:t>i</w:t>
      </w:r>
      <w:r w:rsidRPr="009577CF">
        <w:rPr>
          <w:lang w:val="en-GB"/>
        </w:rPr>
        <w:t>e</w:t>
      </w:r>
      <w:r w:rsidR="00115466" w:rsidRPr="009577CF">
        <w:rPr>
          <w:lang w:val="en-GB"/>
        </w:rPr>
        <w:t xml:space="preserve">lke, </w:t>
      </w:r>
      <w:r w:rsidR="009577CF">
        <w:rPr>
          <w:lang w:val="en-GB"/>
        </w:rPr>
        <w:t>chief executive officer (</w:t>
      </w:r>
      <w:r w:rsidR="00115466" w:rsidRPr="009577CF">
        <w:rPr>
          <w:lang w:val="en-GB"/>
        </w:rPr>
        <w:t>CEO</w:t>
      </w:r>
      <w:r w:rsidR="009577CF">
        <w:rPr>
          <w:lang w:val="en-GB"/>
        </w:rPr>
        <w:t>)</w:t>
      </w:r>
      <w:r w:rsidR="00115466" w:rsidRPr="009577CF">
        <w:rPr>
          <w:lang w:val="en-GB"/>
        </w:rPr>
        <w:t xml:space="preserve"> of Hillberg &amp;</w:t>
      </w:r>
      <w:r w:rsidR="00193A03" w:rsidRPr="009577CF">
        <w:rPr>
          <w:lang w:val="en-GB"/>
        </w:rPr>
        <w:t xml:space="preserve"> Berk (H&amp;B)</w:t>
      </w:r>
      <w:r w:rsidR="00A70933">
        <w:rPr>
          <w:lang w:val="en-GB"/>
        </w:rPr>
        <w:t>,</w:t>
      </w:r>
      <w:r w:rsidR="00193A03" w:rsidRPr="009577CF">
        <w:rPr>
          <w:lang w:val="en-GB"/>
        </w:rPr>
        <w:t xml:space="preserve"> was reviewing plans for </w:t>
      </w:r>
      <w:r w:rsidR="00AA351D" w:rsidRPr="009577CF">
        <w:rPr>
          <w:lang w:val="en-GB"/>
        </w:rPr>
        <w:t>H&amp;B</w:t>
      </w:r>
      <w:r w:rsidR="00193A03" w:rsidRPr="009577CF">
        <w:rPr>
          <w:lang w:val="en-GB"/>
        </w:rPr>
        <w:t xml:space="preserve">’s newly expanded flagship store and office building in </w:t>
      </w:r>
      <w:r w:rsidRPr="009577CF">
        <w:rPr>
          <w:lang w:val="en-GB"/>
        </w:rPr>
        <w:t>Mie</w:t>
      </w:r>
      <w:r w:rsidR="00AA351D" w:rsidRPr="009577CF">
        <w:rPr>
          <w:lang w:val="en-GB"/>
        </w:rPr>
        <w:t xml:space="preserve">lke’s </w:t>
      </w:r>
      <w:r w:rsidR="00193A03" w:rsidRPr="009577CF">
        <w:rPr>
          <w:lang w:val="en-GB"/>
        </w:rPr>
        <w:t>hometown of Regina, Saskatchewan</w:t>
      </w:r>
      <w:r w:rsidR="00AA351D" w:rsidRPr="009577CF">
        <w:rPr>
          <w:lang w:val="en-GB"/>
        </w:rPr>
        <w:t>, Canada</w:t>
      </w:r>
      <w:r w:rsidR="00193A03" w:rsidRPr="009577CF">
        <w:rPr>
          <w:lang w:val="en-GB"/>
        </w:rPr>
        <w:t xml:space="preserve">. In doing so, she </w:t>
      </w:r>
      <w:r w:rsidRPr="009577CF">
        <w:rPr>
          <w:lang w:val="en-GB"/>
        </w:rPr>
        <w:t>reflected</w:t>
      </w:r>
      <w:r w:rsidR="00193A03" w:rsidRPr="009577CF">
        <w:rPr>
          <w:lang w:val="en-GB"/>
        </w:rPr>
        <w:t xml:space="preserve"> on the nine years since </w:t>
      </w:r>
      <w:r w:rsidR="00AA351D" w:rsidRPr="009577CF">
        <w:rPr>
          <w:lang w:val="en-GB"/>
        </w:rPr>
        <w:t xml:space="preserve">she had started </w:t>
      </w:r>
      <w:r w:rsidR="00193A03" w:rsidRPr="009577CF">
        <w:rPr>
          <w:lang w:val="en-GB"/>
        </w:rPr>
        <w:t xml:space="preserve">H&amp;B. In that time, H&amp;B had </w:t>
      </w:r>
      <w:r w:rsidR="00AA351D" w:rsidRPr="009577CF">
        <w:rPr>
          <w:lang w:val="en-GB"/>
        </w:rPr>
        <w:t xml:space="preserve">grown </w:t>
      </w:r>
      <w:r w:rsidR="00193A03" w:rsidRPr="009577CF">
        <w:rPr>
          <w:lang w:val="en-GB"/>
        </w:rPr>
        <w:t>tremendous</w:t>
      </w:r>
      <w:r w:rsidR="00AA351D" w:rsidRPr="009577CF">
        <w:rPr>
          <w:lang w:val="en-GB"/>
        </w:rPr>
        <w:t>ly</w:t>
      </w:r>
      <w:r w:rsidR="00193A03" w:rsidRPr="009577CF">
        <w:rPr>
          <w:lang w:val="en-GB"/>
        </w:rPr>
        <w:t xml:space="preserve"> </w:t>
      </w:r>
      <w:r w:rsidR="00384BF8" w:rsidRPr="009577CF">
        <w:rPr>
          <w:lang w:val="en-GB"/>
        </w:rPr>
        <w:t>(see Exhibit</w:t>
      </w:r>
      <w:r w:rsidR="00805575" w:rsidRPr="009577CF">
        <w:rPr>
          <w:lang w:val="en-GB"/>
        </w:rPr>
        <w:t xml:space="preserve"> 1</w:t>
      </w:r>
      <w:r w:rsidR="00384BF8" w:rsidRPr="009577CF">
        <w:rPr>
          <w:lang w:val="en-GB"/>
        </w:rPr>
        <w:t xml:space="preserve">) </w:t>
      </w:r>
      <w:r w:rsidR="00193A03" w:rsidRPr="009577CF">
        <w:rPr>
          <w:lang w:val="en-GB"/>
        </w:rPr>
        <w:t>and had established a recognized brand in the competitive designer jewellery landscape. At the top of Mielke’s mind was how to manage the company’s signature Sparkle Collection. Accounting for more than 70 per</w:t>
      </w:r>
      <w:r w:rsidR="009577CF">
        <w:rPr>
          <w:lang w:val="en-GB"/>
        </w:rPr>
        <w:t xml:space="preserve"> </w:t>
      </w:r>
      <w:r w:rsidR="00193A03" w:rsidRPr="009577CF">
        <w:rPr>
          <w:lang w:val="en-GB"/>
        </w:rPr>
        <w:t xml:space="preserve">cent of sales, the collection had been a tremendous hit for the company. Now Mielke wondered how she could capitalize on the success of this product and build loyalty with the rest of the jewellery designed and offered by H&amp;B. </w:t>
      </w:r>
      <w:r w:rsidR="00AA351D" w:rsidRPr="009577CF">
        <w:rPr>
          <w:lang w:val="en-GB"/>
        </w:rPr>
        <w:t>While H&amp;B was n</w:t>
      </w:r>
      <w:r w:rsidR="00193A03" w:rsidRPr="009577CF">
        <w:rPr>
          <w:lang w:val="en-GB"/>
        </w:rPr>
        <w:t xml:space="preserve">o longer a small company, nor a large one, Mielke knew that how she managed her company’s strategy going forward would have significant implications </w:t>
      </w:r>
      <w:r w:rsidR="00176CDD">
        <w:rPr>
          <w:lang w:val="en-GB"/>
        </w:rPr>
        <w:t>for</w:t>
      </w:r>
      <w:r w:rsidR="00193A03" w:rsidRPr="009577CF">
        <w:rPr>
          <w:lang w:val="en-GB"/>
        </w:rPr>
        <w:t xml:space="preserve"> its ability to maintain sustainable growth.</w:t>
      </w:r>
    </w:p>
    <w:p w14:paraId="3AFD70B7" w14:textId="77777777" w:rsidR="00E242CF" w:rsidRPr="009577CF" w:rsidRDefault="00E242CF" w:rsidP="009936ED">
      <w:pPr>
        <w:pStyle w:val="BodyText"/>
        <w:rPr>
          <w:lang w:val="en-GB"/>
        </w:rPr>
      </w:pPr>
    </w:p>
    <w:p w14:paraId="27D9DD5F" w14:textId="77777777" w:rsidR="007B69D6" w:rsidRPr="009577CF" w:rsidRDefault="007B69D6" w:rsidP="009936ED">
      <w:pPr>
        <w:pStyle w:val="BodyText"/>
        <w:rPr>
          <w:lang w:val="en-GB"/>
        </w:rPr>
      </w:pPr>
    </w:p>
    <w:p w14:paraId="6C0E4486" w14:textId="77777777" w:rsidR="007B69D6" w:rsidRPr="005100BB" w:rsidRDefault="007B69D6" w:rsidP="00CF5E39">
      <w:pPr>
        <w:pStyle w:val="casehead1"/>
        <w:rPr>
          <w:szCs w:val="20"/>
          <w:lang w:val="en-GB"/>
        </w:rPr>
      </w:pPr>
      <w:r w:rsidRPr="005100BB">
        <w:rPr>
          <w:szCs w:val="20"/>
          <w:lang w:val="en-GB"/>
        </w:rPr>
        <w:t>Company Introduction</w:t>
      </w:r>
    </w:p>
    <w:p w14:paraId="7A67BFAA" w14:textId="0FBB4632" w:rsidR="007B69D6" w:rsidRPr="009577CF" w:rsidRDefault="007B69D6" w:rsidP="009936ED">
      <w:pPr>
        <w:pStyle w:val="BodyText"/>
        <w:rPr>
          <w:lang w:val="en-GB"/>
        </w:rPr>
      </w:pPr>
    </w:p>
    <w:p w14:paraId="63C30F05" w14:textId="3D7CA87D" w:rsidR="00193A03" w:rsidRPr="009577CF" w:rsidRDefault="00193A03" w:rsidP="009936ED">
      <w:pPr>
        <w:pStyle w:val="BodyText"/>
        <w:rPr>
          <w:lang w:val="en-GB"/>
        </w:rPr>
      </w:pPr>
      <w:r w:rsidRPr="009577CF">
        <w:rPr>
          <w:lang w:val="en-GB"/>
        </w:rPr>
        <w:t xml:space="preserve">Mielke founded H&amp;B in 2007 out of a personal passion for jewellery design and entrepreneurship. Mielke’s goal for the company had been to create a world-class jewellery brand that empowered women and met them at every important life milestone. She aspired for the brand to align </w:t>
      </w:r>
      <w:r w:rsidR="00FE0D7C">
        <w:rPr>
          <w:lang w:val="en-GB"/>
        </w:rPr>
        <w:t>with</w:t>
      </w:r>
      <w:r w:rsidR="00FE0D7C" w:rsidRPr="009577CF">
        <w:rPr>
          <w:lang w:val="en-GB"/>
        </w:rPr>
        <w:t xml:space="preserve"> </w:t>
      </w:r>
      <w:r w:rsidRPr="009577CF">
        <w:rPr>
          <w:lang w:val="en-GB"/>
        </w:rPr>
        <w:t xml:space="preserve">her core beliefs and to remain authentic, </w:t>
      </w:r>
      <w:r w:rsidR="00FE0D7C">
        <w:rPr>
          <w:lang w:val="en-GB"/>
        </w:rPr>
        <w:t>which</w:t>
      </w:r>
      <w:r w:rsidR="00FE0D7C" w:rsidRPr="009577CF">
        <w:rPr>
          <w:lang w:val="en-GB"/>
        </w:rPr>
        <w:t xml:space="preserve"> </w:t>
      </w:r>
      <w:r w:rsidRPr="009577CF">
        <w:rPr>
          <w:lang w:val="en-GB"/>
        </w:rPr>
        <w:t>was evident in many elements of the company’s brand presence, including the name</w:t>
      </w:r>
      <w:r w:rsidR="00FE0D7C">
        <w:rPr>
          <w:lang w:val="en-GB"/>
        </w:rPr>
        <w:t>—</w:t>
      </w:r>
      <w:r w:rsidRPr="009577CF">
        <w:rPr>
          <w:lang w:val="en-GB"/>
        </w:rPr>
        <w:t xml:space="preserve">the company </w:t>
      </w:r>
      <w:r w:rsidR="00FE0D7C">
        <w:rPr>
          <w:lang w:val="en-GB"/>
        </w:rPr>
        <w:t>was</w:t>
      </w:r>
      <w:r w:rsidRPr="009577CF">
        <w:rPr>
          <w:lang w:val="en-GB"/>
        </w:rPr>
        <w:t xml:space="preserve"> named for Mielke’s grandmother</w:t>
      </w:r>
      <w:r w:rsidR="00AA351D" w:rsidRPr="009577CF">
        <w:rPr>
          <w:lang w:val="en-GB"/>
        </w:rPr>
        <w:t>,</w:t>
      </w:r>
      <w:r w:rsidRPr="009577CF">
        <w:rPr>
          <w:lang w:val="en-GB"/>
        </w:rPr>
        <w:t xml:space="preserve"> </w:t>
      </w:r>
      <w:r w:rsidR="008C615B" w:rsidRPr="009577CF">
        <w:rPr>
          <w:lang w:val="en-GB"/>
        </w:rPr>
        <w:t>Hilda Bergman</w:t>
      </w:r>
      <w:r w:rsidR="00AA351D" w:rsidRPr="009577CF">
        <w:rPr>
          <w:lang w:val="en-GB"/>
        </w:rPr>
        <w:t xml:space="preserve">, </w:t>
      </w:r>
      <w:r w:rsidRPr="009577CF">
        <w:rPr>
          <w:lang w:val="en-GB"/>
        </w:rPr>
        <w:t xml:space="preserve">and </w:t>
      </w:r>
      <w:r w:rsidR="00451D60" w:rsidRPr="009577CF">
        <w:rPr>
          <w:lang w:val="en-GB"/>
        </w:rPr>
        <w:t xml:space="preserve">Mielke’s </w:t>
      </w:r>
      <w:r w:rsidRPr="009577CF">
        <w:rPr>
          <w:lang w:val="en-GB"/>
        </w:rPr>
        <w:t>dog, Berkley.</w:t>
      </w:r>
      <w:r w:rsidR="001D2660" w:rsidRPr="009577CF">
        <w:rPr>
          <w:lang w:val="en-GB"/>
        </w:rPr>
        <w:t xml:space="preserve"> </w:t>
      </w:r>
      <w:r w:rsidRPr="009577CF">
        <w:rPr>
          <w:lang w:val="en-GB"/>
        </w:rPr>
        <w:t xml:space="preserve">The company had seen impressive growth </w:t>
      </w:r>
      <w:r w:rsidR="00FE0D7C">
        <w:rPr>
          <w:lang w:val="en-GB"/>
        </w:rPr>
        <w:t>as a result of</w:t>
      </w:r>
      <w:r w:rsidR="00FE0D7C" w:rsidRPr="009577CF">
        <w:rPr>
          <w:lang w:val="en-GB"/>
        </w:rPr>
        <w:t xml:space="preserve"> </w:t>
      </w:r>
      <w:r w:rsidRPr="009577CF">
        <w:rPr>
          <w:lang w:val="en-GB"/>
        </w:rPr>
        <w:t>building a loyal customer following. In her home province of Saskatchewan, Mielke had generate</w:t>
      </w:r>
      <w:r w:rsidR="00591F7B" w:rsidRPr="009577CF">
        <w:rPr>
          <w:lang w:val="en-GB"/>
        </w:rPr>
        <w:t>d</w:t>
      </w:r>
      <w:r w:rsidRPr="009577CF">
        <w:rPr>
          <w:lang w:val="en-GB"/>
        </w:rPr>
        <w:t xml:space="preserve"> a lot of buzz and earned media for the brand, </w:t>
      </w:r>
      <w:r w:rsidR="001A5A3D">
        <w:rPr>
          <w:lang w:val="en-GB"/>
        </w:rPr>
        <w:t xml:space="preserve">especially </w:t>
      </w:r>
      <w:r w:rsidR="00FE0D7C">
        <w:rPr>
          <w:lang w:val="en-GB"/>
        </w:rPr>
        <w:t xml:space="preserve">after </w:t>
      </w:r>
      <w:r w:rsidRPr="009577CF">
        <w:rPr>
          <w:lang w:val="en-GB"/>
        </w:rPr>
        <w:t xml:space="preserve">her success on the </w:t>
      </w:r>
      <w:r w:rsidR="001A5A3D">
        <w:rPr>
          <w:lang w:val="en-GB"/>
        </w:rPr>
        <w:t xml:space="preserve">Canadian Broadcasting Corporation’s </w:t>
      </w:r>
      <w:r w:rsidRPr="009577CF">
        <w:rPr>
          <w:lang w:val="en-GB"/>
        </w:rPr>
        <w:t xml:space="preserve">television program </w:t>
      </w:r>
      <w:r w:rsidRPr="005100BB">
        <w:rPr>
          <w:i/>
          <w:lang w:val="en-GB"/>
        </w:rPr>
        <w:t>Dragons</w:t>
      </w:r>
      <w:r w:rsidR="00FE0D7C" w:rsidRPr="005100BB">
        <w:rPr>
          <w:i/>
          <w:lang w:val="en-GB"/>
        </w:rPr>
        <w:t>’</w:t>
      </w:r>
      <w:r w:rsidRPr="005100BB">
        <w:rPr>
          <w:i/>
          <w:lang w:val="en-GB"/>
        </w:rPr>
        <w:t xml:space="preserve"> Den</w:t>
      </w:r>
      <w:r w:rsidRPr="009577CF">
        <w:rPr>
          <w:lang w:val="en-GB"/>
        </w:rPr>
        <w:t xml:space="preserve"> and </w:t>
      </w:r>
      <w:r w:rsidR="00FE0D7C">
        <w:rPr>
          <w:lang w:val="en-GB"/>
        </w:rPr>
        <w:t xml:space="preserve">the company’s </w:t>
      </w:r>
      <w:r w:rsidRPr="009577CF">
        <w:rPr>
          <w:lang w:val="en-GB"/>
        </w:rPr>
        <w:t>high-visibility partnerships with the Canadian Olympic team, the Canadian Football League, Tacori Diamonds</w:t>
      </w:r>
      <w:r w:rsidR="00FE0D7C">
        <w:rPr>
          <w:lang w:val="en-GB"/>
        </w:rPr>
        <w:t>,</w:t>
      </w:r>
      <w:r w:rsidRPr="009577CF">
        <w:rPr>
          <w:lang w:val="en-GB"/>
        </w:rPr>
        <w:t xml:space="preserve"> and Olympic gold medal</w:t>
      </w:r>
      <w:r w:rsidR="00FE0D7C">
        <w:rPr>
          <w:lang w:val="en-GB"/>
        </w:rPr>
        <w:t>l</w:t>
      </w:r>
      <w:r w:rsidRPr="009577CF">
        <w:rPr>
          <w:lang w:val="en-GB"/>
        </w:rPr>
        <w:t xml:space="preserve">ist </w:t>
      </w:r>
      <w:r w:rsidR="003B6408" w:rsidRPr="009577CF">
        <w:rPr>
          <w:lang w:val="en-GB"/>
        </w:rPr>
        <w:t>ice dancer</w:t>
      </w:r>
      <w:r w:rsidR="00BF3B3B" w:rsidRPr="009577CF">
        <w:rPr>
          <w:lang w:val="en-GB"/>
        </w:rPr>
        <w:t xml:space="preserve"> </w:t>
      </w:r>
      <w:r w:rsidRPr="009577CF">
        <w:rPr>
          <w:lang w:val="en-GB"/>
        </w:rPr>
        <w:t xml:space="preserve">Tessa Virtue. </w:t>
      </w:r>
    </w:p>
    <w:p w14:paraId="4D240C94" w14:textId="77777777" w:rsidR="00193A03" w:rsidRPr="009577CF" w:rsidRDefault="00193A03" w:rsidP="009936ED">
      <w:pPr>
        <w:pStyle w:val="BodyText"/>
        <w:rPr>
          <w:lang w:val="en-GB"/>
        </w:rPr>
      </w:pPr>
    </w:p>
    <w:p w14:paraId="7B037AD4" w14:textId="57029589" w:rsidR="00193A03" w:rsidRPr="009577CF" w:rsidRDefault="00193A03" w:rsidP="009936ED">
      <w:pPr>
        <w:pStyle w:val="BodyText"/>
        <w:rPr>
          <w:lang w:val="en-GB"/>
        </w:rPr>
      </w:pPr>
      <w:r w:rsidRPr="005100BB">
        <w:rPr>
          <w:i/>
          <w:lang w:val="en-GB"/>
        </w:rPr>
        <w:t>Dragons</w:t>
      </w:r>
      <w:r w:rsidR="00FE0D7C" w:rsidRPr="005100BB">
        <w:rPr>
          <w:i/>
          <w:lang w:val="en-GB"/>
        </w:rPr>
        <w:t>’</w:t>
      </w:r>
      <w:r w:rsidRPr="005100BB">
        <w:rPr>
          <w:i/>
          <w:lang w:val="en-GB"/>
        </w:rPr>
        <w:t xml:space="preserve"> Den </w:t>
      </w:r>
      <w:r w:rsidRPr="009577CF">
        <w:rPr>
          <w:lang w:val="en-GB"/>
        </w:rPr>
        <w:t xml:space="preserve">was a popular television show in Canada, wherein five successful Canadian business people (known as the “Dragons”) heard pitches from a variety of entrepreneurs. Mielke’s </w:t>
      </w:r>
      <w:r w:rsidRPr="005100BB">
        <w:rPr>
          <w:i/>
          <w:lang w:val="en-GB"/>
        </w:rPr>
        <w:t>Dragons</w:t>
      </w:r>
      <w:r w:rsidR="004E09FE" w:rsidRPr="005100BB">
        <w:rPr>
          <w:i/>
          <w:lang w:val="en-GB"/>
        </w:rPr>
        <w:t>’</w:t>
      </w:r>
      <w:r w:rsidRPr="005100BB">
        <w:rPr>
          <w:i/>
          <w:lang w:val="en-GB"/>
        </w:rPr>
        <w:t xml:space="preserve"> Den</w:t>
      </w:r>
      <w:r w:rsidRPr="009577CF">
        <w:rPr>
          <w:lang w:val="en-GB"/>
        </w:rPr>
        <w:t xml:space="preserve"> pitch was particularly helpful in getting the brand off the ground. In 2008, Mielke pitched the Dragons</w:t>
      </w:r>
      <w:r w:rsidR="004E09FE">
        <w:rPr>
          <w:lang w:val="en-GB"/>
        </w:rPr>
        <w:t>,</w:t>
      </w:r>
      <w:r w:rsidRPr="009577CF">
        <w:rPr>
          <w:lang w:val="en-GB"/>
        </w:rPr>
        <w:t xml:space="preserve"> asking for </w:t>
      </w:r>
      <w:r w:rsidRPr="009577CF">
        <w:rPr>
          <w:lang w:val="en-GB"/>
        </w:rPr>
        <w:lastRenderedPageBreak/>
        <w:t>$200,000</w:t>
      </w:r>
      <w:r w:rsidR="004E09FE">
        <w:rPr>
          <w:rStyle w:val="FootnoteReference"/>
          <w:lang w:val="en-GB"/>
        </w:rPr>
        <w:footnoteReference w:id="1"/>
      </w:r>
      <w:r w:rsidRPr="009577CF">
        <w:rPr>
          <w:lang w:val="en-GB"/>
        </w:rPr>
        <w:t xml:space="preserve"> in exchange for 20 per</w:t>
      </w:r>
      <w:r w:rsidR="004E09FE">
        <w:rPr>
          <w:lang w:val="en-GB"/>
        </w:rPr>
        <w:t xml:space="preserve"> </w:t>
      </w:r>
      <w:r w:rsidRPr="009577CF">
        <w:rPr>
          <w:lang w:val="en-GB"/>
        </w:rPr>
        <w:t xml:space="preserve">cent of the company. Mielke impressively managed her time with the Dragons, noting how all the elements of her products were designed by H&amp;B and had </w:t>
      </w:r>
      <w:r w:rsidR="00D11165" w:rsidRPr="009577CF">
        <w:rPr>
          <w:lang w:val="en-GB"/>
        </w:rPr>
        <w:t xml:space="preserve">been </w:t>
      </w:r>
      <w:r w:rsidRPr="009577CF">
        <w:rPr>
          <w:lang w:val="en-GB"/>
        </w:rPr>
        <w:t xml:space="preserve">featured </w:t>
      </w:r>
      <w:r w:rsidR="00451D60" w:rsidRPr="009577CF">
        <w:rPr>
          <w:lang w:val="en-GB"/>
        </w:rPr>
        <w:t xml:space="preserve">in 2008 in a gifting lounge </w:t>
      </w:r>
      <w:r w:rsidR="00D11165" w:rsidRPr="009577CF">
        <w:rPr>
          <w:lang w:val="en-GB"/>
        </w:rPr>
        <w:t xml:space="preserve">at the </w:t>
      </w:r>
      <w:r w:rsidRPr="009577CF">
        <w:rPr>
          <w:lang w:val="en-GB"/>
        </w:rPr>
        <w:t>Oscar</w:t>
      </w:r>
      <w:r w:rsidR="00D11165" w:rsidRPr="009577CF">
        <w:rPr>
          <w:lang w:val="en-GB"/>
        </w:rPr>
        <w:t xml:space="preserve"> Award</w:t>
      </w:r>
      <w:r w:rsidRPr="009577CF">
        <w:rPr>
          <w:lang w:val="en-GB"/>
        </w:rPr>
        <w:t xml:space="preserve">s </w:t>
      </w:r>
      <w:r w:rsidR="00D11165" w:rsidRPr="009577CF">
        <w:rPr>
          <w:lang w:val="en-GB"/>
        </w:rPr>
        <w:t xml:space="preserve">in </w:t>
      </w:r>
      <w:r w:rsidR="00451D60" w:rsidRPr="009577CF">
        <w:rPr>
          <w:lang w:val="en-GB"/>
        </w:rPr>
        <w:t>Los Angeles, California</w:t>
      </w:r>
      <w:r w:rsidRPr="009577CF">
        <w:rPr>
          <w:lang w:val="en-GB"/>
        </w:rPr>
        <w:t xml:space="preserve">. At the time, H&amp;B had $110,000 in annual revenue, </w:t>
      </w:r>
      <w:r w:rsidR="00BF3B3B" w:rsidRPr="009577CF">
        <w:rPr>
          <w:lang w:val="en-GB"/>
        </w:rPr>
        <w:t xml:space="preserve">which </w:t>
      </w:r>
      <w:r w:rsidRPr="009577CF">
        <w:rPr>
          <w:lang w:val="en-GB"/>
        </w:rPr>
        <w:t xml:space="preserve">Mielke </w:t>
      </w:r>
      <w:r w:rsidR="004E09FE">
        <w:rPr>
          <w:lang w:val="en-GB"/>
        </w:rPr>
        <w:t xml:space="preserve">had </w:t>
      </w:r>
      <w:r w:rsidRPr="009577CF">
        <w:rPr>
          <w:lang w:val="en-GB"/>
        </w:rPr>
        <w:t>generated while working part-time. For 2009, Mielke forecast</w:t>
      </w:r>
      <w:r w:rsidR="00BF3B3B" w:rsidRPr="009577CF">
        <w:rPr>
          <w:lang w:val="en-GB"/>
        </w:rPr>
        <w:t>ed</w:t>
      </w:r>
      <w:r w:rsidRPr="009577CF">
        <w:rPr>
          <w:lang w:val="en-GB"/>
        </w:rPr>
        <w:t xml:space="preserve"> $420,000 in revenue. Brett Wilson, a Saskatchewan native</w:t>
      </w:r>
      <w:r w:rsidR="00D26D00" w:rsidRPr="009577CF">
        <w:rPr>
          <w:lang w:val="en-GB"/>
        </w:rPr>
        <w:t xml:space="preserve"> and “Dragon</w:t>
      </w:r>
      <w:r w:rsidRPr="009577CF">
        <w:rPr>
          <w:lang w:val="en-GB"/>
        </w:rPr>
        <w:t>,</w:t>
      </w:r>
      <w:r w:rsidR="00D26D00" w:rsidRPr="009577CF">
        <w:rPr>
          <w:lang w:val="en-GB"/>
        </w:rPr>
        <w:t>”</w:t>
      </w:r>
      <w:r w:rsidRPr="009577CF">
        <w:rPr>
          <w:lang w:val="en-GB"/>
        </w:rPr>
        <w:t xml:space="preserve"> bought into Mielke’s pitch and invested $200,000 in exchange for 30 per</w:t>
      </w:r>
      <w:r w:rsidR="004E09FE">
        <w:rPr>
          <w:lang w:val="en-GB"/>
        </w:rPr>
        <w:t xml:space="preserve"> </w:t>
      </w:r>
      <w:r w:rsidRPr="009577CF">
        <w:rPr>
          <w:lang w:val="en-GB"/>
        </w:rPr>
        <w:t>cent of the company. The deal went through</w:t>
      </w:r>
      <w:r w:rsidR="004E09FE">
        <w:rPr>
          <w:lang w:val="en-GB"/>
        </w:rPr>
        <w:t>,</w:t>
      </w:r>
      <w:r w:rsidRPr="009577CF">
        <w:rPr>
          <w:lang w:val="en-GB"/>
        </w:rPr>
        <w:t xml:space="preserve"> and Wilson </w:t>
      </w:r>
      <w:r w:rsidR="00BF3B3B" w:rsidRPr="009577CF">
        <w:rPr>
          <w:lang w:val="en-GB"/>
        </w:rPr>
        <w:t xml:space="preserve">became and </w:t>
      </w:r>
      <w:r w:rsidRPr="009577CF">
        <w:rPr>
          <w:lang w:val="en-GB"/>
        </w:rPr>
        <w:t xml:space="preserve">remained a trusted coach for Mielke. </w:t>
      </w:r>
    </w:p>
    <w:p w14:paraId="4F8C1AE4" w14:textId="77777777" w:rsidR="00E242CF" w:rsidRPr="009577CF" w:rsidRDefault="00E242CF" w:rsidP="009936ED">
      <w:pPr>
        <w:pStyle w:val="BodyText"/>
        <w:rPr>
          <w:lang w:val="en-GB"/>
        </w:rPr>
      </w:pPr>
    </w:p>
    <w:p w14:paraId="4CF06AAE" w14:textId="35645A4F" w:rsidR="00E242CF" w:rsidRPr="009577CF" w:rsidRDefault="00E242CF" w:rsidP="009936ED">
      <w:pPr>
        <w:pStyle w:val="BodyText"/>
        <w:rPr>
          <w:lang w:val="en-GB"/>
        </w:rPr>
      </w:pPr>
      <w:r w:rsidRPr="009577CF">
        <w:rPr>
          <w:lang w:val="en-GB"/>
        </w:rPr>
        <w:t xml:space="preserve">By 2016, </w:t>
      </w:r>
      <w:r w:rsidR="00D26D00" w:rsidRPr="009577CF">
        <w:rPr>
          <w:lang w:val="en-GB"/>
        </w:rPr>
        <w:t>H&amp;B</w:t>
      </w:r>
      <w:r w:rsidRPr="009577CF">
        <w:rPr>
          <w:lang w:val="en-GB"/>
        </w:rPr>
        <w:t xml:space="preserve"> had </w:t>
      </w:r>
      <w:r w:rsidR="004E09FE">
        <w:rPr>
          <w:lang w:val="en-GB"/>
        </w:rPr>
        <w:t>more than</w:t>
      </w:r>
      <w:r w:rsidR="004E09FE" w:rsidRPr="009577CF">
        <w:rPr>
          <w:lang w:val="en-GB"/>
        </w:rPr>
        <w:t xml:space="preserve"> </w:t>
      </w:r>
      <w:r w:rsidRPr="009577CF">
        <w:rPr>
          <w:lang w:val="en-GB"/>
        </w:rPr>
        <w:t xml:space="preserve">120 employees and </w:t>
      </w:r>
      <w:r w:rsidR="00D26D00" w:rsidRPr="009577CF">
        <w:rPr>
          <w:lang w:val="en-GB"/>
        </w:rPr>
        <w:t xml:space="preserve">had </w:t>
      </w:r>
      <w:r w:rsidRPr="009577CF">
        <w:rPr>
          <w:lang w:val="en-GB"/>
        </w:rPr>
        <w:t>delivered more than $10 million in annual revenue. H&amp;B had also remained committed to its original goal of empowering women</w:t>
      </w:r>
      <w:r w:rsidR="004E09FE">
        <w:rPr>
          <w:lang w:val="en-GB"/>
        </w:rPr>
        <w:t>.</w:t>
      </w:r>
      <w:r w:rsidRPr="009577CF">
        <w:rPr>
          <w:lang w:val="en-GB"/>
        </w:rPr>
        <w:t xml:space="preserve"> </w:t>
      </w:r>
      <w:r w:rsidR="004E09FE">
        <w:rPr>
          <w:lang w:val="en-GB"/>
        </w:rPr>
        <w:t>B</w:t>
      </w:r>
      <w:r w:rsidR="00401A72" w:rsidRPr="009577CF">
        <w:rPr>
          <w:lang w:val="en-GB"/>
        </w:rPr>
        <w:t>y 2016</w:t>
      </w:r>
      <w:r w:rsidRPr="009577CF">
        <w:rPr>
          <w:lang w:val="en-GB"/>
        </w:rPr>
        <w:t xml:space="preserve"> the company had contributed </w:t>
      </w:r>
      <w:r w:rsidR="004E09FE">
        <w:rPr>
          <w:lang w:val="en-GB"/>
        </w:rPr>
        <w:t>more than</w:t>
      </w:r>
      <w:r w:rsidR="004E09FE" w:rsidRPr="009577CF">
        <w:rPr>
          <w:lang w:val="en-GB"/>
        </w:rPr>
        <w:t xml:space="preserve"> </w:t>
      </w:r>
      <w:r w:rsidRPr="009577CF">
        <w:rPr>
          <w:lang w:val="en-GB"/>
        </w:rPr>
        <w:t xml:space="preserve">$600,000 to national and international women’s organizations. </w:t>
      </w:r>
    </w:p>
    <w:p w14:paraId="3E39647C" w14:textId="77777777" w:rsidR="001F1970" w:rsidRPr="009577CF" w:rsidRDefault="001F1970" w:rsidP="009936ED">
      <w:pPr>
        <w:pStyle w:val="BodyText"/>
        <w:rPr>
          <w:lang w:val="en-GB"/>
        </w:rPr>
      </w:pPr>
    </w:p>
    <w:p w14:paraId="3AD0C9A1" w14:textId="77777777" w:rsidR="007B69D6" w:rsidRPr="009577CF" w:rsidRDefault="007B69D6" w:rsidP="009936ED">
      <w:pPr>
        <w:pStyle w:val="BodyText"/>
        <w:rPr>
          <w:lang w:val="en-GB"/>
        </w:rPr>
      </w:pPr>
    </w:p>
    <w:p w14:paraId="76D4047F" w14:textId="7368646F" w:rsidR="007B69D6" w:rsidRPr="005100BB" w:rsidRDefault="004E09FE" w:rsidP="00CF5E39">
      <w:pPr>
        <w:pStyle w:val="casehead1"/>
        <w:rPr>
          <w:szCs w:val="20"/>
          <w:lang w:val="en-GB"/>
        </w:rPr>
      </w:pPr>
      <w:r w:rsidRPr="005100BB">
        <w:rPr>
          <w:szCs w:val="20"/>
          <w:lang w:val="en-GB"/>
        </w:rPr>
        <w:t xml:space="preserve">THE </w:t>
      </w:r>
      <w:r w:rsidR="007B69D6" w:rsidRPr="005100BB">
        <w:rPr>
          <w:szCs w:val="20"/>
          <w:lang w:val="en-GB"/>
        </w:rPr>
        <w:t xml:space="preserve">Designer Jewellery Industry </w:t>
      </w:r>
    </w:p>
    <w:p w14:paraId="3EBD6244" w14:textId="77777777" w:rsidR="007B69D6" w:rsidRPr="005155C2" w:rsidRDefault="007B69D6" w:rsidP="009936ED">
      <w:pPr>
        <w:pStyle w:val="BodyText"/>
        <w:rPr>
          <w:sz w:val="18"/>
          <w:szCs w:val="18"/>
          <w:lang w:val="en-GB"/>
        </w:rPr>
      </w:pPr>
    </w:p>
    <w:p w14:paraId="026F945D" w14:textId="52266F9F" w:rsidR="00193A03" w:rsidRPr="009577CF" w:rsidRDefault="00193A03" w:rsidP="009936ED">
      <w:pPr>
        <w:pStyle w:val="BodyText"/>
        <w:rPr>
          <w:lang w:val="en-GB"/>
        </w:rPr>
      </w:pPr>
      <w:r w:rsidRPr="009577CF">
        <w:rPr>
          <w:lang w:val="en-GB"/>
        </w:rPr>
        <w:t>H&amp;B operated in the affordable segment of the designer jewellery industry (defined by items that retail</w:t>
      </w:r>
      <w:r w:rsidR="00BF3B3B" w:rsidRPr="009577CF">
        <w:rPr>
          <w:lang w:val="en-GB"/>
        </w:rPr>
        <w:t>ed</w:t>
      </w:r>
      <w:r w:rsidRPr="009577CF">
        <w:rPr>
          <w:lang w:val="en-GB"/>
        </w:rPr>
        <w:t xml:space="preserve"> </w:t>
      </w:r>
      <w:r w:rsidR="004E09FE">
        <w:rPr>
          <w:lang w:val="en-GB"/>
        </w:rPr>
        <w:t>for less than</w:t>
      </w:r>
      <w:r w:rsidR="004E09FE" w:rsidRPr="009577CF">
        <w:rPr>
          <w:lang w:val="en-GB"/>
        </w:rPr>
        <w:t xml:space="preserve"> </w:t>
      </w:r>
      <w:r w:rsidR="004E09FE">
        <w:rPr>
          <w:lang w:val="en-GB"/>
        </w:rPr>
        <w:t>US</w:t>
      </w:r>
      <w:r w:rsidRPr="009577CF">
        <w:rPr>
          <w:lang w:val="en-GB"/>
        </w:rPr>
        <w:t>$1</w:t>
      </w:r>
      <w:r w:rsidR="004E09FE">
        <w:rPr>
          <w:lang w:val="en-GB"/>
        </w:rPr>
        <w:t>,</w:t>
      </w:r>
      <w:r w:rsidRPr="009577CF">
        <w:rPr>
          <w:lang w:val="en-GB"/>
        </w:rPr>
        <w:t xml:space="preserve">500). </w:t>
      </w:r>
      <w:r w:rsidR="004E09FE">
        <w:rPr>
          <w:lang w:val="en-GB"/>
        </w:rPr>
        <w:t xml:space="preserve">Within this segment, </w:t>
      </w:r>
      <w:r w:rsidRPr="009577CF">
        <w:rPr>
          <w:lang w:val="en-GB"/>
        </w:rPr>
        <w:t xml:space="preserve">H&amp;B viewed </w:t>
      </w:r>
      <w:r w:rsidR="004E09FE">
        <w:rPr>
          <w:lang w:val="en-GB"/>
        </w:rPr>
        <w:t>its</w:t>
      </w:r>
      <w:r w:rsidR="004E09FE" w:rsidRPr="009577CF">
        <w:rPr>
          <w:lang w:val="en-GB"/>
        </w:rPr>
        <w:t xml:space="preserve"> </w:t>
      </w:r>
      <w:r w:rsidRPr="009577CF">
        <w:rPr>
          <w:lang w:val="en-GB"/>
        </w:rPr>
        <w:t>closest group of competitors as Swarovski, PANDORA, Kendra Scott, and Alex and Ani</w:t>
      </w:r>
      <w:r w:rsidR="004935C2" w:rsidRPr="009577CF">
        <w:rPr>
          <w:lang w:val="en-GB"/>
        </w:rPr>
        <w:t xml:space="preserve"> (see Exhibits 2</w:t>
      </w:r>
      <w:r w:rsidR="001D2660" w:rsidRPr="009577CF">
        <w:rPr>
          <w:lang w:val="en-GB"/>
        </w:rPr>
        <w:t xml:space="preserve"> and 3)</w:t>
      </w:r>
      <w:r w:rsidRPr="009577CF">
        <w:rPr>
          <w:lang w:val="en-GB"/>
        </w:rPr>
        <w:t xml:space="preserve">. The jewellery industry had grown at rates </w:t>
      </w:r>
      <w:r w:rsidR="00BF3B3B" w:rsidRPr="009577CF">
        <w:rPr>
          <w:lang w:val="en-GB"/>
        </w:rPr>
        <w:t xml:space="preserve">of </w:t>
      </w:r>
      <w:r w:rsidRPr="009577CF">
        <w:rPr>
          <w:lang w:val="en-GB"/>
        </w:rPr>
        <w:t>between 5</w:t>
      </w:r>
      <w:r w:rsidR="001B6D94">
        <w:rPr>
          <w:lang w:val="en-GB"/>
        </w:rPr>
        <w:t xml:space="preserve"> and </w:t>
      </w:r>
      <w:r w:rsidRPr="009577CF">
        <w:rPr>
          <w:lang w:val="en-GB"/>
        </w:rPr>
        <w:t>6 per</w:t>
      </w:r>
      <w:r w:rsidR="001B6D94">
        <w:rPr>
          <w:lang w:val="en-GB"/>
        </w:rPr>
        <w:t xml:space="preserve"> </w:t>
      </w:r>
      <w:r w:rsidRPr="009577CF">
        <w:rPr>
          <w:lang w:val="en-GB"/>
        </w:rPr>
        <w:t xml:space="preserve">cent annually and was expected to total </w:t>
      </w:r>
      <w:r w:rsidR="001B6D94">
        <w:rPr>
          <w:lang w:val="en-GB"/>
        </w:rPr>
        <w:t>US</w:t>
      </w:r>
      <w:r w:rsidRPr="009577CF">
        <w:rPr>
          <w:lang w:val="en-GB"/>
        </w:rPr>
        <w:t xml:space="preserve">$275 billion in global annual sales by 2020. Most companies in the industry were localized, with </w:t>
      </w:r>
      <w:r w:rsidR="00BF3B3B" w:rsidRPr="009577CF">
        <w:rPr>
          <w:lang w:val="en-GB"/>
        </w:rPr>
        <w:t xml:space="preserve">a </w:t>
      </w:r>
      <w:r w:rsidRPr="009577CF">
        <w:rPr>
          <w:lang w:val="en-GB"/>
        </w:rPr>
        <w:t>few exceptions. However, brands had started to consolidate and drive international brand presence. It was expected, for example, that Swarovski would become one of the top global brands by 2020</w:t>
      </w:r>
      <w:r w:rsidR="001D2660" w:rsidRPr="009577CF">
        <w:rPr>
          <w:lang w:val="en-GB"/>
        </w:rPr>
        <w:t xml:space="preserve"> (see Exhibit 3)</w:t>
      </w:r>
      <w:r w:rsidRPr="009577CF">
        <w:rPr>
          <w:lang w:val="en-GB"/>
        </w:rPr>
        <w:t>. In 2015, branded jewellery accounted for 20 per</w:t>
      </w:r>
      <w:r w:rsidR="001B6D94">
        <w:rPr>
          <w:lang w:val="en-GB"/>
        </w:rPr>
        <w:t xml:space="preserve"> </w:t>
      </w:r>
      <w:r w:rsidRPr="009577CF">
        <w:rPr>
          <w:lang w:val="en-GB"/>
        </w:rPr>
        <w:t>cent of overall jewellery sales</w:t>
      </w:r>
      <w:r w:rsidR="001B6D94">
        <w:rPr>
          <w:lang w:val="en-GB"/>
        </w:rPr>
        <w:t>;</w:t>
      </w:r>
      <w:r w:rsidRPr="009577CF">
        <w:rPr>
          <w:lang w:val="en-GB"/>
        </w:rPr>
        <w:t xml:space="preserve"> however, that number was expected to grow to 30</w:t>
      </w:r>
      <w:r w:rsidR="001B6D94">
        <w:rPr>
          <w:lang w:val="en-GB"/>
        </w:rPr>
        <w:t>–</w:t>
      </w:r>
      <w:r w:rsidRPr="009577CF">
        <w:rPr>
          <w:lang w:val="en-GB"/>
        </w:rPr>
        <w:t>40 per</w:t>
      </w:r>
      <w:r w:rsidR="001B6D94">
        <w:rPr>
          <w:lang w:val="en-GB"/>
        </w:rPr>
        <w:t xml:space="preserve"> </w:t>
      </w:r>
      <w:r w:rsidRPr="009577CF">
        <w:rPr>
          <w:lang w:val="en-GB"/>
        </w:rPr>
        <w:t>cent of all sales by 2020.</w:t>
      </w:r>
      <w:r w:rsidRPr="009577CF">
        <w:rPr>
          <w:rStyle w:val="FootnoteReference"/>
          <w:lang w:val="en-GB"/>
        </w:rPr>
        <w:footnoteReference w:id="2"/>
      </w:r>
    </w:p>
    <w:p w14:paraId="0D9B561B" w14:textId="77777777" w:rsidR="00193A03" w:rsidRPr="009577CF" w:rsidRDefault="00193A03" w:rsidP="009936ED">
      <w:pPr>
        <w:pStyle w:val="BodyText"/>
        <w:rPr>
          <w:lang w:val="en-GB"/>
        </w:rPr>
      </w:pPr>
    </w:p>
    <w:p w14:paraId="1B4304A2" w14:textId="6766CB96" w:rsidR="00193A03" w:rsidRPr="009577CF" w:rsidRDefault="00193A03" w:rsidP="009936ED">
      <w:pPr>
        <w:pStyle w:val="BodyText"/>
        <w:rPr>
          <w:lang w:val="en-GB"/>
        </w:rPr>
      </w:pPr>
      <w:r w:rsidRPr="009577CF">
        <w:rPr>
          <w:lang w:val="en-GB"/>
        </w:rPr>
        <w:t xml:space="preserve">The greatest consumer growth </w:t>
      </w:r>
      <w:r w:rsidR="00D26D00" w:rsidRPr="009577CF">
        <w:rPr>
          <w:lang w:val="en-GB"/>
        </w:rPr>
        <w:t xml:space="preserve">in the industry had been </w:t>
      </w:r>
      <w:r w:rsidRPr="009577CF">
        <w:rPr>
          <w:lang w:val="en-GB"/>
        </w:rPr>
        <w:t xml:space="preserve">in purchases of affordable, designer jewellery </w:t>
      </w:r>
      <w:r w:rsidR="004B068E">
        <w:rPr>
          <w:lang w:val="en-GB"/>
        </w:rPr>
        <w:t>by</w:t>
      </w:r>
      <w:r w:rsidR="00D26D00" w:rsidRPr="009577CF">
        <w:rPr>
          <w:lang w:val="en-GB"/>
        </w:rPr>
        <w:t xml:space="preserve"> three consumer</w:t>
      </w:r>
      <w:r w:rsidRPr="009577CF">
        <w:rPr>
          <w:lang w:val="en-GB"/>
        </w:rPr>
        <w:t xml:space="preserve"> groups</w:t>
      </w:r>
      <w:r w:rsidR="004B068E">
        <w:rPr>
          <w:lang w:val="en-GB"/>
        </w:rPr>
        <w:t>:</w:t>
      </w:r>
      <w:r w:rsidRPr="009577CF">
        <w:rPr>
          <w:lang w:val="en-GB"/>
        </w:rPr>
        <w:t xml:space="preserve"> “</w:t>
      </w:r>
      <w:r w:rsidR="004B068E">
        <w:rPr>
          <w:lang w:val="en-GB"/>
        </w:rPr>
        <w:t>n</w:t>
      </w:r>
      <w:r w:rsidRPr="009577CF">
        <w:rPr>
          <w:lang w:val="en-GB"/>
        </w:rPr>
        <w:t xml:space="preserve">ew money” consumers who sought to display their newfound wealth, emerging market consumers who sought brands they trusted to represent their upgraded lifestyles, and finally, young consumers who viewed wearing certain brands as a </w:t>
      </w:r>
      <w:r w:rsidR="001A5A3D">
        <w:rPr>
          <w:lang w:val="en-GB"/>
        </w:rPr>
        <w:t xml:space="preserve">preferred </w:t>
      </w:r>
      <w:r w:rsidRPr="009577CF">
        <w:rPr>
          <w:lang w:val="en-GB"/>
        </w:rPr>
        <w:t xml:space="preserve">way to express themselves. </w:t>
      </w:r>
    </w:p>
    <w:p w14:paraId="75157584" w14:textId="77777777" w:rsidR="00193A03" w:rsidRPr="009577CF" w:rsidRDefault="00193A03" w:rsidP="009936ED">
      <w:pPr>
        <w:pStyle w:val="BodyText"/>
        <w:rPr>
          <w:lang w:val="en-GB"/>
        </w:rPr>
      </w:pPr>
    </w:p>
    <w:p w14:paraId="534A51C5" w14:textId="6079D91E" w:rsidR="00193A03" w:rsidRPr="009577CF" w:rsidRDefault="00193A03" w:rsidP="009936ED">
      <w:pPr>
        <w:pStyle w:val="BodyText"/>
        <w:rPr>
          <w:lang w:val="en-GB"/>
        </w:rPr>
      </w:pPr>
      <w:r w:rsidRPr="009577CF">
        <w:rPr>
          <w:lang w:val="en-GB"/>
        </w:rPr>
        <w:t>Wholesale remained the key distribution method to consumers</w:t>
      </w:r>
      <w:r w:rsidR="007A7056">
        <w:rPr>
          <w:lang w:val="en-GB"/>
        </w:rPr>
        <w:t>;</w:t>
      </w:r>
      <w:r w:rsidRPr="009577CF">
        <w:rPr>
          <w:rStyle w:val="FootnoteReference"/>
          <w:lang w:val="en-GB"/>
        </w:rPr>
        <w:footnoteReference w:id="3"/>
      </w:r>
      <w:r w:rsidRPr="009577CF">
        <w:rPr>
          <w:lang w:val="en-GB"/>
        </w:rPr>
        <w:t xml:space="preserve"> however, brands were both expanding their e-commerce presence and opening brick</w:t>
      </w:r>
      <w:r w:rsidR="00A27E2B">
        <w:rPr>
          <w:lang w:val="en-GB"/>
        </w:rPr>
        <w:t>s</w:t>
      </w:r>
      <w:r w:rsidR="007A7056">
        <w:rPr>
          <w:lang w:val="en-GB"/>
        </w:rPr>
        <w:t>-</w:t>
      </w:r>
      <w:r w:rsidRPr="009577CF">
        <w:rPr>
          <w:lang w:val="en-GB"/>
        </w:rPr>
        <w:t>and</w:t>
      </w:r>
      <w:r w:rsidR="007A7056">
        <w:rPr>
          <w:lang w:val="en-GB"/>
        </w:rPr>
        <w:t>-</w:t>
      </w:r>
      <w:r w:rsidRPr="009577CF">
        <w:rPr>
          <w:lang w:val="en-GB"/>
        </w:rPr>
        <w:t xml:space="preserve">mortar retail locations as an avenue </w:t>
      </w:r>
      <w:r w:rsidR="007A7056">
        <w:rPr>
          <w:lang w:val="en-GB"/>
        </w:rPr>
        <w:t>for</w:t>
      </w:r>
      <w:r w:rsidR="007A7056" w:rsidRPr="009577CF">
        <w:rPr>
          <w:lang w:val="en-GB"/>
        </w:rPr>
        <w:t xml:space="preserve"> shar</w:t>
      </w:r>
      <w:r w:rsidR="007A7056">
        <w:rPr>
          <w:lang w:val="en-GB"/>
        </w:rPr>
        <w:t>ing</w:t>
      </w:r>
      <w:r w:rsidR="007A7056" w:rsidRPr="009577CF">
        <w:rPr>
          <w:lang w:val="en-GB"/>
        </w:rPr>
        <w:t xml:space="preserve"> </w:t>
      </w:r>
      <w:r w:rsidRPr="009577CF">
        <w:rPr>
          <w:lang w:val="en-GB"/>
        </w:rPr>
        <w:t xml:space="preserve">their brand stories. </w:t>
      </w:r>
      <w:r w:rsidR="00266BBB">
        <w:rPr>
          <w:lang w:val="en-GB"/>
        </w:rPr>
        <w:t xml:space="preserve">For example, </w:t>
      </w:r>
      <w:r w:rsidRPr="009577CF">
        <w:rPr>
          <w:lang w:val="en-GB"/>
        </w:rPr>
        <w:t>H&amp;B competitor PANDORA had expanded from 200 locations in 2009 to more than 1</w:t>
      </w:r>
      <w:r w:rsidR="00266BBB">
        <w:rPr>
          <w:lang w:val="en-GB"/>
        </w:rPr>
        <w:t>,</w:t>
      </w:r>
      <w:r w:rsidRPr="009577CF">
        <w:rPr>
          <w:lang w:val="en-GB"/>
        </w:rPr>
        <w:t xml:space="preserve">800 in 2016, </w:t>
      </w:r>
      <w:r w:rsidR="007A7056">
        <w:rPr>
          <w:lang w:val="en-GB"/>
        </w:rPr>
        <w:t xml:space="preserve">and </w:t>
      </w:r>
      <w:r w:rsidRPr="009577CF">
        <w:rPr>
          <w:lang w:val="en-GB"/>
        </w:rPr>
        <w:t xml:space="preserve">Swarovski had </w:t>
      </w:r>
      <w:r w:rsidR="00266BBB">
        <w:rPr>
          <w:lang w:val="en-GB"/>
        </w:rPr>
        <w:t xml:space="preserve">grown from </w:t>
      </w:r>
      <w:r w:rsidRPr="009577CF">
        <w:rPr>
          <w:lang w:val="en-GB"/>
        </w:rPr>
        <w:t xml:space="preserve">only two stores in 1990 </w:t>
      </w:r>
      <w:r w:rsidR="00266BBB">
        <w:rPr>
          <w:lang w:val="en-GB"/>
        </w:rPr>
        <w:t>to</w:t>
      </w:r>
      <w:r w:rsidR="00266BBB" w:rsidRPr="009577CF">
        <w:rPr>
          <w:lang w:val="en-GB"/>
        </w:rPr>
        <w:t xml:space="preserve"> </w:t>
      </w:r>
      <w:r w:rsidRPr="009577CF">
        <w:rPr>
          <w:lang w:val="en-GB"/>
        </w:rPr>
        <w:t>more than 2</w:t>
      </w:r>
      <w:r w:rsidR="007A7056">
        <w:rPr>
          <w:lang w:val="en-GB"/>
        </w:rPr>
        <w:t>,</w:t>
      </w:r>
      <w:r w:rsidRPr="009577CF">
        <w:rPr>
          <w:lang w:val="en-GB"/>
        </w:rPr>
        <w:t xml:space="preserve">680 </w:t>
      </w:r>
      <w:r w:rsidR="00266BBB">
        <w:rPr>
          <w:lang w:val="en-GB"/>
        </w:rPr>
        <w:t xml:space="preserve">stores </w:t>
      </w:r>
      <w:r w:rsidRPr="009577CF">
        <w:rPr>
          <w:lang w:val="en-GB"/>
        </w:rPr>
        <w:t>in 2016.</w:t>
      </w:r>
      <w:r w:rsidRPr="009577CF">
        <w:rPr>
          <w:rStyle w:val="FootnoteReference"/>
          <w:lang w:val="en-GB"/>
        </w:rPr>
        <w:footnoteReference w:id="4"/>
      </w:r>
    </w:p>
    <w:p w14:paraId="652FE67B" w14:textId="77777777" w:rsidR="00193A03" w:rsidRPr="009577CF" w:rsidRDefault="00193A03" w:rsidP="009936ED">
      <w:pPr>
        <w:pStyle w:val="BodyText"/>
        <w:rPr>
          <w:lang w:val="en-GB"/>
        </w:rPr>
      </w:pPr>
    </w:p>
    <w:p w14:paraId="79A9D672" w14:textId="2476E302" w:rsidR="00193A03" w:rsidRDefault="00193A03" w:rsidP="009936ED">
      <w:pPr>
        <w:pStyle w:val="BodyText"/>
        <w:rPr>
          <w:lang w:val="en-GB"/>
        </w:rPr>
      </w:pPr>
      <w:r w:rsidRPr="009577CF">
        <w:rPr>
          <w:lang w:val="en-GB"/>
        </w:rPr>
        <w:t xml:space="preserve">While in the past </w:t>
      </w:r>
      <w:r w:rsidR="007A7056" w:rsidRPr="009577CF">
        <w:rPr>
          <w:lang w:val="en-GB"/>
        </w:rPr>
        <w:t xml:space="preserve">the jewellery industry </w:t>
      </w:r>
      <w:r w:rsidR="00266BBB">
        <w:rPr>
          <w:lang w:val="en-GB"/>
        </w:rPr>
        <w:t xml:space="preserve">had </w:t>
      </w:r>
      <w:r w:rsidR="007A7056">
        <w:rPr>
          <w:lang w:val="en-GB"/>
        </w:rPr>
        <w:t xml:space="preserve">comprised </w:t>
      </w:r>
      <w:r w:rsidRPr="009577CF">
        <w:rPr>
          <w:lang w:val="en-GB"/>
        </w:rPr>
        <w:t>high</w:t>
      </w:r>
      <w:r w:rsidR="00BF3B3B" w:rsidRPr="009577CF">
        <w:rPr>
          <w:lang w:val="en-GB"/>
        </w:rPr>
        <w:t>-</w:t>
      </w:r>
      <w:r w:rsidRPr="009577CF">
        <w:rPr>
          <w:lang w:val="en-GB"/>
        </w:rPr>
        <w:t xml:space="preserve"> and low-end brands, a hybridization appeared to be occurring, resulting in brands offering products at a variety of price points </w:t>
      </w:r>
      <w:r w:rsidR="007A7056">
        <w:rPr>
          <w:lang w:val="en-GB"/>
        </w:rPr>
        <w:t xml:space="preserve">in an effort </w:t>
      </w:r>
      <w:r w:rsidRPr="009577CF">
        <w:rPr>
          <w:lang w:val="en-GB"/>
        </w:rPr>
        <w:t>to attract new consumers. At the same time, luxury brands such a</w:t>
      </w:r>
      <w:r w:rsidR="00D26D00" w:rsidRPr="009577CF">
        <w:rPr>
          <w:lang w:val="en-GB"/>
        </w:rPr>
        <w:t>s Harry Winston and Cartier had</w:t>
      </w:r>
      <w:r w:rsidRPr="009577CF">
        <w:rPr>
          <w:lang w:val="en-GB"/>
        </w:rPr>
        <w:t xml:space="preserve"> doubled down on their exclusivity and high price point, maintaining a luxury brand image.</w:t>
      </w:r>
      <w:r w:rsidRPr="009577CF">
        <w:rPr>
          <w:rStyle w:val="FootnoteReference"/>
          <w:lang w:val="en-GB"/>
        </w:rPr>
        <w:footnoteReference w:id="5"/>
      </w:r>
    </w:p>
    <w:p w14:paraId="0E057E59" w14:textId="77777777" w:rsidR="005155C2" w:rsidRDefault="005155C2" w:rsidP="009936ED">
      <w:pPr>
        <w:pStyle w:val="BodyText"/>
        <w:rPr>
          <w:lang w:val="en-GB"/>
        </w:rPr>
      </w:pPr>
    </w:p>
    <w:p w14:paraId="43A21DDB" w14:textId="77777777" w:rsidR="005155C2" w:rsidRPr="009577CF" w:rsidRDefault="005155C2" w:rsidP="009936ED">
      <w:pPr>
        <w:pStyle w:val="BodyText"/>
        <w:rPr>
          <w:lang w:val="en-GB"/>
        </w:rPr>
      </w:pPr>
    </w:p>
    <w:p w14:paraId="7B3FABE2" w14:textId="77777777" w:rsidR="007B69D6" w:rsidRPr="005100BB" w:rsidRDefault="007B69D6" w:rsidP="00CF5E39">
      <w:pPr>
        <w:pStyle w:val="casehead1"/>
        <w:rPr>
          <w:szCs w:val="20"/>
          <w:lang w:val="en-GB"/>
        </w:rPr>
      </w:pPr>
      <w:r w:rsidRPr="005100BB">
        <w:rPr>
          <w:szCs w:val="20"/>
          <w:lang w:val="en-GB"/>
        </w:rPr>
        <w:lastRenderedPageBreak/>
        <w:t>Empowering Women</w:t>
      </w:r>
    </w:p>
    <w:p w14:paraId="54B1EE9E" w14:textId="77777777" w:rsidR="007B69D6" w:rsidRPr="005155C2" w:rsidRDefault="007B69D6" w:rsidP="009936ED">
      <w:pPr>
        <w:pStyle w:val="BodyText"/>
        <w:rPr>
          <w:sz w:val="18"/>
          <w:szCs w:val="18"/>
          <w:lang w:val="en-GB"/>
        </w:rPr>
      </w:pPr>
    </w:p>
    <w:p w14:paraId="49276760" w14:textId="3051A4C0" w:rsidR="009936ED" w:rsidRPr="005155C2" w:rsidRDefault="007B69D6" w:rsidP="005155C2">
      <w:pPr>
        <w:pStyle w:val="BodyText"/>
        <w:ind w:left="720"/>
      </w:pPr>
      <w:r w:rsidRPr="005155C2">
        <w:t>Through education, inspiration and opportunity, we are women empowering women</w:t>
      </w:r>
      <w:r w:rsidR="009936ED" w:rsidRPr="005155C2">
        <w:t>—</w:t>
      </w:r>
      <w:r w:rsidR="00A62ECB" w:rsidRPr="005155C2">
        <w:t>o</w:t>
      </w:r>
      <w:r w:rsidRPr="005155C2">
        <w:t>ne sparkle at a time</w:t>
      </w:r>
      <w:r w:rsidR="007A7056" w:rsidRPr="005155C2">
        <w:t>.</w:t>
      </w:r>
    </w:p>
    <w:p w14:paraId="491C046E" w14:textId="59D71C7D" w:rsidR="007B69D6" w:rsidRPr="009577CF" w:rsidRDefault="007B69D6" w:rsidP="003D0521">
      <w:pPr>
        <w:pStyle w:val="BodyText"/>
        <w:jc w:val="right"/>
        <w:rPr>
          <w:lang w:val="en-GB"/>
        </w:rPr>
      </w:pPr>
      <w:r w:rsidRPr="009577CF">
        <w:rPr>
          <w:lang w:val="en-GB"/>
        </w:rPr>
        <w:t>H&amp;B Manifesto</w:t>
      </w:r>
    </w:p>
    <w:p w14:paraId="52E2D26A" w14:textId="77777777" w:rsidR="007B69D6" w:rsidRPr="009577CF" w:rsidRDefault="007B69D6" w:rsidP="009936ED">
      <w:pPr>
        <w:pStyle w:val="BodyText"/>
        <w:rPr>
          <w:lang w:val="en-GB"/>
        </w:rPr>
      </w:pPr>
    </w:p>
    <w:p w14:paraId="0D825BED" w14:textId="4818C03F" w:rsidR="00193A03" w:rsidRPr="009577CF" w:rsidRDefault="00193A03" w:rsidP="003F3051">
      <w:pPr>
        <w:pStyle w:val="BodyText"/>
        <w:rPr>
          <w:lang w:val="en-GB"/>
        </w:rPr>
      </w:pPr>
      <w:r w:rsidRPr="009577CF">
        <w:rPr>
          <w:lang w:val="en-GB"/>
        </w:rPr>
        <w:t>Empowering women was a clear goal for H&amp;B. Mielke noted that most global jewellery collections were designed by men, for women. As the company founder, Mielke considered that having women running the company was vital</w:t>
      </w:r>
      <w:r w:rsidR="00BF3B3B" w:rsidRPr="009577CF">
        <w:rPr>
          <w:lang w:val="en-GB"/>
        </w:rPr>
        <w:t>:</w:t>
      </w:r>
      <w:r w:rsidRPr="009577CF">
        <w:rPr>
          <w:lang w:val="en-GB"/>
        </w:rPr>
        <w:t xml:space="preserve"> </w:t>
      </w:r>
      <w:r w:rsidR="003F3051">
        <w:rPr>
          <w:lang w:val="en-GB"/>
        </w:rPr>
        <w:t>“</w:t>
      </w:r>
      <w:r w:rsidRPr="009577CF">
        <w:rPr>
          <w:lang w:val="en-GB"/>
        </w:rPr>
        <w:t>I think that our company being run primarily by women and having a fresh perspective on jewellery, it</w:t>
      </w:r>
      <w:r w:rsidR="007A7056">
        <w:rPr>
          <w:lang w:val="en-GB"/>
        </w:rPr>
        <w:t>’</w:t>
      </w:r>
      <w:r w:rsidRPr="009577CF">
        <w:rPr>
          <w:lang w:val="en-GB"/>
        </w:rPr>
        <w:t>s unusual. Most of the major global players in the industry are run primarily by men, were started by men, and I don</w:t>
      </w:r>
      <w:r w:rsidR="007A7056">
        <w:rPr>
          <w:lang w:val="en-GB"/>
        </w:rPr>
        <w:t>’</w:t>
      </w:r>
      <w:r w:rsidRPr="009577CF">
        <w:rPr>
          <w:lang w:val="en-GB"/>
        </w:rPr>
        <w:t>t think there are a lot of amazing up and coming brands that are female</w:t>
      </w:r>
      <w:r w:rsidR="007A7056">
        <w:rPr>
          <w:lang w:val="en-GB"/>
        </w:rPr>
        <w:t>-</w:t>
      </w:r>
      <w:r w:rsidRPr="009577CF">
        <w:rPr>
          <w:lang w:val="en-GB"/>
        </w:rPr>
        <w:t>driven.</w:t>
      </w:r>
      <w:r w:rsidR="003F3051">
        <w:rPr>
          <w:lang w:val="en-GB"/>
        </w:rPr>
        <w:t>”</w:t>
      </w:r>
    </w:p>
    <w:p w14:paraId="5D0D4992" w14:textId="77777777" w:rsidR="00193A03" w:rsidRPr="009577CF" w:rsidRDefault="00193A03" w:rsidP="009936ED">
      <w:pPr>
        <w:pStyle w:val="BodyText"/>
        <w:rPr>
          <w:lang w:val="en-GB"/>
        </w:rPr>
      </w:pPr>
    </w:p>
    <w:p w14:paraId="61CC41E6" w14:textId="0A873554" w:rsidR="00193A03" w:rsidRPr="009577CF" w:rsidRDefault="00193A03" w:rsidP="009936ED">
      <w:pPr>
        <w:pStyle w:val="BodyText"/>
        <w:rPr>
          <w:lang w:val="en-GB"/>
        </w:rPr>
      </w:pPr>
      <w:r w:rsidRPr="009577CF">
        <w:rPr>
          <w:lang w:val="en-GB"/>
        </w:rPr>
        <w:t xml:space="preserve">H&amp;B had invested heavily in internal training and development to ensure that </w:t>
      </w:r>
      <w:r w:rsidR="00BF3B3B" w:rsidRPr="009577CF">
        <w:rPr>
          <w:lang w:val="en-GB"/>
        </w:rPr>
        <w:t xml:space="preserve">its </w:t>
      </w:r>
      <w:r w:rsidRPr="009577CF">
        <w:rPr>
          <w:lang w:val="en-GB"/>
        </w:rPr>
        <w:t>workforce had the skills needed to grow with the company. Mielke noted that her focus was on the well</w:t>
      </w:r>
      <w:r w:rsidR="00266BBB">
        <w:rPr>
          <w:lang w:val="en-GB"/>
        </w:rPr>
        <w:t>-</w:t>
      </w:r>
      <w:r w:rsidRPr="009577CF">
        <w:rPr>
          <w:lang w:val="en-GB"/>
        </w:rPr>
        <w:t xml:space="preserve">being of H&amp;B’s workforce. H&amp;B worked to empower employees by building collaborative, cross-functional teams. </w:t>
      </w:r>
      <w:r w:rsidR="00D26D00" w:rsidRPr="009577CF">
        <w:rPr>
          <w:lang w:val="en-GB"/>
        </w:rPr>
        <w:t>The company</w:t>
      </w:r>
      <w:r w:rsidRPr="009577CF">
        <w:rPr>
          <w:lang w:val="en-GB"/>
        </w:rPr>
        <w:t xml:space="preserve"> had </w:t>
      </w:r>
      <w:r w:rsidR="00D26D00" w:rsidRPr="009577CF">
        <w:rPr>
          <w:lang w:val="en-GB"/>
        </w:rPr>
        <w:t xml:space="preserve">also </w:t>
      </w:r>
      <w:r w:rsidRPr="009577CF">
        <w:rPr>
          <w:lang w:val="en-GB"/>
        </w:rPr>
        <w:t xml:space="preserve">used innovative strategies to inspire creativity throughout </w:t>
      </w:r>
      <w:r w:rsidR="00BF3B3B" w:rsidRPr="009577CF">
        <w:rPr>
          <w:lang w:val="en-GB"/>
        </w:rPr>
        <w:t>its</w:t>
      </w:r>
      <w:r w:rsidRPr="009577CF">
        <w:rPr>
          <w:lang w:val="en-GB"/>
        </w:rPr>
        <w:t xml:space="preserve"> workforce. One program that was launched early at H&amp;B was One </w:t>
      </w:r>
      <w:r w:rsidR="00BF3B3B" w:rsidRPr="009577CF">
        <w:rPr>
          <w:lang w:val="en-GB"/>
        </w:rPr>
        <w:t>o</w:t>
      </w:r>
      <w:r w:rsidRPr="009577CF">
        <w:rPr>
          <w:lang w:val="en-GB"/>
        </w:rPr>
        <w:t xml:space="preserve">f </w:t>
      </w:r>
      <w:r w:rsidR="00BF3B3B" w:rsidRPr="009577CF">
        <w:rPr>
          <w:lang w:val="en-GB"/>
        </w:rPr>
        <w:t>a</w:t>
      </w:r>
      <w:r w:rsidRPr="009577CF">
        <w:rPr>
          <w:lang w:val="en-GB"/>
        </w:rPr>
        <w:t xml:space="preserve"> Kind Friday</w:t>
      </w:r>
      <w:r w:rsidR="00156D39">
        <w:rPr>
          <w:lang w:val="en-GB"/>
        </w:rPr>
        <w:t>, in which</w:t>
      </w:r>
      <w:r w:rsidRPr="009577CF">
        <w:rPr>
          <w:lang w:val="en-GB"/>
        </w:rPr>
        <w:t xml:space="preserve"> all employees, regardless of their position in the company, design</w:t>
      </w:r>
      <w:r w:rsidR="00156D39">
        <w:rPr>
          <w:lang w:val="en-GB"/>
        </w:rPr>
        <w:t>ed</w:t>
      </w:r>
      <w:r w:rsidRPr="009577CF">
        <w:rPr>
          <w:lang w:val="en-GB"/>
        </w:rPr>
        <w:t xml:space="preserve"> one-off pieces that would potentially be sold at </w:t>
      </w:r>
      <w:r w:rsidR="00266BBB">
        <w:rPr>
          <w:lang w:val="en-GB"/>
        </w:rPr>
        <w:t>H&amp;B’s</w:t>
      </w:r>
      <w:r w:rsidR="00266BBB" w:rsidRPr="009577CF">
        <w:rPr>
          <w:lang w:val="en-GB"/>
        </w:rPr>
        <w:t xml:space="preserve"> </w:t>
      </w:r>
      <w:r w:rsidRPr="009577CF">
        <w:rPr>
          <w:lang w:val="en-GB"/>
        </w:rPr>
        <w:t xml:space="preserve">flagship retail </w:t>
      </w:r>
      <w:r w:rsidR="00BF3B3B" w:rsidRPr="009577CF">
        <w:rPr>
          <w:lang w:val="en-GB"/>
        </w:rPr>
        <w:t xml:space="preserve">store </w:t>
      </w:r>
      <w:r w:rsidRPr="009577CF">
        <w:rPr>
          <w:lang w:val="en-GB"/>
        </w:rPr>
        <w:t xml:space="preserve">in Regina. Surprisingly, not just those who were </w:t>
      </w:r>
      <w:r w:rsidR="00266BBB">
        <w:rPr>
          <w:lang w:val="en-GB"/>
        </w:rPr>
        <w:t xml:space="preserve">experienced </w:t>
      </w:r>
      <w:r w:rsidRPr="009577CF">
        <w:rPr>
          <w:lang w:val="en-GB"/>
        </w:rPr>
        <w:t xml:space="preserve">designers </w:t>
      </w:r>
      <w:r w:rsidR="00266BBB">
        <w:rPr>
          <w:lang w:val="en-GB"/>
        </w:rPr>
        <w:t>had</w:t>
      </w:r>
      <w:r w:rsidRPr="009577CF">
        <w:rPr>
          <w:lang w:val="en-GB"/>
        </w:rPr>
        <w:t xml:space="preserve"> products sell well, </w:t>
      </w:r>
      <w:r w:rsidR="00BF3B3B" w:rsidRPr="009577CF">
        <w:rPr>
          <w:lang w:val="en-GB"/>
        </w:rPr>
        <w:t xml:space="preserve">as </w:t>
      </w:r>
      <w:r w:rsidRPr="009577CF">
        <w:rPr>
          <w:lang w:val="en-GB"/>
        </w:rPr>
        <w:t xml:space="preserve">one of the best-selling designers </w:t>
      </w:r>
      <w:r w:rsidR="00156D39">
        <w:rPr>
          <w:lang w:val="en-GB"/>
        </w:rPr>
        <w:t xml:space="preserve">to emerge from One of a Kind Friday </w:t>
      </w:r>
      <w:r w:rsidRPr="009577CF">
        <w:rPr>
          <w:lang w:val="en-GB"/>
        </w:rPr>
        <w:t xml:space="preserve">was </w:t>
      </w:r>
      <w:r w:rsidR="00156D39">
        <w:rPr>
          <w:lang w:val="en-GB"/>
        </w:rPr>
        <w:t>H&amp;B’s</w:t>
      </w:r>
      <w:r w:rsidR="00156D39" w:rsidRPr="009577CF">
        <w:rPr>
          <w:lang w:val="en-GB"/>
        </w:rPr>
        <w:t xml:space="preserve"> </w:t>
      </w:r>
      <w:r w:rsidRPr="009577CF">
        <w:rPr>
          <w:lang w:val="en-GB"/>
        </w:rPr>
        <w:t xml:space="preserve">production manager. As H&amp;B scaled, </w:t>
      </w:r>
      <w:r w:rsidR="00A62ECB">
        <w:rPr>
          <w:lang w:val="en-GB"/>
        </w:rPr>
        <w:t xml:space="preserve">it </w:t>
      </w:r>
      <w:r w:rsidRPr="009577CF">
        <w:rPr>
          <w:lang w:val="en-GB"/>
        </w:rPr>
        <w:t xml:space="preserve">continued this tradition, launching One </w:t>
      </w:r>
      <w:r w:rsidR="00BF3B3B" w:rsidRPr="009577CF">
        <w:rPr>
          <w:lang w:val="en-GB"/>
        </w:rPr>
        <w:t>o</w:t>
      </w:r>
      <w:r w:rsidRPr="009577CF">
        <w:rPr>
          <w:lang w:val="en-GB"/>
        </w:rPr>
        <w:t xml:space="preserve">f </w:t>
      </w:r>
      <w:r w:rsidR="00BF3B3B" w:rsidRPr="009577CF">
        <w:rPr>
          <w:lang w:val="en-GB"/>
        </w:rPr>
        <w:t>a</w:t>
      </w:r>
      <w:r w:rsidRPr="009577CF">
        <w:rPr>
          <w:lang w:val="en-GB"/>
        </w:rPr>
        <w:t xml:space="preserve"> Kind monthly runs that were sold both online and at </w:t>
      </w:r>
      <w:r w:rsidR="00BF3B3B" w:rsidRPr="009577CF">
        <w:rPr>
          <w:lang w:val="en-GB"/>
        </w:rPr>
        <w:t>its</w:t>
      </w:r>
      <w:r w:rsidRPr="009577CF">
        <w:rPr>
          <w:lang w:val="en-GB"/>
        </w:rPr>
        <w:t xml:space="preserve"> retail locations. These collections commanded a premium price, with necklaces being sold for up to $3</w:t>
      </w:r>
      <w:r w:rsidR="00156D39">
        <w:rPr>
          <w:lang w:val="en-GB"/>
        </w:rPr>
        <w:t>,</w:t>
      </w:r>
      <w:r w:rsidRPr="009577CF">
        <w:rPr>
          <w:lang w:val="en-GB"/>
        </w:rPr>
        <w:t xml:space="preserve">500. </w:t>
      </w:r>
    </w:p>
    <w:p w14:paraId="740908EA" w14:textId="77777777" w:rsidR="00193A03" w:rsidRPr="009577CF" w:rsidRDefault="00193A03" w:rsidP="009936ED">
      <w:pPr>
        <w:pStyle w:val="BodyText"/>
        <w:rPr>
          <w:lang w:val="en-GB"/>
        </w:rPr>
      </w:pPr>
    </w:p>
    <w:p w14:paraId="5D5EB35A" w14:textId="18EA33C0" w:rsidR="00193A03" w:rsidRPr="009577CF" w:rsidRDefault="00193A03" w:rsidP="003F3051">
      <w:pPr>
        <w:pStyle w:val="BodyText"/>
        <w:rPr>
          <w:lang w:val="en-GB"/>
        </w:rPr>
      </w:pPr>
      <w:r w:rsidRPr="009577CF">
        <w:rPr>
          <w:lang w:val="en-GB"/>
        </w:rPr>
        <w:t xml:space="preserve">The company had made considerable effort to give back to local and international women’s organizations and had launched collaborations with </w:t>
      </w:r>
      <w:r w:rsidR="00156D39">
        <w:rPr>
          <w:lang w:val="en-GB"/>
        </w:rPr>
        <w:t xml:space="preserve">charitable </w:t>
      </w:r>
      <w:r w:rsidRPr="009577CF">
        <w:rPr>
          <w:lang w:val="en-GB"/>
        </w:rPr>
        <w:t>organizations</w:t>
      </w:r>
      <w:r w:rsidR="00156D39">
        <w:rPr>
          <w:lang w:val="en-GB"/>
        </w:rPr>
        <w:t>,</w:t>
      </w:r>
      <w:r w:rsidRPr="009577CF">
        <w:rPr>
          <w:lang w:val="en-GB"/>
        </w:rPr>
        <w:t xml:space="preserve"> including the Canadian Breast Cancer Foundation, the Malala Fund</w:t>
      </w:r>
      <w:r w:rsidR="00156D39">
        <w:rPr>
          <w:lang w:val="en-GB"/>
        </w:rPr>
        <w:t>,</w:t>
      </w:r>
      <w:r w:rsidRPr="009577CF">
        <w:rPr>
          <w:lang w:val="en-GB"/>
        </w:rPr>
        <w:t xml:space="preserve"> and Dizzy Feet Foundation. Mielke remarked</w:t>
      </w:r>
      <w:r w:rsidR="00BF3B3B" w:rsidRPr="009577CF">
        <w:rPr>
          <w:lang w:val="en-GB"/>
        </w:rPr>
        <w:t>:</w:t>
      </w:r>
      <w:r w:rsidRPr="009577CF">
        <w:rPr>
          <w:lang w:val="en-GB"/>
        </w:rPr>
        <w:t xml:space="preserve"> </w:t>
      </w:r>
      <w:r w:rsidR="003F3051">
        <w:rPr>
          <w:lang w:val="en-GB"/>
        </w:rPr>
        <w:t>“</w:t>
      </w:r>
      <w:r w:rsidRPr="009577CF">
        <w:rPr>
          <w:lang w:val="en-GB"/>
        </w:rPr>
        <w:t>I think that our focus on philanthropy and our passion about empowering women and finding ways that our brand can help make our community and make our country a better place by the success of our company also positions us as a very unique brand.</w:t>
      </w:r>
      <w:r w:rsidR="003F3051">
        <w:rPr>
          <w:lang w:val="en-GB"/>
        </w:rPr>
        <w:t>”</w:t>
      </w:r>
    </w:p>
    <w:p w14:paraId="151362C8" w14:textId="77777777" w:rsidR="00193A03" w:rsidRPr="009577CF" w:rsidRDefault="00193A03" w:rsidP="009936ED">
      <w:pPr>
        <w:pStyle w:val="BodyText"/>
        <w:rPr>
          <w:lang w:val="en-GB"/>
        </w:rPr>
      </w:pPr>
    </w:p>
    <w:p w14:paraId="23C15964" w14:textId="4A266650" w:rsidR="00193A03" w:rsidRPr="009577CF" w:rsidRDefault="00193A03" w:rsidP="009936ED">
      <w:pPr>
        <w:pStyle w:val="BodyText"/>
        <w:rPr>
          <w:lang w:val="en-GB"/>
        </w:rPr>
      </w:pPr>
      <w:r w:rsidRPr="009577CF">
        <w:rPr>
          <w:lang w:val="en-GB"/>
        </w:rPr>
        <w:t xml:space="preserve">As </w:t>
      </w:r>
      <w:r w:rsidR="002105AB" w:rsidRPr="009577CF">
        <w:rPr>
          <w:lang w:val="en-GB"/>
        </w:rPr>
        <w:t>Mielke</w:t>
      </w:r>
      <w:r w:rsidR="001718DC" w:rsidRPr="009577CF">
        <w:rPr>
          <w:lang w:val="en-GB"/>
        </w:rPr>
        <w:t xml:space="preserve"> c</w:t>
      </w:r>
      <w:r w:rsidRPr="009577CF">
        <w:rPr>
          <w:lang w:val="en-GB"/>
        </w:rPr>
        <w:t xml:space="preserve">ontemplated </w:t>
      </w:r>
      <w:r w:rsidR="001718DC" w:rsidRPr="009577CF">
        <w:rPr>
          <w:lang w:val="en-GB"/>
        </w:rPr>
        <w:t xml:space="preserve">H&amp;B’s </w:t>
      </w:r>
      <w:r w:rsidRPr="009577CF">
        <w:rPr>
          <w:lang w:val="en-GB"/>
        </w:rPr>
        <w:t xml:space="preserve">growth, maintaining a culture true to its core values was non-negotiable. </w:t>
      </w:r>
      <w:r w:rsidR="002105AB" w:rsidRPr="009577CF">
        <w:rPr>
          <w:lang w:val="en-GB"/>
        </w:rPr>
        <w:t>Mielke’s</w:t>
      </w:r>
      <w:r w:rsidRPr="009577CF">
        <w:rPr>
          <w:lang w:val="en-GB"/>
        </w:rPr>
        <w:t xml:space="preserve"> focus was to ensure that </w:t>
      </w:r>
      <w:r w:rsidR="001718DC" w:rsidRPr="009577CF">
        <w:rPr>
          <w:lang w:val="en-GB"/>
        </w:rPr>
        <w:t xml:space="preserve">H&amp;B </w:t>
      </w:r>
      <w:r w:rsidRPr="009577CF">
        <w:rPr>
          <w:lang w:val="en-GB"/>
        </w:rPr>
        <w:t xml:space="preserve">did not grow at the expense of </w:t>
      </w:r>
      <w:r w:rsidR="001718DC" w:rsidRPr="009577CF">
        <w:rPr>
          <w:lang w:val="en-GB"/>
        </w:rPr>
        <w:t>its</w:t>
      </w:r>
      <w:r w:rsidRPr="009577CF">
        <w:rPr>
          <w:lang w:val="en-GB"/>
        </w:rPr>
        <w:t xml:space="preserve"> work culture and values </w:t>
      </w:r>
      <w:r w:rsidR="001718DC" w:rsidRPr="009577CF">
        <w:rPr>
          <w:lang w:val="en-GB"/>
        </w:rPr>
        <w:t xml:space="preserve">that she and her senior leadership team </w:t>
      </w:r>
      <w:r w:rsidRPr="009577CF">
        <w:rPr>
          <w:lang w:val="en-GB"/>
        </w:rPr>
        <w:t xml:space="preserve">had worked hard to establish. </w:t>
      </w:r>
    </w:p>
    <w:p w14:paraId="4B8F16C9" w14:textId="77777777" w:rsidR="007B69D6" w:rsidRPr="009577CF" w:rsidRDefault="007B69D6" w:rsidP="009936ED">
      <w:pPr>
        <w:pStyle w:val="BodyText"/>
        <w:rPr>
          <w:lang w:val="en-GB"/>
        </w:rPr>
      </w:pPr>
    </w:p>
    <w:p w14:paraId="4B6A0578" w14:textId="77777777" w:rsidR="007B69D6" w:rsidRPr="009577CF" w:rsidRDefault="007B69D6" w:rsidP="009936ED">
      <w:pPr>
        <w:pStyle w:val="BodyText"/>
        <w:rPr>
          <w:lang w:val="en-GB"/>
        </w:rPr>
      </w:pPr>
    </w:p>
    <w:p w14:paraId="3D60AE60" w14:textId="15B08536" w:rsidR="007B69D6" w:rsidRPr="005100BB" w:rsidRDefault="007B69D6" w:rsidP="00CF5E39">
      <w:pPr>
        <w:pStyle w:val="casehead1"/>
        <w:rPr>
          <w:szCs w:val="20"/>
          <w:lang w:val="en-GB"/>
        </w:rPr>
      </w:pPr>
      <w:r w:rsidRPr="005100BB">
        <w:rPr>
          <w:szCs w:val="20"/>
          <w:lang w:val="en-GB"/>
        </w:rPr>
        <w:t>Customer Service and Distribution</w:t>
      </w:r>
    </w:p>
    <w:p w14:paraId="410E744A" w14:textId="77777777" w:rsidR="007B69D6" w:rsidRPr="005155C2" w:rsidRDefault="007B69D6" w:rsidP="009936ED">
      <w:pPr>
        <w:pStyle w:val="BodyText"/>
        <w:rPr>
          <w:sz w:val="18"/>
          <w:szCs w:val="18"/>
          <w:lang w:val="en-GB"/>
        </w:rPr>
      </w:pPr>
    </w:p>
    <w:p w14:paraId="6290056F" w14:textId="5BD8211D" w:rsidR="00193A03" w:rsidRPr="009577CF" w:rsidRDefault="00193A03" w:rsidP="009936ED">
      <w:pPr>
        <w:pStyle w:val="BodyText"/>
        <w:rPr>
          <w:lang w:val="en-GB"/>
        </w:rPr>
      </w:pPr>
      <w:r w:rsidRPr="009577CF">
        <w:rPr>
          <w:lang w:val="en-GB"/>
        </w:rPr>
        <w:t xml:space="preserve">When building H&amp;B, Mielke </w:t>
      </w:r>
      <w:r w:rsidR="00647131">
        <w:rPr>
          <w:lang w:val="en-GB"/>
        </w:rPr>
        <w:t xml:space="preserve">had </w:t>
      </w:r>
      <w:r w:rsidRPr="009577CF">
        <w:rPr>
          <w:lang w:val="en-GB"/>
        </w:rPr>
        <w:t xml:space="preserve">realized the critical importance of communicating the brand’s story. Like others in the industry, </w:t>
      </w:r>
      <w:r w:rsidR="00B26CC1">
        <w:rPr>
          <w:lang w:val="en-GB"/>
        </w:rPr>
        <w:t>Mielke</w:t>
      </w:r>
      <w:r w:rsidRPr="009577CF">
        <w:rPr>
          <w:lang w:val="en-GB"/>
        </w:rPr>
        <w:t xml:space="preserve"> found the most effective way to do so was through brick</w:t>
      </w:r>
      <w:r w:rsidR="00A27E2B">
        <w:rPr>
          <w:lang w:val="en-GB"/>
        </w:rPr>
        <w:t>s</w:t>
      </w:r>
      <w:r w:rsidR="00B26CC1">
        <w:rPr>
          <w:lang w:val="en-GB"/>
        </w:rPr>
        <w:t>-</w:t>
      </w:r>
      <w:r w:rsidRPr="009577CF">
        <w:rPr>
          <w:lang w:val="en-GB"/>
        </w:rPr>
        <w:t>and</w:t>
      </w:r>
      <w:r w:rsidR="00B26CC1">
        <w:rPr>
          <w:lang w:val="en-GB"/>
        </w:rPr>
        <w:t>-</w:t>
      </w:r>
      <w:r w:rsidRPr="009577CF">
        <w:rPr>
          <w:lang w:val="en-GB"/>
        </w:rPr>
        <w:t xml:space="preserve">mortar retail locations. Therefore, a key tactic in the company’s </w:t>
      </w:r>
      <w:r w:rsidR="001718DC" w:rsidRPr="009577CF">
        <w:rPr>
          <w:lang w:val="en-GB"/>
        </w:rPr>
        <w:t xml:space="preserve">marketing </w:t>
      </w:r>
      <w:r w:rsidRPr="009577CF">
        <w:rPr>
          <w:lang w:val="en-GB"/>
        </w:rPr>
        <w:t>strategy</w:t>
      </w:r>
      <w:r w:rsidR="00B26CC1">
        <w:rPr>
          <w:lang w:val="en-GB"/>
        </w:rPr>
        <w:t xml:space="preserve"> was building its physical retail presence</w:t>
      </w:r>
      <w:r w:rsidRPr="009577CF">
        <w:rPr>
          <w:lang w:val="en-GB"/>
        </w:rPr>
        <w:t xml:space="preserve">. H&amp;B prided itself </w:t>
      </w:r>
      <w:r w:rsidR="001718DC" w:rsidRPr="009577CF">
        <w:rPr>
          <w:lang w:val="en-GB"/>
        </w:rPr>
        <w:t>o</w:t>
      </w:r>
      <w:r w:rsidRPr="009577CF">
        <w:rPr>
          <w:lang w:val="en-GB"/>
        </w:rPr>
        <w:t>n providing quality customer experiences</w:t>
      </w:r>
      <w:r w:rsidR="00B26CC1">
        <w:rPr>
          <w:lang w:val="en-GB"/>
        </w:rPr>
        <w:t>.</w:t>
      </w:r>
      <w:r w:rsidRPr="009577CF">
        <w:rPr>
          <w:lang w:val="en-GB"/>
        </w:rPr>
        <w:t xml:space="preserve"> </w:t>
      </w:r>
      <w:r w:rsidR="00B26CC1">
        <w:rPr>
          <w:lang w:val="en-GB"/>
        </w:rPr>
        <w:t>T</w:t>
      </w:r>
      <w:r w:rsidRPr="009577CF">
        <w:rPr>
          <w:lang w:val="en-GB"/>
        </w:rPr>
        <w:t xml:space="preserve">he company expected that every person who entered the stores would be treated like a guest in the brand’s home. </w:t>
      </w:r>
    </w:p>
    <w:p w14:paraId="4A2D6943" w14:textId="77777777" w:rsidR="00193A03" w:rsidRPr="009577CF" w:rsidRDefault="00193A03" w:rsidP="009936ED">
      <w:pPr>
        <w:pStyle w:val="BodyText"/>
        <w:rPr>
          <w:lang w:val="en-GB"/>
        </w:rPr>
      </w:pPr>
    </w:p>
    <w:p w14:paraId="4B2C056F" w14:textId="4AEA61FB" w:rsidR="00193A03" w:rsidRPr="009577CF" w:rsidRDefault="00193A03" w:rsidP="009936ED">
      <w:pPr>
        <w:pStyle w:val="BodyText"/>
        <w:rPr>
          <w:lang w:val="en-GB"/>
        </w:rPr>
      </w:pPr>
      <w:r w:rsidRPr="009577CF">
        <w:rPr>
          <w:lang w:val="en-GB"/>
        </w:rPr>
        <w:t>The retail store teams were expected to immerse themselves in their local communities</w:t>
      </w:r>
      <w:r w:rsidR="00B26CC1">
        <w:rPr>
          <w:lang w:val="en-GB"/>
        </w:rPr>
        <w:t>—</w:t>
      </w:r>
      <w:r w:rsidRPr="009577CF">
        <w:rPr>
          <w:lang w:val="en-GB"/>
        </w:rPr>
        <w:t>building connections by attending events, organizing local charitable donations, developing meaningful relationships</w:t>
      </w:r>
      <w:r w:rsidR="00B26CC1">
        <w:rPr>
          <w:lang w:val="en-GB"/>
        </w:rPr>
        <w:t>,</w:t>
      </w:r>
      <w:r w:rsidRPr="009577CF">
        <w:rPr>
          <w:lang w:val="en-GB"/>
        </w:rPr>
        <w:t xml:space="preserve"> and promoting H&amp;B product</w:t>
      </w:r>
      <w:r w:rsidR="001718DC" w:rsidRPr="009577CF">
        <w:rPr>
          <w:lang w:val="en-GB"/>
        </w:rPr>
        <w:t>s</w:t>
      </w:r>
      <w:r w:rsidRPr="009577CF">
        <w:rPr>
          <w:lang w:val="en-GB"/>
        </w:rPr>
        <w:t xml:space="preserve">. Employees were empowered to make decisions to provide the best possible experience and to “surprise and delight” customers when a connection was built. These </w:t>
      </w:r>
      <w:r w:rsidRPr="009577CF">
        <w:rPr>
          <w:lang w:val="en-GB"/>
        </w:rPr>
        <w:lastRenderedPageBreak/>
        <w:t>gestures included gifting a soon</w:t>
      </w:r>
      <w:r w:rsidR="00B26CC1">
        <w:rPr>
          <w:lang w:val="en-GB"/>
        </w:rPr>
        <w:t>-</w:t>
      </w:r>
      <w:r w:rsidRPr="009577CF">
        <w:rPr>
          <w:lang w:val="en-GB"/>
        </w:rPr>
        <w:t>to</w:t>
      </w:r>
      <w:r w:rsidR="00B26CC1">
        <w:rPr>
          <w:lang w:val="en-GB"/>
        </w:rPr>
        <w:t>-</w:t>
      </w:r>
      <w:r w:rsidRPr="009577CF">
        <w:rPr>
          <w:lang w:val="en-GB"/>
        </w:rPr>
        <w:t xml:space="preserve">be bride with “something blue” earrings or larger efforts </w:t>
      </w:r>
      <w:r w:rsidR="00B26CC1">
        <w:rPr>
          <w:lang w:val="en-GB"/>
        </w:rPr>
        <w:t>such as</w:t>
      </w:r>
      <w:r w:rsidR="00B26CC1" w:rsidRPr="009577CF">
        <w:rPr>
          <w:lang w:val="en-GB"/>
        </w:rPr>
        <w:t xml:space="preserve"> </w:t>
      </w:r>
      <w:r w:rsidRPr="009577CF">
        <w:rPr>
          <w:lang w:val="en-GB"/>
        </w:rPr>
        <w:t xml:space="preserve">gifting Sparkle Ball earrings to mothers displaced by the </w:t>
      </w:r>
      <w:r w:rsidR="001718DC" w:rsidRPr="009577CF">
        <w:rPr>
          <w:lang w:val="en-GB"/>
        </w:rPr>
        <w:t xml:space="preserve">disastrous </w:t>
      </w:r>
      <w:r w:rsidRPr="009577CF">
        <w:rPr>
          <w:lang w:val="en-GB"/>
        </w:rPr>
        <w:t>2016 fires in Fort McMurray</w:t>
      </w:r>
      <w:r w:rsidR="001718DC" w:rsidRPr="009577CF">
        <w:rPr>
          <w:lang w:val="en-GB"/>
        </w:rPr>
        <w:t>, Alberta</w:t>
      </w:r>
      <w:r w:rsidRPr="009577CF">
        <w:rPr>
          <w:lang w:val="en-GB"/>
        </w:rPr>
        <w:t xml:space="preserve">. </w:t>
      </w:r>
    </w:p>
    <w:p w14:paraId="72D941D9" w14:textId="77777777" w:rsidR="00193A03" w:rsidRPr="009577CF" w:rsidRDefault="00193A03" w:rsidP="009936ED">
      <w:pPr>
        <w:pStyle w:val="BodyText"/>
        <w:rPr>
          <w:lang w:val="en-GB"/>
        </w:rPr>
      </w:pPr>
    </w:p>
    <w:p w14:paraId="78521EAC" w14:textId="25DB636A" w:rsidR="00193A03" w:rsidRPr="009577CF" w:rsidRDefault="00193A03" w:rsidP="009936ED">
      <w:pPr>
        <w:pStyle w:val="BodyText"/>
        <w:rPr>
          <w:lang w:val="en-GB"/>
        </w:rPr>
      </w:pPr>
      <w:r w:rsidRPr="009577CF">
        <w:rPr>
          <w:lang w:val="en-GB"/>
        </w:rPr>
        <w:t xml:space="preserve">H&amp;B had invested heavily to build </w:t>
      </w:r>
      <w:r w:rsidR="00591F7B" w:rsidRPr="009577CF">
        <w:rPr>
          <w:lang w:val="en-GB"/>
        </w:rPr>
        <w:t xml:space="preserve">its </w:t>
      </w:r>
      <w:r w:rsidRPr="009577CF">
        <w:rPr>
          <w:lang w:val="en-GB"/>
        </w:rPr>
        <w:t xml:space="preserve">e-commerce presence, recognizing the growth potential of the online market. However, Mielke noted that </w:t>
      </w:r>
      <w:r w:rsidR="00B26CC1">
        <w:rPr>
          <w:lang w:val="en-GB"/>
        </w:rPr>
        <w:t xml:space="preserve">the </w:t>
      </w:r>
      <w:r w:rsidRPr="009577CF">
        <w:rPr>
          <w:lang w:val="en-GB"/>
        </w:rPr>
        <w:t xml:space="preserve">online </w:t>
      </w:r>
      <w:r w:rsidR="00B26CC1">
        <w:rPr>
          <w:lang w:val="en-GB"/>
        </w:rPr>
        <w:t xml:space="preserve">channel </w:t>
      </w:r>
      <w:r w:rsidRPr="009577CF">
        <w:rPr>
          <w:lang w:val="en-GB"/>
        </w:rPr>
        <w:t>alone would not enable the company to scale:</w:t>
      </w:r>
      <w:r w:rsidR="009936ED" w:rsidRPr="009577CF">
        <w:rPr>
          <w:lang w:val="en-GB"/>
        </w:rPr>
        <w:t xml:space="preserve"> </w:t>
      </w:r>
      <w:r w:rsidR="00805575" w:rsidRPr="009577CF">
        <w:rPr>
          <w:lang w:val="en-GB"/>
        </w:rPr>
        <w:t>“</w:t>
      </w:r>
      <w:r w:rsidRPr="009577CF">
        <w:rPr>
          <w:lang w:val="en-GB"/>
        </w:rPr>
        <w:t>We are seeing over and over again companies that are trying to start up as online only, switching to brick</w:t>
      </w:r>
      <w:r w:rsidR="00A62ECB">
        <w:rPr>
          <w:lang w:val="en-GB"/>
        </w:rPr>
        <w:t>s</w:t>
      </w:r>
      <w:r w:rsidRPr="009577CF">
        <w:rPr>
          <w:lang w:val="en-GB"/>
        </w:rPr>
        <w:t xml:space="preserve"> and mortar because you just can</w:t>
      </w:r>
      <w:r w:rsidR="00B26CC1">
        <w:rPr>
          <w:lang w:val="en-GB"/>
        </w:rPr>
        <w:t>’</w:t>
      </w:r>
      <w:r w:rsidRPr="009577CF">
        <w:rPr>
          <w:lang w:val="en-GB"/>
        </w:rPr>
        <w:t>t tell your brand story well enough, you can</w:t>
      </w:r>
      <w:r w:rsidR="00B26CC1">
        <w:rPr>
          <w:lang w:val="en-GB"/>
        </w:rPr>
        <w:t>’</w:t>
      </w:r>
      <w:r w:rsidRPr="009577CF">
        <w:rPr>
          <w:lang w:val="en-GB"/>
        </w:rPr>
        <w:t>t scale online.</w:t>
      </w:r>
      <w:r w:rsidR="00805575" w:rsidRPr="009577CF">
        <w:rPr>
          <w:lang w:val="en-GB"/>
        </w:rPr>
        <w:t>”</w:t>
      </w:r>
    </w:p>
    <w:p w14:paraId="016F952A" w14:textId="77777777" w:rsidR="00193A03" w:rsidRPr="009577CF" w:rsidRDefault="00193A03" w:rsidP="009936ED">
      <w:pPr>
        <w:pStyle w:val="BodyText"/>
        <w:rPr>
          <w:lang w:val="en-GB"/>
        </w:rPr>
      </w:pPr>
    </w:p>
    <w:p w14:paraId="30BA164B" w14:textId="5D1ED51C" w:rsidR="00193A03" w:rsidRPr="009577CF" w:rsidRDefault="00193A03" w:rsidP="009936ED">
      <w:pPr>
        <w:pStyle w:val="BodyText"/>
        <w:rPr>
          <w:lang w:val="en-GB"/>
        </w:rPr>
      </w:pPr>
      <w:r w:rsidRPr="009577CF">
        <w:rPr>
          <w:lang w:val="en-GB"/>
        </w:rPr>
        <w:t xml:space="preserve">H&amp;B had evolved </w:t>
      </w:r>
      <w:r w:rsidR="00B26CC1">
        <w:rPr>
          <w:lang w:val="en-GB"/>
        </w:rPr>
        <w:t>its</w:t>
      </w:r>
      <w:r w:rsidR="00B26CC1" w:rsidRPr="009577CF">
        <w:rPr>
          <w:lang w:val="en-GB"/>
        </w:rPr>
        <w:t xml:space="preserve"> </w:t>
      </w:r>
      <w:r w:rsidRPr="009577CF">
        <w:rPr>
          <w:lang w:val="en-GB"/>
        </w:rPr>
        <w:t xml:space="preserve">distribution strategy over time, selling through </w:t>
      </w:r>
      <w:r w:rsidR="00B26CC1">
        <w:rPr>
          <w:lang w:val="en-GB"/>
        </w:rPr>
        <w:t xml:space="preserve">both </w:t>
      </w:r>
      <w:r w:rsidRPr="009577CF">
        <w:rPr>
          <w:lang w:val="en-GB"/>
        </w:rPr>
        <w:t xml:space="preserve">boutique retailers and </w:t>
      </w:r>
      <w:r w:rsidR="00B26CC1">
        <w:rPr>
          <w:lang w:val="en-GB"/>
        </w:rPr>
        <w:t>its</w:t>
      </w:r>
      <w:r w:rsidR="00B26CC1" w:rsidRPr="009577CF">
        <w:rPr>
          <w:lang w:val="en-GB"/>
        </w:rPr>
        <w:t xml:space="preserve"> </w:t>
      </w:r>
      <w:r w:rsidRPr="009577CF">
        <w:rPr>
          <w:lang w:val="en-GB"/>
        </w:rPr>
        <w:t>own locations</w:t>
      </w:r>
      <w:r w:rsidR="00B26CC1">
        <w:rPr>
          <w:lang w:val="en-GB"/>
        </w:rPr>
        <w:t>,</w:t>
      </w:r>
      <w:r w:rsidRPr="009577CF">
        <w:rPr>
          <w:lang w:val="en-GB"/>
        </w:rPr>
        <w:t xml:space="preserve"> </w:t>
      </w:r>
      <w:r w:rsidR="00B26CC1" w:rsidRPr="009577CF">
        <w:rPr>
          <w:lang w:val="en-GB"/>
        </w:rPr>
        <w:t>includ</w:t>
      </w:r>
      <w:r w:rsidR="00B26CC1">
        <w:rPr>
          <w:lang w:val="en-GB"/>
        </w:rPr>
        <w:t>ing</w:t>
      </w:r>
      <w:r w:rsidR="00B26CC1" w:rsidRPr="009577CF">
        <w:rPr>
          <w:lang w:val="en-GB"/>
        </w:rPr>
        <w:t xml:space="preserve"> </w:t>
      </w:r>
      <w:r w:rsidR="00B26CC1">
        <w:rPr>
          <w:lang w:val="en-GB"/>
        </w:rPr>
        <w:t>its</w:t>
      </w:r>
      <w:r w:rsidR="00B26CC1" w:rsidRPr="009577CF">
        <w:rPr>
          <w:lang w:val="en-GB"/>
        </w:rPr>
        <w:t xml:space="preserve"> </w:t>
      </w:r>
      <w:r w:rsidRPr="009577CF">
        <w:rPr>
          <w:lang w:val="en-GB"/>
        </w:rPr>
        <w:t>online store</w:t>
      </w:r>
      <w:r w:rsidR="00647131">
        <w:rPr>
          <w:lang w:val="en-GB"/>
        </w:rPr>
        <w:t>;</w:t>
      </w:r>
      <w:r w:rsidRPr="009577CF">
        <w:rPr>
          <w:lang w:val="en-GB"/>
        </w:rPr>
        <w:t xml:space="preserve"> a street</w:t>
      </w:r>
      <w:r w:rsidR="00B26CC1">
        <w:rPr>
          <w:lang w:val="en-GB"/>
        </w:rPr>
        <w:t>-</w:t>
      </w:r>
      <w:r w:rsidRPr="009577CF">
        <w:rPr>
          <w:lang w:val="en-GB"/>
        </w:rPr>
        <w:t>front location housed in a character home in Regina</w:t>
      </w:r>
      <w:r w:rsidR="00647131">
        <w:rPr>
          <w:lang w:val="en-GB"/>
        </w:rPr>
        <w:t>;</w:t>
      </w:r>
      <w:r w:rsidRPr="009577CF">
        <w:rPr>
          <w:lang w:val="en-GB"/>
        </w:rPr>
        <w:t xml:space="preserve"> and mall locations</w:t>
      </w:r>
      <w:r w:rsidR="006446AB" w:rsidRPr="009577CF">
        <w:rPr>
          <w:lang w:val="en-GB"/>
        </w:rPr>
        <w:t xml:space="preserve"> in Edmonton, Alberta</w:t>
      </w:r>
      <w:r w:rsidR="00826EF6">
        <w:rPr>
          <w:lang w:val="en-GB"/>
        </w:rPr>
        <w:t>,</w:t>
      </w:r>
      <w:r w:rsidR="006446AB" w:rsidRPr="009577CF">
        <w:rPr>
          <w:lang w:val="en-GB"/>
        </w:rPr>
        <w:t xml:space="preserve"> and </w:t>
      </w:r>
      <w:r w:rsidR="00826EF6">
        <w:rPr>
          <w:lang w:val="en-GB"/>
        </w:rPr>
        <w:t xml:space="preserve">in </w:t>
      </w:r>
      <w:r w:rsidR="006446AB" w:rsidRPr="009577CF">
        <w:rPr>
          <w:lang w:val="en-GB"/>
        </w:rPr>
        <w:t>Saskatoon, Saskatchewan</w:t>
      </w:r>
      <w:r w:rsidRPr="009577CF">
        <w:rPr>
          <w:lang w:val="en-GB"/>
        </w:rPr>
        <w:t xml:space="preserve"> that were either full</w:t>
      </w:r>
      <w:r w:rsidR="00826EF6">
        <w:rPr>
          <w:lang w:val="en-GB"/>
        </w:rPr>
        <w:t>-size</w:t>
      </w:r>
      <w:r w:rsidRPr="009577CF">
        <w:rPr>
          <w:lang w:val="en-GB"/>
        </w:rPr>
        <w:t xml:space="preserve"> stores or “Sparkle Bar” kiosks</w:t>
      </w:r>
      <w:r w:rsidR="00826EF6">
        <w:rPr>
          <w:lang w:val="en-GB"/>
        </w:rPr>
        <w:t xml:space="preserve"> that had a smaller footprint</w:t>
      </w:r>
      <w:r w:rsidR="006446AB" w:rsidRPr="009577CF">
        <w:rPr>
          <w:lang w:val="en-GB"/>
        </w:rPr>
        <w:t xml:space="preserve"> (see Exhibit</w:t>
      </w:r>
      <w:r w:rsidR="004935C2" w:rsidRPr="009577CF">
        <w:rPr>
          <w:lang w:val="en-GB"/>
        </w:rPr>
        <w:t xml:space="preserve"> 4</w:t>
      </w:r>
      <w:r w:rsidR="006446AB" w:rsidRPr="009577CF">
        <w:rPr>
          <w:lang w:val="en-GB"/>
        </w:rPr>
        <w:t>)</w:t>
      </w:r>
      <w:r w:rsidRPr="009577CF">
        <w:rPr>
          <w:lang w:val="en-GB"/>
        </w:rPr>
        <w:t xml:space="preserve">. </w:t>
      </w:r>
      <w:r w:rsidR="006446AB" w:rsidRPr="009577CF">
        <w:rPr>
          <w:lang w:val="en-GB"/>
        </w:rPr>
        <w:t xml:space="preserve">H&amp;B had found the best success in </w:t>
      </w:r>
      <w:r w:rsidR="00826EF6">
        <w:rPr>
          <w:lang w:val="en-GB"/>
        </w:rPr>
        <w:t>its</w:t>
      </w:r>
      <w:r w:rsidR="00826EF6" w:rsidRPr="009577CF">
        <w:rPr>
          <w:lang w:val="en-GB"/>
        </w:rPr>
        <w:t xml:space="preserve"> </w:t>
      </w:r>
      <w:r w:rsidR="006446AB" w:rsidRPr="009577CF">
        <w:rPr>
          <w:lang w:val="en-GB"/>
        </w:rPr>
        <w:t>full</w:t>
      </w:r>
      <w:r w:rsidR="00826EF6">
        <w:rPr>
          <w:lang w:val="en-GB"/>
        </w:rPr>
        <w:t>-size</w:t>
      </w:r>
      <w:r w:rsidR="006446AB" w:rsidRPr="009577CF">
        <w:rPr>
          <w:lang w:val="en-GB"/>
        </w:rPr>
        <w:t xml:space="preserve"> brick</w:t>
      </w:r>
      <w:r w:rsidR="00A27E2B">
        <w:rPr>
          <w:lang w:val="en-GB"/>
        </w:rPr>
        <w:t>s</w:t>
      </w:r>
      <w:r w:rsidR="00826EF6">
        <w:rPr>
          <w:lang w:val="en-GB"/>
        </w:rPr>
        <w:t>-</w:t>
      </w:r>
      <w:r w:rsidR="006446AB" w:rsidRPr="009577CF">
        <w:rPr>
          <w:lang w:val="en-GB"/>
        </w:rPr>
        <w:t>and</w:t>
      </w:r>
      <w:r w:rsidR="00826EF6">
        <w:rPr>
          <w:lang w:val="en-GB"/>
        </w:rPr>
        <w:t>-</w:t>
      </w:r>
      <w:r w:rsidR="006446AB" w:rsidRPr="009577CF">
        <w:rPr>
          <w:lang w:val="en-GB"/>
        </w:rPr>
        <w:t xml:space="preserve">mortar locations. </w:t>
      </w:r>
      <w:r w:rsidRPr="009577CF">
        <w:rPr>
          <w:lang w:val="en-GB"/>
        </w:rPr>
        <w:t xml:space="preserve">While the Sparkle Bar locations were popular, Mielke was concerned that these kiosk-like locations did not make it as easy to </w:t>
      </w:r>
      <w:r w:rsidR="00826EF6">
        <w:rPr>
          <w:lang w:val="en-GB"/>
        </w:rPr>
        <w:t>provide customers with</w:t>
      </w:r>
      <w:r w:rsidR="00826EF6" w:rsidRPr="009577CF">
        <w:rPr>
          <w:lang w:val="en-GB"/>
        </w:rPr>
        <w:t xml:space="preserve"> </w:t>
      </w:r>
      <w:r w:rsidRPr="009577CF">
        <w:rPr>
          <w:lang w:val="en-GB"/>
        </w:rPr>
        <w:t xml:space="preserve">a full brand experience. </w:t>
      </w:r>
      <w:r w:rsidR="00EB7DD6" w:rsidRPr="009577CF">
        <w:rPr>
          <w:lang w:val="en-GB"/>
        </w:rPr>
        <w:t>The cost of each additional full</w:t>
      </w:r>
      <w:r w:rsidR="00826EF6">
        <w:rPr>
          <w:lang w:val="en-GB"/>
        </w:rPr>
        <w:t>-size</w:t>
      </w:r>
      <w:r w:rsidR="00EB7DD6" w:rsidRPr="009577CF">
        <w:rPr>
          <w:lang w:val="en-GB"/>
        </w:rPr>
        <w:t xml:space="preserve"> retail location </w:t>
      </w:r>
      <w:r w:rsidR="00826EF6">
        <w:rPr>
          <w:lang w:val="en-GB"/>
        </w:rPr>
        <w:t>was</w:t>
      </w:r>
      <w:r w:rsidR="00EB7DD6" w:rsidRPr="009577CF">
        <w:rPr>
          <w:lang w:val="en-GB"/>
        </w:rPr>
        <w:t xml:space="preserve"> expected to be $1 million,</w:t>
      </w:r>
      <w:r w:rsidR="006446AB" w:rsidRPr="009577CF">
        <w:rPr>
          <w:lang w:val="en-GB"/>
        </w:rPr>
        <w:t xml:space="preserve"> </w:t>
      </w:r>
      <w:r w:rsidR="00826EF6" w:rsidRPr="009577CF">
        <w:rPr>
          <w:lang w:val="en-GB"/>
        </w:rPr>
        <w:t>compris</w:t>
      </w:r>
      <w:r w:rsidR="00826EF6">
        <w:rPr>
          <w:lang w:val="en-GB"/>
        </w:rPr>
        <w:t>ing</w:t>
      </w:r>
      <w:r w:rsidR="00826EF6" w:rsidRPr="009577CF">
        <w:rPr>
          <w:lang w:val="en-GB"/>
        </w:rPr>
        <w:t xml:space="preserve"> </w:t>
      </w:r>
      <w:r w:rsidR="00EB7DD6" w:rsidRPr="009577CF">
        <w:rPr>
          <w:lang w:val="en-GB"/>
        </w:rPr>
        <w:t>$500,000 for construction costs and $500,000 for marketing and start-up costs.</w:t>
      </w:r>
    </w:p>
    <w:p w14:paraId="6DF61143" w14:textId="77777777" w:rsidR="00193A03" w:rsidRPr="009577CF" w:rsidRDefault="00193A03" w:rsidP="009936ED">
      <w:pPr>
        <w:pStyle w:val="BodyText"/>
        <w:rPr>
          <w:lang w:val="en-GB"/>
        </w:rPr>
      </w:pPr>
    </w:p>
    <w:p w14:paraId="140130C4" w14:textId="5656BA60" w:rsidR="00193A03" w:rsidRPr="009577CF" w:rsidRDefault="00193A03" w:rsidP="009936ED">
      <w:pPr>
        <w:pStyle w:val="BodyText"/>
        <w:rPr>
          <w:lang w:val="en-GB"/>
        </w:rPr>
      </w:pPr>
      <w:r w:rsidRPr="009577CF">
        <w:rPr>
          <w:lang w:val="en-GB"/>
        </w:rPr>
        <w:t xml:space="preserve">H&amp;B had also been selling through The Shopping Channel (TSC), with Mielke herself appearing on television and sharing the H&amp;B story. These appearances proved </w:t>
      </w:r>
      <w:r w:rsidR="00647131">
        <w:rPr>
          <w:lang w:val="en-GB"/>
        </w:rPr>
        <w:t>to be</w:t>
      </w:r>
      <w:r w:rsidR="00647131" w:rsidRPr="009577CF">
        <w:rPr>
          <w:lang w:val="en-GB"/>
        </w:rPr>
        <w:t xml:space="preserve"> </w:t>
      </w:r>
      <w:r w:rsidRPr="009577CF">
        <w:rPr>
          <w:lang w:val="en-GB"/>
        </w:rPr>
        <w:t xml:space="preserve">popular and helped spread the word about H&amp;B product throughout Canada. </w:t>
      </w:r>
      <w:r w:rsidRPr="009577CF">
        <w:rPr>
          <w:color w:val="000000" w:themeColor="text1"/>
          <w:lang w:val="en-GB"/>
        </w:rPr>
        <w:t xml:space="preserve">Mielke expected TSC to sell 15,000 pieces </w:t>
      </w:r>
      <w:r w:rsidR="007166B0">
        <w:rPr>
          <w:color w:val="000000" w:themeColor="text1"/>
          <w:lang w:val="en-GB"/>
        </w:rPr>
        <w:t>in 2016</w:t>
      </w:r>
      <w:r w:rsidR="00A62ECB">
        <w:rPr>
          <w:color w:val="000000" w:themeColor="text1"/>
          <w:lang w:val="en-GB"/>
        </w:rPr>
        <w:t>.</w:t>
      </w:r>
    </w:p>
    <w:p w14:paraId="0CB87CFD" w14:textId="77777777" w:rsidR="00193A03" w:rsidRPr="009577CF" w:rsidRDefault="00193A03" w:rsidP="009936ED">
      <w:pPr>
        <w:pStyle w:val="BodyText"/>
        <w:rPr>
          <w:lang w:val="en-GB"/>
        </w:rPr>
      </w:pPr>
    </w:p>
    <w:p w14:paraId="1C9FA8B7" w14:textId="39128B62" w:rsidR="00193A03" w:rsidRPr="009577CF" w:rsidRDefault="00193A03" w:rsidP="009936ED">
      <w:pPr>
        <w:pStyle w:val="BodyText"/>
        <w:rPr>
          <w:lang w:val="en-GB"/>
        </w:rPr>
      </w:pPr>
      <w:r w:rsidRPr="009577CF">
        <w:rPr>
          <w:lang w:val="en-GB"/>
        </w:rPr>
        <w:t xml:space="preserve">When Mielke considered the company’s next steps, </w:t>
      </w:r>
      <w:r w:rsidR="00826EF6">
        <w:rPr>
          <w:lang w:val="en-GB"/>
        </w:rPr>
        <w:t xml:space="preserve">she knew </w:t>
      </w:r>
      <w:r w:rsidRPr="009577CF">
        <w:rPr>
          <w:lang w:val="en-GB"/>
        </w:rPr>
        <w:t xml:space="preserve">an effective distribution strategy would be critical. </w:t>
      </w:r>
      <w:r w:rsidR="00647131">
        <w:rPr>
          <w:lang w:val="en-GB"/>
        </w:rPr>
        <w:t>As she considered</w:t>
      </w:r>
      <w:r w:rsidR="00647131" w:rsidRPr="009577CF">
        <w:rPr>
          <w:lang w:val="en-GB"/>
        </w:rPr>
        <w:t xml:space="preserve"> </w:t>
      </w:r>
      <w:r w:rsidR="006446AB" w:rsidRPr="009577CF">
        <w:rPr>
          <w:lang w:val="en-GB"/>
        </w:rPr>
        <w:t xml:space="preserve">expansion </w:t>
      </w:r>
      <w:r w:rsidR="00647131">
        <w:rPr>
          <w:lang w:val="en-GB"/>
        </w:rPr>
        <w:t>with</w:t>
      </w:r>
      <w:r w:rsidR="006446AB" w:rsidRPr="009577CF">
        <w:rPr>
          <w:lang w:val="en-GB"/>
        </w:rPr>
        <w:t>in Canada</w:t>
      </w:r>
      <w:r w:rsidR="004935C2" w:rsidRPr="009577CF">
        <w:rPr>
          <w:lang w:val="en-GB"/>
        </w:rPr>
        <w:t xml:space="preserve"> (see Exhibit 5</w:t>
      </w:r>
      <w:r w:rsidR="006446AB" w:rsidRPr="009577CF">
        <w:rPr>
          <w:lang w:val="en-GB"/>
        </w:rPr>
        <w:t xml:space="preserve">), </w:t>
      </w:r>
      <w:r w:rsidRPr="009577CF">
        <w:rPr>
          <w:lang w:val="en-GB"/>
        </w:rPr>
        <w:t>Mielke deliberated</w:t>
      </w:r>
      <w:r w:rsidR="00A62ECB">
        <w:rPr>
          <w:lang w:val="en-GB"/>
        </w:rPr>
        <w:t xml:space="preserve"> on</w:t>
      </w:r>
      <w:r w:rsidRPr="009577CF">
        <w:rPr>
          <w:lang w:val="en-GB"/>
        </w:rPr>
        <w:t xml:space="preserve"> wh</w:t>
      </w:r>
      <w:r w:rsidR="006446AB" w:rsidRPr="009577CF">
        <w:rPr>
          <w:lang w:val="en-GB"/>
        </w:rPr>
        <w:t>ich locations and tactics</w:t>
      </w:r>
      <w:r w:rsidRPr="009577CF">
        <w:rPr>
          <w:lang w:val="en-GB"/>
        </w:rPr>
        <w:t xml:space="preserve"> would be</w:t>
      </w:r>
      <w:r w:rsidR="006446AB" w:rsidRPr="009577CF">
        <w:rPr>
          <w:lang w:val="en-GB"/>
        </w:rPr>
        <w:t>st enable H&amp;B</w:t>
      </w:r>
      <w:r w:rsidRPr="009577CF">
        <w:rPr>
          <w:lang w:val="en-GB"/>
        </w:rPr>
        <w:t xml:space="preserve"> to build a national and international brand presence</w:t>
      </w:r>
      <w:r w:rsidR="00A62ECB">
        <w:rPr>
          <w:lang w:val="en-GB"/>
        </w:rPr>
        <w:t xml:space="preserve"> </w:t>
      </w:r>
      <w:r w:rsidRPr="009577CF">
        <w:rPr>
          <w:lang w:val="en-GB"/>
        </w:rPr>
        <w:t xml:space="preserve">without </w:t>
      </w:r>
      <w:r w:rsidR="00647131">
        <w:rPr>
          <w:lang w:val="en-GB"/>
        </w:rPr>
        <w:t>compromis</w:t>
      </w:r>
      <w:r w:rsidR="00647131" w:rsidRPr="009577CF">
        <w:rPr>
          <w:lang w:val="en-GB"/>
        </w:rPr>
        <w:t xml:space="preserve">ing </w:t>
      </w:r>
      <w:r w:rsidR="00647131">
        <w:rPr>
          <w:lang w:val="en-GB"/>
        </w:rPr>
        <w:t xml:space="preserve">on </w:t>
      </w:r>
      <w:r w:rsidRPr="009577CF">
        <w:rPr>
          <w:lang w:val="en-GB"/>
        </w:rPr>
        <w:t>a quality service experience.</w:t>
      </w:r>
      <w:r w:rsidR="00895F80" w:rsidRPr="009577CF">
        <w:rPr>
          <w:lang w:val="en-GB"/>
        </w:rPr>
        <w:t xml:space="preserve"> </w:t>
      </w:r>
    </w:p>
    <w:p w14:paraId="34182DCD" w14:textId="77777777" w:rsidR="007B69D6" w:rsidRPr="009577CF" w:rsidRDefault="007B69D6" w:rsidP="009936ED">
      <w:pPr>
        <w:pStyle w:val="BodyText"/>
        <w:rPr>
          <w:lang w:val="en-GB"/>
        </w:rPr>
      </w:pPr>
    </w:p>
    <w:p w14:paraId="1EA1E997" w14:textId="77777777" w:rsidR="007B69D6" w:rsidRPr="009577CF" w:rsidRDefault="007B69D6" w:rsidP="009936ED">
      <w:pPr>
        <w:pStyle w:val="BodyText"/>
        <w:rPr>
          <w:lang w:val="en-GB"/>
        </w:rPr>
      </w:pPr>
    </w:p>
    <w:p w14:paraId="448B10B5" w14:textId="51D6156D" w:rsidR="007B69D6" w:rsidRPr="005100BB" w:rsidRDefault="00826EF6" w:rsidP="00CF5E39">
      <w:pPr>
        <w:pStyle w:val="casehead1"/>
        <w:rPr>
          <w:szCs w:val="20"/>
          <w:lang w:val="en-GB"/>
        </w:rPr>
      </w:pPr>
      <w:r w:rsidRPr="005100BB">
        <w:rPr>
          <w:szCs w:val="20"/>
          <w:lang w:val="en-GB"/>
        </w:rPr>
        <w:t xml:space="preserve">THE </w:t>
      </w:r>
      <w:r w:rsidR="007B69D6" w:rsidRPr="005100BB">
        <w:rPr>
          <w:szCs w:val="20"/>
          <w:lang w:val="en-GB"/>
        </w:rPr>
        <w:t>Sparkle Collection</w:t>
      </w:r>
    </w:p>
    <w:p w14:paraId="260CDB34" w14:textId="77777777" w:rsidR="007B69D6" w:rsidRPr="005155C2" w:rsidRDefault="007B69D6" w:rsidP="009936ED">
      <w:pPr>
        <w:pStyle w:val="BodyText"/>
        <w:rPr>
          <w:sz w:val="18"/>
          <w:szCs w:val="18"/>
          <w:lang w:val="en-GB"/>
        </w:rPr>
      </w:pPr>
    </w:p>
    <w:p w14:paraId="56421F7F" w14:textId="26DDB9FE" w:rsidR="00193A03" w:rsidRPr="009577CF" w:rsidRDefault="00193A03" w:rsidP="009936ED">
      <w:pPr>
        <w:pStyle w:val="BodyText"/>
        <w:rPr>
          <w:lang w:val="en-GB"/>
        </w:rPr>
      </w:pPr>
      <w:r w:rsidRPr="009577CF">
        <w:rPr>
          <w:lang w:val="en-GB"/>
        </w:rPr>
        <w:t xml:space="preserve">Launched in </w:t>
      </w:r>
      <w:r w:rsidR="00826EF6">
        <w:rPr>
          <w:lang w:val="en-GB"/>
        </w:rPr>
        <w:t>s</w:t>
      </w:r>
      <w:r w:rsidRPr="009577CF">
        <w:rPr>
          <w:lang w:val="en-GB"/>
        </w:rPr>
        <w:t xml:space="preserve">pring 2011 with the Sparkle Ball earring, the Sparkle Collection </w:t>
      </w:r>
      <w:r w:rsidR="00A62ECB">
        <w:rPr>
          <w:lang w:val="en-GB"/>
        </w:rPr>
        <w:t xml:space="preserve">had </w:t>
      </w:r>
      <w:r w:rsidRPr="009577CF">
        <w:rPr>
          <w:lang w:val="en-GB"/>
        </w:rPr>
        <w:t>quickly bec</w:t>
      </w:r>
      <w:r w:rsidR="00A62ECB">
        <w:rPr>
          <w:lang w:val="en-GB"/>
        </w:rPr>
        <w:t>o</w:t>
      </w:r>
      <w:r w:rsidRPr="009577CF">
        <w:rPr>
          <w:lang w:val="en-GB"/>
        </w:rPr>
        <w:t xml:space="preserve">me </w:t>
      </w:r>
      <w:r w:rsidR="00826EF6">
        <w:rPr>
          <w:lang w:val="en-GB"/>
        </w:rPr>
        <w:t>(</w:t>
      </w:r>
      <w:r w:rsidRPr="009577CF">
        <w:rPr>
          <w:lang w:val="en-GB"/>
        </w:rPr>
        <w:t>and</w:t>
      </w:r>
      <w:r w:rsidR="00826EF6">
        <w:rPr>
          <w:lang w:val="en-GB"/>
        </w:rPr>
        <w:t xml:space="preserve"> </w:t>
      </w:r>
      <w:r w:rsidRPr="009577CF">
        <w:rPr>
          <w:lang w:val="en-GB"/>
        </w:rPr>
        <w:t>remained</w:t>
      </w:r>
      <w:r w:rsidR="00826EF6">
        <w:rPr>
          <w:lang w:val="en-GB"/>
        </w:rPr>
        <w:t>)</w:t>
      </w:r>
      <w:r w:rsidRPr="009577CF">
        <w:rPr>
          <w:lang w:val="en-GB"/>
        </w:rPr>
        <w:t xml:space="preserve"> a mainstay of the H&amp;B brand</w:t>
      </w:r>
      <w:r w:rsidR="00826EF6">
        <w:rPr>
          <w:lang w:val="en-GB"/>
        </w:rPr>
        <w:t>,</w:t>
      </w:r>
      <w:r w:rsidRPr="009577CF">
        <w:rPr>
          <w:lang w:val="en-GB"/>
        </w:rPr>
        <w:t xml:space="preserve"> accounting for more than 70 per</w:t>
      </w:r>
      <w:r w:rsidR="00826EF6">
        <w:rPr>
          <w:lang w:val="en-GB"/>
        </w:rPr>
        <w:t xml:space="preserve"> </w:t>
      </w:r>
      <w:r w:rsidRPr="009577CF">
        <w:rPr>
          <w:lang w:val="en-GB"/>
        </w:rPr>
        <w:t>cent of the</w:t>
      </w:r>
      <w:r w:rsidR="00826EF6">
        <w:rPr>
          <w:lang w:val="en-GB"/>
        </w:rPr>
        <w:t xml:space="preserve"> company’s</w:t>
      </w:r>
      <w:r w:rsidRPr="009577CF">
        <w:rPr>
          <w:lang w:val="en-GB"/>
        </w:rPr>
        <w:t xml:space="preserve"> total annual revenue. The collection had expanded to include necklaces, bracelets, charms, and earrings. Mielke noted, </w:t>
      </w:r>
      <w:r w:rsidR="001718DC" w:rsidRPr="009577CF">
        <w:rPr>
          <w:lang w:val="en-GB"/>
        </w:rPr>
        <w:t>“</w:t>
      </w:r>
      <w:r w:rsidRPr="009577CF">
        <w:rPr>
          <w:lang w:val="en-GB"/>
        </w:rPr>
        <w:t>Sparkle is the doorway into our brand, but we absolutely need to have product offerings beyond Sparkle and we need to develop more products like Sparkle.” Sparkle Ball earrings were available in three sizes and were priced from $50</w:t>
      </w:r>
      <w:r w:rsidR="00826EF6">
        <w:rPr>
          <w:lang w:val="en-GB"/>
        </w:rPr>
        <w:t>–</w:t>
      </w:r>
      <w:r w:rsidRPr="009577CF">
        <w:rPr>
          <w:lang w:val="en-GB"/>
        </w:rPr>
        <w:t xml:space="preserve">$80, while items in the Sparkle </w:t>
      </w:r>
      <w:r w:rsidR="003D0521">
        <w:rPr>
          <w:lang w:val="en-GB"/>
        </w:rPr>
        <w:t>C</w:t>
      </w:r>
      <w:r w:rsidRPr="009577CF">
        <w:rPr>
          <w:lang w:val="en-GB"/>
        </w:rPr>
        <w:t>ollection ranged from $50</w:t>
      </w:r>
      <w:r w:rsidR="00826EF6">
        <w:rPr>
          <w:lang w:val="en-GB"/>
        </w:rPr>
        <w:t>–</w:t>
      </w:r>
      <w:r w:rsidRPr="009577CF">
        <w:rPr>
          <w:lang w:val="en-GB"/>
        </w:rPr>
        <w:t xml:space="preserve">$265. </w:t>
      </w:r>
    </w:p>
    <w:p w14:paraId="41BF4186" w14:textId="77777777" w:rsidR="00193A03" w:rsidRPr="009577CF" w:rsidRDefault="00193A03" w:rsidP="009936ED">
      <w:pPr>
        <w:pStyle w:val="BodyText"/>
        <w:rPr>
          <w:lang w:val="en-GB"/>
        </w:rPr>
      </w:pPr>
    </w:p>
    <w:p w14:paraId="61418B38" w14:textId="1CAE64DE" w:rsidR="00193A03" w:rsidRDefault="00193A03" w:rsidP="009936ED">
      <w:pPr>
        <w:pStyle w:val="BodyText"/>
        <w:rPr>
          <w:lang w:val="en-GB"/>
        </w:rPr>
      </w:pPr>
      <w:r w:rsidRPr="009577CF">
        <w:rPr>
          <w:lang w:val="en-GB"/>
        </w:rPr>
        <w:t xml:space="preserve">The Sparkle Ball had become an iconic </w:t>
      </w:r>
      <w:r w:rsidR="00826EF6">
        <w:rPr>
          <w:lang w:val="en-GB"/>
        </w:rPr>
        <w:t>product in</w:t>
      </w:r>
      <w:r w:rsidRPr="009577CF">
        <w:rPr>
          <w:lang w:val="en-GB"/>
        </w:rPr>
        <w:t xml:space="preserve"> the H&amp;B brand</w:t>
      </w:r>
      <w:r w:rsidR="001718DC" w:rsidRPr="009577CF">
        <w:rPr>
          <w:lang w:val="en-GB"/>
        </w:rPr>
        <w:t xml:space="preserve">. </w:t>
      </w:r>
      <w:r w:rsidR="002105AB" w:rsidRPr="009577CF">
        <w:rPr>
          <w:lang w:val="en-GB"/>
        </w:rPr>
        <w:t>Mielke</w:t>
      </w:r>
      <w:r w:rsidR="001718DC" w:rsidRPr="009577CF">
        <w:rPr>
          <w:lang w:val="en-GB"/>
        </w:rPr>
        <w:t xml:space="preserve"> noted:</w:t>
      </w:r>
      <w:r w:rsidRPr="009577CF">
        <w:rPr>
          <w:lang w:val="en-GB"/>
        </w:rPr>
        <w:t xml:space="preserve"> “It</w:t>
      </w:r>
      <w:r w:rsidR="00826EF6">
        <w:rPr>
          <w:lang w:val="en-GB"/>
        </w:rPr>
        <w:t>’</w:t>
      </w:r>
      <w:r w:rsidRPr="009577CF">
        <w:rPr>
          <w:lang w:val="en-GB"/>
        </w:rPr>
        <w:t xml:space="preserve">s also a beautiful product that you can wear every day and then it gets other people noticing the jewellery and commenting on it and then they talk about Hillberg &amp; Berk.” The Sparkle Ball earring had proved a powerful tool for branding the company, </w:t>
      </w:r>
      <w:r w:rsidR="001718DC" w:rsidRPr="009577CF">
        <w:rPr>
          <w:lang w:val="en-GB"/>
        </w:rPr>
        <w:t xml:space="preserve">and </w:t>
      </w:r>
      <w:r w:rsidRPr="009577CF">
        <w:rPr>
          <w:lang w:val="en-GB"/>
        </w:rPr>
        <w:t xml:space="preserve">the earrings </w:t>
      </w:r>
      <w:r w:rsidR="003B6408" w:rsidRPr="009577CF">
        <w:rPr>
          <w:lang w:val="en-GB"/>
        </w:rPr>
        <w:t>had been</w:t>
      </w:r>
      <w:r w:rsidRPr="009577CF">
        <w:rPr>
          <w:lang w:val="en-GB"/>
        </w:rPr>
        <w:t xml:space="preserve"> an official product of the Canadian Olympic team during the 2016 Rio Summer Olympic and Paralympic Games. Throughout the games</w:t>
      </w:r>
      <w:r w:rsidR="00826EF6">
        <w:rPr>
          <w:lang w:val="en-GB"/>
        </w:rPr>
        <w:t>,</w:t>
      </w:r>
      <w:r w:rsidRPr="009577CF">
        <w:rPr>
          <w:lang w:val="en-GB"/>
        </w:rPr>
        <w:t xml:space="preserve"> female athletes wore the earrings, both in competition and at notable events</w:t>
      </w:r>
      <w:r w:rsidR="00766BCB">
        <w:rPr>
          <w:lang w:val="en-GB"/>
        </w:rPr>
        <w:t>,</w:t>
      </w:r>
      <w:r w:rsidRPr="009577CF">
        <w:rPr>
          <w:lang w:val="en-GB"/>
        </w:rPr>
        <w:t xml:space="preserve"> including the opening ceremony. Sparkle Ball earrings were also part of an official partnership with the Canadian Football League (CFL)</w:t>
      </w:r>
      <w:r w:rsidR="003B6408" w:rsidRPr="009577CF">
        <w:rPr>
          <w:lang w:val="en-GB"/>
        </w:rPr>
        <w:t xml:space="preserve"> in that t</w:t>
      </w:r>
      <w:r w:rsidRPr="009577CF">
        <w:rPr>
          <w:lang w:val="en-GB"/>
        </w:rPr>
        <w:t xml:space="preserve">he company had designed custom coloured earrings that were worn by each CFL cheerleading team during games. H&amp;B also ran complementary promotional activities during CFL games in Edmonton and Regina. </w:t>
      </w:r>
    </w:p>
    <w:p w14:paraId="6A037B00" w14:textId="77777777" w:rsidR="005155C2" w:rsidRPr="009577CF" w:rsidRDefault="005155C2" w:rsidP="009936ED">
      <w:pPr>
        <w:pStyle w:val="BodyText"/>
        <w:rPr>
          <w:lang w:val="en-GB"/>
        </w:rPr>
      </w:pPr>
    </w:p>
    <w:p w14:paraId="0E6DA1BE" w14:textId="5C7DDA00" w:rsidR="00193A03" w:rsidRPr="009577CF" w:rsidRDefault="00193A03" w:rsidP="009936ED">
      <w:pPr>
        <w:pStyle w:val="BodyText"/>
        <w:rPr>
          <w:lang w:val="en-GB"/>
        </w:rPr>
      </w:pPr>
      <w:r w:rsidRPr="009577CF">
        <w:rPr>
          <w:lang w:val="en-GB"/>
        </w:rPr>
        <w:t xml:space="preserve">While Mielke celebrated the success of the Sparkle Collection, she remained aware that having </w:t>
      </w:r>
      <w:r w:rsidR="00766BCB">
        <w:rPr>
          <w:lang w:val="en-GB"/>
        </w:rPr>
        <w:t xml:space="preserve">a </w:t>
      </w:r>
      <w:r w:rsidRPr="009577CF">
        <w:rPr>
          <w:lang w:val="en-GB"/>
        </w:rPr>
        <w:t xml:space="preserve">hugely successful product </w:t>
      </w:r>
      <w:r w:rsidR="00766BCB">
        <w:rPr>
          <w:lang w:val="en-GB"/>
        </w:rPr>
        <w:t>led to</w:t>
      </w:r>
      <w:r w:rsidR="00766BCB" w:rsidRPr="009577CF">
        <w:rPr>
          <w:lang w:val="en-GB"/>
        </w:rPr>
        <w:t xml:space="preserve"> </w:t>
      </w:r>
      <w:r w:rsidRPr="009577CF">
        <w:rPr>
          <w:lang w:val="en-GB"/>
        </w:rPr>
        <w:t>a multitude of questions on how to proceed: “It</w:t>
      </w:r>
      <w:r w:rsidR="00766BCB">
        <w:rPr>
          <w:lang w:val="en-GB"/>
        </w:rPr>
        <w:t>’</w:t>
      </w:r>
      <w:r w:rsidRPr="009577CF">
        <w:rPr>
          <w:lang w:val="en-GB"/>
        </w:rPr>
        <w:t>s a good opportunity because we know that we are on to a home-run product but, on the other hand, it</w:t>
      </w:r>
      <w:r w:rsidR="00766BCB">
        <w:rPr>
          <w:lang w:val="en-GB"/>
        </w:rPr>
        <w:t>’</w:t>
      </w:r>
      <w:r w:rsidRPr="009577CF">
        <w:rPr>
          <w:lang w:val="en-GB"/>
        </w:rPr>
        <w:t>s a big liability or stress that our company has because so much of our growth and expansion is tied up in the success of one product.”</w:t>
      </w:r>
    </w:p>
    <w:p w14:paraId="014CBF83" w14:textId="69303B79" w:rsidR="007B69D6" w:rsidRPr="005100BB" w:rsidRDefault="00766BCB" w:rsidP="00CF5E39">
      <w:pPr>
        <w:pStyle w:val="casehead1"/>
        <w:rPr>
          <w:szCs w:val="20"/>
          <w:lang w:val="en-GB"/>
        </w:rPr>
      </w:pPr>
      <w:r w:rsidRPr="005100BB">
        <w:rPr>
          <w:szCs w:val="20"/>
          <w:lang w:val="en-GB"/>
        </w:rPr>
        <w:lastRenderedPageBreak/>
        <w:t xml:space="preserve">THE </w:t>
      </w:r>
      <w:r w:rsidR="007B69D6" w:rsidRPr="005100BB">
        <w:rPr>
          <w:szCs w:val="20"/>
          <w:lang w:val="en-GB"/>
        </w:rPr>
        <w:t>Product</w:t>
      </w:r>
    </w:p>
    <w:p w14:paraId="785BB7C3" w14:textId="77777777" w:rsidR="007B69D6" w:rsidRPr="005155C2" w:rsidRDefault="007B69D6" w:rsidP="009936ED">
      <w:pPr>
        <w:pStyle w:val="BodyText"/>
        <w:rPr>
          <w:sz w:val="18"/>
          <w:szCs w:val="18"/>
          <w:lang w:val="en-GB"/>
        </w:rPr>
      </w:pPr>
    </w:p>
    <w:p w14:paraId="71A5B65D" w14:textId="2335117A" w:rsidR="00193A03" w:rsidRPr="009577CF" w:rsidRDefault="00193A03" w:rsidP="009936ED">
      <w:pPr>
        <w:pStyle w:val="BodyText"/>
        <w:rPr>
          <w:lang w:val="en-GB"/>
        </w:rPr>
      </w:pPr>
      <w:r w:rsidRPr="009577CF">
        <w:rPr>
          <w:lang w:val="en-GB"/>
        </w:rPr>
        <w:t xml:space="preserve">Beyond </w:t>
      </w:r>
      <w:r w:rsidR="00766BCB">
        <w:rPr>
          <w:lang w:val="en-GB"/>
        </w:rPr>
        <w:t xml:space="preserve">the </w:t>
      </w:r>
      <w:r w:rsidRPr="009577CF">
        <w:rPr>
          <w:lang w:val="en-GB"/>
        </w:rPr>
        <w:t>Sparkle</w:t>
      </w:r>
      <w:r w:rsidR="00766BCB">
        <w:rPr>
          <w:lang w:val="en-GB"/>
        </w:rPr>
        <w:t xml:space="preserve"> </w:t>
      </w:r>
      <w:r w:rsidR="003D0521">
        <w:rPr>
          <w:lang w:val="en-GB"/>
        </w:rPr>
        <w:t>C</w:t>
      </w:r>
      <w:r w:rsidR="00766BCB">
        <w:rPr>
          <w:lang w:val="en-GB"/>
        </w:rPr>
        <w:t>ollection</w:t>
      </w:r>
      <w:r w:rsidRPr="009577CF">
        <w:rPr>
          <w:lang w:val="en-GB"/>
        </w:rPr>
        <w:t xml:space="preserve">, H&amp;B continued to grow and innovate </w:t>
      </w:r>
      <w:r w:rsidR="00766BCB">
        <w:rPr>
          <w:lang w:val="en-GB"/>
        </w:rPr>
        <w:t>its</w:t>
      </w:r>
      <w:r w:rsidR="00766BCB" w:rsidRPr="009577CF">
        <w:rPr>
          <w:lang w:val="en-GB"/>
        </w:rPr>
        <w:t xml:space="preserve"> </w:t>
      </w:r>
      <w:r w:rsidRPr="009577CF">
        <w:rPr>
          <w:lang w:val="en-GB"/>
        </w:rPr>
        <w:t xml:space="preserve">core collection and develop new lines. One such innovation was a line designed </w:t>
      </w:r>
      <w:r w:rsidR="00766BCB">
        <w:rPr>
          <w:lang w:val="en-GB"/>
        </w:rPr>
        <w:t xml:space="preserve">in collaboration </w:t>
      </w:r>
      <w:r w:rsidRPr="009577CF">
        <w:rPr>
          <w:lang w:val="en-GB"/>
        </w:rPr>
        <w:t>with Canadian Olympic gold medal</w:t>
      </w:r>
      <w:r w:rsidR="00766BCB">
        <w:rPr>
          <w:lang w:val="en-GB"/>
        </w:rPr>
        <w:t>l</w:t>
      </w:r>
      <w:r w:rsidRPr="009577CF">
        <w:rPr>
          <w:lang w:val="en-GB"/>
        </w:rPr>
        <w:t>ist</w:t>
      </w:r>
      <w:r w:rsidR="00A62ECB">
        <w:rPr>
          <w:lang w:val="en-GB"/>
        </w:rPr>
        <w:t xml:space="preserve"> </w:t>
      </w:r>
      <w:r w:rsidRPr="009577CF">
        <w:rPr>
          <w:lang w:val="en-GB"/>
        </w:rPr>
        <w:t xml:space="preserve">ice dancer Tessa Virtue. The line was designed for and marketed to a younger, edgier audience and offered </w:t>
      </w:r>
      <w:r w:rsidR="003B6408" w:rsidRPr="009577CF">
        <w:rPr>
          <w:lang w:val="en-GB"/>
        </w:rPr>
        <w:t xml:space="preserve">at </w:t>
      </w:r>
      <w:r w:rsidRPr="009577CF">
        <w:rPr>
          <w:lang w:val="en-GB"/>
        </w:rPr>
        <w:t>a more affordable price point, with pr</w:t>
      </w:r>
      <w:r w:rsidR="003B6408" w:rsidRPr="009577CF">
        <w:rPr>
          <w:lang w:val="en-GB"/>
        </w:rPr>
        <w:t>ices</w:t>
      </w:r>
      <w:r w:rsidR="004935C2" w:rsidRPr="009577CF">
        <w:rPr>
          <w:lang w:val="en-GB"/>
        </w:rPr>
        <w:t xml:space="preserve"> ranging from $65</w:t>
      </w:r>
      <w:r w:rsidR="00766BCB">
        <w:rPr>
          <w:lang w:val="en-GB"/>
        </w:rPr>
        <w:t>–</w:t>
      </w:r>
      <w:r w:rsidRPr="009577CF">
        <w:rPr>
          <w:lang w:val="en-GB"/>
        </w:rPr>
        <w:t xml:space="preserve">$200. The line had seen success and had enabled H&amp;B to connect with a wider consumer group. </w:t>
      </w:r>
    </w:p>
    <w:p w14:paraId="7D520332" w14:textId="77777777" w:rsidR="00193A03" w:rsidRPr="000B0BA1" w:rsidRDefault="00193A03" w:rsidP="009936ED">
      <w:pPr>
        <w:pStyle w:val="BodyText"/>
        <w:rPr>
          <w:sz w:val="18"/>
          <w:szCs w:val="18"/>
          <w:lang w:val="en-GB"/>
        </w:rPr>
      </w:pPr>
    </w:p>
    <w:p w14:paraId="4E518748" w14:textId="1CDBC293" w:rsidR="00193A03" w:rsidRPr="009577CF" w:rsidRDefault="00193A03" w:rsidP="009936ED">
      <w:pPr>
        <w:pStyle w:val="BodyText"/>
        <w:rPr>
          <w:lang w:val="en-GB"/>
        </w:rPr>
      </w:pPr>
      <w:r w:rsidRPr="009577CF">
        <w:rPr>
          <w:lang w:val="en-GB"/>
        </w:rPr>
        <w:t xml:space="preserve">H&amp;B also had a core collection of products that were released twice a year, one collection for </w:t>
      </w:r>
      <w:r w:rsidR="00766BCB">
        <w:rPr>
          <w:lang w:val="en-GB"/>
        </w:rPr>
        <w:t>s</w:t>
      </w:r>
      <w:r w:rsidRPr="009577CF">
        <w:rPr>
          <w:lang w:val="en-GB"/>
        </w:rPr>
        <w:t>pring</w:t>
      </w:r>
      <w:r w:rsidR="00766BCB">
        <w:rPr>
          <w:lang w:val="en-GB"/>
        </w:rPr>
        <w:t>–s</w:t>
      </w:r>
      <w:r w:rsidRPr="009577CF">
        <w:rPr>
          <w:lang w:val="en-GB"/>
        </w:rPr>
        <w:t xml:space="preserve">ummer and one for </w:t>
      </w:r>
      <w:r w:rsidR="00766BCB">
        <w:rPr>
          <w:lang w:val="en-GB"/>
        </w:rPr>
        <w:t>a</w:t>
      </w:r>
      <w:r w:rsidRPr="009577CF">
        <w:rPr>
          <w:lang w:val="en-GB"/>
        </w:rPr>
        <w:t>utumn</w:t>
      </w:r>
      <w:r w:rsidR="00766BCB">
        <w:rPr>
          <w:lang w:val="en-GB"/>
        </w:rPr>
        <w:t>–w</w:t>
      </w:r>
      <w:r w:rsidRPr="009577CF">
        <w:rPr>
          <w:lang w:val="en-GB"/>
        </w:rPr>
        <w:t>inter. These collections offered a wide array of necklaces, earrings, rings</w:t>
      </w:r>
      <w:r w:rsidR="00766BCB">
        <w:rPr>
          <w:lang w:val="en-GB"/>
        </w:rPr>
        <w:t>,</w:t>
      </w:r>
      <w:r w:rsidRPr="009577CF">
        <w:rPr>
          <w:lang w:val="en-GB"/>
        </w:rPr>
        <w:t xml:space="preserve"> and bracelets. These products were made with high</w:t>
      </w:r>
      <w:r w:rsidR="00766BCB">
        <w:rPr>
          <w:lang w:val="en-GB"/>
        </w:rPr>
        <w:t>-</w:t>
      </w:r>
      <w:r w:rsidRPr="009577CF">
        <w:rPr>
          <w:lang w:val="en-GB"/>
        </w:rPr>
        <w:t xml:space="preserve">quality materials </w:t>
      </w:r>
      <w:r w:rsidR="00766BCB">
        <w:rPr>
          <w:lang w:val="en-GB"/>
        </w:rPr>
        <w:t>such as</w:t>
      </w:r>
      <w:r w:rsidR="00766BCB" w:rsidRPr="009577CF">
        <w:rPr>
          <w:lang w:val="en-GB"/>
        </w:rPr>
        <w:t xml:space="preserve"> </w:t>
      </w:r>
      <w:r w:rsidRPr="009577CF">
        <w:rPr>
          <w:lang w:val="en-GB"/>
        </w:rPr>
        <w:t>semi-precious gemstones, Swarovski crystal</w:t>
      </w:r>
      <w:r w:rsidR="00766BCB">
        <w:rPr>
          <w:lang w:val="en-GB"/>
        </w:rPr>
        <w:t>,</w:t>
      </w:r>
      <w:r w:rsidRPr="009577CF">
        <w:rPr>
          <w:lang w:val="en-GB"/>
        </w:rPr>
        <w:t xml:space="preserve"> and sterling silver. The earrings in these lines typically ranged from $65 to $245, bracelets from $75 to $265, necklaces from $75 to $1</w:t>
      </w:r>
      <w:r w:rsidR="00766BCB">
        <w:rPr>
          <w:lang w:val="en-GB"/>
        </w:rPr>
        <w:t>,</w:t>
      </w:r>
      <w:r w:rsidRPr="009577CF">
        <w:rPr>
          <w:lang w:val="en-GB"/>
        </w:rPr>
        <w:t>500</w:t>
      </w:r>
      <w:r w:rsidR="00766BCB">
        <w:rPr>
          <w:lang w:val="en-GB"/>
        </w:rPr>
        <w:t>,</w:t>
      </w:r>
      <w:r w:rsidRPr="009577CF">
        <w:rPr>
          <w:lang w:val="en-GB"/>
        </w:rPr>
        <w:t xml:space="preserve"> and rings from $65 to $140. </w:t>
      </w:r>
    </w:p>
    <w:p w14:paraId="28BFA136" w14:textId="77777777" w:rsidR="00193A03" w:rsidRPr="000B0BA1" w:rsidRDefault="00193A03" w:rsidP="009936ED">
      <w:pPr>
        <w:pStyle w:val="BodyText"/>
        <w:rPr>
          <w:sz w:val="18"/>
          <w:szCs w:val="18"/>
          <w:lang w:val="en-GB"/>
        </w:rPr>
      </w:pPr>
    </w:p>
    <w:p w14:paraId="5A98561A" w14:textId="2F2B7A44" w:rsidR="00193A03" w:rsidRPr="009577CF" w:rsidRDefault="00193A03" w:rsidP="009936ED">
      <w:pPr>
        <w:pStyle w:val="BodyText"/>
        <w:rPr>
          <w:lang w:val="en-GB"/>
        </w:rPr>
      </w:pPr>
      <w:r w:rsidRPr="009577CF">
        <w:rPr>
          <w:lang w:val="en-GB"/>
        </w:rPr>
        <w:t xml:space="preserve">The Tacori diamond collection was a departure from </w:t>
      </w:r>
      <w:r w:rsidR="00766BCB">
        <w:rPr>
          <w:lang w:val="en-GB"/>
        </w:rPr>
        <w:t>H&amp;B’s</w:t>
      </w:r>
      <w:r w:rsidR="00766BCB" w:rsidRPr="009577CF">
        <w:rPr>
          <w:lang w:val="en-GB"/>
        </w:rPr>
        <w:t xml:space="preserve"> </w:t>
      </w:r>
      <w:r w:rsidRPr="009577CF">
        <w:rPr>
          <w:lang w:val="en-GB"/>
        </w:rPr>
        <w:t>other collections in that it was designed by Tacori but distributed by H&amp;B. Tacori was a family</w:t>
      </w:r>
      <w:r w:rsidR="00766BCB">
        <w:rPr>
          <w:lang w:val="en-GB"/>
        </w:rPr>
        <w:t>-</w:t>
      </w:r>
      <w:r w:rsidRPr="009577CF">
        <w:rPr>
          <w:lang w:val="en-GB"/>
        </w:rPr>
        <w:t>owned, luxury jewellery designer specializing in diamond jewellery. It was most known for its bridal and engagement lines. Tacori’s products were custom designed and handcrafted in California</w:t>
      </w:r>
      <w:r w:rsidR="00766BCB">
        <w:rPr>
          <w:lang w:val="en-GB"/>
        </w:rPr>
        <w:t>,</w:t>
      </w:r>
      <w:r w:rsidRPr="009577CF">
        <w:rPr>
          <w:lang w:val="en-GB"/>
        </w:rPr>
        <w:t xml:space="preserve"> and commanded a premium price. Most ring settings retailed for thousands of dollars before the addition of a </w:t>
      </w:r>
      <w:r w:rsidR="00766BCB" w:rsidRPr="009577CF">
        <w:rPr>
          <w:lang w:val="en-GB"/>
        </w:rPr>
        <w:t>cent</w:t>
      </w:r>
      <w:r w:rsidR="00766BCB">
        <w:rPr>
          <w:lang w:val="en-GB"/>
        </w:rPr>
        <w:t>re</w:t>
      </w:r>
      <w:r w:rsidR="00766BCB" w:rsidRPr="009577CF">
        <w:rPr>
          <w:lang w:val="en-GB"/>
        </w:rPr>
        <w:t xml:space="preserve"> </w:t>
      </w:r>
      <w:r w:rsidRPr="009577CF">
        <w:rPr>
          <w:lang w:val="en-GB"/>
        </w:rPr>
        <w:t xml:space="preserve">stone. Tacori primarily retailed through partnerships, </w:t>
      </w:r>
      <w:r w:rsidR="00766BCB">
        <w:rPr>
          <w:lang w:val="en-GB"/>
        </w:rPr>
        <w:t xml:space="preserve">such as its </w:t>
      </w:r>
      <w:r w:rsidR="00EC6962">
        <w:rPr>
          <w:lang w:val="en-GB"/>
        </w:rPr>
        <w:t>collaboration</w:t>
      </w:r>
      <w:r w:rsidRPr="009577CF">
        <w:rPr>
          <w:lang w:val="en-GB"/>
        </w:rPr>
        <w:t xml:space="preserve"> with H&amp;B. The partnership was chosen by Mielke to be able to better understand what it meant to sell diamonds and high-end engagement, wedding</w:t>
      </w:r>
      <w:r w:rsidR="00766BCB">
        <w:rPr>
          <w:lang w:val="en-GB"/>
        </w:rPr>
        <w:t>,</w:t>
      </w:r>
      <w:r w:rsidRPr="009577CF">
        <w:rPr>
          <w:lang w:val="en-GB"/>
        </w:rPr>
        <w:t xml:space="preserve"> and anniversary jewellery. Mielke saw value in this relationship in that it allowed H&amp;B to offer diamond jewellery without yet committing to fine jewellery design and diamond inventory management.</w:t>
      </w:r>
      <w:r w:rsidR="009577CF" w:rsidRPr="009577CF">
        <w:rPr>
          <w:lang w:val="en-GB"/>
        </w:rPr>
        <w:t xml:space="preserve"> </w:t>
      </w:r>
    </w:p>
    <w:p w14:paraId="212C1A35" w14:textId="77777777" w:rsidR="00193A03" w:rsidRPr="000B0BA1" w:rsidRDefault="00193A03" w:rsidP="009936ED">
      <w:pPr>
        <w:pStyle w:val="BodyText"/>
        <w:rPr>
          <w:sz w:val="18"/>
          <w:szCs w:val="18"/>
          <w:lang w:val="en-GB"/>
        </w:rPr>
      </w:pPr>
    </w:p>
    <w:p w14:paraId="33F63946" w14:textId="77777777" w:rsidR="007B69D6" w:rsidRPr="000B0BA1" w:rsidRDefault="007B69D6" w:rsidP="009936ED">
      <w:pPr>
        <w:pStyle w:val="BodyText"/>
        <w:rPr>
          <w:sz w:val="18"/>
          <w:szCs w:val="18"/>
          <w:lang w:val="en-GB"/>
        </w:rPr>
      </w:pPr>
    </w:p>
    <w:p w14:paraId="07FFF9FD" w14:textId="2876246F" w:rsidR="007B69D6" w:rsidRPr="005100BB" w:rsidRDefault="003D0521" w:rsidP="00CF5E39">
      <w:pPr>
        <w:pStyle w:val="casehead1"/>
        <w:rPr>
          <w:szCs w:val="20"/>
          <w:lang w:val="en-GB"/>
        </w:rPr>
      </w:pPr>
      <w:r w:rsidRPr="005100BB">
        <w:rPr>
          <w:szCs w:val="20"/>
          <w:lang w:val="en-GB"/>
        </w:rPr>
        <w:t xml:space="preserve">THE </w:t>
      </w:r>
      <w:r w:rsidR="007B69D6" w:rsidRPr="005100BB">
        <w:rPr>
          <w:szCs w:val="20"/>
          <w:lang w:val="en-GB"/>
        </w:rPr>
        <w:t>Supply Chain</w:t>
      </w:r>
    </w:p>
    <w:p w14:paraId="0226244C" w14:textId="77777777" w:rsidR="007B69D6" w:rsidRPr="000B0BA1" w:rsidRDefault="007B69D6" w:rsidP="009936ED">
      <w:pPr>
        <w:pStyle w:val="BodyText"/>
        <w:rPr>
          <w:sz w:val="18"/>
          <w:szCs w:val="18"/>
          <w:lang w:val="en-GB"/>
        </w:rPr>
      </w:pPr>
    </w:p>
    <w:p w14:paraId="0C4B32BB" w14:textId="31FE4338" w:rsidR="00193A03" w:rsidRPr="009577CF" w:rsidRDefault="00193A03" w:rsidP="009936ED">
      <w:pPr>
        <w:pStyle w:val="BodyText"/>
        <w:rPr>
          <w:lang w:val="en-GB"/>
        </w:rPr>
      </w:pPr>
      <w:r w:rsidRPr="009577CF">
        <w:rPr>
          <w:lang w:val="en-GB"/>
        </w:rPr>
        <w:t>With the rap</w:t>
      </w:r>
      <w:r w:rsidR="004935C2" w:rsidRPr="009577CF">
        <w:rPr>
          <w:lang w:val="en-GB"/>
        </w:rPr>
        <w:t>id growth of the Sparkle Collection</w:t>
      </w:r>
      <w:r w:rsidRPr="009577CF">
        <w:rPr>
          <w:lang w:val="en-GB"/>
        </w:rPr>
        <w:t xml:space="preserve">, H&amp;B faced challenges with </w:t>
      </w:r>
      <w:r w:rsidR="003B6408" w:rsidRPr="009577CF">
        <w:rPr>
          <w:lang w:val="en-GB"/>
        </w:rPr>
        <w:t xml:space="preserve">its </w:t>
      </w:r>
      <w:r w:rsidRPr="009577CF">
        <w:rPr>
          <w:lang w:val="en-GB"/>
        </w:rPr>
        <w:t xml:space="preserve">supply chain. The company had sourced </w:t>
      </w:r>
      <w:r w:rsidR="003B6408" w:rsidRPr="009577CF">
        <w:rPr>
          <w:lang w:val="en-GB"/>
        </w:rPr>
        <w:t>its</w:t>
      </w:r>
      <w:r w:rsidRPr="009577CF">
        <w:rPr>
          <w:lang w:val="en-GB"/>
        </w:rPr>
        <w:t xml:space="preserve"> Sparkle Bal</w:t>
      </w:r>
      <w:r w:rsidR="004935C2" w:rsidRPr="009577CF">
        <w:rPr>
          <w:lang w:val="en-GB"/>
        </w:rPr>
        <w:t xml:space="preserve">ls </w:t>
      </w:r>
      <w:r w:rsidRPr="009577CF">
        <w:rPr>
          <w:lang w:val="en-GB"/>
        </w:rPr>
        <w:t xml:space="preserve">from a single offshore supplier; however, there had been difficulties with consistent replenishment and quality. As this product represented a high proportion of the company’s sales, it was critical for H&amp;B to find a way to improve this sourcing relationship. </w:t>
      </w:r>
    </w:p>
    <w:p w14:paraId="3BE5EF7A" w14:textId="77777777" w:rsidR="00193A03" w:rsidRPr="000B0BA1" w:rsidRDefault="00193A03" w:rsidP="009936ED">
      <w:pPr>
        <w:pStyle w:val="BodyText"/>
        <w:rPr>
          <w:sz w:val="18"/>
          <w:szCs w:val="18"/>
          <w:lang w:val="en-GB"/>
        </w:rPr>
      </w:pPr>
    </w:p>
    <w:p w14:paraId="7F20E6FC" w14:textId="0A9B05F8" w:rsidR="00193A03" w:rsidRPr="009577CF" w:rsidRDefault="00193A03" w:rsidP="009936ED">
      <w:pPr>
        <w:pStyle w:val="BodyText"/>
        <w:rPr>
          <w:lang w:val="en-GB"/>
        </w:rPr>
      </w:pPr>
      <w:r w:rsidRPr="009577CF">
        <w:rPr>
          <w:lang w:val="en-GB"/>
        </w:rPr>
        <w:t xml:space="preserve">The company was also looking at ways to innovate </w:t>
      </w:r>
      <w:r w:rsidR="003B6408" w:rsidRPr="009577CF">
        <w:rPr>
          <w:lang w:val="en-GB"/>
        </w:rPr>
        <w:t>its</w:t>
      </w:r>
      <w:r w:rsidRPr="009577CF">
        <w:rPr>
          <w:lang w:val="en-GB"/>
        </w:rPr>
        <w:t xml:space="preserve"> Sparkle Ball earrings to make them more durable and long</w:t>
      </w:r>
      <w:r w:rsidR="003B6408" w:rsidRPr="009577CF">
        <w:rPr>
          <w:lang w:val="en-GB"/>
        </w:rPr>
        <w:t>er</w:t>
      </w:r>
      <w:r w:rsidRPr="009577CF">
        <w:rPr>
          <w:lang w:val="en-GB"/>
        </w:rPr>
        <w:t xml:space="preserve"> lasting. Mielke noted that the earring was like a fine garment and </w:t>
      </w:r>
      <w:r w:rsidR="00BF03F8">
        <w:rPr>
          <w:lang w:val="en-GB"/>
        </w:rPr>
        <w:t>needed to</w:t>
      </w:r>
      <w:r w:rsidR="00BF03F8" w:rsidRPr="009577CF">
        <w:rPr>
          <w:lang w:val="en-GB"/>
        </w:rPr>
        <w:t xml:space="preserve"> </w:t>
      </w:r>
      <w:r w:rsidRPr="009577CF">
        <w:rPr>
          <w:lang w:val="en-GB"/>
        </w:rPr>
        <w:t>be treated as such</w:t>
      </w:r>
      <w:r w:rsidR="003B6408" w:rsidRPr="009577CF">
        <w:rPr>
          <w:lang w:val="en-GB"/>
        </w:rPr>
        <w:t>.</w:t>
      </w:r>
      <w:r w:rsidRPr="009577CF">
        <w:rPr>
          <w:lang w:val="en-GB"/>
        </w:rPr>
        <w:t xml:space="preserve"> </w:t>
      </w:r>
      <w:r w:rsidR="003B6408" w:rsidRPr="009577CF">
        <w:rPr>
          <w:lang w:val="en-GB"/>
        </w:rPr>
        <w:t>H</w:t>
      </w:r>
      <w:r w:rsidRPr="009577CF">
        <w:rPr>
          <w:lang w:val="en-GB"/>
        </w:rPr>
        <w:t xml:space="preserve">owever, </w:t>
      </w:r>
      <w:r w:rsidR="00BF03F8">
        <w:rPr>
          <w:lang w:val="en-GB"/>
        </w:rPr>
        <w:t xml:space="preserve">H&amp;B’s </w:t>
      </w:r>
      <w:r w:rsidRPr="009577CF">
        <w:rPr>
          <w:lang w:val="en-GB"/>
        </w:rPr>
        <w:t>customers had a perception that the product could be worn more frequently and in a variety of conditions. Therefore, instead of trying to change customers</w:t>
      </w:r>
      <w:r w:rsidR="00C7710D">
        <w:rPr>
          <w:lang w:val="en-GB"/>
        </w:rPr>
        <w:t>’</w:t>
      </w:r>
      <w:r w:rsidRPr="009577CF">
        <w:rPr>
          <w:lang w:val="en-GB"/>
        </w:rPr>
        <w:t xml:space="preserve"> behavio</w:t>
      </w:r>
      <w:r w:rsidR="00BF03F8">
        <w:rPr>
          <w:lang w:val="en-GB"/>
        </w:rPr>
        <w:t>u</w:t>
      </w:r>
      <w:r w:rsidRPr="009577CF">
        <w:rPr>
          <w:lang w:val="en-GB"/>
        </w:rPr>
        <w:t xml:space="preserve">r, H&amp;B launched an internal competition with the goal of designing a more robust Sparkle Ball. </w:t>
      </w:r>
    </w:p>
    <w:p w14:paraId="2C4A5400" w14:textId="77777777" w:rsidR="00193A03" w:rsidRPr="000B0BA1" w:rsidRDefault="00193A03" w:rsidP="009936ED">
      <w:pPr>
        <w:pStyle w:val="BodyText"/>
        <w:rPr>
          <w:sz w:val="18"/>
          <w:szCs w:val="18"/>
          <w:lang w:val="en-GB"/>
        </w:rPr>
      </w:pPr>
    </w:p>
    <w:p w14:paraId="3A85409E" w14:textId="77777777" w:rsidR="007B69D6" w:rsidRPr="000B0BA1" w:rsidRDefault="007B69D6" w:rsidP="009936ED">
      <w:pPr>
        <w:pStyle w:val="BodyText"/>
        <w:rPr>
          <w:sz w:val="18"/>
          <w:szCs w:val="18"/>
          <w:lang w:val="en-GB"/>
        </w:rPr>
      </w:pPr>
    </w:p>
    <w:p w14:paraId="250CC537" w14:textId="4E540AB7" w:rsidR="007B69D6" w:rsidRPr="005100BB" w:rsidRDefault="007B69D6" w:rsidP="00CF5E39">
      <w:pPr>
        <w:pStyle w:val="casehead1"/>
        <w:rPr>
          <w:szCs w:val="20"/>
          <w:lang w:val="en-GB"/>
        </w:rPr>
      </w:pPr>
      <w:r w:rsidRPr="005100BB">
        <w:rPr>
          <w:szCs w:val="20"/>
          <w:lang w:val="en-GB"/>
        </w:rPr>
        <w:t>Talent Resources</w:t>
      </w:r>
    </w:p>
    <w:p w14:paraId="75F6A452" w14:textId="77777777" w:rsidR="007B69D6" w:rsidRPr="005155C2" w:rsidRDefault="007B69D6" w:rsidP="009936ED">
      <w:pPr>
        <w:pStyle w:val="BodyText"/>
        <w:rPr>
          <w:sz w:val="18"/>
          <w:szCs w:val="18"/>
          <w:lang w:val="en-GB"/>
        </w:rPr>
      </w:pPr>
    </w:p>
    <w:p w14:paraId="120AD9B9" w14:textId="7840BDC7" w:rsidR="003B6408" w:rsidRPr="009577CF" w:rsidRDefault="00193A03" w:rsidP="009936ED">
      <w:pPr>
        <w:pStyle w:val="BodyText"/>
        <w:rPr>
          <w:lang w:val="en-GB"/>
        </w:rPr>
      </w:pPr>
      <w:r w:rsidRPr="009577CF">
        <w:rPr>
          <w:lang w:val="en-GB"/>
        </w:rPr>
        <w:t>To date, H&amp;B’s growth had been organic</w:t>
      </w:r>
      <w:r w:rsidR="00176471">
        <w:rPr>
          <w:lang w:val="en-GB"/>
        </w:rPr>
        <w:t>,</w:t>
      </w:r>
      <w:r w:rsidRPr="009577CF">
        <w:rPr>
          <w:lang w:val="en-GB"/>
        </w:rPr>
        <w:t xml:space="preserve"> and Mielke had built a loyal team that supported the company’s evolution. However, </w:t>
      </w:r>
      <w:r w:rsidR="00A62ECB">
        <w:rPr>
          <w:lang w:val="en-GB"/>
        </w:rPr>
        <w:t xml:space="preserve">Mielke had </w:t>
      </w:r>
      <w:r w:rsidRPr="009577CF">
        <w:rPr>
          <w:lang w:val="en-GB"/>
        </w:rPr>
        <w:t xml:space="preserve">one </w:t>
      </w:r>
      <w:r w:rsidR="00EC6962">
        <w:rPr>
          <w:lang w:val="en-GB"/>
        </w:rPr>
        <w:t xml:space="preserve">current </w:t>
      </w:r>
      <w:r w:rsidRPr="009577CF">
        <w:rPr>
          <w:lang w:val="en-GB"/>
        </w:rPr>
        <w:t xml:space="preserve">consideration for </w:t>
      </w:r>
      <w:r w:rsidR="00176471">
        <w:rPr>
          <w:lang w:val="en-GB"/>
        </w:rPr>
        <w:t>sourcing</w:t>
      </w:r>
      <w:r w:rsidR="00176471" w:rsidRPr="009577CF">
        <w:rPr>
          <w:lang w:val="en-GB"/>
        </w:rPr>
        <w:t xml:space="preserve"> </w:t>
      </w:r>
      <w:r w:rsidRPr="009577CF">
        <w:rPr>
          <w:lang w:val="en-GB"/>
        </w:rPr>
        <w:t xml:space="preserve">talent: </w:t>
      </w:r>
    </w:p>
    <w:p w14:paraId="0DDD6B1F" w14:textId="77777777" w:rsidR="001845B1" w:rsidRPr="005155C2" w:rsidRDefault="001845B1" w:rsidP="005155C2">
      <w:pPr>
        <w:pStyle w:val="BodyText"/>
        <w:rPr>
          <w:sz w:val="18"/>
          <w:szCs w:val="18"/>
        </w:rPr>
      </w:pPr>
    </w:p>
    <w:p w14:paraId="0F1B8B48" w14:textId="3BB64A11" w:rsidR="007B69D6" w:rsidRDefault="00193A03" w:rsidP="009936ED">
      <w:pPr>
        <w:pStyle w:val="BodyText"/>
        <w:ind w:left="720"/>
        <w:rPr>
          <w:lang w:val="en-GB"/>
        </w:rPr>
      </w:pPr>
      <w:r w:rsidRPr="009577CF">
        <w:rPr>
          <w:lang w:val="en-GB"/>
        </w:rPr>
        <w:t xml:space="preserve">Right now I am trying to figure out how we bring more experience into the company while still </w:t>
      </w:r>
      <w:bookmarkStart w:id="1" w:name="_GoBack"/>
      <w:bookmarkEnd w:id="1"/>
      <w:r w:rsidRPr="009577CF">
        <w:rPr>
          <w:lang w:val="en-GB"/>
        </w:rPr>
        <w:t>empowering the team within. So I would say</w:t>
      </w:r>
      <w:r w:rsidR="00176471">
        <w:rPr>
          <w:lang w:val="en-GB"/>
        </w:rPr>
        <w:t>—</w:t>
      </w:r>
      <w:r w:rsidRPr="009577CF">
        <w:rPr>
          <w:lang w:val="en-GB"/>
        </w:rPr>
        <w:t>how do we find that experience within where we are located</w:t>
      </w:r>
      <w:r w:rsidR="00176471">
        <w:rPr>
          <w:lang w:val="en-GB"/>
        </w:rPr>
        <w:t>?</w:t>
      </w:r>
      <w:r w:rsidRPr="009577CF">
        <w:rPr>
          <w:lang w:val="en-GB"/>
        </w:rPr>
        <w:t xml:space="preserve"> If the people aren</w:t>
      </w:r>
      <w:r w:rsidR="00176471">
        <w:rPr>
          <w:lang w:val="en-GB"/>
        </w:rPr>
        <w:t>’</w:t>
      </w:r>
      <w:r w:rsidRPr="009577CF">
        <w:rPr>
          <w:lang w:val="en-GB"/>
        </w:rPr>
        <w:t>t from Saskatchewan, how do we attract them to come to the province and want to live and have a family and have a career in our province</w:t>
      </w:r>
      <w:r w:rsidR="00176471">
        <w:rPr>
          <w:lang w:val="en-GB"/>
        </w:rPr>
        <w:t>?</w:t>
      </w:r>
    </w:p>
    <w:p w14:paraId="6BCFFF2D" w14:textId="77777777" w:rsidR="003F3051" w:rsidRPr="003F3051" w:rsidRDefault="003F3051" w:rsidP="003F3051">
      <w:pPr>
        <w:pStyle w:val="BodyText"/>
      </w:pPr>
    </w:p>
    <w:p w14:paraId="257D448E" w14:textId="77777777" w:rsidR="003F3051" w:rsidRDefault="003F3051" w:rsidP="003F3051">
      <w:pPr>
        <w:pStyle w:val="BodyText"/>
      </w:pPr>
    </w:p>
    <w:p w14:paraId="2E36A33E" w14:textId="77777777" w:rsidR="003F3051" w:rsidRDefault="003F3051" w:rsidP="003F3051">
      <w:pPr>
        <w:pStyle w:val="BodyText"/>
      </w:pPr>
    </w:p>
    <w:p w14:paraId="012147BC" w14:textId="77777777" w:rsidR="003F3051" w:rsidRPr="003F3051" w:rsidRDefault="003F3051" w:rsidP="003F3051">
      <w:pPr>
        <w:pStyle w:val="BodyText"/>
      </w:pPr>
    </w:p>
    <w:p w14:paraId="5B92CA39" w14:textId="4B027391" w:rsidR="007B69D6" w:rsidRPr="008468BE" w:rsidRDefault="007B69D6" w:rsidP="00CF5E39">
      <w:pPr>
        <w:pStyle w:val="casehead1"/>
        <w:rPr>
          <w:szCs w:val="20"/>
          <w:lang w:val="en-GB"/>
        </w:rPr>
      </w:pPr>
      <w:r w:rsidRPr="008468BE">
        <w:rPr>
          <w:szCs w:val="20"/>
          <w:lang w:val="en-GB"/>
        </w:rPr>
        <w:lastRenderedPageBreak/>
        <w:t>Brand Power</w:t>
      </w:r>
    </w:p>
    <w:p w14:paraId="2964D310" w14:textId="77777777" w:rsidR="007B69D6" w:rsidRPr="005155C2" w:rsidRDefault="007B69D6" w:rsidP="009936ED">
      <w:pPr>
        <w:pStyle w:val="BodyText"/>
        <w:rPr>
          <w:sz w:val="18"/>
          <w:szCs w:val="18"/>
          <w:lang w:val="en-GB"/>
        </w:rPr>
      </w:pPr>
    </w:p>
    <w:p w14:paraId="03192CF5" w14:textId="653B16BF" w:rsidR="009936ED" w:rsidRPr="005155C2" w:rsidRDefault="007B69D6" w:rsidP="005155C2">
      <w:pPr>
        <w:pStyle w:val="BodyText"/>
        <w:ind w:left="720"/>
      </w:pPr>
      <w:r w:rsidRPr="005155C2">
        <w:t>I am so passionate about the brand being authentic because people have become a lot more savvy on building a brand, but brands are built and die without any authenticity.</w:t>
      </w:r>
    </w:p>
    <w:p w14:paraId="1C01C4F0" w14:textId="26E47714" w:rsidR="007B69D6" w:rsidRPr="009577CF" w:rsidRDefault="007B69D6" w:rsidP="00176471">
      <w:pPr>
        <w:pStyle w:val="BodyText"/>
        <w:jc w:val="right"/>
        <w:rPr>
          <w:lang w:val="en-GB"/>
        </w:rPr>
      </w:pPr>
      <w:r w:rsidRPr="009577CF">
        <w:rPr>
          <w:lang w:val="en-GB"/>
        </w:rPr>
        <w:t>CEO, Rachel Mielke</w:t>
      </w:r>
    </w:p>
    <w:p w14:paraId="0AECE08A" w14:textId="77777777" w:rsidR="007B69D6" w:rsidRPr="000B0BA1" w:rsidRDefault="007B69D6" w:rsidP="005155C2">
      <w:pPr>
        <w:pStyle w:val="BodyText"/>
        <w:rPr>
          <w:sz w:val="18"/>
          <w:szCs w:val="18"/>
        </w:rPr>
      </w:pPr>
    </w:p>
    <w:p w14:paraId="3C6ECE32" w14:textId="147E9A2D" w:rsidR="00193A03" w:rsidRPr="009577CF" w:rsidRDefault="00193A03" w:rsidP="009936ED">
      <w:pPr>
        <w:pStyle w:val="BodyText"/>
        <w:rPr>
          <w:lang w:val="en-GB"/>
        </w:rPr>
      </w:pPr>
      <w:r w:rsidRPr="009577CF">
        <w:rPr>
          <w:lang w:val="en-GB"/>
        </w:rPr>
        <w:t>H&amp;B’s success had largely been found in the company’s brand reputation. In H&amp;B’s home province of Saskatchewan</w:t>
      </w:r>
      <w:r w:rsidR="00176471">
        <w:rPr>
          <w:lang w:val="en-GB"/>
        </w:rPr>
        <w:t>,</w:t>
      </w:r>
      <w:r w:rsidRPr="009577CF">
        <w:rPr>
          <w:lang w:val="en-GB"/>
        </w:rPr>
        <w:t xml:space="preserve"> the brand had high awareness and adoption.</w:t>
      </w:r>
      <w:r w:rsidR="008C615B" w:rsidRPr="009577CF">
        <w:rPr>
          <w:lang w:val="en-GB"/>
        </w:rPr>
        <w:t xml:space="preserve"> H&amp;B had garnered unique opportunities to build its brand, </w:t>
      </w:r>
      <w:r w:rsidR="00176471">
        <w:rPr>
          <w:lang w:val="en-GB"/>
        </w:rPr>
        <w:t>including having</w:t>
      </w:r>
      <w:r w:rsidR="008C615B" w:rsidRPr="009577CF">
        <w:rPr>
          <w:lang w:val="en-GB"/>
        </w:rPr>
        <w:t xml:space="preserve"> </w:t>
      </w:r>
      <w:r w:rsidR="00176471" w:rsidRPr="009577CF">
        <w:rPr>
          <w:lang w:val="en-GB"/>
        </w:rPr>
        <w:t>be</w:t>
      </w:r>
      <w:r w:rsidR="00176471">
        <w:rPr>
          <w:lang w:val="en-GB"/>
        </w:rPr>
        <w:t>en</w:t>
      </w:r>
      <w:r w:rsidR="00176471" w:rsidRPr="009577CF">
        <w:rPr>
          <w:lang w:val="en-GB"/>
        </w:rPr>
        <w:t xml:space="preserve"> </w:t>
      </w:r>
      <w:r w:rsidR="008C615B" w:rsidRPr="009577CF">
        <w:rPr>
          <w:lang w:val="en-GB"/>
        </w:rPr>
        <w:t>commissioned to design a broach for the Queen of England on behalf of the Saskatchewan government. T</w:t>
      </w:r>
      <w:r w:rsidR="004935C2" w:rsidRPr="009577CF">
        <w:rPr>
          <w:lang w:val="en-GB"/>
        </w:rPr>
        <w:t>he Queen had liked the broach</w:t>
      </w:r>
      <w:r w:rsidR="008C615B" w:rsidRPr="009577CF">
        <w:rPr>
          <w:lang w:val="en-GB"/>
        </w:rPr>
        <w:t xml:space="preserve"> so much that she had worn it on multiple occasions, including to</w:t>
      </w:r>
      <w:r w:rsidR="002105AB" w:rsidRPr="009577CF">
        <w:rPr>
          <w:lang w:val="en-GB"/>
        </w:rPr>
        <w:t xml:space="preserve"> a high</w:t>
      </w:r>
      <w:r w:rsidR="00176471">
        <w:rPr>
          <w:lang w:val="en-GB"/>
        </w:rPr>
        <w:t>-</w:t>
      </w:r>
      <w:r w:rsidR="002105AB" w:rsidRPr="009577CF">
        <w:rPr>
          <w:lang w:val="en-GB"/>
        </w:rPr>
        <w:t xml:space="preserve">profile event at the Royal Ascot </w:t>
      </w:r>
      <w:r w:rsidR="00176471">
        <w:rPr>
          <w:lang w:val="en-GB"/>
        </w:rPr>
        <w:t>R</w:t>
      </w:r>
      <w:r w:rsidR="002105AB" w:rsidRPr="009577CF">
        <w:rPr>
          <w:lang w:val="en-GB"/>
        </w:rPr>
        <w:t>acecourse</w:t>
      </w:r>
      <w:r w:rsidR="008C615B" w:rsidRPr="009577CF">
        <w:rPr>
          <w:lang w:val="en-GB"/>
        </w:rPr>
        <w:t>.</w:t>
      </w:r>
      <w:r w:rsidRPr="009577CF">
        <w:rPr>
          <w:lang w:val="en-GB"/>
        </w:rPr>
        <w:t xml:space="preserve"> The company’s brand had also been grea</w:t>
      </w:r>
      <w:r w:rsidR="008C615B" w:rsidRPr="009577CF">
        <w:rPr>
          <w:lang w:val="en-GB"/>
        </w:rPr>
        <w:t>tly aided by earned media</w:t>
      </w:r>
      <w:r w:rsidR="00495F26">
        <w:rPr>
          <w:lang w:val="en-GB"/>
        </w:rPr>
        <w:t>.</w:t>
      </w:r>
      <w:r w:rsidRPr="009577CF">
        <w:rPr>
          <w:lang w:val="en-GB"/>
        </w:rPr>
        <w:t xml:space="preserve"> </w:t>
      </w:r>
      <w:r w:rsidR="00495F26">
        <w:rPr>
          <w:lang w:val="en-GB"/>
        </w:rPr>
        <w:t>S</w:t>
      </w:r>
      <w:r w:rsidRPr="009577CF">
        <w:rPr>
          <w:lang w:val="en-GB"/>
        </w:rPr>
        <w:t xml:space="preserve">tories about the company being funded through </w:t>
      </w:r>
      <w:r w:rsidRPr="008468BE">
        <w:rPr>
          <w:i/>
          <w:lang w:val="en-GB"/>
        </w:rPr>
        <w:t>Dragons</w:t>
      </w:r>
      <w:r w:rsidR="00176471" w:rsidRPr="008468BE">
        <w:rPr>
          <w:i/>
          <w:lang w:val="en-GB"/>
        </w:rPr>
        <w:t>’</w:t>
      </w:r>
      <w:r w:rsidRPr="008468BE">
        <w:rPr>
          <w:i/>
          <w:lang w:val="en-GB"/>
        </w:rPr>
        <w:t xml:space="preserve"> Den</w:t>
      </w:r>
      <w:r w:rsidRPr="009577CF">
        <w:rPr>
          <w:lang w:val="en-GB"/>
        </w:rPr>
        <w:t xml:space="preserve">, </w:t>
      </w:r>
      <w:r w:rsidR="00176471">
        <w:rPr>
          <w:lang w:val="en-GB"/>
        </w:rPr>
        <w:t>and its</w:t>
      </w:r>
      <w:r w:rsidR="002105AB" w:rsidRPr="009577CF">
        <w:rPr>
          <w:lang w:val="en-GB"/>
        </w:rPr>
        <w:t xml:space="preserve"> products </w:t>
      </w:r>
      <w:r w:rsidR="00176471">
        <w:rPr>
          <w:lang w:val="en-GB"/>
        </w:rPr>
        <w:t xml:space="preserve">being </w:t>
      </w:r>
      <w:r w:rsidR="002105AB" w:rsidRPr="009577CF">
        <w:rPr>
          <w:lang w:val="en-GB"/>
        </w:rPr>
        <w:t>gifted at the Oscars and</w:t>
      </w:r>
      <w:r w:rsidRPr="009577CF">
        <w:rPr>
          <w:lang w:val="en-GB"/>
        </w:rPr>
        <w:t xml:space="preserve"> worn by Olympic athletes </w:t>
      </w:r>
      <w:r w:rsidR="00E71B5D" w:rsidRPr="009577CF">
        <w:rPr>
          <w:lang w:val="en-GB"/>
        </w:rPr>
        <w:t>had</w:t>
      </w:r>
      <w:r w:rsidR="003B6408" w:rsidRPr="009577CF">
        <w:rPr>
          <w:lang w:val="en-GB"/>
        </w:rPr>
        <w:t xml:space="preserve"> </w:t>
      </w:r>
      <w:r w:rsidR="00E71B5D" w:rsidRPr="009577CF">
        <w:rPr>
          <w:lang w:val="en-GB"/>
        </w:rPr>
        <w:t>been</w:t>
      </w:r>
      <w:r w:rsidRPr="009577CF">
        <w:rPr>
          <w:lang w:val="en-GB"/>
        </w:rPr>
        <w:t xml:space="preserve"> consistently shared through local and national news sources. </w:t>
      </w:r>
    </w:p>
    <w:p w14:paraId="01E9399F" w14:textId="77777777" w:rsidR="00193A03" w:rsidRPr="000B0BA1" w:rsidRDefault="00193A03" w:rsidP="009936ED">
      <w:pPr>
        <w:pStyle w:val="BodyText"/>
        <w:rPr>
          <w:sz w:val="18"/>
          <w:szCs w:val="18"/>
          <w:lang w:val="en-GB"/>
        </w:rPr>
      </w:pPr>
    </w:p>
    <w:p w14:paraId="6B5439FD" w14:textId="77777777" w:rsidR="003B6408" w:rsidRPr="009577CF" w:rsidRDefault="00193A03" w:rsidP="009936ED">
      <w:pPr>
        <w:pStyle w:val="BodyText"/>
        <w:rPr>
          <w:lang w:val="en-GB"/>
        </w:rPr>
      </w:pPr>
      <w:r w:rsidRPr="009577CF">
        <w:rPr>
          <w:lang w:val="en-GB"/>
        </w:rPr>
        <w:t xml:space="preserve">Mielke had personally focused most of her attention on building the brand: </w:t>
      </w:r>
    </w:p>
    <w:p w14:paraId="194185B8" w14:textId="77777777" w:rsidR="003B6408" w:rsidRPr="005155C2" w:rsidRDefault="003B6408" w:rsidP="009936ED">
      <w:pPr>
        <w:pStyle w:val="BodyText"/>
        <w:rPr>
          <w:sz w:val="18"/>
          <w:szCs w:val="18"/>
          <w:lang w:val="en-GB"/>
        </w:rPr>
      </w:pPr>
    </w:p>
    <w:p w14:paraId="01B39021" w14:textId="4C0F6550" w:rsidR="00193A03" w:rsidRPr="009577CF" w:rsidRDefault="00193A03" w:rsidP="009936ED">
      <w:pPr>
        <w:pStyle w:val="BodyText"/>
        <w:ind w:left="720"/>
        <w:rPr>
          <w:lang w:val="en-GB"/>
        </w:rPr>
      </w:pPr>
      <w:r w:rsidRPr="009577CF">
        <w:rPr>
          <w:lang w:val="en-GB"/>
        </w:rPr>
        <w:t>I would say that most of my focus over the years has gone into brand, even over other things, even over design of product or organizational structure or processes and procedures. So maybe a bit to my detriment some of those things aren</w:t>
      </w:r>
      <w:r w:rsidR="00495F26">
        <w:rPr>
          <w:lang w:val="en-GB"/>
        </w:rPr>
        <w:t>’</w:t>
      </w:r>
      <w:r w:rsidRPr="009577CF">
        <w:rPr>
          <w:lang w:val="en-GB"/>
        </w:rPr>
        <w:t>t where they should be, but I feel strongly that, at the core of the success of a company, has to be a truly authentic brand and brand experience, and that</w:t>
      </w:r>
      <w:r w:rsidR="00495F26">
        <w:rPr>
          <w:lang w:val="en-GB"/>
        </w:rPr>
        <w:t>’</w:t>
      </w:r>
      <w:r w:rsidRPr="009577CF">
        <w:rPr>
          <w:lang w:val="en-GB"/>
        </w:rPr>
        <w:t>s what I am extremely passionate about creating.</w:t>
      </w:r>
    </w:p>
    <w:p w14:paraId="60AD02E0" w14:textId="77777777" w:rsidR="00193A03" w:rsidRPr="000B0BA1" w:rsidRDefault="00193A03" w:rsidP="009936ED">
      <w:pPr>
        <w:pStyle w:val="BodyText"/>
        <w:rPr>
          <w:sz w:val="18"/>
          <w:szCs w:val="18"/>
          <w:lang w:val="en-GB"/>
        </w:rPr>
      </w:pPr>
    </w:p>
    <w:p w14:paraId="685430C1" w14:textId="0FB57B99" w:rsidR="00193A03" w:rsidRPr="009577CF" w:rsidRDefault="00A62ECB" w:rsidP="009936ED">
      <w:pPr>
        <w:pStyle w:val="BodyText"/>
        <w:rPr>
          <w:lang w:val="en-GB"/>
        </w:rPr>
      </w:pPr>
      <w:r>
        <w:rPr>
          <w:lang w:val="en-GB"/>
        </w:rPr>
        <w:t>W</w:t>
      </w:r>
      <w:r w:rsidR="00193A03" w:rsidRPr="009577CF">
        <w:rPr>
          <w:lang w:val="en-GB"/>
        </w:rPr>
        <w:t xml:space="preserve">ith the popularity of </w:t>
      </w:r>
      <w:r w:rsidR="00495F26">
        <w:rPr>
          <w:lang w:val="en-GB"/>
        </w:rPr>
        <w:t>H&amp;B’s</w:t>
      </w:r>
      <w:r w:rsidR="00495F26" w:rsidRPr="009577CF">
        <w:rPr>
          <w:lang w:val="en-GB"/>
        </w:rPr>
        <w:t xml:space="preserve"> </w:t>
      </w:r>
      <w:r w:rsidR="00193A03" w:rsidRPr="009577CF">
        <w:rPr>
          <w:lang w:val="en-GB"/>
        </w:rPr>
        <w:t xml:space="preserve">signature Sparkle products had come copycat designs, from both large designers </w:t>
      </w:r>
      <w:r w:rsidR="00495F26">
        <w:rPr>
          <w:lang w:val="en-GB"/>
        </w:rPr>
        <w:t>such as</w:t>
      </w:r>
      <w:r w:rsidR="00495F26" w:rsidRPr="009577CF">
        <w:rPr>
          <w:lang w:val="en-GB"/>
        </w:rPr>
        <w:t xml:space="preserve"> </w:t>
      </w:r>
      <w:r w:rsidR="00193A03" w:rsidRPr="009577CF">
        <w:rPr>
          <w:lang w:val="en-GB"/>
        </w:rPr>
        <w:t xml:space="preserve">Swarovski </w:t>
      </w:r>
      <w:r w:rsidR="00495F26">
        <w:rPr>
          <w:lang w:val="en-GB"/>
        </w:rPr>
        <w:t>and</w:t>
      </w:r>
      <w:r w:rsidR="00193A03" w:rsidRPr="009577CF">
        <w:rPr>
          <w:lang w:val="en-GB"/>
        </w:rPr>
        <w:t xml:space="preserve"> smaller jewellery producers in the company’s home market of Saskatchewan. Strong brand recognition, however, was one way that Mielke saw to overcome </w:t>
      </w:r>
      <w:r w:rsidR="00495F26">
        <w:rPr>
          <w:lang w:val="en-GB"/>
        </w:rPr>
        <w:t xml:space="preserve">the </w:t>
      </w:r>
      <w:r w:rsidR="00193A03" w:rsidRPr="009577CF">
        <w:rPr>
          <w:lang w:val="en-GB"/>
        </w:rPr>
        <w:t xml:space="preserve">replication of H&amp;B’s signature product. </w:t>
      </w:r>
    </w:p>
    <w:p w14:paraId="00DF43BE" w14:textId="77777777" w:rsidR="00193A03" w:rsidRPr="000B0BA1" w:rsidRDefault="00193A03" w:rsidP="009936ED">
      <w:pPr>
        <w:pStyle w:val="BodyText"/>
        <w:rPr>
          <w:sz w:val="18"/>
          <w:szCs w:val="18"/>
          <w:lang w:val="en-GB"/>
        </w:rPr>
      </w:pPr>
    </w:p>
    <w:p w14:paraId="10368B85" w14:textId="4F5BA8F4" w:rsidR="00193A03" w:rsidRPr="009577CF" w:rsidRDefault="00193A03" w:rsidP="009936ED">
      <w:pPr>
        <w:pStyle w:val="BodyText"/>
        <w:rPr>
          <w:lang w:val="en-GB"/>
        </w:rPr>
      </w:pPr>
      <w:r w:rsidRPr="009577CF">
        <w:rPr>
          <w:lang w:val="en-GB"/>
        </w:rPr>
        <w:t xml:space="preserve">Mielke </w:t>
      </w:r>
      <w:r w:rsidR="00495F26">
        <w:rPr>
          <w:lang w:val="en-GB"/>
        </w:rPr>
        <w:t xml:space="preserve">now </w:t>
      </w:r>
      <w:r w:rsidRPr="009577CF">
        <w:rPr>
          <w:lang w:val="en-GB"/>
        </w:rPr>
        <w:t xml:space="preserve">considered how to leverage the brand equity that </w:t>
      </w:r>
      <w:r w:rsidR="00495F26">
        <w:rPr>
          <w:lang w:val="en-GB"/>
        </w:rPr>
        <w:t xml:space="preserve">she </w:t>
      </w:r>
      <w:r w:rsidRPr="009577CF">
        <w:rPr>
          <w:lang w:val="en-GB"/>
        </w:rPr>
        <w:t xml:space="preserve">had built in </w:t>
      </w:r>
      <w:r w:rsidR="00495F26">
        <w:rPr>
          <w:lang w:val="en-GB"/>
        </w:rPr>
        <w:t>an attempt</w:t>
      </w:r>
      <w:r w:rsidR="00495F26" w:rsidRPr="009577CF">
        <w:rPr>
          <w:lang w:val="en-GB"/>
        </w:rPr>
        <w:t xml:space="preserve"> </w:t>
      </w:r>
      <w:r w:rsidRPr="009577CF">
        <w:rPr>
          <w:lang w:val="en-GB"/>
        </w:rPr>
        <w:t xml:space="preserve">to grow the company in a way that aligned with her goals of building a sustainable business and </w:t>
      </w:r>
      <w:r w:rsidR="001D2660" w:rsidRPr="009577CF">
        <w:rPr>
          <w:lang w:val="en-GB"/>
        </w:rPr>
        <w:t xml:space="preserve">a </w:t>
      </w:r>
      <w:r w:rsidRPr="009577CF">
        <w:rPr>
          <w:lang w:val="en-GB"/>
        </w:rPr>
        <w:t xml:space="preserve">healthy corporate culture. </w:t>
      </w:r>
    </w:p>
    <w:p w14:paraId="17932957" w14:textId="77777777" w:rsidR="00E4214A" w:rsidRPr="009577CF" w:rsidRDefault="00E4214A" w:rsidP="005155C2">
      <w:pPr>
        <w:pStyle w:val="BodyText"/>
        <w:rPr>
          <w:lang w:val="en-GB"/>
        </w:rPr>
      </w:pPr>
    </w:p>
    <w:p w14:paraId="03A59A2E" w14:textId="77777777" w:rsidR="007B69D6" w:rsidRPr="009577CF" w:rsidRDefault="007B69D6" w:rsidP="005155C2">
      <w:pPr>
        <w:pStyle w:val="BodyText"/>
        <w:rPr>
          <w:lang w:val="en-GB"/>
        </w:rPr>
      </w:pPr>
    </w:p>
    <w:p w14:paraId="03188EF3" w14:textId="7695EB46" w:rsidR="007B69D6" w:rsidRPr="008468BE" w:rsidRDefault="007B69D6" w:rsidP="00CF5E39">
      <w:pPr>
        <w:pStyle w:val="casehead1"/>
        <w:rPr>
          <w:szCs w:val="20"/>
          <w:lang w:val="en-GB"/>
        </w:rPr>
      </w:pPr>
      <w:r w:rsidRPr="008468BE">
        <w:rPr>
          <w:szCs w:val="20"/>
          <w:lang w:val="en-GB"/>
        </w:rPr>
        <w:t>Conclusion</w:t>
      </w:r>
    </w:p>
    <w:p w14:paraId="6030ACE5" w14:textId="77777777" w:rsidR="007B69D6" w:rsidRPr="005155C2" w:rsidRDefault="007B69D6" w:rsidP="009936ED">
      <w:pPr>
        <w:pStyle w:val="BodyText"/>
        <w:rPr>
          <w:sz w:val="18"/>
          <w:szCs w:val="18"/>
          <w:lang w:val="en-GB"/>
        </w:rPr>
      </w:pPr>
    </w:p>
    <w:p w14:paraId="4665C09F" w14:textId="77777777" w:rsidR="001D2660" w:rsidRPr="009577CF" w:rsidRDefault="00193A03" w:rsidP="009936ED">
      <w:pPr>
        <w:pStyle w:val="BodyText"/>
        <w:rPr>
          <w:lang w:val="en-GB"/>
        </w:rPr>
      </w:pPr>
      <w:r w:rsidRPr="009577CF">
        <w:rPr>
          <w:lang w:val="en-GB"/>
        </w:rPr>
        <w:t xml:space="preserve">As Mielke reflected on the importance of the Sparkle Collection she noted: </w:t>
      </w:r>
    </w:p>
    <w:p w14:paraId="489B6A61" w14:textId="77777777" w:rsidR="001D2660" w:rsidRPr="005155C2" w:rsidRDefault="001D2660" w:rsidP="009936ED">
      <w:pPr>
        <w:pStyle w:val="BodyText"/>
        <w:rPr>
          <w:sz w:val="18"/>
          <w:szCs w:val="18"/>
          <w:lang w:val="en-GB"/>
        </w:rPr>
      </w:pPr>
    </w:p>
    <w:p w14:paraId="0D4CE42E" w14:textId="435C3861" w:rsidR="00193A03" w:rsidRPr="009577CF" w:rsidRDefault="00193A03" w:rsidP="009936ED">
      <w:pPr>
        <w:pStyle w:val="BodyText"/>
        <w:ind w:left="720"/>
        <w:rPr>
          <w:lang w:val="en-GB"/>
        </w:rPr>
      </w:pPr>
      <w:r w:rsidRPr="009577CF">
        <w:rPr>
          <w:lang w:val="en-GB"/>
        </w:rPr>
        <w:t>Sparkle is like the easy first purchase for people and it gets people, I think, interested and passionate about and addicted to our brand and then, eventually, hopefully that consumer comes back to buy a necklace or another pair of earrings or something in our collection. I am constantly thinking about diversification and how do we go from Sparkle to the next generation of Sparkle and how do we graduate that consumer from Sparkle into something else.</w:t>
      </w:r>
    </w:p>
    <w:p w14:paraId="512133DD" w14:textId="77777777" w:rsidR="00790600" w:rsidRPr="000B0BA1" w:rsidRDefault="00790600" w:rsidP="009936ED">
      <w:pPr>
        <w:pStyle w:val="BodyText"/>
        <w:rPr>
          <w:sz w:val="18"/>
          <w:szCs w:val="18"/>
          <w:lang w:val="en-GB"/>
        </w:rPr>
      </w:pPr>
    </w:p>
    <w:p w14:paraId="24D219C4" w14:textId="405368DC" w:rsidR="006446AB" w:rsidRPr="009577CF" w:rsidRDefault="00193A03" w:rsidP="009936ED">
      <w:pPr>
        <w:pStyle w:val="BodyText"/>
        <w:rPr>
          <w:lang w:val="en-GB"/>
        </w:rPr>
      </w:pPr>
      <w:r w:rsidRPr="009577CF">
        <w:rPr>
          <w:lang w:val="en-GB"/>
        </w:rPr>
        <w:t>Mielke now faced a turning point in the H&amp;B story, as she positioned the company for further growth. Mielke and her team considered the following questions: how would they manage their flagship Sparkle Collection, which currently accounted for more than 70 per</w:t>
      </w:r>
      <w:r w:rsidR="00495F26">
        <w:rPr>
          <w:lang w:val="en-GB"/>
        </w:rPr>
        <w:t xml:space="preserve"> </w:t>
      </w:r>
      <w:r w:rsidRPr="009577CF">
        <w:rPr>
          <w:lang w:val="en-GB"/>
        </w:rPr>
        <w:t>cent of H&amp;B’s sales? How would they manage supplier relationships that they were outgrowing? How would they leverage H&amp;B’s brand presence to overcome copycat designs? How would H&amp;B maintain its corporate culture while facing rapid growth?</w:t>
      </w:r>
    </w:p>
    <w:p w14:paraId="4FDCD3F1" w14:textId="30B9E0C3" w:rsidR="009936ED" w:rsidRPr="009577CF" w:rsidRDefault="00BA4AB7">
      <w:pPr>
        <w:rPr>
          <w:spacing w:val="-1"/>
          <w:sz w:val="22"/>
          <w:szCs w:val="22"/>
          <w:lang w:val="en-GB"/>
        </w:rPr>
      </w:pPr>
      <w:r w:rsidRPr="00BA4AB7">
        <w:rPr>
          <w:noProof/>
          <w:lang w:val="en-GB" w:eastAsia="en-GB"/>
        </w:rPr>
        <mc:AlternateContent>
          <mc:Choice Requires="wps">
            <w:drawing>
              <wp:anchor distT="0" distB="0" distL="114300" distR="114300" simplePos="0" relativeHeight="251659264" behindDoc="0" locked="0" layoutInCell="1" allowOverlap="1" wp14:anchorId="65F06ACF" wp14:editId="6B5F8E8D">
                <wp:simplePos x="0" y="0"/>
                <wp:positionH relativeFrom="column">
                  <wp:posOffset>934720</wp:posOffset>
                </wp:positionH>
                <wp:positionV relativeFrom="paragraph">
                  <wp:posOffset>121920</wp:posOffset>
                </wp:positionV>
                <wp:extent cx="4196080" cy="386080"/>
                <wp:effectExtent l="0" t="0" r="13970"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6080" cy="386080"/>
                        </a:xfrm>
                        <a:prstGeom prst="rect">
                          <a:avLst/>
                        </a:prstGeom>
                        <a:solidFill>
                          <a:srgbClr val="FFFFFF"/>
                        </a:solidFill>
                        <a:ln w="9525">
                          <a:solidFill>
                            <a:srgbClr val="000000"/>
                          </a:solidFill>
                          <a:miter lim="800000"/>
                          <a:headEnd/>
                          <a:tailEnd/>
                        </a:ln>
                      </wps:spPr>
                      <wps:txbx>
                        <w:txbxContent>
                          <w:p w14:paraId="7A0F9A73" w14:textId="0E40FAC7" w:rsidR="00BA4AB7" w:rsidRPr="00BA4AB7" w:rsidRDefault="00BA4AB7">
                            <w:pPr>
                              <w:rPr>
                                <w:rFonts w:ascii="Arial" w:hAnsi="Arial" w:cs="Arial"/>
                                <w:sz w:val="18"/>
                                <w:szCs w:val="18"/>
                              </w:rPr>
                            </w:pPr>
                            <w:r w:rsidRPr="00BA4AB7">
                              <w:rPr>
                                <w:rFonts w:ascii="Arial" w:hAnsi="Arial" w:cs="Arial"/>
                                <w:sz w:val="18"/>
                                <w:szCs w:val="18"/>
                              </w:rPr>
                              <w:t>The Ivey Business School gratefully acknowledges the generous support of the Ernst &amp; Young Fund in the development of this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3.6pt;margin-top:9.6pt;width:330.4pt;height:3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">
                <v:textbox>
                  <w:txbxContent>
                    <w:p w14:paraId="7A0F9A73" w14:textId="0E40FAC7" w:rsidR="00BA4AB7" w:rsidRPr="00BA4AB7" w:rsidRDefault="00BA4AB7">
                      <w:pPr>
                        <w:rPr>
                          <w:rFonts w:ascii="Arial" w:hAnsi="Arial" w:cs="Arial"/>
                          <w:sz w:val="18"/>
                          <w:szCs w:val="18"/>
                        </w:rPr>
                      </w:pPr>
                      <w:r w:rsidRPr="00BA4AB7">
                        <w:rPr>
                          <w:rFonts w:ascii="Arial" w:hAnsi="Arial" w:cs="Arial"/>
                          <w:sz w:val="18"/>
                          <w:szCs w:val="18"/>
                        </w:rPr>
                        <w:t>The Ivey Business School gratefully acknowledges the generous support of the Ernst &amp; Young Fund in the development of this case.</w:t>
                      </w:r>
                    </w:p>
                  </w:txbxContent>
                </v:textbox>
              </v:shape>
            </w:pict>
          </mc:Fallback>
        </mc:AlternateContent>
      </w:r>
      <w:r w:rsidR="009936ED" w:rsidRPr="009577CF">
        <w:rPr>
          <w:lang w:val="en-GB"/>
        </w:rPr>
        <w:br w:type="page"/>
      </w:r>
    </w:p>
    <w:p w14:paraId="35DC8FF6" w14:textId="5622AF48" w:rsidR="007B69D6" w:rsidRPr="001C2B0B" w:rsidRDefault="007B69D6" w:rsidP="001C2B0B">
      <w:pPr>
        <w:pStyle w:val="casehead1"/>
        <w:jc w:val="center"/>
      </w:pPr>
      <w:r w:rsidRPr="001C2B0B">
        <w:lastRenderedPageBreak/>
        <w:t>Exhibit 1</w:t>
      </w:r>
      <w:r w:rsidR="009936ED" w:rsidRPr="001C2B0B">
        <w:t xml:space="preserve">: </w:t>
      </w:r>
      <w:r w:rsidR="00495F26" w:rsidRPr="001C2B0B">
        <w:t>Hillberg &amp; Berk</w:t>
      </w:r>
      <w:r w:rsidR="00C74548" w:rsidRPr="001C2B0B">
        <w:t>’s</w:t>
      </w:r>
      <w:r w:rsidR="00495F26" w:rsidRPr="001C2B0B">
        <w:t xml:space="preserve"> </w:t>
      </w:r>
      <w:r w:rsidR="006446AB" w:rsidRPr="001C2B0B">
        <w:t>FINANCIAL ANALYSIS</w:t>
      </w:r>
      <w:r w:rsidR="008F5DD5" w:rsidRPr="001C2B0B">
        <w:t>,</w:t>
      </w:r>
      <w:r w:rsidR="005E2819" w:rsidRPr="001C2B0B">
        <w:t xml:space="preserve"> 2014</w:t>
      </w:r>
      <w:r w:rsidR="00495F26" w:rsidRPr="001C2B0B">
        <w:t>–</w:t>
      </w:r>
      <w:r w:rsidR="00BE4A28" w:rsidRPr="001C2B0B">
        <w:t>2017</w:t>
      </w:r>
    </w:p>
    <w:p w14:paraId="56FBC248" w14:textId="77777777" w:rsidR="00BE4A28" w:rsidRPr="009577CF" w:rsidRDefault="00BE4A28" w:rsidP="009936ED">
      <w:pPr>
        <w:pStyle w:val="BodyText"/>
        <w:rPr>
          <w:sz w:val="16"/>
          <w:szCs w:val="16"/>
          <w:lang w:val="en-GB"/>
        </w:rPr>
      </w:pPr>
    </w:p>
    <w:tbl>
      <w:tblPr>
        <w:tblW w:w="9241" w:type="dxa"/>
        <w:jc w:val="center"/>
        <w:tblInd w:w="-14" w:type="dxa"/>
        <w:tblLayout w:type="fixed"/>
        <w:tblLook w:val="04A0" w:firstRow="1" w:lastRow="0" w:firstColumn="1" w:lastColumn="0" w:noHBand="0" w:noVBand="1"/>
      </w:tblPr>
      <w:tblGrid>
        <w:gridCol w:w="3133"/>
        <w:gridCol w:w="1526"/>
        <w:gridCol w:w="1530"/>
        <w:gridCol w:w="1526"/>
        <w:gridCol w:w="1526"/>
      </w:tblGrid>
      <w:tr w:rsidR="00BE4A28" w:rsidRPr="001C2B0B" w14:paraId="3A1126FD" w14:textId="77777777" w:rsidTr="003D2DE4">
        <w:trPr>
          <w:trHeight w:val="306"/>
          <w:jc w:val="center"/>
        </w:trPr>
        <w:tc>
          <w:tcPr>
            <w:tcW w:w="3133" w:type="dxa"/>
            <w:tcBorders>
              <w:top w:val="single" w:sz="4" w:space="0" w:color="auto"/>
              <w:left w:val="single" w:sz="4" w:space="0" w:color="auto"/>
              <w:bottom w:val="single" w:sz="4" w:space="0" w:color="auto"/>
              <w:right w:val="single" w:sz="4" w:space="0" w:color="auto"/>
            </w:tcBorders>
            <w:noWrap/>
            <w:vAlign w:val="bottom"/>
            <w:hideMark/>
          </w:tcPr>
          <w:p w14:paraId="651A7042" w14:textId="77777777" w:rsidR="00BE4A28" w:rsidRPr="001C2B0B" w:rsidRDefault="00BE4A28" w:rsidP="009577CF">
            <w:pPr>
              <w:rPr>
                <w:rFonts w:ascii="Arial" w:hAnsi="Arial" w:cs="Arial"/>
                <w:color w:val="000000"/>
                <w:sz w:val="19"/>
                <w:szCs w:val="19"/>
                <w:lang w:val="en-GB"/>
              </w:rPr>
            </w:pPr>
            <w:r w:rsidRPr="001C2B0B">
              <w:rPr>
                <w:rFonts w:ascii="Arial" w:hAnsi="Arial" w:cs="Arial"/>
                <w:color w:val="000000"/>
                <w:sz w:val="19"/>
                <w:szCs w:val="19"/>
                <w:lang w:val="en-GB"/>
              </w:rPr>
              <w:t> </w:t>
            </w:r>
          </w:p>
        </w:tc>
        <w:tc>
          <w:tcPr>
            <w:tcW w:w="1526" w:type="dxa"/>
            <w:tcBorders>
              <w:top w:val="single" w:sz="4" w:space="0" w:color="auto"/>
              <w:left w:val="nil"/>
              <w:bottom w:val="single" w:sz="4" w:space="0" w:color="auto"/>
              <w:right w:val="single" w:sz="4" w:space="0" w:color="auto"/>
            </w:tcBorders>
            <w:noWrap/>
            <w:vAlign w:val="bottom"/>
            <w:hideMark/>
          </w:tcPr>
          <w:p w14:paraId="42518651" w14:textId="0BAB53EC" w:rsidR="00BE4A28" w:rsidRPr="001C2B0B" w:rsidRDefault="00BE4A28" w:rsidP="00495F26">
            <w:pPr>
              <w:jc w:val="center"/>
              <w:rPr>
                <w:rFonts w:ascii="Arial" w:hAnsi="Arial" w:cs="Arial"/>
                <w:b/>
                <w:color w:val="000000"/>
                <w:sz w:val="19"/>
                <w:szCs w:val="19"/>
                <w:lang w:val="en-GB"/>
              </w:rPr>
            </w:pPr>
            <w:r w:rsidRPr="001C2B0B">
              <w:rPr>
                <w:rFonts w:ascii="Arial" w:hAnsi="Arial" w:cs="Arial"/>
                <w:b/>
                <w:color w:val="000000"/>
                <w:sz w:val="19"/>
                <w:szCs w:val="19"/>
                <w:lang w:val="en-GB"/>
              </w:rPr>
              <w:t>April 30, 2014</w:t>
            </w:r>
          </w:p>
        </w:tc>
        <w:tc>
          <w:tcPr>
            <w:tcW w:w="1530" w:type="dxa"/>
            <w:tcBorders>
              <w:top w:val="single" w:sz="4" w:space="0" w:color="auto"/>
              <w:left w:val="nil"/>
              <w:bottom w:val="single" w:sz="4" w:space="0" w:color="auto"/>
              <w:right w:val="single" w:sz="4" w:space="0" w:color="auto"/>
            </w:tcBorders>
            <w:noWrap/>
            <w:vAlign w:val="bottom"/>
            <w:hideMark/>
          </w:tcPr>
          <w:p w14:paraId="4C9AB24F" w14:textId="46BF3464" w:rsidR="00BE4A28" w:rsidRPr="001C2B0B" w:rsidRDefault="00BE4A28" w:rsidP="00495F26">
            <w:pPr>
              <w:jc w:val="center"/>
              <w:rPr>
                <w:rFonts w:ascii="Arial" w:hAnsi="Arial" w:cs="Arial"/>
                <w:b/>
                <w:color w:val="000000"/>
                <w:sz w:val="19"/>
                <w:szCs w:val="19"/>
                <w:lang w:val="en-GB"/>
              </w:rPr>
            </w:pPr>
            <w:r w:rsidRPr="001C2B0B">
              <w:rPr>
                <w:rFonts w:ascii="Arial" w:hAnsi="Arial" w:cs="Arial"/>
                <w:b/>
                <w:color w:val="000000"/>
                <w:sz w:val="19"/>
                <w:szCs w:val="19"/>
                <w:lang w:val="en-GB"/>
              </w:rPr>
              <w:t>April 30, 2015</w:t>
            </w:r>
          </w:p>
        </w:tc>
        <w:tc>
          <w:tcPr>
            <w:tcW w:w="1526" w:type="dxa"/>
            <w:tcBorders>
              <w:top w:val="single" w:sz="4" w:space="0" w:color="auto"/>
              <w:left w:val="nil"/>
              <w:bottom w:val="single" w:sz="4" w:space="0" w:color="auto"/>
              <w:right w:val="single" w:sz="4" w:space="0" w:color="auto"/>
            </w:tcBorders>
            <w:noWrap/>
            <w:vAlign w:val="bottom"/>
            <w:hideMark/>
          </w:tcPr>
          <w:p w14:paraId="65B75537" w14:textId="3049A7E3" w:rsidR="00BE4A28" w:rsidRPr="001C2B0B" w:rsidRDefault="00BE4A28" w:rsidP="00495F26">
            <w:pPr>
              <w:jc w:val="center"/>
              <w:rPr>
                <w:rFonts w:ascii="Arial" w:hAnsi="Arial" w:cs="Arial"/>
                <w:b/>
                <w:color w:val="000000"/>
                <w:sz w:val="19"/>
                <w:szCs w:val="19"/>
                <w:lang w:val="en-GB"/>
              </w:rPr>
            </w:pPr>
            <w:r w:rsidRPr="001C2B0B">
              <w:rPr>
                <w:rFonts w:ascii="Arial" w:hAnsi="Arial" w:cs="Arial"/>
                <w:b/>
                <w:color w:val="000000"/>
                <w:sz w:val="19"/>
                <w:szCs w:val="19"/>
                <w:lang w:val="en-GB"/>
              </w:rPr>
              <w:t>April 30, 2016</w:t>
            </w:r>
          </w:p>
        </w:tc>
        <w:tc>
          <w:tcPr>
            <w:tcW w:w="1526" w:type="dxa"/>
            <w:tcBorders>
              <w:top w:val="single" w:sz="4" w:space="0" w:color="auto"/>
              <w:left w:val="nil"/>
              <w:bottom w:val="single" w:sz="4" w:space="0" w:color="auto"/>
              <w:right w:val="single" w:sz="4" w:space="0" w:color="auto"/>
            </w:tcBorders>
            <w:noWrap/>
            <w:vAlign w:val="bottom"/>
            <w:hideMark/>
          </w:tcPr>
          <w:p w14:paraId="454D1AFD" w14:textId="50218A50" w:rsidR="00BE4A28" w:rsidRPr="001C2B0B" w:rsidRDefault="00BE4A28" w:rsidP="00495F26">
            <w:pPr>
              <w:jc w:val="center"/>
              <w:rPr>
                <w:rFonts w:ascii="Arial" w:hAnsi="Arial" w:cs="Arial"/>
                <w:b/>
                <w:color w:val="000000"/>
                <w:sz w:val="19"/>
                <w:szCs w:val="19"/>
                <w:lang w:val="en-GB"/>
              </w:rPr>
            </w:pPr>
            <w:r w:rsidRPr="001C2B0B">
              <w:rPr>
                <w:rFonts w:ascii="Arial" w:hAnsi="Arial" w:cs="Arial"/>
                <w:b/>
                <w:color w:val="000000"/>
                <w:sz w:val="19"/>
                <w:szCs w:val="19"/>
                <w:lang w:val="en-GB"/>
              </w:rPr>
              <w:t>April 30, 2017</w:t>
            </w:r>
          </w:p>
        </w:tc>
      </w:tr>
      <w:tr w:rsidR="00BE4A28" w:rsidRPr="001C2B0B" w14:paraId="08F569A5" w14:textId="77777777" w:rsidTr="003D2DE4">
        <w:trPr>
          <w:trHeight w:val="306"/>
          <w:jc w:val="center"/>
        </w:trPr>
        <w:tc>
          <w:tcPr>
            <w:tcW w:w="3133" w:type="dxa"/>
            <w:tcBorders>
              <w:top w:val="nil"/>
              <w:left w:val="single" w:sz="4" w:space="0" w:color="auto"/>
              <w:bottom w:val="single" w:sz="4" w:space="0" w:color="auto"/>
              <w:right w:val="single" w:sz="4" w:space="0" w:color="auto"/>
            </w:tcBorders>
            <w:noWrap/>
            <w:vAlign w:val="bottom"/>
            <w:hideMark/>
          </w:tcPr>
          <w:p w14:paraId="3F1191E6" w14:textId="77777777" w:rsidR="00BE4A28" w:rsidRPr="001C2B0B" w:rsidRDefault="00BE4A28" w:rsidP="009577CF">
            <w:pPr>
              <w:rPr>
                <w:rFonts w:ascii="Arial" w:hAnsi="Arial" w:cs="Arial"/>
                <w:b/>
                <w:color w:val="000000"/>
                <w:sz w:val="19"/>
                <w:szCs w:val="19"/>
                <w:lang w:val="en-GB"/>
              </w:rPr>
            </w:pPr>
            <w:r w:rsidRPr="001C2B0B">
              <w:rPr>
                <w:rFonts w:ascii="Arial" w:hAnsi="Arial" w:cs="Arial"/>
                <w:b/>
                <w:color w:val="000000"/>
                <w:sz w:val="19"/>
                <w:szCs w:val="19"/>
                <w:lang w:val="en-GB"/>
              </w:rPr>
              <w:t>Total Sales</w:t>
            </w:r>
          </w:p>
        </w:tc>
        <w:tc>
          <w:tcPr>
            <w:tcW w:w="1526" w:type="dxa"/>
            <w:tcBorders>
              <w:top w:val="nil"/>
              <w:left w:val="nil"/>
              <w:bottom w:val="single" w:sz="4" w:space="0" w:color="auto"/>
              <w:right w:val="single" w:sz="4" w:space="0" w:color="auto"/>
            </w:tcBorders>
            <w:noWrap/>
            <w:vAlign w:val="bottom"/>
            <w:hideMark/>
          </w:tcPr>
          <w:p w14:paraId="2017042A" w14:textId="711F446D" w:rsidR="00BE4A28" w:rsidRPr="001C2B0B" w:rsidRDefault="00BE4A28" w:rsidP="003D2DE4">
            <w:pPr>
              <w:jc w:val="right"/>
              <w:rPr>
                <w:rFonts w:ascii="Arial" w:hAnsi="Arial" w:cs="Arial"/>
                <w:color w:val="000000"/>
                <w:sz w:val="19"/>
                <w:szCs w:val="19"/>
                <w:lang w:val="en-GB"/>
              </w:rPr>
            </w:pPr>
            <w:r w:rsidRPr="001C2B0B">
              <w:rPr>
                <w:rFonts w:ascii="Arial" w:hAnsi="Arial" w:cs="Arial"/>
                <w:color w:val="000000"/>
                <w:sz w:val="19"/>
                <w:szCs w:val="19"/>
                <w:lang w:val="en-GB"/>
              </w:rPr>
              <w:t>$2,647,228</w:t>
            </w:r>
          </w:p>
        </w:tc>
        <w:tc>
          <w:tcPr>
            <w:tcW w:w="1530" w:type="dxa"/>
            <w:tcBorders>
              <w:top w:val="nil"/>
              <w:left w:val="nil"/>
              <w:bottom w:val="single" w:sz="4" w:space="0" w:color="auto"/>
              <w:right w:val="single" w:sz="4" w:space="0" w:color="auto"/>
            </w:tcBorders>
            <w:noWrap/>
            <w:vAlign w:val="bottom"/>
            <w:hideMark/>
          </w:tcPr>
          <w:p w14:paraId="2E079068" w14:textId="5790EAEE" w:rsidR="00BE4A28" w:rsidRPr="001C2B0B" w:rsidRDefault="00BE4A28" w:rsidP="003D2DE4">
            <w:pPr>
              <w:jc w:val="right"/>
              <w:rPr>
                <w:rFonts w:ascii="Arial" w:hAnsi="Arial" w:cs="Arial"/>
                <w:color w:val="000000"/>
                <w:sz w:val="19"/>
                <w:szCs w:val="19"/>
                <w:lang w:val="en-GB"/>
              </w:rPr>
            </w:pPr>
            <w:r w:rsidRPr="001C2B0B">
              <w:rPr>
                <w:rFonts w:ascii="Arial" w:hAnsi="Arial" w:cs="Arial"/>
                <w:color w:val="000000"/>
                <w:sz w:val="19"/>
                <w:szCs w:val="19"/>
                <w:lang w:val="en-GB"/>
              </w:rPr>
              <w:t>$5,917,261</w:t>
            </w:r>
          </w:p>
        </w:tc>
        <w:tc>
          <w:tcPr>
            <w:tcW w:w="1526" w:type="dxa"/>
            <w:tcBorders>
              <w:top w:val="nil"/>
              <w:left w:val="nil"/>
              <w:bottom w:val="single" w:sz="4" w:space="0" w:color="auto"/>
              <w:right w:val="single" w:sz="4" w:space="0" w:color="auto"/>
            </w:tcBorders>
            <w:noWrap/>
            <w:vAlign w:val="bottom"/>
            <w:hideMark/>
          </w:tcPr>
          <w:p w14:paraId="733BB4C1" w14:textId="6D918480" w:rsidR="00BE4A28" w:rsidRPr="001C2B0B" w:rsidRDefault="00BE4A28" w:rsidP="003D2DE4">
            <w:pPr>
              <w:jc w:val="right"/>
              <w:rPr>
                <w:rFonts w:ascii="Arial" w:hAnsi="Arial" w:cs="Arial"/>
                <w:color w:val="000000"/>
                <w:sz w:val="19"/>
                <w:szCs w:val="19"/>
                <w:lang w:val="en-GB"/>
              </w:rPr>
            </w:pPr>
            <w:r w:rsidRPr="001C2B0B">
              <w:rPr>
                <w:rFonts w:ascii="Arial" w:hAnsi="Arial" w:cs="Arial"/>
                <w:color w:val="000000"/>
                <w:sz w:val="19"/>
                <w:szCs w:val="19"/>
                <w:lang w:val="en-GB"/>
              </w:rPr>
              <w:t>$10,323,513</w:t>
            </w:r>
          </w:p>
        </w:tc>
        <w:tc>
          <w:tcPr>
            <w:tcW w:w="1526" w:type="dxa"/>
            <w:tcBorders>
              <w:top w:val="nil"/>
              <w:left w:val="nil"/>
              <w:bottom w:val="single" w:sz="4" w:space="0" w:color="auto"/>
              <w:right w:val="single" w:sz="4" w:space="0" w:color="auto"/>
            </w:tcBorders>
            <w:noWrap/>
            <w:vAlign w:val="bottom"/>
            <w:hideMark/>
          </w:tcPr>
          <w:p w14:paraId="54923B2F" w14:textId="4FDB5E10" w:rsidR="00BE4A28" w:rsidRPr="001C2B0B" w:rsidRDefault="00A62ECB" w:rsidP="009577CF">
            <w:pPr>
              <w:jc w:val="right"/>
              <w:rPr>
                <w:rFonts w:ascii="Arial" w:hAnsi="Arial" w:cs="Arial"/>
                <w:color w:val="000000"/>
                <w:sz w:val="19"/>
                <w:szCs w:val="19"/>
                <w:lang w:val="en-GB"/>
              </w:rPr>
            </w:pPr>
            <w:r w:rsidRPr="001C2B0B">
              <w:rPr>
                <w:rFonts w:ascii="Arial" w:hAnsi="Arial" w:cs="Arial"/>
                <w:color w:val="000000"/>
                <w:sz w:val="19"/>
                <w:szCs w:val="19"/>
                <w:lang w:val="en-GB"/>
              </w:rPr>
              <w:t>$</w:t>
            </w:r>
            <w:r w:rsidR="00BE4A28" w:rsidRPr="001C2B0B">
              <w:rPr>
                <w:rFonts w:ascii="Arial" w:hAnsi="Arial" w:cs="Arial"/>
                <w:color w:val="000000"/>
                <w:sz w:val="19"/>
                <w:szCs w:val="19"/>
                <w:lang w:val="en-GB"/>
              </w:rPr>
              <w:t>15,000,000</w:t>
            </w:r>
          </w:p>
        </w:tc>
      </w:tr>
      <w:tr w:rsidR="00BE4A28" w:rsidRPr="001C2B0B" w14:paraId="5E0A06E3" w14:textId="77777777" w:rsidTr="003D2DE4">
        <w:trPr>
          <w:trHeight w:val="306"/>
          <w:jc w:val="center"/>
        </w:trPr>
        <w:tc>
          <w:tcPr>
            <w:tcW w:w="3133" w:type="dxa"/>
            <w:tcBorders>
              <w:top w:val="nil"/>
              <w:left w:val="single" w:sz="4" w:space="0" w:color="auto"/>
              <w:bottom w:val="single" w:sz="4" w:space="0" w:color="auto"/>
              <w:right w:val="single" w:sz="4" w:space="0" w:color="auto"/>
            </w:tcBorders>
            <w:noWrap/>
            <w:vAlign w:val="bottom"/>
            <w:hideMark/>
          </w:tcPr>
          <w:p w14:paraId="49E2A42D" w14:textId="77777777" w:rsidR="00BE4A28" w:rsidRPr="001C2B0B" w:rsidRDefault="00BE4A28" w:rsidP="009577CF">
            <w:pPr>
              <w:rPr>
                <w:rFonts w:ascii="Arial" w:hAnsi="Arial" w:cs="Arial"/>
                <w:b/>
                <w:color w:val="000000"/>
                <w:sz w:val="19"/>
                <w:szCs w:val="19"/>
                <w:lang w:val="en-GB"/>
              </w:rPr>
            </w:pPr>
            <w:r w:rsidRPr="001C2B0B">
              <w:rPr>
                <w:rFonts w:ascii="Arial" w:hAnsi="Arial" w:cs="Arial"/>
                <w:b/>
                <w:color w:val="000000"/>
                <w:sz w:val="19"/>
                <w:szCs w:val="19"/>
                <w:lang w:val="en-GB"/>
              </w:rPr>
              <w:t>COGS (as a % of sales)</w:t>
            </w:r>
          </w:p>
        </w:tc>
        <w:tc>
          <w:tcPr>
            <w:tcW w:w="1526" w:type="dxa"/>
            <w:tcBorders>
              <w:top w:val="nil"/>
              <w:left w:val="nil"/>
              <w:bottom w:val="single" w:sz="4" w:space="0" w:color="auto"/>
              <w:right w:val="single" w:sz="4" w:space="0" w:color="auto"/>
            </w:tcBorders>
            <w:noWrap/>
            <w:vAlign w:val="bottom"/>
            <w:hideMark/>
          </w:tcPr>
          <w:p w14:paraId="16C125E5" w14:textId="4CAD90E4" w:rsidR="00BE4A28" w:rsidRPr="001C2B0B" w:rsidRDefault="00BE4A28" w:rsidP="003D2DE4">
            <w:pPr>
              <w:jc w:val="right"/>
              <w:rPr>
                <w:rFonts w:ascii="Arial" w:hAnsi="Arial" w:cs="Arial"/>
                <w:color w:val="000000"/>
                <w:sz w:val="19"/>
                <w:szCs w:val="19"/>
                <w:lang w:val="en-GB"/>
              </w:rPr>
            </w:pPr>
            <w:r w:rsidRPr="001C2B0B">
              <w:rPr>
                <w:rFonts w:ascii="Arial" w:hAnsi="Arial" w:cs="Arial"/>
                <w:color w:val="000000"/>
                <w:sz w:val="19"/>
                <w:szCs w:val="19"/>
                <w:lang w:val="en-GB"/>
              </w:rPr>
              <w:t>21.75</w:t>
            </w:r>
          </w:p>
        </w:tc>
        <w:tc>
          <w:tcPr>
            <w:tcW w:w="1530" w:type="dxa"/>
            <w:tcBorders>
              <w:top w:val="nil"/>
              <w:left w:val="nil"/>
              <w:bottom w:val="single" w:sz="4" w:space="0" w:color="auto"/>
              <w:right w:val="single" w:sz="4" w:space="0" w:color="auto"/>
            </w:tcBorders>
            <w:noWrap/>
            <w:vAlign w:val="bottom"/>
            <w:hideMark/>
          </w:tcPr>
          <w:p w14:paraId="0AD789FA" w14:textId="03E41BAA" w:rsidR="00BE4A28" w:rsidRPr="001C2B0B" w:rsidRDefault="00BE4A28" w:rsidP="003D2DE4">
            <w:pPr>
              <w:jc w:val="right"/>
              <w:rPr>
                <w:rFonts w:ascii="Arial" w:hAnsi="Arial" w:cs="Arial"/>
                <w:color w:val="000000"/>
                <w:sz w:val="19"/>
                <w:szCs w:val="19"/>
                <w:lang w:val="en-GB"/>
              </w:rPr>
            </w:pPr>
            <w:r w:rsidRPr="001C2B0B">
              <w:rPr>
                <w:rFonts w:ascii="Arial" w:hAnsi="Arial" w:cs="Arial"/>
                <w:color w:val="000000"/>
                <w:sz w:val="19"/>
                <w:szCs w:val="19"/>
                <w:lang w:val="en-GB"/>
              </w:rPr>
              <w:t>18.34</w:t>
            </w:r>
          </w:p>
        </w:tc>
        <w:tc>
          <w:tcPr>
            <w:tcW w:w="1526" w:type="dxa"/>
            <w:tcBorders>
              <w:top w:val="nil"/>
              <w:left w:val="nil"/>
              <w:bottom w:val="single" w:sz="4" w:space="0" w:color="auto"/>
              <w:right w:val="single" w:sz="4" w:space="0" w:color="auto"/>
            </w:tcBorders>
            <w:noWrap/>
            <w:vAlign w:val="bottom"/>
            <w:hideMark/>
          </w:tcPr>
          <w:p w14:paraId="09D4EFC0" w14:textId="6105FCAE" w:rsidR="00BE4A28" w:rsidRPr="001C2B0B" w:rsidRDefault="00BE4A28" w:rsidP="003D2DE4">
            <w:pPr>
              <w:jc w:val="right"/>
              <w:rPr>
                <w:rFonts w:ascii="Arial" w:hAnsi="Arial" w:cs="Arial"/>
                <w:color w:val="000000"/>
                <w:sz w:val="19"/>
                <w:szCs w:val="19"/>
                <w:lang w:val="en-GB"/>
              </w:rPr>
            </w:pPr>
            <w:r w:rsidRPr="001C2B0B">
              <w:rPr>
                <w:rFonts w:ascii="Arial" w:hAnsi="Arial" w:cs="Arial"/>
                <w:color w:val="000000"/>
                <w:sz w:val="19"/>
                <w:szCs w:val="19"/>
                <w:lang w:val="en-GB"/>
              </w:rPr>
              <w:t>25.02</w:t>
            </w:r>
          </w:p>
        </w:tc>
        <w:tc>
          <w:tcPr>
            <w:tcW w:w="1526" w:type="dxa"/>
            <w:tcBorders>
              <w:top w:val="nil"/>
              <w:left w:val="nil"/>
              <w:bottom w:val="single" w:sz="4" w:space="0" w:color="auto"/>
              <w:right w:val="single" w:sz="4" w:space="0" w:color="auto"/>
            </w:tcBorders>
            <w:noWrap/>
            <w:vAlign w:val="bottom"/>
            <w:hideMark/>
          </w:tcPr>
          <w:p w14:paraId="48FE4781" w14:textId="4001EB08" w:rsidR="00BE4A28" w:rsidRPr="001C2B0B" w:rsidRDefault="00BE4A28" w:rsidP="003D2DE4">
            <w:pPr>
              <w:jc w:val="right"/>
              <w:rPr>
                <w:rFonts w:ascii="Arial" w:hAnsi="Arial" w:cs="Arial"/>
                <w:color w:val="000000"/>
                <w:sz w:val="19"/>
                <w:szCs w:val="19"/>
                <w:lang w:val="en-GB"/>
              </w:rPr>
            </w:pPr>
            <w:r w:rsidRPr="001C2B0B">
              <w:rPr>
                <w:rFonts w:ascii="Arial" w:hAnsi="Arial" w:cs="Arial"/>
                <w:color w:val="000000"/>
                <w:sz w:val="19"/>
                <w:szCs w:val="19"/>
                <w:lang w:val="en-GB"/>
              </w:rPr>
              <w:t>25</w:t>
            </w:r>
          </w:p>
        </w:tc>
      </w:tr>
      <w:tr w:rsidR="00BE4A28" w:rsidRPr="001C2B0B" w14:paraId="3E79A5E1" w14:textId="77777777" w:rsidTr="003D2DE4">
        <w:trPr>
          <w:trHeight w:val="306"/>
          <w:jc w:val="center"/>
        </w:trPr>
        <w:tc>
          <w:tcPr>
            <w:tcW w:w="3133" w:type="dxa"/>
            <w:tcBorders>
              <w:top w:val="nil"/>
              <w:left w:val="single" w:sz="4" w:space="0" w:color="auto"/>
              <w:bottom w:val="single" w:sz="4" w:space="0" w:color="auto"/>
              <w:right w:val="single" w:sz="4" w:space="0" w:color="auto"/>
            </w:tcBorders>
            <w:noWrap/>
            <w:vAlign w:val="bottom"/>
            <w:hideMark/>
          </w:tcPr>
          <w:p w14:paraId="41B7294D" w14:textId="42CE3AED" w:rsidR="00BE4A28" w:rsidRPr="001C2B0B" w:rsidRDefault="00BE4A28" w:rsidP="003D2DE4">
            <w:pPr>
              <w:rPr>
                <w:rFonts w:ascii="Arial" w:hAnsi="Arial" w:cs="Arial"/>
                <w:b/>
                <w:color w:val="000000"/>
                <w:sz w:val="19"/>
                <w:szCs w:val="19"/>
                <w:lang w:val="en-GB"/>
              </w:rPr>
            </w:pPr>
            <w:r w:rsidRPr="001C2B0B">
              <w:rPr>
                <w:rFonts w:ascii="Arial" w:hAnsi="Arial" w:cs="Arial"/>
                <w:b/>
                <w:color w:val="000000"/>
                <w:sz w:val="19"/>
                <w:szCs w:val="19"/>
                <w:lang w:val="en-GB"/>
              </w:rPr>
              <w:t>Gross Profit (as a % of sales)</w:t>
            </w:r>
          </w:p>
        </w:tc>
        <w:tc>
          <w:tcPr>
            <w:tcW w:w="1526" w:type="dxa"/>
            <w:tcBorders>
              <w:top w:val="nil"/>
              <w:left w:val="nil"/>
              <w:bottom w:val="single" w:sz="4" w:space="0" w:color="auto"/>
              <w:right w:val="single" w:sz="4" w:space="0" w:color="auto"/>
            </w:tcBorders>
            <w:noWrap/>
            <w:vAlign w:val="bottom"/>
            <w:hideMark/>
          </w:tcPr>
          <w:p w14:paraId="2AB84BF6" w14:textId="399C5A10" w:rsidR="00BE4A28" w:rsidRPr="001C2B0B" w:rsidRDefault="00BE4A28" w:rsidP="003D2DE4">
            <w:pPr>
              <w:jc w:val="right"/>
              <w:rPr>
                <w:rFonts w:ascii="Arial" w:hAnsi="Arial" w:cs="Arial"/>
                <w:color w:val="000000"/>
                <w:sz w:val="19"/>
                <w:szCs w:val="19"/>
                <w:lang w:val="en-GB"/>
              </w:rPr>
            </w:pPr>
            <w:r w:rsidRPr="001C2B0B">
              <w:rPr>
                <w:rFonts w:ascii="Arial" w:hAnsi="Arial" w:cs="Arial"/>
                <w:color w:val="000000"/>
                <w:sz w:val="19"/>
                <w:szCs w:val="19"/>
                <w:lang w:val="en-GB"/>
              </w:rPr>
              <w:t>78.25</w:t>
            </w:r>
          </w:p>
        </w:tc>
        <w:tc>
          <w:tcPr>
            <w:tcW w:w="1530" w:type="dxa"/>
            <w:tcBorders>
              <w:top w:val="nil"/>
              <w:left w:val="nil"/>
              <w:bottom w:val="single" w:sz="4" w:space="0" w:color="auto"/>
              <w:right w:val="single" w:sz="4" w:space="0" w:color="auto"/>
            </w:tcBorders>
            <w:noWrap/>
            <w:vAlign w:val="bottom"/>
            <w:hideMark/>
          </w:tcPr>
          <w:p w14:paraId="7B46DFCD" w14:textId="653D8354" w:rsidR="00BE4A28" w:rsidRPr="001C2B0B" w:rsidRDefault="00BE4A28" w:rsidP="003D2DE4">
            <w:pPr>
              <w:jc w:val="right"/>
              <w:rPr>
                <w:rFonts w:ascii="Arial" w:hAnsi="Arial" w:cs="Arial"/>
                <w:color w:val="000000"/>
                <w:sz w:val="19"/>
                <w:szCs w:val="19"/>
                <w:lang w:val="en-GB"/>
              </w:rPr>
            </w:pPr>
            <w:r w:rsidRPr="001C2B0B">
              <w:rPr>
                <w:rFonts w:ascii="Arial" w:hAnsi="Arial" w:cs="Arial"/>
                <w:color w:val="000000"/>
                <w:sz w:val="19"/>
                <w:szCs w:val="19"/>
                <w:lang w:val="en-GB"/>
              </w:rPr>
              <w:t>81.66</w:t>
            </w:r>
          </w:p>
        </w:tc>
        <w:tc>
          <w:tcPr>
            <w:tcW w:w="1526" w:type="dxa"/>
            <w:tcBorders>
              <w:top w:val="nil"/>
              <w:left w:val="nil"/>
              <w:bottom w:val="single" w:sz="4" w:space="0" w:color="auto"/>
              <w:right w:val="single" w:sz="4" w:space="0" w:color="auto"/>
            </w:tcBorders>
            <w:noWrap/>
            <w:vAlign w:val="bottom"/>
            <w:hideMark/>
          </w:tcPr>
          <w:p w14:paraId="6904A798" w14:textId="3DBB9AB1" w:rsidR="00BE4A28" w:rsidRPr="001C2B0B" w:rsidRDefault="00BE4A28" w:rsidP="003D2DE4">
            <w:pPr>
              <w:jc w:val="right"/>
              <w:rPr>
                <w:rFonts w:ascii="Arial" w:hAnsi="Arial" w:cs="Arial"/>
                <w:color w:val="000000"/>
                <w:sz w:val="19"/>
                <w:szCs w:val="19"/>
                <w:lang w:val="en-GB"/>
              </w:rPr>
            </w:pPr>
            <w:r w:rsidRPr="001C2B0B">
              <w:rPr>
                <w:rFonts w:ascii="Arial" w:hAnsi="Arial" w:cs="Arial"/>
                <w:color w:val="000000"/>
                <w:sz w:val="19"/>
                <w:szCs w:val="19"/>
                <w:lang w:val="en-GB"/>
              </w:rPr>
              <w:t>74.98</w:t>
            </w:r>
          </w:p>
        </w:tc>
        <w:tc>
          <w:tcPr>
            <w:tcW w:w="1526" w:type="dxa"/>
            <w:tcBorders>
              <w:top w:val="nil"/>
              <w:left w:val="nil"/>
              <w:bottom w:val="single" w:sz="4" w:space="0" w:color="auto"/>
              <w:right w:val="single" w:sz="4" w:space="0" w:color="auto"/>
            </w:tcBorders>
            <w:noWrap/>
            <w:vAlign w:val="bottom"/>
            <w:hideMark/>
          </w:tcPr>
          <w:p w14:paraId="729E5040" w14:textId="745019FD" w:rsidR="00BE4A28" w:rsidRPr="001C2B0B" w:rsidRDefault="00BE4A28" w:rsidP="003D2DE4">
            <w:pPr>
              <w:jc w:val="right"/>
              <w:rPr>
                <w:rFonts w:ascii="Arial" w:hAnsi="Arial" w:cs="Arial"/>
                <w:color w:val="000000"/>
                <w:sz w:val="19"/>
                <w:szCs w:val="19"/>
                <w:lang w:val="en-GB"/>
              </w:rPr>
            </w:pPr>
            <w:r w:rsidRPr="001C2B0B">
              <w:rPr>
                <w:rFonts w:ascii="Arial" w:hAnsi="Arial" w:cs="Arial"/>
                <w:color w:val="000000"/>
                <w:sz w:val="19"/>
                <w:szCs w:val="19"/>
                <w:lang w:val="en-GB"/>
              </w:rPr>
              <w:t>75</w:t>
            </w:r>
          </w:p>
        </w:tc>
      </w:tr>
      <w:tr w:rsidR="00BE4A28" w:rsidRPr="001C2B0B" w14:paraId="051F6526" w14:textId="77777777" w:rsidTr="003D2DE4">
        <w:trPr>
          <w:trHeight w:val="306"/>
          <w:jc w:val="center"/>
        </w:trPr>
        <w:tc>
          <w:tcPr>
            <w:tcW w:w="3133" w:type="dxa"/>
            <w:tcBorders>
              <w:top w:val="nil"/>
              <w:left w:val="single" w:sz="4" w:space="0" w:color="auto"/>
              <w:bottom w:val="single" w:sz="4" w:space="0" w:color="auto"/>
              <w:right w:val="single" w:sz="4" w:space="0" w:color="auto"/>
            </w:tcBorders>
            <w:noWrap/>
            <w:vAlign w:val="bottom"/>
            <w:hideMark/>
          </w:tcPr>
          <w:p w14:paraId="5BDD81AD" w14:textId="7CB77C26" w:rsidR="00BE4A28" w:rsidRPr="001C2B0B" w:rsidRDefault="00BE4A28" w:rsidP="003D2DE4">
            <w:pPr>
              <w:rPr>
                <w:rFonts w:ascii="Arial" w:hAnsi="Arial" w:cs="Arial"/>
                <w:b/>
                <w:color w:val="000000"/>
                <w:sz w:val="19"/>
                <w:szCs w:val="19"/>
                <w:lang w:val="en-GB"/>
              </w:rPr>
            </w:pPr>
            <w:r w:rsidRPr="001C2B0B">
              <w:rPr>
                <w:rFonts w:ascii="Arial" w:hAnsi="Arial" w:cs="Arial"/>
                <w:b/>
                <w:color w:val="000000"/>
                <w:sz w:val="19"/>
                <w:szCs w:val="19"/>
                <w:lang w:val="en-GB"/>
              </w:rPr>
              <w:t>Marketing (as a % of sales)</w:t>
            </w:r>
          </w:p>
        </w:tc>
        <w:tc>
          <w:tcPr>
            <w:tcW w:w="1526" w:type="dxa"/>
            <w:tcBorders>
              <w:top w:val="nil"/>
              <w:left w:val="nil"/>
              <w:bottom w:val="single" w:sz="4" w:space="0" w:color="auto"/>
              <w:right w:val="single" w:sz="4" w:space="0" w:color="auto"/>
            </w:tcBorders>
            <w:noWrap/>
            <w:vAlign w:val="bottom"/>
            <w:hideMark/>
          </w:tcPr>
          <w:p w14:paraId="5BC4BAFD" w14:textId="3E37EC7B" w:rsidR="00BE4A28" w:rsidRPr="001C2B0B" w:rsidRDefault="00BE4A28" w:rsidP="003D2DE4">
            <w:pPr>
              <w:jc w:val="right"/>
              <w:rPr>
                <w:rFonts w:ascii="Arial" w:hAnsi="Arial" w:cs="Arial"/>
                <w:color w:val="000000"/>
                <w:sz w:val="19"/>
                <w:szCs w:val="19"/>
                <w:lang w:val="en-GB"/>
              </w:rPr>
            </w:pPr>
            <w:r w:rsidRPr="001C2B0B">
              <w:rPr>
                <w:rFonts w:ascii="Arial" w:hAnsi="Arial" w:cs="Arial"/>
                <w:color w:val="000000"/>
                <w:sz w:val="19"/>
                <w:szCs w:val="19"/>
                <w:lang w:val="en-GB"/>
              </w:rPr>
              <w:t>10.66</w:t>
            </w:r>
          </w:p>
        </w:tc>
        <w:tc>
          <w:tcPr>
            <w:tcW w:w="1530" w:type="dxa"/>
            <w:tcBorders>
              <w:top w:val="nil"/>
              <w:left w:val="nil"/>
              <w:bottom w:val="single" w:sz="4" w:space="0" w:color="auto"/>
              <w:right w:val="single" w:sz="4" w:space="0" w:color="auto"/>
            </w:tcBorders>
            <w:noWrap/>
            <w:vAlign w:val="bottom"/>
            <w:hideMark/>
          </w:tcPr>
          <w:p w14:paraId="25466064" w14:textId="3301C05D" w:rsidR="00BE4A28" w:rsidRPr="001C2B0B" w:rsidRDefault="00BE4A28" w:rsidP="003D2DE4">
            <w:pPr>
              <w:jc w:val="right"/>
              <w:rPr>
                <w:rFonts w:ascii="Arial" w:hAnsi="Arial" w:cs="Arial"/>
                <w:color w:val="000000"/>
                <w:sz w:val="19"/>
                <w:szCs w:val="19"/>
                <w:lang w:val="en-GB"/>
              </w:rPr>
            </w:pPr>
            <w:r w:rsidRPr="001C2B0B">
              <w:rPr>
                <w:rFonts w:ascii="Arial" w:hAnsi="Arial" w:cs="Arial"/>
                <w:color w:val="000000"/>
                <w:sz w:val="19"/>
                <w:szCs w:val="19"/>
                <w:lang w:val="en-GB"/>
              </w:rPr>
              <w:t>15.83</w:t>
            </w:r>
          </w:p>
        </w:tc>
        <w:tc>
          <w:tcPr>
            <w:tcW w:w="1526" w:type="dxa"/>
            <w:tcBorders>
              <w:top w:val="nil"/>
              <w:left w:val="nil"/>
              <w:bottom w:val="single" w:sz="4" w:space="0" w:color="auto"/>
              <w:right w:val="single" w:sz="4" w:space="0" w:color="auto"/>
            </w:tcBorders>
            <w:noWrap/>
            <w:vAlign w:val="bottom"/>
            <w:hideMark/>
          </w:tcPr>
          <w:p w14:paraId="17ECA60F" w14:textId="612A5F53" w:rsidR="00BE4A28" w:rsidRPr="001C2B0B" w:rsidRDefault="00BE4A28" w:rsidP="003D2DE4">
            <w:pPr>
              <w:jc w:val="right"/>
              <w:rPr>
                <w:rFonts w:ascii="Arial" w:hAnsi="Arial" w:cs="Arial"/>
                <w:color w:val="000000"/>
                <w:sz w:val="19"/>
                <w:szCs w:val="19"/>
                <w:lang w:val="en-GB"/>
              </w:rPr>
            </w:pPr>
            <w:r w:rsidRPr="001C2B0B">
              <w:rPr>
                <w:rFonts w:ascii="Arial" w:hAnsi="Arial" w:cs="Arial"/>
                <w:color w:val="000000"/>
                <w:sz w:val="19"/>
                <w:szCs w:val="19"/>
                <w:lang w:val="en-GB"/>
              </w:rPr>
              <w:t>18.51</w:t>
            </w:r>
          </w:p>
        </w:tc>
        <w:tc>
          <w:tcPr>
            <w:tcW w:w="1526" w:type="dxa"/>
            <w:tcBorders>
              <w:top w:val="nil"/>
              <w:left w:val="nil"/>
              <w:bottom w:val="single" w:sz="4" w:space="0" w:color="auto"/>
              <w:right w:val="single" w:sz="4" w:space="0" w:color="auto"/>
            </w:tcBorders>
            <w:noWrap/>
            <w:vAlign w:val="bottom"/>
            <w:hideMark/>
          </w:tcPr>
          <w:p w14:paraId="6CAB5D18" w14:textId="77777777" w:rsidR="00BE4A28" w:rsidRPr="001C2B0B" w:rsidRDefault="00BE4A28" w:rsidP="009577CF">
            <w:pPr>
              <w:rPr>
                <w:rFonts w:ascii="Arial" w:hAnsi="Arial" w:cs="Arial"/>
                <w:color w:val="000000"/>
                <w:sz w:val="19"/>
                <w:szCs w:val="19"/>
                <w:lang w:val="en-GB"/>
              </w:rPr>
            </w:pPr>
            <w:r w:rsidRPr="001C2B0B">
              <w:rPr>
                <w:rFonts w:ascii="Arial" w:hAnsi="Arial" w:cs="Arial"/>
                <w:color w:val="000000"/>
                <w:sz w:val="19"/>
                <w:szCs w:val="19"/>
                <w:lang w:val="en-GB"/>
              </w:rPr>
              <w:t> </w:t>
            </w:r>
          </w:p>
        </w:tc>
      </w:tr>
      <w:tr w:rsidR="00BE4A28" w:rsidRPr="001C2B0B" w14:paraId="585824BF" w14:textId="77777777" w:rsidTr="003D2DE4">
        <w:trPr>
          <w:trHeight w:val="306"/>
          <w:jc w:val="center"/>
        </w:trPr>
        <w:tc>
          <w:tcPr>
            <w:tcW w:w="3133" w:type="dxa"/>
            <w:tcBorders>
              <w:top w:val="nil"/>
              <w:left w:val="single" w:sz="4" w:space="0" w:color="auto"/>
              <w:bottom w:val="single" w:sz="4" w:space="0" w:color="auto"/>
              <w:right w:val="single" w:sz="4" w:space="0" w:color="auto"/>
            </w:tcBorders>
            <w:noWrap/>
            <w:vAlign w:val="bottom"/>
            <w:hideMark/>
          </w:tcPr>
          <w:p w14:paraId="207806FF" w14:textId="77777777" w:rsidR="00BE4A28" w:rsidRPr="001C2B0B" w:rsidRDefault="00BE4A28" w:rsidP="009577CF">
            <w:pPr>
              <w:rPr>
                <w:rFonts w:ascii="Arial" w:hAnsi="Arial" w:cs="Arial"/>
                <w:b/>
                <w:color w:val="000000"/>
                <w:sz w:val="19"/>
                <w:szCs w:val="19"/>
                <w:lang w:val="en-GB"/>
              </w:rPr>
            </w:pPr>
            <w:r w:rsidRPr="001C2B0B">
              <w:rPr>
                <w:rFonts w:ascii="Arial" w:hAnsi="Arial" w:cs="Arial"/>
                <w:b/>
                <w:color w:val="000000"/>
                <w:sz w:val="19"/>
                <w:szCs w:val="19"/>
                <w:lang w:val="en-GB"/>
              </w:rPr>
              <w:t>Payroll (as a % of sales)</w:t>
            </w:r>
          </w:p>
        </w:tc>
        <w:tc>
          <w:tcPr>
            <w:tcW w:w="1526" w:type="dxa"/>
            <w:tcBorders>
              <w:top w:val="nil"/>
              <w:left w:val="nil"/>
              <w:bottom w:val="single" w:sz="4" w:space="0" w:color="auto"/>
              <w:right w:val="single" w:sz="4" w:space="0" w:color="auto"/>
            </w:tcBorders>
            <w:noWrap/>
            <w:vAlign w:val="bottom"/>
            <w:hideMark/>
          </w:tcPr>
          <w:p w14:paraId="37B13436" w14:textId="02780E44" w:rsidR="00BE4A28" w:rsidRPr="001C2B0B" w:rsidRDefault="00BE4A28" w:rsidP="003D2DE4">
            <w:pPr>
              <w:jc w:val="right"/>
              <w:rPr>
                <w:rFonts w:ascii="Arial" w:hAnsi="Arial" w:cs="Arial"/>
                <w:color w:val="000000"/>
                <w:sz w:val="19"/>
                <w:szCs w:val="19"/>
                <w:lang w:val="en-GB"/>
              </w:rPr>
            </w:pPr>
            <w:r w:rsidRPr="001C2B0B">
              <w:rPr>
                <w:rFonts w:ascii="Arial" w:hAnsi="Arial" w:cs="Arial"/>
                <w:color w:val="000000"/>
                <w:sz w:val="19"/>
                <w:szCs w:val="19"/>
                <w:lang w:val="en-GB"/>
              </w:rPr>
              <w:t>28.86</w:t>
            </w:r>
          </w:p>
        </w:tc>
        <w:tc>
          <w:tcPr>
            <w:tcW w:w="1530" w:type="dxa"/>
            <w:tcBorders>
              <w:top w:val="nil"/>
              <w:left w:val="nil"/>
              <w:bottom w:val="single" w:sz="4" w:space="0" w:color="auto"/>
              <w:right w:val="single" w:sz="4" w:space="0" w:color="auto"/>
            </w:tcBorders>
            <w:noWrap/>
            <w:vAlign w:val="bottom"/>
            <w:hideMark/>
          </w:tcPr>
          <w:p w14:paraId="242CD1B6" w14:textId="5540D394" w:rsidR="00BE4A28" w:rsidRPr="001C2B0B" w:rsidRDefault="00BE4A28" w:rsidP="003D2DE4">
            <w:pPr>
              <w:jc w:val="right"/>
              <w:rPr>
                <w:rFonts w:ascii="Arial" w:hAnsi="Arial" w:cs="Arial"/>
                <w:color w:val="000000"/>
                <w:sz w:val="19"/>
                <w:szCs w:val="19"/>
                <w:lang w:val="en-GB"/>
              </w:rPr>
            </w:pPr>
            <w:r w:rsidRPr="001C2B0B">
              <w:rPr>
                <w:rFonts w:ascii="Arial" w:hAnsi="Arial" w:cs="Arial"/>
                <w:color w:val="000000"/>
                <w:sz w:val="19"/>
                <w:szCs w:val="19"/>
                <w:lang w:val="en-GB"/>
              </w:rPr>
              <w:t>25.75</w:t>
            </w:r>
          </w:p>
        </w:tc>
        <w:tc>
          <w:tcPr>
            <w:tcW w:w="1526" w:type="dxa"/>
            <w:tcBorders>
              <w:top w:val="nil"/>
              <w:left w:val="nil"/>
              <w:bottom w:val="single" w:sz="4" w:space="0" w:color="auto"/>
              <w:right w:val="single" w:sz="4" w:space="0" w:color="auto"/>
            </w:tcBorders>
            <w:noWrap/>
            <w:vAlign w:val="bottom"/>
            <w:hideMark/>
          </w:tcPr>
          <w:p w14:paraId="667601A4" w14:textId="3197E9FD" w:rsidR="00BE4A28" w:rsidRPr="001C2B0B" w:rsidRDefault="00BE4A28" w:rsidP="003D2DE4">
            <w:pPr>
              <w:jc w:val="right"/>
              <w:rPr>
                <w:rFonts w:ascii="Arial" w:hAnsi="Arial" w:cs="Arial"/>
                <w:color w:val="000000"/>
                <w:sz w:val="19"/>
                <w:szCs w:val="19"/>
                <w:lang w:val="en-GB"/>
              </w:rPr>
            </w:pPr>
            <w:r w:rsidRPr="001C2B0B">
              <w:rPr>
                <w:rFonts w:ascii="Arial" w:hAnsi="Arial" w:cs="Arial"/>
                <w:color w:val="000000"/>
                <w:sz w:val="19"/>
                <w:szCs w:val="19"/>
                <w:lang w:val="en-GB"/>
              </w:rPr>
              <w:t>29.23</w:t>
            </w:r>
          </w:p>
        </w:tc>
        <w:tc>
          <w:tcPr>
            <w:tcW w:w="1526" w:type="dxa"/>
            <w:tcBorders>
              <w:top w:val="nil"/>
              <w:left w:val="nil"/>
              <w:bottom w:val="single" w:sz="4" w:space="0" w:color="auto"/>
              <w:right w:val="single" w:sz="4" w:space="0" w:color="auto"/>
            </w:tcBorders>
            <w:noWrap/>
            <w:vAlign w:val="bottom"/>
            <w:hideMark/>
          </w:tcPr>
          <w:p w14:paraId="5829D834" w14:textId="77777777" w:rsidR="00BE4A28" w:rsidRPr="001C2B0B" w:rsidRDefault="00BE4A28" w:rsidP="009577CF">
            <w:pPr>
              <w:rPr>
                <w:rFonts w:ascii="Arial" w:hAnsi="Arial" w:cs="Arial"/>
                <w:color w:val="000000"/>
                <w:sz w:val="19"/>
                <w:szCs w:val="19"/>
                <w:lang w:val="en-GB"/>
              </w:rPr>
            </w:pPr>
            <w:r w:rsidRPr="001C2B0B">
              <w:rPr>
                <w:rFonts w:ascii="Arial" w:hAnsi="Arial" w:cs="Arial"/>
                <w:color w:val="000000"/>
                <w:sz w:val="19"/>
                <w:szCs w:val="19"/>
                <w:lang w:val="en-GB"/>
              </w:rPr>
              <w:t> </w:t>
            </w:r>
          </w:p>
        </w:tc>
      </w:tr>
      <w:tr w:rsidR="00BE4A28" w:rsidRPr="001C2B0B" w14:paraId="34DF8113" w14:textId="77777777" w:rsidTr="003D2DE4">
        <w:trPr>
          <w:trHeight w:val="306"/>
          <w:jc w:val="center"/>
        </w:trPr>
        <w:tc>
          <w:tcPr>
            <w:tcW w:w="3133" w:type="dxa"/>
            <w:tcBorders>
              <w:top w:val="nil"/>
              <w:left w:val="single" w:sz="4" w:space="0" w:color="auto"/>
              <w:bottom w:val="single" w:sz="4" w:space="0" w:color="auto"/>
              <w:right w:val="single" w:sz="4" w:space="0" w:color="auto"/>
            </w:tcBorders>
            <w:noWrap/>
            <w:vAlign w:val="bottom"/>
            <w:hideMark/>
          </w:tcPr>
          <w:p w14:paraId="488695C4" w14:textId="2622A6C8" w:rsidR="00BE4A28" w:rsidRPr="001C2B0B" w:rsidRDefault="00BE4A28" w:rsidP="003D2DE4">
            <w:pPr>
              <w:rPr>
                <w:rFonts w:ascii="Arial" w:hAnsi="Arial" w:cs="Arial"/>
                <w:b/>
                <w:color w:val="000000"/>
                <w:sz w:val="19"/>
                <w:szCs w:val="19"/>
                <w:lang w:val="en-GB"/>
              </w:rPr>
            </w:pPr>
            <w:r w:rsidRPr="001C2B0B">
              <w:rPr>
                <w:rFonts w:ascii="Arial" w:hAnsi="Arial" w:cs="Arial"/>
                <w:b/>
                <w:color w:val="000000"/>
                <w:sz w:val="19"/>
                <w:szCs w:val="19"/>
                <w:lang w:val="en-GB"/>
              </w:rPr>
              <w:t>Net Income (as a % of sales)</w:t>
            </w:r>
          </w:p>
        </w:tc>
        <w:tc>
          <w:tcPr>
            <w:tcW w:w="1526" w:type="dxa"/>
            <w:tcBorders>
              <w:top w:val="nil"/>
              <w:left w:val="nil"/>
              <w:bottom w:val="single" w:sz="4" w:space="0" w:color="auto"/>
              <w:right w:val="single" w:sz="4" w:space="0" w:color="auto"/>
            </w:tcBorders>
            <w:noWrap/>
            <w:vAlign w:val="bottom"/>
            <w:hideMark/>
          </w:tcPr>
          <w:p w14:paraId="6E2C6CFF" w14:textId="52C8098A" w:rsidR="00BE4A28" w:rsidRPr="001C2B0B" w:rsidRDefault="00BE4A28" w:rsidP="003D2DE4">
            <w:pPr>
              <w:jc w:val="right"/>
              <w:rPr>
                <w:rFonts w:ascii="Arial" w:hAnsi="Arial" w:cs="Arial"/>
                <w:color w:val="000000"/>
                <w:sz w:val="19"/>
                <w:szCs w:val="19"/>
                <w:lang w:val="en-GB"/>
              </w:rPr>
            </w:pPr>
            <w:r w:rsidRPr="001C2B0B">
              <w:rPr>
                <w:rFonts w:ascii="Arial" w:hAnsi="Arial" w:cs="Arial"/>
                <w:color w:val="000000"/>
                <w:sz w:val="19"/>
                <w:szCs w:val="19"/>
                <w:lang w:val="en-GB"/>
              </w:rPr>
              <w:t>22.50</w:t>
            </w:r>
          </w:p>
        </w:tc>
        <w:tc>
          <w:tcPr>
            <w:tcW w:w="1530" w:type="dxa"/>
            <w:tcBorders>
              <w:top w:val="nil"/>
              <w:left w:val="nil"/>
              <w:bottom w:val="single" w:sz="4" w:space="0" w:color="auto"/>
              <w:right w:val="single" w:sz="4" w:space="0" w:color="auto"/>
            </w:tcBorders>
            <w:noWrap/>
            <w:vAlign w:val="bottom"/>
            <w:hideMark/>
          </w:tcPr>
          <w:p w14:paraId="395E68F3" w14:textId="5F22CDDF" w:rsidR="00BE4A28" w:rsidRPr="001C2B0B" w:rsidRDefault="00BE4A28" w:rsidP="003D2DE4">
            <w:pPr>
              <w:jc w:val="right"/>
              <w:rPr>
                <w:rFonts w:ascii="Arial" w:hAnsi="Arial" w:cs="Arial"/>
                <w:color w:val="000000"/>
                <w:sz w:val="19"/>
                <w:szCs w:val="19"/>
                <w:lang w:val="en-GB"/>
              </w:rPr>
            </w:pPr>
            <w:r w:rsidRPr="001C2B0B">
              <w:rPr>
                <w:rFonts w:ascii="Arial" w:hAnsi="Arial" w:cs="Arial"/>
                <w:color w:val="000000"/>
                <w:sz w:val="19"/>
                <w:szCs w:val="19"/>
                <w:lang w:val="en-GB"/>
              </w:rPr>
              <w:t>21.90</w:t>
            </w:r>
          </w:p>
        </w:tc>
        <w:tc>
          <w:tcPr>
            <w:tcW w:w="1526" w:type="dxa"/>
            <w:tcBorders>
              <w:top w:val="nil"/>
              <w:left w:val="nil"/>
              <w:bottom w:val="single" w:sz="4" w:space="0" w:color="auto"/>
              <w:right w:val="single" w:sz="4" w:space="0" w:color="auto"/>
            </w:tcBorders>
            <w:noWrap/>
            <w:vAlign w:val="bottom"/>
            <w:hideMark/>
          </w:tcPr>
          <w:p w14:paraId="75ED04EC" w14:textId="2BF86BE6" w:rsidR="00BE4A28" w:rsidRPr="001C2B0B" w:rsidRDefault="00BE4A28" w:rsidP="003D2DE4">
            <w:pPr>
              <w:jc w:val="right"/>
              <w:rPr>
                <w:rFonts w:ascii="Arial" w:hAnsi="Arial" w:cs="Arial"/>
                <w:color w:val="000000"/>
                <w:sz w:val="19"/>
                <w:szCs w:val="19"/>
                <w:lang w:val="en-GB"/>
              </w:rPr>
            </w:pPr>
            <w:r w:rsidRPr="001C2B0B">
              <w:rPr>
                <w:rFonts w:ascii="Arial" w:hAnsi="Arial" w:cs="Arial"/>
                <w:color w:val="000000"/>
                <w:sz w:val="19"/>
                <w:szCs w:val="19"/>
                <w:lang w:val="en-GB"/>
              </w:rPr>
              <w:t>9.52</w:t>
            </w:r>
          </w:p>
        </w:tc>
        <w:tc>
          <w:tcPr>
            <w:tcW w:w="1526" w:type="dxa"/>
            <w:tcBorders>
              <w:top w:val="nil"/>
              <w:left w:val="nil"/>
              <w:bottom w:val="single" w:sz="4" w:space="0" w:color="auto"/>
              <w:right w:val="single" w:sz="4" w:space="0" w:color="auto"/>
            </w:tcBorders>
            <w:noWrap/>
            <w:vAlign w:val="bottom"/>
          </w:tcPr>
          <w:p w14:paraId="20E2B8FD" w14:textId="77777777" w:rsidR="00BE4A28" w:rsidRPr="001C2B0B" w:rsidRDefault="00BE4A28" w:rsidP="009577CF">
            <w:pPr>
              <w:rPr>
                <w:rFonts w:ascii="Arial" w:hAnsi="Arial" w:cs="Arial"/>
                <w:color w:val="000000"/>
                <w:sz w:val="19"/>
                <w:szCs w:val="19"/>
                <w:lang w:val="en-GB"/>
              </w:rPr>
            </w:pPr>
          </w:p>
        </w:tc>
      </w:tr>
    </w:tbl>
    <w:p w14:paraId="74C9B256" w14:textId="77777777" w:rsidR="003F3051" w:rsidRDefault="003F3051" w:rsidP="009936ED">
      <w:pPr>
        <w:pStyle w:val="FootnoteText1"/>
        <w:rPr>
          <w:lang w:val="en-GB"/>
        </w:rPr>
      </w:pPr>
    </w:p>
    <w:p w14:paraId="33BBAB27" w14:textId="5AEA9650" w:rsidR="009936ED" w:rsidRPr="009577CF" w:rsidRDefault="00495F26" w:rsidP="009936ED">
      <w:pPr>
        <w:pStyle w:val="FootnoteText1"/>
        <w:rPr>
          <w:lang w:val="en-GB"/>
        </w:rPr>
      </w:pPr>
      <w:r>
        <w:rPr>
          <w:lang w:val="en-GB"/>
        </w:rPr>
        <w:t xml:space="preserve">Note: </w:t>
      </w:r>
      <w:r w:rsidR="008F5DD5">
        <w:rPr>
          <w:lang w:val="en-GB"/>
        </w:rPr>
        <w:t>COGS = cost of goods sold</w:t>
      </w:r>
      <w:r w:rsidR="00A62ECB">
        <w:rPr>
          <w:lang w:val="en-GB"/>
        </w:rPr>
        <w:t>.</w:t>
      </w:r>
      <w:r w:rsidR="008F5DD5">
        <w:rPr>
          <w:lang w:val="en-GB"/>
        </w:rPr>
        <w:t xml:space="preserve"> </w:t>
      </w:r>
      <w:r w:rsidR="009936ED" w:rsidRPr="009577CF">
        <w:rPr>
          <w:lang w:val="en-GB"/>
        </w:rPr>
        <w:t>The material in this exhibit has been disguised for reasons of confidentiality</w:t>
      </w:r>
      <w:r>
        <w:rPr>
          <w:lang w:val="en-GB"/>
        </w:rPr>
        <w:t>.</w:t>
      </w:r>
      <w:r w:rsidR="008F5DD5">
        <w:rPr>
          <w:lang w:val="en-GB"/>
        </w:rPr>
        <w:t xml:space="preserve"> </w:t>
      </w:r>
      <w:r w:rsidR="009936ED" w:rsidRPr="009577CF">
        <w:rPr>
          <w:lang w:val="en-GB"/>
        </w:rPr>
        <w:t>Forecasted sales for 2017 were provided as of Nov</w:t>
      </w:r>
      <w:r w:rsidR="008F5DD5">
        <w:rPr>
          <w:lang w:val="en-GB"/>
        </w:rPr>
        <w:t>ember</w:t>
      </w:r>
      <w:r w:rsidR="009936ED" w:rsidRPr="009577CF">
        <w:rPr>
          <w:lang w:val="en-GB"/>
        </w:rPr>
        <w:t xml:space="preserve"> 30, 2016</w:t>
      </w:r>
      <w:r w:rsidR="008F5DD5">
        <w:rPr>
          <w:lang w:val="en-GB"/>
        </w:rPr>
        <w:t>.</w:t>
      </w:r>
    </w:p>
    <w:p w14:paraId="753553DA" w14:textId="5D917571" w:rsidR="009936ED" w:rsidRPr="009577CF" w:rsidRDefault="009936ED" w:rsidP="009936ED">
      <w:pPr>
        <w:pStyle w:val="FootnoteText1"/>
        <w:rPr>
          <w:lang w:val="en-GB"/>
        </w:rPr>
      </w:pPr>
      <w:r w:rsidRPr="009577CF">
        <w:rPr>
          <w:lang w:val="en-GB"/>
        </w:rPr>
        <w:t xml:space="preserve">Source: Company </w:t>
      </w:r>
      <w:r w:rsidR="00BD2109">
        <w:rPr>
          <w:lang w:val="en-GB"/>
        </w:rPr>
        <w:t>files.</w:t>
      </w:r>
      <w:r w:rsidRPr="009577CF">
        <w:rPr>
          <w:lang w:val="en-GB"/>
        </w:rPr>
        <w:t xml:space="preserve"> </w:t>
      </w:r>
    </w:p>
    <w:p w14:paraId="302DA2DC" w14:textId="77777777" w:rsidR="007B69D6" w:rsidRPr="009577CF" w:rsidRDefault="007B69D6" w:rsidP="009936ED">
      <w:pPr>
        <w:pStyle w:val="BodyText"/>
        <w:rPr>
          <w:color w:val="000000"/>
          <w:lang w:val="en-GB"/>
        </w:rPr>
      </w:pPr>
    </w:p>
    <w:p w14:paraId="61CDB1E7" w14:textId="77777777" w:rsidR="007B69D6" w:rsidRPr="009577CF" w:rsidRDefault="007B69D6" w:rsidP="009936ED">
      <w:pPr>
        <w:pStyle w:val="BodyText"/>
        <w:rPr>
          <w:color w:val="000000"/>
          <w:lang w:val="en-GB"/>
        </w:rPr>
      </w:pPr>
    </w:p>
    <w:p w14:paraId="1F7AA162" w14:textId="7DB60489" w:rsidR="006446AB" w:rsidRPr="009577CF" w:rsidRDefault="007B69D6" w:rsidP="009936ED">
      <w:pPr>
        <w:pStyle w:val="casehead1"/>
        <w:jc w:val="center"/>
        <w:rPr>
          <w:lang w:val="en-GB"/>
        </w:rPr>
      </w:pPr>
      <w:r w:rsidRPr="009577CF">
        <w:rPr>
          <w:lang w:val="en-GB"/>
        </w:rPr>
        <w:t xml:space="preserve">Exhibit </w:t>
      </w:r>
      <w:r w:rsidR="00361BD1" w:rsidRPr="009577CF">
        <w:rPr>
          <w:lang w:val="en-GB"/>
        </w:rPr>
        <w:t>2</w:t>
      </w:r>
      <w:r w:rsidR="009936ED" w:rsidRPr="009577CF">
        <w:rPr>
          <w:lang w:val="en-GB"/>
        </w:rPr>
        <w:t xml:space="preserve">: </w:t>
      </w:r>
      <w:r w:rsidR="008F5DD5">
        <w:rPr>
          <w:lang w:val="en-GB"/>
        </w:rPr>
        <w:t>Hillberg &amp; Berk</w:t>
      </w:r>
      <w:r w:rsidR="00C74548">
        <w:rPr>
          <w:lang w:val="en-GB"/>
        </w:rPr>
        <w:t>’s</w:t>
      </w:r>
      <w:r w:rsidR="008F5DD5">
        <w:rPr>
          <w:lang w:val="en-GB"/>
        </w:rPr>
        <w:t xml:space="preserve"> </w:t>
      </w:r>
      <w:r w:rsidR="006446AB" w:rsidRPr="009577CF">
        <w:rPr>
          <w:lang w:val="en-GB"/>
        </w:rPr>
        <w:t>COMPETITOR</w:t>
      </w:r>
      <w:r w:rsidR="00BE4A28" w:rsidRPr="009577CF">
        <w:rPr>
          <w:lang w:val="en-GB"/>
        </w:rPr>
        <w:t xml:space="preserve"> PRODUCT</w:t>
      </w:r>
      <w:r w:rsidR="006446AB" w:rsidRPr="009577CF">
        <w:rPr>
          <w:lang w:val="en-GB"/>
        </w:rPr>
        <w:t xml:space="preserve"> ANALYSIS</w:t>
      </w:r>
    </w:p>
    <w:p w14:paraId="2280BAE2" w14:textId="77777777" w:rsidR="00BE4A28" w:rsidRPr="009577CF" w:rsidRDefault="00BE4A28" w:rsidP="009936ED">
      <w:pPr>
        <w:pStyle w:val="BodyText"/>
        <w:rPr>
          <w:sz w:val="16"/>
          <w:szCs w:val="16"/>
          <w:lang w:val="en-GB"/>
        </w:rPr>
      </w:pPr>
    </w:p>
    <w:tbl>
      <w:tblPr>
        <w:tblStyle w:val="TableGrid"/>
        <w:tblW w:w="5765" w:type="dxa"/>
        <w:jc w:val="center"/>
        <w:tblLook w:val="04A0" w:firstRow="1" w:lastRow="0" w:firstColumn="1" w:lastColumn="0" w:noHBand="0" w:noVBand="1"/>
      </w:tblPr>
      <w:tblGrid>
        <w:gridCol w:w="2270"/>
        <w:gridCol w:w="3495"/>
      </w:tblGrid>
      <w:tr w:rsidR="00BE4A28" w:rsidRPr="001C2B0B" w14:paraId="70539A59" w14:textId="77777777" w:rsidTr="009F2F1B">
        <w:trPr>
          <w:trHeight w:val="20"/>
          <w:jc w:val="center"/>
        </w:trPr>
        <w:tc>
          <w:tcPr>
            <w:tcW w:w="2270" w:type="dxa"/>
          </w:tcPr>
          <w:p w14:paraId="2B40F6A2" w14:textId="27B77D27" w:rsidR="00BE4A28" w:rsidRPr="001C2B0B" w:rsidRDefault="00BE4A28" w:rsidP="009577CF">
            <w:pPr>
              <w:rPr>
                <w:rFonts w:ascii="Arial" w:hAnsi="Arial" w:cs="Arial"/>
                <w:b/>
                <w:color w:val="000000"/>
                <w:sz w:val="19"/>
                <w:szCs w:val="19"/>
                <w:lang w:val="en-GB"/>
              </w:rPr>
            </w:pPr>
            <w:r w:rsidRPr="001C2B0B">
              <w:rPr>
                <w:rFonts w:ascii="Arial" w:hAnsi="Arial" w:cs="Arial"/>
                <w:b/>
                <w:color w:val="000000"/>
                <w:sz w:val="19"/>
                <w:szCs w:val="19"/>
                <w:lang w:val="en-GB"/>
              </w:rPr>
              <w:t xml:space="preserve">Brand </w:t>
            </w:r>
          </w:p>
        </w:tc>
        <w:tc>
          <w:tcPr>
            <w:tcW w:w="3495" w:type="dxa"/>
          </w:tcPr>
          <w:p w14:paraId="764280C9" w14:textId="77777777" w:rsidR="00BE4A28" w:rsidRPr="001C2B0B" w:rsidRDefault="00BE4A28" w:rsidP="009577CF">
            <w:pPr>
              <w:rPr>
                <w:rFonts w:ascii="Arial" w:hAnsi="Arial" w:cs="Arial"/>
                <w:b/>
                <w:color w:val="000000"/>
                <w:sz w:val="19"/>
                <w:szCs w:val="19"/>
                <w:lang w:val="en-GB"/>
              </w:rPr>
            </w:pPr>
            <w:r w:rsidRPr="001C2B0B">
              <w:rPr>
                <w:rFonts w:ascii="Arial" w:hAnsi="Arial" w:cs="Arial"/>
                <w:b/>
                <w:color w:val="000000"/>
                <w:sz w:val="19"/>
                <w:szCs w:val="19"/>
                <w:lang w:val="en-GB"/>
              </w:rPr>
              <w:t>Earring Collection Range</w:t>
            </w:r>
          </w:p>
        </w:tc>
      </w:tr>
      <w:tr w:rsidR="00BE4A28" w:rsidRPr="001C2B0B" w14:paraId="4A5E362F" w14:textId="77777777" w:rsidTr="009F2F1B">
        <w:trPr>
          <w:trHeight w:val="20"/>
          <w:jc w:val="center"/>
        </w:trPr>
        <w:tc>
          <w:tcPr>
            <w:tcW w:w="2270" w:type="dxa"/>
          </w:tcPr>
          <w:p w14:paraId="525547EF" w14:textId="77777777" w:rsidR="00BE4A28" w:rsidRPr="001C2B0B" w:rsidRDefault="00BE4A28" w:rsidP="009577CF">
            <w:pPr>
              <w:rPr>
                <w:rFonts w:ascii="Arial" w:hAnsi="Arial" w:cs="Arial"/>
                <w:b/>
                <w:color w:val="000000"/>
                <w:sz w:val="19"/>
                <w:szCs w:val="19"/>
                <w:lang w:val="en-GB"/>
              </w:rPr>
            </w:pPr>
            <w:r w:rsidRPr="001C2B0B">
              <w:rPr>
                <w:rFonts w:ascii="Arial" w:hAnsi="Arial" w:cs="Arial"/>
                <w:b/>
                <w:color w:val="000000"/>
                <w:sz w:val="19"/>
                <w:szCs w:val="19"/>
                <w:lang w:val="en-GB"/>
              </w:rPr>
              <w:t>Swarovski</w:t>
            </w:r>
          </w:p>
        </w:tc>
        <w:tc>
          <w:tcPr>
            <w:tcW w:w="3495" w:type="dxa"/>
          </w:tcPr>
          <w:p w14:paraId="2CB5828D" w14:textId="0E41DFC0" w:rsidR="00BE4A28" w:rsidRPr="001C2B0B" w:rsidRDefault="008F5DD5" w:rsidP="008F5DD5">
            <w:pPr>
              <w:rPr>
                <w:rFonts w:ascii="Arial" w:hAnsi="Arial" w:cs="Arial"/>
                <w:color w:val="000000"/>
                <w:sz w:val="19"/>
                <w:szCs w:val="19"/>
                <w:lang w:val="en-GB"/>
              </w:rPr>
            </w:pPr>
            <w:r w:rsidRPr="001C2B0B">
              <w:rPr>
                <w:rFonts w:ascii="Arial" w:hAnsi="Arial" w:cs="Arial"/>
                <w:color w:val="000000"/>
                <w:sz w:val="19"/>
                <w:szCs w:val="19"/>
                <w:lang w:val="en-GB"/>
              </w:rPr>
              <w:t>CA</w:t>
            </w:r>
            <w:r w:rsidR="00BE4A28" w:rsidRPr="001C2B0B">
              <w:rPr>
                <w:rFonts w:ascii="Arial" w:hAnsi="Arial" w:cs="Arial"/>
                <w:color w:val="000000"/>
                <w:sz w:val="19"/>
                <w:szCs w:val="19"/>
                <w:lang w:val="en-GB"/>
              </w:rPr>
              <w:t>$69</w:t>
            </w:r>
            <w:r w:rsidR="001220F6" w:rsidRPr="001C2B0B">
              <w:rPr>
                <w:rFonts w:ascii="Arial" w:hAnsi="Arial" w:cs="Arial"/>
                <w:color w:val="000000"/>
                <w:sz w:val="19"/>
                <w:szCs w:val="19"/>
                <w:lang w:val="en-GB"/>
              </w:rPr>
              <w:t>–</w:t>
            </w:r>
            <w:r w:rsidR="00BE4A28" w:rsidRPr="001C2B0B">
              <w:rPr>
                <w:rFonts w:ascii="Arial" w:hAnsi="Arial" w:cs="Arial"/>
                <w:color w:val="000000"/>
                <w:sz w:val="19"/>
                <w:szCs w:val="19"/>
                <w:lang w:val="en-GB"/>
              </w:rPr>
              <w:t>$345</w:t>
            </w:r>
          </w:p>
        </w:tc>
      </w:tr>
      <w:tr w:rsidR="00BE4A28" w:rsidRPr="001C2B0B" w14:paraId="0A9991CF" w14:textId="77777777" w:rsidTr="009F2F1B">
        <w:trPr>
          <w:trHeight w:val="20"/>
          <w:jc w:val="center"/>
        </w:trPr>
        <w:tc>
          <w:tcPr>
            <w:tcW w:w="2270" w:type="dxa"/>
          </w:tcPr>
          <w:p w14:paraId="1B51968C" w14:textId="3D605107" w:rsidR="00BE4A28" w:rsidRPr="001C2B0B" w:rsidRDefault="00D07136" w:rsidP="009577CF">
            <w:pPr>
              <w:rPr>
                <w:rFonts w:ascii="Arial" w:hAnsi="Arial" w:cs="Arial"/>
                <w:b/>
                <w:color w:val="000000"/>
                <w:sz w:val="19"/>
                <w:szCs w:val="19"/>
                <w:lang w:val="en-GB"/>
              </w:rPr>
            </w:pPr>
            <w:r w:rsidRPr="001C2B0B">
              <w:rPr>
                <w:rFonts w:ascii="Arial" w:hAnsi="Arial" w:cs="Arial"/>
                <w:b/>
                <w:color w:val="000000"/>
                <w:sz w:val="19"/>
                <w:szCs w:val="19"/>
                <w:lang w:val="en-GB"/>
              </w:rPr>
              <w:t>Hillberg &amp;</w:t>
            </w:r>
            <w:r w:rsidR="00BE4A28" w:rsidRPr="001C2B0B">
              <w:rPr>
                <w:rFonts w:ascii="Arial" w:hAnsi="Arial" w:cs="Arial"/>
                <w:b/>
                <w:color w:val="000000"/>
                <w:sz w:val="19"/>
                <w:szCs w:val="19"/>
                <w:lang w:val="en-GB"/>
              </w:rPr>
              <w:t xml:space="preserve"> Berk</w:t>
            </w:r>
          </w:p>
        </w:tc>
        <w:tc>
          <w:tcPr>
            <w:tcW w:w="3495" w:type="dxa"/>
          </w:tcPr>
          <w:p w14:paraId="24093ACC" w14:textId="77777777" w:rsidR="00BE4A28" w:rsidRPr="001C2B0B" w:rsidRDefault="00BE4A28" w:rsidP="009577CF">
            <w:pPr>
              <w:rPr>
                <w:rFonts w:ascii="Arial" w:hAnsi="Arial" w:cs="Arial"/>
                <w:color w:val="000000"/>
                <w:sz w:val="19"/>
                <w:szCs w:val="19"/>
                <w:lang w:val="en-GB"/>
              </w:rPr>
            </w:pPr>
            <w:r w:rsidRPr="001C2B0B">
              <w:rPr>
                <w:rFonts w:ascii="Arial" w:hAnsi="Arial" w:cs="Arial"/>
                <w:color w:val="000000"/>
                <w:sz w:val="19"/>
                <w:szCs w:val="19"/>
                <w:lang w:val="en-GB"/>
              </w:rPr>
              <w:t xml:space="preserve">Sparkle Collection </w:t>
            </w:r>
          </w:p>
          <w:p w14:paraId="112177F5" w14:textId="354CEE37" w:rsidR="00BE4A28" w:rsidRPr="001C2B0B" w:rsidRDefault="008F5DD5" w:rsidP="009577CF">
            <w:pPr>
              <w:rPr>
                <w:rFonts w:ascii="Arial" w:hAnsi="Arial" w:cs="Arial"/>
                <w:color w:val="000000"/>
                <w:sz w:val="19"/>
                <w:szCs w:val="19"/>
                <w:lang w:val="en-GB"/>
              </w:rPr>
            </w:pPr>
            <w:r w:rsidRPr="001C2B0B">
              <w:rPr>
                <w:rFonts w:ascii="Arial" w:hAnsi="Arial" w:cs="Arial"/>
                <w:color w:val="000000"/>
                <w:sz w:val="19"/>
                <w:szCs w:val="19"/>
                <w:lang w:val="en-GB"/>
              </w:rPr>
              <w:t>CA</w:t>
            </w:r>
            <w:r w:rsidR="00BE4A28" w:rsidRPr="001C2B0B">
              <w:rPr>
                <w:rFonts w:ascii="Arial" w:hAnsi="Arial" w:cs="Arial"/>
                <w:color w:val="000000"/>
                <w:sz w:val="19"/>
                <w:szCs w:val="19"/>
                <w:lang w:val="en-GB"/>
              </w:rPr>
              <w:t>$50</w:t>
            </w:r>
            <w:r w:rsidR="009936ED" w:rsidRPr="001C2B0B">
              <w:rPr>
                <w:rFonts w:ascii="Arial" w:hAnsi="Arial" w:cs="Arial"/>
                <w:color w:val="000000"/>
                <w:sz w:val="19"/>
                <w:szCs w:val="19"/>
                <w:lang w:val="en-GB"/>
              </w:rPr>
              <w:t>–</w:t>
            </w:r>
            <w:r w:rsidR="00BE4A28" w:rsidRPr="001C2B0B">
              <w:rPr>
                <w:rFonts w:ascii="Arial" w:hAnsi="Arial" w:cs="Arial"/>
                <w:color w:val="000000"/>
                <w:sz w:val="19"/>
                <w:szCs w:val="19"/>
                <w:lang w:val="en-GB"/>
              </w:rPr>
              <w:t>$115</w:t>
            </w:r>
          </w:p>
          <w:p w14:paraId="4C03AF4B" w14:textId="77777777" w:rsidR="00BE4A28" w:rsidRPr="001C2B0B" w:rsidRDefault="00BE4A28" w:rsidP="009577CF">
            <w:pPr>
              <w:rPr>
                <w:rFonts w:ascii="Arial" w:hAnsi="Arial" w:cs="Arial"/>
                <w:color w:val="000000"/>
                <w:sz w:val="19"/>
                <w:szCs w:val="19"/>
                <w:lang w:val="en-GB"/>
              </w:rPr>
            </w:pPr>
          </w:p>
          <w:p w14:paraId="4468C06A" w14:textId="77777777" w:rsidR="00BE4A28" w:rsidRPr="001C2B0B" w:rsidRDefault="00BE4A28" w:rsidP="009577CF">
            <w:pPr>
              <w:rPr>
                <w:rFonts w:ascii="Arial" w:hAnsi="Arial" w:cs="Arial"/>
                <w:color w:val="000000"/>
                <w:sz w:val="19"/>
                <w:szCs w:val="19"/>
                <w:lang w:val="en-GB"/>
              </w:rPr>
            </w:pPr>
            <w:r w:rsidRPr="001C2B0B">
              <w:rPr>
                <w:rFonts w:ascii="Arial" w:hAnsi="Arial" w:cs="Arial"/>
                <w:color w:val="000000"/>
                <w:sz w:val="19"/>
                <w:szCs w:val="19"/>
                <w:lang w:val="en-GB"/>
              </w:rPr>
              <w:t>Core Collection</w:t>
            </w:r>
          </w:p>
          <w:p w14:paraId="01AA7921" w14:textId="11C828B0" w:rsidR="00BE4A28" w:rsidRPr="001C2B0B" w:rsidRDefault="008F5DD5" w:rsidP="009577CF">
            <w:pPr>
              <w:rPr>
                <w:rFonts w:ascii="Arial" w:hAnsi="Arial" w:cs="Arial"/>
                <w:color w:val="000000"/>
                <w:sz w:val="19"/>
                <w:szCs w:val="19"/>
                <w:lang w:val="en-GB"/>
              </w:rPr>
            </w:pPr>
            <w:r w:rsidRPr="001C2B0B">
              <w:rPr>
                <w:rFonts w:ascii="Arial" w:hAnsi="Arial" w:cs="Arial"/>
                <w:color w:val="000000"/>
                <w:sz w:val="19"/>
                <w:szCs w:val="19"/>
                <w:lang w:val="en-GB"/>
              </w:rPr>
              <w:t>CA</w:t>
            </w:r>
            <w:r w:rsidR="00BE4A28" w:rsidRPr="001C2B0B">
              <w:rPr>
                <w:rFonts w:ascii="Arial" w:hAnsi="Arial" w:cs="Arial"/>
                <w:color w:val="000000"/>
                <w:sz w:val="19"/>
                <w:szCs w:val="19"/>
                <w:lang w:val="en-GB"/>
              </w:rPr>
              <w:t>$65</w:t>
            </w:r>
            <w:r w:rsidR="009936ED" w:rsidRPr="001C2B0B">
              <w:rPr>
                <w:rFonts w:ascii="Arial" w:hAnsi="Arial" w:cs="Arial"/>
                <w:color w:val="000000"/>
                <w:sz w:val="19"/>
                <w:szCs w:val="19"/>
                <w:lang w:val="en-GB"/>
              </w:rPr>
              <w:t>–</w:t>
            </w:r>
            <w:r w:rsidR="00BE4A28" w:rsidRPr="001C2B0B">
              <w:rPr>
                <w:rFonts w:ascii="Arial" w:hAnsi="Arial" w:cs="Arial"/>
                <w:color w:val="000000"/>
                <w:sz w:val="19"/>
                <w:szCs w:val="19"/>
                <w:lang w:val="en-GB"/>
              </w:rPr>
              <w:t>$245</w:t>
            </w:r>
          </w:p>
          <w:p w14:paraId="03F59992" w14:textId="77777777" w:rsidR="00BE4A28" w:rsidRPr="001C2B0B" w:rsidRDefault="00BE4A28" w:rsidP="009577CF">
            <w:pPr>
              <w:rPr>
                <w:rFonts w:ascii="Arial" w:hAnsi="Arial" w:cs="Arial"/>
                <w:color w:val="000000"/>
                <w:sz w:val="19"/>
                <w:szCs w:val="19"/>
                <w:lang w:val="en-GB"/>
              </w:rPr>
            </w:pPr>
          </w:p>
          <w:p w14:paraId="00111A76" w14:textId="77777777" w:rsidR="00BE4A28" w:rsidRPr="001C2B0B" w:rsidRDefault="00BE4A28" w:rsidP="009577CF">
            <w:pPr>
              <w:rPr>
                <w:rFonts w:ascii="Arial" w:hAnsi="Arial" w:cs="Arial"/>
                <w:color w:val="000000"/>
                <w:sz w:val="19"/>
                <w:szCs w:val="19"/>
                <w:lang w:val="en-GB"/>
              </w:rPr>
            </w:pPr>
            <w:r w:rsidRPr="001C2B0B">
              <w:rPr>
                <w:rFonts w:ascii="Arial" w:hAnsi="Arial" w:cs="Arial"/>
                <w:color w:val="000000"/>
                <w:sz w:val="19"/>
                <w:szCs w:val="19"/>
                <w:lang w:val="en-GB"/>
              </w:rPr>
              <w:t>Tacori (available through H&amp;B)</w:t>
            </w:r>
          </w:p>
          <w:p w14:paraId="2B30CF9D" w14:textId="375C27BD" w:rsidR="00BE4A28" w:rsidRPr="001C2B0B" w:rsidRDefault="008F5DD5" w:rsidP="008F5DD5">
            <w:pPr>
              <w:rPr>
                <w:rFonts w:ascii="Arial" w:hAnsi="Arial" w:cs="Arial"/>
                <w:color w:val="000000"/>
                <w:sz w:val="19"/>
                <w:szCs w:val="19"/>
                <w:lang w:val="en-GB"/>
              </w:rPr>
            </w:pPr>
            <w:r w:rsidRPr="001C2B0B">
              <w:rPr>
                <w:rFonts w:ascii="Arial" w:hAnsi="Arial" w:cs="Arial"/>
                <w:color w:val="000000"/>
                <w:sz w:val="19"/>
                <w:szCs w:val="19"/>
                <w:lang w:val="en-GB"/>
              </w:rPr>
              <w:t>CA</w:t>
            </w:r>
            <w:r w:rsidR="00BE4A28" w:rsidRPr="001C2B0B">
              <w:rPr>
                <w:rFonts w:ascii="Arial" w:hAnsi="Arial" w:cs="Arial"/>
                <w:color w:val="000000"/>
                <w:sz w:val="19"/>
                <w:szCs w:val="19"/>
                <w:lang w:val="en-GB"/>
              </w:rPr>
              <w:t>$253</w:t>
            </w:r>
            <w:r w:rsidR="009936ED" w:rsidRPr="001C2B0B">
              <w:rPr>
                <w:rFonts w:ascii="Arial" w:hAnsi="Arial" w:cs="Arial"/>
                <w:color w:val="000000"/>
                <w:sz w:val="19"/>
                <w:szCs w:val="19"/>
                <w:lang w:val="en-GB"/>
              </w:rPr>
              <w:t>–</w:t>
            </w:r>
            <w:r w:rsidR="00BE4A28" w:rsidRPr="001C2B0B">
              <w:rPr>
                <w:rFonts w:ascii="Arial" w:hAnsi="Arial" w:cs="Arial"/>
                <w:color w:val="000000"/>
                <w:sz w:val="19"/>
                <w:szCs w:val="19"/>
                <w:lang w:val="en-GB"/>
              </w:rPr>
              <w:t>$1</w:t>
            </w:r>
            <w:r w:rsidRPr="001C2B0B">
              <w:rPr>
                <w:rFonts w:ascii="Arial" w:hAnsi="Arial" w:cs="Arial"/>
                <w:color w:val="000000"/>
                <w:sz w:val="19"/>
                <w:szCs w:val="19"/>
                <w:lang w:val="en-GB"/>
              </w:rPr>
              <w:t>,</w:t>
            </w:r>
            <w:r w:rsidR="00BE4A28" w:rsidRPr="001C2B0B">
              <w:rPr>
                <w:rFonts w:ascii="Arial" w:hAnsi="Arial" w:cs="Arial"/>
                <w:color w:val="000000"/>
                <w:sz w:val="19"/>
                <w:szCs w:val="19"/>
                <w:lang w:val="en-GB"/>
              </w:rPr>
              <w:t>089</w:t>
            </w:r>
          </w:p>
        </w:tc>
      </w:tr>
      <w:tr w:rsidR="00BE4A28" w:rsidRPr="001C2B0B" w14:paraId="71100CB5" w14:textId="77777777" w:rsidTr="009F2F1B">
        <w:trPr>
          <w:trHeight w:val="20"/>
          <w:jc w:val="center"/>
        </w:trPr>
        <w:tc>
          <w:tcPr>
            <w:tcW w:w="2270" w:type="dxa"/>
          </w:tcPr>
          <w:p w14:paraId="407B6F44" w14:textId="77777777" w:rsidR="00BE4A28" w:rsidRPr="001C2B0B" w:rsidRDefault="00BE4A28" w:rsidP="009577CF">
            <w:pPr>
              <w:rPr>
                <w:rFonts w:ascii="Arial" w:hAnsi="Arial" w:cs="Arial"/>
                <w:b/>
                <w:color w:val="000000"/>
                <w:sz w:val="19"/>
                <w:szCs w:val="19"/>
                <w:lang w:val="en-GB"/>
              </w:rPr>
            </w:pPr>
            <w:r w:rsidRPr="001C2B0B">
              <w:rPr>
                <w:rFonts w:ascii="Arial" w:hAnsi="Arial" w:cs="Arial"/>
                <w:b/>
                <w:color w:val="000000"/>
                <w:sz w:val="19"/>
                <w:szCs w:val="19"/>
                <w:lang w:val="en-GB"/>
              </w:rPr>
              <w:t>PANDORA</w:t>
            </w:r>
          </w:p>
        </w:tc>
        <w:tc>
          <w:tcPr>
            <w:tcW w:w="3495" w:type="dxa"/>
          </w:tcPr>
          <w:p w14:paraId="5A685EF7" w14:textId="1C540888" w:rsidR="00BE4A28" w:rsidRPr="001C2B0B" w:rsidRDefault="008F5DD5" w:rsidP="008F5DD5">
            <w:pPr>
              <w:rPr>
                <w:rFonts w:ascii="Arial" w:hAnsi="Arial" w:cs="Arial"/>
                <w:color w:val="000000"/>
                <w:sz w:val="19"/>
                <w:szCs w:val="19"/>
                <w:lang w:val="en-GB"/>
              </w:rPr>
            </w:pPr>
            <w:r w:rsidRPr="001C2B0B">
              <w:rPr>
                <w:rFonts w:ascii="Arial" w:hAnsi="Arial" w:cs="Arial"/>
                <w:color w:val="000000"/>
                <w:sz w:val="19"/>
                <w:szCs w:val="19"/>
                <w:lang w:val="en-GB"/>
              </w:rPr>
              <w:t>CA</w:t>
            </w:r>
            <w:r w:rsidR="00BE4A28" w:rsidRPr="001C2B0B">
              <w:rPr>
                <w:rFonts w:ascii="Arial" w:hAnsi="Arial" w:cs="Arial"/>
                <w:color w:val="000000"/>
                <w:sz w:val="19"/>
                <w:szCs w:val="19"/>
                <w:lang w:val="en-GB"/>
              </w:rPr>
              <w:t>$20</w:t>
            </w:r>
            <w:r w:rsidR="009936ED" w:rsidRPr="001C2B0B">
              <w:rPr>
                <w:rFonts w:ascii="Arial" w:hAnsi="Arial" w:cs="Arial"/>
                <w:color w:val="000000"/>
                <w:sz w:val="19"/>
                <w:szCs w:val="19"/>
                <w:lang w:val="en-GB"/>
              </w:rPr>
              <w:t>–</w:t>
            </w:r>
            <w:r w:rsidR="00BE4A28" w:rsidRPr="001C2B0B">
              <w:rPr>
                <w:rFonts w:ascii="Arial" w:hAnsi="Arial" w:cs="Arial"/>
                <w:color w:val="000000"/>
                <w:sz w:val="19"/>
                <w:szCs w:val="19"/>
                <w:lang w:val="en-GB"/>
              </w:rPr>
              <w:t>$400</w:t>
            </w:r>
          </w:p>
        </w:tc>
      </w:tr>
      <w:tr w:rsidR="00BE4A28" w:rsidRPr="001C2B0B" w14:paraId="69FB9630" w14:textId="77777777" w:rsidTr="009F2F1B">
        <w:trPr>
          <w:trHeight w:val="20"/>
          <w:jc w:val="center"/>
        </w:trPr>
        <w:tc>
          <w:tcPr>
            <w:tcW w:w="2270" w:type="dxa"/>
          </w:tcPr>
          <w:p w14:paraId="0FC479F0" w14:textId="77777777" w:rsidR="00BE4A28" w:rsidRPr="001C2B0B" w:rsidRDefault="00BE4A28" w:rsidP="009577CF">
            <w:pPr>
              <w:rPr>
                <w:rFonts w:ascii="Arial" w:hAnsi="Arial" w:cs="Arial"/>
                <w:b/>
                <w:color w:val="000000"/>
                <w:sz w:val="19"/>
                <w:szCs w:val="19"/>
                <w:lang w:val="en-GB"/>
              </w:rPr>
            </w:pPr>
            <w:r w:rsidRPr="001C2B0B">
              <w:rPr>
                <w:rFonts w:ascii="Arial" w:hAnsi="Arial" w:cs="Arial"/>
                <w:b/>
                <w:color w:val="000000"/>
                <w:sz w:val="19"/>
                <w:szCs w:val="19"/>
                <w:lang w:val="en-GB"/>
              </w:rPr>
              <w:t>Kendra Scott</w:t>
            </w:r>
          </w:p>
        </w:tc>
        <w:tc>
          <w:tcPr>
            <w:tcW w:w="3495" w:type="dxa"/>
          </w:tcPr>
          <w:p w14:paraId="7F869B2A" w14:textId="49AA080F" w:rsidR="00BE4A28" w:rsidRPr="001C2B0B" w:rsidRDefault="008F5DD5" w:rsidP="008F5DD5">
            <w:pPr>
              <w:rPr>
                <w:rFonts w:ascii="Arial" w:hAnsi="Arial" w:cs="Arial"/>
                <w:color w:val="000000"/>
                <w:sz w:val="19"/>
                <w:szCs w:val="19"/>
                <w:lang w:val="en-GB"/>
              </w:rPr>
            </w:pPr>
            <w:r w:rsidRPr="001C2B0B">
              <w:rPr>
                <w:rFonts w:ascii="Arial" w:hAnsi="Arial" w:cs="Arial"/>
                <w:color w:val="000000"/>
                <w:sz w:val="19"/>
                <w:szCs w:val="19"/>
                <w:lang w:val="en-GB"/>
              </w:rPr>
              <w:t>US</w:t>
            </w:r>
            <w:r w:rsidR="00BE4A28" w:rsidRPr="001C2B0B">
              <w:rPr>
                <w:rFonts w:ascii="Arial" w:hAnsi="Arial" w:cs="Arial"/>
                <w:color w:val="000000"/>
                <w:sz w:val="19"/>
                <w:szCs w:val="19"/>
                <w:lang w:val="en-GB"/>
              </w:rPr>
              <w:t>$45</w:t>
            </w:r>
            <w:r w:rsidR="009936ED" w:rsidRPr="001C2B0B">
              <w:rPr>
                <w:rFonts w:ascii="Arial" w:hAnsi="Arial" w:cs="Arial"/>
                <w:color w:val="000000"/>
                <w:sz w:val="19"/>
                <w:szCs w:val="19"/>
                <w:lang w:val="en-GB"/>
              </w:rPr>
              <w:t>–</w:t>
            </w:r>
            <w:r w:rsidR="00BE4A28" w:rsidRPr="001C2B0B">
              <w:rPr>
                <w:rFonts w:ascii="Arial" w:hAnsi="Arial" w:cs="Arial"/>
                <w:color w:val="000000"/>
                <w:sz w:val="19"/>
                <w:szCs w:val="19"/>
                <w:lang w:val="en-GB"/>
              </w:rPr>
              <w:t>$295</w:t>
            </w:r>
          </w:p>
        </w:tc>
      </w:tr>
      <w:tr w:rsidR="00BE4A28" w:rsidRPr="001C2B0B" w14:paraId="70946847" w14:textId="77777777" w:rsidTr="009F2F1B">
        <w:trPr>
          <w:trHeight w:val="20"/>
          <w:jc w:val="center"/>
        </w:trPr>
        <w:tc>
          <w:tcPr>
            <w:tcW w:w="2270" w:type="dxa"/>
          </w:tcPr>
          <w:p w14:paraId="73BD9A0F" w14:textId="77777777" w:rsidR="00BE4A28" w:rsidRPr="001C2B0B" w:rsidRDefault="00BE4A28" w:rsidP="009577CF">
            <w:pPr>
              <w:rPr>
                <w:rFonts w:ascii="Arial" w:hAnsi="Arial" w:cs="Arial"/>
                <w:b/>
                <w:color w:val="000000"/>
                <w:sz w:val="19"/>
                <w:szCs w:val="19"/>
                <w:lang w:val="en-GB"/>
              </w:rPr>
            </w:pPr>
            <w:r w:rsidRPr="001C2B0B">
              <w:rPr>
                <w:rFonts w:ascii="Arial" w:hAnsi="Arial" w:cs="Arial"/>
                <w:b/>
                <w:sz w:val="19"/>
                <w:szCs w:val="19"/>
                <w:lang w:val="en-GB"/>
              </w:rPr>
              <w:t>Alex and Ani</w:t>
            </w:r>
          </w:p>
        </w:tc>
        <w:tc>
          <w:tcPr>
            <w:tcW w:w="3495" w:type="dxa"/>
          </w:tcPr>
          <w:p w14:paraId="4BCC1D7F" w14:textId="4758AF9B" w:rsidR="00BE4A28" w:rsidRPr="001C2B0B" w:rsidRDefault="008F5DD5" w:rsidP="008F5DD5">
            <w:pPr>
              <w:rPr>
                <w:rFonts w:ascii="Arial" w:hAnsi="Arial" w:cs="Arial"/>
                <w:color w:val="000000"/>
                <w:sz w:val="19"/>
                <w:szCs w:val="19"/>
                <w:lang w:val="en-GB"/>
              </w:rPr>
            </w:pPr>
            <w:r w:rsidRPr="001C2B0B">
              <w:rPr>
                <w:rFonts w:ascii="Arial" w:hAnsi="Arial" w:cs="Arial"/>
                <w:color w:val="000000"/>
                <w:sz w:val="19"/>
                <w:szCs w:val="19"/>
                <w:lang w:val="en-GB"/>
              </w:rPr>
              <w:t>US</w:t>
            </w:r>
            <w:r w:rsidR="00BE4A28" w:rsidRPr="001C2B0B">
              <w:rPr>
                <w:rFonts w:ascii="Arial" w:hAnsi="Arial" w:cs="Arial"/>
                <w:color w:val="000000"/>
                <w:sz w:val="19"/>
                <w:szCs w:val="19"/>
                <w:lang w:val="en-GB"/>
              </w:rPr>
              <w:t>$25</w:t>
            </w:r>
            <w:r w:rsidR="009936ED" w:rsidRPr="001C2B0B">
              <w:rPr>
                <w:rFonts w:ascii="Arial" w:hAnsi="Arial" w:cs="Arial"/>
                <w:color w:val="000000"/>
                <w:sz w:val="19"/>
                <w:szCs w:val="19"/>
                <w:lang w:val="en-GB"/>
              </w:rPr>
              <w:t>–</w:t>
            </w:r>
            <w:r w:rsidR="00BE4A28" w:rsidRPr="001C2B0B">
              <w:rPr>
                <w:rFonts w:ascii="Arial" w:hAnsi="Arial" w:cs="Arial"/>
                <w:color w:val="000000"/>
                <w:sz w:val="19"/>
                <w:szCs w:val="19"/>
                <w:lang w:val="en-GB"/>
              </w:rPr>
              <w:t>$45</w:t>
            </w:r>
          </w:p>
        </w:tc>
      </w:tr>
    </w:tbl>
    <w:p w14:paraId="78CB928A" w14:textId="77777777" w:rsidR="003F3051" w:rsidRDefault="003F3051" w:rsidP="009936ED">
      <w:pPr>
        <w:pStyle w:val="FootnoteText1"/>
        <w:rPr>
          <w:lang w:val="en-GB"/>
        </w:rPr>
      </w:pPr>
    </w:p>
    <w:p w14:paraId="1D295800" w14:textId="4FF4EEB7" w:rsidR="00BE4A28" w:rsidRPr="009577CF" w:rsidRDefault="009936ED" w:rsidP="009936ED">
      <w:pPr>
        <w:pStyle w:val="FootnoteText1"/>
        <w:rPr>
          <w:lang w:val="en-GB"/>
        </w:rPr>
      </w:pPr>
      <w:r w:rsidRPr="009577CF">
        <w:rPr>
          <w:lang w:val="en-GB"/>
        </w:rPr>
        <w:t>Source:</w:t>
      </w:r>
      <w:r w:rsidR="008A6325">
        <w:rPr>
          <w:lang w:val="en-GB"/>
        </w:rPr>
        <w:t xml:space="preserve"> Swarovski, </w:t>
      </w:r>
      <w:r w:rsidR="008A6325" w:rsidRPr="008A6325">
        <w:rPr>
          <w:lang w:val="en-GB"/>
        </w:rPr>
        <w:t>www.swarovskigroup.com/S/home/index.en.html</w:t>
      </w:r>
      <w:r w:rsidR="008A6325">
        <w:rPr>
          <w:lang w:val="en-GB"/>
        </w:rPr>
        <w:t>, accessed October 7, 2016</w:t>
      </w:r>
      <w:r w:rsidR="00A55482">
        <w:rPr>
          <w:lang w:val="en-GB"/>
        </w:rPr>
        <w:t>;</w:t>
      </w:r>
      <w:r w:rsidR="008A6325">
        <w:rPr>
          <w:lang w:val="en-GB"/>
        </w:rPr>
        <w:t xml:space="preserve"> Hillberg &amp; Berk, </w:t>
      </w:r>
      <w:r w:rsidR="008A6325" w:rsidRPr="008A6325">
        <w:rPr>
          <w:lang w:val="en-GB"/>
        </w:rPr>
        <w:t>www.hillbergandberk.com</w:t>
      </w:r>
      <w:r w:rsidR="008A6325">
        <w:rPr>
          <w:lang w:val="en-GB"/>
        </w:rPr>
        <w:t>, accessed October 7, 2016</w:t>
      </w:r>
      <w:r w:rsidR="00A55482">
        <w:rPr>
          <w:lang w:val="en-GB"/>
        </w:rPr>
        <w:t>;</w:t>
      </w:r>
      <w:r w:rsidR="008A6325">
        <w:rPr>
          <w:lang w:val="en-GB"/>
        </w:rPr>
        <w:t xml:space="preserve"> PANDORA</w:t>
      </w:r>
      <w:r w:rsidR="00A55482">
        <w:rPr>
          <w:lang w:val="en-GB"/>
        </w:rPr>
        <w:t>,</w:t>
      </w:r>
      <w:r w:rsidR="008A6325">
        <w:rPr>
          <w:lang w:val="en-GB"/>
        </w:rPr>
        <w:t xml:space="preserve"> </w:t>
      </w:r>
      <w:r w:rsidR="008A6325" w:rsidRPr="008A6325">
        <w:rPr>
          <w:lang w:val="en-GB"/>
        </w:rPr>
        <w:t>http://pandoragroup.com</w:t>
      </w:r>
      <w:r w:rsidR="008A6325">
        <w:rPr>
          <w:lang w:val="en-GB"/>
        </w:rPr>
        <w:t>, accessed October 7, 2016</w:t>
      </w:r>
      <w:r w:rsidR="00A55482">
        <w:rPr>
          <w:lang w:val="en-GB"/>
        </w:rPr>
        <w:t>;</w:t>
      </w:r>
      <w:r w:rsidR="008A6325">
        <w:rPr>
          <w:lang w:val="en-GB"/>
        </w:rPr>
        <w:t xml:space="preserve"> Kendra Scott</w:t>
      </w:r>
      <w:r w:rsidR="00A55482">
        <w:rPr>
          <w:lang w:val="en-GB"/>
        </w:rPr>
        <w:t>,</w:t>
      </w:r>
      <w:r w:rsidR="008A6325">
        <w:rPr>
          <w:lang w:val="en-GB"/>
        </w:rPr>
        <w:t xml:space="preserve"> </w:t>
      </w:r>
      <w:r w:rsidR="008A6325" w:rsidRPr="008A6325">
        <w:rPr>
          <w:lang w:val="en-GB"/>
        </w:rPr>
        <w:t>www.kendrascott.com</w:t>
      </w:r>
      <w:r w:rsidR="008A6325">
        <w:rPr>
          <w:lang w:val="en-GB"/>
        </w:rPr>
        <w:t>, accessed October 7, 2016</w:t>
      </w:r>
      <w:r w:rsidR="00A55482">
        <w:rPr>
          <w:lang w:val="en-GB"/>
        </w:rPr>
        <w:t>;</w:t>
      </w:r>
      <w:r w:rsidR="008A6325">
        <w:rPr>
          <w:lang w:val="en-GB"/>
        </w:rPr>
        <w:t xml:space="preserve"> Alex and Ani, </w:t>
      </w:r>
      <w:r w:rsidR="008A6325" w:rsidRPr="008A6325">
        <w:rPr>
          <w:lang w:val="en-GB"/>
        </w:rPr>
        <w:t>www.alexandani.com</w:t>
      </w:r>
      <w:r w:rsidR="008A6325">
        <w:rPr>
          <w:lang w:val="en-GB"/>
        </w:rPr>
        <w:t>, accessed October 7, 2016</w:t>
      </w:r>
      <w:r w:rsidR="00A62ECB">
        <w:rPr>
          <w:lang w:val="en-GB"/>
        </w:rPr>
        <w:t>.</w:t>
      </w:r>
    </w:p>
    <w:p w14:paraId="0E1CE232" w14:textId="77777777" w:rsidR="009936ED" w:rsidRPr="009577CF" w:rsidRDefault="009936ED" w:rsidP="009936ED">
      <w:pPr>
        <w:pStyle w:val="BodyText"/>
        <w:rPr>
          <w:lang w:val="en-GB"/>
        </w:rPr>
      </w:pPr>
    </w:p>
    <w:p w14:paraId="40177A31" w14:textId="67F85CA3" w:rsidR="00E71B5D" w:rsidRPr="009577CF" w:rsidRDefault="00E71B5D" w:rsidP="00BD2109">
      <w:pPr>
        <w:pStyle w:val="casehead2"/>
        <w:jc w:val="center"/>
        <w:rPr>
          <w:lang w:val="en-GB"/>
        </w:rPr>
      </w:pPr>
      <w:r w:rsidRPr="009577CF">
        <w:rPr>
          <w:lang w:val="en-GB"/>
        </w:rPr>
        <w:t>Examples from the Sparkle Collection</w:t>
      </w:r>
    </w:p>
    <w:p w14:paraId="37901A6F" w14:textId="77777777" w:rsidR="00BE4A28" w:rsidRPr="009577CF" w:rsidRDefault="00BE4A28" w:rsidP="009936ED">
      <w:pPr>
        <w:pStyle w:val="BodyText"/>
        <w:rPr>
          <w:sz w:val="16"/>
          <w:szCs w:val="16"/>
          <w:lang w:val="en-GB"/>
        </w:rPr>
      </w:pPr>
    </w:p>
    <w:p w14:paraId="76F88EA1" w14:textId="4F0BD4D5" w:rsidR="00BE4A28" w:rsidRPr="009577CF" w:rsidRDefault="00BA4AB7" w:rsidP="009936ED">
      <w:pPr>
        <w:pStyle w:val="BodyText"/>
        <w:jc w:val="center"/>
        <w:rPr>
          <w:lang w:val="en-GB"/>
        </w:rPr>
      </w:pPr>
      <w:r>
        <w:rPr>
          <w:lang w:val="en-GB"/>
        </w:rPr>
        <w:pict w14:anchorId="3F812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6pt;height:160pt">
            <v:imagedata r:id="rId13" o:title="Aurora Borealis" grayscale="t"/>
          </v:shape>
        </w:pict>
      </w:r>
    </w:p>
    <w:p w14:paraId="34C1A2C2" w14:textId="77777777" w:rsidR="003F3051" w:rsidRDefault="003F3051" w:rsidP="001C2B0B">
      <w:pPr>
        <w:pStyle w:val="FootnoteText1"/>
        <w:rPr>
          <w:lang w:val="en-GB"/>
        </w:rPr>
      </w:pPr>
    </w:p>
    <w:p w14:paraId="63328FE8" w14:textId="3F948B02" w:rsidR="009936ED" w:rsidRPr="003D2DE4" w:rsidRDefault="009936ED" w:rsidP="001C2B0B">
      <w:pPr>
        <w:pStyle w:val="FootnoteText1"/>
        <w:rPr>
          <w:spacing w:val="-1"/>
          <w:sz w:val="20"/>
          <w:szCs w:val="20"/>
          <w:lang w:val="en-GB"/>
        </w:rPr>
      </w:pPr>
      <w:r w:rsidRPr="009577CF">
        <w:rPr>
          <w:lang w:val="en-GB"/>
        </w:rPr>
        <w:t xml:space="preserve">Source: </w:t>
      </w:r>
      <w:r w:rsidR="00BD2109">
        <w:rPr>
          <w:lang w:val="en-GB"/>
        </w:rPr>
        <w:t>Company files.</w:t>
      </w:r>
      <w:r w:rsidRPr="009577CF">
        <w:rPr>
          <w:lang w:val="en-GB"/>
        </w:rPr>
        <w:br w:type="page"/>
      </w:r>
    </w:p>
    <w:p w14:paraId="0ECE8A97" w14:textId="3A8CE5C2" w:rsidR="00BE4A28" w:rsidRPr="009577CF" w:rsidRDefault="00BE4A28" w:rsidP="009936ED">
      <w:pPr>
        <w:pStyle w:val="casehead1"/>
        <w:jc w:val="center"/>
        <w:rPr>
          <w:lang w:val="en-GB"/>
        </w:rPr>
      </w:pPr>
      <w:r w:rsidRPr="009577CF">
        <w:rPr>
          <w:lang w:val="en-GB"/>
        </w:rPr>
        <w:lastRenderedPageBreak/>
        <w:t>Exhibit 3</w:t>
      </w:r>
      <w:r w:rsidR="009936ED" w:rsidRPr="009577CF">
        <w:rPr>
          <w:lang w:val="en-GB"/>
        </w:rPr>
        <w:t xml:space="preserve">: </w:t>
      </w:r>
      <w:r w:rsidR="008F5DD5">
        <w:rPr>
          <w:lang w:val="en-GB"/>
        </w:rPr>
        <w:t xml:space="preserve">Hillberg &amp; Berk </w:t>
      </w:r>
      <w:r w:rsidRPr="009577CF">
        <w:rPr>
          <w:lang w:val="en-GB"/>
        </w:rPr>
        <w:t>COMPETITOR ANALYSIS</w:t>
      </w:r>
    </w:p>
    <w:p w14:paraId="4895ED7F" w14:textId="77777777" w:rsidR="00BE4A28" w:rsidRPr="009577CF" w:rsidRDefault="00BE4A28" w:rsidP="009936ED">
      <w:pPr>
        <w:pStyle w:val="BodyText"/>
        <w:rPr>
          <w:lang w:val="en-GB"/>
        </w:rPr>
      </w:pPr>
    </w:p>
    <w:tbl>
      <w:tblPr>
        <w:tblStyle w:val="TableGrid"/>
        <w:tblW w:w="0" w:type="auto"/>
        <w:jc w:val="center"/>
        <w:tblLook w:val="04A0" w:firstRow="1" w:lastRow="0" w:firstColumn="1" w:lastColumn="0" w:noHBand="0" w:noVBand="1"/>
      </w:tblPr>
      <w:tblGrid>
        <w:gridCol w:w="1888"/>
        <w:gridCol w:w="1852"/>
        <w:gridCol w:w="1475"/>
        <w:gridCol w:w="2265"/>
        <w:gridCol w:w="2055"/>
      </w:tblGrid>
      <w:tr w:rsidR="00BE4A28" w:rsidRPr="001C2B0B" w14:paraId="651F0F06" w14:textId="77777777" w:rsidTr="001C2B0B">
        <w:trPr>
          <w:tblHeader/>
          <w:jc w:val="center"/>
        </w:trPr>
        <w:tc>
          <w:tcPr>
            <w:tcW w:w="1888" w:type="dxa"/>
          </w:tcPr>
          <w:p w14:paraId="3AC4FF52" w14:textId="77777777" w:rsidR="00BE4A28" w:rsidRPr="001C2B0B" w:rsidRDefault="00BE4A28" w:rsidP="003D2DE4">
            <w:pPr>
              <w:pStyle w:val="NormalWeb"/>
              <w:jc w:val="center"/>
              <w:rPr>
                <w:rFonts w:ascii="Arial" w:hAnsi="Arial" w:cs="Arial"/>
                <w:b/>
                <w:sz w:val="18"/>
                <w:szCs w:val="18"/>
                <w:lang w:val="en-GB"/>
              </w:rPr>
            </w:pPr>
            <w:r w:rsidRPr="001C2B0B">
              <w:rPr>
                <w:rFonts w:ascii="Arial" w:hAnsi="Arial" w:cs="Arial"/>
                <w:b/>
                <w:sz w:val="18"/>
                <w:szCs w:val="18"/>
                <w:lang w:val="en-GB"/>
              </w:rPr>
              <w:t>Company</w:t>
            </w:r>
          </w:p>
        </w:tc>
        <w:tc>
          <w:tcPr>
            <w:tcW w:w="1852" w:type="dxa"/>
          </w:tcPr>
          <w:p w14:paraId="3283D2FE" w14:textId="77777777" w:rsidR="00BE4A28" w:rsidRPr="001C2B0B" w:rsidRDefault="00BE4A28" w:rsidP="003D2DE4">
            <w:pPr>
              <w:pStyle w:val="NormalWeb"/>
              <w:jc w:val="center"/>
              <w:rPr>
                <w:rFonts w:ascii="Arial" w:hAnsi="Arial" w:cs="Arial"/>
                <w:b/>
                <w:sz w:val="18"/>
                <w:szCs w:val="18"/>
                <w:lang w:val="en-GB"/>
              </w:rPr>
            </w:pPr>
            <w:r w:rsidRPr="001C2B0B">
              <w:rPr>
                <w:rFonts w:ascii="Arial" w:hAnsi="Arial" w:cs="Arial"/>
                <w:b/>
                <w:sz w:val="18"/>
                <w:szCs w:val="18"/>
                <w:lang w:val="en-GB"/>
              </w:rPr>
              <w:t>Number of Stores</w:t>
            </w:r>
          </w:p>
        </w:tc>
        <w:tc>
          <w:tcPr>
            <w:tcW w:w="1475" w:type="dxa"/>
          </w:tcPr>
          <w:p w14:paraId="06422AD3" w14:textId="77777777" w:rsidR="00BE4A28" w:rsidRPr="001C2B0B" w:rsidRDefault="00BE4A28" w:rsidP="003D2DE4">
            <w:pPr>
              <w:pStyle w:val="NormalWeb"/>
              <w:jc w:val="center"/>
              <w:rPr>
                <w:rFonts w:ascii="Arial" w:hAnsi="Arial" w:cs="Arial"/>
                <w:b/>
                <w:sz w:val="18"/>
                <w:szCs w:val="18"/>
                <w:lang w:val="en-GB"/>
              </w:rPr>
            </w:pPr>
            <w:r w:rsidRPr="001C2B0B">
              <w:rPr>
                <w:rFonts w:ascii="Arial" w:hAnsi="Arial" w:cs="Arial"/>
                <w:b/>
                <w:sz w:val="18"/>
                <w:szCs w:val="18"/>
                <w:lang w:val="en-GB"/>
              </w:rPr>
              <w:t>Revenue</w:t>
            </w:r>
          </w:p>
        </w:tc>
        <w:tc>
          <w:tcPr>
            <w:tcW w:w="2265" w:type="dxa"/>
          </w:tcPr>
          <w:p w14:paraId="33719E3F" w14:textId="77777777" w:rsidR="00BE4A28" w:rsidRPr="001C2B0B" w:rsidRDefault="00BE4A28" w:rsidP="003D2DE4">
            <w:pPr>
              <w:pStyle w:val="NormalWeb"/>
              <w:jc w:val="center"/>
              <w:rPr>
                <w:rFonts w:ascii="Arial" w:hAnsi="Arial" w:cs="Arial"/>
                <w:b/>
                <w:sz w:val="18"/>
                <w:szCs w:val="18"/>
                <w:lang w:val="en-GB"/>
              </w:rPr>
            </w:pPr>
            <w:r w:rsidRPr="001C2B0B">
              <w:rPr>
                <w:rFonts w:ascii="Arial" w:hAnsi="Arial" w:cs="Arial"/>
                <w:b/>
                <w:sz w:val="18"/>
                <w:szCs w:val="18"/>
                <w:lang w:val="en-GB"/>
              </w:rPr>
              <w:t>Product Categories</w:t>
            </w:r>
          </w:p>
        </w:tc>
        <w:tc>
          <w:tcPr>
            <w:tcW w:w="2055" w:type="dxa"/>
          </w:tcPr>
          <w:p w14:paraId="28D09634" w14:textId="77777777" w:rsidR="00BE4A28" w:rsidRPr="001C2B0B" w:rsidRDefault="00BE4A28" w:rsidP="003D2DE4">
            <w:pPr>
              <w:pStyle w:val="NormalWeb"/>
              <w:jc w:val="center"/>
              <w:rPr>
                <w:rFonts w:ascii="Arial" w:hAnsi="Arial" w:cs="Arial"/>
                <w:b/>
                <w:sz w:val="18"/>
                <w:szCs w:val="18"/>
                <w:lang w:val="en-GB"/>
              </w:rPr>
            </w:pPr>
            <w:r w:rsidRPr="001C2B0B">
              <w:rPr>
                <w:rFonts w:ascii="Arial" w:hAnsi="Arial" w:cs="Arial"/>
                <w:b/>
                <w:sz w:val="18"/>
                <w:szCs w:val="18"/>
                <w:lang w:val="en-GB"/>
              </w:rPr>
              <w:t>Comments</w:t>
            </w:r>
          </w:p>
        </w:tc>
      </w:tr>
      <w:tr w:rsidR="00BE4A28" w:rsidRPr="001C2B0B" w14:paraId="45AB02FC" w14:textId="77777777" w:rsidTr="001C2B0B">
        <w:trPr>
          <w:trHeight w:val="297"/>
          <w:jc w:val="center"/>
        </w:trPr>
        <w:tc>
          <w:tcPr>
            <w:tcW w:w="1888" w:type="dxa"/>
          </w:tcPr>
          <w:p w14:paraId="7BDBB3EB" w14:textId="40A59B73" w:rsidR="00BE4A28" w:rsidRPr="001C2B0B" w:rsidRDefault="00BE4A28" w:rsidP="001C2B0B">
            <w:pPr>
              <w:pStyle w:val="NormalWeb"/>
              <w:spacing w:before="60" w:beforeAutospacing="0"/>
              <w:rPr>
                <w:rFonts w:ascii="Arial" w:hAnsi="Arial" w:cs="Arial"/>
                <w:sz w:val="18"/>
                <w:szCs w:val="18"/>
                <w:lang w:val="en-GB"/>
              </w:rPr>
            </w:pPr>
            <w:r w:rsidRPr="001C2B0B">
              <w:rPr>
                <w:rFonts w:ascii="Arial" w:hAnsi="Arial" w:cs="Arial"/>
                <w:b/>
                <w:sz w:val="18"/>
                <w:szCs w:val="18"/>
                <w:lang w:val="en-GB"/>
              </w:rPr>
              <w:t>Swarovski</w:t>
            </w:r>
            <w:r w:rsidRPr="001C2B0B">
              <w:rPr>
                <w:rFonts w:ascii="Arial" w:hAnsi="Arial" w:cs="Arial"/>
                <w:sz w:val="18"/>
                <w:szCs w:val="18"/>
                <w:lang w:val="en-GB"/>
              </w:rPr>
              <w:t xml:space="preserve"> was a private company founded in Austria in 1895. The Crystal Group was the jewellery and collect</w:t>
            </w:r>
            <w:r w:rsidR="002F1542" w:rsidRPr="001C2B0B">
              <w:rPr>
                <w:rFonts w:ascii="Arial" w:hAnsi="Arial" w:cs="Arial"/>
                <w:sz w:val="18"/>
                <w:szCs w:val="18"/>
                <w:lang w:val="en-GB"/>
              </w:rPr>
              <w:t>i</w:t>
            </w:r>
            <w:r w:rsidRPr="001C2B0B">
              <w:rPr>
                <w:rFonts w:ascii="Arial" w:hAnsi="Arial" w:cs="Arial"/>
                <w:sz w:val="18"/>
                <w:szCs w:val="18"/>
                <w:lang w:val="en-GB"/>
              </w:rPr>
              <w:t xml:space="preserve">ble arm of the business. The company </w:t>
            </w:r>
            <w:r w:rsidR="007E7955" w:rsidRPr="001C2B0B">
              <w:rPr>
                <w:rFonts w:ascii="Arial" w:hAnsi="Arial" w:cs="Arial"/>
                <w:sz w:val="18"/>
                <w:szCs w:val="18"/>
                <w:lang w:val="en-GB"/>
              </w:rPr>
              <w:t xml:space="preserve">was </w:t>
            </w:r>
            <w:r w:rsidRPr="001C2B0B">
              <w:rPr>
                <w:rFonts w:ascii="Arial" w:hAnsi="Arial" w:cs="Arial"/>
                <w:sz w:val="18"/>
                <w:szCs w:val="18"/>
                <w:lang w:val="en-GB"/>
              </w:rPr>
              <w:t>a family</w:t>
            </w:r>
            <w:r w:rsidR="00752AFF" w:rsidRPr="001C2B0B">
              <w:rPr>
                <w:rFonts w:ascii="Arial" w:hAnsi="Arial" w:cs="Arial"/>
                <w:sz w:val="18"/>
                <w:szCs w:val="18"/>
                <w:lang w:val="en-GB"/>
              </w:rPr>
              <w:t>-</w:t>
            </w:r>
            <w:r w:rsidRPr="001C2B0B">
              <w:rPr>
                <w:rFonts w:ascii="Arial" w:hAnsi="Arial" w:cs="Arial"/>
                <w:sz w:val="18"/>
                <w:szCs w:val="18"/>
                <w:lang w:val="en-GB"/>
              </w:rPr>
              <w:t>run company</w:t>
            </w:r>
            <w:r w:rsidR="00752AFF" w:rsidRPr="001C2B0B">
              <w:rPr>
                <w:rFonts w:ascii="Arial" w:hAnsi="Arial" w:cs="Arial"/>
                <w:sz w:val="18"/>
                <w:szCs w:val="18"/>
                <w:lang w:val="en-GB"/>
              </w:rPr>
              <w:t>,</w:t>
            </w:r>
            <w:r w:rsidRPr="001C2B0B">
              <w:rPr>
                <w:rFonts w:ascii="Arial" w:hAnsi="Arial" w:cs="Arial"/>
                <w:sz w:val="18"/>
                <w:szCs w:val="18"/>
                <w:lang w:val="en-GB"/>
              </w:rPr>
              <w:t xml:space="preserve"> and a fifth generation family member remained on the board.</w:t>
            </w:r>
          </w:p>
        </w:tc>
        <w:tc>
          <w:tcPr>
            <w:tcW w:w="1852" w:type="dxa"/>
          </w:tcPr>
          <w:p w14:paraId="22664B5D" w14:textId="456B62BB" w:rsidR="00BE4A28" w:rsidRPr="001C2B0B" w:rsidRDefault="00BE4A28" w:rsidP="001C2B0B">
            <w:pPr>
              <w:pStyle w:val="NormalWeb"/>
              <w:spacing w:before="60" w:beforeAutospacing="0"/>
              <w:rPr>
                <w:rFonts w:ascii="Arial" w:hAnsi="Arial" w:cs="Arial"/>
                <w:sz w:val="18"/>
                <w:szCs w:val="18"/>
                <w:lang w:val="en-GB"/>
              </w:rPr>
            </w:pPr>
            <w:r w:rsidRPr="001C2B0B">
              <w:rPr>
                <w:rFonts w:ascii="Arial" w:hAnsi="Arial" w:cs="Arial"/>
                <w:sz w:val="18"/>
                <w:szCs w:val="18"/>
                <w:lang w:val="en-GB"/>
              </w:rPr>
              <w:t>2,680 stores worldwide, 1</w:t>
            </w:r>
            <w:r w:rsidR="00752AFF" w:rsidRPr="001C2B0B">
              <w:rPr>
                <w:rFonts w:ascii="Arial" w:hAnsi="Arial" w:cs="Arial"/>
                <w:sz w:val="18"/>
                <w:szCs w:val="18"/>
                <w:lang w:val="en-GB"/>
              </w:rPr>
              <w:t>,</w:t>
            </w:r>
            <w:r w:rsidRPr="001C2B0B">
              <w:rPr>
                <w:rFonts w:ascii="Arial" w:hAnsi="Arial" w:cs="Arial"/>
                <w:sz w:val="18"/>
                <w:szCs w:val="18"/>
                <w:lang w:val="en-GB"/>
              </w:rPr>
              <w:t>380 operated by Swarovski, 1</w:t>
            </w:r>
            <w:r w:rsidR="002F1542" w:rsidRPr="001C2B0B">
              <w:rPr>
                <w:rFonts w:ascii="Arial" w:hAnsi="Arial" w:cs="Arial"/>
                <w:sz w:val="18"/>
                <w:szCs w:val="18"/>
                <w:lang w:val="en-GB"/>
              </w:rPr>
              <w:t>,</w:t>
            </w:r>
            <w:r w:rsidRPr="001C2B0B">
              <w:rPr>
                <w:rFonts w:ascii="Arial" w:hAnsi="Arial" w:cs="Arial"/>
                <w:sz w:val="18"/>
                <w:szCs w:val="18"/>
                <w:lang w:val="en-GB"/>
              </w:rPr>
              <w:t xml:space="preserve">300 </w:t>
            </w:r>
            <w:r w:rsidR="003F5309" w:rsidRPr="001C2B0B">
              <w:rPr>
                <w:rFonts w:ascii="Arial" w:hAnsi="Arial" w:cs="Arial"/>
                <w:sz w:val="18"/>
                <w:szCs w:val="18"/>
                <w:lang w:val="en-GB"/>
              </w:rPr>
              <w:t xml:space="preserve">operated </w:t>
            </w:r>
            <w:r w:rsidRPr="001C2B0B">
              <w:rPr>
                <w:rFonts w:ascii="Arial" w:hAnsi="Arial" w:cs="Arial"/>
                <w:sz w:val="18"/>
                <w:szCs w:val="18"/>
                <w:lang w:val="en-GB"/>
              </w:rPr>
              <w:t xml:space="preserve">by partners </w:t>
            </w:r>
          </w:p>
        </w:tc>
        <w:tc>
          <w:tcPr>
            <w:tcW w:w="1475" w:type="dxa"/>
          </w:tcPr>
          <w:p w14:paraId="4965E9AE" w14:textId="4BA1521D" w:rsidR="00BE4A28" w:rsidRPr="001C2B0B" w:rsidRDefault="00752AFF" w:rsidP="001C2B0B">
            <w:pPr>
              <w:pStyle w:val="NormalWeb"/>
              <w:spacing w:before="60" w:beforeAutospacing="0"/>
              <w:rPr>
                <w:rFonts w:ascii="Arial" w:hAnsi="Arial" w:cs="Arial"/>
                <w:sz w:val="18"/>
                <w:szCs w:val="18"/>
                <w:lang w:val="en-GB"/>
              </w:rPr>
            </w:pPr>
            <w:r w:rsidRPr="001C2B0B">
              <w:rPr>
                <w:rFonts w:ascii="Arial" w:hAnsi="Arial" w:cs="Arial"/>
                <w:sz w:val="18"/>
                <w:szCs w:val="18"/>
                <w:lang w:val="en-GB"/>
              </w:rPr>
              <w:t>€</w:t>
            </w:r>
            <w:r w:rsidR="00BE4A28" w:rsidRPr="001C2B0B">
              <w:rPr>
                <w:rFonts w:ascii="Arial" w:hAnsi="Arial" w:cs="Arial"/>
                <w:sz w:val="18"/>
                <w:szCs w:val="18"/>
                <w:lang w:val="en-GB"/>
              </w:rPr>
              <w:t>2.6 billion (Crystal Group only)</w:t>
            </w:r>
          </w:p>
        </w:tc>
        <w:tc>
          <w:tcPr>
            <w:tcW w:w="2265" w:type="dxa"/>
          </w:tcPr>
          <w:p w14:paraId="65C28935" w14:textId="28A32D69" w:rsidR="00BE4A28" w:rsidRPr="001C2B0B" w:rsidRDefault="00BE4A28" w:rsidP="001C2B0B">
            <w:pPr>
              <w:pStyle w:val="NormalWeb"/>
              <w:spacing w:before="60" w:beforeAutospacing="0"/>
              <w:rPr>
                <w:rFonts w:ascii="Arial" w:hAnsi="Arial" w:cs="Arial"/>
                <w:sz w:val="18"/>
                <w:szCs w:val="18"/>
                <w:lang w:val="en-GB"/>
              </w:rPr>
            </w:pPr>
            <w:r w:rsidRPr="001C2B0B">
              <w:rPr>
                <w:rFonts w:ascii="Arial" w:hAnsi="Arial" w:cs="Arial"/>
                <w:sz w:val="18"/>
                <w:szCs w:val="18"/>
                <w:lang w:val="en-GB"/>
              </w:rPr>
              <w:t>Necklaces, pendants, earrings, bracelets, rings, charms, men’s jewellery, activity</w:t>
            </w:r>
            <w:r w:rsidR="00752AFF" w:rsidRPr="001C2B0B">
              <w:rPr>
                <w:rFonts w:ascii="Arial" w:hAnsi="Arial" w:cs="Arial"/>
                <w:sz w:val="18"/>
                <w:szCs w:val="18"/>
                <w:lang w:val="en-GB"/>
              </w:rPr>
              <w:t>-</w:t>
            </w:r>
            <w:r w:rsidRPr="001C2B0B">
              <w:rPr>
                <w:rFonts w:ascii="Arial" w:hAnsi="Arial" w:cs="Arial"/>
                <w:sz w:val="18"/>
                <w:szCs w:val="18"/>
                <w:lang w:val="en-GB"/>
              </w:rPr>
              <w:t>tracking jewellery, watches, bags, wallets, pens, crystal decorations</w:t>
            </w:r>
            <w:r w:rsidR="00752AFF" w:rsidRPr="001C2B0B">
              <w:rPr>
                <w:rFonts w:ascii="Arial" w:hAnsi="Arial" w:cs="Arial"/>
                <w:sz w:val="18"/>
                <w:szCs w:val="18"/>
                <w:lang w:val="en-GB"/>
              </w:rPr>
              <w:t>,</w:t>
            </w:r>
            <w:r w:rsidRPr="001C2B0B">
              <w:rPr>
                <w:rFonts w:ascii="Arial" w:hAnsi="Arial" w:cs="Arial"/>
                <w:sz w:val="18"/>
                <w:szCs w:val="18"/>
                <w:lang w:val="en-GB"/>
              </w:rPr>
              <w:t xml:space="preserve"> and sculptures</w:t>
            </w:r>
          </w:p>
        </w:tc>
        <w:tc>
          <w:tcPr>
            <w:tcW w:w="2055" w:type="dxa"/>
          </w:tcPr>
          <w:p w14:paraId="73169DA7" w14:textId="2E307BB0" w:rsidR="00BE4A28" w:rsidRPr="001C2B0B" w:rsidRDefault="00BE4A28" w:rsidP="001C2B0B">
            <w:pPr>
              <w:pStyle w:val="NormalWeb"/>
              <w:spacing w:before="60" w:beforeAutospacing="0"/>
              <w:rPr>
                <w:rFonts w:ascii="Arial" w:hAnsi="Arial" w:cs="Arial"/>
                <w:sz w:val="18"/>
                <w:szCs w:val="18"/>
                <w:lang w:val="en-GB"/>
              </w:rPr>
            </w:pPr>
            <w:r w:rsidRPr="001C2B0B">
              <w:rPr>
                <w:rFonts w:ascii="Arial" w:hAnsi="Arial" w:cs="Arial"/>
                <w:sz w:val="18"/>
                <w:szCs w:val="18"/>
                <w:lang w:val="en-GB"/>
              </w:rPr>
              <w:t xml:space="preserve">Swarovski also operated </w:t>
            </w:r>
            <w:r w:rsidR="00752AFF" w:rsidRPr="001C2B0B">
              <w:rPr>
                <w:rFonts w:ascii="Arial" w:hAnsi="Arial" w:cs="Arial"/>
                <w:sz w:val="18"/>
                <w:szCs w:val="18"/>
                <w:lang w:val="en-GB"/>
              </w:rPr>
              <w:t xml:space="preserve">12 </w:t>
            </w:r>
            <w:r w:rsidRPr="001C2B0B">
              <w:rPr>
                <w:rFonts w:ascii="Arial" w:hAnsi="Arial" w:cs="Arial"/>
                <w:sz w:val="18"/>
                <w:szCs w:val="18"/>
                <w:lang w:val="en-GB"/>
              </w:rPr>
              <w:t>subsidiaries. These businesses produced a wide range of products, most of which require</w:t>
            </w:r>
            <w:r w:rsidR="003F5309" w:rsidRPr="001C2B0B">
              <w:rPr>
                <w:rFonts w:ascii="Arial" w:hAnsi="Arial" w:cs="Arial"/>
                <w:sz w:val="18"/>
                <w:szCs w:val="18"/>
                <w:lang w:val="en-GB"/>
              </w:rPr>
              <w:t>d</w:t>
            </w:r>
            <w:r w:rsidRPr="001C2B0B">
              <w:rPr>
                <w:rFonts w:ascii="Arial" w:hAnsi="Arial" w:cs="Arial"/>
                <w:sz w:val="18"/>
                <w:szCs w:val="18"/>
                <w:lang w:val="en-GB"/>
              </w:rPr>
              <w:t xml:space="preserve"> cut lead glass</w:t>
            </w:r>
            <w:r w:rsidR="00752AFF" w:rsidRPr="001C2B0B">
              <w:rPr>
                <w:rFonts w:ascii="Arial" w:hAnsi="Arial" w:cs="Arial"/>
                <w:sz w:val="18"/>
                <w:szCs w:val="18"/>
                <w:lang w:val="en-GB"/>
              </w:rPr>
              <w:t>;</w:t>
            </w:r>
            <w:r w:rsidRPr="001C2B0B">
              <w:rPr>
                <w:rFonts w:ascii="Arial" w:hAnsi="Arial" w:cs="Arial"/>
                <w:sz w:val="18"/>
                <w:szCs w:val="18"/>
                <w:lang w:val="en-GB"/>
              </w:rPr>
              <w:t xml:space="preserve"> however, the company also produced high</w:t>
            </w:r>
            <w:r w:rsidR="00752AFF" w:rsidRPr="001C2B0B">
              <w:rPr>
                <w:rFonts w:ascii="Arial" w:hAnsi="Arial" w:cs="Arial"/>
                <w:sz w:val="18"/>
                <w:szCs w:val="18"/>
                <w:lang w:val="en-GB"/>
              </w:rPr>
              <w:t>-</w:t>
            </w:r>
            <w:r w:rsidRPr="001C2B0B">
              <w:rPr>
                <w:rFonts w:ascii="Arial" w:hAnsi="Arial" w:cs="Arial"/>
                <w:sz w:val="18"/>
                <w:szCs w:val="18"/>
                <w:lang w:val="en-GB"/>
              </w:rPr>
              <w:t>fashion products, museums</w:t>
            </w:r>
            <w:r w:rsidR="00752AFF" w:rsidRPr="001C2B0B">
              <w:rPr>
                <w:rFonts w:ascii="Arial" w:hAnsi="Arial" w:cs="Arial"/>
                <w:sz w:val="18"/>
                <w:szCs w:val="18"/>
                <w:lang w:val="en-GB"/>
              </w:rPr>
              <w:t>,</w:t>
            </w:r>
            <w:r w:rsidRPr="001C2B0B">
              <w:rPr>
                <w:rFonts w:ascii="Arial" w:hAnsi="Arial" w:cs="Arial"/>
                <w:sz w:val="18"/>
                <w:szCs w:val="18"/>
                <w:lang w:val="en-GB"/>
              </w:rPr>
              <w:t xml:space="preserve"> and entertainment.</w:t>
            </w:r>
          </w:p>
        </w:tc>
      </w:tr>
      <w:tr w:rsidR="00A22ADA" w:rsidRPr="001C2B0B" w14:paraId="181C8B48" w14:textId="77777777" w:rsidTr="001C2B0B">
        <w:trPr>
          <w:trHeight w:val="297"/>
          <w:jc w:val="center"/>
        </w:trPr>
        <w:tc>
          <w:tcPr>
            <w:tcW w:w="1888" w:type="dxa"/>
          </w:tcPr>
          <w:p w14:paraId="1CBBF0DD" w14:textId="65A73DC6" w:rsidR="00A22ADA" w:rsidRPr="001C2B0B" w:rsidRDefault="00A22ADA" w:rsidP="001C2B0B">
            <w:pPr>
              <w:pStyle w:val="NormalWeb"/>
              <w:spacing w:before="60" w:beforeAutospacing="0"/>
              <w:rPr>
                <w:rFonts w:ascii="Arial" w:hAnsi="Arial" w:cs="Arial"/>
                <w:b/>
                <w:sz w:val="18"/>
                <w:szCs w:val="18"/>
                <w:lang w:val="en-GB"/>
              </w:rPr>
            </w:pPr>
            <w:r w:rsidRPr="001C2B0B">
              <w:rPr>
                <w:rFonts w:ascii="Arial" w:hAnsi="Arial" w:cs="Arial"/>
                <w:b/>
                <w:sz w:val="18"/>
                <w:szCs w:val="18"/>
                <w:lang w:val="en-GB"/>
              </w:rPr>
              <w:t>PANDORA</w:t>
            </w:r>
            <w:r w:rsidRPr="001C2B0B">
              <w:rPr>
                <w:rFonts w:ascii="Arial" w:hAnsi="Arial" w:cs="Arial"/>
                <w:sz w:val="18"/>
                <w:szCs w:val="18"/>
                <w:lang w:val="en-GB"/>
              </w:rPr>
              <w:t xml:space="preserve"> was a publicly traded jewellery business founded in Denmark in 1982. The company had seen rapid growth based on the popularity of its charm bracelets.</w:t>
            </w:r>
          </w:p>
        </w:tc>
        <w:tc>
          <w:tcPr>
            <w:tcW w:w="1852" w:type="dxa"/>
          </w:tcPr>
          <w:p w14:paraId="71141FBB" w14:textId="6F9F5FEB" w:rsidR="00A22ADA" w:rsidRPr="001C2B0B" w:rsidRDefault="00A22ADA" w:rsidP="001C2B0B">
            <w:pPr>
              <w:pStyle w:val="NormalWeb"/>
              <w:spacing w:before="60" w:beforeAutospacing="0"/>
              <w:rPr>
                <w:rFonts w:ascii="Arial" w:hAnsi="Arial" w:cs="Arial"/>
                <w:sz w:val="18"/>
                <w:szCs w:val="18"/>
                <w:lang w:val="en-GB"/>
              </w:rPr>
            </w:pPr>
            <w:r w:rsidRPr="001C2B0B">
              <w:rPr>
                <w:rFonts w:ascii="Arial" w:hAnsi="Arial" w:cs="Arial"/>
                <w:sz w:val="18"/>
                <w:szCs w:val="18"/>
                <w:lang w:val="en-GB"/>
              </w:rPr>
              <w:t>More than 1,800 stores worldwide, the majority of which were franchised</w:t>
            </w:r>
            <w:r w:rsidR="001C2B0B" w:rsidRPr="001C2B0B">
              <w:rPr>
                <w:rFonts w:ascii="Arial" w:hAnsi="Arial" w:cs="Arial"/>
                <w:sz w:val="18"/>
                <w:szCs w:val="18"/>
                <w:lang w:val="en-GB"/>
              </w:rPr>
              <w:t xml:space="preserve"> </w:t>
            </w:r>
            <w:r w:rsidRPr="001C2B0B">
              <w:rPr>
                <w:rFonts w:ascii="Arial" w:hAnsi="Arial" w:cs="Arial"/>
                <w:sz w:val="18"/>
                <w:szCs w:val="18"/>
                <w:lang w:val="en-GB"/>
              </w:rPr>
              <w:t>9,300 other non-branded points of sale</w:t>
            </w:r>
          </w:p>
        </w:tc>
        <w:tc>
          <w:tcPr>
            <w:tcW w:w="1475" w:type="dxa"/>
          </w:tcPr>
          <w:p w14:paraId="2C1233C8" w14:textId="6595CB16" w:rsidR="00A22ADA" w:rsidRPr="001C2B0B" w:rsidRDefault="00A22ADA" w:rsidP="001C2B0B">
            <w:pPr>
              <w:pStyle w:val="NormalWeb"/>
              <w:spacing w:before="60" w:beforeAutospacing="0"/>
              <w:rPr>
                <w:rFonts w:ascii="Arial" w:hAnsi="Arial" w:cs="Arial"/>
                <w:sz w:val="18"/>
                <w:szCs w:val="18"/>
                <w:lang w:val="en-GB"/>
              </w:rPr>
            </w:pPr>
            <w:r w:rsidRPr="001C2B0B">
              <w:rPr>
                <w:rFonts w:ascii="Arial" w:hAnsi="Arial" w:cs="Arial"/>
                <w:sz w:val="18"/>
                <w:szCs w:val="18"/>
                <w:lang w:val="en-GB"/>
              </w:rPr>
              <w:t>DKK16.6 billion (approximately €2.2 billion)</w:t>
            </w:r>
          </w:p>
        </w:tc>
        <w:tc>
          <w:tcPr>
            <w:tcW w:w="2265" w:type="dxa"/>
          </w:tcPr>
          <w:p w14:paraId="51595A65" w14:textId="3E9D00B4" w:rsidR="00A22ADA" w:rsidRPr="001C2B0B" w:rsidRDefault="00A22ADA" w:rsidP="001C2B0B">
            <w:pPr>
              <w:pStyle w:val="NormalWeb"/>
              <w:spacing w:before="60" w:beforeAutospacing="0"/>
              <w:rPr>
                <w:rFonts w:ascii="Arial" w:hAnsi="Arial" w:cs="Arial"/>
                <w:sz w:val="18"/>
                <w:szCs w:val="18"/>
                <w:lang w:val="en-GB"/>
              </w:rPr>
            </w:pPr>
            <w:r w:rsidRPr="001C2B0B">
              <w:rPr>
                <w:rFonts w:ascii="Arial" w:hAnsi="Arial" w:cs="Arial"/>
                <w:sz w:val="18"/>
                <w:szCs w:val="18"/>
                <w:lang w:val="en-GB"/>
              </w:rPr>
              <w:t xml:space="preserve">Charms, bracelets, rings, earrings, necklaces, and pendants </w:t>
            </w:r>
          </w:p>
        </w:tc>
        <w:tc>
          <w:tcPr>
            <w:tcW w:w="2055" w:type="dxa"/>
          </w:tcPr>
          <w:p w14:paraId="6BEDAD41" w14:textId="2830E0F1" w:rsidR="00A22ADA" w:rsidRPr="001C2B0B" w:rsidRDefault="00A22ADA" w:rsidP="001C2B0B">
            <w:pPr>
              <w:pStyle w:val="NormalWeb"/>
              <w:spacing w:before="60" w:beforeAutospacing="0"/>
              <w:rPr>
                <w:rFonts w:ascii="Arial" w:hAnsi="Arial" w:cs="Arial"/>
                <w:sz w:val="18"/>
                <w:szCs w:val="18"/>
                <w:lang w:val="en-GB"/>
              </w:rPr>
            </w:pPr>
            <w:r w:rsidRPr="001C2B0B">
              <w:rPr>
                <w:rFonts w:ascii="Arial" w:hAnsi="Arial" w:cs="Arial"/>
                <w:sz w:val="18"/>
                <w:szCs w:val="18"/>
                <w:lang w:val="en-GB"/>
              </w:rPr>
              <w:t xml:space="preserve">Seven out of 10 women in PANDORA’s target demographic reportedly knew and recognized the PANDORA brand. </w:t>
            </w:r>
          </w:p>
        </w:tc>
      </w:tr>
      <w:tr w:rsidR="00BE4A28" w:rsidRPr="001C2B0B" w14:paraId="387E861C" w14:textId="77777777" w:rsidTr="001C2B0B">
        <w:trPr>
          <w:jc w:val="center"/>
        </w:trPr>
        <w:tc>
          <w:tcPr>
            <w:tcW w:w="1888" w:type="dxa"/>
          </w:tcPr>
          <w:p w14:paraId="096FBF59" w14:textId="7E9FC5E8" w:rsidR="00BE4A28" w:rsidRPr="001C2B0B" w:rsidRDefault="00BE4A28" w:rsidP="002F1542">
            <w:pPr>
              <w:pStyle w:val="NormalWeb"/>
              <w:rPr>
                <w:rFonts w:ascii="Arial" w:hAnsi="Arial" w:cs="Arial"/>
                <w:sz w:val="18"/>
                <w:szCs w:val="18"/>
                <w:lang w:val="en-GB"/>
              </w:rPr>
            </w:pPr>
            <w:r w:rsidRPr="001C2B0B">
              <w:rPr>
                <w:rFonts w:ascii="Arial" w:hAnsi="Arial" w:cs="Arial"/>
                <w:b/>
                <w:sz w:val="18"/>
                <w:szCs w:val="18"/>
                <w:lang w:val="en-GB"/>
              </w:rPr>
              <w:t>Kendra Scott</w:t>
            </w:r>
            <w:r w:rsidRPr="001C2B0B">
              <w:rPr>
                <w:rFonts w:ascii="Arial" w:hAnsi="Arial" w:cs="Arial"/>
                <w:sz w:val="18"/>
                <w:szCs w:val="18"/>
                <w:lang w:val="en-GB"/>
              </w:rPr>
              <w:t xml:space="preserve"> was a private company based in Austin, Texas. The namesake founder had started the company </w:t>
            </w:r>
            <w:r w:rsidR="002F1542" w:rsidRPr="001C2B0B">
              <w:rPr>
                <w:rFonts w:ascii="Arial" w:hAnsi="Arial" w:cs="Arial"/>
                <w:sz w:val="18"/>
                <w:szCs w:val="18"/>
                <w:lang w:val="en-GB"/>
              </w:rPr>
              <w:t xml:space="preserve">from </w:t>
            </w:r>
            <w:r w:rsidRPr="001C2B0B">
              <w:rPr>
                <w:rFonts w:ascii="Arial" w:hAnsi="Arial" w:cs="Arial"/>
                <w:sz w:val="18"/>
                <w:szCs w:val="18"/>
                <w:lang w:val="en-GB"/>
              </w:rPr>
              <w:t>her house in 2002.</w:t>
            </w:r>
          </w:p>
        </w:tc>
        <w:tc>
          <w:tcPr>
            <w:tcW w:w="1852" w:type="dxa"/>
          </w:tcPr>
          <w:p w14:paraId="1F0C8097" w14:textId="5278631F" w:rsidR="00BE4A28" w:rsidRPr="001C2B0B" w:rsidRDefault="00BE4A28" w:rsidP="002F1542">
            <w:pPr>
              <w:pStyle w:val="NormalWeb"/>
              <w:rPr>
                <w:rFonts w:ascii="Arial" w:hAnsi="Arial" w:cs="Arial"/>
                <w:sz w:val="18"/>
                <w:szCs w:val="18"/>
                <w:lang w:val="en-GB"/>
              </w:rPr>
            </w:pPr>
            <w:r w:rsidRPr="001C2B0B">
              <w:rPr>
                <w:rFonts w:ascii="Arial" w:hAnsi="Arial" w:cs="Arial"/>
                <w:sz w:val="18"/>
                <w:szCs w:val="18"/>
                <w:lang w:val="en-GB"/>
              </w:rPr>
              <w:t>39 company</w:t>
            </w:r>
            <w:r w:rsidR="002F1542" w:rsidRPr="001C2B0B">
              <w:rPr>
                <w:rFonts w:ascii="Arial" w:hAnsi="Arial" w:cs="Arial"/>
                <w:sz w:val="18"/>
                <w:szCs w:val="18"/>
                <w:lang w:val="en-GB"/>
              </w:rPr>
              <w:t>-</w:t>
            </w:r>
            <w:r w:rsidRPr="001C2B0B">
              <w:rPr>
                <w:rFonts w:ascii="Arial" w:hAnsi="Arial" w:cs="Arial"/>
                <w:sz w:val="18"/>
                <w:szCs w:val="18"/>
                <w:lang w:val="en-GB"/>
              </w:rPr>
              <w:t>run</w:t>
            </w:r>
            <w:r w:rsidR="009577CF" w:rsidRPr="001C2B0B">
              <w:rPr>
                <w:rFonts w:ascii="Arial" w:hAnsi="Arial" w:cs="Arial"/>
                <w:sz w:val="18"/>
                <w:szCs w:val="18"/>
                <w:lang w:val="en-GB"/>
              </w:rPr>
              <w:t xml:space="preserve"> </w:t>
            </w:r>
            <w:r w:rsidRPr="001C2B0B">
              <w:rPr>
                <w:rFonts w:ascii="Arial" w:hAnsi="Arial" w:cs="Arial"/>
                <w:sz w:val="18"/>
                <w:szCs w:val="18"/>
                <w:lang w:val="en-GB"/>
              </w:rPr>
              <w:t xml:space="preserve">stores </w:t>
            </w:r>
          </w:p>
        </w:tc>
        <w:tc>
          <w:tcPr>
            <w:tcW w:w="1475" w:type="dxa"/>
          </w:tcPr>
          <w:p w14:paraId="3DADF0BB" w14:textId="07025F35" w:rsidR="00BE4A28" w:rsidRPr="001C2B0B" w:rsidRDefault="00BE4A28" w:rsidP="007E7955">
            <w:pPr>
              <w:pStyle w:val="NormalWeb"/>
              <w:rPr>
                <w:rFonts w:ascii="Arial" w:hAnsi="Arial" w:cs="Arial"/>
                <w:sz w:val="18"/>
                <w:szCs w:val="18"/>
                <w:lang w:val="en-GB"/>
              </w:rPr>
            </w:pPr>
            <w:r w:rsidRPr="001C2B0B">
              <w:rPr>
                <w:rFonts w:ascii="Arial" w:hAnsi="Arial" w:cs="Arial"/>
                <w:sz w:val="18"/>
                <w:szCs w:val="18"/>
                <w:lang w:val="en-GB"/>
              </w:rPr>
              <w:t xml:space="preserve">Reported to be </w:t>
            </w:r>
            <w:r w:rsidR="007E7955" w:rsidRPr="001C2B0B">
              <w:rPr>
                <w:rFonts w:ascii="Arial" w:hAnsi="Arial" w:cs="Arial"/>
                <w:sz w:val="18"/>
                <w:szCs w:val="18"/>
                <w:lang w:val="en-GB"/>
              </w:rPr>
              <w:t>US$</w:t>
            </w:r>
            <w:r w:rsidRPr="001C2B0B">
              <w:rPr>
                <w:rFonts w:ascii="Arial" w:hAnsi="Arial" w:cs="Arial"/>
                <w:sz w:val="18"/>
                <w:szCs w:val="18"/>
                <w:lang w:val="en-GB"/>
              </w:rPr>
              <w:t xml:space="preserve">150 </w:t>
            </w:r>
            <w:r w:rsidR="007E7955" w:rsidRPr="001C2B0B">
              <w:rPr>
                <w:rFonts w:ascii="Arial" w:hAnsi="Arial" w:cs="Arial"/>
                <w:sz w:val="18"/>
                <w:szCs w:val="18"/>
                <w:lang w:val="en-GB"/>
              </w:rPr>
              <w:t>m</w:t>
            </w:r>
            <w:r w:rsidRPr="001C2B0B">
              <w:rPr>
                <w:rFonts w:ascii="Arial" w:hAnsi="Arial" w:cs="Arial"/>
                <w:sz w:val="18"/>
                <w:szCs w:val="18"/>
                <w:lang w:val="en-GB"/>
              </w:rPr>
              <w:t>illion in 2015</w:t>
            </w:r>
          </w:p>
        </w:tc>
        <w:tc>
          <w:tcPr>
            <w:tcW w:w="2265" w:type="dxa"/>
          </w:tcPr>
          <w:p w14:paraId="54F90189" w14:textId="767FCB04" w:rsidR="00BE4A28" w:rsidRPr="001C2B0B" w:rsidRDefault="00BE4A28" w:rsidP="009577CF">
            <w:pPr>
              <w:pStyle w:val="NormalWeb"/>
              <w:rPr>
                <w:rFonts w:ascii="Arial" w:hAnsi="Arial" w:cs="Arial"/>
                <w:sz w:val="18"/>
                <w:szCs w:val="18"/>
                <w:lang w:val="en-GB"/>
              </w:rPr>
            </w:pPr>
            <w:r w:rsidRPr="001C2B0B">
              <w:rPr>
                <w:rFonts w:ascii="Arial" w:hAnsi="Arial" w:cs="Arial"/>
                <w:sz w:val="18"/>
                <w:szCs w:val="18"/>
                <w:lang w:val="en-GB"/>
              </w:rPr>
              <w:t>Necklaces, earrings, bracelets, rings, charms, jewellery</w:t>
            </w:r>
            <w:r w:rsidR="009577CF" w:rsidRPr="001C2B0B">
              <w:rPr>
                <w:rFonts w:ascii="Arial" w:hAnsi="Arial" w:cs="Arial"/>
                <w:sz w:val="18"/>
                <w:szCs w:val="18"/>
                <w:lang w:val="en-GB"/>
              </w:rPr>
              <w:t xml:space="preserve"> </w:t>
            </w:r>
            <w:r w:rsidRPr="001C2B0B">
              <w:rPr>
                <w:rFonts w:ascii="Arial" w:hAnsi="Arial" w:cs="Arial"/>
                <w:sz w:val="18"/>
                <w:szCs w:val="18"/>
                <w:lang w:val="en-GB"/>
              </w:rPr>
              <w:t>organizers</w:t>
            </w:r>
            <w:r w:rsidR="007E7955" w:rsidRPr="001C2B0B">
              <w:rPr>
                <w:rFonts w:ascii="Arial" w:hAnsi="Arial" w:cs="Arial"/>
                <w:sz w:val="18"/>
                <w:szCs w:val="18"/>
                <w:lang w:val="en-GB"/>
              </w:rPr>
              <w:t>,</w:t>
            </w:r>
            <w:r w:rsidRPr="001C2B0B">
              <w:rPr>
                <w:rFonts w:ascii="Arial" w:hAnsi="Arial" w:cs="Arial"/>
                <w:sz w:val="18"/>
                <w:szCs w:val="18"/>
                <w:lang w:val="en-GB"/>
              </w:rPr>
              <w:t xml:space="preserve"> and “colo</w:t>
            </w:r>
            <w:r w:rsidR="003D2DE4">
              <w:rPr>
                <w:rFonts w:ascii="Arial" w:hAnsi="Arial" w:cs="Arial"/>
                <w:sz w:val="18"/>
                <w:szCs w:val="18"/>
                <w:lang w:val="en-GB"/>
              </w:rPr>
              <w:t>u</w:t>
            </w:r>
            <w:r w:rsidRPr="001C2B0B">
              <w:rPr>
                <w:rFonts w:ascii="Arial" w:hAnsi="Arial" w:cs="Arial"/>
                <w:sz w:val="18"/>
                <w:szCs w:val="18"/>
                <w:lang w:val="en-GB"/>
              </w:rPr>
              <w:t xml:space="preserve">r bar” custom items </w:t>
            </w:r>
          </w:p>
        </w:tc>
        <w:tc>
          <w:tcPr>
            <w:tcW w:w="2055" w:type="dxa"/>
          </w:tcPr>
          <w:p w14:paraId="6FBCC92C" w14:textId="60F505BB" w:rsidR="00BE4A28" w:rsidRPr="001C2B0B" w:rsidRDefault="00BE4A28" w:rsidP="003D2DE4">
            <w:pPr>
              <w:pStyle w:val="NormalWeb"/>
              <w:rPr>
                <w:rFonts w:ascii="Arial" w:hAnsi="Arial" w:cs="Arial"/>
                <w:sz w:val="18"/>
                <w:szCs w:val="18"/>
                <w:lang w:val="en-GB"/>
              </w:rPr>
            </w:pPr>
            <w:r w:rsidRPr="001C2B0B">
              <w:rPr>
                <w:rFonts w:ascii="Arial" w:hAnsi="Arial" w:cs="Arial"/>
                <w:sz w:val="18"/>
                <w:szCs w:val="18"/>
                <w:lang w:val="en-GB"/>
              </w:rPr>
              <w:t>The first Kendra Scott store opened in 2010. The company had been particularly successful by offering products from its “</w:t>
            </w:r>
            <w:r w:rsidR="003D2DE4">
              <w:rPr>
                <w:rFonts w:ascii="Arial" w:hAnsi="Arial" w:cs="Arial"/>
                <w:sz w:val="18"/>
                <w:szCs w:val="18"/>
                <w:lang w:val="en-GB"/>
              </w:rPr>
              <w:t>c</w:t>
            </w:r>
            <w:r w:rsidRPr="001C2B0B">
              <w:rPr>
                <w:rFonts w:ascii="Arial" w:hAnsi="Arial" w:cs="Arial"/>
                <w:sz w:val="18"/>
                <w:szCs w:val="18"/>
                <w:lang w:val="en-GB"/>
              </w:rPr>
              <w:t>olo</w:t>
            </w:r>
            <w:r w:rsidR="003D2DE4">
              <w:rPr>
                <w:rFonts w:ascii="Arial" w:hAnsi="Arial" w:cs="Arial"/>
                <w:sz w:val="18"/>
                <w:szCs w:val="18"/>
                <w:lang w:val="en-GB"/>
              </w:rPr>
              <w:t>u</w:t>
            </w:r>
            <w:r w:rsidRPr="001C2B0B">
              <w:rPr>
                <w:rFonts w:ascii="Arial" w:hAnsi="Arial" w:cs="Arial"/>
                <w:sz w:val="18"/>
                <w:szCs w:val="18"/>
                <w:lang w:val="en-GB"/>
              </w:rPr>
              <w:t xml:space="preserve">r </w:t>
            </w:r>
            <w:r w:rsidR="003D2DE4">
              <w:rPr>
                <w:rFonts w:ascii="Arial" w:hAnsi="Arial" w:cs="Arial"/>
                <w:sz w:val="18"/>
                <w:szCs w:val="18"/>
                <w:lang w:val="en-GB"/>
              </w:rPr>
              <w:t>b</w:t>
            </w:r>
            <w:r w:rsidRPr="001C2B0B">
              <w:rPr>
                <w:rFonts w:ascii="Arial" w:hAnsi="Arial" w:cs="Arial"/>
                <w:sz w:val="18"/>
                <w:szCs w:val="18"/>
                <w:lang w:val="en-GB"/>
              </w:rPr>
              <w:t>ar</w:t>
            </w:r>
            <w:r w:rsidR="007E7955" w:rsidRPr="001C2B0B">
              <w:rPr>
                <w:rFonts w:ascii="Arial" w:hAnsi="Arial" w:cs="Arial"/>
                <w:sz w:val="18"/>
                <w:szCs w:val="18"/>
                <w:lang w:val="en-GB"/>
              </w:rPr>
              <w:t>,</w:t>
            </w:r>
            <w:r w:rsidRPr="001C2B0B">
              <w:rPr>
                <w:rFonts w:ascii="Arial" w:hAnsi="Arial" w:cs="Arial"/>
                <w:sz w:val="18"/>
                <w:szCs w:val="18"/>
                <w:lang w:val="en-GB"/>
              </w:rPr>
              <w:t xml:space="preserve">” </w:t>
            </w:r>
            <w:r w:rsidR="007E7955" w:rsidRPr="001C2B0B">
              <w:rPr>
                <w:rFonts w:ascii="Arial" w:hAnsi="Arial" w:cs="Arial"/>
                <w:sz w:val="18"/>
                <w:szCs w:val="18"/>
                <w:lang w:val="en-GB"/>
              </w:rPr>
              <w:t>a</w:t>
            </w:r>
            <w:r w:rsidRPr="001C2B0B">
              <w:rPr>
                <w:rFonts w:ascii="Arial" w:hAnsi="Arial" w:cs="Arial"/>
                <w:sz w:val="18"/>
                <w:szCs w:val="18"/>
                <w:lang w:val="en-GB"/>
              </w:rPr>
              <w:t xml:space="preserve">n in-store and online option where could customers pick coloured stones that were made into jewellery </w:t>
            </w:r>
            <w:r w:rsidR="007E7955" w:rsidRPr="001C2B0B">
              <w:rPr>
                <w:rFonts w:ascii="Arial" w:hAnsi="Arial" w:cs="Arial"/>
                <w:sz w:val="18"/>
                <w:szCs w:val="18"/>
                <w:lang w:val="en-GB"/>
              </w:rPr>
              <w:t>using a selection of standard designs,</w:t>
            </w:r>
            <w:r w:rsidR="007E7955" w:rsidRPr="001C2B0B" w:rsidDel="007E7955">
              <w:rPr>
                <w:rFonts w:ascii="Arial" w:hAnsi="Arial" w:cs="Arial"/>
                <w:sz w:val="18"/>
                <w:szCs w:val="18"/>
                <w:lang w:val="en-GB"/>
              </w:rPr>
              <w:t xml:space="preserve"> </w:t>
            </w:r>
            <w:r w:rsidR="007E7955" w:rsidRPr="001C2B0B">
              <w:rPr>
                <w:rFonts w:ascii="Arial" w:hAnsi="Arial" w:cs="Arial"/>
                <w:sz w:val="18"/>
                <w:szCs w:val="18"/>
                <w:lang w:val="en-GB"/>
              </w:rPr>
              <w:t>as customers watched.</w:t>
            </w:r>
            <w:r w:rsidRPr="001C2B0B">
              <w:rPr>
                <w:rFonts w:ascii="Arial" w:hAnsi="Arial" w:cs="Arial"/>
                <w:sz w:val="18"/>
                <w:szCs w:val="18"/>
                <w:lang w:val="en-GB"/>
              </w:rPr>
              <w:t xml:space="preserve"> </w:t>
            </w:r>
          </w:p>
        </w:tc>
      </w:tr>
      <w:tr w:rsidR="00BE4A28" w:rsidRPr="001C2B0B" w14:paraId="2D467558" w14:textId="77777777" w:rsidTr="001C2B0B">
        <w:trPr>
          <w:jc w:val="center"/>
        </w:trPr>
        <w:tc>
          <w:tcPr>
            <w:tcW w:w="1888" w:type="dxa"/>
          </w:tcPr>
          <w:p w14:paraId="68EBB404" w14:textId="4C4A8194" w:rsidR="00BE4A28" w:rsidRPr="001C2B0B" w:rsidRDefault="00BE4A28" w:rsidP="00EC47FE">
            <w:pPr>
              <w:pStyle w:val="NormalWeb"/>
              <w:rPr>
                <w:rFonts w:ascii="Arial" w:hAnsi="Arial" w:cs="Arial"/>
                <w:sz w:val="18"/>
                <w:szCs w:val="18"/>
                <w:lang w:val="en-GB"/>
              </w:rPr>
            </w:pPr>
            <w:r w:rsidRPr="001C2B0B">
              <w:rPr>
                <w:rFonts w:ascii="Arial" w:hAnsi="Arial" w:cs="Arial"/>
                <w:b/>
                <w:sz w:val="18"/>
                <w:szCs w:val="18"/>
                <w:lang w:val="en-GB"/>
              </w:rPr>
              <w:t>Alex and Ani</w:t>
            </w:r>
            <w:r w:rsidRPr="001C2B0B">
              <w:rPr>
                <w:rFonts w:ascii="Arial" w:hAnsi="Arial" w:cs="Arial"/>
                <w:sz w:val="18"/>
                <w:szCs w:val="18"/>
                <w:lang w:val="en-GB"/>
              </w:rPr>
              <w:t xml:space="preserve"> was a private company founded in 2004 in Cranston, Rhode Island. The company opened </w:t>
            </w:r>
            <w:r w:rsidR="007E7955" w:rsidRPr="001C2B0B">
              <w:rPr>
                <w:rFonts w:ascii="Arial" w:hAnsi="Arial" w:cs="Arial"/>
                <w:sz w:val="18"/>
                <w:szCs w:val="18"/>
                <w:lang w:val="en-GB"/>
              </w:rPr>
              <w:t xml:space="preserve">its </w:t>
            </w:r>
            <w:r w:rsidRPr="001C2B0B">
              <w:rPr>
                <w:rFonts w:ascii="Arial" w:hAnsi="Arial" w:cs="Arial"/>
                <w:sz w:val="18"/>
                <w:szCs w:val="18"/>
                <w:lang w:val="en-GB"/>
              </w:rPr>
              <w:t xml:space="preserve">first store in 2009. </w:t>
            </w:r>
          </w:p>
        </w:tc>
        <w:tc>
          <w:tcPr>
            <w:tcW w:w="1852" w:type="dxa"/>
          </w:tcPr>
          <w:p w14:paraId="3565E11C" w14:textId="21AD35BF" w:rsidR="00BE4A28" w:rsidRPr="001C2B0B" w:rsidRDefault="00BE4A28" w:rsidP="007E7955">
            <w:pPr>
              <w:pStyle w:val="NormalWeb"/>
              <w:rPr>
                <w:rFonts w:ascii="Arial" w:hAnsi="Arial" w:cs="Arial"/>
                <w:sz w:val="18"/>
                <w:szCs w:val="18"/>
                <w:lang w:val="en-GB"/>
              </w:rPr>
            </w:pPr>
            <w:r w:rsidRPr="001C2B0B">
              <w:rPr>
                <w:rFonts w:ascii="Arial" w:hAnsi="Arial" w:cs="Arial"/>
                <w:sz w:val="18"/>
                <w:szCs w:val="18"/>
                <w:lang w:val="en-GB"/>
              </w:rPr>
              <w:t>65 company</w:t>
            </w:r>
            <w:r w:rsidR="007E7955" w:rsidRPr="001C2B0B">
              <w:rPr>
                <w:rFonts w:ascii="Arial" w:hAnsi="Arial" w:cs="Arial"/>
                <w:sz w:val="18"/>
                <w:szCs w:val="18"/>
                <w:lang w:val="en-GB"/>
              </w:rPr>
              <w:t>-</w:t>
            </w:r>
            <w:r w:rsidRPr="001C2B0B">
              <w:rPr>
                <w:rFonts w:ascii="Arial" w:hAnsi="Arial" w:cs="Arial"/>
                <w:sz w:val="18"/>
                <w:szCs w:val="18"/>
                <w:lang w:val="en-GB"/>
              </w:rPr>
              <w:t>owned stores as of 2015</w:t>
            </w:r>
            <w:r w:rsidR="00A55482" w:rsidRPr="001C2B0B">
              <w:rPr>
                <w:rFonts w:ascii="Arial" w:hAnsi="Arial" w:cs="Arial"/>
                <w:sz w:val="18"/>
                <w:szCs w:val="18"/>
                <w:lang w:val="en-GB"/>
              </w:rPr>
              <w:t>,</w:t>
            </w:r>
            <w:r w:rsidRPr="001C2B0B">
              <w:rPr>
                <w:rFonts w:ascii="Arial" w:hAnsi="Arial" w:cs="Arial"/>
                <w:sz w:val="18"/>
                <w:szCs w:val="18"/>
                <w:lang w:val="en-GB"/>
              </w:rPr>
              <w:t xml:space="preserve"> and concession stands and partnerships with hundreds of stores and boutiques, including Nordstrom and Hudson’s Bay </w:t>
            </w:r>
          </w:p>
        </w:tc>
        <w:tc>
          <w:tcPr>
            <w:tcW w:w="1475" w:type="dxa"/>
          </w:tcPr>
          <w:p w14:paraId="2079B8FA" w14:textId="2A01C787" w:rsidR="00BE4A28" w:rsidRPr="001C2B0B" w:rsidRDefault="00BE4A28" w:rsidP="00075E14">
            <w:pPr>
              <w:pStyle w:val="NormalWeb"/>
              <w:rPr>
                <w:rFonts w:ascii="Arial" w:hAnsi="Arial" w:cs="Arial"/>
                <w:sz w:val="18"/>
                <w:szCs w:val="18"/>
                <w:lang w:val="en-GB"/>
              </w:rPr>
            </w:pPr>
            <w:r w:rsidRPr="001C2B0B">
              <w:rPr>
                <w:rFonts w:ascii="Arial" w:hAnsi="Arial" w:cs="Arial"/>
                <w:sz w:val="18"/>
                <w:szCs w:val="18"/>
                <w:lang w:val="en-GB"/>
              </w:rPr>
              <w:t xml:space="preserve">Reported to be </w:t>
            </w:r>
            <w:r w:rsidR="007E7955" w:rsidRPr="001C2B0B">
              <w:rPr>
                <w:rFonts w:ascii="Arial" w:hAnsi="Arial" w:cs="Arial"/>
                <w:sz w:val="18"/>
                <w:szCs w:val="18"/>
                <w:lang w:val="en-GB"/>
              </w:rPr>
              <w:t>US$</w:t>
            </w:r>
            <w:r w:rsidRPr="001C2B0B">
              <w:rPr>
                <w:rFonts w:ascii="Arial" w:hAnsi="Arial" w:cs="Arial"/>
                <w:sz w:val="18"/>
                <w:szCs w:val="18"/>
                <w:lang w:val="en-GB"/>
              </w:rPr>
              <w:t xml:space="preserve">500 </w:t>
            </w:r>
            <w:r w:rsidR="00075E14" w:rsidRPr="001C2B0B">
              <w:rPr>
                <w:rFonts w:ascii="Arial" w:hAnsi="Arial" w:cs="Arial"/>
                <w:sz w:val="18"/>
                <w:szCs w:val="18"/>
                <w:lang w:val="en-GB"/>
              </w:rPr>
              <w:t>m</w:t>
            </w:r>
            <w:r w:rsidRPr="001C2B0B">
              <w:rPr>
                <w:rFonts w:ascii="Arial" w:hAnsi="Arial" w:cs="Arial"/>
                <w:sz w:val="18"/>
                <w:szCs w:val="18"/>
                <w:lang w:val="en-GB"/>
              </w:rPr>
              <w:t>illion in 2015</w:t>
            </w:r>
          </w:p>
        </w:tc>
        <w:tc>
          <w:tcPr>
            <w:tcW w:w="2265" w:type="dxa"/>
          </w:tcPr>
          <w:p w14:paraId="78BA256F" w14:textId="1F3689F2" w:rsidR="00BE4A28" w:rsidRPr="001C2B0B" w:rsidRDefault="00BE4A28" w:rsidP="009577CF">
            <w:pPr>
              <w:pStyle w:val="NormalWeb"/>
              <w:rPr>
                <w:rFonts w:ascii="Arial" w:hAnsi="Arial" w:cs="Arial"/>
                <w:sz w:val="18"/>
                <w:szCs w:val="18"/>
                <w:lang w:val="en-GB"/>
              </w:rPr>
            </w:pPr>
            <w:r w:rsidRPr="001C2B0B">
              <w:rPr>
                <w:rFonts w:ascii="Arial" w:hAnsi="Arial" w:cs="Arial"/>
                <w:sz w:val="18"/>
                <w:szCs w:val="18"/>
                <w:lang w:val="en-GB"/>
              </w:rPr>
              <w:t>Bracelets, rings, earrings, necklaces, handbags, wallets, scarves, cuff links, blankets</w:t>
            </w:r>
            <w:r w:rsidR="007E7955" w:rsidRPr="001C2B0B">
              <w:rPr>
                <w:rFonts w:ascii="Arial" w:hAnsi="Arial" w:cs="Arial"/>
                <w:sz w:val="18"/>
                <w:szCs w:val="18"/>
                <w:lang w:val="en-GB"/>
              </w:rPr>
              <w:t>,</w:t>
            </w:r>
            <w:r w:rsidRPr="001C2B0B">
              <w:rPr>
                <w:rFonts w:ascii="Arial" w:hAnsi="Arial" w:cs="Arial"/>
                <w:sz w:val="18"/>
                <w:szCs w:val="18"/>
                <w:lang w:val="en-GB"/>
              </w:rPr>
              <w:t xml:space="preserve"> and perfumed mists</w:t>
            </w:r>
          </w:p>
        </w:tc>
        <w:tc>
          <w:tcPr>
            <w:tcW w:w="2055" w:type="dxa"/>
          </w:tcPr>
          <w:p w14:paraId="183B12A1" w14:textId="49DF1119" w:rsidR="00BE4A28" w:rsidRPr="001C2B0B" w:rsidRDefault="00BE4A28" w:rsidP="007E7955">
            <w:pPr>
              <w:pStyle w:val="NormalWeb"/>
              <w:rPr>
                <w:rFonts w:ascii="Arial" w:hAnsi="Arial" w:cs="Arial"/>
                <w:sz w:val="18"/>
                <w:szCs w:val="18"/>
                <w:lang w:val="en-GB"/>
              </w:rPr>
            </w:pPr>
            <w:r w:rsidRPr="001C2B0B">
              <w:rPr>
                <w:rFonts w:ascii="Arial" w:hAnsi="Arial" w:cs="Arial"/>
                <w:sz w:val="18"/>
                <w:szCs w:val="18"/>
                <w:lang w:val="en-GB"/>
              </w:rPr>
              <w:t>Alex and Ani</w:t>
            </w:r>
            <w:r w:rsidR="007E7955" w:rsidRPr="001C2B0B">
              <w:rPr>
                <w:rFonts w:ascii="Arial" w:hAnsi="Arial" w:cs="Arial"/>
                <w:sz w:val="18"/>
                <w:szCs w:val="18"/>
                <w:lang w:val="en-GB"/>
              </w:rPr>
              <w:t>’</w:t>
            </w:r>
            <w:r w:rsidRPr="001C2B0B">
              <w:rPr>
                <w:rFonts w:ascii="Arial" w:hAnsi="Arial" w:cs="Arial"/>
                <w:sz w:val="18"/>
                <w:szCs w:val="18"/>
                <w:lang w:val="en-GB"/>
              </w:rPr>
              <w:t xml:space="preserve">s products were popular gifts, with </w:t>
            </w:r>
            <w:r w:rsidR="00075E14" w:rsidRPr="001C2B0B">
              <w:rPr>
                <w:rFonts w:ascii="Arial" w:hAnsi="Arial" w:cs="Arial"/>
                <w:sz w:val="18"/>
                <w:szCs w:val="18"/>
                <w:lang w:val="en-GB"/>
              </w:rPr>
              <w:t xml:space="preserve">the </w:t>
            </w:r>
            <w:r w:rsidR="007E7955" w:rsidRPr="001C2B0B">
              <w:rPr>
                <w:rFonts w:ascii="Arial" w:hAnsi="Arial" w:cs="Arial"/>
                <w:sz w:val="18"/>
                <w:szCs w:val="18"/>
                <w:lang w:val="en-GB"/>
              </w:rPr>
              <w:t>US</w:t>
            </w:r>
            <w:r w:rsidRPr="001C2B0B">
              <w:rPr>
                <w:rFonts w:ascii="Arial" w:hAnsi="Arial" w:cs="Arial"/>
                <w:sz w:val="18"/>
                <w:szCs w:val="18"/>
                <w:lang w:val="en-GB"/>
              </w:rPr>
              <w:t xml:space="preserve">$28 </w:t>
            </w:r>
            <w:r w:rsidR="007E7955" w:rsidRPr="001C2B0B">
              <w:rPr>
                <w:rFonts w:ascii="Arial" w:hAnsi="Arial" w:cs="Arial"/>
                <w:sz w:val="18"/>
                <w:szCs w:val="18"/>
                <w:lang w:val="en-GB"/>
              </w:rPr>
              <w:t>z</w:t>
            </w:r>
            <w:r w:rsidRPr="001C2B0B">
              <w:rPr>
                <w:rFonts w:ascii="Arial" w:hAnsi="Arial" w:cs="Arial"/>
                <w:sz w:val="18"/>
                <w:szCs w:val="18"/>
                <w:lang w:val="en-GB"/>
              </w:rPr>
              <w:t xml:space="preserve">odiac bracelet being a reported top seller. </w:t>
            </w:r>
          </w:p>
        </w:tc>
      </w:tr>
    </w:tbl>
    <w:p w14:paraId="038DB23D" w14:textId="77777777" w:rsidR="003F3051" w:rsidRDefault="003F3051" w:rsidP="007E7955">
      <w:pPr>
        <w:pStyle w:val="FootnoteText1"/>
        <w:rPr>
          <w:lang w:val="en-GB"/>
        </w:rPr>
      </w:pPr>
    </w:p>
    <w:p w14:paraId="5BEFCC2C" w14:textId="316754CC" w:rsidR="002F1542" w:rsidRDefault="002F1542" w:rsidP="007E7955">
      <w:pPr>
        <w:pStyle w:val="FootnoteText1"/>
        <w:rPr>
          <w:lang w:val="en-GB"/>
        </w:rPr>
      </w:pPr>
      <w:r>
        <w:rPr>
          <w:lang w:val="en-GB"/>
        </w:rPr>
        <w:t xml:space="preserve">Note: </w:t>
      </w:r>
      <w:r w:rsidRPr="008468BE">
        <w:rPr>
          <w:rFonts w:cs="Arial"/>
          <w:szCs w:val="17"/>
          <w:lang w:val="en-GB"/>
        </w:rPr>
        <w:t>€</w:t>
      </w:r>
      <w:r>
        <w:rPr>
          <w:rFonts w:cs="Arial"/>
          <w:szCs w:val="17"/>
          <w:lang w:val="en-GB"/>
        </w:rPr>
        <w:t xml:space="preserve"> = euro</w:t>
      </w:r>
      <w:r w:rsidR="003F5309">
        <w:rPr>
          <w:rFonts w:cs="Arial"/>
          <w:szCs w:val="17"/>
          <w:lang w:val="en-GB"/>
        </w:rPr>
        <w:t xml:space="preserve">; US$1 = </w:t>
      </w:r>
      <w:r w:rsidR="003F5309" w:rsidRPr="00431D8C">
        <w:rPr>
          <w:rFonts w:cs="Arial"/>
          <w:szCs w:val="17"/>
          <w:lang w:val="en-GB"/>
        </w:rPr>
        <w:t>€</w:t>
      </w:r>
      <w:r w:rsidR="006851D7">
        <w:rPr>
          <w:rFonts w:cs="Arial"/>
          <w:szCs w:val="17"/>
          <w:lang w:val="en-GB"/>
        </w:rPr>
        <w:t>0.878</w:t>
      </w:r>
      <w:r w:rsidR="003F5309">
        <w:rPr>
          <w:rFonts w:cs="Arial"/>
          <w:szCs w:val="17"/>
          <w:lang w:val="en-GB"/>
        </w:rPr>
        <w:t xml:space="preserve"> on </w:t>
      </w:r>
      <w:r w:rsidR="006851D7">
        <w:rPr>
          <w:rFonts w:cs="Arial"/>
          <w:szCs w:val="17"/>
          <w:lang w:val="en-GB"/>
        </w:rPr>
        <w:t>September 30, 2016</w:t>
      </w:r>
      <w:r w:rsidR="003F5309">
        <w:rPr>
          <w:rFonts w:cs="Arial"/>
          <w:szCs w:val="17"/>
          <w:lang w:val="en-GB"/>
        </w:rPr>
        <w:t>.</w:t>
      </w:r>
    </w:p>
    <w:p w14:paraId="11F3829E" w14:textId="5D625F6A" w:rsidR="00EC47FE" w:rsidRPr="001C2B0B" w:rsidRDefault="009936ED" w:rsidP="001C2B0B">
      <w:pPr>
        <w:pStyle w:val="FootnoteText1"/>
      </w:pPr>
      <w:r w:rsidRPr="009577CF">
        <w:rPr>
          <w:lang w:val="en-GB"/>
        </w:rPr>
        <w:t xml:space="preserve">Source: </w:t>
      </w:r>
      <w:r w:rsidR="007E7955">
        <w:t xml:space="preserve">PANDORA, “The PANDORA Story,” accessed </w:t>
      </w:r>
      <w:r w:rsidR="006851D7" w:rsidRPr="00BD2109">
        <w:t>October</w:t>
      </w:r>
      <w:r w:rsidR="007E7955" w:rsidRPr="00BD2109">
        <w:t xml:space="preserve"> </w:t>
      </w:r>
      <w:r w:rsidR="006851D7" w:rsidRPr="00BD2109">
        <w:t>4</w:t>
      </w:r>
      <w:r w:rsidR="007E7955" w:rsidRPr="00BD2109">
        <w:t xml:space="preserve">, </w:t>
      </w:r>
      <w:r w:rsidR="006851D7">
        <w:t>2016</w:t>
      </w:r>
      <w:r w:rsidR="00A55482">
        <w:t>,</w:t>
      </w:r>
      <w:r w:rsidR="007E7955">
        <w:t xml:space="preserve"> </w:t>
      </w:r>
      <w:r w:rsidR="007E7955" w:rsidRPr="00835A51">
        <w:t>http://pandoragroup.com</w:t>
      </w:r>
      <w:r w:rsidR="007E7955" w:rsidRPr="00752AFF">
        <w:t>/en/Media/Pandora_In_Brief/the-pandora-story</w:t>
      </w:r>
      <w:r w:rsidR="007E7955">
        <w:t>;</w:t>
      </w:r>
      <w:r w:rsidR="007E7955" w:rsidRPr="00835A51">
        <w:t xml:space="preserve"> </w:t>
      </w:r>
      <w:r w:rsidR="007E7955">
        <w:t xml:space="preserve">Swarovski, “About Swarovski: Corporate Facts,” accessed </w:t>
      </w:r>
      <w:r w:rsidR="006851D7" w:rsidRPr="00BD2109">
        <w:t>October</w:t>
      </w:r>
      <w:r w:rsidR="007E7955" w:rsidRPr="00BD2109">
        <w:t xml:space="preserve"> </w:t>
      </w:r>
      <w:r w:rsidR="006851D7" w:rsidRPr="00BD2109">
        <w:t>4</w:t>
      </w:r>
      <w:r w:rsidR="007E7955" w:rsidRPr="00BD2109">
        <w:t xml:space="preserve">, </w:t>
      </w:r>
      <w:r w:rsidR="006851D7" w:rsidRPr="00BD2109">
        <w:t>2016</w:t>
      </w:r>
      <w:r w:rsidR="007E7955">
        <w:t xml:space="preserve">, </w:t>
      </w:r>
      <w:r w:rsidR="007E7955" w:rsidRPr="008468BE">
        <w:t>www.swarovskigroup.com/S/aboutus/Facts.en.html</w:t>
      </w:r>
      <w:r w:rsidR="007E7955">
        <w:t xml:space="preserve">; Amy Anderson, “Meet Kendra Scott: Homemade Millionaire,” </w:t>
      </w:r>
      <w:r w:rsidR="007E7955" w:rsidRPr="008468BE">
        <w:rPr>
          <w:i/>
        </w:rPr>
        <w:t>Success</w:t>
      </w:r>
      <w:r w:rsidR="007E7955">
        <w:t xml:space="preserve">, March 7, 2016, accessed </w:t>
      </w:r>
      <w:r w:rsidR="006851D7" w:rsidRPr="00BD2109">
        <w:t>October</w:t>
      </w:r>
      <w:r w:rsidR="007E7955" w:rsidRPr="00BD2109">
        <w:t xml:space="preserve"> </w:t>
      </w:r>
      <w:r w:rsidR="006851D7" w:rsidRPr="00BD2109">
        <w:t>4</w:t>
      </w:r>
      <w:r w:rsidR="007E7955" w:rsidRPr="00BD2109">
        <w:t xml:space="preserve">, </w:t>
      </w:r>
      <w:r w:rsidR="006851D7" w:rsidRPr="00BD2109">
        <w:t>2</w:t>
      </w:r>
      <w:r w:rsidR="006851D7">
        <w:t>016</w:t>
      </w:r>
      <w:r w:rsidR="007E7955">
        <w:t xml:space="preserve">, </w:t>
      </w:r>
      <w:r w:rsidR="007E7955" w:rsidRPr="008468BE">
        <w:t>www.success.com/article/meet-kendra-scott-homemade-millionaire</w:t>
      </w:r>
      <w:r w:rsidR="007E7955">
        <w:t xml:space="preserve">; </w:t>
      </w:r>
      <w:r w:rsidR="00EC47FE">
        <w:t xml:space="preserve">Clare O’Connor, “Alex and Ani’s Carolyn Rafaelian Joins Self-Made List as Jewelry’s Richest Woman,” </w:t>
      </w:r>
      <w:r w:rsidR="00EC47FE" w:rsidRPr="008468BE">
        <w:rPr>
          <w:i/>
        </w:rPr>
        <w:t>Forbes</w:t>
      </w:r>
      <w:r w:rsidR="00EC47FE">
        <w:t xml:space="preserve">, June 3, 2016, accessed </w:t>
      </w:r>
      <w:r w:rsidR="006851D7" w:rsidRPr="00BD2109">
        <w:t>October</w:t>
      </w:r>
      <w:r w:rsidR="00EC47FE" w:rsidRPr="00BD2109">
        <w:t xml:space="preserve"> </w:t>
      </w:r>
      <w:r w:rsidR="006851D7" w:rsidRPr="00BD2109">
        <w:t>4</w:t>
      </w:r>
      <w:r w:rsidR="00EC47FE" w:rsidRPr="00BD2109">
        <w:t xml:space="preserve">, </w:t>
      </w:r>
      <w:r w:rsidR="006851D7">
        <w:t>2016</w:t>
      </w:r>
      <w:r w:rsidR="00EC47FE">
        <w:t xml:space="preserve">, </w:t>
      </w:r>
      <w:r w:rsidR="00EC47FE" w:rsidRPr="00EC47FE">
        <w:t>www.forbes.com/sites/clareoconnor/2016/06/03/alex-and-anis-carolyn-rafaelian-joins-self-made-list-as-jewelrys-richest-woman/#427fd5da2e93</w:t>
      </w:r>
      <w:r w:rsidR="00A55482">
        <w:t>.</w:t>
      </w:r>
      <w:r w:rsidR="00EC47FE" w:rsidRPr="001C2B0B">
        <w:br w:type="page"/>
      </w:r>
    </w:p>
    <w:p w14:paraId="73106943" w14:textId="32EB8FAC" w:rsidR="004935C2" w:rsidRPr="009577CF" w:rsidRDefault="004935C2" w:rsidP="009936ED">
      <w:pPr>
        <w:pStyle w:val="casehead1"/>
        <w:jc w:val="center"/>
        <w:rPr>
          <w:lang w:val="en-GB"/>
        </w:rPr>
      </w:pPr>
      <w:r w:rsidRPr="009577CF">
        <w:rPr>
          <w:lang w:val="en-GB"/>
        </w:rPr>
        <w:lastRenderedPageBreak/>
        <w:t>Exhibit 4</w:t>
      </w:r>
      <w:r w:rsidR="009936ED" w:rsidRPr="009577CF">
        <w:rPr>
          <w:lang w:val="en-GB"/>
        </w:rPr>
        <w:t xml:space="preserve">: </w:t>
      </w:r>
      <w:r w:rsidR="008F5DD5">
        <w:rPr>
          <w:lang w:val="en-GB"/>
        </w:rPr>
        <w:t xml:space="preserve">Hillberg &amp; Berk </w:t>
      </w:r>
      <w:r w:rsidRPr="009577CF">
        <w:rPr>
          <w:lang w:val="en-GB"/>
        </w:rPr>
        <w:t>STORE LOCATIONS</w:t>
      </w:r>
    </w:p>
    <w:p w14:paraId="57A336E2" w14:textId="77777777" w:rsidR="004935C2" w:rsidRPr="008504F2" w:rsidRDefault="004935C2" w:rsidP="009936ED">
      <w:pPr>
        <w:pStyle w:val="BodyText"/>
        <w:rPr>
          <w:sz w:val="12"/>
          <w:szCs w:val="12"/>
          <w:lang w:val="en-GB"/>
        </w:rPr>
      </w:pPr>
    </w:p>
    <w:tbl>
      <w:tblPr>
        <w:tblStyle w:val="TableGrid"/>
        <w:tblW w:w="0" w:type="auto"/>
        <w:jc w:val="center"/>
        <w:tblLook w:val="04A0" w:firstRow="1" w:lastRow="0" w:firstColumn="1" w:lastColumn="0" w:noHBand="0" w:noVBand="1"/>
      </w:tblPr>
      <w:tblGrid>
        <w:gridCol w:w="543"/>
        <w:gridCol w:w="2160"/>
        <w:gridCol w:w="2700"/>
        <w:gridCol w:w="2700"/>
      </w:tblGrid>
      <w:tr w:rsidR="004935C2" w:rsidRPr="008504F2" w14:paraId="2F99810A" w14:textId="77777777" w:rsidTr="008504F2">
        <w:trPr>
          <w:jc w:val="center"/>
        </w:trPr>
        <w:tc>
          <w:tcPr>
            <w:tcW w:w="543" w:type="dxa"/>
          </w:tcPr>
          <w:p w14:paraId="2B7D6C92" w14:textId="77777777" w:rsidR="004935C2" w:rsidRPr="008504F2" w:rsidRDefault="004935C2" w:rsidP="009577CF">
            <w:pPr>
              <w:pStyle w:val="BodyText"/>
              <w:jc w:val="left"/>
              <w:rPr>
                <w:rFonts w:ascii="Arial" w:hAnsi="Arial" w:cs="Arial"/>
                <w:sz w:val="20"/>
                <w:szCs w:val="20"/>
                <w:lang w:val="en-GB"/>
              </w:rPr>
            </w:pPr>
          </w:p>
        </w:tc>
        <w:tc>
          <w:tcPr>
            <w:tcW w:w="2160" w:type="dxa"/>
          </w:tcPr>
          <w:p w14:paraId="05BAE92C" w14:textId="77777777" w:rsidR="004935C2" w:rsidRPr="008504F2" w:rsidRDefault="004935C2" w:rsidP="003D2DE4">
            <w:pPr>
              <w:pStyle w:val="BodyText"/>
              <w:jc w:val="center"/>
              <w:rPr>
                <w:rFonts w:ascii="Arial" w:hAnsi="Arial" w:cs="Arial"/>
                <w:b/>
                <w:sz w:val="20"/>
                <w:szCs w:val="20"/>
                <w:lang w:val="en-GB"/>
              </w:rPr>
            </w:pPr>
            <w:r w:rsidRPr="008504F2">
              <w:rPr>
                <w:rFonts w:ascii="Arial" w:hAnsi="Arial" w:cs="Arial"/>
                <w:b/>
                <w:sz w:val="20"/>
                <w:szCs w:val="20"/>
                <w:lang w:val="en-GB"/>
              </w:rPr>
              <w:t>Store Name</w:t>
            </w:r>
          </w:p>
        </w:tc>
        <w:tc>
          <w:tcPr>
            <w:tcW w:w="2700" w:type="dxa"/>
          </w:tcPr>
          <w:p w14:paraId="6E8FDF13" w14:textId="77777777" w:rsidR="004935C2" w:rsidRPr="008504F2" w:rsidRDefault="004935C2" w:rsidP="003D2DE4">
            <w:pPr>
              <w:pStyle w:val="BodyText"/>
              <w:jc w:val="center"/>
              <w:rPr>
                <w:rFonts w:ascii="Arial" w:hAnsi="Arial" w:cs="Arial"/>
                <w:b/>
                <w:sz w:val="20"/>
                <w:szCs w:val="20"/>
                <w:lang w:val="en-GB"/>
              </w:rPr>
            </w:pPr>
            <w:r w:rsidRPr="008504F2">
              <w:rPr>
                <w:rFonts w:ascii="Arial" w:hAnsi="Arial" w:cs="Arial"/>
                <w:b/>
                <w:sz w:val="20"/>
                <w:szCs w:val="20"/>
                <w:lang w:val="en-GB"/>
              </w:rPr>
              <w:t>Location</w:t>
            </w:r>
          </w:p>
        </w:tc>
        <w:tc>
          <w:tcPr>
            <w:tcW w:w="2700" w:type="dxa"/>
          </w:tcPr>
          <w:p w14:paraId="206DCE8B" w14:textId="77777777" w:rsidR="004935C2" w:rsidRPr="008504F2" w:rsidRDefault="004935C2" w:rsidP="003D2DE4">
            <w:pPr>
              <w:pStyle w:val="BodyText"/>
              <w:jc w:val="center"/>
              <w:rPr>
                <w:rFonts w:ascii="Arial" w:hAnsi="Arial" w:cs="Arial"/>
                <w:b/>
                <w:sz w:val="20"/>
                <w:szCs w:val="20"/>
                <w:lang w:val="en-GB"/>
              </w:rPr>
            </w:pPr>
            <w:r w:rsidRPr="008504F2">
              <w:rPr>
                <w:rFonts w:ascii="Arial" w:hAnsi="Arial" w:cs="Arial"/>
                <w:b/>
                <w:sz w:val="20"/>
                <w:szCs w:val="20"/>
                <w:lang w:val="en-GB"/>
              </w:rPr>
              <w:t>Store Type</w:t>
            </w:r>
          </w:p>
        </w:tc>
      </w:tr>
      <w:tr w:rsidR="004935C2" w:rsidRPr="008504F2" w14:paraId="028B37BF" w14:textId="77777777" w:rsidTr="008504F2">
        <w:trPr>
          <w:jc w:val="center"/>
        </w:trPr>
        <w:tc>
          <w:tcPr>
            <w:tcW w:w="543" w:type="dxa"/>
          </w:tcPr>
          <w:p w14:paraId="2EF82E9B" w14:textId="77777777" w:rsidR="004935C2" w:rsidRPr="008504F2" w:rsidRDefault="004935C2" w:rsidP="009577CF">
            <w:pPr>
              <w:pStyle w:val="BodyText"/>
              <w:jc w:val="left"/>
              <w:rPr>
                <w:rFonts w:ascii="Arial" w:hAnsi="Arial" w:cs="Arial"/>
                <w:b/>
                <w:sz w:val="20"/>
                <w:szCs w:val="20"/>
                <w:lang w:val="en-GB"/>
              </w:rPr>
            </w:pPr>
            <w:r w:rsidRPr="008504F2">
              <w:rPr>
                <w:rFonts w:ascii="Arial" w:hAnsi="Arial" w:cs="Arial"/>
                <w:b/>
                <w:sz w:val="20"/>
                <w:szCs w:val="20"/>
                <w:lang w:val="en-GB"/>
              </w:rPr>
              <w:t>1</w:t>
            </w:r>
          </w:p>
        </w:tc>
        <w:tc>
          <w:tcPr>
            <w:tcW w:w="2160" w:type="dxa"/>
          </w:tcPr>
          <w:p w14:paraId="0220BF36" w14:textId="77777777" w:rsidR="004935C2" w:rsidRPr="008504F2" w:rsidRDefault="004935C2" w:rsidP="009577CF">
            <w:pPr>
              <w:pStyle w:val="BodyText"/>
              <w:jc w:val="left"/>
              <w:rPr>
                <w:rFonts w:ascii="Arial" w:hAnsi="Arial" w:cs="Arial"/>
                <w:sz w:val="20"/>
                <w:szCs w:val="20"/>
                <w:lang w:val="en-GB"/>
              </w:rPr>
            </w:pPr>
            <w:r w:rsidRPr="008504F2">
              <w:rPr>
                <w:rFonts w:ascii="Arial" w:hAnsi="Arial" w:cs="Arial"/>
                <w:sz w:val="20"/>
                <w:szCs w:val="20"/>
                <w:lang w:val="en-GB"/>
              </w:rPr>
              <w:t>Flagship</w:t>
            </w:r>
          </w:p>
        </w:tc>
        <w:tc>
          <w:tcPr>
            <w:tcW w:w="2700" w:type="dxa"/>
          </w:tcPr>
          <w:p w14:paraId="3D54385C" w14:textId="77777777" w:rsidR="004935C2" w:rsidRPr="008504F2" w:rsidRDefault="004935C2" w:rsidP="009577CF">
            <w:pPr>
              <w:pStyle w:val="BodyText"/>
              <w:jc w:val="left"/>
              <w:rPr>
                <w:rFonts w:ascii="Arial" w:hAnsi="Arial" w:cs="Arial"/>
                <w:sz w:val="20"/>
                <w:szCs w:val="20"/>
                <w:lang w:val="en-GB"/>
              </w:rPr>
            </w:pPr>
            <w:r w:rsidRPr="008504F2">
              <w:rPr>
                <w:rFonts w:ascii="Arial" w:hAnsi="Arial" w:cs="Arial"/>
                <w:sz w:val="20"/>
                <w:szCs w:val="20"/>
                <w:lang w:val="en-GB"/>
              </w:rPr>
              <w:t>Regina, Saskatchewan</w:t>
            </w:r>
          </w:p>
        </w:tc>
        <w:tc>
          <w:tcPr>
            <w:tcW w:w="2700" w:type="dxa"/>
          </w:tcPr>
          <w:p w14:paraId="6302EEAC" w14:textId="77777777" w:rsidR="004935C2" w:rsidRPr="008504F2" w:rsidRDefault="004935C2" w:rsidP="009577CF">
            <w:pPr>
              <w:pStyle w:val="BodyText"/>
              <w:jc w:val="left"/>
              <w:rPr>
                <w:rFonts w:ascii="Arial" w:hAnsi="Arial" w:cs="Arial"/>
                <w:sz w:val="20"/>
                <w:szCs w:val="20"/>
                <w:lang w:val="en-GB"/>
              </w:rPr>
            </w:pPr>
            <w:r w:rsidRPr="008504F2">
              <w:rPr>
                <w:rFonts w:ascii="Arial" w:hAnsi="Arial" w:cs="Arial"/>
                <w:sz w:val="20"/>
                <w:szCs w:val="20"/>
                <w:lang w:val="en-GB"/>
              </w:rPr>
              <w:t>Standalone Store</w:t>
            </w:r>
          </w:p>
        </w:tc>
      </w:tr>
      <w:tr w:rsidR="004935C2" w:rsidRPr="008504F2" w14:paraId="7C88208C" w14:textId="77777777" w:rsidTr="008504F2">
        <w:trPr>
          <w:jc w:val="center"/>
        </w:trPr>
        <w:tc>
          <w:tcPr>
            <w:tcW w:w="543" w:type="dxa"/>
          </w:tcPr>
          <w:p w14:paraId="31E64625" w14:textId="77777777" w:rsidR="004935C2" w:rsidRPr="008504F2" w:rsidRDefault="004935C2" w:rsidP="009577CF">
            <w:pPr>
              <w:pStyle w:val="BodyText"/>
              <w:jc w:val="left"/>
              <w:rPr>
                <w:rFonts w:ascii="Arial" w:hAnsi="Arial" w:cs="Arial"/>
                <w:b/>
                <w:sz w:val="20"/>
                <w:szCs w:val="20"/>
                <w:lang w:val="en-GB"/>
              </w:rPr>
            </w:pPr>
            <w:r w:rsidRPr="008504F2">
              <w:rPr>
                <w:rFonts w:ascii="Arial" w:hAnsi="Arial" w:cs="Arial"/>
                <w:b/>
                <w:sz w:val="20"/>
                <w:szCs w:val="20"/>
                <w:lang w:val="en-GB"/>
              </w:rPr>
              <w:t>2</w:t>
            </w:r>
          </w:p>
        </w:tc>
        <w:tc>
          <w:tcPr>
            <w:tcW w:w="2160" w:type="dxa"/>
          </w:tcPr>
          <w:p w14:paraId="6A1DD647" w14:textId="77777777" w:rsidR="004935C2" w:rsidRPr="008504F2" w:rsidRDefault="004935C2" w:rsidP="009577CF">
            <w:pPr>
              <w:pStyle w:val="BodyText"/>
              <w:jc w:val="left"/>
              <w:rPr>
                <w:rFonts w:ascii="Arial" w:hAnsi="Arial" w:cs="Arial"/>
                <w:sz w:val="20"/>
                <w:szCs w:val="20"/>
                <w:lang w:val="en-GB"/>
              </w:rPr>
            </w:pPr>
            <w:r w:rsidRPr="008504F2">
              <w:rPr>
                <w:rFonts w:ascii="Arial" w:hAnsi="Arial" w:cs="Arial"/>
                <w:sz w:val="20"/>
                <w:szCs w:val="20"/>
                <w:lang w:val="en-GB"/>
              </w:rPr>
              <w:t>Cornwall</w:t>
            </w:r>
          </w:p>
        </w:tc>
        <w:tc>
          <w:tcPr>
            <w:tcW w:w="2700" w:type="dxa"/>
          </w:tcPr>
          <w:p w14:paraId="15B254A9" w14:textId="77777777" w:rsidR="004935C2" w:rsidRPr="008504F2" w:rsidRDefault="004935C2" w:rsidP="009577CF">
            <w:pPr>
              <w:pStyle w:val="BodyText"/>
              <w:jc w:val="left"/>
              <w:rPr>
                <w:rFonts w:ascii="Arial" w:hAnsi="Arial" w:cs="Arial"/>
                <w:sz w:val="20"/>
                <w:szCs w:val="20"/>
                <w:lang w:val="en-GB"/>
              </w:rPr>
            </w:pPr>
            <w:r w:rsidRPr="008504F2">
              <w:rPr>
                <w:rFonts w:ascii="Arial" w:hAnsi="Arial" w:cs="Arial"/>
                <w:sz w:val="20"/>
                <w:szCs w:val="20"/>
                <w:lang w:val="en-GB"/>
              </w:rPr>
              <w:t>Regina, Saskatchewan</w:t>
            </w:r>
          </w:p>
        </w:tc>
        <w:tc>
          <w:tcPr>
            <w:tcW w:w="2700" w:type="dxa"/>
          </w:tcPr>
          <w:p w14:paraId="75669C53" w14:textId="77777777" w:rsidR="004935C2" w:rsidRPr="008504F2" w:rsidRDefault="004935C2" w:rsidP="009577CF">
            <w:pPr>
              <w:pStyle w:val="BodyText"/>
              <w:jc w:val="left"/>
              <w:rPr>
                <w:rFonts w:ascii="Arial" w:hAnsi="Arial" w:cs="Arial"/>
                <w:sz w:val="20"/>
                <w:szCs w:val="20"/>
                <w:lang w:val="en-GB"/>
              </w:rPr>
            </w:pPr>
            <w:r w:rsidRPr="008504F2">
              <w:rPr>
                <w:rFonts w:ascii="Arial" w:hAnsi="Arial" w:cs="Arial"/>
                <w:sz w:val="20"/>
                <w:szCs w:val="20"/>
                <w:lang w:val="en-GB"/>
              </w:rPr>
              <w:t>Sparkle Bar</w:t>
            </w:r>
          </w:p>
        </w:tc>
      </w:tr>
      <w:tr w:rsidR="004935C2" w:rsidRPr="008504F2" w14:paraId="5D56D395" w14:textId="77777777" w:rsidTr="008504F2">
        <w:trPr>
          <w:jc w:val="center"/>
        </w:trPr>
        <w:tc>
          <w:tcPr>
            <w:tcW w:w="543" w:type="dxa"/>
          </w:tcPr>
          <w:p w14:paraId="0D559991" w14:textId="77777777" w:rsidR="004935C2" w:rsidRPr="008504F2" w:rsidRDefault="004935C2" w:rsidP="009577CF">
            <w:pPr>
              <w:pStyle w:val="BodyText"/>
              <w:jc w:val="left"/>
              <w:rPr>
                <w:rFonts w:ascii="Arial" w:hAnsi="Arial" w:cs="Arial"/>
                <w:b/>
                <w:sz w:val="20"/>
                <w:szCs w:val="20"/>
                <w:lang w:val="en-GB"/>
              </w:rPr>
            </w:pPr>
            <w:r w:rsidRPr="008504F2">
              <w:rPr>
                <w:rFonts w:ascii="Arial" w:hAnsi="Arial" w:cs="Arial"/>
                <w:b/>
                <w:sz w:val="20"/>
                <w:szCs w:val="20"/>
                <w:lang w:val="en-GB"/>
              </w:rPr>
              <w:t>3</w:t>
            </w:r>
          </w:p>
        </w:tc>
        <w:tc>
          <w:tcPr>
            <w:tcW w:w="2160" w:type="dxa"/>
          </w:tcPr>
          <w:p w14:paraId="27F10926" w14:textId="77777777" w:rsidR="004935C2" w:rsidRPr="008504F2" w:rsidRDefault="004935C2" w:rsidP="009577CF">
            <w:pPr>
              <w:pStyle w:val="BodyText"/>
              <w:jc w:val="left"/>
              <w:rPr>
                <w:rFonts w:ascii="Arial" w:hAnsi="Arial" w:cs="Arial"/>
                <w:sz w:val="20"/>
                <w:szCs w:val="20"/>
                <w:lang w:val="en-GB"/>
              </w:rPr>
            </w:pPr>
            <w:r w:rsidRPr="008504F2">
              <w:rPr>
                <w:rFonts w:ascii="Arial" w:hAnsi="Arial" w:cs="Arial"/>
                <w:sz w:val="20"/>
                <w:szCs w:val="20"/>
                <w:lang w:val="en-GB"/>
              </w:rPr>
              <w:t>Midtown</w:t>
            </w:r>
          </w:p>
        </w:tc>
        <w:tc>
          <w:tcPr>
            <w:tcW w:w="2700" w:type="dxa"/>
          </w:tcPr>
          <w:p w14:paraId="64F8B67E" w14:textId="77777777" w:rsidR="004935C2" w:rsidRPr="008504F2" w:rsidRDefault="004935C2" w:rsidP="009577CF">
            <w:pPr>
              <w:pStyle w:val="BodyText"/>
              <w:jc w:val="left"/>
              <w:rPr>
                <w:rFonts w:ascii="Arial" w:hAnsi="Arial" w:cs="Arial"/>
                <w:sz w:val="20"/>
                <w:szCs w:val="20"/>
                <w:lang w:val="en-GB"/>
              </w:rPr>
            </w:pPr>
            <w:r w:rsidRPr="008504F2">
              <w:rPr>
                <w:rFonts w:ascii="Arial" w:hAnsi="Arial" w:cs="Arial"/>
                <w:sz w:val="20"/>
                <w:szCs w:val="20"/>
                <w:lang w:val="en-GB"/>
              </w:rPr>
              <w:t>Saskatoon, Saskatchewan</w:t>
            </w:r>
          </w:p>
        </w:tc>
        <w:tc>
          <w:tcPr>
            <w:tcW w:w="2700" w:type="dxa"/>
          </w:tcPr>
          <w:p w14:paraId="347DE8C0" w14:textId="77777777" w:rsidR="004935C2" w:rsidRPr="008504F2" w:rsidRDefault="004935C2" w:rsidP="009577CF">
            <w:pPr>
              <w:pStyle w:val="BodyText"/>
              <w:jc w:val="left"/>
              <w:rPr>
                <w:rFonts w:ascii="Arial" w:hAnsi="Arial" w:cs="Arial"/>
                <w:sz w:val="20"/>
                <w:szCs w:val="20"/>
                <w:lang w:val="en-GB"/>
              </w:rPr>
            </w:pPr>
            <w:r w:rsidRPr="008504F2">
              <w:rPr>
                <w:rFonts w:ascii="Arial" w:hAnsi="Arial" w:cs="Arial"/>
                <w:sz w:val="20"/>
                <w:szCs w:val="20"/>
                <w:lang w:val="en-GB"/>
              </w:rPr>
              <w:t>Standalone Store</w:t>
            </w:r>
          </w:p>
        </w:tc>
      </w:tr>
      <w:tr w:rsidR="004935C2" w:rsidRPr="008504F2" w14:paraId="55DD8347" w14:textId="77777777" w:rsidTr="008504F2">
        <w:trPr>
          <w:jc w:val="center"/>
        </w:trPr>
        <w:tc>
          <w:tcPr>
            <w:tcW w:w="543" w:type="dxa"/>
          </w:tcPr>
          <w:p w14:paraId="66FFE00E" w14:textId="77777777" w:rsidR="004935C2" w:rsidRPr="008504F2" w:rsidRDefault="004935C2" w:rsidP="009577CF">
            <w:pPr>
              <w:pStyle w:val="BodyText"/>
              <w:jc w:val="left"/>
              <w:rPr>
                <w:rFonts w:ascii="Arial" w:hAnsi="Arial" w:cs="Arial"/>
                <w:b/>
                <w:sz w:val="20"/>
                <w:szCs w:val="20"/>
                <w:lang w:val="en-GB"/>
              </w:rPr>
            </w:pPr>
            <w:r w:rsidRPr="008504F2">
              <w:rPr>
                <w:rFonts w:ascii="Arial" w:hAnsi="Arial" w:cs="Arial"/>
                <w:b/>
                <w:sz w:val="20"/>
                <w:szCs w:val="20"/>
                <w:lang w:val="en-GB"/>
              </w:rPr>
              <w:t>4</w:t>
            </w:r>
          </w:p>
        </w:tc>
        <w:tc>
          <w:tcPr>
            <w:tcW w:w="2160" w:type="dxa"/>
          </w:tcPr>
          <w:p w14:paraId="01436CA1" w14:textId="77777777" w:rsidR="004935C2" w:rsidRPr="008504F2" w:rsidRDefault="004935C2" w:rsidP="009577CF">
            <w:pPr>
              <w:pStyle w:val="BodyText"/>
              <w:jc w:val="left"/>
              <w:rPr>
                <w:rFonts w:ascii="Arial" w:hAnsi="Arial" w:cs="Arial"/>
                <w:sz w:val="20"/>
                <w:szCs w:val="20"/>
                <w:lang w:val="en-GB"/>
              </w:rPr>
            </w:pPr>
            <w:r w:rsidRPr="008504F2">
              <w:rPr>
                <w:rFonts w:ascii="Arial" w:hAnsi="Arial" w:cs="Arial"/>
                <w:sz w:val="20"/>
                <w:szCs w:val="20"/>
                <w:lang w:val="en-GB"/>
              </w:rPr>
              <w:t>Centre</w:t>
            </w:r>
          </w:p>
        </w:tc>
        <w:tc>
          <w:tcPr>
            <w:tcW w:w="2700" w:type="dxa"/>
          </w:tcPr>
          <w:p w14:paraId="12AB136A" w14:textId="77777777" w:rsidR="004935C2" w:rsidRPr="008504F2" w:rsidRDefault="004935C2" w:rsidP="009577CF">
            <w:pPr>
              <w:pStyle w:val="BodyText"/>
              <w:jc w:val="left"/>
              <w:rPr>
                <w:rFonts w:ascii="Arial" w:hAnsi="Arial" w:cs="Arial"/>
                <w:sz w:val="20"/>
                <w:szCs w:val="20"/>
                <w:lang w:val="en-GB"/>
              </w:rPr>
            </w:pPr>
            <w:r w:rsidRPr="008504F2">
              <w:rPr>
                <w:rFonts w:ascii="Arial" w:hAnsi="Arial" w:cs="Arial"/>
                <w:sz w:val="20"/>
                <w:szCs w:val="20"/>
                <w:lang w:val="en-GB"/>
              </w:rPr>
              <w:t>Saskatoon, Saskatchewan</w:t>
            </w:r>
          </w:p>
        </w:tc>
        <w:tc>
          <w:tcPr>
            <w:tcW w:w="2700" w:type="dxa"/>
          </w:tcPr>
          <w:p w14:paraId="48148274" w14:textId="0D9FC147" w:rsidR="004935C2" w:rsidRPr="008504F2" w:rsidRDefault="004935C2" w:rsidP="00075E14">
            <w:pPr>
              <w:pStyle w:val="BodyText"/>
              <w:jc w:val="left"/>
              <w:rPr>
                <w:rFonts w:ascii="Arial" w:hAnsi="Arial" w:cs="Arial"/>
                <w:sz w:val="20"/>
                <w:szCs w:val="20"/>
                <w:lang w:val="en-GB"/>
              </w:rPr>
            </w:pPr>
            <w:r w:rsidRPr="008504F2">
              <w:rPr>
                <w:rFonts w:ascii="Arial" w:hAnsi="Arial" w:cs="Arial"/>
                <w:sz w:val="20"/>
                <w:szCs w:val="20"/>
                <w:lang w:val="en-GB"/>
              </w:rPr>
              <w:t>Pop</w:t>
            </w:r>
            <w:r w:rsidR="00075E14" w:rsidRPr="008504F2">
              <w:rPr>
                <w:rFonts w:ascii="Arial" w:hAnsi="Arial" w:cs="Arial"/>
                <w:sz w:val="20"/>
                <w:szCs w:val="20"/>
                <w:lang w:val="en-GB"/>
              </w:rPr>
              <w:t>-</w:t>
            </w:r>
            <w:r w:rsidRPr="008504F2">
              <w:rPr>
                <w:rFonts w:ascii="Arial" w:hAnsi="Arial" w:cs="Arial"/>
                <w:sz w:val="20"/>
                <w:szCs w:val="20"/>
                <w:lang w:val="en-GB"/>
              </w:rPr>
              <w:t>Up Standalone Store</w:t>
            </w:r>
            <w:r w:rsidR="00115466" w:rsidRPr="008504F2">
              <w:rPr>
                <w:rFonts w:ascii="Arial" w:hAnsi="Arial" w:cs="Arial"/>
                <w:sz w:val="20"/>
                <w:szCs w:val="20"/>
                <w:lang w:val="en-GB"/>
              </w:rPr>
              <w:t>*</w:t>
            </w:r>
          </w:p>
        </w:tc>
      </w:tr>
      <w:tr w:rsidR="004935C2" w:rsidRPr="008504F2" w14:paraId="1FD851F5" w14:textId="77777777" w:rsidTr="008504F2">
        <w:trPr>
          <w:jc w:val="center"/>
        </w:trPr>
        <w:tc>
          <w:tcPr>
            <w:tcW w:w="543" w:type="dxa"/>
          </w:tcPr>
          <w:p w14:paraId="2E0228F0" w14:textId="77777777" w:rsidR="004935C2" w:rsidRPr="008504F2" w:rsidRDefault="004935C2" w:rsidP="009577CF">
            <w:pPr>
              <w:pStyle w:val="BodyText"/>
              <w:jc w:val="left"/>
              <w:rPr>
                <w:rFonts w:ascii="Arial" w:hAnsi="Arial" w:cs="Arial"/>
                <w:b/>
                <w:sz w:val="20"/>
                <w:szCs w:val="20"/>
                <w:lang w:val="en-GB"/>
              </w:rPr>
            </w:pPr>
            <w:r w:rsidRPr="008504F2">
              <w:rPr>
                <w:rFonts w:ascii="Arial" w:hAnsi="Arial" w:cs="Arial"/>
                <w:b/>
                <w:sz w:val="20"/>
                <w:szCs w:val="20"/>
                <w:lang w:val="en-GB"/>
              </w:rPr>
              <w:t>5</w:t>
            </w:r>
          </w:p>
        </w:tc>
        <w:tc>
          <w:tcPr>
            <w:tcW w:w="2160" w:type="dxa"/>
          </w:tcPr>
          <w:p w14:paraId="23E9597A" w14:textId="77777777" w:rsidR="004935C2" w:rsidRPr="008504F2" w:rsidRDefault="004935C2" w:rsidP="009577CF">
            <w:pPr>
              <w:pStyle w:val="BodyText"/>
              <w:jc w:val="left"/>
              <w:rPr>
                <w:rFonts w:ascii="Arial" w:hAnsi="Arial" w:cs="Arial"/>
                <w:sz w:val="20"/>
                <w:szCs w:val="20"/>
                <w:lang w:val="en-GB"/>
              </w:rPr>
            </w:pPr>
            <w:r w:rsidRPr="008504F2">
              <w:rPr>
                <w:rFonts w:ascii="Arial" w:hAnsi="Arial" w:cs="Arial"/>
                <w:sz w:val="20"/>
                <w:szCs w:val="20"/>
                <w:lang w:val="en-GB"/>
              </w:rPr>
              <w:t>West Edmonton Mall</w:t>
            </w:r>
          </w:p>
        </w:tc>
        <w:tc>
          <w:tcPr>
            <w:tcW w:w="2700" w:type="dxa"/>
          </w:tcPr>
          <w:p w14:paraId="4A1A7270" w14:textId="77777777" w:rsidR="004935C2" w:rsidRPr="008504F2" w:rsidRDefault="004935C2" w:rsidP="009577CF">
            <w:pPr>
              <w:pStyle w:val="BodyText"/>
              <w:jc w:val="left"/>
              <w:rPr>
                <w:rFonts w:ascii="Arial" w:hAnsi="Arial" w:cs="Arial"/>
                <w:sz w:val="20"/>
                <w:szCs w:val="20"/>
                <w:lang w:val="en-GB"/>
              </w:rPr>
            </w:pPr>
            <w:r w:rsidRPr="008504F2">
              <w:rPr>
                <w:rFonts w:ascii="Arial" w:hAnsi="Arial" w:cs="Arial"/>
                <w:sz w:val="20"/>
                <w:szCs w:val="20"/>
                <w:lang w:val="en-GB"/>
              </w:rPr>
              <w:t>Edmonton, Alberta</w:t>
            </w:r>
          </w:p>
        </w:tc>
        <w:tc>
          <w:tcPr>
            <w:tcW w:w="2700" w:type="dxa"/>
          </w:tcPr>
          <w:p w14:paraId="73A519B6" w14:textId="77777777" w:rsidR="004935C2" w:rsidRPr="008504F2" w:rsidRDefault="004935C2" w:rsidP="009577CF">
            <w:pPr>
              <w:pStyle w:val="BodyText"/>
              <w:jc w:val="left"/>
              <w:rPr>
                <w:rFonts w:ascii="Arial" w:hAnsi="Arial" w:cs="Arial"/>
                <w:sz w:val="20"/>
                <w:szCs w:val="20"/>
                <w:lang w:val="en-GB"/>
              </w:rPr>
            </w:pPr>
            <w:r w:rsidRPr="008504F2">
              <w:rPr>
                <w:rFonts w:ascii="Arial" w:hAnsi="Arial" w:cs="Arial"/>
                <w:sz w:val="20"/>
                <w:szCs w:val="20"/>
                <w:lang w:val="en-GB"/>
              </w:rPr>
              <w:t>Sparkle Bar</w:t>
            </w:r>
          </w:p>
        </w:tc>
      </w:tr>
      <w:tr w:rsidR="004935C2" w:rsidRPr="008504F2" w14:paraId="52CA9B39" w14:textId="77777777" w:rsidTr="008504F2">
        <w:trPr>
          <w:jc w:val="center"/>
        </w:trPr>
        <w:tc>
          <w:tcPr>
            <w:tcW w:w="543" w:type="dxa"/>
          </w:tcPr>
          <w:p w14:paraId="48CCDAC7" w14:textId="77777777" w:rsidR="004935C2" w:rsidRPr="008504F2" w:rsidRDefault="004935C2" w:rsidP="009577CF">
            <w:pPr>
              <w:pStyle w:val="BodyText"/>
              <w:jc w:val="left"/>
              <w:rPr>
                <w:rFonts w:ascii="Arial" w:hAnsi="Arial" w:cs="Arial"/>
                <w:b/>
                <w:sz w:val="20"/>
                <w:szCs w:val="20"/>
                <w:lang w:val="en-GB"/>
              </w:rPr>
            </w:pPr>
            <w:r w:rsidRPr="008504F2">
              <w:rPr>
                <w:rFonts w:ascii="Arial" w:hAnsi="Arial" w:cs="Arial"/>
                <w:b/>
                <w:sz w:val="20"/>
                <w:szCs w:val="20"/>
                <w:lang w:val="en-GB"/>
              </w:rPr>
              <w:t>6</w:t>
            </w:r>
          </w:p>
        </w:tc>
        <w:tc>
          <w:tcPr>
            <w:tcW w:w="2160" w:type="dxa"/>
          </w:tcPr>
          <w:p w14:paraId="75F1D5AA" w14:textId="77777777" w:rsidR="004935C2" w:rsidRPr="008504F2" w:rsidRDefault="004935C2" w:rsidP="009577CF">
            <w:pPr>
              <w:pStyle w:val="BodyText"/>
              <w:jc w:val="left"/>
              <w:rPr>
                <w:rFonts w:ascii="Arial" w:hAnsi="Arial" w:cs="Arial"/>
                <w:sz w:val="20"/>
                <w:szCs w:val="20"/>
                <w:lang w:val="en-GB"/>
              </w:rPr>
            </w:pPr>
            <w:r w:rsidRPr="008504F2">
              <w:rPr>
                <w:rFonts w:ascii="Arial" w:hAnsi="Arial" w:cs="Arial"/>
                <w:sz w:val="20"/>
                <w:szCs w:val="20"/>
                <w:lang w:val="en-GB"/>
              </w:rPr>
              <w:t>Kingsway Mall</w:t>
            </w:r>
          </w:p>
        </w:tc>
        <w:tc>
          <w:tcPr>
            <w:tcW w:w="2700" w:type="dxa"/>
          </w:tcPr>
          <w:p w14:paraId="599EBEA3" w14:textId="77777777" w:rsidR="004935C2" w:rsidRPr="008504F2" w:rsidRDefault="004935C2" w:rsidP="009577CF">
            <w:pPr>
              <w:pStyle w:val="BodyText"/>
              <w:jc w:val="left"/>
              <w:rPr>
                <w:rFonts w:ascii="Arial" w:hAnsi="Arial" w:cs="Arial"/>
                <w:sz w:val="20"/>
                <w:szCs w:val="20"/>
                <w:lang w:val="en-GB"/>
              </w:rPr>
            </w:pPr>
            <w:r w:rsidRPr="008504F2">
              <w:rPr>
                <w:rFonts w:ascii="Arial" w:hAnsi="Arial" w:cs="Arial"/>
                <w:sz w:val="20"/>
                <w:szCs w:val="20"/>
                <w:lang w:val="en-GB"/>
              </w:rPr>
              <w:t>Edmonton, Alberta</w:t>
            </w:r>
          </w:p>
        </w:tc>
        <w:tc>
          <w:tcPr>
            <w:tcW w:w="2700" w:type="dxa"/>
          </w:tcPr>
          <w:p w14:paraId="3A045200" w14:textId="77777777" w:rsidR="004935C2" w:rsidRPr="008504F2" w:rsidRDefault="004935C2" w:rsidP="009577CF">
            <w:pPr>
              <w:pStyle w:val="BodyText"/>
              <w:jc w:val="left"/>
              <w:rPr>
                <w:rFonts w:ascii="Arial" w:hAnsi="Arial" w:cs="Arial"/>
                <w:sz w:val="20"/>
                <w:szCs w:val="20"/>
                <w:lang w:val="en-GB"/>
              </w:rPr>
            </w:pPr>
            <w:r w:rsidRPr="008504F2">
              <w:rPr>
                <w:rFonts w:ascii="Arial" w:hAnsi="Arial" w:cs="Arial"/>
                <w:sz w:val="20"/>
                <w:szCs w:val="20"/>
                <w:lang w:val="en-GB"/>
              </w:rPr>
              <w:t>Sparkle Bar</w:t>
            </w:r>
          </w:p>
        </w:tc>
      </w:tr>
    </w:tbl>
    <w:p w14:paraId="6DFB85C1" w14:textId="77777777" w:rsidR="003F3051" w:rsidRDefault="00451D60" w:rsidP="00750CFF">
      <w:pPr>
        <w:pStyle w:val="FootnoteText1"/>
        <w:rPr>
          <w:lang w:val="en-GB"/>
        </w:rPr>
      </w:pPr>
      <w:r w:rsidRPr="009577CF">
        <w:rPr>
          <w:lang w:val="en-GB"/>
        </w:rPr>
        <w:tab/>
      </w:r>
    </w:p>
    <w:p w14:paraId="41B1AFA6" w14:textId="654734C6" w:rsidR="004935C2" w:rsidRPr="009577CF" w:rsidRDefault="00451D60" w:rsidP="00750CFF">
      <w:pPr>
        <w:pStyle w:val="FootnoteText1"/>
        <w:rPr>
          <w:lang w:val="en-GB"/>
        </w:rPr>
      </w:pPr>
      <w:r w:rsidRPr="009577CF">
        <w:rPr>
          <w:lang w:val="en-GB"/>
        </w:rPr>
        <w:t xml:space="preserve">*Expected to remain open until </w:t>
      </w:r>
      <w:r w:rsidR="00EC47FE">
        <w:rPr>
          <w:lang w:val="en-GB"/>
        </w:rPr>
        <w:t>s</w:t>
      </w:r>
      <w:r w:rsidRPr="009577CF">
        <w:rPr>
          <w:lang w:val="en-GB"/>
        </w:rPr>
        <w:t>pring 2017</w:t>
      </w:r>
    </w:p>
    <w:p w14:paraId="58AC5A41" w14:textId="3CC302DB" w:rsidR="00750CFF" w:rsidRDefault="00750CFF" w:rsidP="00750CFF">
      <w:pPr>
        <w:pStyle w:val="FootnoteText1"/>
        <w:rPr>
          <w:lang w:val="en-GB"/>
        </w:rPr>
      </w:pPr>
      <w:r w:rsidRPr="00BD2109">
        <w:rPr>
          <w:lang w:val="en-GB"/>
        </w:rPr>
        <w:t>Source:</w:t>
      </w:r>
      <w:r w:rsidR="008A6325">
        <w:rPr>
          <w:lang w:val="en-GB"/>
        </w:rPr>
        <w:t xml:space="preserve"> </w:t>
      </w:r>
      <w:r w:rsidR="00BD2109">
        <w:rPr>
          <w:lang w:val="en-GB"/>
        </w:rPr>
        <w:t>Company files.</w:t>
      </w:r>
    </w:p>
    <w:p w14:paraId="52655C44" w14:textId="77777777" w:rsidR="008504F2" w:rsidRPr="008504F2" w:rsidRDefault="008504F2" w:rsidP="008504F2">
      <w:pPr>
        <w:pStyle w:val="BodyText"/>
        <w:rPr>
          <w:lang w:val="en-GB"/>
        </w:rPr>
      </w:pPr>
    </w:p>
    <w:p w14:paraId="670F5F7B" w14:textId="0F6C89F4" w:rsidR="004935C2" w:rsidRPr="001C2B0B" w:rsidRDefault="00075E14" w:rsidP="008504F2">
      <w:pPr>
        <w:pStyle w:val="casehead2"/>
        <w:spacing w:after="60"/>
        <w:jc w:val="center"/>
      </w:pPr>
      <w:r w:rsidRPr="001C2B0B">
        <w:t xml:space="preserve">One </w:t>
      </w:r>
      <w:r w:rsidR="004935C2" w:rsidRPr="001C2B0B">
        <w:t>of H&amp;B’s Sparkle Bars</w:t>
      </w:r>
    </w:p>
    <w:p w14:paraId="407978CF" w14:textId="054C01B4" w:rsidR="004935C2" w:rsidRPr="009577CF" w:rsidRDefault="004935C2" w:rsidP="008504F2">
      <w:pPr>
        <w:spacing w:before="100" w:after="100"/>
        <w:jc w:val="center"/>
        <w:rPr>
          <w:lang w:val="en-GB"/>
        </w:rPr>
      </w:pPr>
      <w:r w:rsidRPr="009577CF">
        <w:rPr>
          <w:noProof/>
          <w:lang w:val="en-GB" w:eastAsia="en-GB"/>
        </w:rPr>
        <w:drawing>
          <wp:inline distT="0" distB="0" distL="0" distR="0" wp14:anchorId="42BCA996" wp14:editId="068E5EDD">
            <wp:extent cx="3942080" cy="2630580"/>
            <wp:effectExtent l="0" t="0" r="1270" b="0"/>
            <wp:docPr id="3" name="Picture 3" descr="C:\Users\Daryl\AppData\Local\Microsoft\Windows\INetCacheContent.Word\w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yl\AppData\Local\Microsoft\Windows\INetCacheContent.Word\wem.jpg"/>
                    <pic:cNvPicPr>
                      <a:picLocks noChangeAspect="1" noChangeArrowheads="1"/>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948092" cy="2634592"/>
                    </a:xfrm>
                    <a:prstGeom prst="rect">
                      <a:avLst/>
                    </a:prstGeom>
                    <a:noFill/>
                    <a:ln>
                      <a:noFill/>
                    </a:ln>
                  </pic:spPr>
                </pic:pic>
              </a:graphicData>
            </a:graphic>
          </wp:inline>
        </w:drawing>
      </w:r>
    </w:p>
    <w:p w14:paraId="4F9448E3" w14:textId="74A11F3B" w:rsidR="00750CFF" w:rsidRPr="009577CF" w:rsidRDefault="00750CFF">
      <w:pPr>
        <w:rPr>
          <w:spacing w:val="-1"/>
          <w:sz w:val="22"/>
          <w:szCs w:val="22"/>
          <w:lang w:val="en-GB"/>
        </w:rPr>
      </w:pPr>
    </w:p>
    <w:p w14:paraId="07DC9751" w14:textId="51F50CA3" w:rsidR="004935C2" w:rsidRPr="009577CF" w:rsidRDefault="00075E14" w:rsidP="008504F2">
      <w:pPr>
        <w:pStyle w:val="casehead2"/>
        <w:spacing w:after="60"/>
        <w:jc w:val="center"/>
        <w:rPr>
          <w:lang w:val="en-GB"/>
        </w:rPr>
      </w:pPr>
      <w:r>
        <w:rPr>
          <w:lang w:val="en-GB"/>
        </w:rPr>
        <w:t>One</w:t>
      </w:r>
      <w:r w:rsidRPr="009577CF">
        <w:rPr>
          <w:lang w:val="en-GB"/>
        </w:rPr>
        <w:t xml:space="preserve"> </w:t>
      </w:r>
      <w:r w:rsidR="004935C2" w:rsidRPr="009577CF">
        <w:rPr>
          <w:lang w:val="en-GB"/>
        </w:rPr>
        <w:t>of H&amp;B’s Standalone Retail Store</w:t>
      </w:r>
      <w:r>
        <w:rPr>
          <w:lang w:val="en-GB"/>
        </w:rPr>
        <w:t>s</w:t>
      </w:r>
    </w:p>
    <w:p w14:paraId="559AE616" w14:textId="67BA03F1" w:rsidR="004935C2" w:rsidRPr="008504F2" w:rsidRDefault="004935C2" w:rsidP="008504F2">
      <w:pPr>
        <w:pStyle w:val="BodyText"/>
        <w:jc w:val="center"/>
      </w:pPr>
      <w:r w:rsidRPr="009577CF">
        <w:rPr>
          <w:noProof/>
          <w:lang w:val="en-GB" w:eastAsia="en-GB"/>
        </w:rPr>
        <w:drawing>
          <wp:inline distT="0" distB="0" distL="0" distR="0" wp14:anchorId="5AC2C7B7" wp14:editId="559522CF">
            <wp:extent cx="4003040" cy="2671260"/>
            <wp:effectExtent l="0" t="0" r="0" b="0"/>
            <wp:docPr id="2" name="Picture 2" descr="C:\Users\Daryl\AppData\Local\Microsoft\Windows\INetCacheContent.Word\midt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yl\AppData\Local\Microsoft\Windows\INetCacheContent.Word\midtown.jpg"/>
                    <pic:cNvPicPr>
                      <a:picLocks noChangeAspect="1" noChangeArrowheads="1"/>
                    </pic:cNvPicPr>
                  </pic:nvPicPr>
                  <pic:blipFill>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10514" cy="2676247"/>
                    </a:xfrm>
                    <a:prstGeom prst="rect">
                      <a:avLst/>
                    </a:prstGeom>
                    <a:noFill/>
                    <a:ln>
                      <a:noFill/>
                    </a:ln>
                  </pic:spPr>
                </pic:pic>
              </a:graphicData>
            </a:graphic>
          </wp:inline>
        </w:drawing>
      </w:r>
    </w:p>
    <w:p w14:paraId="77C06CEA" w14:textId="77777777" w:rsidR="003F3051" w:rsidRDefault="003F3051" w:rsidP="00750CFF">
      <w:pPr>
        <w:pStyle w:val="FootnoteText1"/>
        <w:rPr>
          <w:lang w:val="en-GB"/>
        </w:rPr>
      </w:pPr>
    </w:p>
    <w:p w14:paraId="03A9B066" w14:textId="2C1F36CF" w:rsidR="00750CFF" w:rsidRPr="009577CF" w:rsidRDefault="00750CFF" w:rsidP="003F3051">
      <w:pPr>
        <w:pStyle w:val="FootnoteText1"/>
        <w:rPr>
          <w:lang w:val="en-GB"/>
        </w:rPr>
      </w:pPr>
      <w:r w:rsidRPr="00BD2109">
        <w:rPr>
          <w:lang w:val="en-GB"/>
        </w:rPr>
        <w:t>Source:</w:t>
      </w:r>
      <w:r w:rsidR="00BD2109">
        <w:rPr>
          <w:lang w:val="en-GB"/>
        </w:rPr>
        <w:t xml:space="preserve"> Company files.</w:t>
      </w:r>
      <w:r w:rsidRPr="009577CF">
        <w:rPr>
          <w:lang w:val="en-GB"/>
        </w:rPr>
        <w:br w:type="page"/>
      </w:r>
    </w:p>
    <w:p w14:paraId="6E7C0018" w14:textId="40F2AF7E" w:rsidR="00BE4A28" w:rsidRPr="009577CF" w:rsidRDefault="004935C2" w:rsidP="00750CFF">
      <w:pPr>
        <w:pStyle w:val="casehead1"/>
        <w:jc w:val="center"/>
        <w:rPr>
          <w:lang w:val="en-GB"/>
        </w:rPr>
      </w:pPr>
      <w:r w:rsidRPr="009577CF">
        <w:rPr>
          <w:lang w:val="en-GB"/>
        </w:rPr>
        <w:lastRenderedPageBreak/>
        <w:t>Exhibit 5</w:t>
      </w:r>
      <w:r w:rsidR="00750CFF" w:rsidRPr="009577CF">
        <w:rPr>
          <w:lang w:val="en-GB"/>
        </w:rPr>
        <w:t xml:space="preserve">: </w:t>
      </w:r>
      <w:r w:rsidR="00BE4A28" w:rsidRPr="009577CF">
        <w:rPr>
          <w:lang w:val="en-GB"/>
        </w:rPr>
        <w:t>POPULATION STATISTICS, CANADA</w:t>
      </w:r>
    </w:p>
    <w:p w14:paraId="3752D7F9" w14:textId="77777777" w:rsidR="001220F6" w:rsidRPr="009577CF" w:rsidRDefault="001220F6" w:rsidP="001220F6">
      <w:pPr>
        <w:pStyle w:val="BodyText"/>
        <w:rPr>
          <w:lang w:val="en-GB"/>
        </w:rPr>
      </w:pPr>
    </w:p>
    <w:p w14:paraId="65329ADC" w14:textId="39434C4A" w:rsidR="007B69D6" w:rsidRPr="008468BE" w:rsidRDefault="007B69D6" w:rsidP="008468BE">
      <w:pPr>
        <w:pStyle w:val="casehead2"/>
        <w:rPr>
          <w:szCs w:val="20"/>
          <w:lang w:val="en-GB"/>
        </w:rPr>
      </w:pPr>
      <w:r w:rsidRPr="008468BE">
        <w:rPr>
          <w:szCs w:val="20"/>
          <w:lang w:val="en-GB"/>
        </w:rPr>
        <w:t>Saskatchewan</w:t>
      </w:r>
      <w:r w:rsidR="00075E14">
        <w:rPr>
          <w:szCs w:val="20"/>
          <w:lang w:val="en-GB"/>
        </w:rPr>
        <w:t>’s Population</w:t>
      </w:r>
    </w:p>
    <w:p w14:paraId="000B1A59" w14:textId="77777777" w:rsidR="001220F6" w:rsidRPr="009577CF" w:rsidRDefault="001220F6" w:rsidP="001220F6">
      <w:pPr>
        <w:pStyle w:val="NormalWeb"/>
        <w:shd w:val="clear" w:color="auto" w:fill="FFFFFF"/>
        <w:spacing w:before="0" w:beforeAutospacing="0" w:after="0" w:afterAutospacing="0"/>
        <w:rPr>
          <w:rFonts w:ascii="Arial" w:hAnsi="Arial" w:cs="Arial"/>
          <w:sz w:val="20"/>
          <w:szCs w:val="20"/>
          <w:lang w:val="en-GB"/>
        </w:rPr>
      </w:pPr>
    </w:p>
    <w:p w14:paraId="616BCAF4" w14:textId="790BFBFB" w:rsidR="007B69D6" w:rsidRPr="009577CF" w:rsidRDefault="00EC47FE" w:rsidP="005155C2">
      <w:pPr>
        <w:pStyle w:val="NormalWeb"/>
        <w:shd w:val="clear" w:color="auto" w:fill="FFFFFF"/>
        <w:spacing w:before="0" w:beforeAutospacing="0" w:after="0" w:afterAutospacing="0"/>
        <w:jc w:val="both"/>
        <w:rPr>
          <w:rFonts w:ascii="Arial" w:hAnsi="Arial" w:cs="Arial"/>
          <w:sz w:val="20"/>
          <w:szCs w:val="20"/>
          <w:lang w:val="en-GB"/>
        </w:rPr>
      </w:pPr>
      <w:r>
        <w:rPr>
          <w:rFonts w:ascii="Arial" w:hAnsi="Arial" w:cs="Arial"/>
          <w:sz w:val="20"/>
          <w:szCs w:val="20"/>
          <w:lang w:val="en-GB"/>
        </w:rPr>
        <w:t>A</w:t>
      </w:r>
      <w:r w:rsidRPr="009577CF">
        <w:rPr>
          <w:rFonts w:ascii="Arial" w:hAnsi="Arial" w:cs="Arial"/>
          <w:sz w:val="20"/>
          <w:szCs w:val="20"/>
          <w:lang w:val="en-GB"/>
        </w:rPr>
        <w:t>ccording to Statistics Canada</w:t>
      </w:r>
      <w:r>
        <w:rPr>
          <w:rFonts w:ascii="Arial" w:hAnsi="Arial" w:cs="Arial"/>
          <w:sz w:val="20"/>
          <w:szCs w:val="20"/>
          <w:lang w:val="en-GB"/>
        </w:rPr>
        <w:t>,</w:t>
      </w:r>
      <w:r w:rsidRPr="009577CF">
        <w:rPr>
          <w:rFonts w:ascii="Arial" w:hAnsi="Arial" w:cs="Arial"/>
          <w:sz w:val="20"/>
          <w:szCs w:val="20"/>
          <w:lang w:val="en-GB"/>
        </w:rPr>
        <w:t xml:space="preserve"> </w:t>
      </w:r>
      <w:r w:rsidR="007B69D6" w:rsidRPr="009577CF">
        <w:rPr>
          <w:rFonts w:ascii="Arial" w:hAnsi="Arial" w:cs="Arial"/>
          <w:sz w:val="20"/>
          <w:szCs w:val="20"/>
          <w:lang w:val="en-GB"/>
        </w:rPr>
        <w:t>Saskatchewan’s population was estimated to be 1,142,570</w:t>
      </w:r>
      <w:r>
        <w:rPr>
          <w:rFonts w:ascii="Arial" w:hAnsi="Arial" w:cs="Arial"/>
          <w:sz w:val="20"/>
          <w:szCs w:val="20"/>
          <w:lang w:val="en-GB"/>
        </w:rPr>
        <w:t>,</w:t>
      </w:r>
      <w:r w:rsidR="007B69D6" w:rsidRPr="009577CF">
        <w:rPr>
          <w:rFonts w:ascii="Arial" w:hAnsi="Arial" w:cs="Arial"/>
          <w:sz w:val="20"/>
          <w:szCs w:val="20"/>
          <w:lang w:val="en-GB"/>
        </w:rPr>
        <w:t xml:space="preserve"> as of January</w:t>
      </w:r>
      <w:r w:rsidR="00A55482">
        <w:rPr>
          <w:rFonts w:ascii="Arial" w:hAnsi="Arial" w:cs="Arial"/>
          <w:sz w:val="20"/>
          <w:szCs w:val="20"/>
          <w:lang w:val="en-GB"/>
        </w:rPr>
        <w:t> </w:t>
      </w:r>
      <w:r w:rsidR="007B69D6" w:rsidRPr="009577CF">
        <w:rPr>
          <w:rFonts w:ascii="Arial" w:hAnsi="Arial" w:cs="Arial"/>
          <w:sz w:val="20"/>
          <w:szCs w:val="20"/>
          <w:lang w:val="en-GB"/>
        </w:rPr>
        <w:t xml:space="preserve">1, 2016. </w:t>
      </w:r>
    </w:p>
    <w:p w14:paraId="44FE858C" w14:textId="77777777" w:rsidR="001220F6" w:rsidRPr="009577CF" w:rsidRDefault="001220F6" w:rsidP="008504F2">
      <w:pPr>
        <w:pStyle w:val="BodyText"/>
        <w:rPr>
          <w:lang w:val="en-GB"/>
        </w:rPr>
      </w:pPr>
    </w:p>
    <w:p w14:paraId="7356350F" w14:textId="77777777" w:rsidR="001220F6" w:rsidRPr="009577CF" w:rsidRDefault="001220F6" w:rsidP="008504F2">
      <w:pPr>
        <w:pStyle w:val="BodyText"/>
        <w:rPr>
          <w:lang w:val="en-GB"/>
        </w:rPr>
      </w:pPr>
    </w:p>
    <w:p w14:paraId="7F55D518" w14:textId="77777777" w:rsidR="007B69D6" w:rsidRPr="008468BE" w:rsidRDefault="007B69D6" w:rsidP="00BD2109">
      <w:pPr>
        <w:pStyle w:val="casehead2"/>
        <w:rPr>
          <w:szCs w:val="20"/>
          <w:lang w:val="en-GB"/>
        </w:rPr>
      </w:pPr>
      <w:r w:rsidRPr="008468BE">
        <w:rPr>
          <w:szCs w:val="20"/>
          <w:lang w:val="en-GB"/>
        </w:rPr>
        <w:t>Gender</w:t>
      </w:r>
    </w:p>
    <w:p w14:paraId="4D3E68D3" w14:textId="77777777" w:rsidR="001220F6" w:rsidRPr="003F3051" w:rsidRDefault="001220F6" w:rsidP="003F3051">
      <w:pPr>
        <w:pStyle w:val="BodyText"/>
        <w:rPr>
          <w:rFonts w:ascii="Arial" w:hAnsi="Arial" w:cs="Arial"/>
          <w:sz w:val="20"/>
          <w:szCs w:val="20"/>
          <w:lang w:val="en-GB"/>
        </w:rPr>
      </w:pPr>
    </w:p>
    <w:p w14:paraId="1ADCED7C" w14:textId="5D4D4E71" w:rsidR="007B69D6" w:rsidRPr="003F3051" w:rsidRDefault="00EC47FE" w:rsidP="003F3051">
      <w:pPr>
        <w:pStyle w:val="BodyText"/>
        <w:rPr>
          <w:rFonts w:ascii="Arial" w:hAnsi="Arial" w:cs="Arial"/>
          <w:sz w:val="20"/>
          <w:szCs w:val="20"/>
          <w:lang w:val="en-GB"/>
        </w:rPr>
      </w:pPr>
      <w:r w:rsidRPr="003F3051">
        <w:rPr>
          <w:rFonts w:ascii="Arial" w:hAnsi="Arial" w:cs="Arial"/>
          <w:sz w:val="20"/>
          <w:szCs w:val="20"/>
          <w:lang w:val="en-GB"/>
        </w:rPr>
        <w:t>O</w:t>
      </w:r>
      <w:r w:rsidR="007B69D6" w:rsidRPr="003F3051">
        <w:rPr>
          <w:rFonts w:ascii="Arial" w:hAnsi="Arial" w:cs="Arial"/>
          <w:sz w:val="20"/>
          <w:szCs w:val="20"/>
          <w:lang w:val="en-GB"/>
        </w:rPr>
        <w:t>f the Saskatchewan Census population for 2011</w:t>
      </w:r>
      <w:r w:rsidRPr="003F3051">
        <w:rPr>
          <w:rFonts w:ascii="Arial" w:hAnsi="Arial" w:cs="Arial"/>
          <w:sz w:val="20"/>
          <w:szCs w:val="20"/>
          <w:lang w:val="en-GB"/>
        </w:rPr>
        <w:t>, 50.50 per cent</w:t>
      </w:r>
      <w:r w:rsidR="007B69D6" w:rsidRPr="003F3051">
        <w:rPr>
          <w:rFonts w:ascii="Arial" w:hAnsi="Arial" w:cs="Arial"/>
          <w:sz w:val="20"/>
          <w:szCs w:val="20"/>
          <w:lang w:val="en-GB"/>
        </w:rPr>
        <w:t xml:space="preserve"> was female while 49.50</w:t>
      </w:r>
      <w:r w:rsidRPr="003F3051">
        <w:rPr>
          <w:rFonts w:ascii="Arial" w:hAnsi="Arial" w:cs="Arial"/>
          <w:sz w:val="20"/>
          <w:szCs w:val="20"/>
          <w:lang w:val="en-GB"/>
        </w:rPr>
        <w:t xml:space="preserve"> per cent</w:t>
      </w:r>
      <w:r w:rsidR="007B69D6" w:rsidRPr="003F3051">
        <w:rPr>
          <w:rFonts w:ascii="Arial" w:hAnsi="Arial" w:cs="Arial"/>
          <w:sz w:val="20"/>
          <w:szCs w:val="20"/>
          <w:lang w:val="en-GB"/>
        </w:rPr>
        <w:t xml:space="preserve"> was male. The comparable values for the 2006 Census population were 50.91</w:t>
      </w:r>
      <w:r w:rsidRPr="003F3051">
        <w:rPr>
          <w:rFonts w:ascii="Arial" w:hAnsi="Arial" w:cs="Arial"/>
          <w:sz w:val="20"/>
          <w:szCs w:val="20"/>
          <w:lang w:val="en-GB"/>
        </w:rPr>
        <w:t xml:space="preserve"> per cent</w:t>
      </w:r>
      <w:r w:rsidR="007B69D6" w:rsidRPr="003F3051">
        <w:rPr>
          <w:rFonts w:ascii="Arial" w:hAnsi="Arial" w:cs="Arial"/>
          <w:sz w:val="20"/>
          <w:szCs w:val="20"/>
          <w:lang w:val="en-GB"/>
        </w:rPr>
        <w:t xml:space="preserve"> female and 49.09</w:t>
      </w:r>
      <w:r w:rsidRPr="003F3051">
        <w:rPr>
          <w:rFonts w:ascii="Arial" w:hAnsi="Arial" w:cs="Arial"/>
          <w:sz w:val="20"/>
          <w:szCs w:val="20"/>
          <w:lang w:val="en-GB"/>
        </w:rPr>
        <w:t xml:space="preserve"> per cent</w:t>
      </w:r>
      <w:r w:rsidR="007B69D6" w:rsidRPr="003F3051">
        <w:rPr>
          <w:rFonts w:ascii="Arial" w:hAnsi="Arial" w:cs="Arial"/>
          <w:sz w:val="20"/>
          <w:szCs w:val="20"/>
          <w:lang w:val="en-GB"/>
        </w:rPr>
        <w:t xml:space="preserve"> male. </w:t>
      </w:r>
    </w:p>
    <w:p w14:paraId="6E48418A" w14:textId="77777777" w:rsidR="001220F6" w:rsidRPr="009577CF" w:rsidRDefault="001220F6" w:rsidP="008504F2">
      <w:pPr>
        <w:pStyle w:val="BodyText"/>
        <w:rPr>
          <w:lang w:val="en-GB"/>
        </w:rPr>
      </w:pPr>
    </w:p>
    <w:p w14:paraId="650731A2" w14:textId="77777777" w:rsidR="001220F6" w:rsidRPr="009577CF" w:rsidRDefault="001220F6" w:rsidP="008504F2">
      <w:pPr>
        <w:pStyle w:val="BodyText"/>
        <w:rPr>
          <w:lang w:val="en-GB"/>
        </w:rPr>
      </w:pPr>
    </w:p>
    <w:p w14:paraId="288F79F3" w14:textId="77777777" w:rsidR="007B69D6" w:rsidRPr="009577CF" w:rsidRDefault="007B69D6" w:rsidP="008468BE">
      <w:pPr>
        <w:pStyle w:val="casehead2"/>
        <w:rPr>
          <w:lang w:val="en-GB"/>
        </w:rPr>
      </w:pPr>
      <w:r w:rsidRPr="009577CF">
        <w:rPr>
          <w:lang w:val="en-GB"/>
        </w:rPr>
        <w:t xml:space="preserve">2011 Census Populations by Province or Territory and Age Group </w:t>
      </w:r>
    </w:p>
    <w:p w14:paraId="60080045" w14:textId="77777777" w:rsidR="001220F6" w:rsidRPr="009577CF" w:rsidRDefault="001220F6" w:rsidP="001C2B0B">
      <w:pPr>
        <w:pStyle w:val="BodyText"/>
        <w:rPr>
          <w:lang w:val="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831"/>
        <w:gridCol w:w="964"/>
        <w:gridCol w:w="1095"/>
        <w:gridCol w:w="1155"/>
        <w:gridCol w:w="990"/>
        <w:gridCol w:w="1290"/>
        <w:gridCol w:w="986"/>
        <w:gridCol w:w="14"/>
      </w:tblGrid>
      <w:tr w:rsidR="007B69D6" w:rsidRPr="001C2B0B" w14:paraId="01CAF553" w14:textId="77777777" w:rsidTr="003D2DE4">
        <w:trPr>
          <w:jc w:val="center"/>
        </w:trPr>
        <w:tc>
          <w:tcPr>
            <w:tcW w:w="2831" w:type="dxa"/>
            <w:tcBorders>
              <w:top w:val="single" w:sz="4" w:space="0" w:color="000000"/>
              <w:left w:val="single" w:sz="4" w:space="0" w:color="000000"/>
              <w:bottom w:val="single" w:sz="4" w:space="0" w:color="000000"/>
              <w:right w:val="single" w:sz="4" w:space="0" w:color="000000"/>
            </w:tcBorders>
            <w:vAlign w:val="center"/>
            <w:hideMark/>
          </w:tcPr>
          <w:p w14:paraId="23463932" w14:textId="77777777" w:rsidR="007B69D6" w:rsidRPr="001C2B0B" w:rsidRDefault="007B69D6" w:rsidP="001F1970">
            <w:pPr>
              <w:rPr>
                <w:rFonts w:ascii="Arial" w:hAnsi="Arial" w:cs="Arial"/>
                <w:sz w:val="20"/>
                <w:szCs w:val="20"/>
                <w:lang w:val="en-GB"/>
              </w:rPr>
            </w:pPr>
          </w:p>
        </w:tc>
        <w:tc>
          <w:tcPr>
            <w:tcW w:w="6494" w:type="dxa"/>
            <w:gridSpan w:val="7"/>
            <w:tcBorders>
              <w:top w:val="single" w:sz="4" w:space="0" w:color="000000"/>
              <w:left w:val="single" w:sz="4" w:space="0" w:color="000000"/>
              <w:bottom w:val="single" w:sz="4" w:space="0" w:color="000000"/>
              <w:right w:val="single" w:sz="4" w:space="0" w:color="000000"/>
            </w:tcBorders>
            <w:vAlign w:val="center"/>
            <w:hideMark/>
          </w:tcPr>
          <w:p w14:paraId="580CE571" w14:textId="73E36598" w:rsidR="007B69D6" w:rsidRPr="001C2B0B" w:rsidRDefault="007B69D6" w:rsidP="008468BE">
            <w:pPr>
              <w:spacing w:before="100" w:beforeAutospacing="1" w:after="100" w:afterAutospacing="1"/>
              <w:jc w:val="center"/>
              <w:rPr>
                <w:rFonts w:ascii="Arial" w:hAnsi="Arial" w:cs="Arial"/>
                <w:sz w:val="20"/>
                <w:szCs w:val="20"/>
                <w:lang w:val="en-GB"/>
              </w:rPr>
            </w:pPr>
            <w:r w:rsidRPr="001C2B0B">
              <w:rPr>
                <w:rFonts w:ascii="Arial" w:hAnsi="Arial" w:cs="Arial"/>
                <w:b/>
                <w:bCs/>
                <w:sz w:val="20"/>
                <w:szCs w:val="20"/>
                <w:lang w:val="en-GB"/>
              </w:rPr>
              <w:t>Age Group</w:t>
            </w:r>
          </w:p>
        </w:tc>
      </w:tr>
      <w:tr w:rsidR="007B69D6" w:rsidRPr="001C2B0B" w14:paraId="524DC76D" w14:textId="77777777" w:rsidTr="003D2DE4">
        <w:trPr>
          <w:gridAfter w:val="1"/>
          <w:wAfter w:w="14" w:type="dxa"/>
          <w:jc w:val="center"/>
        </w:trPr>
        <w:tc>
          <w:tcPr>
            <w:tcW w:w="2831" w:type="dxa"/>
            <w:tcBorders>
              <w:top w:val="single" w:sz="4" w:space="0" w:color="000000"/>
              <w:left w:val="single" w:sz="4" w:space="0" w:color="000000"/>
              <w:bottom w:val="single" w:sz="4" w:space="0" w:color="000000"/>
              <w:right w:val="single" w:sz="4" w:space="0" w:color="000000"/>
            </w:tcBorders>
            <w:vAlign w:val="center"/>
            <w:hideMark/>
          </w:tcPr>
          <w:p w14:paraId="62321963" w14:textId="77777777" w:rsidR="007B69D6" w:rsidRPr="001C2B0B" w:rsidRDefault="007B69D6" w:rsidP="001F1970">
            <w:pPr>
              <w:rPr>
                <w:rFonts w:ascii="Arial" w:hAnsi="Arial" w:cs="Arial"/>
                <w:sz w:val="20"/>
                <w:szCs w:val="20"/>
                <w:lang w:val="en-GB"/>
              </w:rPr>
            </w:pPr>
          </w:p>
        </w:tc>
        <w:tc>
          <w:tcPr>
            <w:tcW w:w="964" w:type="dxa"/>
            <w:tcBorders>
              <w:top w:val="single" w:sz="4" w:space="0" w:color="000000"/>
              <w:left w:val="single" w:sz="4" w:space="0" w:color="000000"/>
              <w:bottom w:val="single" w:sz="4" w:space="0" w:color="000000"/>
              <w:right w:val="single" w:sz="4" w:space="0" w:color="000000"/>
            </w:tcBorders>
            <w:vAlign w:val="center"/>
            <w:hideMark/>
          </w:tcPr>
          <w:p w14:paraId="3704D990" w14:textId="79C73298" w:rsidR="007B69D6" w:rsidRPr="001C2B0B" w:rsidRDefault="007B69D6" w:rsidP="008468BE">
            <w:pPr>
              <w:spacing w:before="100" w:beforeAutospacing="1" w:after="100" w:afterAutospacing="1"/>
              <w:jc w:val="center"/>
              <w:rPr>
                <w:rFonts w:ascii="Arial" w:hAnsi="Arial" w:cs="Arial"/>
                <w:sz w:val="20"/>
                <w:szCs w:val="20"/>
                <w:lang w:val="en-GB"/>
              </w:rPr>
            </w:pPr>
            <w:r w:rsidRPr="001C2B0B">
              <w:rPr>
                <w:rFonts w:ascii="Arial" w:hAnsi="Arial" w:cs="Arial"/>
                <w:b/>
                <w:bCs/>
                <w:sz w:val="20"/>
                <w:szCs w:val="20"/>
                <w:lang w:val="en-GB"/>
              </w:rPr>
              <w:t>0</w:t>
            </w:r>
            <w:r w:rsidR="00EC47FE" w:rsidRPr="001C2B0B">
              <w:rPr>
                <w:rFonts w:ascii="Arial" w:hAnsi="Arial" w:cs="Arial"/>
                <w:b/>
                <w:bCs/>
                <w:sz w:val="20"/>
                <w:szCs w:val="20"/>
                <w:lang w:val="en-GB"/>
              </w:rPr>
              <w:t>–</w:t>
            </w:r>
            <w:r w:rsidRPr="001C2B0B">
              <w:rPr>
                <w:rFonts w:ascii="Arial" w:hAnsi="Arial" w:cs="Arial"/>
                <w:b/>
                <w:bCs/>
                <w:sz w:val="20"/>
                <w:szCs w:val="20"/>
                <w:lang w:val="en-GB"/>
              </w:rPr>
              <w:t>14</w:t>
            </w:r>
          </w:p>
        </w:tc>
        <w:tc>
          <w:tcPr>
            <w:tcW w:w="1095" w:type="dxa"/>
            <w:tcBorders>
              <w:top w:val="single" w:sz="4" w:space="0" w:color="000000"/>
              <w:left w:val="single" w:sz="4" w:space="0" w:color="000000"/>
              <w:bottom w:val="single" w:sz="4" w:space="0" w:color="000000"/>
              <w:right w:val="single" w:sz="4" w:space="0" w:color="000000"/>
            </w:tcBorders>
            <w:vAlign w:val="center"/>
            <w:hideMark/>
          </w:tcPr>
          <w:p w14:paraId="501B37B0" w14:textId="1CE7BC76" w:rsidR="007B69D6" w:rsidRPr="001C2B0B" w:rsidRDefault="007B69D6" w:rsidP="008468BE">
            <w:pPr>
              <w:spacing w:before="100" w:beforeAutospacing="1" w:after="100" w:afterAutospacing="1"/>
              <w:jc w:val="center"/>
              <w:rPr>
                <w:rFonts w:ascii="Arial" w:hAnsi="Arial" w:cs="Arial"/>
                <w:sz w:val="20"/>
                <w:szCs w:val="20"/>
                <w:lang w:val="en-GB"/>
              </w:rPr>
            </w:pPr>
            <w:r w:rsidRPr="001C2B0B">
              <w:rPr>
                <w:rFonts w:ascii="Arial" w:hAnsi="Arial" w:cs="Arial"/>
                <w:b/>
                <w:bCs/>
                <w:sz w:val="20"/>
                <w:szCs w:val="20"/>
                <w:lang w:val="en-GB"/>
              </w:rPr>
              <w:t>% of Total</w:t>
            </w:r>
          </w:p>
        </w:tc>
        <w:tc>
          <w:tcPr>
            <w:tcW w:w="1155" w:type="dxa"/>
            <w:tcBorders>
              <w:top w:val="single" w:sz="4" w:space="0" w:color="000000"/>
              <w:left w:val="single" w:sz="4" w:space="0" w:color="000000"/>
              <w:bottom w:val="single" w:sz="4" w:space="0" w:color="000000"/>
              <w:right w:val="single" w:sz="4" w:space="0" w:color="000000"/>
            </w:tcBorders>
            <w:vAlign w:val="center"/>
            <w:hideMark/>
          </w:tcPr>
          <w:p w14:paraId="3F3434A1" w14:textId="69ECE07C" w:rsidR="007B69D6" w:rsidRPr="001C2B0B" w:rsidRDefault="007B69D6" w:rsidP="008468BE">
            <w:pPr>
              <w:spacing w:before="100" w:beforeAutospacing="1" w:after="100" w:afterAutospacing="1"/>
              <w:jc w:val="center"/>
              <w:rPr>
                <w:rFonts w:ascii="Arial" w:hAnsi="Arial" w:cs="Arial"/>
                <w:sz w:val="20"/>
                <w:szCs w:val="20"/>
                <w:lang w:val="en-GB"/>
              </w:rPr>
            </w:pPr>
            <w:r w:rsidRPr="001C2B0B">
              <w:rPr>
                <w:rFonts w:ascii="Arial" w:hAnsi="Arial" w:cs="Arial"/>
                <w:b/>
                <w:bCs/>
                <w:sz w:val="20"/>
                <w:szCs w:val="20"/>
                <w:lang w:val="en-GB"/>
              </w:rPr>
              <w:t>15</w:t>
            </w:r>
            <w:r w:rsidR="00EC47FE" w:rsidRPr="001C2B0B">
              <w:rPr>
                <w:rFonts w:ascii="Arial" w:hAnsi="Arial" w:cs="Arial"/>
                <w:b/>
                <w:bCs/>
                <w:sz w:val="20"/>
                <w:szCs w:val="20"/>
                <w:lang w:val="en-GB"/>
              </w:rPr>
              <w:t>–</w:t>
            </w:r>
            <w:r w:rsidRPr="001C2B0B">
              <w:rPr>
                <w:rFonts w:ascii="Arial" w:hAnsi="Arial" w:cs="Arial"/>
                <w:b/>
                <w:bCs/>
                <w:sz w:val="20"/>
                <w:szCs w:val="20"/>
                <w:lang w:val="en-GB"/>
              </w:rPr>
              <w:t>64</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50D3C839" w14:textId="02AAC070" w:rsidR="007B69D6" w:rsidRPr="001C2B0B" w:rsidRDefault="007B69D6" w:rsidP="008468BE">
            <w:pPr>
              <w:spacing w:before="100" w:beforeAutospacing="1" w:after="100" w:afterAutospacing="1"/>
              <w:jc w:val="center"/>
              <w:rPr>
                <w:rFonts w:ascii="Arial" w:hAnsi="Arial" w:cs="Arial"/>
                <w:sz w:val="20"/>
                <w:szCs w:val="20"/>
                <w:lang w:val="en-GB"/>
              </w:rPr>
            </w:pPr>
            <w:r w:rsidRPr="001C2B0B">
              <w:rPr>
                <w:rFonts w:ascii="Arial" w:hAnsi="Arial" w:cs="Arial"/>
                <w:b/>
                <w:bCs/>
                <w:sz w:val="20"/>
                <w:szCs w:val="20"/>
                <w:lang w:val="en-GB"/>
              </w:rPr>
              <w:t>% of Total</w:t>
            </w:r>
          </w:p>
        </w:tc>
        <w:tc>
          <w:tcPr>
            <w:tcW w:w="1290" w:type="dxa"/>
            <w:tcBorders>
              <w:top w:val="single" w:sz="4" w:space="0" w:color="000000"/>
              <w:left w:val="single" w:sz="4" w:space="0" w:color="000000"/>
              <w:bottom w:val="single" w:sz="4" w:space="0" w:color="000000"/>
              <w:right w:val="single" w:sz="4" w:space="0" w:color="000000"/>
            </w:tcBorders>
            <w:vAlign w:val="center"/>
            <w:hideMark/>
          </w:tcPr>
          <w:p w14:paraId="67B51456" w14:textId="6BA54767" w:rsidR="007B69D6" w:rsidRPr="001C2B0B" w:rsidRDefault="007B69D6" w:rsidP="008468BE">
            <w:pPr>
              <w:spacing w:before="100" w:beforeAutospacing="1" w:after="100" w:afterAutospacing="1"/>
              <w:jc w:val="center"/>
              <w:rPr>
                <w:rFonts w:ascii="Arial" w:hAnsi="Arial" w:cs="Arial"/>
                <w:sz w:val="20"/>
                <w:szCs w:val="20"/>
                <w:lang w:val="en-GB"/>
              </w:rPr>
            </w:pPr>
            <w:r w:rsidRPr="001C2B0B">
              <w:rPr>
                <w:rFonts w:ascii="Arial" w:hAnsi="Arial" w:cs="Arial"/>
                <w:b/>
                <w:bCs/>
                <w:sz w:val="20"/>
                <w:szCs w:val="20"/>
                <w:lang w:val="en-GB"/>
              </w:rPr>
              <w:t>65 and Over</w:t>
            </w:r>
          </w:p>
        </w:tc>
        <w:tc>
          <w:tcPr>
            <w:tcW w:w="986" w:type="dxa"/>
            <w:tcBorders>
              <w:top w:val="single" w:sz="4" w:space="0" w:color="000000"/>
              <w:left w:val="single" w:sz="4" w:space="0" w:color="000000"/>
              <w:bottom w:val="single" w:sz="4" w:space="0" w:color="000000"/>
              <w:right w:val="single" w:sz="4" w:space="0" w:color="000000"/>
            </w:tcBorders>
            <w:vAlign w:val="center"/>
            <w:hideMark/>
          </w:tcPr>
          <w:p w14:paraId="28DA1B15" w14:textId="3EB12108" w:rsidR="007B69D6" w:rsidRPr="001C2B0B" w:rsidRDefault="007B69D6" w:rsidP="008468BE">
            <w:pPr>
              <w:spacing w:before="100" w:beforeAutospacing="1" w:after="100" w:afterAutospacing="1"/>
              <w:jc w:val="center"/>
              <w:rPr>
                <w:rFonts w:ascii="Arial" w:hAnsi="Arial" w:cs="Arial"/>
                <w:sz w:val="20"/>
                <w:szCs w:val="20"/>
                <w:lang w:val="en-GB"/>
              </w:rPr>
            </w:pPr>
            <w:r w:rsidRPr="001C2B0B">
              <w:rPr>
                <w:rFonts w:ascii="Arial" w:hAnsi="Arial" w:cs="Arial"/>
                <w:b/>
                <w:bCs/>
                <w:sz w:val="20"/>
                <w:szCs w:val="20"/>
                <w:lang w:val="en-GB"/>
              </w:rPr>
              <w:t>% of Total</w:t>
            </w:r>
          </w:p>
        </w:tc>
      </w:tr>
      <w:tr w:rsidR="007B69D6" w:rsidRPr="001C2B0B" w14:paraId="34CD5CC5" w14:textId="77777777" w:rsidTr="003D2DE4">
        <w:trPr>
          <w:gridAfter w:val="1"/>
          <w:wAfter w:w="14" w:type="dxa"/>
          <w:jc w:val="center"/>
        </w:trPr>
        <w:tc>
          <w:tcPr>
            <w:tcW w:w="2831" w:type="dxa"/>
            <w:tcBorders>
              <w:top w:val="single" w:sz="4" w:space="0" w:color="000000"/>
              <w:left w:val="single" w:sz="4" w:space="0" w:color="000000"/>
              <w:bottom w:val="single" w:sz="4" w:space="0" w:color="000000"/>
              <w:right w:val="single" w:sz="4" w:space="0" w:color="000000"/>
            </w:tcBorders>
            <w:vAlign w:val="center"/>
            <w:hideMark/>
          </w:tcPr>
          <w:p w14:paraId="0CE86F6D" w14:textId="77777777" w:rsidR="007B69D6" w:rsidRPr="001C2B0B" w:rsidRDefault="007B69D6" w:rsidP="001F1970">
            <w:pPr>
              <w:spacing w:before="100" w:beforeAutospacing="1" w:after="100" w:afterAutospacing="1"/>
              <w:rPr>
                <w:rFonts w:ascii="Arial" w:hAnsi="Arial" w:cs="Arial"/>
                <w:sz w:val="20"/>
                <w:szCs w:val="20"/>
                <w:lang w:val="en-GB"/>
              </w:rPr>
            </w:pPr>
            <w:r w:rsidRPr="001C2B0B">
              <w:rPr>
                <w:rFonts w:ascii="Arial" w:hAnsi="Arial" w:cs="Arial"/>
                <w:b/>
                <w:bCs/>
                <w:sz w:val="20"/>
                <w:szCs w:val="20"/>
                <w:lang w:val="en-GB"/>
              </w:rPr>
              <w:t xml:space="preserve">Canada </w:t>
            </w:r>
          </w:p>
        </w:tc>
        <w:tc>
          <w:tcPr>
            <w:tcW w:w="964" w:type="dxa"/>
            <w:tcBorders>
              <w:top w:val="single" w:sz="4" w:space="0" w:color="000000"/>
              <w:left w:val="single" w:sz="4" w:space="0" w:color="000000"/>
              <w:bottom w:val="single" w:sz="4" w:space="0" w:color="000000"/>
              <w:right w:val="single" w:sz="4" w:space="0" w:color="000000"/>
            </w:tcBorders>
            <w:vAlign w:val="center"/>
            <w:hideMark/>
          </w:tcPr>
          <w:p w14:paraId="4C075F5F"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5,607,345 </w:t>
            </w:r>
          </w:p>
        </w:tc>
        <w:tc>
          <w:tcPr>
            <w:tcW w:w="1095" w:type="dxa"/>
            <w:tcBorders>
              <w:top w:val="single" w:sz="4" w:space="0" w:color="000000"/>
              <w:left w:val="single" w:sz="4" w:space="0" w:color="000000"/>
              <w:bottom w:val="single" w:sz="4" w:space="0" w:color="000000"/>
              <w:right w:val="single" w:sz="4" w:space="0" w:color="000000"/>
            </w:tcBorders>
            <w:vAlign w:val="center"/>
            <w:hideMark/>
          </w:tcPr>
          <w:p w14:paraId="51E290E2" w14:textId="58D2F5D9" w:rsidR="007B69D6" w:rsidRPr="001C2B0B" w:rsidRDefault="007B69D6" w:rsidP="008504F2">
            <w:pPr>
              <w:tabs>
                <w:tab w:val="decimal" w:pos="454"/>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16.75 </w:t>
            </w:r>
          </w:p>
        </w:tc>
        <w:tc>
          <w:tcPr>
            <w:tcW w:w="1155" w:type="dxa"/>
            <w:tcBorders>
              <w:top w:val="single" w:sz="4" w:space="0" w:color="000000"/>
              <w:left w:val="single" w:sz="4" w:space="0" w:color="000000"/>
              <w:bottom w:val="single" w:sz="4" w:space="0" w:color="000000"/>
              <w:right w:val="single" w:sz="4" w:space="0" w:color="000000"/>
            </w:tcBorders>
            <w:vAlign w:val="center"/>
            <w:hideMark/>
          </w:tcPr>
          <w:p w14:paraId="7BDD11FA"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22,924,290 </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6B07A8E4" w14:textId="1B22416A" w:rsidR="007B69D6" w:rsidRPr="001C2B0B" w:rsidRDefault="007B69D6" w:rsidP="008504F2">
            <w:pPr>
              <w:tabs>
                <w:tab w:val="decimal" w:pos="470"/>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68.48 </w:t>
            </w:r>
          </w:p>
        </w:tc>
        <w:tc>
          <w:tcPr>
            <w:tcW w:w="1290" w:type="dxa"/>
            <w:tcBorders>
              <w:top w:val="single" w:sz="4" w:space="0" w:color="000000"/>
              <w:left w:val="single" w:sz="4" w:space="0" w:color="000000"/>
              <w:bottom w:val="single" w:sz="4" w:space="0" w:color="000000"/>
              <w:right w:val="single" w:sz="4" w:space="0" w:color="000000"/>
            </w:tcBorders>
            <w:vAlign w:val="center"/>
            <w:hideMark/>
          </w:tcPr>
          <w:p w14:paraId="1FE72373"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4,945,055 </w:t>
            </w:r>
          </w:p>
        </w:tc>
        <w:tc>
          <w:tcPr>
            <w:tcW w:w="986" w:type="dxa"/>
            <w:tcBorders>
              <w:top w:val="single" w:sz="4" w:space="0" w:color="000000"/>
              <w:left w:val="single" w:sz="4" w:space="0" w:color="000000"/>
              <w:bottom w:val="single" w:sz="4" w:space="0" w:color="000000"/>
              <w:right w:val="single" w:sz="4" w:space="0" w:color="000000"/>
            </w:tcBorders>
            <w:vAlign w:val="center"/>
            <w:hideMark/>
          </w:tcPr>
          <w:p w14:paraId="0147A68F" w14:textId="6CAE0781" w:rsidR="007B69D6" w:rsidRPr="001C2B0B" w:rsidRDefault="007B69D6" w:rsidP="008504F2">
            <w:pPr>
              <w:tabs>
                <w:tab w:val="decimal" w:pos="399"/>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14.77 </w:t>
            </w:r>
          </w:p>
        </w:tc>
      </w:tr>
      <w:tr w:rsidR="007B69D6" w:rsidRPr="001C2B0B" w14:paraId="4957E517" w14:textId="77777777" w:rsidTr="003D2DE4">
        <w:trPr>
          <w:gridAfter w:val="1"/>
          <w:wAfter w:w="14" w:type="dxa"/>
          <w:jc w:val="center"/>
        </w:trPr>
        <w:tc>
          <w:tcPr>
            <w:tcW w:w="2831" w:type="dxa"/>
            <w:tcBorders>
              <w:top w:val="single" w:sz="4" w:space="0" w:color="000000"/>
              <w:left w:val="single" w:sz="4" w:space="0" w:color="000000"/>
              <w:bottom w:val="single" w:sz="4" w:space="0" w:color="000000"/>
              <w:right w:val="single" w:sz="4" w:space="0" w:color="000000"/>
            </w:tcBorders>
            <w:vAlign w:val="center"/>
            <w:hideMark/>
          </w:tcPr>
          <w:p w14:paraId="456CBA79" w14:textId="77777777" w:rsidR="007B69D6" w:rsidRPr="001C2B0B" w:rsidRDefault="007B69D6" w:rsidP="001F1970">
            <w:pPr>
              <w:spacing w:before="100" w:beforeAutospacing="1" w:after="100" w:afterAutospacing="1"/>
              <w:rPr>
                <w:rFonts w:ascii="Arial" w:hAnsi="Arial" w:cs="Arial"/>
                <w:sz w:val="20"/>
                <w:szCs w:val="20"/>
                <w:lang w:val="en-GB"/>
              </w:rPr>
            </w:pPr>
            <w:r w:rsidRPr="001C2B0B">
              <w:rPr>
                <w:rFonts w:ascii="Arial" w:hAnsi="Arial" w:cs="Arial"/>
                <w:b/>
                <w:bCs/>
                <w:sz w:val="20"/>
                <w:szCs w:val="20"/>
                <w:lang w:val="en-GB"/>
              </w:rPr>
              <w:t xml:space="preserve">Newfoundland and Labrador </w:t>
            </w:r>
          </w:p>
        </w:tc>
        <w:tc>
          <w:tcPr>
            <w:tcW w:w="964" w:type="dxa"/>
            <w:tcBorders>
              <w:top w:val="single" w:sz="4" w:space="0" w:color="000000"/>
              <w:left w:val="single" w:sz="4" w:space="0" w:color="000000"/>
              <w:bottom w:val="single" w:sz="4" w:space="0" w:color="000000"/>
              <w:right w:val="single" w:sz="4" w:space="0" w:color="000000"/>
            </w:tcBorders>
            <w:vAlign w:val="center"/>
            <w:hideMark/>
          </w:tcPr>
          <w:p w14:paraId="773A8F2E"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76,625 </w:t>
            </w:r>
          </w:p>
        </w:tc>
        <w:tc>
          <w:tcPr>
            <w:tcW w:w="1095" w:type="dxa"/>
            <w:tcBorders>
              <w:top w:val="single" w:sz="4" w:space="0" w:color="000000"/>
              <w:left w:val="single" w:sz="4" w:space="0" w:color="000000"/>
              <w:bottom w:val="single" w:sz="4" w:space="0" w:color="000000"/>
              <w:right w:val="single" w:sz="4" w:space="0" w:color="000000"/>
            </w:tcBorders>
            <w:vAlign w:val="center"/>
            <w:hideMark/>
          </w:tcPr>
          <w:p w14:paraId="1C93CA5B" w14:textId="302E5D0D" w:rsidR="007B69D6" w:rsidRPr="001C2B0B" w:rsidRDefault="007B69D6" w:rsidP="008504F2">
            <w:pPr>
              <w:tabs>
                <w:tab w:val="decimal" w:pos="454"/>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14.89 </w:t>
            </w:r>
          </w:p>
        </w:tc>
        <w:tc>
          <w:tcPr>
            <w:tcW w:w="1155" w:type="dxa"/>
            <w:tcBorders>
              <w:top w:val="single" w:sz="4" w:space="0" w:color="000000"/>
              <w:left w:val="single" w:sz="4" w:space="0" w:color="000000"/>
              <w:bottom w:val="single" w:sz="4" w:space="0" w:color="000000"/>
              <w:right w:val="single" w:sz="4" w:space="0" w:color="000000"/>
            </w:tcBorders>
            <w:vAlign w:val="center"/>
            <w:hideMark/>
          </w:tcPr>
          <w:p w14:paraId="6CC6B53C"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355,800 </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1E23B722" w14:textId="0C343CBA" w:rsidR="007B69D6" w:rsidRPr="001C2B0B" w:rsidRDefault="007B69D6" w:rsidP="008504F2">
            <w:pPr>
              <w:tabs>
                <w:tab w:val="decimal" w:pos="470"/>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69.15 </w:t>
            </w:r>
          </w:p>
        </w:tc>
        <w:tc>
          <w:tcPr>
            <w:tcW w:w="1290" w:type="dxa"/>
            <w:tcBorders>
              <w:top w:val="single" w:sz="4" w:space="0" w:color="000000"/>
              <w:left w:val="single" w:sz="4" w:space="0" w:color="000000"/>
              <w:bottom w:val="single" w:sz="4" w:space="0" w:color="000000"/>
              <w:right w:val="single" w:sz="4" w:space="0" w:color="000000"/>
            </w:tcBorders>
            <w:vAlign w:val="center"/>
            <w:hideMark/>
          </w:tcPr>
          <w:p w14:paraId="5B356266"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82,105 </w:t>
            </w:r>
          </w:p>
        </w:tc>
        <w:tc>
          <w:tcPr>
            <w:tcW w:w="986" w:type="dxa"/>
            <w:tcBorders>
              <w:top w:val="single" w:sz="4" w:space="0" w:color="000000"/>
              <w:left w:val="single" w:sz="4" w:space="0" w:color="000000"/>
              <w:bottom w:val="single" w:sz="4" w:space="0" w:color="000000"/>
              <w:right w:val="single" w:sz="4" w:space="0" w:color="000000"/>
            </w:tcBorders>
            <w:vAlign w:val="center"/>
            <w:hideMark/>
          </w:tcPr>
          <w:p w14:paraId="2A0CD519" w14:textId="6B62DBA4" w:rsidR="007B69D6" w:rsidRPr="001C2B0B" w:rsidRDefault="007B69D6" w:rsidP="008504F2">
            <w:pPr>
              <w:tabs>
                <w:tab w:val="decimal" w:pos="399"/>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15.96 </w:t>
            </w:r>
          </w:p>
        </w:tc>
      </w:tr>
      <w:tr w:rsidR="007B69D6" w:rsidRPr="001C2B0B" w14:paraId="4EB4D641" w14:textId="77777777" w:rsidTr="003D2DE4">
        <w:trPr>
          <w:gridAfter w:val="1"/>
          <w:wAfter w:w="14" w:type="dxa"/>
          <w:jc w:val="center"/>
        </w:trPr>
        <w:tc>
          <w:tcPr>
            <w:tcW w:w="2831" w:type="dxa"/>
            <w:tcBorders>
              <w:top w:val="single" w:sz="4" w:space="0" w:color="000000"/>
              <w:left w:val="single" w:sz="4" w:space="0" w:color="000000"/>
              <w:bottom w:val="single" w:sz="4" w:space="0" w:color="000000"/>
              <w:right w:val="single" w:sz="4" w:space="0" w:color="000000"/>
            </w:tcBorders>
            <w:vAlign w:val="center"/>
            <w:hideMark/>
          </w:tcPr>
          <w:p w14:paraId="4BFC885C" w14:textId="77777777" w:rsidR="007B69D6" w:rsidRPr="001C2B0B" w:rsidRDefault="007B69D6" w:rsidP="001F1970">
            <w:pPr>
              <w:spacing w:before="100" w:beforeAutospacing="1" w:after="100" w:afterAutospacing="1"/>
              <w:rPr>
                <w:rFonts w:ascii="Arial" w:hAnsi="Arial" w:cs="Arial"/>
                <w:sz w:val="20"/>
                <w:szCs w:val="20"/>
                <w:lang w:val="en-GB"/>
              </w:rPr>
            </w:pPr>
            <w:r w:rsidRPr="001C2B0B">
              <w:rPr>
                <w:rFonts w:ascii="Arial" w:hAnsi="Arial" w:cs="Arial"/>
                <w:b/>
                <w:bCs/>
                <w:sz w:val="20"/>
                <w:szCs w:val="20"/>
                <w:lang w:val="en-GB"/>
              </w:rPr>
              <w:t xml:space="preserve">Prince Edward Island </w:t>
            </w:r>
          </w:p>
        </w:tc>
        <w:tc>
          <w:tcPr>
            <w:tcW w:w="964" w:type="dxa"/>
            <w:tcBorders>
              <w:top w:val="single" w:sz="4" w:space="0" w:color="000000"/>
              <w:left w:val="single" w:sz="4" w:space="0" w:color="000000"/>
              <w:bottom w:val="single" w:sz="4" w:space="0" w:color="000000"/>
              <w:right w:val="single" w:sz="4" w:space="0" w:color="000000"/>
            </w:tcBorders>
            <w:vAlign w:val="center"/>
            <w:hideMark/>
          </w:tcPr>
          <w:p w14:paraId="32080591"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23,060 </w:t>
            </w:r>
          </w:p>
        </w:tc>
        <w:tc>
          <w:tcPr>
            <w:tcW w:w="1095" w:type="dxa"/>
            <w:tcBorders>
              <w:top w:val="single" w:sz="4" w:space="0" w:color="000000"/>
              <w:left w:val="single" w:sz="4" w:space="0" w:color="000000"/>
              <w:bottom w:val="single" w:sz="4" w:space="0" w:color="000000"/>
              <w:right w:val="single" w:sz="4" w:space="0" w:color="000000"/>
            </w:tcBorders>
            <w:vAlign w:val="center"/>
            <w:hideMark/>
          </w:tcPr>
          <w:p w14:paraId="78CA64D6" w14:textId="7DB47FAE" w:rsidR="007B69D6" w:rsidRPr="001C2B0B" w:rsidRDefault="007B69D6" w:rsidP="008504F2">
            <w:pPr>
              <w:tabs>
                <w:tab w:val="decimal" w:pos="454"/>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16.45 </w:t>
            </w:r>
          </w:p>
        </w:tc>
        <w:tc>
          <w:tcPr>
            <w:tcW w:w="1155" w:type="dxa"/>
            <w:tcBorders>
              <w:top w:val="single" w:sz="4" w:space="0" w:color="000000"/>
              <w:left w:val="single" w:sz="4" w:space="0" w:color="000000"/>
              <w:bottom w:val="single" w:sz="4" w:space="0" w:color="000000"/>
              <w:right w:val="single" w:sz="4" w:space="0" w:color="000000"/>
            </w:tcBorders>
            <w:vAlign w:val="center"/>
            <w:hideMark/>
          </w:tcPr>
          <w:p w14:paraId="078B6BCB"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94,360 </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0AB2FC94" w14:textId="4B0A6E68" w:rsidR="007B69D6" w:rsidRPr="001C2B0B" w:rsidRDefault="007B69D6" w:rsidP="008504F2">
            <w:pPr>
              <w:tabs>
                <w:tab w:val="decimal" w:pos="470"/>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67.30 </w:t>
            </w:r>
          </w:p>
        </w:tc>
        <w:tc>
          <w:tcPr>
            <w:tcW w:w="1290" w:type="dxa"/>
            <w:tcBorders>
              <w:top w:val="single" w:sz="4" w:space="0" w:color="000000"/>
              <w:left w:val="single" w:sz="4" w:space="0" w:color="000000"/>
              <w:bottom w:val="single" w:sz="4" w:space="0" w:color="000000"/>
              <w:right w:val="single" w:sz="4" w:space="0" w:color="000000"/>
            </w:tcBorders>
            <w:vAlign w:val="center"/>
            <w:hideMark/>
          </w:tcPr>
          <w:p w14:paraId="0F90653A"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22,785 </w:t>
            </w:r>
          </w:p>
        </w:tc>
        <w:tc>
          <w:tcPr>
            <w:tcW w:w="986" w:type="dxa"/>
            <w:tcBorders>
              <w:top w:val="single" w:sz="4" w:space="0" w:color="000000"/>
              <w:left w:val="single" w:sz="4" w:space="0" w:color="000000"/>
              <w:bottom w:val="single" w:sz="4" w:space="0" w:color="000000"/>
              <w:right w:val="single" w:sz="4" w:space="0" w:color="000000"/>
            </w:tcBorders>
            <w:vAlign w:val="center"/>
            <w:hideMark/>
          </w:tcPr>
          <w:p w14:paraId="31882309" w14:textId="4A91257A" w:rsidR="007B69D6" w:rsidRPr="001C2B0B" w:rsidRDefault="007B69D6" w:rsidP="008504F2">
            <w:pPr>
              <w:tabs>
                <w:tab w:val="decimal" w:pos="399"/>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16.25 </w:t>
            </w:r>
          </w:p>
        </w:tc>
      </w:tr>
      <w:tr w:rsidR="007B69D6" w:rsidRPr="001C2B0B" w14:paraId="22EBBF9C" w14:textId="77777777" w:rsidTr="003D2DE4">
        <w:trPr>
          <w:gridAfter w:val="1"/>
          <w:wAfter w:w="14" w:type="dxa"/>
          <w:jc w:val="center"/>
        </w:trPr>
        <w:tc>
          <w:tcPr>
            <w:tcW w:w="2831" w:type="dxa"/>
            <w:tcBorders>
              <w:top w:val="single" w:sz="4" w:space="0" w:color="000000"/>
              <w:left w:val="single" w:sz="4" w:space="0" w:color="000000"/>
              <w:bottom w:val="single" w:sz="4" w:space="0" w:color="000000"/>
              <w:right w:val="single" w:sz="4" w:space="0" w:color="000000"/>
            </w:tcBorders>
            <w:vAlign w:val="center"/>
            <w:hideMark/>
          </w:tcPr>
          <w:p w14:paraId="0A8C481E" w14:textId="77777777" w:rsidR="007B69D6" w:rsidRPr="001C2B0B" w:rsidRDefault="007B69D6" w:rsidP="001F1970">
            <w:pPr>
              <w:spacing w:before="100" w:beforeAutospacing="1" w:after="100" w:afterAutospacing="1"/>
              <w:rPr>
                <w:rFonts w:ascii="Arial" w:hAnsi="Arial" w:cs="Arial"/>
                <w:sz w:val="20"/>
                <w:szCs w:val="20"/>
                <w:lang w:val="en-GB"/>
              </w:rPr>
            </w:pPr>
            <w:r w:rsidRPr="001C2B0B">
              <w:rPr>
                <w:rFonts w:ascii="Arial" w:hAnsi="Arial" w:cs="Arial"/>
                <w:b/>
                <w:bCs/>
                <w:sz w:val="20"/>
                <w:szCs w:val="20"/>
                <w:lang w:val="en-GB"/>
              </w:rPr>
              <w:t xml:space="preserve">Nova Scotia </w:t>
            </w:r>
          </w:p>
        </w:tc>
        <w:tc>
          <w:tcPr>
            <w:tcW w:w="964" w:type="dxa"/>
            <w:tcBorders>
              <w:top w:val="single" w:sz="4" w:space="0" w:color="000000"/>
              <w:left w:val="single" w:sz="4" w:space="0" w:color="000000"/>
              <w:bottom w:val="single" w:sz="4" w:space="0" w:color="000000"/>
              <w:right w:val="single" w:sz="4" w:space="0" w:color="000000"/>
            </w:tcBorders>
            <w:vAlign w:val="center"/>
            <w:hideMark/>
          </w:tcPr>
          <w:p w14:paraId="42B76BD5"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138,215 </w:t>
            </w:r>
          </w:p>
        </w:tc>
        <w:tc>
          <w:tcPr>
            <w:tcW w:w="1095" w:type="dxa"/>
            <w:tcBorders>
              <w:top w:val="single" w:sz="4" w:space="0" w:color="000000"/>
              <w:left w:val="single" w:sz="4" w:space="0" w:color="000000"/>
              <w:bottom w:val="single" w:sz="4" w:space="0" w:color="000000"/>
              <w:right w:val="single" w:sz="4" w:space="0" w:color="000000"/>
            </w:tcBorders>
            <w:vAlign w:val="center"/>
            <w:hideMark/>
          </w:tcPr>
          <w:p w14:paraId="11B0A86B" w14:textId="10932CC0" w:rsidR="007B69D6" w:rsidRPr="001C2B0B" w:rsidRDefault="007B69D6" w:rsidP="008504F2">
            <w:pPr>
              <w:tabs>
                <w:tab w:val="decimal" w:pos="454"/>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15.00 </w:t>
            </w:r>
          </w:p>
        </w:tc>
        <w:tc>
          <w:tcPr>
            <w:tcW w:w="1155" w:type="dxa"/>
            <w:tcBorders>
              <w:top w:val="single" w:sz="4" w:space="0" w:color="000000"/>
              <w:left w:val="single" w:sz="4" w:space="0" w:color="000000"/>
              <w:bottom w:val="single" w:sz="4" w:space="0" w:color="000000"/>
              <w:right w:val="single" w:sz="4" w:space="0" w:color="000000"/>
            </w:tcBorders>
            <w:vAlign w:val="center"/>
            <w:hideMark/>
          </w:tcPr>
          <w:p w14:paraId="4139C2C6"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630,140 </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5FF1FEB8" w14:textId="6A3A6684" w:rsidR="007B69D6" w:rsidRPr="001C2B0B" w:rsidRDefault="007B69D6" w:rsidP="008504F2">
            <w:pPr>
              <w:tabs>
                <w:tab w:val="decimal" w:pos="470"/>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68.37 </w:t>
            </w:r>
          </w:p>
        </w:tc>
        <w:tc>
          <w:tcPr>
            <w:tcW w:w="1290" w:type="dxa"/>
            <w:tcBorders>
              <w:top w:val="single" w:sz="4" w:space="0" w:color="000000"/>
              <w:left w:val="single" w:sz="4" w:space="0" w:color="000000"/>
              <w:bottom w:val="single" w:sz="4" w:space="0" w:color="000000"/>
              <w:right w:val="single" w:sz="4" w:space="0" w:color="000000"/>
            </w:tcBorders>
            <w:vAlign w:val="center"/>
            <w:hideMark/>
          </w:tcPr>
          <w:p w14:paraId="61C5BC0C"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153,370 </w:t>
            </w:r>
          </w:p>
        </w:tc>
        <w:tc>
          <w:tcPr>
            <w:tcW w:w="986" w:type="dxa"/>
            <w:tcBorders>
              <w:top w:val="single" w:sz="4" w:space="0" w:color="000000"/>
              <w:left w:val="single" w:sz="4" w:space="0" w:color="000000"/>
              <w:bottom w:val="single" w:sz="4" w:space="0" w:color="000000"/>
              <w:right w:val="single" w:sz="4" w:space="0" w:color="000000"/>
            </w:tcBorders>
            <w:vAlign w:val="center"/>
            <w:hideMark/>
          </w:tcPr>
          <w:p w14:paraId="79CC0514" w14:textId="3D579FBF" w:rsidR="007B69D6" w:rsidRPr="001C2B0B" w:rsidRDefault="007B69D6" w:rsidP="008504F2">
            <w:pPr>
              <w:tabs>
                <w:tab w:val="decimal" w:pos="399"/>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16.64 </w:t>
            </w:r>
          </w:p>
        </w:tc>
      </w:tr>
      <w:tr w:rsidR="007B69D6" w:rsidRPr="001C2B0B" w14:paraId="0A7540F9" w14:textId="77777777" w:rsidTr="003D2DE4">
        <w:trPr>
          <w:gridAfter w:val="1"/>
          <w:wAfter w:w="14" w:type="dxa"/>
          <w:jc w:val="center"/>
        </w:trPr>
        <w:tc>
          <w:tcPr>
            <w:tcW w:w="2831" w:type="dxa"/>
            <w:tcBorders>
              <w:top w:val="single" w:sz="4" w:space="0" w:color="000000"/>
              <w:left w:val="single" w:sz="4" w:space="0" w:color="000000"/>
              <w:bottom w:val="single" w:sz="4" w:space="0" w:color="000000"/>
              <w:right w:val="single" w:sz="4" w:space="0" w:color="000000"/>
            </w:tcBorders>
            <w:vAlign w:val="center"/>
            <w:hideMark/>
          </w:tcPr>
          <w:p w14:paraId="49229A83" w14:textId="77777777" w:rsidR="007B69D6" w:rsidRPr="001C2B0B" w:rsidRDefault="007B69D6" w:rsidP="001F1970">
            <w:pPr>
              <w:spacing w:before="100" w:beforeAutospacing="1" w:after="100" w:afterAutospacing="1"/>
              <w:rPr>
                <w:rFonts w:ascii="Arial" w:hAnsi="Arial" w:cs="Arial"/>
                <w:sz w:val="20"/>
                <w:szCs w:val="20"/>
                <w:lang w:val="en-GB"/>
              </w:rPr>
            </w:pPr>
            <w:r w:rsidRPr="001C2B0B">
              <w:rPr>
                <w:rFonts w:ascii="Arial" w:hAnsi="Arial" w:cs="Arial"/>
                <w:b/>
                <w:bCs/>
                <w:sz w:val="20"/>
                <w:szCs w:val="20"/>
                <w:lang w:val="en-GB"/>
              </w:rPr>
              <w:t xml:space="preserve">New Brunswick </w:t>
            </w:r>
          </w:p>
        </w:tc>
        <w:tc>
          <w:tcPr>
            <w:tcW w:w="964" w:type="dxa"/>
            <w:tcBorders>
              <w:top w:val="single" w:sz="4" w:space="0" w:color="000000"/>
              <w:left w:val="single" w:sz="4" w:space="0" w:color="000000"/>
              <w:bottom w:val="single" w:sz="4" w:space="0" w:color="000000"/>
              <w:right w:val="single" w:sz="4" w:space="0" w:color="000000"/>
            </w:tcBorders>
            <w:vAlign w:val="center"/>
            <w:hideMark/>
          </w:tcPr>
          <w:p w14:paraId="4F8E816F"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113,575 </w:t>
            </w:r>
          </w:p>
        </w:tc>
        <w:tc>
          <w:tcPr>
            <w:tcW w:w="1095" w:type="dxa"/>
            <w:tcBorders>
              <w:top w:val="single" w:sz="4" w:space="0" w:color="000000"/>
              <w:left w:val="single" w:sz="4" w:space="0" w:color="000000"/>
              <w:bottom w:val="single" w:sz="4" w:space="0" w:color="000000"/>
              <w:right w:val="single" w:sz="4" w:space="0" w:color="000000"/>
            </w:tcBorders>
            <w:vAlign w:val="center"/>
            <w:hideMark/>
          </w:tcPr>
          <w:p w14:paraId="2908641B" w14:textId="792882DC" w:rsidR="007B69D6" w:rsidRPr="001C2B0B" w:rsidRDefault="007B69D6" w:rsidP="008504F2">
            <w:pPr>
              <w:tabs>
                <w:tab w:val="decimal" w:pos="454"/>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15.12 </w:t>
            </w:r>
          </w:p>
        </w:tc>
        <w:tc>
          <w:tcPr>
            <w:tcW w:w="1155" w:type="dxa"/>
            <w:tcBorders>
              <w:top w:val="single" w:sz="4" w:space="0" w:color="000000"/>
              <w:left w:val="single" w:sz="4" w:space="0" w:color="000000"/>
              <w:bottom w:val="single" w:sz="4" w:space="0" w:color="000000"/>
              <w:right w:val="single" w:sz="4" w:space="0" w:color="000000"/>
            </w:tcBorders>
            <w:vAlign w:val="center"/>
            <w:hideMark/>
          </w:tcPr>
          <w:p w14:paraId="41F51F0C"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513,960 </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73B4F4E2" w14:textId="5D7BD4E1" w:rsidR="007B69D6" w:rsidRPr="001C2B0B" w:rsidRDefault="007B69D6" w:rsidP="008504F2">
            <w:pPr>
              <w:tabs>
                <w:tab w:val="decimal" w:pos="470"/>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68.42 </w:t>
            </w:r>
          </w:p>
        </w:tc>
        <w:tc>
          <w:tcPr>
            <w:tcW w:w="1290" w:type="dxa"/>
            <w:tcBorders>
              <w:top w:val="single" w:sz="4" w:space="0" w:color="000000"/>
              <w:left w:val="single" w:sz="4" w:space="0" w:color="000000"/>
              <w:bottom w:val="single" w:sz="4" w:space="0" w:color="000000"/>
              <w:right w:val="single" w:sz="4" w:space="0" w:color="000000"/>
            </w:tcBorders>
            <w:vAlign w:val="center"/>
            <w:hideMark/>
          </w:tcPr>
          <w:p w14:paraId="00238707"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123,635 </w:t>
            </w:r>
          </w:p>
        </w:tc>
        <w:tc>
          <w:tcPr>
            <w:tcW w:w="986" w:type="dxa"/>
            <w:tcBorders>
              <w:top w:val="single" w:sz="4" w:space="0" w:color="000000"/>
              <w:left w:val="single" w:sz="4" w:space="0" w:color="000000"/>
              <w:bottom w:val="single" w:sz="4" w:space="0" w:color="000000"/>
              <w:right w:val="single" w:sz="4" w:space="0" w:color="000000"/>
            </w:tcBorders>
            <w:vAlign w:val="center"/>
            <w:hideMark/>
          </w:tcPr>
          <w:p w14:paraId="6DFFD402" w14:textId="659847D6" w:rsidR="007B69D6" w:rsidRPr="001C2B0B" w:rsidRDefault="007B69D6" w:rsidP="008504F2">
            <w:pPr>
              <w:tabs>
                <w:tab w:val="decimal" w:pos="399"/>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16.46 </w:t>
            </w:r>
          </w:p>
        </w:tc>
      </w:tr>
      <w:tr w:rsidR="007B69D6" w:rsidRPr="001C2B0B" w14:paraId="7FF0CFC5" w14:textId="77777777" w:rsidTr="003D2DE4">
        <w:trPr>
          <w:gridAfter w:val="1"/>
          <w:wAfter w:w="14" w:type="dxa"/>
          <w:jc w:val="center"/>
        </w:trPr>
        <w:tc>
          <w:tcPr>
            <w:tcW w:w="2831" w:type="dxa"/>
            <w:tcBorders>
              <w:top w:val="single" w:sz="4" w:space="0" w:color="000000"/>
              <w:left w:val="single" w:sz="4" w:space="0" w:color="000000"/>
              <w:bottom w:val="single" w:sz="4" w:space="0" w:color="000000"/>
              <w:right w:val="single" w:sz="4" w:space="0" w:color="000000"/>
            </w:tcBorders>
            <w:vAlign w:val="center"/>
            <w:hideMark/>
          </w:tcPr>
          <w:p w14:paraId="4F4A5611" w14:textId="77777777" w:rsidR="007B69D6" w:rsidRPr="001C2B0B" w:rsidRDefault="007B69D6" w:rsidP="001F1970">
            <w:pPr>
              <w:spacing w:before="100" w:beforeAutospacing="1" w:after="100" w:afterAutospacing="1"/>
              <w:rPr>
                <w:rFonts w:ascii="Arial" w:hAnsi="Arial" w:cs="Arial"/>
                <w:sz w:val="20"/>
                <w:szCs w:val="20"/>
                <w:lang w:val="en-GB"/>
              </w:rPr>
            </w:pPr>
            <w:r w:rsidRPr="001C2B0B">
              <w:rPr>
                <w:rFonts w:ascii="Arial" w:hAnsi="Arial" w:cs="Arial"/>
                <w:b/>
                <w:bCs/>
                <w:sz w:val="20"/>
                <w:szCs w:val="20"/>
                <w:lang w:val="en-GB"/>
              </w:rPr>
              <w:t xml:space="preserve">Quebec </w:t>
            </w:r>
          </w:p>
        </w:tc>
        <w:tc>
          <w:tcPr>
            <w:tcW w:w="964" w:type="dxa"/>
            <w:tcBorders>
              <w:top w:val="single" w:sz="4" w:space="0" w:color="000000"/>
              <w:left w:val="single" w:sz="4" w:space="0" w:color="000000"/>
              <w:bottom w:val="single" w:sz="4" w:space="0" w:color="000000"/>
              <w:right w:val="single" w:sz="4" w:space="0" w:color="000000"/>
            </w:tcBorders>
            <w:vAlign w:val="center"/>
            <w:hideMark/>
          </w:tcPr>
          <w:p w14:paraId="71D49A32"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1,258,625 </w:t>
            </w:r>
          </w:p>
        </w:tc>
        <w:tc>
          <w:tcPr>
            <w:tcW w:w="1095" w:type="dxa"/>
            <w:tcBorders>
              <w:top w:val="single" w:sz="4" w:space="0" w:color="000000"/>
              <w:left w:val="single" w:sz="4" w:space="0" w:color="000000"/>
              <w:bottom w:val="single" w:sz="4" w:space="0" w:color="000000"/>
              <w:right w:val="single" w:sz="4" w:space="0" w:color="000000"/>
            </w:tcBorders>
            <w:vAlign w:val="center"/>
            <w:hideMark/>
          </w:tcPr>
          <w:p w14:paraId="042C7012" w14:textId="22312C35" w:rsidR="007B69D6" w:rsidRPr="001C2B0B" w:rsidRDefault="007B69D6" w:rsidP="008504F2">
            <w:pPr>
              <w:tabs>
                <w:tab w:val="decimal" w:pos="454"/>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15.93 </w:t>
            </w:r>
          </w:p>
        </w:tc>
        <w:tc>
          <w:tcPr>
            <w:tcW w:w="1155" w:type="dxa"/>
            <w:tcBorders>
              <w:top w:val="single" w:sz="4" w:space="0" w:color="000000"/>
              <w:left w:val="single" w:sz="4" w:space="0" w:color="000000"/>
              <w:bottom w:val="single" w:sz="4" w:space="0" w:color="000000"/>
              <w:right w:val="single" w:sz="4" w:space="0" w:color="000000"/>
            </w:tcBorders>
            <w:vAlign w:val="center"/>
            <w:hideMark/>
          </w:tcPr>
          <w:p w14:paraId="37D4186A"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5,386,695 </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5EB964FC" w14:textId="72A2B066" w:rsidR="007B69D6" w:rsidRPr="001C2B0B" w:rsidRDefault="007B69D6" w:rsidP="008504F2">
            <w:pPr>
              <w:tabs>
                <w:tab w:val="decimal" w:pos="470"/>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68.16 </w:t>
            </w:r>
          </w:p>
        </w:tc>
        <w:tc>
          <w:tcPr>
            <w:tcW w:w="1290" w:type="dxa"/>
            <w:tcBorders>
              <w:top w:val="single" w:sz="4" w:space="0" w:color="000000"/>
              <w:left w:val="single" w:sz="4" w:space="0" w:color="000000"/>
              <w:bottom w:val="single" w:sz="4" w:space="0" w:color="000000"/>
              <w:right w:val="single" w:sz="4" w:space="0" w:color="000000"/>
            </w:tcBorders>
            <w:vAlign w:val="center"/>
            <w:hideMark/>
          </w:tcPr>
          <w:p w14:paraId="09640685"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1,257,685 </w:t>
            </w:r>
          </w:p>
        </w:tc>
        <w:tc>
          <w:tcPr>
            <w:tcW w:w="986" w:type="dxa"/>
            <w:tcBorders>
              <w:top w:val="single" w:sz="4" w:space="0" w:color="000000"/>
              <w:left w:val="single" w:sz="4" w:space="0" w:color="000000"/>
              <w:bottom w:val="single" w:sz="4" w:space="0" w:color="000000"/>
              <w:right w:val="single" w:sz="4" w:space="0" w:color="000000"/>
            </w:tcBorders>
            <w:vAlign w:val="center"/>
            <w:hideMark/>
          </w:tcPr>
          <w:p w14:paraId="5D5AD02A" w14:textId="1E08DAB3" w:rsidR="007B69D6" w:rsidRPr="001C2B0B" w:rsidRDefault="007B69D6" w:rsidP="008504F2">
            <w:pPr>
              <w:tabs>
                <w:tab w:val="decimal" w:pos="399"/>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15.91 </w:t>
            </w:r>
          </w:p>
        </w:tc>
      </w:tr>
      <w:tr w:rsidR="007B69D6" w:rsidRPr="001C2B0B" w14:paraId="5E858038" w14:textId="77777777" w:rsidTr="003D2DE4">
        <w:trPr>
          <w:gridAfter w:val="1"/>
          <w:wAfter w:w="14" w:type="dxa"/>
          <w:jc w:val="center"/>
        </w:trPr>
        <w:tc>
          <w:tcPr>
            <w:tcW w:w="2831" w:type="dxa"/>
            <w:tcBorders>
              <w:top w:val="single" w:sz="4" w:space="0" w:color="000000"/>
              <w:left w:val="single" w:sz="4" w:space="0" w:color="000000"/>
              <w:bottom w:val="single" w:sz="4" w:space="0" w:color="000000"/>
              <w:right w:val="single" w:sz="4" w:space="0" w:color="000000"/>
            </w:tcBorders>
            <w:vAlign w:val="center"/>
            <w:hideMark/>
          </w:tcPr>
          <w:p w14:paraId="545FA3B7" w14:textId="77777777" w:rsidR="007B69D6" w:rsidRPr="001C2B0B" w:rsidRDefault="007B69D6" w:rsidP="001F1970">
            <w:pPr>
              <w:spacing w:before="100" w:beforeAutospacing="1" w:after="100" w:afterAutospacing="1"/>
              <w:rPr>
                <w:rFonts w:ascii="Arial" w:hAnsi="Arial" w:cs="Arial"/>
                <w:sz w:val="20"/>
                <w:szCs w:val="20"/>
                <w:lang w:val="en-GB"/>
              </w:rPr>
            </w:pPr>
            <w:r w:rsidRPr="001C2B0B">
              <w:rPr>
                <w:rFonts w:ascii="Arial" w:hAnsi="Arial" w:cs="Arial"/>
                <w:b/>
                <w:bCs/>
                <w:sz w:val="20"/>
                <w:szCs w:val="20"/>
                <w:lang w:val="en-GB"/>
              </w:rPr>
              <w:t xml:space="preserve">Ontario </w:t>
            </w:r>
          </w:p>
        </w:tc>
        <w:tc>
          <w:tcPr>
            <w:tcW w:w="964" w:type="dxa"/>
            <w:tcBorders>
              <w:top w:val="single" w:sz="4" w:space="0" w:color="000000"/>
              <w:left w:val="single" w:sz="4" w:space="0" w:color="000000"/>
              <w:bottom w:val="single" w:sz="4" w:space="0" w:color="000000"/>
              <w:right w:val="single" w:sz="4" w:space="0" w:color="000000"/>
            </w:tcBorders>
            <w:vAlign w:val="center"/>
            <w:hideMark/>
          </w:tcPr>
          <w:p w14:paraId="741873BA"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2,180,775 </w:t>
            </w:r>
          </w:p>
        </w:tc>
        <w:tc>
          <w:tcPr>
            <w:tcW w:w="1095" w:type="dxa"/>
            <w:tcBorders>
              <w:top w:val="single" w:sz="4" w:space="0" w:color="000000"/>
              <w:left w:val="single" w:sz="4" w:space="0" w:color="000000"/>
              <w:bottom w:val="single" w:sz="4" w:space="0" w:color="000000"/>
              <w:right w:val="single" w:sz="4" w:space="0" w:color="000000"/>
            </w:tcBorders>
            <w:vAlign w:val="center"/>
            <w:hideMark/>
          </w:tcPr>
          <w:p w14:paraId="691C9503" w14:textId="5379B183" w:rsidR="007B69D6" w:rsidRPr="001C2B0B" w:rsidRDefault="007B69D6" w:rsidP="008504F2">
            <w:pPr>
              <w:tabs>
                <w:tab w:val="decimal" w:pos="454"/>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16.97 </w:t>
            </w:r>
          </w:p>
        </w:tc>
        <w:tc>
          <w:tcPr>
            <w:tcW w:w="1155" w:type="dxa"/>
            <w:tcBorders>
              <w:top w:val="single" w:sz="4" w:space="0" w:color="000000"/>
              <w:left w:val="single" w:sz="4" w:space="0" w:color="000000"/>
              <w:bottom w:val="single" w:sz="4" w:space="0" w:color="000000"/>
              <w:right w:val="single" w:sz="4" w:space="0" w:color="000000"/>
            </w:tcBorders>
            <w:vAlign w:val="center"/>
            <w:hideMark/>
          </w:tcPr>
          <w:p w14:paraId="088D8A68"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8,792,725 </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390363FD" w14:textId="66563223" w:rsidR="007B69D6" w:rsidRPr="001C2B0B" w:rsidRDefault="007B69D6" w:rsidP="008504F2">
            <w:pPr>
              <w:tabs>
                <w:tab w:val="decimal" w:pos="470"/>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68.42 </w:t>
            </w:r>
          </w:p>
        </w:tc>
        <w:tc>
          <w:tcPr>
            <w:tcW w:w="1290" w:type="dxa"/>
            <w:tcBorders>
              <w:top w:val="single" w:sz="4" w:space="0" w:color="000000"/>
              <w:left w:val="single" w:sz="4" w:space="0" w:color="000000"/>
              <w:bottom w:val="single" w:sz="4" w:space="0" w:color="000000"/>
              <w:right w:val="single" w:sz="4" w:space="0" w:color="000000"/>
            </w:tcBorders>
            <w:vAlign w:val="center"/>
            <w:hideMark/>
          </w:tcPr>
          <w:p w14:paraId="521FC131"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1,878,325 </w:t>
            </w:r>
          </w:p>
        </w:tc>
        <w:tc>
          <w:tcPr>
            <w:tcW w:w="986" w:type="dxa"/>
            <w:tcBorders>
              <w:top w:val="single" w:sz="4" w:space="0" w:color="000000"/>
              <w:left w:val="single" w:sz="4" w:space="0" w:color="000000"/>
              <w:bottom w:val="single" w:sz="4" w:space="0" w:color="000000"/>
              <w:right w:val="single" w:sz="4" w:space="0" w:color="000000"/>
            </w:tcBorders>
            <w:vAlign w:val="center"/>
            <w:hideMark/>
          </w:tcPr>
          <w:p w14:paraId="27435E4D" w14:textId="54BAC577" w:rsidR="007B69D6" w:rsidRPr="001C2B0B" w:rsidRDefault="007B69D6" w:rsidP="008504F2">
            <w:pPr>
              <w:tabs>
                <w:tab w:val="decimal" w:pos="399"/>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14.62 </w:t>
            </w:r>
          </w:p>
        </w:tc>
      </w:tr>
      <w:tr w:rsidR="007B69D6" w:rsidRPr="001C2B0B" w14:paraId="772B0A1D" w14:textId="77777777" w:rsidTr="003D2DE4">
        <w:trPr>
          <w:gridAfter w:val="1"/>
          <w:wAfter w:w="14" w:type="dxa"/>
          <w:jc w:val="center"/>
        </w:trPr>
        <w:tc>
          <w:tcPr>
            <w:tcW w:w="2831" w:type="dxa"/>
            <w:tcBorders>
              <w:top w:val="single" w:sz="4" w:space="0" w:color="000000"/>
              <w:left w:val="single" w:sz="4" w:space="0" w:color="000000"/>
              <w:bottom w:val="single" w:sz="4" w:space="0" w:color="000000"/>
              <w:right w:val="single" w:sz="4" w:space="0" w:color="000000"/>
            </w:tcBorders>
            <w:vAlign w:val="center"/>
            <w:hideMark/>
          </w:tcPr>
          <w:p w14:paraId="4294D2CA" w14:textId="77777777" w:rsidR="007B69D6" w:rsidRPr="001C2B0B" w:rsidRDefault="007B69D6" w:rsidP="001F1970">
            <w:pPr>
              <w:spacing w:before="100" w:beforeAutospacing="1" w:after="100" w:afterAutospacing="1"/>
              <w:rPr>
                <w:rFonts w:ascii="Arial" w:hAnsi="Arial" w:cs="Arial"/>
                <w:sz w:val="20"/>
                <w:szCs w:val="20"/>
                <w:lang w:val="en-GB"/>
              </w:rPr>
            </w:pPr>
            <w:r w:rsidRPr="001C2B0B">
              <w:rPr>
                <w:rFonts w:ascii="Arial" w:hAnsi="Arial" w:cs="Arial"/>
                <w:b/>
                <w:bCs/>
                <w:sz w:val="20"/>
                <w:szCs w:val="20"/>
                <w:lang w:val="en-GB"/>
              </w:rPr>
              <w:t xml:space="preserve">Manitoba </w:t>
            </w:r>
          </w:p>
        </w:tc>
        <w:tc>
          <w:tcPr>
            <w:tcW w:w="964" w:type="dxa"/>
            <w:tcBorders>
              <w:top w:val="single" w:sz="4" w:space="0" w:color="000000"/>
              <w:left w:val="single" w:sz="4" w:space="0" w:color="000000"/>
              <w:bottom w:val="single" w:sz="4" w:space="0" w:color="000000"/>
              <w:right w:val="single" w:sz="4" w:space="0" w:color="000000"/>
            </w:tcBorders>
            <w:vAlign w:val="center"/>
            <w:hideMark/>
          </w:tcPr>
          <w:p w14:paraId="62675F2E"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231,160 </w:t>
            </w:r>
          </w:p>
        </w:tc>
        <w:tc>
          <w:tcPr>
            <w:tcW w:w="1095" w:type="dxa"/>
            <w:tcBorders>
              <w:top w:val="single" w:sz="4" w:space="0" w:color="000000"/>
              <w:left w:val="single" w:sz="4" w:space="0" w:color="000000"/>
              <w:bottom w:val="single" w:sz="4" w:space="0" w:color="000000"/>
              <w:right w:val="single" w:sz="4" w:space="0" w:color="000000"/>
            </w:tcBorders>
            <w:vAlign w:val="center"/>
            <w:hideMark/>
          </w:tcPr>
          <w:p w14:paraId="32BB52B6" w14:textId="7E9BDAA2" w:rsidR="007B69D6" w:rsidRPr="001C2B0B" w:rsidRDefault="007B69D6" w:rsidP="008504F2">
            <w:pPr>
              <w:tabs>
                <w:tab w:val="decimal" w:pos="454"/>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19.13 </w:t>
            </w:r>
          </w:p>
        </w:tc>
        <w:tc>
          <w:tcPr>
            <w:tcW w:w="1155" w:type="dxa"/>
            <w:tcBorders>
              <w:top w:val="single" w:sz="4" w:space="0" w:color="000000"/>
              <w:left w:val="single" w:sz="4" w:space="0" w:color="000000"/>
              <w:bottom w:val="single" w:sz="4" w:space="0" w:color="000000"/>
              <w:right w:val="single" w:sz="4" w:space="0" w:color="000000"/>
            </w:tcBorders>
            <w:vAlign w:val="center"/>
            <w:hideMark/>
          </w:tcPr>
          <w:p w14:paraId="5760D247"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804,655 </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386FD68B" w14:textId="13CE56F0" w:rsidR="007B69D6" w:rsidRPr="001C2B0B" w:rsidRDefault="007B69D6" w:rsidP="008504F2">
            <w:pPr>
              <w:tabs>
                <w:tab w:val="decimal" w:pos="470"/>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66.60 </w:t>
            </w:r>
          </w:p>
        </w:tc>
        <w:tc>
          <w:tcPr>
            <w:tcW w:w="1290" w:type="dxa"/>
            <w:tcBorders>
              <w:top w:val="single" w:sz="4" w:space="0" w:color="000000"/>
              <w:left w:val="single" w:sz="4" w:space="0" w:color="000000"/>
              <w:bottom w:val="single" w:sz="4" w:space="0" w:color="000000"/>
              <w:right w:val="single" w:sz="4" w:space="0" w:color="000000"/>
            </w:tcBorders>
            <w:vAlign w:val="center"/>
            <w:hideMark/>
          </w:tcPr>
          <w:p w14:paraId="358669CA"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172,450 </w:t>
            </w:r>
          </w:p>
        </w:tc>
        <w:tc>
          <w:tcPr>
            <w:tcW w:w="986" w:type="dxa"/>
            <w:tcBorders>
              <w:top w:val="single" w:sz="4" w:space="0" w:color="000000"/>
              <w:left w:val="single" w:sz="4" w:space="0" w:color="000000"/>
              <w:bottom w:val="single" w:sz="4" w:space="0" w:color="000000"/>
              <w:right w:val="single" w:sz="4" w:space="0" w:color="000000"/>
            </w:tcBorders>
            <w:vAlign w:val="center"/>
            <w:hideMark/>
          </w:tcPr>
          <w:p w14:paraId="00953551" w14:textId="1C36482A" w:rsidR="007B69D6" w:rsidRPr="001C2B0B" w:rsidRDefault="007B69D6" w:rsidP="008504F2">
            <w:pPr>
              <w:tabs>
                <w:tab w:val="decimal" w:pos="399"/>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14.27 </w:t>
            </w:r>
          </w:p>
        </w:tc>
      </w:tr>
      <w:tr w:rsidR="007B69D6" w:rsidRPr="001C2B0B" w14:paraId="7DE7DBC7" w14:textId="77777777" w:rsidTr="003D2DE4">
        <w:trPr>
          <w:gridAfter w:val="1"/>
          <w:wAfter w:w="14" w:type="dxa"/>
          <w:jc w:val="center"/>
        </w:trPr>
        <w:tc>
          <w:tcPr>
            <w:tcW w:w="2831" w:type="dxa"/>
            <w:tcBorders>
              <w:top w:val="single" w:sz="4" w:space="0" w:color="000000"/>
              <w:left w:val="single" w:sz="4" w:space="0" w:color="000000"/>
              <w:bottom w:val="single" w:sz="4" w:space="0" w:color="000000"/>
              <w:right w:val="single" w:sz="4" w:space="0" w:color="000000"/>
            </w:tcBorders>
            <w:vAlign w:val="center"/>
            <w:hideMark/>
          </w:tcPr>
          <w:p w14:paraId="492FE263" w14:textId="77777777" w:rsidR="007B69D6" w:rsidRPr="001C2B0B" w:rsidRDefault="007B69D6" w:rsidP="001F1970">
            <w:pPr>
              <w:spacing w:before="100" w:beforeAutospacing="1" w:after="100" w:afterAutospacing="1"/>
              <w:rPr>
                <w:rFonts w:ascii="Arial" w:hAnsi="Arial" w:cs="Arial"/>
                <w:sz w:val="20"/>
                <w:szCs w:val="20"/>
                <w:lang w:val="en-GB"/>
              </w:rPr>
            </w:pPr>
            <w:r w:rsidRPr="001C2B0B">
              <w:rPr>
                <w:rFonts w:ascii="Arial" w:hAnsi="Arial" w:cs="Arial"/>
                <w:b/>
                <w:bCs/>
                <w:sz w:val="20"/>
                <w:szCs w:val="20"/>
                <w:lang w:val="en-GB"/>
              </w:rPr>
              <w:t xml:space="preserve">Saskatchewan </w:t>
            </w:r>
          </w:p>
        </w:tc>
        <w:tc>
          <w:tcPr>
            <w:tcW w:w="964" w:type="dxa"/>
            <w:tcBorders>
              <w:top w:val="single" w:sz="4" w:space="0" w:color="000000"/>
              <w:left w:val="single" w:sz="4" w:space="0" w:color="000000"/>
              <w:bottom w:val="single" w:sz="4" w:space="0" w:color="000000"/>
              <w:right w:val="single" w:sz="4" w:space="0" w:color="000000"/>
            </w:tcBorders>
            <w:vAlign w:val="center"/>
            <w:hideMark/>
          </w:tcPr>
          <w:p w14:paraId="4D0CCBE7"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197,855 </w:t>
            </w:r>
          </w:p>
        </w:tc>
        <w:tc>
          <w:tcPr>
            <w:tcW w:w="1095" w:type="dxa"/>
            <w:tcBorders>
              <w:top w:val="single" w:sz="4" w:space="0" w:color="000000"/>
              <w:left w:val="single" w:sz="4" w:space="0" w:color="000000"/>
              <w:bottom w:val="single" w:sz="4" w:space="0" w:color="000000"/>
              <w:right w:val="single" w:sz="4" w:space="0" w:color="000000"/>
            </w:tcBorders>
            <w:vAlign w:val="center"/>
            <w:hideMark/>
          </w:tcPr>
          <w:p w14:paraId="7EF731E2" w14:textId="3C1F7635" w:rsidR="007B69D6" w:rsidRPr="001C2B0B" w:rsidRDefault="007B69D6" w:rsidP="008504F2">
            <w:pPr>
              <w:tabs>
                <w:tab w:val="decimal" w:pos="454"/>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19.15 </w:t>
            </w:r>
          </w:p>
        </w:tc>
        <w:tc>
          <w:tcPr>
            <w:tcW w:w="1155" w:type="dxa"/>
            <w:tcBorders>
              <w:top w:val="single" w:sz="4" w:space="0" w:color="000000"/>
              <w:left w:val="single" w:sz="4" w:space="0" w:color="000000"/>
              <w:bottom w:val="single" w:sz="4" w:space="0" w:color="000000"/>
              <w:right w:val="single" w:sz="4" w:space="0" w:color="000000"/>
            </w:tcBorders>
            <w:vAlign w:val="center"/>
            <w:hideMark/>
          </w:tcPr>
          <w:p w14:paraId="6C41AA8D"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681,815 </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2E38E261" w14:textId="6DE9F014" w:rsidR="007B69D6" w:rsidRPr="001C2B0B" w:rsidRDefault="007B69D6" w:rsidP="008504F2">
            <w:pPr>
              <w:tabs>
                <w:tab w:val="decimal" w:pos="470"/>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65.98 </w:t>
            </w:r>
          </w:p>
        </w:tc>
        <w:tc>
          <w:tcPr>
            <w:tcW w:w="1290" w:type="dxa"/>
            <w:tcBorders>
              <w:top w:val="single" w:sz="4" w:space="0" w:color="000000"/>
              <w:left w:val="single" w:sz="4" w:space="0" w:color="000000"/>
              <w:bottom w:val="single" w:sz="4" w:space="0" w:color="000000"/>
              <w:right w:val="single" w:sz="4" w:space="0" w:color="000000"/>
            </w:tcBorders>
            <w:vAlign w:val="center"/>
            <w:hideMark/>
          </w:tcPr>
          <w:p w14:paraId="57516027"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153,705 </w:t>
            </w:r>
          </w:p>
        </w:tc>
        <w:tc>
          <w:tcPr>
            <w:tcW w:w="986" w:type="dxa"/>
            <w:tcBorders>
              <w:top w:val="single" w:sz="4" w:space="0" w:color="000000"/>
              <w:left w:val="single" w:sz="4" w:space="0" w:color="000000"/>
              <w:bottom w:val="single" w:sz="4" w:space="0" w:color="000000"/>
              <w:right w:val="single" w:sz="4" w:space="0" w:color="000000"/>
            </w:tcBorders>
            <w:vAlign w:val="center"/>
            <w:hideMark/>
          </w:tcPr>
          <w:p w14:paraId="67E2ABDB" w14:textId="697B363E" w:rsidR="007B69D6" w:rsidRPr="001C2B0B" w:rsidRDefault="007B69D6" w:rsidP="008504F2">
            <w:pPr>
              <w:tabs>
                <w:tab w:val="decimal" w:pos="399"/>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14.87 </w:t>
            </w:r>
          </w:p>
        </w:tc>
      </w:tr>
      <w:tr w:rsidR="007B69D6" w:rsidRPr="001C2B0B" w14:paraId="74B3302E" w14:textId="77777777" w:rsidTr="003D2DE4">
        <w:trPr>
          <w:gridAfter w:val="1"/>
          <w:wAfter w:w="14" w:type="dxa"/>
          <w:jc w:val="center"/>
        </w:trPr>
        <w:tc>
          <w:tcPr>
            <w:tcW w:w="2831" w:type="dxa"/>
            <w:tcBorders>
              <w:top w:val="single" w:sz="4" w:space="0" w:color="000000"/>
              <w:left w:val="single" w:sz="4" w:space="0" w:color="000000"/>
              <w:bottom w:val="single" w:sz="4" w:space="0" w:color="000000"/>
              <w:right w:val="single" w:sz="4" w:space="0" w:color="000000"/>
            </w:tcBorders>
            <w:vAlign w:val="center"/>
            <w:hideMark/>
          </w:tcPr>
          <w:p w14:paraId="42E75EB9" w14:textId="77777777" w:rsidR="007B69D6" w:rsidRPr="001C2B0B" w:rsidRDefault="007B69D6" w:rsidP="001F1970">
            <w:pPr>
              <w:spacing w:before="100" w:beforeAutospacing="1" w:after="100" w:afterAutospacing="1"/>
              <w:rPr>
                <w:rFonts w:ascii="Arial" w:hAnsi="Arial" w:cs="Arial"/>
                <w:sz w:val="20"/>
                <w:szCs w:val="20"/>
                <w:lang w:val="en-GB"/>
              </w:rPr>
            </w:pPr>
            <w:r w:rsidRPr="001C2B0B">
              <w:rPr>
                <w:rFonts w:ascii="Arial" w:hAnsi="Arial" w:cs="Arial"/>
                <w:b/>
                <w:bCs/>
                <w:sz w:val="20"/>
                <w:szCs w:val="20"/>
                <w:lang w:val="en-GB"/>
              </w:rPr>
              <w:t xml:space="preserve">Alberta </w:t>
            </w:r>
          </w:p>
        </w:tc>
        <w:tc>
          <w:tcPr>
            <w:tcW w:w="964" w:type="dxa"/>
            <w:tcBorders>
              <w:top w:val="single" w:sz="4" w:space="0" w:color="000000"/>
              <w:left w:val="single" w:sz="4" w:space="0" w:color="000000"/>
              <w:bottom w:val="single" w:sz="4" w:space="0" w:color="000000"/>
              <w:right w:val="single" w:sz="4" w:space="0" w:color="000000"/>
            </w:tcBorders>
            <w:vAlign w:val="center"/>
            <w:hideMark/>
          </w:tcPr>
          <w:p w14:paraId="4129BBBE"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684,790 </w:t>
            </w:r>
          </w:p>
        </w:tc>
        <w:tc>
          <w:tcPr>
            <w:tcW w:w="1095" w:type="dxa"/>
            <w:tcBorders>
              <w:top w:val="single" w:sz="4" w:space="0" w:color="000000"/>
              <w:left w:val="single" w:sz="4" w:space="0" w:color="000000"/>
              <w:bottom w:val="single" w:sz="4" w:space="0" w:color="000000"/>
              <w:right w:val="single" w:sz="4" w:space="0" w:color="000000"/>
            </w:tcBorders>
            <w:vAlign w:val="center"/>
            <w:hideMark/>
          </w:tcPr>
          <w:p w14:paraId="79144E5F" w14:textId="1E06A4C0" w:rsidR="007B69D6" w:rsidRPr="001C2B0B" w:rsidRDefault="007B69D6" w:rsidP="008504F2">
            <w:pPr>
              <w:tabs>
                <w:tab w:val="decimal" w:pos="454"/>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18.79 </w:t>
            </w:r>
          </w:p>
        </w:tc>
        <w:tc>
          <w:tcPr>
            <w:tcW w:w="1155" w:type="dxa"/>
            <w:tcBorders>
              <w:top w:val="single" w:sz="4" w:space="0" w:color="000000"/>
              <w:left w:val="single" w:sz="4" w:space="0" w:color="000000"/>
              <w:bottom w:val="single" w:sz="4" w:space="0" w:color="000000"/>
              <w:right w:val="single" w:sz="4" w:space="0" w:color="000000"/>
            </w:tcBorders>
            <w:vAlign w:val="center"/>
            <w:hideMark/>
          </w:tcPr>
          <w:p w14:paraId="1B0F975D"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2,554,745 </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402E8036" w14:textId="42AC26A0" w:rsidR="007B69D6" w:rsidRPr="001C2B0B" w:rsidRDefault="007B69D6" w:rsidP="008504F2">
            <w:pPr>
              <w:tabs>
                <w:tab w:val="decimal" w:pos="470"/>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70.08 </w:t>
            </w:r>
          </w:p>
        </w:tc>
        <w:tc>
          <w:tcPr>
            <w:tcW w:w="1290" w:type="dxa"/>
            <w:tcBorders>
              <w:top w:val="single" w:sz="4" w:space="0" w:color="000000"/>
              <w:left w:val="single" w:sz="4" w:space="0" w:color="000000"/>
              <w:bottom w:val="single" w:sz="4" w:space="0" w:color="000000"/>
              <w:right w:val="single" w:sz="4" w:space="0" w:color="000000"/>
            </w:tcBorders>
            <w:vAlign w:val="center"/>
            <w:hideMark/>
          </w:tcPr>
          <w:p w14:paraId="52F95EA6"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405,720 </w:t>
            </w:r>
          </w:p>
        </w:tc>
        <w:tc>
          <w:tcPr>
            <w:tcW w:w="986" w:type="dxa"/>
            <w:tcBorders>
              <w:top w:val="single" w:sz="4" w:space="0" w:color="000000"/>
              <w:left w:val="single" w:sz="4" w:space="0" w:color="000000"/>
              <w:bottom w:val="single" w:sz="4" w:space="0" w:color="000000"/>
              <w:right w:val="single" w:sz="4" w:space="0" w:color="000000"/>
            </w:tcBorders>
            <w:vAlign w:val="center"/>
            <w:hideMark/>
          </w:tcPr>
          <w:p w14:paraId="43B0E7A3" w14:textId="36DCD133" w:rsidR="007B69D6" w:rsidRPr="001C2B0B" w:rsidRDefault="007B69D6" w:rsidP="008504F2">
            <w:pPr>
              <w:tabs>
                <w:tab w:val="decimal" w:pos="399"/>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11.13 </w:t>
            </w:r>
          </w:p>
        </w:tc>
      </w:tr>
      <w:tr w:rsidR="007B69D6" w:rsidRPr="001C2B0B" w14:paraId="37D95E70" w14:textId="77777777" w:rsidTr="003D2DE4">
        <w:trPr>
          <w:gridAfter w:val="1"/>
          <w:wAfter w:w="14" w:type="dxa"/>
          <w:jc w:val="center"/>
        </w:trPr>
        <w:tc>
          <w:tcPr>
            <w:tcW w:w="2831" w:type="dxa"/>
            <w:tcBorders>
              <w:top w:val="single" w:sz="4" w:space="0" w:color="000000"/>
              <w:left w:val="single" w:sz="4" w:space="0" w:color="000000"/>
              <w:bottom w:val="single" w:sz="4" w:space="0" w:color="000000"/>
              <w:right w:val="single" w:sz="4" w:space="0" w:color="000000"/>
            </w:tcBorders>
            <w:vAlign w:val="center"/>
            <w:hideMark/>
          </w:tcPr>
          <w:p w14:paraId="194C37FE" w14:textId="77777777" w:rsidR="007B69D6" w:rsidRPr="001C2B0B" w:rsidRDefault="007B69D6" w:rsidP="001F1970">
            <w:pPr>
              <w:spacing w:before="100" w:beforeAutospacing="1" w:after="100" w:afterAutospacing="1"/>
              <w:rPr>
                <w:rFonts w:ascii="Arial" w:hAnsi="Arial" w:cs="Arial"/>
                <w:sz w:val="20"/>
                <w:szCs w:val="20"/>
                <w:lang w:val="en-GB"/>
              </w:rPr>
            </w:pPr>
            <w:r w:rsidRPr="001C2B0B">
              <w:rPr>
                <w:rFonts w:ascii="Arial" w:hAnsi="Arial" w:cs="Arial"/>
                <w:b/>
                <w:bCs/>
                <w:sz w:val="20"/>
                <w:szCs w:val="20"/>
                <w:lang w:val="en-GB"/>
              </w:rPr>
              <w:t xml:space="preserve">British Columbia </w:t>
            </w:r>
          </w:p>
        </w:tc>
        <w:tc>
          <w:tcPr>
            <w:tcW w:w="964" w:type="dxa"/>
            <w:tcBorders>
              <w:top w:val="single" w:sz="4" w:space="0" w:color="000000"/>
              <w:left w:val="single" w:sz="4" w:space="0" w:color="000000"/>
              <w:bottom w:val="single" w:sz="4" w:space="0" w:color="000000"/>
              <w:right w:val="single" w:sz="4" w:space="0" w:color="000000"/>
            </w:tcBorders>
            <w:vAlign w:val="center"/>
            <w:hideMark/>
          </w:tcPr>
          <w:p w14:paraId="1C0CD8AD"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677,365 </w:t>
            </w:r>
          </w:p>
        </w:tc>
        <w:tc>
          <w:tcPr>
            <w:tcW w:w="1095" w:type="dxa"/>
            <w:tcBorders>
              <w:top w:val="single" w:sz="4" w:space="0" w:color="000000"/>
              <w:left w:val="single" w:sz="4" w:space="0" w:color="000000"/>
              <w:bottom w:val="single" w:sz="4" w:space="0" w:color="000000"/>
              <w:right w:val="single" w:sz="4" w:space="0" w:color="000000"/>
            </w:tcBorders>
            <w:vAlign w:val="center"/>
            <w:hideMark/>
          </w:tcPr>
          <w:p w14:paraId="33E130AD" w14:textId="7FEB16E3" w:rsidR="007B69D6" w:rsidRPr="001C2B0B" w:rsidRDefault="007B69D6" w:rsidP="008504F2">
            <w:pPr>
              <w:tabs>
                <w:tab w:val="decimal" w:pos="454"/>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15.39 </w:t>
            </w:r>
          </w:p>
        </w:tc>
        <w:tc>
          <w:tcPr>
            <w:tcW w:w="1155" w:type="dxa"/>
            <w:tcBorders>
              <w:top w:val="single" w:sz="4" w:space="0" w:color="000000"/>
              <w:left w:val="single" w:sz="4" w:space="0" w:color="000000"/>
              <w:bottom w:val="single" w:sz="4" w:space="0" w:color="000000"/>
              <w:right w:val="single" w:sz="4" w:space="0" w:color="000000"/>
            </w:tcBorders>
            <w:vAlign w:val="center"/>
            <w:hideMark/>
          </w:tcPr>
          <w:p w14:paraId="61152FCB"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3,033,980 </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04D75B83" w14:textId="6152AF99" w:rsidR="007B69D6" w:rsidRPr="001C2B0B" w:rsidRDefault="007B69D6" w:rsidP="008504F2">
            <w:pPr>
              <w:tabs>
                <w:tab w:val="decimal" w:pos="470"/>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68.95 </w:t>
            </w:r>
          </w:p>
        </w:tc>
        <w:tc>
          <w:tcPr>
            <w:tcW w:w="1290" w:type="dxa"/>
            <w:tcBorders>
              <w:top w:val="single" w:sz="4" w:space="0" w:color="000000"/>
              <w:left w:val="single" w:sz="4" w:space="0" w:color="000000"/>
              <w:bottom w:val="single" w:sz="4" w:space="0" w:color="000000"/>
              <w:right w:val="single" w:sz="4" w:space="0" w:color="000000"/>
            </w:tcBorders>
            <w:vAlign w:val="center"/>
            <w:hideMark/>
          </w:tcPr>
          <w:p w14:paraId="54DE5F1F"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688,715 </w:t>
            </w:r>
          </w:p>
        </w:tc>
        <w:tc>
          <w:tcPr>
            <w:tcW w:w="986" w:type="dxa"/>
            <w:tcBorders>
              <w:top w:val="single" w:sz="4" w:space="0" w:color="000000"/>
              <w:left w:val="single" w:sz="4" w:space="0" w:color="000000"/>
              <w:bottom w:val="single" w:sz="4" w:space="0" w:color="000000"/>
              <w:right w:val="single" w:sz="4" w:space="0" w:color="000000"/>
            </w:tcBorders>
            <w:vAlign w:val="center"/>
            <w:hideMark/>
          </w:tcPr>
          <w:p w14:paraId="71F3FA61" w14:textId="505261DA" w:rsidR="007B69D6" w:rsidRPr="001C2B0B" w:rsidRDefault="007B69D6" w:rsidP="008504F2">
            <w:pPr>
              <w:tabs>
                <w:tab w:val="decimal" w:pos="399"/>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15.65 </w:t>
            </w:r>
          </w:p>
        </w:tc>
      </w:tr>
      <w:tr w:rsidR="007B69D6" w:rsidRPr="001C2B0B" w14:paraId="74079D37" w14:textId="77777777" w:rsidTr="003D2DE4">
        <w:trPr>
          <w:gridAfter w:val="1"/>
          <w:wAfter w:w="14" w:type="dxa"/>
          <w:jc w:val="center"/>
        </w:trPr>
        <w:tc>
          <w:tcPr>
            <w:tcW w:w="2831" w:type="dxa"/>
            <w:tcBorders>
              <w:top w:val="single" w:sz="4" w:space="0" w:color="000000"/>
              <w:left w:val="single" w:sz="4" w:space="0" w:color="000000"/>
              <w:bottom w:val="single" w:sz="4" w:space="0" w:color="000000"/>
              <w:right w:val="single" w:sz="4" w:space="0" w:color="000000"/>
            </w:tcBorders>
            <w:vAlign w:val="center"/>
            <w:hideMark/>
          </w:tcPr>
          <w:p w14:paraId="2908CAA0" w14:textId="77777777" w:rsidR="007B69D6" w:rsidRPr="001C2B0B" w:rsidRDefault="007B69D6" w:rsidP="001F1970">
            <w:pPr>
              <w:spacing w:before="100" w:beforeAutospacing="1" w:after="100" w:afterAutospacing="1"/>
              <w:rPr>
                <w:rFonts w:ascii="Arial" w:hAnsi="Arial" w:cs="Arial"/>
                <w:sz w:val="20"/>
                <w:szCs w:val="20"/>
                <w:lang w:val="en-GB"/>
              </w:rPr>
            </w:pPr>
            <w:r w:rsidRPr="001C2B0B">
              <w:rPr>
                <w:rFonts w:ascii="Arial" w:hAnsi="Arial" w:cs="Arial"/>
                <w:b/>
                <w:bCs/>
                <w:sz w:val="20"/>
                <w:szCs w:val="20"/>
                <w:lang w:val="en-GB"/>
              </w:rPr>
              <w:t xml:space="preserve">Yukon Territory </w:t>
            </w:r>
          </w:p>
        </w:tc>
        <w:tc>
          <w:tcPr>
            <w:tcW w:w="964" w:type="dxa"/>
            <w:tcBorders>
              <w:top w:val="single" w:sz="4" w:space="0" w:color="000000"/>
              <w:left w:val="single" w:sz="4" w:space="0" w:color="000000"/>
              <w:bottom w:val="single" w:sz="4" w:space="0" w:color="000000"/>
              <w:right w:val="single" w:sz="4" w:space="0" w:color="000000"/>
            </w:tcBorders>
            <w:vAlign w:val="center"/>
            <w:hideMark/>
          </w:tcPr>
          <w:p w14:paraId="51523118"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5,865 </w:t>
            </w:r>
          </w:p>
        </w:tc>
        <w:tc>
          <w:tcPr>
            <w:tcW w:w="1095" w:type="dxa"/>
            <w:tcBorders>
              <w:top w:val="single" w:sz="4" w:space="0" w:color="000000"/>
              <w:left w:val="single" w:sz="4" w:space="0" w:color="000000"/>
              <w:bottom w:val="single" w:sz="4" w:space="0" w:color="000000"/>
              <w:right w:val="single" w:sz="4" w:space="0" w:color="000000"/>
            </w:tcBorders>
            <w:vAlign w:val="center"/>
            <w:hideMark/>
          </w:tcPr>
          <w:p w14:paraId="59323ECF" w14:textId="78DA0B0E" w:rsidR="007B69D6" w:rsidRPr="001C2B0B" w:rsidRDefault="007B69D6" w:rsidP="008504F2">
            <w:pPr>
              <w:tabs>
                <w:tab w:val="decimal" w:pos="454"/>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17.30 </w:t>
            </w:r>
          </w:p>
        </w:tc>
        <w:tc>
          <w:tcPr>
            <w:tcW w:w="1155" w:type="dxa"/>
            <w:tcBorders>
              <w:top w:val="single" w:sz="4" w:space="0" w:color="000000"/>
              <w:left w:val="single" w:sz="4" w:space="0" w:color="000000"/>
              <w:bottom w:val="single" w:sz="4" w:space="0" w:color="000000"/>
              <w:right w:val="single" w:sz="4" w:space="0" w:color="000000"/>
            </w:tcBorders>
            <w:vAlign w:val="center"/>
            <w:hideMark/>
          </w:tcPr>
          <w:p w14:paraId="77A063E9"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24,940 </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5F25E43E" w14:textId="3C277ADE" w:rsidR="007B69D6" w:rsidRPr="001C2B0B" w:rsidRDefault="007B69D6" w:rsidP="008504F2">
            <w:pPr>
              <w:tabs>
                <w:tab w:val="decimal" w:pos="470"/>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73.57 </w:t>
            </w:r>
          </w:p>
        </w:tc>
        <w:tc>
          <w:tcPr>
            <w:tcW w:w="1290" w:type="dxa"/>
            <w:tcBorders>
              <w:top w:val="single" w:sz="4" w:space="0" w:color="000000"/>
              <w:left w:val="single" w:sz="4" w:space="0" w:color="000000"/>
              <w:bottom w:val="single" w:sz="4" w:space="0" w:color="000000"/>
              <w:right w:val="single" w:sz="4" w:space="0" w:color="000000"/>
            </w:tcBorders>
            <w:vAlign w:val="center"/>
            <w:hideMark/>
          </w:tcPr>
          <w:p w14:paraId="4BB20F71"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3,095 </w:t>
            </w:r>
          </w:p>
        </w:tc>
        <w:tc>
          <w:tcPr>
            <w:tcW w:w="986" w:type="dxa"/>
            <w:tcBorders>
              <w:top w:val="single" w:sz="4" w:space="0" w:color="000000"/>
              <w:left w:val="single" w:sz="4" w:space="0" w:color="000000"/>
              <w:bottom w:val="single" w:sz="4" w:space="0" w:color="000000"/>
              <w:right w:val="single" w:sz="4" w:space="0" w:color="000000"/>
            </w:tcBorders>
            <w:vAlign w:val="center"/>
            <w:hideMark/>
          </w:tcPr>
          <w:p w14:paraId="090731A1" w14:textId="0380B740" w:rsidR="007B69D6" w:rsidRPr="001C2B0B" w:rsidRDefault="007B69D6" w:rsidP="008504F2">
            <w:pPr>
              <w:tabs>
                <w:tab w:val="decimal" w:pos="399"/>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9.13 </w:t>
            </w:r>
          </w:p>
        </w:tc>
      </w:tr>
      <w:tr w:rsidR="007B69D6" w:rsidRPr="001C2B0B" w14:paraId="00A3349D" w14:textId="77777777" w:rsidTr="003D2DE4">
        <w:trPr>
          <w:gridAfter w:val="1"/>
          <w:wAfter w:w="14" w:type="dxa"/>
          <w:jc w:val="center"/>
        </w:trPr>
        <w:tc>
          <w:tcPr>
            <w:tcW w:w="2831" w:type="dxa"/>
            <w:tcBorders>
              <w:top w:val="single" w:sz="4" w:space="0" w:color="000000"/>
              <w:left w:val="single" w:sz="4" w:space="0" w:color="000000"/>
              <w:bottom w:val="single" w:sz="4" w:space="0" w:color="000000"/>
              <w:right w:val="single" w:sz="4" w:space="0" w:color="000000"/>
            </w:tcBorders>
            <w:vAlign w:val="center"/>
            <w:hideMark/>
          </w:tcPr>
          <w:p w14:paraId="63273BDE" w14:textId="77777777" w:rsidR="007B69D6" w:rsidRPr="001C2B0B" w:rsidRDefault="007B69D6" w:rsidP="001F1970">
            <w:pPr>
              <w:spacing w:before="100" w:beforeAutospacing="1" w:after="100" w:afterAutospacing="1"/>
              <w:rPr>
                <w:rFonts w:ascii="Arial" w:hAnsi="Arial" w:cs="Arial"/>
                <w:sz w:val="20"/>
                <w:szCs w:val="20"/>
                <w:lang w:val="en-GB"/>
              </w:rPr>
            </w:pPr>
            <w:r w:rsidRPr="001C2B0B">
              <w:rPr>
                <w:rFonts w:ascii="Arial" w:hAnsi="Arial" w:cs="Arial"/>
                <w:b/>
                <w:bCs/>
                <w:sz w:val="20"/>
                <w:szCs w:val="20"/>
                <w:lang w:val="en-GB"/>
              </w:rPr>
              <w:t xml:space="preserve">Northwest Territories </w:t>
            </w:r>
          </w:p>
        </w:tc>
        <w:tc>
          <w:tcPr>
            <w:tcW w:w="964" w:type="dxa"/>
            <w:tcBorders>
              <w:top w:val="single" w:sz="4" w:space="0" w:color="000000"/>
              <w:left w:val="single" w:sz="4" w:space="0" w:color="000000"/>
              <w:bottom w:val="single" w:sz="4" w:space="0" w:color="000000"/>
              <w:right w:val="single" w:sz="4" w:space="0" w:color="000000"/>
            </w:tcBorders>
            <w:vAlign w:val="center"/>
            <w:hideMark/>
          </w:tcPr>
          <w:p w14:paraId="73309B45"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9,010 </w:t>
            </w:r>
          </w:p>
        </w:tc>
        <w:tc>
          <w:tcPr>
            <w:tcW w:w="1095" w:type="dxa"/>
            <w:tcBorders>
              <w:top w:val="single" w:sz="4" w:space="0" w:color="000000"/>
              <w:left w:val="single" w:sz="4" w:space="0" w:color="000000"/>
              <w:bottom w:val="single" w:sz="4" w:space="0" w:color="000000"/>
              <w:right w:val="single" w:sz="4" w:space="0" w:color="000000"/>
            </w:tcBorders>
            <w:vAlign w:val="center"/>
            <w:hideMark/>
          </w:tcPr>
          <w:p w14:paraId="2AC1AE4A" w14:textId="5FE71D62" w:rsidR="007B69D6" w:rsidRPr="001C2B0B" w:rsidRDefault="007B69D6" w:rsidP="008504F2">
            <w:pPr>
              <w:tabs>
                <w:tab w:val="decimal" w:pos="454"/>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21.73 </w:t>
            </w:r>
          </w:p>
        </w:tc>
        <w:tc>
          <w:tcPr>
            <w:tcW w:w="1155" w:type="dxa"/>
            <w:tcBorders>
              <w:top w:val="single" w:sz="4" w:space="0" w:color="000000"/>
              <w:left w:val="single" w:sz="4" w:space="0" w:color="000000"/>
              <w:bottom w:val="single" w:sz="4" w:space="0" w:color="000000"/>
              <w:right w:val="single" w:sz="4" w:space="0" w:color="000000"/>
            </w:tcBorders>
            <w:vAlign w:val="center"/>
            <w:hideMark/>
          </w:tcPr>
          <w:p w14:paraId="6348090C"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30,055 </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5D900C17" w14:textId="51A15AE8" w:rsidR="007B69D6" w:rsidRPr="001C2B0B" w:rsidRDefault="007B69D6" w:rsidP="008504F2">
            <w:pPr>
              <w:tabs>
                <w:tab w:val="decimal" w:pos="470"/>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72.48 </w:t>
            </w:r>
          </w:p>
        </w:tc>
        <w:tc>
          <w:tcPr>
            <w:tcW w:w="1290" w:type="dxa"/>
            <w:tcBorders>
              <w:top w:val="single" w:sz="4" w:space="0" w:color="000000"/>
              <w:left w:val="single" w:sz="4" w:space="0" w:color="000000"/>
              <w:bottom w:val="single" w:sz="4" w:space="0" w:color="000000"/>
              <w:right w:val="single" w:sz="4" w:space="0" w:color="000000"/>
            </w:tcBorders>
            <w:vAlign w:val="center"/>
            <w:hideMark/>
          </w:tcPr>
          <w:p w14:paraId="7A2CBC6C" w14:textId="77777777" w:rsidR="007B69D6" w:rsidRPr="001C2B0B" w:rsidRDefault="007B69D6" w:rsidP="008468BE">
            <w:pPr>
              <w:spacing w:before="100" w:beforeAutospacing="1" w:after="100" w:afterAutospacing="1"/>
              <w:jc w:val="right"/>
              <w:rPr>
                <w:rFonts w:ascii="Arial" w:hAnsi="Arial" w:cs="Arial"/>
                <w:sz w:val="20"/>
                <w:szCs w:val="20"/>
                <w:lang w:val="en-GB"/>
              </w:rPr>
            </w:pPr>
            <w:r w:rsidRPr="001C2B0B">
              <w:rPr>
                <w:rFonts w:ascii="Arial" w:hAnsi="Arial" w:cs="Arial"/>
                <w:sz w:val="20"/>
                <w:szCs w:val="20"/>
                <w:lang w:val="en-GB"/>
              </w:rPr>
              <w:t xml:space="preserve">2,400 </w:t>
            </w:r>
          </w:p>
        </w:tc>
        <w:tc>
          <w:tcPr>
            <w:tcW w:w="986" w:type="dxa"/>
            <w:tcBorders>
              <w:top w:val="single" w:sz="4" w:space="0" w:color="000000"/>
              <w:left w:val="single" w:sz="4" w:space="0" w:color="000000"/>
              <w:bottom w:val="single" w:sz="4" w:space="0" w:color="000000"/>
              <w:right w:val="single" w:sz="4" w:space="0" w:color="000000"/>
            </w:tcBorders>
            <w:vAlign w:val="center"/>
            <w:hideMark/>
          </w:tcPr>
          <w:p w14:paraId="214574EC" w14:textId="7C02B790" w:rsidR="007B69D6" w:rsidRPr="001C2B0B" w:rsidRDefault="007B69D6" w:rsidP="008504F2">
            <w:pPr>
              <w:tabs>
                <w:tab w:val="decimal" w:pos="399"/>
              </w:tabs>
              <w:spacing w:before="100" w:beforeAutospacing="1" w:after="100" w:afterAutospacing="1"/>
              <w:rPr>
                <w:rFonts w:ascii="Arial" w:hAnsi="Arial" w:cs="Arial"/>
                <w:sz w:val="20"/>
                <w:szCs w:val="20"/>
                <w:lang w:val="en-GB"/>
              </w:rPr>
            </w:pPr>
            <w:r w:rsidRPr="001C2B0B">
              <w:rPr>
                <w:rFonts w:ascii="Arial" w:hAnsi="Arial" w:cs="Arial"/>
                <w:sz w:val="20"/>
                <w:szCs w:val="20"/>
                <w:lang w:val="en-GB"/>
              </w:rPr>
              <w:t xml:space="preserve">5.79 </w:t>
            </w:r>
          </w:p>
        </w:tc>
      </w:tr>
      <w:tr w:rsidR="007B69D6" w:rsidRPr="001C2B0B" w14:paraId="70E7F015" w14:textId="77777777" w:rsidTr="003D2DE4">
        <w:trPr>
          <w:gridAfter w:val="1"/>
          <w:wAfter w:w="14" w:type="dxa"/>
          <w:jc w:val="center"/>
        </w:trPr>
        <w:tc>
          <w:tcPr>
            <w:tcW w:w="2831" w:type="dxa"/>
            <w:tcBorders>
              <w:top w:val="single" w:sz="4" w:space="0" w:color="000000"/>
              <w:left w:val="single" w:sz="4" w:space="0" w:color="000000"/>
              <w:bottom w:val="single" w:sz="4" w:space="0" w:color="000000"/>
              <w:right w:val="single" w:sz="4" w:space="0" w:color="000000"/>
            </w:tcBorders>
            <w:vAlign w:val="center"/>
            <w:hideMark/>
          </w:tcPr>
          <w:p w14:paraId="10262B54" w14:textId="77777777" w:rsidR="007B69D6" w:rsidRPr="001C2B0B" w:rsidRDefault="007B69D6" w:rsidP="001F1970">
            <w:pPr>
              <w:spacing w:before="100" w:beforeAutospacing="1" w:after="100" w:afterAutospacing="1"/>
              <w:rPr>
                <w:rFonts w:ascii="Arial" w:hAnsi="Arial" w:cs="Arial"/>
                <w:sz w:val="20"/>
                <w:szCs w:val="20"/>
                <w:lang w:val="en-GB"/>
              </w:rPr>
            </w:pPr>
            <w:r w:rsidRPr="001C2B0B">
              <w:rPr>
                <w:rFonts w:ascii="Arial" w:hAnsi="Arial" w:cs="Arial"/>
                <w:b/>
                <w:bCs/>
                <w:sz w:val="20"/>
                <w:szCs w:val="20"/>
                <w:lang w:val="en-GB"/>
              </w:rPr>
              <w:t xml:space="preserve">Nunavut </w:t>
            </w:r>
          </w:p>
        </w:tc>
        <w:tc>
          <w:tcPr>
            <w:tcW w:w="964" w:type="dxa"/>
            <w:tcBorders>
              <w:top w:val="single" w:sz="4" w:space="0" w:color="000000"/>
              <w:left w:val="single" w:sz="4" w:space="0" w:color="000000"/>
              <w:bottom w:val="single" w:sz="4" w:space="0" w:color="000000"/>
              <w:right w:val="single" w:sz="4" w:space="0" w:color="000000"/>
            </w:tcBorders>
            <w:vAlign w:val="center"/>
            <w:hideMark/>
          </w:tcPr>
          <w:p w14:paraId="2358E326" w14:textId="77777777" w:rsidR="007B69D6" w:rsidRPr="001C2B0B" w:rsidRDefault="007B69D6" w:rsidP="008468BE">
            <w:pPr>
              <w:jc w:val="right"/>
              <w:rPr>
                <w:rFonts w:ascii="Arial" w:hAnsi="Arial" w:cs="Arial"/>
                <w:sz w:val="20"/>
                <w:szCs w:val="20"/>
                <w:lang w:val="en-GB"/>
              </w:rPr>
            </w:pPr>
            <w:r w:rsidRPr="001C2B0B">
              <w:rPr>
                <w:rFonts w:ascii="Arial" w:hAnsi="Arial" w:cs="Arial"/>
                <w:sz w:val="20"/>
                <w:szCs w:val="20"/>
                <w:lang w:val="en-GB"/>
              </w:rPr>
              <w:t>10,425</w:t>
            </w:r>
          </w:p>
        </w:tc>
        <w:tc>
          <w:tcPr>
            <w:tcW w:w="1095" w:type="dxa"/>
            <w:tcBorders>
              <w:top w:val="single" w:sz="4" w:space="0" w:color="000000"/>
              <w:left w:val="single" w:sz="4" w:space="0" w:color="000000"/>
              <w:bottom w:val="single" w:sz="4" w:space="0" w:color="000000"/>
              <w:right w:val="single" w:sz="4" w:space="0" w:color="000000"/>
            </w:tcBorders>
            <w:vAlign w:val="center"/>
            <w:hideMark/>
          </w:tcPr>
          <w:p w14:paraId="240EFF89" w14:textId="405F17D6" w:rsidR="007B69D6" w:rsidRPr="001C2B0B" w:rsidRDefault="007B69D6" w:rsidP="008504F2">
            <w:pPr>
              <w:tabs>
                <w:tab w:val="decimal" w:pos="454"/>
              </w:tabs>
              <w:rPr>
                <w:rFonts w:ascii="Arial" w:hAnsi="Arial" w:cs="Arial"/>
                <w:sz w:val="20"/>
                <w:szCs w:val="20"/>
                <w:lang w:val="en-GB"/>
              </w:rPr>
            </w:pPr>
            <w:r w:rsidRPr="001C2B0B">
              <w:rPr>
                <w:rFonts w:ascii="Arial" w:hAnsi="Arial" w:cs="Arial"/>
                <w:sz w:val="20"/>
                <w:szCs w:val="20"/>
                <w:lang w:val="en-GB"/>
              </w:rPr>
              <w:t>42.67</w:t>
            </w:r>
          </w:p>
        </w:tc>
        <w:tc>
          <w:tcPr>
            <w:tcW w:w="1155" w:type="dxa"/>
            <w:tcBorders>
              <w:top w:val="single" w:sz="4" w:space="0" w:color="000000"/>
              <w:left w:val="single" w:sz="4" w:space="0" w:color="000000"/>
              <w:bottom w:val="single" w:sz="4" w:space="0" w:color="000000"/>
              <w:right w:val="single" w:sz="4" w:space="0" w:color="000000"/>
            </w:tcBorders>
            <w:vAlign w:val="center"/>
            <w:hideMark/>
          </w:tcPr>
          <w:p w14:paraId="6E6DFAFA" w14:textId="32E9C168" w:rsidR="007B69D6" w:rsidRPr="001C2B0B" w:rsidRDefault="007B69D6" w:rsidP="008468BE">
            <w:pPr>
              <w:jc w:val="right"/>
              <w:rPr>
                <w:rFonts w:ascii="Arial" w:hAnsi="Arial" w:cs="Arial"/>
                <w:sz w:val="20"/>
                <w:szCs w:val="20"/>
                <w:lang w:val="en-GB"/>
              </w:rPr>
            </w:pPr>
            <w:r w:rsidRPr="001C2B0B">
              <w:rPr>
                <w:rFonts w:ascii="Arial" w:hAnsi="Arial" w:cs="Arial"/>
                <w:sz w:val="20"/>
                <w:szCs w:val="20"/>
                <w:lang w:val="en-GB"/>
              </w:rPr>
              <w:t>20</w:t>
            </w:r>
            <w:r w:rsidR="003D2DE4">
              <w:rPr>
                <w:rFonts w:ascii="Arial" w:hAnsi="Arial" w:cs="Arial"/>
                <w:sz w:val="20"/>
                <w:szCs w:val="20"/>
                <w:lang w:val="en-GB"/>
              </w:rPr>
              <w:t>,</w:t>
            </w:r>
            <w:r w:rsidRPr="001C2B0B">
              <w:rPr>
                <w:rFonts w:ascii="Arial" w:hAnsi="Arial" w:cs="Arial"/>
                <w:sz w:val="20"/>
                <w:szCs w:val="20"/>
                <w:lang w:val="en-GB"/>
              </w:rPr>
              <w:t>420</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0C4246F7" w14:textId="36296254" w:rsidR="007B69D6" w:rsidRPr="001C2B0B" w:rsidRDefault="007B69D6" w:rsidP="008504F2">
            <w:pPr>
              <w:tabs>
                <w:tab w:val="decimal" w:pos="470"/>
              </w:tabs>
              <w:rPr>
                <w:rFonts w:ascii="Arial" w:hAnsi="Arial" w:cs="Arial"/>
                <w:sz w:val="20"/>
                <w:szCs w:val="20"/>
                <w:lang w:val="en-GB"/>
              </w:rPr>
            </w:pPr>
            <w:r w:rsidRPr="001C2B0B">
              <w:rPr>
                <w:rFonts w:ascii="Arial" w:hAnsi="Arial" w:cs="Arial"/>
                <w:sz w:val="20"/>
                <w:szCs w:val="20"/>
                <w:lang w:val="en-GB"/>
              </w:rPr>
              <w:t>63.99</w:t>
            </w:r>
          </w:p>
        </w:tc>
        <w:tc>
          <w:tcPr>
            <w:tcW w:w="1290" w:type="dxa"/>
            <w:tcBorders>
              <w:top w:val="single" w:sz="4" w:space="0" w:color="000000"/>
              <w:left w:val="single" w:sz="4" w:space="0" w:color="000000"/>
              <w:bottom w:val="single" w:sz="4" w:space="0" w:color="000000"/>
              <w:right w:val="single" w:sz="4" w:space="0" w:color="000000"/>
            </w:tcBorders>
            <w:vAlign w:val="center"/>
            <w:hideMark/>
          </w:tcPr>
          <w:p w14:paraId="65A93072" w14:textId="5505FB35" w:rsidR="007B69D6" w:rsidRPr="001C2B0B" w:rsidRDefault="007B69D6" w:rsidP="008468BE">
            <w:pPr>
              <w:jc w:val="right"/>
              <w:rPr>
                <w:rFonts w:ascii="Arial" w:hAnsi="Arial" w:cs="Arial"/>
                <w:sz w:val="20"/>
                <w:szCs w:val="20"/>
                <w:lang w:val="en-GB"/>
              </w:rPr>
            </w:pPr>
            <w:r w:rsidRPr="001C2B0B">
              <w:rPr>
                <w:rFonts w:ascii="Arial" w:hAnsi="Arial" w:cs="Arial"/>
                <w:sz w:val="20"/>
                <w:szCs w:val="20"/>
                <w:lang w:val="en-GB"/>
              </w:rPr>
              <w:t>1</w:t>
            </w:r>
            <w:r w:rsidR="00EC47FE" w:rsidRPr="001C2B0B">
              <w:rPr>
                <w:rFonts w:ascii="Arial" w:hAnsi="Arial" w:cs="Arial"/>
                <w:sz w:val="20"/>
                <w:szCs w:val="20"/>
                <w:lang w:val="en-GB"/>
              </w:rPr>
              <w:t>,</w:t>
            </w:r>
            <w:r w:rsidRPr="001C2B0B">
              <w:rPr>
                <w:rFonts w:ascii="Arial" w:hAnsi="Arial" w:cs="Arial"/>
                <w:sz w:val="20"/>
                <w:szCs w:val="20"/>
                <w:lang w:val="en-GB"/>
              </w:rPr>
              <w:t>060</w:t>
            </w:r>
          </w:p>
        </w:tc>
        <w:tc>
          <w:tcPr>
            <w:tcW w:w="986" w:type="dxa"/>
            <w:tcBorders>
              <w:top w:val="single" w:sz="4" w:space="0" w:color="000000"/>
              <w:left w:val="single" w:sz="4" w:space="0" w:color="000000"/>
              <w:bottom w:val="single" w:sz="4" w:space="0" w:color="000000"/>
              <w:right w:val="single" w:sz="4" w:space="0" w:color="000000"/>
            </w:tcBorders>
            <w:vAlign w:val="center"/>
            <w:hideMark/>
          </w:tcPr>
          <w:p w14:paraId="26B46087" w14:textId="0F48FAB0" w:rsidR="007B69D6" w:rsidRPr="001C2B0B" w:rsidRDefault="007B69D6" w:rsidP="008504F2">
            <w:pPr>
              <w:tabs>
                <w:tab w:val="decimal" w:pos="399"/>
              </w:tabs>
              <w:rPr>
                <w:rFonts w:ascii="Arial" w:hAnsi="Arial" w:cs="Arial"/>
                <w:sz w:val="20"/>
                <w:szCs w:val="20"/>
                <w:lang w:val="en-GB"/>
              </w:rPr>
            </w:pPr>
            <w:r w:rsidRPr="001C2B0B">
              <w:rPr>
                <w:rFonts w:ascii="Arial" w:hAnsi="Arial" w:cs="Arial"/>
                <w:sz w:val="20"/>
                <w:szCs w:val="20"/>
                <w:lang w:val="en-GB"/>
              </w:rPr>
              <w:t>3.32</w:t>
            </w:r>
          </w:p>
        </w:tc>
      </w:tr>
    </w:tbl>
    <w:p w14:paraId="2898EEEC" w14:textId="77777777" w:rsidR="003F3051" w:rsidRDefault="003F3051" w:rsidP="00762872">
      <w:pPr>
        <w:pStyle w:val="FootnoteText1"/>
      </w:pPr>
    </w:p>
    <w:p w14:paraId="409F4905" w14:textId="5BCEC57E" w:rsidR="001F1970" w:rsidRPr="009577CF" w:rsidRDefault="001220F6" w:rsidP="00762872">
      <w:pPr>
        <w:pStyle w:val="FootnoteText1"/>
        <w:rPr>
          <w:lang w:val="en-GB"/>
        </w:rPr>
      </w:pPr>
      <w:r w:rsidRPr="008468BE">
        <w:t>Source:</w:t>
      </w:r>
      <w:r w:rsidR="00762872" w:rsidRPr="00762872">
        <w:t xml:space="preserve"> </w:t>
      </w:r>
      <w:r w:rsidR="00762872">
        <w:t>“</w:t>
      </w:r>
      <w:r w:rsidR="00762872" w:rsidRPr="008468BE">
        <w:t>Saskatchewan Population by Age and Sex Report</w:t>
      </w:r>
      <w:r w:rsidR="00762872">
        <w:t xml:space="preserve">: </w:t>
      </w:r>
      <w:r w:rsidR="00762872" w:rsidRPr="008468BE">
        <w:t>2011 Census of Canada</w:t>
      </w:r>
      <w:r w:rsidR="00762872">
        <w:t>,” May 29</w:t>
      </w:r>
      <w:r w:rsidR="00075E14">
        <w:t>,</w:t>
      </w:r>
      <w:r w:rsidR="00762872">
        <w:t xml:space="preserve"> 2011, accessed </w:t>
      </w:r>
      <w:r w:rsidR="006851D7" w:rsidRPr="00BD2109">
        <w:t>October</w:t>
      </w:r>
      <w:r w:rsidR="00762872" w:rsidRPr="00BD2109">
        <w:t xml:space="preserve"> </w:t>
      </w:r>
      <w:r w:rsidR="006851D7" w:rsidRPr="00BD2109">
        <w:t>7, 2016</w:t>
      </w:r>
      <w:r w:rsidR="00762872" w:rsidRPr="00BD2109">
        <w:t>, www.stats.gov.sk.ca/stats/pop/2011AgeSex.pdf.</w:t>
      </w:r>
    </w:p>
    <w:p w14:paraId="44FD5EDB" w14:textId="77777777" w:rsidR="001F1970" w:rsidRPr="009577CF" w:rsidRDefault="001F1970" w:rsidP="001220F6">
      <w:pPr>
        <w:pStyle w:val="BodyText"/>
        <w:rPr>
          <w:lang w:val="en-GB"/>
        </w:rPr>
      </w:pPr>
    </w:p>
    <w:p w14:paraId="472CDFB5" w14:textId="77777777" w:rsidR="001F1970" w:rsidRPr="009577CF" w:rsidRDefault="001F1970" w:rsidP="001220F6">
      <w:pPr>
        <w:pStyle w:val="BodyText"/>
        <w:rPr>
          <w:lang w:val="en-GB"/>
        </w:rPr>
      </w:pPr>
    </w:p>
    <w:p w14:paraId="6940A390" w14:textId="77969649" w:rsidR="001F1970" w:rsidRPr="009577CF" w:rsidRDefault="001F1970" w:rsidP="001220F6">
      <w:pPr>
        <w:pStyle w:val="BodyText"/>
        <w:rPr>
          <w:lang w:val="en-GB"/>
        </w:rPr>
      </w:pPr>
    </w:p>
    <w:sectPr w:rsidR="001F1970" w:rsidRPr="009577CF" w:rsidSect="009936ED">
      <w:footerReference w:type="even" r:id="rId18"/>
      <w:footerReference w:type="default" r:id="rId19"/>
      <w:type w:val="continuous"/>
      <w:pgSz w:w="12240" w:h="15840"/>
      <w:pgMar w:top="1440" w:right="1440" w:bottom="1440" w:left="1440" w:header="108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B4970D" w14:textId="77777777" w:rsidR="00CC1F67" w:rsidRDefault="00CC1F67">
      <w:r>
        <w:separator/>
      </w:r>
    </w:p>
  </w:endnote>
  <w:endnote w:type="continuationSeparator" w:id="0">
    <w:p w14:paraId="12300696" w14:textId="77777777" w:rsidR="00CC1F67" w:rsidRDefault="00CC1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1B2B0" w14:textId="77777777" w:rsidR="00A62ECB" w:rsidRDefault="00A62ECB" w:rsidP="001F197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70DFE1" w14:textId="77777777" w:rsidR="00A62ECB" w:rsidRDefault="00A62ECB" w:rsidP="001F197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9DBF2" w14:textId="77777777" w:rsidR="00A62ECB" w:rsidRDefault="00A62ECB" w:rsidP="001F197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697114" w14:textId="77777777" w:rsidR="00CC1F67" w:rsidRDefault="00CC1F67">
      <w:r>
        <w:separator/>
      </w:r>
    </w:p>
  </w:footnote>
  <w:footnote w:type="continuationSeparator" w:id="0">
    <w:p w14:paraId="142DA9BB" w14:textId="77777777" w:rsidR="00CC1F67" w:rsidRDefault="00CC1F67">
      <w:r>
        <w:continuationSeparator/>
      </w:r>
    </w:p>
  </w:footnote>
  <w:footnote w:id="1">
    <w:p w14:paraId="5735745F" w14:textId="06E1DF4D" w:rsidR="00A62ECB" w:rsidRPr="008468BE" w:rsidRDefault="00A62ECB">
      <w:pPr>
        <w:pStyle w:val="FootnoteText"/>
        <w:rPr>
          <w:rFonts w:ascii="Arial" w:hAnsi="Arial" w:cs="Arial"/>
          <w:sz w:val="17"/>
          <w:szCs w:val="17"/>
        </w:rPr>
      </w:pPr>
      <w:r w:rsidRPr="008468BE">
        <w:rPr>
          <w:rStyle w:val="FootnoteReference"/>
          <w:rFonts w:ascii="Arial" w:hAnsi="Arial" w:cs="Arial"/>
          <w:sz w:val="17"/>
          <w:szCs w:val="17"/>
        </w:rPr>
        <w:footnoteRef/>
      </w:r>
      <w:r w:rsidRPr="008468BE">
        <w:rPr>
          <w:rFonts w:ascii="Arial" w:hAnsi="Arial" w:cs="Arial"/>
          <w:sz w:val="17"/>
          <w:szCs w:val="17"/>
        </w:rPr>
        <w:t xml:space="preserve"> </w:t>
      </w:r>
      <w:r>
        <w:rPr>
          <w:rFonts w:ascii="Arial" w:hAnsi="Arial" w:cs="Arial"/>
          <w:sz w:val="17"/>
          <w:szCs w:val="17"/>
        </w:rPr>
        <w:t>All currency amounts are in Canadian dollars unless otherwise indicated.</w:t>
      </w:r>
    </w:p>
  </w:footnote>
  <w:footnote w:id="2">
    <w:p w14:paraId="3DCE25BB" w14:textId="61E9EE36" w:rsidR="00A62ECB" w:rsidRPr="005155C2" w:rsidRDefault="00A62ECB" w:rsidP="008468BE">
      <w:pPr>
        <w:pStyle w:val="FootnoteText"/>
        <w:jc w:val="both"/>
        <w:rPr>
          <w:rFonts w:ascii="Arial" w:hAnsi="Arial" w:cs="Arial"/>
          <w:sz w:val="17"/>
          <w:szCs w:val="17"/>
          <w:lang w:val="en-CA"/>
        </w:rPr>
      </w:pPr>
      <w:r w:rsidRPr="008468BE">
        <w:rPr>
          <w:rStyle w:val="FootnoteReference"/>
          <w:rFonts w:ascii="Arial" w:hAnsi="Arial" w:cs="Arial"/>
          <w:sz w:val="17"/>
          <w:szCs w:val="17"/>
        </w:rPr>
        <w:footnoteRef/>
      </w:r>
      <w:r w:rsidRPr="008468BE">
        <w:rPr>
          <w:rFonts w:ascii="Arial" w:hAnsi="Arial" w:cs="Arial"/>
          <w:sz w:val="17"/>
          <w:szCs w:val="17"/>
        </w:rPr>
        <w:t xml:space="preserve"> </w:t>
      </w:r>
      <w:r w:rsidRPr="008468BE">
        <w:rPr>
          <w:rFonts w:ascii="Arial" w:hAnsi="Arial" w:cs="Arial"/>
          <w:sz w:val="17"/>
          <w:szCs w:val="17"/>
          <w:lang w:val="en-CA"/>
        </w:rPr>
        <w:t>Linda Dauriz, Nathalie Remy, and Thomas Tochtermann</w:t>
      </w:r>
      <w:r>
        <w:rPr>
          <w:rFonts w:ascii="Arial" w:hAnsi="Arial" w:cs="Arial"/>
          <w:sz w:val="17"/>
          <w:szCs w:val="17"/>
          <w:lang w:val="en-CA"/>
        </w:rPr>
        <w:t xml:space="preserve">, “A Multi-Faceted Future: The Jewelry Industry in 2020,” </w:t>
      </w:r>
      <w:r w:rsidRPr="008468BE">
        <w:rPr>
          <w:rFonts w:ascii="Arial" w:hAnsi="Arial" w:cs="Arial"/>
          <w:i/>
          <w:sz w:val="17"/>
          <w:szCs w:val="17"/>
          <w:lang w:val="en-CA"/>
        </w:rPr>
        <w:t>McKinsey Insights</w:t>
      </w:r>
      <w:r>
        <w:rPr>
          <w:rFonts w:ascii="Arial" w:hAnsi="Arial" w:cs="Arial"/>
          <w:sz w:val="17"/>
          <w:szCs w:val="17"/>
          <w:lang w:val="en-CA"/>
        </w:rPr>
        <w:t>, February 2014, access</w:t>
      </w:r>
      <w:r w:rsidRPr="00BD2109">
        <w:rPr>
          <w:rFonts w:ascii="Arial" w:hAnsi="Arial" w:cs="Arial"/>
          <w:sz w:val="17"/>
          <w:szCs w:val="17"/>
          <w:lang w:val="en-CA"/>
        </w:rPr>
        <w:t>ed October 4, 2016, www.mckinsey.com/industries/retail/our-insights/a-multifaceted-future-the-jewelry-industry-in-2020.</w:t>
      </w:r>
    </w:p>
  </w:footnote>
  <w:footnote w:id="3">
    <w:p w14:paraId="288A3F17" w14:textId="721A57B9" w:rsidR="00A62ECB" w:rsidRPr="00BD2109" w:rsidRDefault="00A62ECB" w:rsidP="008468BE">
      <w:pPr>
        <w:pStyle w:val="FootnoteText"/>
        <w:jc w:val="both"/>
        <w:rPr>
          <w:rFonts w:ascii="Arial" w:hAnsi="Arial" w:cs="Arial"/>
          <w:sz w:val="17"/>
          <w:szCs w:val="17"/>
          <w:lang w:val="en-CA"/>
        </w:rPr>
      </w:pPr>
      <w:r w:rsidRPr="00BD2109">
        <w:rPr>
          <w:rStyle w:val="FootnoteReference"/>
          <w:rFonts w:ascii="Arial" w:hAnsi="Arial" w:cs="Arial"/>
          <w:sz w:val="17"/>
          <w:szCs w:val="17"/>
        </w:rPr>
        <w:footnoteRef/>
      </w:r>
      <w:r w:rsidRPr="00BD2109">
        <w:rPr>
          <w:rFonts w:ascii="Arial" w:hAnsi="Arial" w:cs="Arial"/>
          <w:sz w:val="17"/>
          <w:szCs w:val="17"/>
        </w:rPr>
        <w:t xml:space="preserve"> Claudia D’Arpizio, Federica Levato, Daniele Zito, and Joëlle De Montgolfier, </w:t>
      </w:r>
      <w:r w:rsidRPr="00BD2109">
        <w:rPr>
          <w:rFonts w:ascii="Arial" w:hAnsi="Arial" w:cs="Arial"/>
          <w:i/>
          <w:sz w:val="17"/>
          <w:szCs w:val="17"/>
        </w:rPr>
        <w:t>Luxury Goods Worldwide Market Study: A Time to Act; How Luxury Brands Can Rebuild to Win</w:t>
      </w:r>
      <w:r w:rsidRPr="00BD2109">
        <w:rPr>
          <w:rFonts w:ascii="Arial" w:hAnsi="Arial" w:cs="Arial"/>
          <w:sz w:val="17"/>
          <w:szCs w:val="17"/>
        </w:rPr>
        <w:t xml:space="preserve">, fall–winter 2015, 2, accessed October 4, 2016, </w:t>
      </w:r>
      <w:r w:rsidRPr="00BD2109">
        <w:rPr>
          <w:rFonts w:ascii="Arial" w:hAnsi="Arial" w:cs="Arial"/>
          <w:sz w:val="17"/>
          <w:szCs w:val="17"/>
          <w:lang w:val="en-CA"/>
        </w:rPr>
        <w:t>www.bain.com/Images/BAIN_REPORT_Global_Luxury_2015.pdf.</w:t>
      </w:r>
    </w:p>
  </w:footnote>
  <w:footnote w:id="4">
    <w:p w14:paraId="5AA32C1F" w14:textId="219FA348" w:rsidR="00A62ECB" w:rsidRPr="008468BE" w:rsidRDefault="00A62ECB" w:rsidP="008468BE">
      <w:pPr>
        <w:pStyle w:val="FootnoteText"/>
        <w:jc w:val="both"/>
        <w:rPr>
          <w:rFonts w:ascii="Arial" w:hAnsi="Arial" w:cs="Arial"/>
          <w:sz w:val="17"/>
          <w:szCs w:val="17"/>
          <w:lang w:val="en-CA"/>
        </w:rPr>
      </w:pPr>
      <w:r w:rsidRPr="00BD2109">
        <w:rPr>
          <w:rStyle w:val="FootnoteReference"/>
          <w:rFonts w:ascii="Arial" w:hAnsi="Arial" w:cs="Arial"/>
          <w:sz w:val="17"/>
          <w:szCs w:val="17"/>
        </w:rPr>
        <w:footnoteRef/>
      </w:r>
      <w:r w:rsidRPr="00BD2109">
        <w:rPr>
          <w:rFonts w:ascii="Arial" w:hAnsi="Arial" w:cs="Arial"/>
          <w:sz w:val="17"/>
          <w:szCs w:val="17"/>
        </w:rPr>
        <w:t xml:space="preserve"> </w:t>
      </w:r>
      <w:r w:rsidRPr="00BD2109">
        <w:rPr>
          <w:rFonts w:ascii="Arial" w:hAnsi="Arial" w:cs="Arial"/>
          <w:sz w:val="17"/>
          <w:szCs w:val="17"/>
          <w:lang w:val="en-CA"/>
        </w:rPr>
        <w:t xml:space="preserve">Dauriz, Remy, and Tochtermann, </w:t>
      </w:r>
      <w:r w:rsidR="002411EC">
        <w:rPr>
          <w:rFonts w:ascii="Arial" w:hAnsi="Arial" w:cs="Arial"/>
          <w:sz w:val="17"/>
          <w:szCs w:val="17"/>
          <w:lang w:val="en-CA"/>
        </w:rPr>
        <w:t>op. cit</w:t>
      </w:r>
      <w:r w:rsidRPr="008468BE">
        <w:rPr>
          <w:rFonts w:ascii="Arial" w:hAnsi="Arial" w:cs="Arial"/>
          <w:sz w:val="17"/>
          <w:szCs w:val="17"/>
          <w:lang w:val="en-CA"/>
        </w:rPr>
        <w:t>.</w:t>
      </w:r>
    </w:p>
  </w:footnote>
  <w:footnote w:id="5">
    <w:p w14:paraId="40E08823" w14:textId="1F92E863" w:rsidR="00A62ECB" w:rsidRPr="003D0521" w:rsidRDefault="00A62ECB" w:rsidP="008468BE">
      <w:pPr>
        <w:pStyle w:val="FootnoteText1"/>
        <w:rPr>
          <w:lang w:val="en-CA"/>
        </w:rPr>
      </w:pPr>
      <w:r w:rsidRPr="008468BE">
        <w:rPr>
          <w:rStyle w:val="FootnoteReference"/>
          <w:rFonts w:cs="Arial"/>
          <w:szCs w:val="17"/>
        </w:rPr>
        <w:footnoteRef/>
      </w:r>
      <w:r w:rsidRPr="008468BE">
        <w:rPr>
          <w:rFonts w:cs="Arial"/>
          <w:szCs w:val="17"/>
        </w:rPr>
        <w:t xml:space="preserve"> </w:t>
      </w:r>
      <w:r w:rsidR="0084424F">
        <w:rPr>
          <w:rFonts w:cs="Arial"/>
          <w:szCs w:val="17"/>
          <w:lang w:val="en-CA"/>
        </w:rPr>
        <w:t>Ibid</w:t>
      </w:r>
      <w:r>
        <w:rPr>
          <w:rFonts w:cs="Arial"/>
          <w:szCs w:val="17"/>
          <w:lang w:val="en-C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D8D04" w14:textId="1CFFADE9" w:rsidR="00A62ECB" w:rsidRPr="00BD2109" w:rsidRDefault="00A62ECB" w:rsidP="00CB4093">
    <w:pPr>
      <w:pBdr>
        <w:bottom w:val="single" w:sz="18" w:space="1" w:color="auto"/>
      </w:pBdr>
      <w:tabs>
        <w:tab w:val="left" w:pos="-1440"/>
        <w:tab w:val="left" w:pos="-720"/>
        <w:tab w:val="right" w:pos="9360"/>
        <w:tab w:val="right" w:pos="10800"/>
      </w:tabs>
      <w:rPr>
        <w:rFonts w:ascii="Arial" w:hAnsi="Arial"/>
        <w:sz w:val="20"/>
        <w:szCs w:val="20"/>
      </w:rPr>
    </w:pPr>
    <w:r w:rsidRPr="00BD2109">
      <w:rPr>
        <w:rFonts w:ascii="Arial" w:hAnsi="Arial"/>
        <w:b/>
        <w:sz w:val="20"/>
        <w:szCs w:val="20"/>
      </w:rPr>
      <w:t xml:space="preserve">Page </w:t>
    </w:r>
    <w:r w:rsidRPr="00BD2109">
      <w:rPr>
        <w:rFonts w:ascii="Arial" w:hAnsi="Arial"/>
        <w:b/>
        <w:sz w:val="20"/>
        <w:szCs w:val="20"/>
      </w:rPr>
      <w:fldChar w:fldCharType="begin"/>
    </w:r>
    <w:r w:rsidRPr="00BD2109">
      <w:rPr>
        <w:rFonts w:ascii="Arial" w:hAnsi="Arial"/>
        <w:b/>
        <w:sz w:val="20"/>
        <w:szCs w:val="20"/>
      </w:rPr>
      <w:instrText>PAGE</w:instrText>
    </w:r>
    <w:r w:rsidRPr="00BD2109">
      <w:rPr>
        <w:rFonts w:ascii="Arial" w:hAnsi="Arial"/>
        <w:b/>
        <w:sz w:val="20"/>
        <w:szCs w:val="20"/>
      </w:rPr>
      <w:fldChar w:fldCharType="separate"/>
    </w:r>
    <w:r w:rsidR="00BA4AB7">
      <w:rPr>
        <w:rFonts w:ascii="Arial" w:hAnsi="Arial"/>
        <w:b/>
        <w:noProof/>
        <w:sz w:val="20"/>
        <w:szCs w:val="20"/>
      </w:rPr>
      <w:t>8</w:t>
    </w:r>
    <w:r w:rsidRPr="00BD2109">
      <w:rPr>
        <w:rFonts w:ascii="Arial" w:hAnsi="Arial"/>
        <w:b/>
        <w:sz w:val="20"/>
        <w:szCs w:val="20"/>
      </w:rPr>
      <w:fldChar w:fldCharType="end"/>
    </w:r>
    <w:r w:rsidRPr="00BD2109">
      <w:rPr>
        <w:rFonts w:ascii="Arial" w:hAnsi="Arial"/>
        <w:b/>
        <w:sz w:val="20"/>
        <w:szCs w:val="20"/>
      </w:rPr>
      <w:tab/>
    </w:r>
    <w:r w:rsidR="005155C2">
      <w:rPr>
        <w:rFonts w:ascii="Arial" w:hAnsi="Arial"/>
        <w:b/>
        <w:sz w:val="20"/>
        <w:szCs w:val="20"/>
      </w:rPr>
      <w:t>9B17M040</w:t>
    </w:r>
  </w:p>
  <w:p w14:paraId="12A7ACE5" w14:textId="77777777" w:rsidR="00A62ECB" w:rsidRPr="005155C2" w:rsidRDefault="00A62ECB"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sz w:val="18"/>
        <w:szCs w:val="18"/>
      </w:rPr>
    </w:pPr>
  </w:p>
  <w:p w14:paraId="45A089E2" w14:textId="77777777" w:rsidR="00A62ECB" w:rsidRPr="005155C2" w:rsidRDefault="00A62ECB"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28015901"/>
    <w:multiLevelType w:val="hybridMultilevel"/>
    <w:tmpl w:val="722433B0"/>
    <w:lvl w:ilvl="0" w:tplc="935A68F4">
      <w:start w:val="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39CE550D"/>
    <w:multiLevelType w:val="hybridMultilevel"/>
    <w:tmpl w:val="14EE391A"/>
    <w:lvl w:ilvl="0" w:tplc="935A68F4">
      <w:start w:val="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42AE3D13"/>
    <w:multiLevelType w:val="hybridMultilevel"/>
    <w:tmpl w:val="77906EBA"/>
    <w:lvl w:ilvl="0" w:tplc="935A68F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B05522A"/>
    <w:multiLevelType w:val="hybridMultilevel"/>
    <w:tmpl w:val="9A2C3A9A"/>
    <w:lvl w:ilvl="0" w:tplc="935A68F4">
      <w:start w:val="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2"/>
    <w:lvlOverride w:ilvl="0">
      <w:startOverride w:val="1"/>
    </w:lvlOverride>
    <w:lvlOverride w:ilvl="1"/>
    <w:lvlOverride w:ilvl="2"/>
    <w:lvlOverride w:ilvl="3"/>
    <w:lvlOverride w:ilvl="4"/>
    <w:lvlOverride w:ilvl="5"/>
    <w:lvlOverride w:ilvl="6"/>
    <w:lvlOverride w:ilvl="7"/>
    <w:lvlOverride w:ilvl="8"/>
  </w:num>
  <w:num w:numId="4">
    <w:abstractNumId w:val="5"/>
  </w:num>
  <w:num w:numId="5">
    <w:abstractNumId w:val="3"/>
  </w:num>
  <w:num w:numId="6">
    <w:abstractNumId w:val="6"/>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K edit">
    <w15:presenceInfo w15:providerId="None" w15:userId="JK ed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9D6"/>
    <w:rsid w:val="00002503"/>
    <w:rsid w:val="0003587F"/>
    <w:rsid w:val="000437B0"/>
    <w:rsid w:val="00075E14"/>
    <w:rsid w:val="00083ED8"/>
    <w:rsid w:val="000A2CBE"/>
    <w:rsid w:val="000B0BA1"/>
    <w:rsid w:val="000F262D"/>
    <w:rsid w:val="0010728F"/>
    <w:rsid w:val="00115466"/>
    <w:rsid w:val="001220F6"/>
    <w:rsid w:val="00124873"/>
    <w:rsid w:val="00127E91"/>
    <w:rsid w:val="00131EAB"/>
    <w:rsid w:val="00156D39"/>
    <w:rsid w:val="00164F13"/>
    <w:rsid w:val="001718DC"/>
    <w:rsid w:val="00176471"/>
    <w:rsid w:val="00176CDD"/>
    <w:rsid w:val="00177A6B"/>
    <w:rsid w:val="001835E9"/>
    <w:rsid w:val="001845B1"/>
    <w:rsid w:val="00186A64"/>
    <w:rsid w:val="001879BE"/>
    <w:rsid w:val="00193A03"/>
    <w:rsid w:val="001A5A3D"/>
    <w:rsid w:val="001B00E4"/>
    <w:rsid w:val="001B5BA1"/>
    <w:rsid w:val="001B6D94"/>
    <w:rsid w:val="001C2B0B"/>
    <w:rsid w:val="001D2660"/>
    <w:rsid w:val="001D773E"/>
    <w:rsid w:val="001E2A81"/>
    <w:rsid w:val="001E7765"/>
    <w:rsid w:val="001F1970"/>
    <w:rsid w:val="00200E1A"/>
    <w:rsid w:val="002105AB"/>
    <w:rsid w:val="002411EC"/>
    <w:rsid w:val="00263763"/>
    <w:rsid w:val="00266BBB"/>
    <w:rsid w:val="00276018"/>
    <w:rsid w:val="00277039"/>
    <w:rsid w:val="002839FE"/>
    <w:rsid w:val="00285451"/>
    <w:rsid w:val="00297BDD"/>
    <w:rsid w:val="002F1542"/>
    <w:rsid w:val="00301DC0"/>
    <w:rsid w:val="00306191"/>
    <w:rsid w:val="00361BD1"/>
    <w:rsid w:val="003647E6"/>
    <w:rsid w:val="00384BF8"/>
    <w:rsid w:val="003B0C96"/>
    <w:rsid w:val="003B6408"/>
    <w:rsid w:val="003D0521"/>
    <w:rsid w:val="003D2DE4"/>
    <w:rsid w:val="003F07EC"/>
    <w:rsid w:val="003F3051"/>
    <w:rsid w:val="003F5309"/>
    <w:rsid w:val="00401A72"/>
    <w:rsid w:val="004251B2"/>
    <w:rsid w:val="004366A6"/>
    <w:rsid w:val="00451D60"/>
    <w:rsid w:val="00461B41"/>
    <w:rsid w:val="00462A23"/>
    <w:rsid w:val="004935C2"/>
    <w:rsid w:val="00495F26"/>
    <w:rsid w:val="004A21B2"/>
    <w:rsid w:val="004B068E"/>
    <w:rsid w:val="004D5AF9"/>
    <w:rsid w:val="004E09FE"/>
    <w:rsid w:val="004F4EBA"/>
    <w:rsid w:val="005100BB"/>
    <w:rsid w:val="005155C2"/>
    <w:rsid w:val="00571123"/>
    <w:rsid w:val="00580E35"/>
    <w:rsid w:val="0058147A"/>
    <w:rsid w:val="00591F7B"/>
    <w:rsid w:val="005E2819"/>
    <w:rsid w:val="005E6208"/>
    <w:rsid w:val="005E7885"/>
    <w:rsid w:val="006011AE"/>
    <w:rsid w:val="00607494"/>
    <w:rsid w:val="00641EDD"/>
    <w:rsid w:val="006446AB"/>
    <w:rsid w:val="00647131"/>
    <w:rsid w:val="0065197F"/>
    <w:rsid w:val="006838FB"/>
    <w:rsid w:val="006851D7"/>
    <w:rsid w:val="006C58C7"/>
    <w:rsid w:val="007166B0"/>
    <w:rsid w:val="00742A7E"/>
    <w:rsid w:val="00750CBE"/>
    <w:rsid w:val="00750CFF"/>
    <w:rsid w:val="00752AFF"/>
    <w:rsid w:val="007533CC"/>
    <w:rsid w:val="00762872"/>
    <w:rsid w:val="00766BCB"/>
    <w:rsid w:val="00790600"/>
    <w:rsid w:val="007A1832"/>
    <w:rsid w:val="007A4CA4"/>
    <w:rsid w:val="007A7056"/>
    <w:rsid w:val="007B462E"/>
    <w:rsid w:val="007B69D6"/>
    <w:rsid w:val="007D1FA0"/>
    <w:rsid w:val="007E427B"/>
    <w:rsid w:val="007E7955"/>
    <w:rsid w:val="00805575"/>
    <w:rsid w:val="00826EF6"/>
    <w:rsid w:val="008420E4"/>
    <w:rsid w:val="0084424F"/>
    <w:rsid w:val="008468BE"/>
    <w:rsid w:val="008504F2"/>
    <w:rsid w:val="008512D5"/>
    <w:rsid w:val="0087619E"/>
    <w:rsid w:val="00895F80"/>
    <w:rsid w:val="008978C8"/>
    <w:rsid w:val="008A6325"/>
    <w:rsid w:val="008C615B"/>
    <w:rsid w:val="008D4786"/>
    <w:rsid w:val="008E1348"/>
    <w:rsid w:val="008F5DD5"/>
    <w:rsid w:val="009203FD"/>
    <w:rsid w:val="00955F9B"/>
    <w:rsid w:val="009577CF"/>
    <w:rsid w:val="00964605"/>
    <w:rsid w:val="009936ED"/>
    <w:rsid w:val="009A3C26"/>
    <w:rsid w:val="009B4D1B"/>
    <w:rsid w:val="009F15A4"/>
    <w:rsid w:val="009F2F1B"/>
    <w:rsid w:val="00A22ADA"/>
    <w:rsid w:val="00A27E2B"/>
    <w:rsid w:val="00A33274"/>
    <w:rsid w:val="00A53864"/>
    <w:rsid w:val="00A55482"/>
    <w:rsid w:val="00A62ECB"/>
    <w:rsid w:val="00A70933"/>
    <w:rsid w:val="00A8072A"/>
    <w:rsid w:val="00A814DF"/>
    <w:rsid w:val="00AA351D"/>
    <w:rsid w:val="00AD2B3F"/>
    <w:rsid w:val="00AD5F82"/>
    <w:rsid w:val="00AF4070"/>
    <w:rsid w:val="00B0769D"/>
    <w:rsid w:val="00B26CC1"/>
    <w:rsid w:val="00B367A0"/>
    <w:rsid w:val="00B47E67"/>
    <w:rsid w:val="00B93A21"/>
    <w:rsid w:val="00BA4AB7"/>
    <w:rsid w:val="00BD2109"/>
    <w:rsid w:val="00BD2E29"/>
    <w:rsid w:val="00BE4A28"/>
    <w:rsid w:val="00BF03F8"/>
    <w:rsid w:val="00BF3B3B"/>
    <w:rsid w:val="00C0261F"/>
    <w:rsid w:val="00C10AB3"/>
    <w:rsid w:val="00C12EEF"/>
    <w:rsid w:val="00C74548"/>
    <w:rsid w:val="00C7710D"/>
    <w:rsid w:val="00C80F19"/>
    <w:rsid w:val="00C94F10"/>
    <w:rsid w:val="00CB4093"/>
    <w:rsid w:val="00CB4322"/>
    <w:rsid w:val="00CC1F67"/>
    <w:rsid w:val="00CF5E39"/>
    <w:rsid w:val="00D07136"/>
    <w:rsid w:val="00D11165"/>
    <w:rsid w:val="00D20E0B"/>
    <w:rsid w:val="00D26AD1"/>
    <w:rsid w:val="00D26D00"/>
    <w:rsid w:val="00DA2BB3"/>
    <w:rsid w:val="00DA7B2C"/>
    <w:rsid w:val="00DB0E80"/>
    <w:rsid w:val="00DC3F0D"/>
    <w:rsid w:val="00DE4F88"/>
    <w:rsid w:val="00E07CF9"/>
    <w:rsid w:val="00E20EA5"/>
    <w:rsid w:val="00E242CF"/>
    <w:rsid w:val="00E27CE5"/>
    <w:rsid w:val="00E32B19"/>
    <w:rsid w:val="00E4214A"/>
    <w:rsid w:val="00E5322E"/>
    <w:rsid w:val="00E71B5D"/>
    <w:rsid w:val="00EB7DD6"/>
    <w:rsid w:val="00EC47FE"/>
    <w:rsid w:val="00EC6962"/>
    <w:rsid w:val="00F36F8A"/>
    <w:rsid w:val="00F9125B"/>
    <w:rsid w:val="00F93280"/>
    <w:rsid w:val="00FE0D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069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annotation text" w:uiPriority="99"/>
    <w:lsdException w:name="footer" w:uiPriority="99"/>
    <w:lsdException w:name="caption" w:qFormat="1"/>
    <w:lsdException w:name="footnote reference" w:uiPriority="99"/>
    <w:lsdException w:name="annotation reference" w:uiPriority="99"/>
    <w:lsdException w:name="page number"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link w:val="BodyTextChar"/>
    <w:rsid w:val="00D26AD1"/>
    <w:pPr>
      <w:jc w:val="both"/>
    </w:pPr>
    <w:rPr>
      <w:spacing w:val="-1"/>
      <w:sz w:val="22"/>
      <w:szCs w:val="22"/>
    </w:rPr>
  </w:style>
  <w:style w:type="paragraph" w:customStyle="1" w:styleId="casehead1">
    <w:name w:val="casehead1"/>
    <w:basedOn w:val="Normal"/>
    <w:next w:val="BodyText"/>
    <w:rsid w:val="001C2B0B"/>
    <w:pPr>
      <w:jc w:val="both"/>
    </w:pPr>
    <w:rPr>
      <w:rFonts w:ascii="Arial" w:hAnsi="Arial"/>
      <w:b/>
      <w:caps/>
      <w:sz w:val="20"/>
    </w:rPr>
  </w:style>
  <w:style w:type="paragraph" w:customStyle="1" w:styleId="casehead2">
    <w:name w:val="casehead2"/>
    <w:basedOn w:val="Normal"/>
    <w:next w:val="BodyText"/>
    <w:rsid w:val="001C2B0B"/>
    <w:pPr>
      <w:jc w:val="both"/>
    </w:pPr>
    <w:rPr>
      <w:rFonts w:ascii="Arial" w:hAnsi="Arial"/>
      <w:b/>
      <w:sz w:val="20"/>
    </w:rPr>
  </w:style>
  <w:style w:type="paragraph" w:customStyle="1" w:styleId="casehead3">
    <w:name w:val="casehead3"/>
    <w:basedOn w:val="Normal"/>
    <w:next w:val="BodyText"/>
    <w:pPr>
      <w:jc w:val="both"/>
    </w:pPr>
    <w:rPr>
      <w:u w:val="single"/>
    </w:rPr>
  </w:style>
  <w:style w:type="paragraph" w:customStyle="1" w:styleId="FootnoteText1">
    <w:name w:val="Footnote Text1"/>
    <w:basedOn w:val="Normal"/>
    <w:next w:val="BodyText"/>
    <w:rsid w:val="009936ED"/>
    <w:pPr>
      <w:tabs>
        <w:tab w:val="left" w:pos="-1440"/>
        <w:tab w:val="left" w:pos="-720"/>
        <w:tab w:val="left" w:pos="1"/>
        <w:tab w:val="right" w:pos="9000"/>
      </w:tabs>
      <w:jc w:val="both"/>
    </w:pPr>
    <w:rPr>
      <w:rFonts w:ascii="Arial" w:hAnsi="Arial"/>
      <w:sz w:val="17"/>
    </w:rPr>
  </w:style>
  <w:style w:type="paragraph" w:customStyle="1" w:styleId="Casehead4">
    <w:name w:val="Casehead4"/>
    <w:basedOn w:val="Normal"/>
    <w:next w:val="BodyText"/>
    <w:pPr>
      <w:tabs>
        <w:tab w:val="left" w:pos="-1440"/>
        <w:tab w:val="left" w:pos="-720"/>
        <w:tab w:val="left" w:pos="1"/>
      </w:tabs>
      <w:jc w:val="both"/>
    </w:pPr>
    <w:rPr>
      <w:i/>
      <w:noProof/>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uiPriority w:val="99"/>
    <w:rsid w:val="007A4CA4"/>
  </w:style>
  <w:style w:type="character" w:customStyle="1" w:styleId="FootnoteTextChar">
    <w:name w:val="Footnote Text Char"/>
    <w:link w:val="FootnoteText"/>
    <w:uiPriority w:val="99"/>
    <w:rsid w:val="007A4CA4"/>
    <w:rPr>
      <w:lang w:val="en-US" w:eastAsia="en-US"/>
    </w:rPr>
  </w:style>
  <w:style w:type="character" w:styleId="FootnoteReference">
    <w:name w:val="footnote reference"/>
    <w:uiPriority w:val="99"/>
    <w:rsid w:val="007A4CA4"/>
    <w:rPr>
      <w:vertAlign w:val="superscript"/>
    </w:rPr>
  </w:style>
  <w:style w:type="character" w:customStyle="1" w:styleId="FooterChar">
    <w:name w:val="Footer Char"/>
    <w:link w:val="Footer"/>
    <w:uiPriority w:val="99"/>
    <w:rsid w:val="007B69D6"/>
  </w:style>
  <w:style w:type="character" w:styleId="PageNumber">
    <w:name w:val="page number"/>
    <w:uiPriority w:val="99"/>
    <w:unhideWhenUsed/>
    <w:rsid w:val="007B69D6"/>
  </w:style>
  <w:style w:type="table" w:styleId="TableGrid">
    <w:name w:val="Table Grid"/>
    <w:basedOn w:val="TableNormal"/>
    <w:uiPriority w:val="39"/>
    <w:rsid w:val="007B69D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B69D6"/>
    <w:pPr>
      <w:spacing w:before="100" w:beforeAutospacing="1" w:after="100" w:afterAutospacing="1"/>
    </w:pPr>
    <w:rPr>
      <w:rFonts w:eastAsia="Calibri"/>
    </w:rPr>
  </w:style>
  <w:style w:type="character" w:styleId="Hyperlink">
    <w:name w:val="Hyperlink"/>
    <w:basedOn w:val="DefaultParagraphFont"/>
    <w:uiPriority w:val="99"/>
    <w:unhideWhenUsed/>
    <w:rsid w:val="001F1970"/>
    <w:rPr>
      <w:color w:val="0000FF"/>
      <w:u w:val="single"/>
    </w:rPr>
  </w:style>
  <w:style w:type="paragraph" w:styleId="CommentText">
    <w:name w:val="annotation text"/>
    <w:basedOn w:val="Normal"/>
    <w:link w:val="CommentTextChar"/>
    <w:uiPriority w:val="99"/>
    <w:unhideWhenUsed/>
    <w:rsid w:val="001F1970"/>
    <w:rPr>
      <w:rFonts w:asciiTheme="minorHAnsi" w:eastAsiaTheme="minorHAnsi" w:hAnsiTheme="minorHAnsi" w:cstheme="minorBidi"/>
    </w:rPr>
  </w:style>
  <w:style w:type="character" w:customStyle="1" w:styleId="CommentTextChar">
    <w:name w:val="Comment Text Char"/>
    <w:basedOn w:val="DefaultParagraphFont"/>
    <w:link w:val="CommentText"/>
    <w:uiPriority w:val="99"/>
    <w:rsid w:val="001F1970"/>
    <w:rPr>
      <w:rFonts w:asciiTheme="minorHAnsi" w:eastAsiaTheme="minorHAnsi" w:hAnsiTheme="minorHAnsi" w:cstheme="minorBidi"/>
    </w:rPr>
  </w:style>
  <w:style w:type="paragraph" w:styleId="ListParagraph">
    <w:name w:val="List Paragraph"/>
    <w:basedOn w:val="Normal"/>
    <w:uiPriority w:val="34"/>
    <w:qFormat/>
    <w:rsid w:val="001F1970"/>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unhideWhenUsed/>
    <w:rsid w:val="001F1970"/>
    <w:rPr>
      <w:sz w:val="16"/>
      <w:szCs w:val="16"/>
    </w:rPr>
  </w:style>
  <w:style w:type="paragraph" w:styleId="CommentSubject">
    <w:name w:val="annotation subject"/>
    <w:basedOn w:val="CommentText"/>
    <w:next w:val="CommentText"/>
    <w:link w:val="CommentSubjectChar"/>
    <w:rsid w:val="00BF3B3B"/>
    <w:rPr>
      <w:rFonts w:ascii="Times New Roman" w:eastAsia="Times New Roman" w:hAnsi="Times New Roman" w:cs="Times New Roman"/>
      <w:b/>
      <w:bCs/>
    </w:rPr>
  </w:style>
  <w:style w:type="character" w:customStyle="1" w:styleId="CommentSubjectChar">
    <w:name w:val="Comment Subject Char"/>
    <w:basedOn w:val="CommentTextChar"/>
    <w:link w:val="CommentSubject"/>
    <w:rsid w:val="00BF3B3B"/>
    <w:rPr>
      <w:rFonts w:asciiTheme="minorHAnsi" w:eastAsiaTheme="minorHAnsi" w:hAnsiTheme="minorHAnsi" w:cstheme="minorBidi"/>
      <w:b/>
      <w:bCs/>
    </w:rPr>
  </w:style>
  <w:style w:type="paragraph" w:styleId="Revision">
    <w:name w:val="Revision"/>
    <w:hidden/>
    <w:uiPriority w:val="99"/>
    <w:semiHidden/>
    <w:rsid w:val="004935C2"/>
  </w:style>
  <w:style w:type="character" w:customStyle="1" w:styleId="BodyTextChar">
    <w:name w:val="Body Text Char"/>
    <w:basedOn w:val="DefaultParagraphFont"/>
    <w:link w:val="BodyText"/>
    <w:rsid w:val="00D20E0B"/>
    <w:rPr>
      <w:spacing w:val="-1"/>
      <w:sz w:val="22"/>
      <w:szCs w:val="22"/>
    </w:rPr>
  </w:style>
  <w:style w:type="character" w:styleId="FollowedHyperlink">
    <w:name w:val="FollowedHyperlink"/>
    <w:basedOn w:val="DefaultParagraphFont"/>
    <w:rsid w:val="008A632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annotation text" w:uiPriority="99"/>
    <w:lsdException w:name="footer" w:uiPriority="99"/>
    <w:lsdException w:name="caption" w:qFormat="1"/>
    <w:lsdException w:name="footnote reference" w:uiPriority="99"/>
    <w:lsdException w:name="annotation reference" w:uiPriority="99"/>
    <w:lsdException w:name="page number"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link w:val="BodyTextChar"/>
    <w:rsid w:val="00D26AD1"/>
    <w:pPr>
      <w:jc w:val="both"/>
    </w:pPr>
    <w:rPr>
      <w:spacing w:val="-1"/>
      <w:sz w:val="22"/>
      <w:szCs w:val="22"/>
    </w:rPr>
  </w:style>
  <w:style w:type="paragraph" w:customStyle="1" w:styleId="casehead1">
    <w:name w:val="casehead1"/>
    <w:basedOn w:val="Normal"/>
    <w:next w:val="BodyText"/>
    <w:rsid w:val="001C2B0B"/>
    <w:pPr>
      <w:jc w:val="both"/>
    </w:pPr>
    <w:rPr>
      <w:rFonts w:ascii="Arial" w:hAnsi="Arial"/>
      <w:b/>
      <w:caps/>
      <w:sz w:val="20"/>
    </w:rPr>
  </w:style>
  <w:style w:type="paragraph" w:customStyle="1" w:styleId="casehead2">
    <w:name w:val="casehead2"/>
    <w:basedOn w:val="Normal"/>
    <w:next w:val="BodyText"/>
    <w:rsid w:val="001C2B0B"/>
    <w:pPr>
      <w:jc w:val="both"/>
    </w:pPr>
    <w:rPr>
      <w:rFonts w:ascii="Arial" w:hAnsi="Arial"/>
      <w:b/>
      <w:sz w:val="20"/>
    </w:rPr>
  </w:style>
  <w:style w:type="paragraph" w:customStyle="1" w:styleId="casehead3">
    <w:name w:val="casehead3"/>
    <w:basedOn w:val="Normal"/>
    <w:next w:val="BodyText"/>
    <w:pPr>
      <w:jc w:val="both"/>
    </w:pPr>
    <w:rPr>
      <w:u w:val="single"/>
    </w:rPr>
  </w:style>
  <w:style w:type="paragraph" w:customStyle="1" w:styleId="FootnoteText1">
    <w:name w:val="Footnote Text1"/>
    <w:basedOn w:val="Normal"/>
    <w:next w:val="BodyText"/>
    <w:rsid w:val="009936ED"/>
    <w:pPr>
      <w:tabs>
        <w:tab w:val="left" w:pos="-1440"/>
        <w:tab w:val="left" w:pos="-720"/>
        <w:tab w:val="left" w:pos="1"/>
        <w:tab w:val="right" w:pos="9000"/>
      </w:tabs>
      <w:jc w:val="both"/>
    </w:pPr>
    <w:rPr>
      <w:rFonts w:ascii="Arial" w:hAnsi="Arial"/>
      <w:sz w:val="17"/>
    </w:rPr>
  </w:style>
  <w:style w:type="paragraph" w:customStyle="1" w:styleId="Casehead4">
    <w:name w:val="Casehead4"/>
    <w:basedOn w:val="Normal"/>
    <w:next w:val="BodyText"/>
    <w:pPr>
      <w:tabs>
        <w:tab w:val="left" w:pos="-1440"/>
        <w:tab w:val="left" w:pos="-720"/>
        <w:tab w:val="left" w:pos="1"/>
      </w:tabs>
      <w:jc w:val="both"/>
    </w:pPr>
    <w:rPr>
      <w:i/>
      <w:noProof/>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uiPriority w:val="99"/>
    <w:rsid w:val="007A4CA4"/>
  </w:style>
  <w:style w:type="character" w:customStyle="1" w:styleId="FootnoteTextChar">
    <w:name w:val="Footnote Text Char"/>
    <w:link w:val="FootnoteText"/>
    <w:uiPriority w:val="99"/>
    <w:rsid w:val="007A4CA4"/>
    <w:rPr>
      <w:lang w:val="en-US" w:eastAsia="en-US"/>
    </w:rPr>
  </w:style>
  <w:style w:type="character" w:styleId="FootnoteReference">
    <w:name w:val="footnote reference"/>
    <w:uiPriority w:val="99"/>
    <w:rsid w:val="007A4CA4"/>
    <w:rPr>
      <w:vertAlign w:val="superscript"/>
    </w:rPr>
  </w:style>
  <w:style w:type="character" w:customStyle="1" w:styleId="FooterChar">
    <w:name w:val="Footer Char"/>
    <w:link w:val="Footer"/>
    <w:uiPriority w:val="99"/>
    <w:rsid w:val="007B69D6"/>
  </w:style>
  <w:style w:type="character" w:styleId="PageNumber">
    <w:name w:val="page number"/>
    <w:uiPriority w:val="99"/>
    <w:unhideWhenUsed/>
    <w:rsid w:val="007B69D6"/>
  </w:style>
  <w:style w:type="table" w:styleId="TableGrid">
    <w:name w:val="Table Grid"/>
    <w:basedOn w:val="TableNormal"/>
    <w:uiPriority w:val="39"/>
    <w:rsid w:val="007B69D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B69D6"/>
    <w:pPr>
      <w:spacing w:before="100" w:beforeAutospacing="1" w:after="100" w:afterAutospacing="1"/>
    </w:pPr>
    <w:rPr>
      <w:rFonts w:eastAsia="Calibri"/>
    </w:rPr>
  </w:style>
  <w:style w:type="character" w:styleId="Hyperlink">
    <w:name w:val="Hyperlink"/>
    <w:basedOn w:val="DefaultParagraphFont"/>
    <w:uiPriority w:val="99"/>
    <w:unhideWhenUsed/>
    <w:rsid w:val="001F1970"/>
    <w:rPr>
      <w:color w:val="0000FF"/>
      <w:u w:val="single"/>
    </w:rPr>
  </w:style>
  <w:style w:type="paragraph" w:styleId="CommentText">
    <w:name w:val="annotation text"/>
    <w:basedOn w:val="Normal"/>
    <w:link w:val="CommentTextChar"/>
    <w:uiPriority w:val="99"/>
    <w:unhideWhenUsed/>
    <w:rsid w:val="001F1970"/>
    <w:rPr>
      <w:rFonts w:asciiTheme="minorHAnsi" w:eastAsiaTheme="minorHAnsi" w:hAnsiTheme="minorHAnsi" w:cstheme="minorBidi"/>
    </w:rPr>
  </w:style>
  <w:style w:type="character" w:customStyle="1" w:styleId="CommentTextChar">
    <w:name w:val="Comment Text Char"/>
    <w:basedOn w:val="DefaultParagraphFont"/>
    <w:link w:val="CommentText"/>
    <w:uiPriority w:val="99"/>
    <w:rsid w:val="001F1970"/>
    <w:rPr>
      <w:rFonts w:asciiTheme="minorHAnsi" w:eastAsiaTheme="minorHAnsi" w:hAnsiTheme="minorHAnsi" w:cstheme="minorBidi"/>
    </w:rPr>
  </w:style>
  <w:style w:type="paragraph" w:styleId="ListParagraph">
    <w:name w:val="List Paragraph"/>
    <w:basedOn w:val="Normal"/>
    <w:uiPriority w:val="34"/>
    <w:qFormat/>
    <w:rsid w:val="001F1970"/>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unhideWhenUsed/>
    <w:rsid w:val="001F1970"/>
    <w:rPr>
      <w:sz w:val="16"/>
      <w:szCs w:val="16"/>
    </w:rPr>
  </w:style>
  <w:style w:type="paragraph" w:styleId="CommentSubject">
    <w:name w:val="annotation subject"/>
    <w:basedOn w:val="CommentText"/>
    <w:next w:val="CommentText"/>
    <w:link w:val="CommentSubjectChar"/>
    <w:rsid w:val="00BF3B3B"/>
    <w:rPr>
      <w:rFonts w:ascii="Times New Roman" w:eastAsia="Times New Roman" w:hAnsi="Times New Roman" w:cs="Times New Roman"/>
      <w:b/>
      <w:bCs/>
    </w:rPr>
  </w:style>
  <w:style w:type="character" w:customStyle="1" w:styleId="CommentSubjectChar">
    <w:name w:val="Comment Subject Char"/>
    <w:basedOn w:val="CommentTextChar"/>
    <w:link w:val="CommentSubject"/>
    <w:rsid w:val="00BF3B3B"/>
    <w:rPr>
      <w:rFonts w:asciiTheme="minorHAnsi" w:eastAsiaTheme="minorHAnsi" w:hAnsiTheme="minorHAnsi" w:cstheme="minorBidi"/>
      <w:b/>
      <w:bCs/>
    </w:rPr>
  </w:style>
  <w:style w:type="paragraph" w:styleId="Revision">
    <w:name w:val="Revision"/>
    <w:hidden/>
    <w:uiPriority w:val="99"/>
    <w:semiHidden/>
    <w:rsid w:val="004935C2"/>
  </w:style>
  <w:style w:type="character" w:customStyle="1" w:styleId="BodyTextChar">
    <w:name w:val="Body Text Char"/>
    <w:basedOn w:val="DefaultParagraphFont"/>
    <w:link w:val="BodyText"/>
    <w:rsid w:val="00D20E0B"/>
    <w:rPr>
      <w:spacing w:val="-1"/>
      <w:sz w:val="22"/>
      <w:szCs w:val="22"/>
    </w:rPr>
  </w:style>
  <w:style w:type="character" w:styleId="FollowedHyperlink">
    <w:name w:val="FollowedHyperlink"/>
    <w:basedOn w:val="DefaultParagraphFont"/>
    <w:rsid w:val="008A6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2010">
      <w:bodyDiv w:val="1"/>
      <w:marLeft w:val="0"/>
      <w:marRight w:val="0"/>
      <w:marTop w:val="0"/>
      <w:marBottom w:val="0"/>
      <w:divBdr>
        <w:top w:val="none" w:sz="0" w:space="0" w:color="auto"/>
        <w:left w:val="none" w:sz="0" w:space="0" w:color="auto"/>
        <w:bottom w:val="none" w:sz="0" w:space="0" w:color="auto"/>
        <w:right w:val="none" w:sz="0" w:space="0" w:color="auto"/>
      </w:divBdr>
    </w:div>
    <w:div w:id="268777365">
      <w:bodyDiv w:val="1"/>
      <w:marLeft w:val="0"/>
      <w:marRight w:val="0"/>
      <w:marTop w:val="0"/>
      <w:marBottom w:val="0"/>
      <w:divBdr>
        <w:top w:val="none" w:sz="0" w:space="0" w:color="auto"/>
        <w:left w:val="none" w:sz="0" w:space="0" w:color="auto"/>
        <w:bottom w:val="none" w:sz="0" w:space="0" w:color="auto"/>
        <w:right w:val="none" w:sz="0" w:space="0" w:color="auto"/>
      </w:divBdr>
    </w:div>
    <w:div w:id="530193378">
      <w:bodyDiv w:val="1"/>
      <w:marLeft w:val="0"/>
      <w:marRight w:val="0"/>
      <w:marTop w:val="0"/>
      <w:marBottom w:val="0"/>
      <w:divBdr>
        <w:top w:val="none" w:sz="0" w:space="0" w:color="auto"/>
        <w:left w:val="none" w:sz="0" w:space="0" w:color="auto"/>
        <w:bottom w:val="none" w:sz="0" w:space="0" w:color="auto"/>
        <w:right w:val="none" w:sz="0" w:space="0" w:color="auto"/>
      </w:divBdr>
    </w:div>
    <w:div w:id="945651308">
      <w:bodyDiv w:val="1"/>
      <w:marLeft w:val="0"/>
      <w:marRight w:val="0"/>
      <w:marTop w:val="0"/>
      <w:marBottom w:val="0"/>
      <w:divBdr>
        <w:top w:val="none" w:sz="0" w:space="0" w:color="auto"/>
        <w:left w:val="none" w:sz="0" w:space="0" w:color="auto"/>
        <w:bottom w:val="none" w:sz="0" w:space="0" w:color="auto"/>
        <w:right w:val="none" w:sz="0" w:space="0" w:color="auto"/>
      </w:divBdr>
    </w:div>
    <w:div w:id="985160276">
      <w:bodyDiv w:val="1"/>
      <w:marLeft w:val="0"/>
      <w:marRight w:val="0"/>
      <w:marTop w:val="0"/>
      <w:marBottom w:val="0"/>
      <w:divBdr>
        <w:top w:val="none" w:sz="0" w:space="0" w:color="auto"/>
        <w:left w:val="none" w:sz="0" w:space="0" w:color="auto"/>
        <w:bottom w:val="none" w:sz="0" w:space="0" w:color="auto"/>
        <w:right w:val="none" w:sz="0" w:space="0" w:color="auto"/>
      </w:divBdr>
    </w:div>
    <w:div w:id="1045762989">
      <w:bodyDiv w:val="1"/>
      <w:marLeft w:val="0"/>
      <w:marRight w:val="0"/>
      <w:marTop w:val="0"/>
      <w:marBottom w:val="0"/>
      <w:divBdr>
        <w:top w:val="none" w:sz="0" w:space="0" w:color="auto"/>
        <w:left w:val="none" w:sz="0" w:space="0" w:color="auto"/>
        <w:bottom w:val="none" w:sz="0" w:space="0" w:color="auto"/>
        <w:right w:val="none" w:sz="0" w:space="0" w:color="auto"/>
      </w:divBdr>
    </w:div>
    <w:div w:id="1059790998">
      <w:bodyDiv w:val="1"/>
      <w:marLeft w:val="0"/>
      <w:marRight w:val="0"/>
      <w:marTop w:val="0"/>
      <w:marBottom w:val="0"/>
      <w:divBdr>
        <w:top w:val="none" w:sz="0" w:space="0" w:color="auto"/>
        <w:left w:val="none" w:sz="0" w:space="0" w:color="auto"/>
        <w:bottom w:val="none" w:sz="0" w:space="0" w:color="auto"/>
        <w:right w:val="none" w:sz="0" w:space="0" w:color="auto"/>
      </w:divBdr>
    </w:div>
    <w:div w:id="1115174545">
      <w:bodyDiv w:val="1"/>
      <w:marLeft w:val="0"/>
      <w:marRight w:val="0"/>
      <w:marTop w:val="0"/>
      <w:marBottom w:val="0"/>
      <w:divBdr>
        <w:top w:val="none" w:sz="0" w:space="0" w:color="auto"/>
        <w:left w:val="none" w:sz="0" w:space="0" w:color="auto"/>
        <w:bottom w:val="none" w:sz="0" w:space="0" w:color="auto"/>
        <w:right w:val="none" w:sz="0" w:space="0" w:color="auto"/>
      </w:divBdr>
    </w:div>
    <w:div w:id="1446729558">
      <w:bodyDiv w:val="1"/>
      <w:marLeft w:val="0"/>
      <w:marRight w:val="0"/>
      <w:marTop w:val="0"/>
      <w:marBottom w:val="0"/>
      <w:divBdr>
        <w:top w:val="none" w:sz="0" w:space="0" w:color="auto"/>
        <w:left w:val="none" w:sz="0" w:space="0" w:color="auto"/>
        <w:bottom w:val="none" w:sz="0" w:space="0" w:color="auto"/>
        <w:right w:val="none" w:sz="0" w:space="0" w:color="auto"/>
      </w:divBdr>
    </w:div>
    <w:div w:id="1450275013">
      <w:bodyDiv w:val="1"/>
      <w:marLeft w:val="0"/>
      <w:marRight w:val="0"/>
      <w:marTop w:val="0"/>
      <w:marBottom w:val="0"/>
      <w:divBdr>
        <w:top w:val="none" w:sz="0" w:space="0" w:color="auto"/>
        <w:left w:val="none" w:sz="0" w:space="0" w:color="auto"/>
        <w:bottom w:val="none" w:sz="0" w:space="0" w:color="auto"/>
        <w:right w:val="none" w:sz="0" w:space="0" w:color="auto"/>
      </w:divBdr>
    </w:div>
    <w:div w:id="1460953124">
      <w:bodyDiv w:val="1"/>
      <w:marLeft w:val="0"/>
      <w:marRight w:val="0"/>
      <w:marTop w:val="0"/>
      <w:marBottom w:val="0"/>
      <w:divBdr>
        <w:top w:val="none" w:sz="0" w:space="0" w:color="auto"/>
        <w:left w:val="none" w:sz="0" w:space="0" w:color="auto"/>
        <w:bottom w:val="none" w:sz="0" w:space="0" w:color="auto"/>
        <w:right w:val="none" w:sz="0" w:space="0" w:color="auto"/>
      </w:divBdr>
    </w:div>
    <w:div w:id="1674914759">
      <w:bodyDiv w:val="1"/>
      <w:marLeft w:val="0"/>
      <w:marRight w:val="0"/>
      <w:marTop w:val="0"/>
      <w:marBottom w:val="0"/>
      <w:divBdr>
        <w:top w:val="none" w:sz="0" w:space="0" w:color="auto"/>
        <w:left w:val="none" w:sz="0" w:space="0" w:color="auto"/>
        <w:bottom w:val="none" w:sz="0" w:space="0" w:color="auto"/>
        <w:right w:val="none" w:sz="0" w:space="0" w:color="auto"/>
      </w:divBdr>
    </w:div>
    <w:div w:id="1737968955">
      <w:bodyDiv w:val="1"/>
      <w:marLeft w:val="0"/>
      <w:marRight w:val="0"/>
      <w:marTop w:val="0"/>
      <w:marBottom w:val="0"/>
      <w:divBdr>
        <w:top w:val="none" w:sz="0" w:space="0" w:color="auto"/>
        <w:left w:val="none" w:sz="0" w:space="0" w:color="auto"/>
        <w:bottom w:val="none" w:sz="0" w:space="0" w:color="auto"/>
        <w:right w:val="none" w:sz="0" w:space="0" w:color="auto"/>
      </w:divBdr>
    </w:div>
    <w:div w:id="1851604476">
      <w:bodyDiv w:val="1"/>
      <w:marLeft w:val="0"/>
      <w:marRight w:val="0"/>
      <w:marTop w:val="0"/>
      <w:marBottom w:val="0"/>
      <w:divBdr>
        <w:top w:val="none" w:sz="0" w:space="0" w:color="auto"/>
        <w:left w:val="none" w:sz="0" w:space="0" w:color="auto"/>
        <w:bottom w:val="none" w:sz="0" w:space="0" w:color="auto"/>
        <w:right w:val="none" w:sz="0" w:space="0" w:color="auto"/>
      </w:divBdr>
    </w:div>
    <w:div w:id="189904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iveycases.com" TargetMode="External"/><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ses@ivey.ca" TargetMode="External"/><Relationship Id="rId5" Type="http://schemas.openxmlformats.org/officeDocument/2006/relationships/settings" Target="settings.xml"/><Relationship Id="rId15" Type="http://schemas.microsoft.com/office/2007/relationships/hdphoto" Target="media/hdphoto1.wdp"/><Relationship Id="rId10" Type="http://schemas.openxmlformats.org/officeDocument/2006/relationships/header" Target="head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effle\AppData\Roaming\Microsoft\Templates\Ivey%20Case\Ivey%20Case%20template%20(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D58D3-DD74-49A3-9535-993BD533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Ivey Case template (2013).dot</Template>
  <TotalTime>55</TotalTime>
  <Pages>10</Pages>
  <Words>4127</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Ivey Case Format</vt:lpstr>
    </vt:vector>
  </TitlesOfParts>
  <Company>Ivey Management Services</Company>
  <LinksUpToDate>false</LinksUpToDate>
  <CharactersWithSpaces>26943</CharactersWithSpaces>
  <SharedDoc>false</SharedDoc>
  <HLinks>
    <vt:vector size="12" baseType="variant">
      <vt:variant>
        <vt:i4>4849690</vt:i4>
      </vt:variant>
      <vt:variant>
        <vt:i4>17</vt:i4>
      </vt:variant>
      <vt:variant>
        <vt:i4>0</vt:i4>
      </vt:variant>
      <vt:variant>
        <vt:i4>5</vt:i4>
      </vt:variant>
      <vt:variant>
        <vt:lpwstr>http://www.iveycases.com/</vt:lpwstr>
      </vt:variant>
      <vt:variant>
        <vt:lpwstr/>
      </vt:variant>
      <vt:variant>
        <vt:i4>4325474</vt:i4>
      </vt:variant>
      <vt:variant>
        <vt:i4>14</vt:i4>
      </vt:variant>
      <vt:variant>
        <vt:i4>0</vt:i4>
      </vt:variant>
      <vt:variant>
        <vt:i4>5</vt:i4>
      </vt:variant>
      <vt:variant>
        <vt:lpwstr>mailto:cases@ivey.ca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Ivey Case Format</dc:title>
  <dc:creator>Reffle, Margaret</dc:creator>
  <cp:lastModifiedBy>Karen Pepers1</cp:lastModifiedBy>
  <cp:revision>7</cp:revision>
  <cp:lastPrinted>2017-02-16T01:19:00Z</cp:lastPrinted>
  <dcterms:created xsi:type="dcterms:W3CDTF">2017-03-07T20:11:00Z</dcterms:created>
  <dcterms:modified xsi:type="dcterms:W3CDTF">2017-04-25T19:10:00Z</dcterms:modified>
</cp:coreProperties>
</file>