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2246E" w14:textId="2A40EA68" w:rsidR="008467D5" w:rsidRPr="005630DE" w:rsidRDefault="00E524BD" w:rsidP="00013360">
      <w:pPr>
        <w:tabs>
          <w:tab w:val="left" w:pos="-1440"/>
          <w:tab w:val="left" w:pos="-720"/>
          <w:tab w:val="left" w:pos="1"/>
          <w:tab w:val="right" w:pos="9360"/>
        </w:tabs>
        <w:jc w:val="both"/>
        <w:rPr>
          <w:rFonts w:ascii="Arial" w:hAnsi="Arial"/>
          <w:sz w:val="24"/>
        </w:rPr>
      </w:pPr>
      <w:r w:rsidRPr="00E524BD">
        <w:rPr>
          <w:rFonts w:ascii="Arial" w:hAnsi="Arial"/>
          <w:b/>
          <w:noProof/>
          <w:sz w:val="24"/>
          <w:lang w:eastAsia="en-GB"/>
        </w:rPr>
        <w:drawing>
          <wp:inline distT="0" distB="0" distL="0" distR="0" wp14:anchorId="176D54B3" wp14:editId="5857245A">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4B3B7D2" w14:textId="22BAB476" w:rsidR="00856D9F" w:rsidRPr="005630DE" w:rsidRDefault="00856D9F" w:rsidP="008467D5">
      <w:pPr>
        <w:pBdr>
          <w:bottom w:val="single" w:sz="18" w:space="1" w:color="auto"/>
        </w:pBdr>
        <w:tabs>
          <w:tab w:val="left" w:pos="-1440"/>
          <w:tab w:val="left" w:pos="-720"/>
          <w:tab w:val="left" w:pos="1"/>
        </w:tabs>
        <w:jc w:val="both"/>
        <w:rPr>
          <w:rFonts w:ascii="Arial" w:hAnsi="Arial"/>
          <w:b/>
          <w:sz w:val="24"/>
        </w:rPr>
      </w:pPr>
    </w:p>
    <w:p w14:paraId="4D9FAFC1" w14:textId="0CDD5357" w:rsidR="00D75295" w:rsidRPr="005630DE" w:rsidRDefault="00E524BD" w:rsidP="00A85BD3">
      <w:pPr>
        <w:pStyle w:val="ProductNumber"/>
        <w:outlineLvl w:val="0"/>
      </w:pPr>
      <w:r>
        <w:t>9B17M</w:t>
      </w:r>
      <w:r w:rsidR="00B949FE">
        <w:t>046</w:t>
      </w:r>
    </w:p>
    <w:p w14:paraId="02266F5C" w14:textId="77777777" w:rsidR="00D75295" w:rsidRPr="005630DE" w:rsidRDefault="00D75295" w:rsidP="00D75295">
      <w:pPr>
        <w:jc w:val="right"/>
        <w:rPr>
          <w:rFonts w:ascii="Arial" w:hAnsi="Arial"/>
          <w:b/>
          <w:sz w:val="28"/>
          <w:szCs w:val="28"/>
        </w:rPr>
      </w:pPr>
    </w:p>
    <w:p w14:paraId="178AD3A6" w14:textId="77777777" w:rsidR="00866F6D" w:rsidRPr="005630DE" w:rsidRDefault="00866F6D" w:rsidP="00D75295">
      <w:pPr>
        <w:jc w:val="right"/>
        <w:rPr>
          <w:rFonts w:ascii="Arial" w:hAnsi="Arial"/>
          <w:b/>
          <w:sz w:val="28"/>
          <w:szCs w:val="28"/>
        </w:rPr>
      </w:pPr>
    </w:p>
    <w:p w14:paraId="43E635C3" w14:textId="77777777" w:rsidR="00013360" w:rsidRPr="005630DE" w:rsidRDefault="00992CCD" w:rsidP="00A85BD3">
      <w:pPr>
        <w:pStyle w:val="CaseTitle"/>
        <w:spacing w:after="0" w:line="240" w:lineRule="auto"/>
        <w:outlineLvl w:val="0"/>
      </w:pPr>
      <w:r w:rsidRPr="005630DE">
        <w:t>HAITI: ENERGIZING SOCIO-ECONOMIC REFORM</w:t>
      </w:r>
    </w:p>
    <w:p w14:paraId="71A95BFE" w14:textId="77777777" w:rsidR="00013360" w:rsidRPr="005630DE" w:rsidRDefault="00013360" w:rsidP="00013360">
      <w:pPr>
        <w:pStyle w:val="CaseTitle"/>
        <w:spacing w:after="0" w:line="240" w:lineRule="auto"/>
        <w:rPr>
          <w:sz w:val="20"/>
          <w:szCs w:val="20"/>
        </w:rPr>
      </w:pPr>
    </w:p>
    <w:p w14:paraId="093B1D88" w14:textId="77777777" w:rsidR="00CA3976" w:rsidRPr="005630DE" w:rsidRDefault="00CA3976" w:rsidP="00013360">
      <w:pPr>
        <w:pStyle w:val="CaseTitle"/>
        <w:spacing w:after="0" w:line="240" w:lineRule="auto"/>
        <w:rPr>
          <w:sz w:val="20"/>
          <w:szCs w:val="20"/>
        </w:rPr>
      </w:pPr>
    </w:p>
    <w:p w14:paraId="3BE8A06E" w14:textId="77777777" w:rsidR="00013360" w:rsidRPr="005630DE" w:rsidRDefault="00013360" w:rsidP="00013360">
      <w:pPr>
        <w:pStyle w:val="CaseTitle"/>
        <w:spacing w:after="0" w:line="240" w:lineRule="auto"/>
        <w:rPr>
          <w:sz w:val="20"/>
          <w:szCs w:val="20"/>
        </w:rPr>
      </w:pPr>
    </w:p>
    <w:p w14:paraId="665F7460" w14:textId="2196A1B0" w:rsidR="00013360" w:rsidRPr="005630DE" w:rsidRDefault="00992CCD" w:rsidP="00A85BD3">
      <w:pPr>
        <w:pStyle w:val="StyleCopyrightStatementAfter0ptBottomSinglesolidline1"/>
        <w:outlineLvl w:val="0"/>
      </w:pPr>
      <w:r w:rsidRPr="005630DE">
        <w:tab/>
        <w:t>Gwyneth Edwards</w:t>
      </w:r>
      <w:r w:rsidR="007E5921" w:rsidRPr="005630DE">
        <w:t xml:space="preserve"> </w:t>
      </w:r>
      <w:r w:rsidRPr="005630DE">
        <w:t>and Ren</w:t>
      </w:r>
      <w:r w:rsidR="00A839A1">
        <w:t>é</w:t>
      </w:r>
      <w:r w:rsidRPr="005630DE">
        <w:t xml:space="preserve"> Jean-Jumeau </w:t>
      </w:r>
      <w:r w:rsidR="007E5921" w:rsidRPr="005630DE">
        <w:t>wrote this case sol</w:t>
      </w:r>
      <w:r w:rsidR="00D75295" w:rsidRPr="005630DE">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7006D99" w14:textId="77777777" w:rsidR="00013360" w:rsidRPr="005630DE" w:rsidRDefault="00013360" w:rsidP="00104567">
      <w:pPr>
        <w:pStyle w:val="StyleCopyrightStatementAfter0ptBottomSinglesolidline1"/>
      </w:pPr>
    </w:p>
    <w:p w14:paraId="7497A8EA" w14:textId="0D6C8430" w:rsidR="00E524BD" w:rsidRDefault="00E524BD" w:rsidP="00705E6C">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937FE28" w14:textId="77777777" w:rsidR="00E524BD" w:rsidRDefault="00E524BD" w:rsidP="00705E6C">
      <w:pPr>
        <w:pStyle w:val="StyleCopyrightStatementAfter0ptBottomSinglesolidline1"/>
        <w:pBdr>
          <w:top w:val="none" w:sz="0" w:space="0" w:color="auto"/>
        </w:pBdr>
      </w:pPr>
    </w:p>
    <w:p w14:paraId="6BB9D34A" w14:textId="0CCE7A82" w:rsidR="003B7EF2" w:rsidRPr="005630DE" w:rsidRDefault="00E524BD" w:rsidP="00E524BD">
      <w:pPr>
        <w:pStyle w:val="StyleStyleCopyrightStatementAfter0ptBottomSinglesolid"/>
      </w:pPr>
      <w:r>
        <w:t>Copyright © 2017, Richard Ivey School of Business Foundation</w:t>
      </w:r>
      <w:r w:rsidR="003B7EF2" w:rsidRPr="005630DE">
        <w:tab/>
        <w:t xml:space="preserve">Version: </w:t>
      </w:r>
      <w:r w:rsidR="00361C8E" w:rsidRPr="005630DE">
        <w:t>201</w:t>
      </w:r>
      <w:r w:rsidR="00603B0C">
        <w:t>7</w:t>
      </w:r>
      <w:r w:rsidR="00361C8E" w:rsidRPr="005630DE">
        <w:t>-</w:t>
      </w:r>
      <w:r w:rsidR="00B949FE">
        <w:t>03-</w:t>
      </w:r>
      <w:r w:rsidR="00174436">
        <w:t>21</w:t>
      </w:r>
    </w:p>
    <w:p w14:paraId="52EBB3E5" w14:textId="77777777" w:rsidR="003B7EF2" w:rsidRPr="005630DE" w:rsidRDefault="003B7EF2" w:rsidP="00104567">
      <w:pPr>
        <w:pStyle w:val="StyleCopyrightStatementAfter0ptBottomSinglesolidline1"/>
        <w:rPr>
          <w:rFonts w:ascii="Times New Roman" w:hAnsi="Times New Roman"/>
          <w:sz w:val="20"/>
        </w:rPr>
      </w:pPr>
    </w:p>
    <w:p w14:paraId="37613554" w14:textId="77777777" w:rsidR="003B7EF2" w:rsidRPr="005630DE" w:rsidRDefault="003B7EF2" w:rsidP="006F1D9E">
      <w:pPr>
        <w:pStyle w:val="Footnote"/>
      </w:pPr>
    </w:p>
    <w:p w14:paraId="2747A8E4" w14:textId="593BAFA1" w:rsidR="00D1107F" w:rsidRPr="005630DE" w:rsidRDefault="00D1107F" w:rsidP="00D1107F">
      <w:pPr>
        <w:pStyle w:val="BodyTextMain"/>
      </w:pPr>
      <w:r w:rsidRPr="005630DE">
        <w:rPr>
          <w:shd w:val="clear" w:color="auto" w:fill="FFFFFF"/>
        </w:rPr>
        <w:t xml:space="preserve">Minister René </w:t>
      </w:r>
      <w:r w:rsidRPr="005630DE">
        <w:t xml:space="preserve">Jean-Jumeau, delegate to the </w:t>
      </w:r>
      <w:r w:rsidR="00A839A1">
        <w:t>p</w:t>
      </w:r>
      <w:r w:rsidRPr="005630DE">
        <w:t xml:space="preserve">rime </w:t>
      </w:r>
      <w:r w:rsidR="00A839A1">
        <w:t>m</w:t>
      </w:r>
      <w:r w:rsidRPr="005630DE">
        <w:t xml:space="preserve">inister of Haiti, in charge of </w:t>
      </w:r>
      <w:r w:rsidR="00AC3D8B">
        <w:t xml:space="preserve">the Department of </w:t>
      </w:r>
      <w:r w:rsidRPr="005630DE">
        <w:t xml:space="preserve">Energy Security, looked out into the Bay of Port-au-Prince from his government office. It was February 2014, and in just two weeks, he </w:t>
      </w:r>
      <w:proofErr w:type="gramStart"/>
      <w:r w:rsidRPr="005630DE">
        <w:t>was scheduled</w:t>
      </w:r>
      <w:proofErr w:type="gramEnd"/>
      <w:r w:rsidRPr="005630DE">
        <w:t xml:space="preserve"> to present a proposal to the </w:t>
      </w:r>
      <w:r w:rsidR="00116C88">
        <w:t>p</w:t>
      </w:r>
      <w:r w:rsidRPr="005630DE">
        <w:t xml:space="preserve">rime </w:t>
      </w:r>
      <w:r w:rsidR="00116C88">
        <w:t>m</w:t>
      </w:r>
      <w:r w:rsidRPr="005630DE">
        <w:t>inister of Haiti on how to advance the country’s energy infrastructure to spur Haiti’s socio-economic reform. Although the country had suffered from political and economic setbacks, Haiti sought to attract foreign investment and become a gateway to the Americas. The opportunity, however, depended on a solid energy infrastructure, which Haiti lacked: over 70</w:t>
      </w:r>
      <w:r w:rsidR="004C1550">
        <w:t> </w:t>
      </w:r>
      <w:r w:rsidR="001B160C">
        <w:t>per cent</w:t>
      </w:r>
      <w:r w:rsidRPr="005630DE">
        <w:t xml:space="preserve"> of Haitians did not have access to the electricity provided by the country’s state-owned enterprise, </w:t>
      </w:r>
      <w:proofErr w:type="spellStart"/>
      <w:r w:rsidRPr="005630DE">
        <w:t>Électricité</w:t>
      </w:r>
      <w:proofErr w:type="spellEnd"/>
      <w:r w:rsidRPr="005630DE">
        <w:t xml:space="preserve"> </w:t>
      </w:r>
      <w:proofErr w:type="spellStart"/>
      <w:r w:rsidRPr="005630DE">
        <w:t>d’Haïti</w:t>
      </w:r>
      <w:proofErr w:type="spellEnd"/>
      <w:r w:rsidRPr="005630DE">
        <w:t xml:space="preserve"> (EDH). Although EDH’s installed capacity was almost 300</w:t>
      </w:r>
      <w:r w:rsidR="00805823">
        <w:t xml:space="preserve"> megawatt</w:t>
      </w:r>
      <w:r w:rsidR="00705E6C">
        <w:t>s</w:t>
      </w:r>
      <w:r w:rsidR="00805823">
        <w:t xml:space="preserve"> (</w:t>
      </w:r>
      <w:r w:rsidR="004E5F35">
        <w:t>MW</w:t>
      </w:r>
      <w:r w:rsidR="00805823">
        <w:t>)</w:t>
      </w:r>
      <w:r w:rsidRPr="005630DE">
        <w:t>, obsolete equipment, poor maintenance, ineffective billing and collection systems, theft, and vandalism reduced capacity by a third. In addition, 70</w:t>
      </w:r>
      <w:r w:rsidR="004C1550">
        <w:t> </w:t>
      </w:r>
      <w:r w:rsidR="001B160C">
        <w:t>per cent</w:t>
      </w:r>
      <w:r w:rsidRPr="005630DE">
        <w:t xml:space="preserve"> of Haiti’s energy supply was made up of wood and charcoal, </w:t>
      </w:r>
      <w:proofErr w:type="gramStart"/>
      <w:r w:rsidRPr="005630DE">
        <w:t>most of which was consumed by residents for their daily needs</w:t>
      </w:r>
      <w:proofErr w:type="gramEnd"/>
      <w:r w:rsidRPr="005630DE">
        <w:t xml:space="preserve">. Private enterprises depended on self-supplied energy, </w:t>
      </w:r>
      <w:r w:rsidR="00070F0B" w:rsidRPr="005630DE">
        <w:t>fuelled</w:t>
      </w:r>
      <w:r w:rsidRPr="005630DE">
        <w:t xml:space="preserve"> by imported oil products. </w:t>
      </w:r>
    </w:p>
    <w:p w14:paraId="0326F059" w14:textId="77777777" w:rsidR="00D1107F" w:rsidRPr="005630DE" w:rsidRDefault="00D1107F" w:rsidP="00D1107F">
      <w:pPr>
        <w:pStyle w:val="BodyTextMain"/>
      </w:pPr>
    </w:p>
    <w:p w14:paraId="07DF3EAF" w14:textId="61CD9019" w:rsidR="00D1107F" w:rsidRPr="005630DE" w:rsidRDefault="00D1107F" w:rsidP="00D1107F">
      <w:pPr>
        <w:pStyle w:val="BodyTextMain"/>
      </w:pPr>
      <w:r w:rsidRPr="005630DE">
        <w:t xml:space="preserve">With a </w:t>
      </w:r>
      <w:r w:rsidR="000648F4">
        <w:t>doctoral degree</w:t>
      </w:r>
      <w:r w:rsidR="000648F4" w:rsidRPr="005630DE">
        <w:t xml:space="preserve"> </w:t>
      </w:r>
      <w:r w:rsidRPr="005630DE">
        <w:t>in engineering, Jean-Jumeau understood that the technical options were numerous. He also felt that the solution required public</w:t>
      </w:r>
      <w:r w:rsidR="00943CAD">
        <w:t>–private</w:t>
      </w:r>
      <w:r w:rsidRPr="005630DE">
        <w:t xml:space="preserve"> partnerships throughout the energy value chain. The </w:t>
      </w:r>
      <w:r w:rsidR="000648F4">
        <w:t>m</w:t>
      </w:r>
      <w:r w:rsidRPr="005630DE">
        <w:t xml:space="preserve">inister knew that his presentation to the </w:t>
      </w:r>
      <w:r w:rsidR="000648F4">
        <w:t>p</w:t>
      </w:r>
      <w:r w:rsidRPr="005630DE">
        <w:t xml:space="preserve">rime </w:t>
      </w:r>
      <w:r w:rsidR="000648F4">
        <w:t>m</w:t>
      </w:r>
      <w:r w:rsidRPr="005630DE">
        <w:t xml:space="preserve">inister would be the beginning of numerous </w:t>
      </w:r>
      <w:r w:rsidR="00C2658A">
        <w:t>r</w:t>
      </w:r>
      <w:r w:rsidRPr="005630DE">
        <w:t>equest</w:t>
      </w:r>
      <w:r w:rsidR="00EF1388">
        <w:t xml:space="preserve">s </w:t>
      </w:r>
      <w:r w:rsidRPr="005630DE">
        <w:t>for</w:t>
      </w:r>
      <w:r w:rsidR="00EF1388">
        <w:t xml:space="preserve"> </w:t>
      </w:r>
      <w:r w:rsidR="00C2658A">
        <w:t>p</w:t>
      </w:r>
      <w:r w:rsidRPr="005630DE">
        <w:t>roposal</w:t>
      </w:r>
      <w:r w:rsidR="000648F4">
        <w:t>,</w:t>
      </w:r>
      <w:r w:rsidRPr="005630DE">
        <w:t xml:space="preserve"> so </w:t>
      </w:r>
      <w:r w:rsidR="00EF1388">
        <w:t>the presentation</w:t>
      </w:r>
      <w:r w:rsidR="00EF1388" w:rsidRPr="005630DE">
        <w:t xml:space="preserve"> </w:t>
      </w:r>
      <w:r w:rsidRPr="005630DE">
        <w:t xml:space="preserve">needed to outline a clear strategy </w:t>
      </w:r>
      <w:r w:rsidR="00EF1388">
        <w:t>for</w:t>
      </w:r>
      <w:r w:rsidRPr="005630DE">
        <w:t xml:space="preserve"> proceed</w:t>
      </w:r>
      <w:r w:rsidR="00EF1388">
        <w:t>ing</w:t>
      </w:r>
      <w:r w:rsidRPr="005630DE">
        <w:t>. “How should I structure my proposal</w:t>
      </w:r>
      <w:r w:rsidR="008D0D60">
        <w:t>?</w:t>
      </w:r>
      <w:r w:rsidRPr="005630DE">
        <w:t xml:space="preserve">” thought the </w:t>
      </w:r>
      <w:r w:rsidR="000648F4">
        <w:t>m</w:t>
      </w:r>
      <w:r w:rsidRPr="005630DE">
        <w:t>inister. “What criteria should my proposal contain to allow us to move this effort to the next phase?”</w:t>
      </w:r>
    </w:p>
    <w:p w14:paraId="1A746378" w14:textId="77777777" w:rsidR="00D1107F" w:rsidRPr="005630DE" w:rsidRDefault="00D1107F" w:rsidP="00D1107F">
      <w:pPr>
        <w:pStyle w:val="BodyTextMain"/>
      </w:pPr>
    </w:p>
    <w:p w14:paraId="7E18BD49" w14:textId="77777777" w:rsidR="00D1107F" w:rsidRPr="005630DE" w:rsidRDefault="00D1107F" w:rsidP="00D1107F">
      <w:pPr>
        <w:pStyle w:val="BodyTextMain"/>
      </w:pPr>
    </w:p>
    <w:p w14:paraId="16228E26" w14:textId="77777777" w:rsidR="00D1107F" w:rsidRPr="005630DE" w:rsidRDefault="00D1107F" w:rsidP="00A85BD3">
      <w:pPr>
        <w:pStyle w:val="Casehead1"/>
        <w:outlineLvl w:val="0"/>
      </w:pPr>
      <w:r w:rsidRPr="005630DE">
        <w:t>HAITI: THE PEARL OF THE CARIBBEAN</w:t>
      </w:r>
    </w:p>
    <w:p w14:paraId="46B403F9" w14:textId="77777777" w:rsidR="00D1107F" w:rsidRPr="005630DE" w:rsidRDefault="00D1107F" w:rsidP="00D1107F">
      <w:pPr>
        <w:pStyle w:val="BodyTextMain"/>
      </w:pPr>
    </w:p>
    <w:p w14:paraId="03093BD5" w14:textId="639219F3" w:rsidR="00D1107F" w:rsidRPr="005630DE" w:rsidRDefault="00D1107F" w:rsidP="00D1107F">
      <w:pPr>
        <w:pStyle w:val="BodyTextMain"/>
      </w:pPr>
      <w:r w:rsidRPr="005630DE">
        <w:t xml:space="preserve">The Republic of Haiti was located in the central Caribbean on the island of Hispaniola, which </w:t>
      </w:r>
      <w:r w:rsidR="000648F4">
        <w:t>Haiti</w:t>
      </w:r>
      <w:r w:rsidR="000648F4" w:rsidRPr="005630DE">
        <w:t xml:space="preserve"> </w:t>
      </w:r>
      <w:r w:rsidRPr="005630DE">
        <w:t xml:space="preserve">shared with the Dominican Republic. At the end of the </w:t>
      </w:r>
      <w:r w:rsidR="000648F4">
        <w:t>twentie</w:t>
      </w:r>
      <w:r w:rsidR="000648F4" w:rsidRPr="00542316">
        <w:t>th</w:t>
      </w:r>
      <w:r w:rsidR="000648F4" w:rsidRPr="005630DE">
        <w:t xml:space="preserve"> </w:t>
      </w:r>
      <w:r w:rsidRPr="005630DE">
        <w:t xml:space="preserve">century, Haiti’s economy </w:t>
      </w:r>
      <w:proofErr w:type="gramStart"/>
      <w:r w:rsidRPr="005630DE">
        <w:t>was affected</w:t>
      </w:r>
      <w:proofErr w:type="gramEnd"/>
      <w:r w:rsidRPr="005630DE">
        <w:t xml:space="preserve"> by shortages of arable land, environmental deterioration, use of traditional technologies, under-capitalization, lack of public investment in human resources, migration of skilled labour, and a weak national savings rate. </w:t>
      </w:r>
    </w:p>
    <w:p w14:paraId="1448FBBA" w14:textId="77777777" w:rsidR="00D1107F" w:rsidRPr="005630DE" w:rsidRDefault="00D1107F" w:rsidP="00D1107F">
      <w:pPr>
        <w:pStyle w:val="BodyTextMain"/>
      </w:pPr>
    </w:p>
    <w:p w14:paraId="4EEDBB87" w14:textId="2CD3FB90" w:rsidR="00D1107F" w:rsidRPr="005630DE" w:rsidRDefault="00D1107F" w:rsidP="00D1107F">
      <w:pPr>
        <w:pStyle w:val="BodyTextMain"/>
      </w:pPr>
      <w:r w:rsidRPr="005630DE">
        <w:lastRenderedPageBreak/>
        <w:t>In 2011, the country’s estimated gross domestic product</w:t>
      </w:r>
      <w:r w:rsidR="008D0D60">
        <w:t xml:space="preserve"> </w:t>
      </w:r>
      <w:r w:rsidRPr="005630DE">
        <w:t>was almost US$12.44 billion</w:t>
      </w:r>
      <w:r w:rsidR="008C40C1">
        <w:t>,</w:t>
      </w:r>
      <w:r w:rsidRPr="005630DE">
        <w:rPr>
          <w:rStyle w:val="FootnoteReference"/>
        </w:rPr>
        <w:footnoteReference w:id="1"/>
      </w:r>
      <w:r w:rsidR="00851327">
        <w:t xml:space="preserve"> </w:t>
      </w:r>
      <w:r w:rsidRPr="005630DE">
        <w:t>mainly in agriculture (24.7</w:t>
      </w:r>
      <w:r w:rsidR="001B160C">
        <w:t> per cent</w:t>
      </w:r>
      <w:r w:rsidRPr="005630DE">
        <w:t>) and services (55.8</w:t>
      </w:r>
      <w:r w:rsidR="001B160C">
        <w:t> per cent</w:t>
      </w:r>
      <w:r w:rsidRPr="005630DE">
        <w:t>)</w:t>
      </w:r>
      <w:r w:rsidR="001B6692">
        <w:t xml:space="preserve"> (see Exhibit 1)</w:t>
      </w:r>
      <w:r w:rsidRPr="005630DE">
        <w:t>, while 66</w:t>
      </w:r>
      <w:r w:rsidR="002F789A">
        <w:t xml:space="preserve"> </w:t>
      </w:r>
      <w:r w:rsidR="001B160C">
        <w:t>per cent</w:t>
      </w:r>
      <w:r w:rsidRPr="005630DE">
        <w:t xml:space="preserve"> of the population was not formally employed. Haiti’s balance of trade in 2012 was over $2.7 billion for imports and $785 million in exports. Exports to the United States were supported by programs such as </w:t>
      </w:r>
      <w:r w:rsidR="007305DC">
        <w:t xml:space="preserve">those under the </w:t>
      </w:r>
      <w:r w:rsidR="008D641C">
        <w:t xml:space="preserve">U.S. </w:t>
      </w:r>
      <w:r w:rsidR="007305DC" w:rsidRPr="00542316">
        <w:rPr>
          <w:i/>
          <w:lang w:val="en-US"/>
        </w:rPr>
        <w:t>Haitian Hemispheric Opportunity for Partnership Encouragement Act of 2006</w:t>
      </w:r>
      <w:r w:rsidR="007305DC" w:rsidRPr="005630DE">
        <w:t xml:space="preserve"> </w:t>
      </w:r>
      <w:r w:rsidR="008D641C">
        <w:t>(</w:t>
      </w:r>
      <w:r w:rsidRPr="005630DE">
        <w:t>HOPE</w:t>
      </w:r>
      <w:r w:rsidR="008D641C">
        <w:t xml:space="preserve"> </w:t>
      </w:r>
      <w:r w:rsidRPr="005630DE">
        <w:t>I and II</w:t>
      </w:r>
      <w:r w:rsidR="008D641C">
        <w:t>)</w:t>
      </w:r>
      <w:r w:rsidRPr="005630DE">
        <w:t xml:space="preserve"> </w:t>
      </w:r>
      <w:r w:rsidR="001D2BC2">
        <w:t xml:space="preserve">and the </w:t>
      </w:r>
      <w:r w:rsidR="001D2BC2" w:rsidRPr="00542316">
        <w:rPr>
          <w:i/>
        </w:rPr>
        <w:t>Haiti Economic Lift Program Act of 2010</w:t>
      </w:r>
      <w:r w:rsidR="001D2BC2">
        <w:t xml:space="preserve"> (</w:t>
      </w:r>
      <w:r w:rsidRPr="005630DE">
        <w:t>HELP</w:t>
      </w:r>
      <w:r w:rsidR="001D2BC2">
        <w:t>)</w:t>
      </w:r>
      <w:r w:rsidRPr="005630DE">
        <w:t xml:space="preserve">, </w:t>
      </w:r>
      <w:r w:rsidR="00D4257A">
        <w:t>which provided special trade rules for export of Hait</w:t>
      </w:r>
      <w:r w:rsidR="003D49F1">
        <w:t>ian-manufactured apparel</w:t>
      </w:r>
      <w:r w:rsidR="007536A4">
        <w:t xml:space="preserve"> to the United States</w:t>
      </w:r>
      <w:r w:rsidRPr="005630DE">
        <w:t>.</w:t>
      </w:r>
      <w:r w:rsidR="00A135BF">
        <w:rPr>
          <w:rStyle w:val="FootnoteReference"/>
        </w:rPr>
        <w:footnoteReference w:id="2"/>
      </w:r>
      <w:r w:rsidRPr="005630DE">
        <w:t xml:space="preserve"> </w:t>
      </w:r>
      <w:proofErr w:type="gramStart"/>
      <w:r w:rsidRPr="005630DE">
        <w:t xml:space="preserve">Imports were supported by low trade barriers and 15-year tax holidays, implemented by the </w:t>
      </w:r>
      <w:r w:rsidR="008D0D60">
        <w:t>g</w:t>
      </w:r>
      <w:r w:rsidRPr="005630DE">
        <w:t>overnment of Haiti</w:t>
      </w:r>
      <w:proofErr w:type="gramEnd"/>
      <w:r w:rsidRPr="005630DE">
        <w:t xml:space="preserve">. </w:t>
      </w:r>
      <w:r w:rsidR="008D0D60">
        <w:t>Haiti</w:t>
      </w:r>
      <w:r w:rsidRPr="005630DE">
        <w:t xml:space="preserve"> also received foreign aid from countries such as the United States, Canada, </w:t>
      </w:r>
      <w:r w:rsidR="008D0D60">
        <w:t xml:space="preserve">and </w:t>
      </w:r>
      <w:r w:rsidRPr="005630DE">
        <w:t>China</w:t>
      </w:r>
      <w:r w:rsidR="008D0D60">
        <w:t>,</w:t>
      </w:r>
      <w:r w:rsidRPr="005630DE">
        <w:t xml:space="preserve"> the European Union</w:t>
      </w:r>
      <w:r w:rsidR="005438C6">
        <w:t>,</w:t>
      </w:r>
      <w:r w:rsidRPr="005630DE">
        <w:t xml:space="preserve"> and organizations such as the International Monetary Fund and the World Bank, </w:t>
      </w:r>
      <w:r w:rsidR="00821EB8">
        <w:t>providing</w:t>
      </w:r>
      <w:r w:rsidR="00821EB8" w:rsidRPr="005630DE">
        <w:t xml:space="preserve"> </w:t>
      </w:r>
      <w:r w:rsidRPr="005630DE">
        <w:t>about 40</w:t>
      </w:r>
      <w:r w:rsidR="001B160C">
        <w:t> per cent</w:t>
      </w:r>
      <w:r w:rsidRPr="005630DE">
        <w:t xml:space="preserve"> of </w:t>
      </w:r>
      <w:r w:rsidR="00821EB8">
        <w:t>the country’s</w:t>
      </w:r>
      <w:r w:rsidR="00821EB8" w:rsidRPr="005630DE">
        <w:t xml:space="preserve"> </w:t>
      </w:r>
      <w:r w:rsidRPr="005630DE">
        <w:t xml:space="preserve">$3 billion annual budget. By 2013, Haiti had a population of approximately 9.89 million and the United Nations Human Development Report listed the country as the poorest in the </w:t>
      </w:r>
      <w:r w:rsidR="00FF644E">
        <w:t>w</w:t>
      </w:r>
      <w:r w:rsidRPr="005630DE">
        <w:t xml:space="preserve">estern </w:t>
      </w:r>
      <w:r w:rsidR="00FF644E">
        <w:t>h</w:t>
      </w:r>
      <w:r w:rsidRPr="005630DE">
        <w:t>emisphere.</w:t>
      </w:r>
    </w:p>
    <w:p w14:paraId="11401A4A" w14:textId="77777777" w:rsidR="00D1107F" w:rsidRPr="005630DE" w:rsidRDefault="00D1107F" w:rsidP="00D1107F">
      <w:pPr>
        <w:pStyle w:val="BodyTextMain"/>
      </w:pPr>
    </w:p>
    <w:p w14:paraId="633D401A" w14:textId="34654149" w:rsidR="00D1107F" w:rsidRPr="005630DE" w:rsidRDefault="00D1107F" w:rsidP="00D1107F">
      <w:pPr>
        <w:pStyle w:val="BodyTextMain"/>
      </w:pPr>
      <w:r w:rsidRPr="005630DE">
        <w:t xml:space="preserve">Haiti’s geology was mainly rough and mountainous, although the </w:t>
      </w:r>
      <w:proofErr w:type="gramStart"/>
      <w:r w:rsidRPr="005630DE">
        <w:t>country’s</w:t>
      </w:r>
      <w:proofErr w:type="gramEnd"/>
      <w:r w:rsidRPr="005630DE">
        <w:t xml:space="preserve"> eastern mountain ridge cut off trade winds, making the climate tropical and semiarid, ideal for agriculture. The island was centrally located in the Caribbean </w:t>
      </w:r>
      <w:r w:rsidR="00FF644E">
        <w:t xml:space="preserve">Sea; </w:t>
      </w:r>
      <w:r w:rsidRPr="005630DE">
        <w:t>Haiti’s coastline was one of the longest in the region (1,771 k</w:t>
      </w:r>
      <w:r w:rsidR="005438C6">
        <w:t>ilo</w:t>
      </w:r>
      <w:r w:rsidRPr="005630DE">
        <w:t>m</w:t>
      </w:r>
      <w:r w:rsidR="005438C6">
        <w:t>etres</w:t>
      </w:r>
      <w:r w:rsidRPr="005630DE">
        <w:t>), containing over a dozen ports, the largest</w:t>
      </w:r>
      <w:r w:rsidR="005438C6">
        <w:t xml:space="preserve"> being</w:t>
      </w:r>
      <w:r w:rsidRPr="005630DE">
        <w:t xml:space="preserve"> in Port-au-Prince, the nation’s capital. The country operated two international airports and maintained two major highways that ran across the country. In 2013, due to </w:t>
      </w:r>
      <w:r w:rsidR="005438C6">
        <w:t>Haiti’s</w:t>
      </w:r>
      <w:r w:rsidR="005438C6" w:rsidRPr="005630DE">
        <w:t xml:space="preserve"> </w:t>
      </w:r>
      <w:r w:rsidRPr="005630DE">
        <w:t>proximity to other markets and growing tourism and trade environment, many airlines offered direct flights from major cities, such as New York City (3 hours), Miami and Fort Lauderdale (1.5 hours), Montreal (4</w:t>
      </w:r>
      <w:r w:rsidR="008D0D60">
        <w:t> </w:t>
      </w:r>
      <w:r w:rsidRPr="005630DE">
        <w:t>hours), France, Dominican Republic, Cuba</w:t>
      </w:r>
      <w:r w:rsidR="005438C6">
        <w:t>,</w:t>
      </w:r>
      <w:r w:rsidRPr="005630DE">
        <w:t xml:space="preserve"> and Guadalupe. Although Haiti </w:t>
      </w:r>
      <w:proofErr w:type="gramStart"/>
      <w:r w:rsidRPr="005630DE">
        <w:t xml:space="preserve">was </w:t>
      </w:r>
      <w:r w:rsidR="005438C6" w:rsidRPr="005630DE">
        <w:t xml:space="preserve">politically </w:t>
      </w:r>
      <w:r w:rsidRPr="005630DE">
        <w:t>separated</w:t>
      </w:r>
      <w:proofErr w:type="gramEnd"/>
      <w:r w:rsidRPr="005630DE">
        <w:t xml:space="preserve"> into 10 regions, the country was commonly divided into four geographical regions (see Exhibits </w:t>
      </w:r>
      <w:r w:rsidR="00DC72EB">
        <w:t>2</w:t>
      </w:r>
      <w:r w:rsidR="00B949FE">
        <w:t xml:space="preserve"> to </w:t>
      </w:r>
      <w:r w:rsidR="00DC72EB">
        <w:t>5</w:t>
      </w:r>
      <w:r w:rsidRPr="005630DE">
        <w:t>).</w:t>
      </w:r>
    </w:p>
    <w:p w14:paraId="3FD120A1" w14:textId="77777777" w:rsidR="00D1107F" w:rsidRPr="005630DE" w:rsidRDefault="00D1107F" w:rsidP="00D1107F">
      <w:pPr>
        <w:pStyle w:val="BodyTextMain"/>
      </w:pPr>
    </w:p>
    <w:p w14:paraId="54DD8BA4" w14:textId="42F788ED" w:rsidR="00D1107F" w:rsidRPr="00B949FE" w:rsidRDefault="00D1107F" w:rsidP="00D1107F">
      <w:pPr>
        <w:pStyle w:val="BodyTextMain"/>
        <w:rPr>
          <w:spacing w:val="-2"/>
          <w:kern w:val="22"/>
        </w:rPr>
      </w:pPr>
      <w:r w:rsidRPr="00B949FE">
        <w:rPr>
          <w:spacing w:val="-2"/>
          <w:kern w:val="22"/>
        </w:rPr>
        <w:t xml:space="preserve">Haiti’s culture </w:t>
      </w:r>
      <w:proofErr w:type="gramStart"/>
      <w:r w:rsidRPr="00B949FE">
        <w:rPr>
          <w:spacing w:val="-2"/>
          <w:kern w:val="22"/>
        </w:rPr>
        <w:t>was grounded</w:t>
      </w:r>
      <w:proofErr w:type="gramEnd"/>
      <w:r w:rsidRPr="00B949FE">
        <w:rPr>
          <w:spacing w:val="-2"/>
          <w:kern w:val="22"/>
        </w:rPr>
        <w:t xml:space="preserve"> in its African, French</w:t>
      </w:r>
      <w:r w:rsidR="005438C6" w:rsidRPr="00B949FE">
        <w:rPr>
          <w:spacing w:val="-2"/>
          <w:kern w:val="22"/>
        </w:rPr>
        <w:t>,</w:t>
      </w:r>
      <w:r w:rsidRPr="00B949FE">
        <w:rPr>
          <w:spacing w:val="-2"/>
          <w:kern w:val="22"/>
        </w:rPr>
        <w:t xml:space="preserve"> and Spanish roots. The country’s official language was French, while the common language was Haitian Creole. Many of the Haitian business community also spoke English </w:t>
      </w:r>
      <w:proofErr w:type="gramStart"/>
      <w:r w:rsidR="00446D44" w:rsidRPr="00B949FE">
        <w:rPr>
          <w:spacing w:val="-2"/>
          <w:kern w:val="22"/>
        </w:rPr>
        <w:t>as a result</w:t>
      </w:r>
      <w:proofErr w:type="gramEnd"/>
      <w:r w:rsidR="00446D44" w:rsidRPr="00B949FE">
        <w:rPr>
          <w:spacing w:val="-2"/>
          <w:kern w:val="22"/>
        </w:rPr>
        <w:t xml:space="preserve"> of</w:t>
      </w:r>
      <w:r w:rsidRPr="00B949FE">
        <w:rPr>
          <w:spacing w:val="-2"/>
          <w:kern w:val="22"/>
        </w:rPr>
        <w:t xml:space="preserve"> their extensive dealings with international trade and investment. As part of Haiti’s recovery from the past and the </w:t>
      </w:r>
      <w:r w:rsidR="00446D44" w:rsidRPr="00B949FE">
        <w:rPr>
          <w:spacing w:val="-2"/>
          <w:kern w:val="22"/>
        </w:rPr>
        <w:t xml:space="preserve">more </w:t>
      </w:r>
      <w:r w:rsidRPr="00B949FE">
        <w:rPr>
          <w:spacing w:val="-2"/>
          <w:kern w:val="22"/>
        </w:rPr>
        <w:t xml:space="preserve">recent 2010 earthquake that killed over 100,000 people, the nation’s government had aggressively pursued social and economic reform. </w:t>
      </w:r>
      <w:r w:rsidR="00587E65" w:rsidRPr="00B949FE">
        <w:rPr>
          <w:spacing w:val="-2"/>
          <w:kern w:val="22"/>
        </w:rPr>
        <w:t>Because of</w:t>
      </w:r>
      <w:r w:rsidR="00DD14E0" w:rsidRPr="00B949FE">
        <w:rPr>
          <w:spacing w:val="-2"/>
          <w:kern w:val="22"/>
        </w:rPr>
        <w:t xml:space="preserve"> </w:t>
      </w:r>
      <w:r w:rsidRPr="00B949FE">
        <w:rPr>
          <w:spacing w:val="-2"/>
          <w:kern w:val="22"/>
        </w:rPr>
        <w:t xml:space="preserve">Haiti’s centrality in the region, rich land and culture, and hardworking people, </w:t>
      </w:r>
      <w:r w:rsidR="001B6692" w:rsidRPr="00B949FE">
        <w:rPr>
          <w:spacing w:val="-2"/>
          <w:kern w:val="22"/>
        </w:rPr>
        <w:t xml:space="preserve">Haiti </w:t>
      </w:r>
      <w:proofErr w:type="gramStart"/>
      <w:r w:rsidR="001B6692" w:rsidRPr="00B949FE">
        <w:rPr>
          <w:spacing w:val="-2"/>
          <w:kern w:val="22"/>
        </w:rPr>
        <w:t>is often referred</w:t>
      </w:r>
      <w:proofErr w:type="gramEnd"/>
      <w:r w:rsidR="001B6692" w:rsidRPr="00B949FE">
        <w:rPr>
          <w:spacing w:val="-2"/>
          <w:kern w:val="22"/>
        </w:rPr>
        <w:t xml:space="preserve"> to </w:t>
      </w:r>
      <w:r w:rsidRPr="00B949FE">
        <w:rPr>
          <w:spacing w:val="-2"/>
          <w:kern w:val="22"/>
        </w:rPr>
        <w:t>as the “Pearl of the Caribbean.”</w:t>
      </w:r>
    </w:p>
    <w:p w14:paraId="5242F389" w14:textId="77777777" w:rsidR="00D1107F" w:rsidRPr="005630DE" w:rsidRDefault="00D1107F" w:rsidP="00D1107F">
      <w:pPr>
        <w:pStyle w:val="BodyTextMain"/>
      </w:pPr>
    </w:p>
    <w:p w14:paraId="6D85AA41" w14:textId="77777777" w:rsidR="00D1107F" w:rsidRPr="005630DE" w:rsidRDefault="00D1107F" w:rsidP="00D1107F">
      <w:pPr>
        <w:pStyle w:val="BodyTextMain"/>
      </w:pPr>
    </w:p>
    <w:p w14:paraId="3BE17780" w14:textId="77777777" w:rsidR="00D1107F" w:rsidRPr="005630DE" w:rsidRDefault="00D1107F" w:rsidP="00A85BD3">
      <w:pPr>
        <w:pStyle w:val="Casehead1"/>
        <w:outlineLvl w:val="0"/>
      </w:pPr>
      <w:r w:rsidRPr="005630DE">
        <w:t>ENERGY AND ELECTRICITY</w:t>
      </w:r>
    </w:p>
    <w:p w14:paraId="53B234F4" w14:textId="77777777" w:rsidR="00D1107F" w:rsidRPr="005630DE" w:rsidRDefault="00D1107F" w:rsidP="00D1107F">
      <w:pPr>
        <w:pStyle w:val="BodyTextMain"/>
      </w:pPr>
    </w:p>
    <w:p w14:paraId="76A64B1B" w14:textId="095A41D8" w:rsidR="00D1107F" w:rsidRPr="005630DE" w:rsidRDefault="00D1107F" w:rsidP="00D1107F">
      <w:pPr>
        <w:pStyle w:val="BodyTextMain"/>
      </w:pPr>
      <w:r w:rsidRPr="005630DE">
        <w:t xml:space="preserve">As Haiti worked toward socio-economic reform, a preoccupation of the government was the country’s infrastructure, with a particular focus on the need for competitively priced and reliable power. Haiti’s energy consumption </w:t>
      </w:r>
      <w:proofErr w:type="gramStart"/>
      <w:r w:rsidRPr="005630DE">
        <w:t>was largely provided</w:t>
      </w:r>
      <w:proofErr w:type="gramEnd"/>
      <w:r w:rsidRPr="005630DE">
        <w:t xml:space="preserve"> through biomass products (69</w:t>
      </w:r>
      <w:r w:rsidR="001B160C">
        <w:t> per cent</w:t>
      </w:r>
      <w:r w:rsidR="00AB74A4">
        <w:t>;</w:t>
      </w:r>
      <w:r w:rsidR="00D13D57">
        <w:t xml:space="preserve"> comprised of</w:t>
      </w:r>
      <w:r w:rsidRPr="005630DE">
        <w:t xml:space="preserve"> wood, charcoal</w:t>
      </w:r>
      <w:r w:rsidR="00D13D57">
        <w:t>,</w:t>
      </w:r>
      <w:r w:rsidRPr="005630DE">
        <w:t xml:space="preserve"> and sugar cane residue) and petroleum products (30</w:t>
      </w:r>
      <w:r w:rsidR="001B160C">
        <w:t> per cent</w:t>
      </w:r>
      <w:r w:rsidR="00AB74A4">
        <w:t>;</w:t>
      </w:r>
      <w:r w:rsidR="00D13D57">
        <w:t xml:space="preserve"> comprised of</w:t>
      </w:r>
      <w:r w:rsidRPr="005630DE">
        <w:t xml:space="preserve"> gas, diesel, oil</w:t>
      </w:r>
      <w:r w:rsidR="00D13D57">
        <w:t>,</w:t>
      </w:r>
      <w:r w:rsidRPr="005630DE">
        <w:t xml:space="preserve"> and kerosene). As of early 2014, only 1</w:t>
      </w:r>
      <w:r w:rsidR="001B160C">
        <w:t> per cent</w:t>
      </w:r>
      <w:r w:rsidRPr="005630DE">
        <w:t xml:space="preserve"> of the nation’s energy </w:t>
      </w:r>
      <w:proofErr w:type="gramStart"/>
      <w:r w:rsidRPr="005630DE">
        <w:t>was provided</w:t>
      </w:r>
      <w:proofErr w:type="gramEnd"/>
      <w:r w:rsidRPr="005630DE">
        <w:t xml:space="preserve"> by electricity, through the state-owned EDH. Given that petroleum products </w:t>
      </w:r>
      <w:proofErr w:type="gramStart"/>
      <w:r w:rsidRPr="005630DE">
        <w:t>were imported</w:t>
      </w:r>
      <w:proofErr w:type="gramEnd"/>
      <w:r w:rsidRPr="005630DE">
        <w:t xml:space="preserve"> into the country, operating costs were highly vulnerable to rising and unstable oil prices. The market for energy provided through biomass products was $200 million per year, while overall energy consumption approached $800 million, including a $200 million subsidy to EDH from the </w:t>
      </w:r>
      <w:r w:rsidR="008D0D60">
        <w:t>g</w:t>
      </w:r>
      <w:r w:rsidRPr="005630DE">
        <w:t>overnment of Haiti.</w:t>
      </w:r>
    </w:p>
    <w:p w14:paraId="58BD5D71" w14:textId="67D3B5BB" w:rsidR="00D1107F" w:rsidRPr="005630DE" w:rsidRDefault="00D1107F" w:rsidP="00D1107F">
      <w:pPr>
        <w:pStyle w:val="BodyTextMain"/>
      </w:pPr>
      <w:r w:rsidRPr="005630DE">
        <w:lastRenderedPageBreak/>
        <w:t>Energy was consumed mainly in the residential sector (62</w:t>
      </w:r>
      <w:r w:rsidR="001B160C">
        <w:t> per cent</w:t>
      </w:r>
      <w:r w:rsidRPr="005630DE">
        <w:t xml:space="preserve">) </w:t>
      </w:r>
      <w:proofErr w:type="gramStart"/>
      <w:r w:rsidRPr="005630DE">
        <w:t>for the purpose of</w:t>
      </w:r>
      <w:proofErr w:type="gramEnd"/>
      <w:r w:rsidRPr="005630DE">
        <w:t xml:space="preserve"> cooking and everyday living. The remaining energy was consumed in the industrial sector (21</w:t>
      </w:r>
      <w:r w:rsidR="001B160C">
        <w:t> per </w:t>
      </w:r>
      <w:proofErr w:type="gramStart"/>
      <w:r w:rsidR="001B160C">
        <w:t>cent</w:t>
      </w:r>
      <w:r w:rsidRPr="005630DE">
        <w:t>),</w:t>
      </w:r>
      <w:proofErr w:type="gramEnd"/>
      <w:r w:rsidRPr="005630DE">
        <w:t xml:space="preserve"> </w:t>
      </w:r>
      <w:r w:rsidR="00710188">
        <w:t xml:space="preserve">and by </w:t>
      </w:r>
      <w:r w:rsidRPr="005630DE">
        <w:t>transportation (14</w:t>
      </w:r>
      <w:r w:rsidR="001B160C">
        <w:t> per cent</w:t>
      </w:r>
      <w:r w:rsidRPr="005630DE">
        <w:t>) and services (3</w:t>
      </w:r>
      <w:r w:rsidR="001B160C">
        <w:t> per cent</w:t>
      </w:r>
      <w:r w:rsidRPr="005630DE">
        <w:t>) (</w:t>
      </w:r>
      <w:r w:rsidR="00710188">
        <w:t>s</w:t>
      </w:r>
      <w:r w:rsidRPr="005630DE">
        <w:t xml:space="preserve">ee </w:t>
      </w:r>
      <w:r w:rsidRPr="005630DE">
        <w:fldChar w:fldCharType="begin"/>
      </w:r>
      <w:r w:rsidRPr="005630DE">
        <w:instrText xml:space="preserve"> REF _Ref390521760 \h  \* MERGEFORMAT </w:instrText>
      </w:r>
      <w:r w:rsidRPr="005630DE">
        <w:fldChar w:fldCharType="separate"/>
      </w:r>
      <w:r w:rsidR="00BB6432" w:rsidRPr="005630DE">
        <w:t>Exhibit</w:t>
      </w:r>
      <w:r w:rsidR="00BB6432">
        <w:t xml:space="preserve"> 6</w:t>
      </w:r>
      <w:r w:rsidRPr="005630DE">
        <w:fldChar w:fldCharType="end"/>
      </w:r>
      <w:r w:rsidRPr="005630DE">
        <w:t>)</w:t>
      </w:r>
      <w:r w:rsidR="00710188">
        <w:t>.</w:t>
      </w:r>
      <w:r w:rsidRPr="005630DE">
        <w:t xml:space="preserve"> Although</w:t>
      </w:r>
      <w:r w:rsidR="00A554E2">
        <w:t xml:space="preserve"> annual</w:t>
      </w:r>
      <w:r w:rsidRPr="005630DE">
        <w:t xml:space="preserve"> energy consumption per capita was approximately 60 </w:t>
      </w:r>
      <w:r w:rsidR="00FF644E">
        <w:t>kilowatt-hours (</w:t>
      </w:r>
      <w:r w:rsidRPr="005630DE">
        <w:t>kWh</w:t>
      </w:r>
      <w:r w:rsidR="00FF644E">
        <w:t>)</w:t>
      </w:r>
      <w:r w:rsidRPr="005630DE">
        <w:t xml:space="preserve"> in 1990, it f</w:t>
      </w:r>
      <w:r w:rsidR="007F2C48">
        <w:t>ell</w:t>
      </w:r>
      <w:r w:rsidRPr="005630DE">
        <w:t xml:space="preserve"> and fluctuated dramatically between 1990 and 2012 due to extreme weather, the earthquake</w:t>
      </w:r>
      <w:r w:rsidR="00710188">
        <w:t>,</w:t>
      </w:r>
      <w:r w:rsidRPr="005630DE">
        <w:t xml:space="preserve"> and a deteriorating infrastructure. In 2012, average consumption per capita was approximately 32 kWh.</w:t>
      </w:r>
    </w:p>
    <w:p w14:paraId="73B6A2BF" w14:textId="77777777" w:rsidR="00D1107F" w:rsidRPr="005630DE" w:rsidRDefault="00D1107F" w:rsidP="00D1107F">
      <w:pPr>
        <w:pStyle w:val="BodyTextMain"/>
      </w:pPr>
    </w:p>
    <w:p w14:paraId="408E6C67" w14:textId="3FEFC4F7" w:rsidR="00D1107F" w:rsidRPr="005630DE" w:rsidRDefault="00710188" w:rsidP="00D1107F">
      <w:pPr>
        <w:pStyle w:val="BodyTextMain"/>
      </w:pPr>
      <w:r>
        <w:t>With</w:t>
      </w:r>
      <w:r w:rsidR="00D1107F" w:rsidRPr="005630DE">
        <w:t xml:space="preserve"> the lack of available energy, a market of informal power producers emerged alongside the formal market. Small, less sophisticated industrial and commercial users began subcontracting energy to other dealers and small entrepreneurs. These small</w:t>
      </w:r>
      <w:r w:rsidR="00E83CE1">
        <w:t>-</w:t>
      </w:r>
      <w:r w:rsidR="00D1107F" w:rsidRPr="005630DE">
        <w:t>scale generating facilities were relatively inefficient and came with very high production costs. The government, however, allowed this informal market to continue given the general lack of available electricity supply.</w:t>
      </w:r>
    </w:p>
    <w:p w14:paraId="32E17E5D" w14:textId="77777777" w:rsidR="00D1107F" w:rsidRPr="005630DE" w:rsidRDefault="00D1107F" w:rsidP="00D1107F">
      <w:pPr>
        <w:pStyle w:val="BodyTextMain"/>
      </w:pPr>
    </w:p>
    <w:p w14:paraId="0FB9928D" w14:textId="533FBF86" w:rsidR="00D1107F" w:rsidRPr="005630DE" w:rsidRDefault="00D1107F" w:rsidP="00D1107F">
      <w:pPr>
        <w:pStyle w:val="BodyTextMain"/>
      </w:pPr>
      <w:r w:rsidRPr="005630DE">
        <w:t xml:space="preserve">Small remote communities of Haiti posed additional challenges for the provision of energy. </w:t>
      </w:r>
      <w:r w:rsidR="0098791C">
        <w:t>With small population sizes, these areas had relatively low p</w:t>
      </w:r>
      <w:r w:rsidRPr="005630DE">
        <w:t xml:space="preserve">ower needs, ranging </w:t>
      </w:r>
      <w:r w:rsidR="007F2C48">
        <w:t>from</w:t>
      </w:r>
      <w:r w:rsidRPr="005630DE">
        <w:t xml:space="preserve"> 125 kW to </w:t>
      </w:r>
      <w:proofErr w:type="gramStart"/>
      <w:r w:rsidRPr="005630DE">
        <w:t>1</w:t>
      </w:r>
      <w:proofErr w:type="gramEnd"/>
      <w:r w:rsidRPr="005630DE">
        <w:t xml:space="preserve"> MW. Because the capital investment for reaching these communities and building a local power generation unit far exceeded the potential revenue stream, many </w:t>
      </w:r>
      <w:r w:rsidR="003F0760">
        <w:t xml:space="preserve">areas </w:t>
      </w:r>
      <w:r w:rsidRPr="005630DE">
        <w:t xml:space="preserve">were served through low power diesel generators, which were costly to operate </w:t>
      </w:r>
      <w:proofErr w:type="gramStart"/>
      <w:r w:rsidR="00F7766A">
        <w:t>as a result</w:t>
      </w:r>
      <w:proofErr w:type="gramEnd"/>
      <w:r w:rsidR="00F7766A">
        <w:t xml:space="preserve"> of</w:t>
      </w:r>
      <w:r w:rsidRPr="005630DE">
        <w:t xml:space="preserve"> their dependency on imported fuel. Potential energy sources for these areas included solar, micro-hydro, wind, and urban waste. </w:t>
      </w:r>
    </w:p>
    <w:p w14:paraId="5D37D9C0" w14:textId="77777777" w:rsidR="00D1107F" w:rsidRPr="005630DE" w:rsidRDefault="00D1107F" w:rsidP="00D1107F">
      <w:pPr>
        <w:pStyle w:val="BodyTextMain"/>
      </w:pPr>
    </w:p>
    <w:p w14:paraId="42A9933C" w14:textId="77777777" w:rsidR="00D1107F" w:rsidRPr="005630DE" w:rsidRDefault="00D1107F" w:rsidP="00D1107F">
      <w:pPr>
        <w:pStyle w:val="BodyTextMain"/>
      </w:pPr>
    </w:p>
    <w:p w14:paraId="7E8241A1" w14:textId="737E32F0" w:rsidR="00D1107F" w:rsidRPr="005630DE" w:rsidRDefault="00D1107F" w:rsidP="00A85BD3">
      <w:pPr>
        <w:pStyle w:val="Casehead1"/>
        <w:outlineLvl w:val="0"/>
      </w:pPr>
      <w:r w:rsidRPr="005630DE">
        <w:t>ÉLECTRICITÉ D'HAÏTI</w:t>
      </w:r>
    </w:p>
    <w:p w14:paraId="661CBFB6" w14:textId="77777777" w:rsidR="00D1107F" w:rsidRPr="005630DE" w:rsidRDefault="00D1107F" w:rsidP="00D1107F">
      <w:pPr>
        <w:pStyle w:val="BodyTextMain"/>
      </w:pPr>
    </w:p>
    <w:p w14:paraId="77F39DA1" w14:textId="6C9F9360" w:rsidR="00D1107F" w:rsidRPr="005630DE" w:rsidRDefault="00D1107F" w:rsidP="00D1107F">
      <w:pPr>
        <w:pStyle w:val="BodyTextMain"/>
      </w:pPr>
      <w:r w:rsidRPr="005630DE">
        <w:t xml:space="preserve">In 2013, Haiti had the lowest electricity </w:t>
      </w:r>
      <w:r w:rsidR="004C731B" w:rsidRPr="005630DE">
        <w:t xml:space="preserve">coverage </w:t>
      </w:r>
      <w:r w:rsidRPr="005630DE">
        <w:t xml:space="preserve">in the </w:t>
      </w:r>
      <w:r w:rsidR="0088579B">
        <w:t>w</w:t>
      </w:r>
      <w:r w:rsidRPr="005630DE">
        <w:t xml:space="preserve">estern </w:t>
      </w:r>
      <w:r w:rsidR="0088579B">
        <w:t>h</w:t>
      </w:r>
      <w:r w:rsidRPr="005630DE">
        <w:t>emisphere with only 12.5</w:t>
      </w:r>
      <w:r w:rsidR="001B160C">
        <w:t> per cent</w:t>
      </w:r>
      <w:r w:rsidRPr="005630DE">
        <w:t xml:space="preserve"> of the population having regular, legal access, and an additional 12.5</w:t>
      </w:r>
      <w:r w:rsidR="001B160C">
        <w:t> per cent</w:t>
      </w:r>
      <w:r w:rsidRPr="005630DE">
        <w:t xml:space="preserve"> having illegal connections. </w:t>
      </w:r>
      <w:r w:rsidR="00490F22">
        <w:t>EDH</w:t>
      </w:r>
      <w:r w:rsidRPr="005630DE">
        <w:t xml:space="preserve">, the state-owned electricity provider, </w:t>
      </w:r>
      <w:proofErr w:type="gramStart"/>
      <w:r w:rsidRPr="005630DE">
        <w:t>was established</w:t>
      </w:r>
      <w:proofErr w:type="gramEnd"/>
      <w:r w:rsidRPr="005630DE">
        <w:t xml:space="preserve"> in 1971 as a vertically integrated monopoly, responsible for the production, procurement</w:t>
      </w:r>
      <w:r w:rsidR="004C731B">
        <w:t>,</w:t>
      </w:r>
      <w:r w:rsidRPr="005630DE">
        <w:t xml:space="preserve"> and distribution of electricity throughout Haiti.</w:t>
      </w:r>
      <w:r w:rsidR="004C731B">
        <w:rPr>
          <w:rStyle w:val="FootnoteReference"/>
        </w:rPr>
        <w:footnoteReference w:id="3"/>
      </w:r>
      <w:r w:rsidRPr="005630DE">
        <w:t xml:space="preserve"> Although the original intent was for EDH to produce most of the electricity it supplied, over the years, EDH unbundled its service such that most power generation was assigned to independent power producers (using </w:t>
      </w:r>
      <w:r w:rsidR="004C731B">
        <w:t>p</w:t>
      </w:r>
      <w:r w:rsidRPr="005630DE">
        <w:t xml:space="preserve">ower </w:t>
      </w:r>
      <w:r w:rsidR="004C731B">
        <w:t>p</w:t>
      </w:r>
      <w:r w:rsidRPr="005630DE">
        <w:t xml:space="preserve">urchasing </w:t>
      </w:r>
      <w:r w:rsidR="004C731B">
        <w:t>a</w:t>
      </w:r>
      <w:r w:rsidRPr="005630DE">
        <w:t xml:space="preserve">greements), with EDH as the single buyer. There were some exceptions to this legislation, however. First, independent power generation was authorized for self-use, which encouraged private businesses to generate their own power. Second, the government legislated </w:t>
      </w:r>
      <w:r w:rsidR="00F54027">
        <w:t>“</w:t>
      </w:r>
      <w:r w:rsidRPr="005630DE">
        <w:t>free zone</w:t>
      </w:r>
      <w:r w:rsidR="00F54027">
        <w:t>s”</w:t>
      </w:r>
      <w:r w:rsidRPr="005630DE">
        <w:t xml:space="preserve"> and industrial par</w:t>
      </w:r>
      <w:r w:rsidR="00F54027">
        <w:t>k</w:t>
      </w:r>
      <w:r w:rsidRPr="005630DE">
        <w:t xml:space="preserve"> power production, </w:t>
      </w:r>
      <w:r w:rsidR="00F54027">
        <w:t xml:space="preserve">where </w:t>
      </w:r>
      <w:r w:rsidRPr="005630DE">
        <w:t xml:space="preserve">operators </w:t>
      </w:r>
      <w:proofErr w:type="gramStart"/>
      <w:r w:rsidR="00F54027">
        <w:t>were authorized</w:t>
      </w:r>
      <w:proofErr w:type="gramEnd"/>
      <w:r w:rsidR="00F54027">
        <w:t xml:space="preserve"> </w:t>
      </w:r>
      <w:r w:rsidRPr="005630DE">
        <w:t>to generate and distribute electricity (for a fee) within a specified boundary.</w:t>
      </w:r>
    </w:p>
    <w:p w14:paraId="57F314A2" w14:textId="77777777" w:rsidR="00D1107F" w:rsidRPr="005630DE" w:rsidRDefault="00D1107F" w:rsidP="00D1107F">
      <w:pPr>
        <w:pStyle w:val="BodyTextMain"/>
      </w:pPr>
    </w:p>
    <w:p w14:paraId="236B8177" w14:textId="77777777" w:rsidR="00D1107F" w:rsidRPr="005630DE" w:rsidRDefault="00D1107F" w:rsidP="00D1107F">
      <w:pPr>
        <w:pStyle w:val="BodyTextMain"/>
      </w:pPr>
    </w:p>
    <w:p w14:paraId="6E527A4F" w14:textId="77777777" w:rsidR="00D1107F" w:rsidRPr="005630DE" w:rsidRDefault="00D1107F" w:rsidP="00A85BD3">
      <w:pPr>
        <w:pStyle w:val="Casehead2"/>
        <w:outlineLvl w:val="0"/>
      </w:pPr>
      <w:r w:rsidRPr="005630DE">
        <w:t>Governance</w:t>
      </w:r>
    </w:p>
    <w:p w14:paraId="6D2B1EDC" w14:textId="77777777" w:rsidR="00D1107F" w:rsidRPr="005630DE" w:rsidRDefault="00D1107F" w:rsidP="00D1107F">
      <w:pPr>
        <w:pStyle w:val="BodyTextMain"/>
      </w:pPr>
    </w:p>
    <w:p w14:paraId="6EB5CEB3" w14:textId="2DC9701F" w:rsidR="00D1107F" w:rsidRPr="005630DE" w:rsidRDefault="00D1107F" w:rsidP="00D1107F">
      <w:pPr>
        <w:pStyle w:val="BodyTextMain"/>
      </w:pPr>
      <w:r w:rsidRPr="005630DE">
        <w:t xml:space="preserve">In 2013, the </w:t>
      </w:r>
      <w:r w:rsidR="008D0D60">
        <w:t>g</w:t>
      </w:r>
      <w:r w:rsidRPr="005630DE">
        <w:t>overnment of Haiti</w:t>
      </w:r>
      <w:r w:rsidR="005B7194">
        <w:t>, through the Ministry of Economy and Finance,</w:t>
      </w:r>
      <w:r w:rsidRPr="005630DE">
        <w:t xml:space="preserve"> earmarked $140 million for the energy sector, 5</w:t>
      </w:r>
      <w:r w:rsidR="001B160C">
        <w:t> per cent</w:t>
      </w:r>
      <w:r w:rsidRPr="005630DE">
        <w:t xml:space="preserve"> of its overall budget, </w:t>
      </w:r>
      <w:r w:rsidR="005B7194">
        <w:t xml:space="preserve">to </w:t>
      </w:r>
      <w:proofErr w:type="gramStart"/>
      <w:r w:rsidR="005B7194">
        <w:t xml:space="preserve">be </w:t>
      </w:r>
      <w:r w:rsidRPr="005630DE">
        <w:t>shared</w:t>
      </w:r>
      <w:proofErr w:type="gramEnd"/>
      <w:r w:rsidRPr="005630DE">
        <w:t xml:space="preserve"> among the four ministries associated </w:t>
      </w:r>
      <w:r w:rsidR="00250A0E">
        <w:t>with</w:t>
      </w:r>
      <w:r w:rsidR="00250A0E" w:rsidRPr="005630DE">
        <w:t xml:space="preserve"> </w:t>
      </w:r>
      <w:r w:rsidRPr="005630DE">
        <w:t xml:space="preserve">energy (see </w:t>
      </w:r>
      <w:r w:rsidRPr="005630DE">
        <w:fldChar w:fldCharType="begin"/>
      </w:r>
      <w:r w:rsidRPr="005630DE">
        <w:instrText xml:space="preserve"> REF _Ref390524156 \h  \* MERGEFORMAT </w:instrText>
      </w:r>
      <w:r w:rsidRPr="005630DE">
        <w:fldChar w:fldCharType="separate"/>
      </w:r>
      <w:r w:rsidR="00BB6432" w:rsidRPr="005630DE">
        <w:t>Exhibit</w:t>
      </w:r>
      <w:r w:rsidR="00BB6432">
        <w:t xml:space="preserve"> </w:t>
      </w:r>
      <w:r w:rsidR="00BB6432">
        <w:rPr>
          <w:noProof/>
        </w:rPr>
        <w:t>7</w:t>
      </w:r>
      <w:r w:rsidRPr="005630DE">
        <w:fldChar w:fldCharType="end"/>
      </w:r>
      <w:r w:rsidRPr="005630DE">
        <w:t xml:space="preserve">). The Ministry of Public Works, Transport, and Telecommunications (MTPTC) was responsible for the management of the energy sector, including energy policy and regulation, but this played only a small part of </w:t>
      </w:r>
      <w:r w:rsidR="00250A0E">
        <w:t>the ministry’s</w:t>
      </w:r>
      <w:r w:rsidR="00250A0E" w:rsidRPr="005630DE">
        <w:t xml:space="preserve"> </w:t>
      </w:r>
      <w:r w:rsidRPr="005630DE">
        <w:t xml:space="preserve">overall responsibilities. The MTPTC shared the </w:t>
      </w:r>
      <w:r w:rsidR="005B7194">
        <w:t xml:space="preserve">government’s </w:t>
      </w:r>
      <w:r w:rsidRPr="005630DE">
        <w:t xml:space="preserve">energy funding with three other ministries: </w:t>
      </w:r>
      <w:r w:rsidR="00250A0E">
        <w:t xml:space="preserve">the </w:t>
      </w:r>
      <w:r w:rsidRPr="005630DE">
        <w:t xml:space="preserve">Ministry of Commerce and Industry, which regulated petroleum products; </w:t>
      </w:r>
      <w:r w:rsidR="00250A0E">
        <w:t xml:space="preserve">the </w:t>
      </w:r>
      <w:r w:rsidRPr="005630DE">
        <w:t xml:space="preserve">Ministry of Agriculture, Natural Resources, and Rural Development, which regulated biomass products; and the Ministry of the Environment, which regulated protected areas. The Ministry of Economy and Finance covered payments that </w:t>
      </w:r>
      <w:r w:rsidR="008B480F">
        <w:t xml:space="preserve">the state-owned </w:t>
      </w:r>
      <w:r w:rsidRPr="005630DE">
        <w:t>EDH was unable to make.</w:t>
      </w:r>
    </w:p>
    <w:p w14:paraId="4FC7A2EF" w14:textId="77777777" w:rsidR="00D1107F" w:rsidRPr="005630DE" w:rsidRDefault="00D1107F" w:rsidP="00D1107F">
      <w:pPr>
        <w:pStyle w:val="BodyTextMain"/>
      </w:pPr>
    </w:p>
    <w:p w14:paraId="38C2990B" w14:textId="7C53967D" w:rsidR="00D1107F" w:rsidRPr="005630DE" w:rsidRDefault="00D1107F" w:rsidP="00D1107F">
      <w:pPr>
        <w:pStyle w:val="BodyTextMain"/>
      </w:pPr>
      <w:r w:rsidRPr="005630DE">
        <w:lastRenderedPageBreak/>
        <w:t xml:space="preserve">The MTPTC included three main organizations, </w:t>
      </w:r>
      <w:r w:rsidR="007113D5">
        <w:t>one of which was</w:t>
      </w:r>
      <w:r w:rsidRPr="005630DE">
        <w:t xml:space="preserve"> the Office of the Minister Delegate of Energy Security, Jean-</w:t>
      </w:r>
      <w:proofErr w:type="spellStart"/>
      <w:r w:rsidRPr="005630DE">
        <w:t>Jumeau’s</w:t>
      </w:r>
      <w:proofErr w:type="spellEnd"/>
      <w:r w:rsidRPr="005630DE">
        <w:t xml:space="preserve"> department</w:t>
      </w:r>
      <w:r w:rsidR="008B480F">
        <w:t xml:space="preserve">. His department </w:t>
      </w:r>
      <w:r w:rsidRPr="005630DE">
        <w:t xml:space="preserve">was responsible </w:t>
      </w:r>
      <w:r w:rsidR="008B480F">
        <w:t>for</w:t>
      </w:r>
      <w:r w:rsidR="008B480F" w:rsidRPr="005630DE">
        <w:t xml:space="preserve"> </w:t>
      </w:r>
      <w:r w:rsidRPr="005630DE">
        <w:t>develop</w:t>
      </w:r>
      <w:r w:rsidR="008B480F">
        <w:t>ing</w:t>
      </w:r>
      <w:r w:rsidRPr="005630DE">
        <w:t xml:space="preserve"> regulations and policies. Jean-Jumeau, however, did not have full authority over the electricity sector. The Bureau of Mines and Energy, </w:t>
      </w:r>
      <w:r w:rsidR="008B480F">
        <w:t>another of</w:t>
      </w:r>
      <w:r w:rsidRPr="005630DE">
        <w:t xml:space="preserve"> MTPTC</w:t>
      </w:r>
      <w:r w:rsidR="008B480F">
        <w:t>’s three organizations</w:t>
      </w:r>
      <w:r w:rsidRPr="005630DE">
        <w:t>, previously had responsibility for energy policy, but with the creation of Jean-</w:t>
      </w:r>
      <w:proofErr w:type="spellStart"/>
      <w:r w:rsidRPr="005630DE">
        <w:t>Jumeau’s</w:t>
      </w:r>
      <w:proofErr w:type="spellEnd"/>
      <w:r w:rsidRPr="005630DE">
        <w:t xml:space="preserve"> department, </w:t>
      </w:r>
      <w:r w:rsidR="006C20D3">
        <w:t xml:space="preserve">the bureau </w:t>
      </w:r>
      <w:r w:rsidRPr="005630DE">
        <w:t xml:space="preserve">played less of a role. Finally, EDH itself sat within </w:t>
      </w:r>
      <w:r w:rsidR="006C20D3">
        <w:t>the MTPTC</w:t>
      </w:r>
      <w:r w:rsidRPr="005630DE">
        <w:t xml:space="preserve">, with the Minister of MTPTC acting as EDH’s </w:t>
      </w:r>
      <w:proofErr w:type="gramStart"/>
      <w:r w:rsidRPr="005630DE">
        <w:t>chairman</w:t>
      </w:r>
      <w:proofErr w:type="gramEnd"/>
      <w:r w:rsidRPr="005630DE">
        <w:t xml:space="preserve"> of the board.</w:t>
      </w:r>
    </w:p>
    <w:p w14:paraId="1C761C41" w14:textId="77777777" w:rsidR="00D1107F" w:rsidRPr="005630DE" w:rsidRDefault="00D1107F" w:rsidP="00D1107F">
      <w:pPr>
        <w:pStyle w:val="BodyTextMain"/>
      </w:pPr>
    </w:p>
    <w:p w14:paraId="7A26BA9C" w14:textId="77777777" w:rsidR="00D1107F" w:rsidRPr="005630DE" w:rsidRDefault="00D1107F" w:rsidP="00D1107F">
      <w:pPr>
        <w:pStyle w:val="BodyTextMain"/>
      </w:pPr>
    </w:p>
    <w:p w14:paraId="3AD1DA13" w14:textId="77777777" w:rsidR="00D1107F" w:rsidRPr="005630DE" w:rsidRDefault="00D1107F" w:rsidP="00A85BD3">
      <w:pPr>
        <w:pStyle w:val="Casehead2"/>
        <w:keepNext/>
        <w:outlineLvl w:val="0"/>
      </w:pPr>
      <w:r w:rsidRPr="005630DE">
        <w:t>Challenges</w:t>
      </w:r>
    </w:p>
    <w:p w14:paraId="1FA7D7DB" w14:textId="77777777" w:rsidR="00D1107F" w:rsidRPr="005630DE" w:rsidRDefault="00D1107F" w:rsidP="00065E25">
      <w:pPr>
        <w:pStyle w:val="BodyTextMain"/>
        <w:keepNext/>
      </w:pPr>
    </w:p>
    <w:p w14:paraId="0510B4F1" w14:textId="2981814D" w:rsidR="00D1107F" w:rsidRPr="005630DE" w:rsidRDefault="00D1107F" w:rsidP="00065E25">
      <w:pPr>
        <w:pStyle w:val="BodyTextMain"/>
        <w:keepNext/>
      </w:pPr>
      <w:r w:rsidRPr="005630DE">
        <w:t xml:space="preserve">EDH, and the provision of electricity in Haiti, faced a number of challenges. In 2013, the </w:t>
      </w:r>
      <w:r w:rsidR="008D0D60">
        <w:t>g</w:t>
      </w:r>
      <w:r w:rsidRPr="005630DE">
        <w:t xml:space="preserve">overnment of Haiti subsidized EDH with $170 million in response to damages caused by the 2010 earthquake and subsequent storms. In addition, lack of investment </w:t>
      </w:r>
      <w:r w:rsidR="006C20D3">
        <w:t>in</w:t>
      </w:r>
      <w:r w:rsidR="00E83CE1">
        <w:t>—</w:t>
      </w:r>
      <w:r w:rsidRPr="005630DE">
        <w:t xml:space="preserve">and maintenance </w:t>
      </w:r>
      <w:r w:rsidR="006C20D3">
        <w:t>of</w:t>
      </w:r>
      <w:r w:rsidR="00E83CE1">
        <w:t>—</w:t>
      </w:r>
      <w:r w:rsidRPr="005630DE">
        <w:t xml:space="preserve">equipment and ongoing vandalism had led to significant deterioration of the equipment, not only increasing overall operating costs but also reducing efficiency. In 2013, although EDH’s installed capacity was 270 MW, EDH was only able to provide 166 </w:t>
      </w:r>
      <w:r w:rsidR="004E5F35">
        <w:t>MW</w:t>
      </w:r>
      <w:r w:rsidRPr="005630DE">
        <w:t>. Peak power demand prior to the 2010 earthquake reached 500</w:t>
      </w:r>
      <w:r w:rsidR="00705E6C">
        <w:t xml:space="preserve"> megawatt-hours</w:t>
      </w:r>
      <w:r w:rsidRPr="005630DE">
        <w:t xml:space="preserve"> </w:t>
      </w:r>
      <w:r w:rsidR="00705E6C">
        <w:t>(</w:t>
      </w:r>
      <w:r w:rsidRPr="005630DE">
        <w:t>MW</w:t>
      </w:r>
      <w:r w:rsidR="004E5F35">
        <w:t>h</w:t>
      </w:r>
      <w:r w:rsidR="00705E6C">
        <w:t>)</w:t>
      </w:r>
      <w:r w:rsidRPr="005630DE">
        <w:t xml:space="preserve">. Demand </w:t>
      </w:r>
      <w:proofErr w:type="gramStart"/>
      <w:r w:rsidRPr="005630DE">
        <w:t>was expected</w:t>
      </w:r>
      <w:proofErr w:type="gramEnd"/>
      <w:r w:rsidRPr="005630DE">
        <w:t xml:space="preserve"> to grow to over 5</w:t>
      </w:r>
      <w:r w:rsidR="006C20D3">
        <w:t>,</w:t>
      </w:r>
      <w:r w:rsidRPr="005630DE">
        <w:t>000 MW</w:t>
      </w:r>
      <w:r w:rsidR="004E5F35">
        <w:t>h</w:t>
      </w:r>
      <w:r w:rsidRPr="005630DE">
        <w:t xml:space="preserve"> in 10 to 20 years.</w:t>
      </w:r>
    </w:p>
    <w:p w14:paraId="6CFA46DB" w14:textId="77777777" w:rsidR="00D1107F" w:rsidRPr="005630DE" w:rsidRDefault="00D1107F" w:rsidP="00D1107F">
      <w:pPr>
        <w:pStyle w:val="BodyTextMain"/>
      </w:pPr>
    </w:p>
    <w:p w14:paraId="587D406F" w14:textId="55C8051B" w:rsidR="00D1107F" w:rsidRPr="005630DE" w:rsidRDefault="00D1107F" w:rsidP="00D1107F">
      <w:pPr>
        <w:pStyle w:val="BodyTextMain"/>
      </w:pPr>
      <w:r w:rsidRPr="005630DE">
        <w:t>Diesel plants were EDH’s primary source of electricity, supplying about 80</w:t>
      </w:r>
      <w:r w:rsidR="001B160C">
        <w:t> per cent</w:t>
      </w:r>
      <w:r w:rsidRPr="005630DE">
        <w:t xml:space="preserve"> of its overall electrical capacity. EDH management estimated that by converting to a different energy source, such as heavy fuel, EDH could reduce its cost by 30</w:t>
      </w:r>
      <w:r w:rsidR="001B160C">
        <w:t> per cent</w:t>
      </w:r>
      <w:r w:rsidRPr="005630DE">
        <w:t>. The supply of electricity was generally unpredictable and expensive, with limited access</w:t>
      </w:r>
      <w:r w:rsidR="00F02E4B">
        <w:t xml:space="preserve"> (see Exhibit 8)</w:t>
      </w:r>
      <w:r w:rsidRPr="005630DE">
        <w:t xml:space="preserve">. Most of the installed capacity </w:t>
      </w:r>
      <w:proofErr w:type="gramStart"/>
      <w:r w:rsidRPr="005630DE">
        <w:t>was based</w:t>
      </w:r>
      <w:proofErr w:type="gramEnd"/>
      <w:r w:rsidRPr="005630DE">
        <w:t xml:space="preserve"> in the metro areas (75</w:t>
      </w:r>
      <w:r w:rsidR="001B160C">
        <w:t> per cent</w:t>
      </w:r>
      <w:r w:rsidRPr="005630DE">
        <w:t>), with the remaining capacity provided in remote areas through the diesel generators</w:t>
      </w:r>
      <w:r w:rsidR="003311AC">
        <w:t>.</w:t>
      </w:r>
    </w:p>
    <w:p w14:paraId="581DCC59" w14:textId="77777777" w:rsidR="00D1107F" w:rsidRPr="005630DE" w:rsidRDefault="00D1107F" w:rsidP="00D1107F">
      <w:pPr>
        <w:pStyle w:val="BodyTextMain"/>
      </w:pPr>
    </w:p>
    <w:p w14:paraId="0A354D00" w14:textId="7C802E40" w:rsidR="00D1107F" w:rsidRPr="005630DE" w:rsidRDefault="00D1107F" w:rsidP="00D1107F">
      <w:pPr>
        <w:pStyle w:val="BodyTextMain"/>
      </w:pPr>
      <w:r w:rsidRPr="005630DE">
        <w:t xml:space="preserve">EDH </w:t>
      </w:r>
      <w:r w:rsidR="00062922">
        <w:t xml:space="preserve">dealt with electricity theft and </w:t>
      </w:r>
      <w:r w:rsidRPr="005630DE">
        <w:t>only billed for a fraction of the electricity provided, collect</w:t>
      </w:r>
      <w:r w:rsidR="00062922">
        <w:t>ing</w:t>
      </w:r>
      <w:r w:rsidRPr="005630DE">
        <w:t xml:space="preserve"> an even smaller portion</w:t>
      </w:r>
      <w:r w:rsidR="00062922">
        <w:t xml:space="preserve"> of what </w:t>
      </w:r>
      <w:proofErr w:type="gramStart"/>
      <w:r w:rsidR="00062922">
        <w:t>was billed</w:t>
      </w:r>
      <w:proofErr w:type="gramEnd"/>
      <w:r w:rsidRPr="005630DE">
        <w:t>. Poor internal systems and controls, lack of metering systems, limited security measures</w:t>
      </w:r>
      <w:r w:rsidR="00062922">
        <w:t>,</w:t>
      </w:r>
      <w:r w:rsidRPr="005630DE">
        <w:t xml:space="preserve"> and an inability </w:t>
      </w:r>
      <w:proofErr w:type="gramStart"/>
      <w:r w:rsidRPr="005630DE">
        <w:t>to effectively track</w:t>
      </w:r>
      <w:proofErr w:type="gramEnd"/>
      <w:r w:rsidRPr="005630DE">
        <w:t xml:space="preserve"> accounts receivables led to a cash recovery index of, on average, 40 to 50</w:t>
      </w:r>
      <w:r w:rsidR="001B160C">
        <w:t> per cent</w:t>
      </w:r>
      <w:r w:rsidRPr="005630DE">
        <w:t>, compared to a minimum required value of 70</w:t>
      </w:r>
      <w:r w:rsidR="001B160C">
        <w:t> per cent</w:t>
      </w:r>
      <w:r w:rsidRPr="005630DE">
        <w:t>. Collections reached an all-time low of 10</w:t>
      </w:r>
      <w:r w:rsidR="001B160C">
        <w:t> per cent</w:t>
      </w:r>
      <w:r w:rsidRPr="005630DE">
        <w:t xml:space="preserve"> during the period immediately after the earthquake </w:t>
      </w:r>
      <w:r w:rsidR="00E74F52">
        <w:t>in 2010</w:t>
      </w:r>
      <w:r w:rsidRPr="005630DE">
        <w:t xml:space="preserve">. None of this accounted for the electricity that </w:t>
      </w:r>
      <w:proofErr w:type="gramStart"/>
      <w:r w:rsidRPr="005630DE">
        <w:t>was illegal</w:t>
      </w:r>
      <w:r w:rsidR="0085148B">
        <w:t>ly</w:t>
      </w:r>
      <w:r w:rsidRPr="005630DE">
        <w:t xml:space="preserve"> obtained</w:t>
      </w:r>
      <w:proofErr w:type="gramEnd"/>
      <w:r w:rsidRPr="005630DE">
        <w:t>.</w:t>
      </w:r>
    </w:p>
    <w:p w14:paraId="39D7A43C" w14:textId="77777777" w:rsidR="00D1107F" w:rsidRPr="005630DE" w:rsidRDefault="00D1107F" w:rsidP="00D1107F">
      <w:pPr>
        <w:pStyle w:val="BodyTextMain"/>
      </w:pPr>
    </w:p>
    <w:p w14:paraId="20C46438" w14:textId="77777777" w:rsidR="00D1107F" w:rsidRPr="005630DE" w:rsidRDefault="00D1107F" w:rsidP="00D1107F">
      <w:pPr>
        <w:pStyle w:val="BodyTextMain"/>
      </w:pPr>
    </w:p>
    <w:p w14:paraId="29458AB1" w14:textId="77777777" w:rsidR="00D1107F" w:rsidRPr="005630DE" w:rsidRDefault="00D1107F" w:rsidP="00A85BD3">
      <w:pPr>
        <w:pStyle w:val="Casehead2"/>
        <w:outlineLvl w:val="0"/>
      </w:pPr>
      <w:r w:rsidRPr="005630DE">
        <w:t>Opportunities</w:t>
      </w:r>
    </w:p>
    <w:p w14:paraId="6BE673AD" w14:textId="77777777" w:rsidR="00D1107F" w:rsidRPr="005630DE" w:rsidRDefault="00D1107F" w:rsidP="00D1107F">
      <w:pPr>
        <w:pStyle w:val="BodyTextMain"/>
      </w:pPr>
    </w:p>
    <w:p w14:paraId="02F0A9B7" w14:textId="7CC06F67" w:rsidR="00D1107F" w:rsidRPr="00E524BD" w:rsidRDefault="00D1107F" w:rsidP="00D1107F">
      <w:pPr>
        <w:pStyle w:val="BodyTextMain"/>
        <w:rPr>
          <w:spacing w:val="-4"/>
          <w:kern w:val="22"/>
        </w:rPr>
      </w:pPr>
      <w:r w:rsidRPr="00E524BD">
        <w:rPr>
          <w:spacing w:val="-4"/>
          <w:kern w:val="22"/>
        </w:rPr>
        <w:t xml:space="preserve">EDH experimented with other sources of electricity in an effort to reduce its dependency on petroleum products. </w:t>
      </w:r>
      <w:r w:rsidR="00E83CE1">
        <w:rPr>
          <w:spacing w:val="-4"/>
          <w:kern w:val="22"/>
        </w:rPr>
        <w:t>It</w:t>
      </w:r>
      <w:r w:rsidRPr="00E524BD">
        <w:rPr>
          <w:spacing w:val="-4"/>
          <w:kern w:val="22"/>
        </w:rPr>
        <w:t xml:space="preserve"> operated a full</w:t>
      </w:r>
      <w:r w:rsidR="00E83CE1">
        <w:rPr>
          <w:spacing w:val="-4"/>
          <w:kern w:val="22"/>
        </w:rPr>
        <w:t>-</w:t>
      </w:r>
      <w:r w:rsidRPr="00E524BD">
        <w:rPr>
          <w:spacing w:val="-4"/>
          <w:kern w:val="22"/>
        </w:rPr>
        <w:t xml:space="preserve">scale </w:t>
      </w:r>
      <w:proofErr w:type="gramStart"/>
      <w:r w:rsidR="00F37088" w:rsidRPr="00E524BD">
        <w:rPr>
          <w:spacing w:val="-4"/>
          <w:kern w:val="22"/>
        </w:rPr>
        <w:t>h</w:t>
      </w:r>
      <w:r w:rsidRPr="00E524BD">
        <w:rPr>
          <w:spacing w:val="-4"/>
          <w:kern w:val="22"/>
        </w:rPr>
        <w:t xml:space="preserve">ydro </w:t>
      </w:r>
      <w:r w:rsidR="00F37088" w:rsidRPr="00E524BD">
        <w:rPr>
          <w:spacing w:val="-4"/>
          <w:kern w:val="22"/>
        </w:rPr>
        <w:t>p</w:t>
      </w:r>
      <w:r w:rsidRPr="00E524BD">
        <w:rPr>
          <w:spacing w:val="-4"/>
          <w:kern w:val="22"/>
        </w:rPr>
        <w:t>ower</w:t>
      </w:r>
      <w:proofErr w:type="gramEnd"/>
      <w:r w:rsidRPr="00E524BD">
        <w:rPr>
          <w:spacing w:val="-4"/>
          <w:kern w:val="22"/>
        </w:rPr>
        <w:t xml:space="preserve"> production facility in </w:t>
      </w:r>
      <w:proofErr w:type="spellStart"/>
      <w:r w:rsidRPr="00E524BD">
        <w:rPr>
          <w:spacing w:val="-4"/>
          <w:kern w:val="22"/>
        </w:rPr>
        <w:t>P</w:t>
      </w:r>
      <w:r w:rsidR="00AB3C5A" w:rsidRPr="00E524BD">
        <w:rPr>
          <w:spacing w:val="-4"/>
          <w:kern w:val="22"/>
        </w:rPr>
        <w:t>é</w:t>
      </w:r>
      <w:r w:rsidRPr="00E524BD">
        <w:rPr>
          <w:spacing w:val="-4"/>
          <w:kern w:val="22"/>
        </w:rPr>
        <w:t>ligre</w:t>
      </w:r>
      <w:proofErr w:type="spellEnd"/>
      <w:r w:rsidR="00E83CE1">
        <w:rPr>
          <w:spacing w:val="-4"/>
          <w:kern w:val="22"/>
        </w:rPr>
        <w:t>,</w:t>
      </w:r>
      <w:r w:rsidRPr="00E524BD">
        <w:rPr>
          <w:spacing w:val="-4"/>
          <w:kern w:val="22"/>
        </w:rPr>
        <w:t xml:space="preserve"> but </w:t>
      </w:r>
      <w:r w:rsidR="00AB3C5A" w:rsidRPr="00E524BD">
        <w:rPr>
          <w:spacing w:val="-4"/>
          <w:kern w:val="22"/>
        </w:rPr>
        <w:t>with</w:t>
      </w:r>
      <w:r w:rsidRPr="00E524BD">
        <w:rPr>
          <w:spacing w:val="-4"/>
          <w:kern w:val="22"/>
        </w:rPr>
        <w:t xml:space="preserve"> old and failing equipment and ongoing repairs, the facility did not operate at full capacity</w:t>
      </w:r>
      <w:r w:rsidR="00AB3C5A" w:rsidRPr="00E524BD">
        <w:rPr>
          <w:spacing w:val="-4"/>
          <w:kern w:val="22"/>
        </w:rPr>
        <w:t>:</w:t>
      </w:r>
      <w:r w:rsidRPr="00E524BD">
        <w:rPr>
          <w:spacing w:val="-4"/>
          <w:kern w:val="22"/>
        </w:rPr>
        <w:t xml:space="preserve"> of the available 187 MW, only 62 MW were used. The plant’s solar energy radiation averaged 5</w:t>
      </w:r>
      <w:r w:rsidR="0034646C" w:rsidRPr="00E524BD">
        <w:rPr>
          <w:spacing w:val="-4"/>
          <w:kern w:val="22"/>
        </w:rPr>
        <w:t xml:space="preserve"> kilowatt-hours per square metre per day</w:t>
      </w:r>
      <w:r w:rsidRPr="00E524BD">
        <w:rPr>
          <w:spacing w:val="-4"/>
          <w:kern w:val="22"/>
        </w:rPr>
        <w:t xml:space="preserve"> </w:t>
      </w:r>
      <w:r w:rsidR="0034646C" w:rsidRPr="00E524BD">
        <w:rPr>
          <w:spacing w:val="-4"/>
          <w:kern w:val="22"/>
        </w:rPr>
        <w:t>(</w:t>
      </w:r>
      <w:r w:rsidRPr="00E524BD">
        <w:rPr>
          <w:spacing w:val="-4"/>
          <w:kern w:val="22"/>
        </w:rPr>
        <w:t>kWh/m</w:t>
      </w:r>
      <w:r w:rsidRPr="00E524BD">
        <w:rPr>
          <w:spacing w:val="-4"/>
          <w:kern w:val="22"/>
          <w:vertAlign w:val="superscript"/>
        </w:rPr>
        <w:t>2</w:t>
      </w:r>
      <w:r w:rsidRPr="00E524BD">
        <w:rPr>
          <w:spacing w:val="-4"/>
          <w:kern w:val="22"/>
        </w:rPr>
        <w:t>/day</w:t>
      </w:r>
      <w:r w:rsidR="0034646C" w:rsidRPr="00E524BD">
        <w:rPr>
          <w:spacing w:val="-4"/>
          <w:kern w:val="22"/>
        </w:rPr>
        <w:t>)</w:t>
      </w:r>
      <w:r w:rsidRPr="00E524BD">
        <w:rPr>
          <w:spacing w:val="-4"/>
          <w:kern w:val="22"/>
        </w:rPr>
        <w:t>.</w:t>
      </w:r>
      <w:r w:rsidR="00F25AE4" w:rsidRPr="00E524BD">
        <w:rPr>
          <w:rStyle w:val="FootnoteReference"/>
          <w:spacing w:val="-4"/>
          <w:kern w:val="22"/>
        </w:rPr>
        <w:footnoteReference w:id="4"/>
      </w:r>
      <w:r w:rsidRPr="00E524BD">
        <w:rPr>
          <w:spacing w:val="-4"/>
          <w:kern w:val="22"/>
        </w:rPr>
        <w:t xml:space="preserve"> </w:t>
      </w:r>
    </w:p>
    <w:p w14:paraId="65AB7A50" w14:textId="77777777" w:rsidR="00D1107F" w:rsidRPr="005630DE" w:rsidRDefault="00D1107F" w:rsidP="00D1107F">
      <w:pPr>
        <w:pStyle w:val="BodyTextMain"/>
      </w:pPr>
    </w:p>
    <w:p w14:paraId="7E804F0A" w14:textId="01BB2DFF" w:rsidR="00D1107F" w:rsidRPr="005630DE" w:rsidRDefault="00D1107F" w:rsidP="00D1107F">
      <w:pPr>
        <w:pStyle w:val="BodyTextMain"/>
      </w:pPr>
      <w:r w:rsidRPr="005630DE">
        <w:t>In addition to its full</w:t>
      </w:r>
      <w:r w:rsidR="007F2C48">
        <w:t>-</w:t>
      </w:r>
      <w:r w:rsidRPr="005630DE">
        <w:t xml:space="preserve">scale </w:t>
      </w:r>
      <w:proofErr w:type="gramStart"/>
      <w:r w:rsidR="00AB3C5A">
        <w:t>h</w:t>
      </w:r>
      <w:r w:rsidRPr="005630DE">
        <w:t xml:space="preserve">ydro </w:t>
      </w:r>
      <w:r w:rsidR="00AB3C5A">
        <w:t>p</w:t>
      </w:r>
      <w:r w:rsidRPr="005630DE">
        <w:t>ower</w:t>
      </w:r>
      <w:proofErr w:type="gramEnd"/>
      <w:r w:rsidRPr="005630DE">
        <w:t xml:space="preserve"> production facility, EDH operated six micro-hydro units, but they too were in </w:t>
      </w:r>
      <w:r w:rsidR="00AB3C5A">
        <w:t xml:space="preserve">a </w:t>
      </w:r>
      <w:r w:rsidRPr="005630DE">
        <w:t xml:space="preserve">state of disrepair and not operating to their combined 150 </w:t>
      </w:r>
      <w:r w:rsidR="004E5F35">
        <w:t>MW</w:t>
      </w:r>
      <w:r w:rsidRPr="005630DE">
        <w:t xml:space="preserve"> capacity. EDH felt, however, that these </w:t>
      </w:r>
      <w:r w:rsidR="00AB3C5A">
        <w:t xml:space="preserve">micro-hydro units </w:t>
      </w:r>
      <w:r w:rsidRPr="005630DE">
        <w:t>were a worthwhile investment. Although the initial capital requirements were significant, planning, building, maintaining</w:t>
      </w:r>
      <w:r w:rsidR="00AB3C5A">
        <w:t>,</w:t>
      </w:r>
      <w:r w:rsidRPr="005630DE">
        <w:t xml:space="preserve"> and operating a micro-hydro unit was not technically difficult. The benefit also meant a reduction of the use of biomass fuels, thereby protecting the significantly eroded landscape of Haiti</w:t>
      </w:r>
      <w:r w:rsidR="00E83CE1">
        <w:t xml:space="preserve">, which </w:t>
      </w:r>
      <w:proofErr w:type="gramStart"/>
      <w:r w:rsidRPr="005630DE">
        <w:t>had been brought on</w:t>
      </w:r>
      <w:proofErr w:type="gramEnd"/>
      <w:r w:rsidRPr="005630DE">
        <w:t xml:space="preserve"> by the burning of biomass fuels. EDH also considered other </w:t>
      </w:r>
      <w:r w:rsidRPr="005630DE">
        <w:lastRenderedPageBreak/>
        <w:t>technologies that could reduce reliance on imported petroleum projects and deforestation, including liquefied natural gas generation and wind generation.</w:t>
      </w:r>
    </w:p>
    <w:p w14:paraId="1B652CC5" w14:textId="77777777" w:rsidR="00D1107F" w:rsidRPr="005630DE" w:rsidRDefault="00D1107F" w:rsidP="00D1107F">
      <w:pPr>
        <w:pStyle w:val="BodyTextMain"/>
      </w:pPr>
    </w:p>
    <w:p w14:paraId="1373380B" w14:textId="77777777" w:rsidR="00D1107F" w:rsidRPr="005630DE" w:rsidRDefault="00D1107F" w:rsidP="00D1107F">
      <w:pPr>
        <w:pStyle w:val="BodyTextMain"/>
      </w:pPr>
    </w:p>
    <w:p w14:paraId="4639B37F" w14:textId="77777777" w:rsidR="00D1107F" w:rsidRPr="005630DE" w:rsidRDefault="00D1107F" w:rsidP="00A85BD3">
      <w:pPr>
        <w:pStyle w:val="Casehead2"/>
        <w:outlineLvl w:val="0"/>
      </w:pPr>
      <w:r w:rsidRPr="005630DE">
        <w:t>International Investment</w:t>
      </w:r>
    </w:p>
    <w:p w14:paraId="2EA7DD23" w14:textId="77777777" w:rsidR="00D1107F" w:rsidRPr="005630DE" w:rsidRDefault="00D1107F" w:rsidP="00D1107F">
      <w:pPr>
        <w:pStyle w:val="BodyTextMain"/>
      </w:pPr>
    </w:p>
    <w:p w14:paraId="78DB64EC" w14:textId="628BCDEE" w:rsidR="00D1107F" w:rsidRPr="005630DE" w:rsidRDefault="00D1107F" w:rsidP="00D1107F">
      <w:pPr>
        <w:pStyle w:val="BodyTextMain"/>
      </w:pPr>
      <w:r w:rsidRPr="005630DE">
        <w:t xml:space="preserve">EDH jointly managed a number of small projects and studies </w:t>
      </w:r>
      <w:r w:rsidR="00854A8F">
        <w:t xml:space="preserve">with </w:t>
      </w:r>
      <w:r w:rsidR="00854A8F" w:rsidRPr="005630DE">
        <w:t>various international agencies</w:t>
      </w:r>
      <w:r w:rsidR="00854A8F">
        <w:t xml:space="preserve"> funding the projects</w:t>
      </w:r>
      <w:r w:rsidRPr="005630DE">
        <w:t xml:space="preserve">. These projects </w:t>
      </w:r>
      <w:proofErr w:type="gramStart"/>
      <w:r w:rsidRPr="005630DE">
        <w:t>were often initiated by the international agency itself, and managed as a stand-alone activity with varying objectives and outcomes</w:t>
      </w:r>
      <w:proofErr w:type="gramEnd"/>
      <w:r w:rsidRPr="005630DE">
        <w:t>. For example, the Inter</w:t>
      </w:r>
      <w:r w:rsidR="00B226AF">
        <w:t>-</w:t>
      </w:r>
      <w:r w:rsidRPr="005630DE">
        <w:t xml:space="preserve">American Development </w:t>
      </w:r>
      <w:r w:rsidR="00B226AF">
        <w:t>B</w:t>
      </w:r>
      <w:r w:rsidRPr="005630DE">
        <w:t xml:space="preserve">ank was involved in the rehabilitation of distribution circuits in Port-au-Prince. </w:t>
      </w:r>
      <w:proofErr w:type="gramStart"/>
      <w:r w:rsidRPr="005630DE">
        <w:t>In 2013, the World Bank provided EDH with $11 million to cover losses, and was considering a $90 million grant for a new project.</w:t>
      </w:r>
      <w:proofErr w:type="gramEnd"/>
      <w:r w:rsidRPr="005630DE">
        <w:t xml:space="preserve"> </w:t>
      </w:r>
      <w:proofErr w:type="gramStart"/>
      <w:r w:rsidR="00B226AF">
        <w:t>The United States Agency for International Development</w:t>
      </w:r>
      <w:r w:rsidR="00E83CE1">
        <w:t xml:space="preserve"> </w:t>
      </w:r>
      <w:r w:rsidRPr="005630DE">
        <w:t>refurbished a number of small hydro plants and was considering an investment in northeast Haiti for a large</w:t>
      </w:r>
      <w:r w:rsidR="00F7215E">
        <w:t>,</w:t>
      </w:r>
      <w:r w:rsidRPr="005630DE">
        <w:t xml:space="preserve"> renewable</w:t>
      </w:r>
      <w:r w:rsidR="00F7215E">
        <w:t>-</w:t>
      </w:r>
      <w:r w:rsidRPr="005630DE">
        <w:t xml:space="preserve">energy </w:t>
      </w:r>
      <w:r w:rsidR="00F7215E" w:rsidRPr="005630DE">
        <w:t xml:space="preserve">rural </w:t>
      </w:r>
      <w:r w:rsidRPr="005630DE">
        <w:t>supply.</w:t>
      </w:r>
      <w:proofErr w:type="gramEnd"/>
      <w:r w:rsidRPr="005630DE">
        <w:t xml:space="preserve"> The </w:t>
      </w:r>
      <w:r w:rsidR="00B226AF">
        <w:t xml:space="preserve">International Atomic Energy Agency </w:t>
      </w:r>
      <w:r w:rsidR="00A048BE">
        <w:t>(l’</w:t>
      </w:r>
      <w:proofErr w:type="spellStart"/>
      <w:r w:rsidR="00A048BE">
        <w:rPr>
          <w:lang w:val="en-US"/>
        </w:rPr>
        <w:t>Agence</w:t>
      </w:r>
      <w:proofErr w:type="spellEnd"/>
      <w:r w:rsidR="00A048BE">
        <w:rPr>
          <w:lang w:val="en-US"/>
        </w:rPr>
        <w:t xml:space="preserve"> </w:t>
      </w:r>
      <w:proofErr w:type="spellStart"/>
      <w:r w:rsidR="00A048BE">
        <w:rPr>
          <w:lang w:val="en-US"/>
        </w:rPr>
        <w:t>Internationale</w:t>
      </w:r>
      <w:proofErr w:type="spellEnd"/>
      <w:r w:rsidR="00A048BE">
        <w:rPr>
          <w:lang w:val="en-US"/>
        </w:rPr>
        <w:t xml:space="preserve"> de </w:t>
      </w:r>
      <w:proofErr w:type="spellStart"/>
      <w:r w:rsidR="00A048BE">
        <w:rPr>
          <w:lang w:val="en-US"/>
        </w:rPr>
        <w:t>l'Énergie</w:t>
      </w:r>
      <w:proofErr w:type="spellEnd"/>
      <w:r w:rsidR="00A048BE">
        <w:rPr>
          <w:lang w:val="en-US"/>
        </w:rPr>
        <w:t xml:space="preserve"> </w:t>
      </w:r>
      <w:proofErr w:type="spellStart"/>
      <w:r w:rsidR="00A048BE">
        <w:rPr>
          <w:lang w:val="en-US"/>
        </w:rPr>
        <w:t>A</w:t>
      </w:r>
      <w:r w:rsidR="00A048BE" w:rsidRPr="00A048BE">
        <w:rPr>
          <w:lang w:val="en-US"/>
        </w:rPr>
        <w:t>tomique</w:t>
      </w:r>
      <w:proofErr w:type="spellEnd"/>
      <w:r w:rsidR="00A048BE">
        <w:rPr>
          <w:lang w:val="en-US"/>
        </w:rPr>
        <w:t xml:space="preserve">) </w:t>
      </w:r>
      <w:r w:rsidRPr="005630DE">
        <w:t>contributed toward the preparation of the country’s 2007</w:t>
      </w:r>
      <w:r w:rsidR="00651C5C">
        <w:t>–</w:t>
      </w:r>
      <w:r w:rsidRPr="005630DE">
        <w:t>2017 strategic plan</w:t>
      </w:r>
      <w:r w:rsidR="00394818">
        <w:t xml:space="preserve"> for electricity</w:t>
      </w:r>
      <w:r w:rsidRPr="005630DE">
        <w:t xml:space="preserve">. The Canadian International Development Agency had a long history in Haiti as a semi-autonomous distribution utility and was interested in expanding its scope. </w:t>
      </w:r>
      <w:r w:rsidR="00E83CE1">
        <w:t>It</w:t>
      </w:r>
      <w:r w:rsidRPr="005630DE">
        <w:t xml:space="preserve"> also played a role coordinat</w:t>
      </w:r>
      <w:r w:rsidR="00394818">
        <w:t>ing</w:t>
      </w:r>
      <w:r w:rsidRPr="005630DE">
        <w:t xml:space="preserve"> international donations. </w:t>
      </w:r>
    </w:p>
    <w:p w14:paraId="13BBB071" w14:textId="77777777" w:rsidR="00D1107F" w:rsidRPr="005630DE" w:rsidRDefault="00D1107F" w:rsidP="00D1107F">
      <w:pPr>
        <w:pStyle w:val="BodyTextMain"/>
      </w:pPr>
    </w:p>
    <w:p w14:paraId="226C9886" w14:textId="28680296" w:rsidR="00D1107F" w:rsidRPr="005630DE" w:rsidRDefault="00D1107F" w:rsidP="00D1107F">
      <w:pPr>
        <w:pStyle w:val="BodyTextMain"/>
      </w:pPr>
      <w:r w:rsidRPr="005630DE">
        <w:t>In 2011, the United Nations Development Programme launched a small</w:t>
      </w:r>
      <w:r w:rsidR="00E83CE1">
        <w:t>-</w:t>
      </w:r>
      <w:r w:rsidRPr="005630DE">
        <w:t xml:space="preserve">scale </w:t>
      </w:r>
      <w:proofErr w:type="gramStart"/>
      <w:r w:rsidRPr="005630DE">
        <w:t>hydro power</w:t>
      </w:r>
      <w:proofErr w:type="gramEnd"/>
      <w:r w:rsidRPr="005630DE">
        <w:t xml:space="preserve"> development project valued at $3 million that, by the end of 2014, would create regional grids and eventually employ local Haitians to manage and operate the plants. This project would also reduce </w:t>
      </w:r>
      <w:r w:rsidR="00070F0B">
        <w:t>carbon</w:t>
      </w:r>
      <w:r w:rsidRPr="005630DE">
        <w:t xml:space="preserve"> emissions by </w:t>
      </w:r>
      <w:r w:rsidR="00070F0B">
        <w:t>850,000</w:t>
      </w:r>
      <w:r w:rsidR="00153EB4">
        <w:t xml:space="preserve"> tons</w:t>
      </w:r>
      <w:r w:rsidR="008D0D60">
        <w:t>.</w:t>
      </w:r>
      <w:r w:rsidR="00153EB4">
        <w:t xml:space="preserve"> </w:t>
      </w:r>
      <w:r w:rsidRPr="005630DE">
        <w:t>The Norwegian government, already having experience in Nicaragua, contributed toward this project and had $3 million available in escrow for future investment.</w:t>
      </w:r>
    </w:p>
    <w:p w14:paraId="3B240C5F" w14:textId="77777777" w:rsidR="00D1107F" w:rsidRPr="005630DE" w:rsidRDefault="00D1107F" w:rsidP="00D1107F">
      <w:pPr>
        <w:pStyle w:val="BodyTextMain"/>
      </w:pPr>
    </w:p>
    <w:p w14:paraId="70FB5B1F" w14:textId="77777777" w:rsidR="00D1107F" w:rsidRPr="005630DE" w:rsidRDefault="00D1107F" w:rsidP="00D1107F">
      <w:pPr>
        <w:pStyle w:val="BodyTextMain"/>
      </w:pPr>
    </w:p>
    <w:p w14:paraId="75E3A075" w14:textId="77777777" w:rsidR="00D1107F" w:rsidRPr="005630DE" w:rsidRDefault="00D1107F" w:rsidP="00A85BD3">
      <w:pPr>
        <w:pStyle w:val="Casehead1"/>
        <w:outlineLvl w:val="0"/>
      </w:pPr>
      <w:r w:rsidRPr="005630DE">
        <w:t>ENERGIZING HAITI</w:t>
      </w:r>
    </w:p>
    <w:p w14:paraId="388F8D6F" w14:textId="77777777" w:rsidR="00D1107F" w:rsidRPr="005630DE" w:rsidRDefault="00D1107F" w:rsidP="00D1107F">
      <w:pPr>
        <w:pStyle w:val="BodyTextMain"/>
      </w:pPr>
    </w:p>
    <w:p w14:paraId="7631A893" w14:textId="315200B0" w:rsidR="00D1107F" w:rsidRPr="00E524BD" w:rsidRDefault="00D1107F" w:rsidP="00D1107F">
      <w:pPr>
        <w:pStyle w:val="BodyTextMain"/>
        <w:rPr>
          <w:bCs/>
          <w:spacing w:val="-2"/>
          <w:kern w:val="22"/>
        </w:rPr>
      </w:pPr>
      <w:r w:rsidRPr="00E524BD">
        <w:rPr>
          <w:bCs/>
          <w:spacing w:val="-2"/>
          <w:kern w:val="22"/>
        </w:rPr>
        <w:t>Jean-Jumeau began consider</w:t>
      </w:r>
      <w:r w:rsidR="00394818" w:rsidRPr="00E524BD">
        <w:rPr>
          <w:bCs/>
          <w:spacing w:val="-2"/>
          <w:kern w:val="22"/>
        </w:rPr>
        <w:t>ing</w:t>
      </w:r>
      <w:r w:rsidRPr="00E524BD">
        <w:rPr>
          <w:bCs/>
          <w:spacing w:val="-2"/>
          <w:kern w:val="22"/>
        </w:rPr>
        <w:t xml:space="preserve"> the various options required </w:t>
      </w:r>
      <w:proofErr w:type="gramStart"/>
      <w:r w:rsidRPr="00E524BD">
        <w:rPr>
          <w:bCs/>
          <w:spacing w:val="-2"/>
          <w:kern w:val="22"/>
        </w:rPr>
        <w:t>to support</w:t>
      </w:r>
      <w:proofErr w:type="gramEnd"/>
      <w:r w:rsidRPr="00E524BD">
        <w:rPr>
          <w:bCs/>
          <w:spacing w:val="-2"/>
          <w:kern w:val="22"/>
        </w:rPr>
        <w:t xml:space="preserve"> Haiti’s socio-economic reform. With the country’s push for increasing foreign direct investment, it was critical that the energy infrastructure undergo a significant transformation in order to provide competitively priced, reliable electricity to businesses. </w:t>
      </w:r>
      <w:r w:rsidR="00E83CE1">
        <w:rPr>
          <w:bCs/>
          <w:spacing w:val="-2"/>
          <w:kern w:val="22"/>
        </w:rPr>
        <w:t>In a</w:t>
      </w:r>
      <w:r w:rsidRPr="00E524BD">
        <w:rPr>
          <w:bCs/>
          <w:spacing w:val="-2"/>
          <w:kern w:val="22"/>
        </w:rPr>
        <w:t xml:space="preserve">ddition, the residents of Haiti were in dire need of a low-cost, reliable solution that would allow them to move away from biomass and petroleum products, which were </w:t>
      </w:r>
      <w:r w:rsidR="00E34B0B" w:rsidRPr="00E524BD">
        <w:rPr>
          <w:bCs/>
          <w:spacing w:val="-2"/>
          <w:kern w:val="22"/>
        </w:rPr>
        <w:t>expensive</w:t>
      </w:r>
      <w:r w:rsidRPr="00E524BD">
        <w:rPr>
          <w:bCs/>
          <w:spacing w:val="-2"/>
          <w:kern w:val="22"/>
        </w:rPr>
        <w:t xml:space="preserve"> and bad for the environment.</w:t>
      </w:r>
    </w:p>
    <w:p w14:paraId="6A1CF3A7" w14:textId="77777777" w:rsidR="00D1107F" w:rsidRPr="005630DE" w:rsidRDefault="00D1107F" w:rsidP="00D1107F">
      <w:pPr>
        <w:pStyle w:val="BodyTextMain"/>
        <w:rPr>
          <w:bCs/>
        </w:rPr>
      </w:pPr>
    </w:p>
    <w:p w14:paraId="73BC4F5E" w14:textId="03747E44" w:rsidR="00D1107F" w:rsidRPr="005630DE" w:rsidRDefault="00E81122" w:rsidP="00D1107F">
      <w:pPr>
        <w:pStyle w:val="BodyTextMain"/>
        <w:rPr>
          <w:bCs/>
        </w:rPr>
      </w:pPr>
      <w:r>
        <w:rPr>
          <w:bCs/>
        </w:rPr>
        <w:t>The minister</w:t>
      </w:r>
      <w:r w:rsidR="00D1107F" w:rsidRPr="005630DE">
        <w:rPr>
          <w:bCs/>
        </w:rPr>
        <w:t xml:space="preserve"> </w:t>
      </w:r>
      <w:r>
        <w:rPr>
          <w:bCs/>
        </w:rPr>
        <w:t>looked at</w:t>
      </w:r>
      <w:r w:rsidRPr="005630DE">
        <w:rPr>
          <w:bCs/>
        </w:rPr>
        <w:t xml:space="preserve"> </w:t>
      </w:r>
      <w:r w:rsidR="00D1107F" w:rsidRPr="005630DE">
        <w:rPr>
          <w:bCs/>
        </w:rPr>
        <w:t xml:space="preserve">the opportunity from an investment perspective. Although EDH’s assets were in need of investment, the state-owned enterprise had a large installed base and numerous partnerships with the private sector. Haiti itself had a labour force that was ready and willing to work, at a highly competitive cost (see </w:t>
      </w:r>
      <w:r w:rsidR="00E74F52" w:rsidRPr="005630DE">
        <w:fldChar w:fldCharType="begin"/>
      </w:r>
      <w:r w:rsidR="00E74F52" w:rsidRPr="005630DE">
        <w:instrText xml:space="preserve"> REF _Ref390602858 \h  \* MERGEFORMAT </w:instrText>
      </w:r>
      <w:r w:rsidR="00E74F52" w:rsidRPr="005630DE">
        <w:fldChar w:fldCharType="separate"/>
      </w:r>
      <w:r w:rsidR="00BB6432" w:rsidRPr="005630DE">
        <w:t>Exhibit</w:t>
      </w:r>
      <w:r w:rsidR="00BB6432">
        <w:t xml:space="preserve"> </w:t>
      </w:r>
      <w:r w:rsidR="00E74F52" w:rsidRPr="005630DE">
        <w:fldChar w:fldCharType="end"/>
      </w:r>
      <w:r w:rsidR="00B949FE">
        <w:t>9</w:t>
      </w:r>
      <w:r w:rsidR="00D1107F" w:rsidRPr="005630DE">
        <w:rPr>
          <w:bCs/>
        </w:rPr>
        <w:t>). Additionally, there were micro-financing opportunities for local energy production and distribution, along with technologies such as mobile phones (60</w:t>
      </w:r>
      <w:r w:rsidR="001B160C">
        <w:rPr>
          <w:bCs/>
        </w:rPr>
        <w:t> per cent</w:t>
      </w:r>
      <w:r w:rsidR="00D1107F" w:rsidRPr="005630DE">
        <w:rPr>
          <w:bCs/>
        </w:rPr>
        <w:t xml:space="preserve"> penetration rate) that could assist with collections. </w:t>
      </w:r>
      <w:r>
        <w:rPr>
          <w:bCs/>
        </w:rPr>
        <w:t>G</w:t>
      </w:r>
      <w:r w:rsidRPr="005630DE">
        <w:rPr>
          <w:bCs/>
        </w:rPr>
        <w:t>iven its climate</w:t>
      </w:r>
      <w:r>
        <w:rPr>
          <w:bCs/>
        </w:rPr>
        <w:t xml:space="preserve">, </w:t>
      </w:r>
      <w:r w:rsidR="00D1107F" w:rsidRPr="005630DE">
        <w:rPr>
          <w:bCs/>
        </w:rPr>
        <w:t>Haiti also offered a number of opportunities for solar and wind energy</w:t>
      </w:r>
      <w:r>
        <w:rPr>
          <w:bCs/>
        </w:rPr>
        <w:t>.</w:t>
      </w:r>
      <w:r w:rsidR="00D1107F" w:rsidRPr="005630DE">
        <w:rPr>
          <w:bCs/>
        </w:rPr>
        <w:t xml:space="preserve"> </w:t>
      </w:r>
    </w:p>
    <w:p w14:paraId="1A3DB31A" w14:textId="77777777" w:rsidR="00D1107F" w:rsidRPr="005630DE" w:rsidRDefault="00D1107F" w:rsidP="00D1107F">
      <w:pPr>
        <w:pStyle w:val="BodyTextMain"/>
        <w:rPr>
          <w:bCs/>
        </w:rPr>
      </w:pPr>
    </w:p>
    <w:p w14:paraId="1A79FCC1" w14:textId="51CE1E33" w:rsidR="00B97234" w:rsidRPr="005630DE" w:rsidRDefault="00D1107F" w:rsidP="00542316">
      <w:pPr>
        <w:pStyle w:val="BodyTextMain"/>
      </w:pPr>
      <w:r w:rsidRPr="005630DE">
        <w:rPr>
          <w:bCs/>
        </w:rPr>
        <w:t xml:space="preserve">While </w:t>
      </w:r>
      <w:r w:rsidR="00E81122">
        <w:rPr>
          <w:bCs/>
        </w:rPr>
        <w:t>Jean-Jumeau</w:t>
      </w:r>
      <w:r w:rsidRPr="005630DE">
        <w:rPr>
          <w:bCs/>
        </w:rPr>
        <w:t xml:space="preserve"> </w:t>
      </w:r>
      <w:r w:rsidR="00E81122">
        <w:rPr>
          <w:bCs/>
        </w:rPr>
        <w:t>explored the options</w:t>
      </w:r>
      <w:r w:rsidR="00E81122" w:rsidRPr="005630DE">
        <w:rPr>
          <w:bCs/>
        </w:rPr>
        <w:t xml:space="preserve"> </w:t>
      </w:r>
      <w:r w:rsidR="00E81122">
        <w:rPr>
          <w:bCs/>
        </w:rPr>
        <w:t>for</w:t>
      </w:r>
      <w:r w:rsidRPr="005630DE">
        <w:rPr>
          <w:bCs/>
        </w:rPr>
        <w:t xml:space="preserve"> energizing Haiti, he began to structure his presentation. </w:t>
      </w:r>
      <w:proofErr w:type="gramStart"/>
      <w:r w:rsidRPr="005630DE">
        <w:rPr>
          <w:bCs/>
        </w:rPr>
        <w:t xml:space="preserve">For his meeting with the </w:t>
      </w:r>
      <w:r w:rsidR="00E81122">
        <w:rPr>
          <w:bCs/>
        </w:rPr>
        <w:t>p</w:t>
      </w:r>
      <w:r w:rsidRPr="005630DE">
        <w:rPr>
          <w:bCs/>
        </w:rPr>
        <w:t xml:space="preserve">rime </w:t>
      </w:r>
      <w:r w:rsidR="00E81122">
        <w:rPr>
          <w:bCs/>
        </w:rPr>
        <w:t>m</w:t>
      </w:r>
      <w:r w:rsidRPr="005630DE">
        <w:rPr>
          <w:bCs/>
        </w:rPr>
        <w:t>inister, he wanted to propose a strategy that would consider the three major components of the energy value chain (production, distribution, and commercialization) and the types of public</w:t>
      </w:r>
      <w:r w:rsidR="003B7EB3">
        <w:rPr>
          <w:bCs/>
        </w:rPr>
        <w:t>–private</w:t>
      </w:r>
      <w:r w:rsidRPr="005630DE">
        <w:rPr>
          <w:bCs/>
        </w:rPr>
        <w:t xml:space="preserve"> partnerships at his disposal</w:t>
      </w:r>
      <w:r w:rsidR="00E81122">
        <w:rPr>
          <w:bCs/>
        </w:rPr>
        <w:t xml:space="preserve">; for example, </w:t>
      </w:r>
      <w:r w:rsidR="00847E7F">
        <w:rPr>
          <w:bCs/>
        </w:rPr>
        <w:t xml:space="preserve">a </w:t>
      </w:r>
      <w:r w:rsidRPr="005630DE">
        <w:rPr>
          <w:bCs/>
        </w:rPr>
        <w:t>build–operate–transfer</w:t>
      </w:r>
      <w:r w:rsidR="00847E7F">
        <w:rPr>
          <w:bCs/>
        </w:rPr>
        <w:t xml:space="preserve"> project</w:t>
      </w:r>
      <w:r w:rsidRPr="005630DE">
        <w:rPr>
          <w:bCs/>
        </w:rPr>
        <w:t xml:space="preserve">, buyout of existing EDH assets, </w:t>
      </w:r>
      <w:r w:rsidR="00847E7F">
        <w:rPr>
          <w:bCs/>
        </w:rPr>
        <w:t xml:space="preserve">a </w:t>
      </w:r>
      <w:r w:rsidRPr="005630DE">
        <w:rPr>
          <w:bCs/>
        </w:rPr>
        <w:t>mixed public</w:t>
      </w:r>
      <w:r w:rsidR="00847E7F">
        <w:rPr>
          <w:bCs/>
        </w:rPr>
        <w:t>–</w:t>
      </w:r>
      <w:r w:rsidRPr="005630DE">
        <w:rPr>
          <w:bCs/>
        </w:rPr>
        <w:t xml:space="preserve">private company, </w:t>
      </w:r>
      <w:r w:rsidR="00847E7F">
        <w:rPr>
          <w:bCs/>
        </w:rPr>
        <w:t xml:space="preserve">or a </w:t>
      </w:r>
      <w:r w:rsidRPr="005630DE">
        <w:rPr>
          <w:bCs/>
        </w:rPr>
        <w:t xml:space="preserve">concession to </w:t>
      </w:r>
      <w:r w:rsidR="00847E7F">
        <w:rPr>
          <w:bCs/>
        </w:rPr>
        <w:t xml:space="preserve">a private company to </w:t>
      </w:r>
      <w:r w:rsidRPr="005630DE">
        <w:rPr>
          <w:bCs/>
        </w:rPr>
        <w:t xml:space="preserve">operate </w:t>
      </w:r>
      <w:r w:rsidR="00847E7F">
        <w:rPr>
          <w:bCs/>
        </w:rPr>
        <w:t>EDH in exchange for a</w:t>
      </w:r>
      <w:r w:rsidR="00847E7F" w:rsidRPr="005630DE">
        <w:rPr>
          <w:bCs/>
        </w:rPr>
        <w:t xml:space="preserve"> </w:t>
      </w:r>
      <w:r w:rsidRPr="005630DE">
        <w:rPr>
          <w:bCs/>
        </w:rPr>
        <w:t>royalty.</w:t>
      </w:r>
      <w:proofErr w:type="gramEnd"/>
      <w:r w:rsidRPr="005630DE">
        <w:rPr>
          <w:bCs/>
        </w:rPr>
        <w:t xml:space="preserve"> </w:t>
      </w:r>
      <w:r w:rsidR="00395028">
        <w:rPr>
          <w:bCs/>
        </w:rPr>
        <w:t>He</w:t>
      </w:r>
      <w:r w:rsidR="00847E7F" w:rsidRPr="005630DE">
        <w:rPr>
          <w:bCs/>
        </w:rPr>
        <w:t xml:space="preserve"> </w:t>
      </w:r>
      <w:r w:rsidRPr="005630DE">
        <w:rPr>
          <w:bCs/>
        </w:rPr>
        <w:t xml:space="preserve">also needed to consider the specific needs and opportunities of each of the four geographic regions. </w:t>
      </w:r>
      <w:r w:rsidR="00847E7F">
        <w:rPr>
          <w:bCs/>
        </w:rPr>
        <w:t>Jean-Jumeau</w:t>
      </w:r>
      <w:r w:rsidR="00847E7F" w:rsidRPr="005630DE">
        <w:rPr>
          <w:bCs/>
        </w:rPr>
        <w:t xml:space="preserve"> </w:t>
      </w:r>
      <w:r w:rsidRPr="005630DE">
        <w:rPr>
          <w:bCs/>
        </w:rPr>
        <w:t xml:space="preserve">began </w:t>
      </w:r>
      <w:r w:rsidRPr="005630DE">
        <w:t xml:space="preserve">to outline the components of his proposal and the </w:t>
      </w:r>
      <w:r w:rsidR="00847E7F" w:rsidRPr="005630DE">
        <w:t xml:space="preserve">required </w:t>
      </w:r>
      <w:r w:rsidRPr="005630DE">
        <w:t xml:space="preserve">decision criteria to ensure that he proposed a sound strategy to the </w:t>
      </w:r>
      <w:r w:rsidR="00847E7F">
        <w:t>p</w:t>
      </w:r>
      <w:r w:rsidRPr="005630DE">
        <w:t xml:space="preserve">rime </w:t>
      </w:r>
      <w:r w:rsidR="00847E7F">
        <w:t>m</w:t>
      </w:r>
      <w:r w:rsidRPr="005630DE">
        <w:t>inister.</w:t>
      </w:r>
      <w:r w:rsidR="00B97234" w:rsidRPr="005630DE">
        <w:br w:type="page"/>
      </w:r>
    </w:p>
    <w:p w14:paraId="54E241EB" w14:textId="52927AC1" w:rsidR="00B97234" w:rsidRPr="005630DE" w:rsidRDefault="00B97234" w:rsidP="00A85BD3">
      <w:pPr>
        <w:pStyle w:val="ExhibitHeading"/>
        <w:outlineLvl w:val="0"/>
      </w:pPr>
      <w:bookmarkStart w:id="0" w:name="_Ref390596106"/>
      <w:r w:rsidRPr="005630DE">
        <w:lastRenderedPageBreak/>
        <w:t xml:space="preserve">Exhibit </w:t>
      </w:r>
      <w:r w:rsidRPr="005630DE">
        <w:fldChar w:fldCharType="begin"/>
      </w:r>
      <w:r w:rsidRPr="005630DE">
        <w:instrText xml:space="preserve"> SEQ Exhibit \* ARABIC </w:instrText>
      </w:r>
      <w:r w:rsidRPr="005630DE">
        <w:fldChar w:fldCharType="separate"/>
      </w:r>
      <w:r w:rsidR="00BB6432">
        <w:rPr>
          <w:noProof/>
        </w:rPr>
        <w:t>1</w:t>
      </w:r>
      <w:r w:rsidRPr="005630DE">
        <w:fldChar w:fldCharType="end"/>
      </w:r>
      <w:bookmarkEnd w:id="0"/>
      <w:r w:rsidRPr="005630DE">
        <w:t>: Top 25 Contributors</w:t>
      </w:r>
      <w:r w:rsidR="00CC09FD">
        <w:t xml:space="preserve"> to Haiti’s Gross Domestic Product</w:t>
      </w:r>
    </w:p>
    <w:p w14:paraId="0707AAFE" w14:textId="77777777" w:rsidR="00B97234" w:rsidRPr="005630DE" w:rsidRDefault="00B97234" w:rsidP="00542316">
      <w:pPr>
        <w:pStyle w:val="ExhibitText"/>
      </w:pPr>
    </w:p>
    <w:tbl>
      <w:tblPr>
        <w:tblStyle w:val="TableGrid"/>
        <w:tblW w:w="4000" w:type="pct"/>
        <w:jc w:val="center"/>
        <w:tblLook w:val="04A0" w:firstRow="1" w:lastRow="0" w:firstColumn="1" w:lastColumn="0" w:noHBand="0" w:noVBand="1"/>
      </w:tblPr>
      <w:tblGrid>
        <w:gridCol w:w="706"/>
        <w:gridCol w:w="4564"/>
        <w:gridCol w:w="2210"/>
      </w:tblGrid>
      <w:tr w:rsidR="00B97234" w:rsidRPr="009E116E" w14:paraId="496D15EB" w14:textId="77777777" w:rsidTr="00174436">
        <w:trPr>
          <w:cantSplit/>
          <w:trHeight w:val="288"/>
          <w:jc w:val="center"/>
        </w:trPr>
        <w:tc>
          <w:tcPr>
            <w:tcW w:w="485" w:type="dxa"/>
            <w:vAlign w:val="center"/>
            <w:hideMark/>
          </w:tcPr>
          <w:p w14:paraId="4C3784DA" w14:textId="5E9272B9" w:rsidR="00B97234" w:rsidRPr="009E116E" w:rsidRDefault="00CC09FD" w:rsidP="009E116E">
            <w:pPr>
              <w:pStyle w:val="ExhibitText"/>
              <w:jc w:val="right"/>
              <w:rPr>
                <w:b/>
              </w:rPr>
            </w:pPr>
            <w:r w:rsidRPr="009E116E">
              <w:rPr>
                <w:b/>
              </w:rPr>
              <w:t>Rank</w:t>
            </w:r>
            <w:r w:rsidR="00A85BD3" w:rsidRPr="009E116E">
              <w:rPr>
                <w:b/>
              </w:rPr>
              <w:t xml:space="preserve"> </w:t>
            </w:r>
          </w:p>
        </w:tc>
        <w:tc>
          <w:tcPr>
            <w:tcW w:w="5090" w:type="dxa"/>
            <w:vAlign w:val="center"/>
            <w:hideMark/>
          </w:tcPr>
          <w:p w14:paraId="08F069FA" w14:textId="77777777" w:rsidR="00B97234" w:rsidRPr="009E116E" w:rsidRDefault="00B97234" w:rsidP="009E116E">
            <w:pPr>
              <w:pStyle w:val="ExhibitText"/>
              <w:jc w:val="left"/>
              <w:rPr>
                <w:b/>
              </w:rPr>
            </w:pPr>
            <w:r w:rsidRPr="009E116E">
              <w:rPr>
                <w:b/>
              </w:rPr>
              <w:t>Company Name</w:t>
            </w:r>
          </w:p>
        </w:tc>
        <w:tc>
          <w:tcPr>
            <w:tcW w:w="2340" w:type="dxa"/>
            <w:vAlign w:val="center"/>
            <w:hideMark/>
          </w:tcPr>
          <w:p w14:paraId="4E58AAB0" w14:textId="77777777" w:rsidR="00D4624F" w:rsidRDefault="00B97234" w:rsidP="009E116E">
            <w:pPr>
              <w:pStyle w:val="ExhibitText"/>
              <w:jc w:val="right"/>
              <w:rPr>
                <w:b/>
              </w:rPr>
            </w:pPr>
            <w:r w:rsidRPr="009E116E">
              <w:rPr>
                <w:b/>
              </w:rPr>
              <w:t xml:space="preserve">2012 Earnings </w:t>
            </w:r>
          </w:p>
          <w:p w14:paraId="0A1E59F1" w14:textId="3C3317F7" w:rsidR="00B97234" w:rsidRPr="009E116E" w:rsidRDefault="00B97234">
            <w:pPr>
              <w:pStyle w:val="ExhibitText"/>
              <w:jc w:val="right"/>
              <w:rPr>
                <w:b/>
              </w:rPr>
            </w:pPr>
            <w:r w:rsidRPr="009E116E">
              <w:rPr>
                <w:b/>
              </w:rPr>
              <w:t>(</w:t>
            </w:r>
            <w:r w:rsidR="005B1B68">
              <w:rPr>
                <w:b/>
              </w:rPr>
              <w:t xml:space="preserve">in </w:t>
            </w:r>
            <w:r w:rsidR="00D4624F" w:rsidRPr="009E116E">
              <w:rPr>
                <w:b/>
              </w:rPr>
              <w:t>US$</w:t>
            </w:r>
            <w:r w:rsidR="00D4624F">
              <w:rPr>
                <w:b/>
              </w:rPr>
              <w:t xml:space="preserve"> </w:t>
            </w:r>
            <w:r w:rsidR="005B1B68">
              <w:rPr>
                <w:b/>
              </w:rPr>
              <w:t>millions</w:t>
            </w:r>
            <w:r w:rsidRPr="009E116E">
              <w:rPr>
                <w:b/>
              </w:rPr>
              <w:t>)</w:t>
            </w:r>
          </w:p>
        </w:tc>
      </w:tr>
      <w:tr w:rsidR="00B97234" w:rsidRPr="005630DE" w14:paraId="580E0AE5" w14:textId="77777777" w:rsidTr="00174436">
        <w:trPr>
          <w:cantSplit/>
          <w:trHeight w:val="288"/>
          <w:jc w:val="center"/>
        </w:trPr>
        <w:tc>
          <w:tcPr>
            <w:tcW w:w="485" w:type="dxa"/>
            <w:vAlign w:val="center"/>
            <w:hideMark/>
          </w:tcPr>
          <w:p w14:paraId="78EEA804" w14:textId="77777777" w:rsidR="00B97234" w:rsidRPr="005630DE" w:rsidRDefault="00B97234" w:rsidP="009E116E">
            <w:pPr>
              <w:pStyle w:val="ExhibitText"/>
              <w:jc w:val="right"/>
            </w:pPr>
            <w:r w:rsidRPr="005630DE">
              <w:t>1</w:t>
            </w:r>
          </w:p>
        </w:tc>
        <w:tc>
          <w:tcPr>
            <w:tcW w:w="5090" w:type="dxa"/>
            <w:vAlign w:val="center"/>
            <w:hideMark/>
          </w:tcPr>
          <w:p w14:paraId="76B0A4E0" w14:textId="3348152D" w:rsidR="00B97234" w:rsidRPr="005630DE" w:rsidRDefault="00CC09FD" w:rsidP="009E116E">
            <w:pPr>
              <w:pStyle w:val="ExhibitText"/>
              <w:jc w:val="left"/>
            </w:pPr>
            <w:proofErr w:type="spellStart"/>
            <w:r w:rsidRPr="005630DE">
              <w:t>Unigestion</w:t>
            </w:r>
            <w:proofErr w:type="spellEnd"/>
            <w:r w:rsidRPr="005630DE">
              <w:t xml:space="preserve"> Holding S.A</w:t>
            </w:r>
            <w:r>
              <w:t>.</w:t>
            </w:r>
          </w:p>
        </w:tc>
        <w:tc>
          <w:tcPr>
            <w:tcW w:w="2340" w:type="dxa"/>
            <w:vAlign w:val="center"/>
            <w:hideMark/>
          </w:tcPr>
          <w:p w14:paraId="71B2164A" w14:textId="59FFDCAC" w:rsidR="00B97234" w:rsidRPr="005630DE" w:rsidRDefault="00B97234">
            <w:pPr>
              <w:pStyle w:val="ExhibitText"/>
              <w:jc w:val="right"/>
            </w:pPr>
            <w:r w:rsidRPr="005630DE">
              <w:t>1</w:t>
            </w:r>
            <w:r w:rsidR="00BB3DE6">
              <w:t>,</w:t>
            </w:r>
            <w:r w:rsidRPr="005630DE">
              <w:t>843</w:t>
            </w:r>
            <w:r w:rsidR="00035E57">
              <w:t>.</w:t>
            </w:r>
            <w:r w:rsidRPr="005630DE">
              <w:t>4</w:t>
            </w:r>
          </w:p>
        </w:tc>
      </w:tr>
      <w:tr w:rsidR="00B97234" w:rsidRPr="005630DE" w14:paraId="69E945C0" w14:textId="77777777" w:rsidTr="00174436">
        <w:trPr>
          <w:cantSplit/>
          <w:trHeight w:val="288"/>
          <w:jc w:val="center"/>
        </w:trPr>
        <w:tc>
          <w:tcPr>
            <w:tcW w:w="485" w:type="dxa"/>
            <w:vAlign w:val="center"/>
            <w:hideMark/>
          </w:tcPr>
          <w:p w14:paraId="2DC4D054" w14:textId="77777777" w:rsidR="00B97234" w:rsidRPr="005630DE" w:rsidRDefault="00B97234" w:rsidP="009E116E">
            <w:pPr>
              <w:pStyle w:val="ExhibitText"/>
              <w:jc w:val="right"/>
            </w:pPr>
            <w:r w:rsidRPr="005630DE">
              <w:t>2</w:t>
            </w:r>
          </w:p>
        </w:tc>
        <w:tc>
          <w:tcPr>
            <w:tcW w:w="5090" w:type="dxa"/>
            <w:vAlign w:val="center"/>
            <w:hideMark/>
          </w:tcPr>
          <w:p w14:paraId="7278F7E3" w14:textId="7222279A" w:rsidR="00B97234" w:rsidRPr="00603B0C" w:rsidRDefault="00CC09FD" w:rsidP="009E116E">
            <w:pPr>
              <w:pStyle w:val="ExhibitText"/>
              <w:jc w:val="left"/>
              <w:rPr>
                <w:lang w:val="fr-CA"/>
              </w:rPr>
            </w:pPr>
            <w:r>
              <w:rPr>
                <w:lang w:val="fr-CA"/>
              </w:rPr>
              <w:t xml:space="preserve">Brasserie Nationale </w:t>
            </w:r>
            <w:r w:rsidR="007B7D08">
              <w:rPr>
                <w:lang w:val="fr-CA"/>
              </w:rPr>
              <w:t>d</w:t>
            </w:r>
            <w:r>
              <w:rPr>
                <w:lang w:val="fr-CA"/>
              </w:rPr>
              <w:t>'</w:t>
            </w:r>
            <w:proofErr w:type="spellStart"/>
            <w:r>
              <w:rPr>
                <w:lang w:val="fr-CA"/>
              </w:rPr>
              <w:t>H</w:t>
            </w:r>
            <w:r w:rsidRPr="00603B0C">
              <w:rPr>
                <w:lang w:val="fr-CA"/>
              </w:rPr>
              <w:t>aiti</w:t>
            </w:r>
            <w:proofErr w:type="spellEnd"/>
            <w:r w:rsidRPr="00603B0C">
              <w:rPr>
                <w:lang w:val="fr-CA"/>
              </w:rPr>
              <w:t xml:space="preserve"> </w:t>
            </w:r>
            <w:r w:rsidR="0074375A">
              <w:rPr>
                <w:lang w:val="fr-CA"/>
              </w:rPr>
              <w:t xml:space="preserve">(BRANA) </w:t>
            </w:r>
            <w:r w:rsidRPr="00603B0C">
              <w:rPr>
                <w:lang w:val="fr-CA"/>
              </w:rPr>
              <w:t>S.A</w:t>
            </w:r>
            <w:r>
              <w:rPr>
                <w:lang w:val="fr-CA"/>
              </w:rPr>
              <w:t>.</w:t>
            </w:r>
          </w:p>
        </w:tc>
        <w:tc>
          <w:tcPr>
            <w:tcW w:w="2340" w:type="dxa"/>
            <w:vAlign w:val="center"/>
            <w:hideMark/>
          </w:tcPr>
          <w:p w14:paraId="25CAA359" w14:textId="44162CD1" w:rsidR="00B97234" w:rsidRPr="005630DE" w:rsidRDefault="00B97234">
            <w:pPr>
              <w:pStyle w:val="ExhibitText"/>
              <w:jc w:val="right"/>
            </w:pPr>
            <w:r w:rsidRPr="005630DE">
              <w:t>1</w:t>
            </w:r>
            <w:r w:rsidR="00BB3DE6">
              <w:t>,</w:t>
            </w:r>
            <w:r w:rsidRPr="005630DE">
              <w:t>051</w:t>
            </w:r>
            <w:r w:rsidR="00035E57">
              <w:t xml:space="preserve">.6 </w:t>
            </w:r>
          </w:p>
        </w:tc>
      </w:tr>
      <w:tr w:rsidR="00B97234" w:rsidRPr="005630DE" w14:paraId="0FAD070D" w14:textId="77777777" w:rsidTr="00174436">
        <w:trPr>
          <w:cantSplit/>
          <w:trHeight w:val="288"/>
          <w:jc w:val="center"/>
        </w:trPr>
        <w:tc>
          <w:tcPr>
            <w:tcW w:w="485" w:type="dxa"/>
            <w:vAlign w:val="center"/>
            <w:hideMark/>
          </w:tcPr>
          <w:p w14:paraId="3525CE56" w14:textId="77777777" w:rsidR="00B97234" w:rsidRPr="005630DE" w:rsidRDefault="00B97234" w:rsidP="009E116E">
            <w:pPr>
              <w:pStyle w:val="ExhibitText"/>
              <w:jc w:val="right"/>
            </w:pPr>
            <w:r w:rsidRPr="005630DE">
              <w:t>3</w:t>
            </w:r>
          </w:p>
        </w:tc>
        <w:tc>
          <w:tcPr>
            <w:tcW w:w="5090" w:type="dxa"/>
            <w:vAlign w:val="center"/>
            <w:hideMark/>
          </w:tcPr>
          <w:p w14:paraId="06698F30" w14:textId="623BACC5" w:rsidR="00B97234" w:rsidRPr="00603B0C" w:rsidRDefault="00CC09FD" w:rsidP="009E116E">
            <w:pPr>
              <w:pStyle w:val="ExhibitText"/>
              <w:jc w:val="left"/>
              <w:rPr>
                <w:lang w:val="fr-CA"/>
              </w:rPr>
            </w:pPr>
            <w:r w:rsidRPr="00603B0C">
              <w:rPr>
                <w:lang w:val="fr-CA"/>
              </w:rPr>
              <w:t xml:space="preserve">Compagnie </w:t>
            </w:r>
            <w:r w:rsidR="007B7D08">
              <w:rPr>
                <w:lang w:val="fr-CA"/>
              </w:rPr>
              <w:t>d</w:t>
            </w:r>
            <w:r w:rsidRPr="00603B0C">
              <w:rPr>
                <w:lang w:val="fr-CA"/>
              </w:rPr>
              <w:t>es Tabacs Comme Il Faut S.A.</w:t>
            </w:r>
          </w:p>
        </w:tc>
        <w:tc>
          <w:tcPr>
            <w:tcW w:w="2340" w:type="dxa"/>
            <w:vAlign w:val="center"/>
            <w:hideMark/>
          </w:tcPr>
          <w:p w14:paraId="1AA6E507" w14:textId="7914D7E2" w:rsidR="00B97234" w:rsidRPr="005630DE" w:rsidRDefault="00B97234">
            <w:pPr>
              <w:pStyle w:val="ExhibitText"/>
              <w:jc w:val="right"/>
            </w:pPr>
            <w:r w:rsidRPr="005630DE">
              <w:t>625</w:t>
            </w:r>
            <w:r w:rsidR="00035E57">
              <w:t>.4</w:t>
            </w:r>
          </w:p>
        </w:tc>
      </w:tr>
      <w:tr w:rsidR="00B97234" w:rsidRPr="005630DE" w14:paraId="39584D23" w14:textId="77777777" w:rsidTr="00174436">
        <w:trPr>
          <w:cantSplit/>
          <w:trHeight w:val="288"/>
          <w:jc w:val="center"/>
        </w:trPr>
        <w:tc>
          <w:tcPr>
            <w:tcW w:w="485" w:type="dxa"/>
            <w:vAlign w:val="center"/>
            <w:hideMark/>
          </w:tcPr>
          <w:p w14:paraId="7BF43877" w14:textId="77777777" w:rsidR="00B97234" w:rsidRPr="005630DE" w:rsidRDefault="00B97234" w:rsidP="009E116E">
            <w:pPr>
              <w:pStyle w:val="ExhibitText"/>
              <w:jc w:val="right"/>
            </w:pPr>
            <w:r w:rsidRPr="005630DE">
              <w:t>4</w:t>
            </w:r>
          </w:p>
        </w:tc>
        <w:tc>
          <w:tcPr>
            <w:tcW w:w="5090" w:type="dxa"/>
            <w:vAlign w:val="center"/>
            <w:hideMark/>
          </w:tcPr>
          <w:p w14:paraId="632716A7" w14:textId="76D9CE59" w:rsidR="00B97234" w:rsidRPr="005630DE" w:rsidRDefault="00CC09FD" w:rsidP="009E116E">
            <w:pPr>
              <w:pStyle w:val="ExhibitText"/>
              <w:jc w:val="left"/>
            </w:pPr>
            <w:proofErr w:type="spellStart"/>
            <w:r w:rsidRPr="005630DE">
              <w:t>Unibank</w:t>
            </w:r>
            <w:proofErr w:type="spellEnd"/>
            <w:r w:rsidRPr="005630DE">
              <w:t xml:space="preserve"> S.A.</w:t>
            </w:r>
          </w:p>
        </w:tc>
        <w:tc>
          <w:tcPr>
            <w:tcW w:w="2340" w:type="dxa"/>
            <w:vAlign w:val="center"/>
            <w:hideMark/>
          </w:tcPr>
          <w:p w14:paraId="6D9CF462" w14:textId="7E3A365F" w:rsidR="00B97234" w:rsidRPr="005630DE" w:rsidRDefault="00B97234">
            <w:pPr>
              <w:pStyle w:val="ExhibitText"/>
              <w:jc w:val="right"/>
            </w:pPr>
            <w:r w:rsidRPr="005630DE">
              <w:t>461</w:t>
            </w:r>
            <w:r w:rsidR="00035E57">
              <w:t>.</w:t>
            </w:r>
            <w:r w:rsidRPr="005630DE">
              <w:t>1</w:t>
            </w:r>
          </w:p>
        </w:tc>
      </w:tr>
      <w:tr w:rsidR="00B97234" w:rsidRPr="005630DE" w14:paraId="64965C71" w14:textId="77777777" w:rsidTr="00174436">
        <w:trPr>
          <w:cantSplit/>
          <w:trHeight w:val="288"/>
          <w:jc w:val="center"/>
        </w:trPr>
        <w:tc>
          <w:tcPr>
            <w:tcW w:w="485" w:type="dxa"/>
            <w:vAlign w:val="center"/>
            <w:hideMark/>
          </w:tcPr>
          <w:p w14:paraId="0B94032C" w14:textId="77777777" w:rsidR="00B97234" w:rsidRPr="005630DE" w:rsidRDefault="00B97234" w:rsidP="009E116E">
            <w:pPr>
              <w:pStyle w:val="ExhibitText"/>
              <w:jc w:val="right"/>
            </w:pPr>
            <w:r w:rsidRPr="005630DE">
              <w:t>5</w:t>
            </w:r>
          </w:p>
        </w:tc>
        <w:tc>
          <w:tcPr>
            <w:tcW w:w="5090" w:type="dxa"/>
            <w:vAlign w:val="center"/>
            <w:hideMark/>
          </w:tcPr>
          <w:p w14:paraId="484A5F17" w14:textId="2DDA78C5" w:rsidR="00B97234" w:rsidRPr="002F789A" w:rsidRDefault="00CC09FD" w:rsidP="009E116E">
            <w:pPr>
              <w:pStyle w:val="ExhibitText"/>
              <w:jc w:val="left"/>
              <w:rPr>
                <w:lang w:val="es-US"/>
              </w:rPr>
            </w:pPr>
            <w:r w:rsidRPr="002F789A">
              <w:rPr>
                <w:lang w:val="es-US"/>
              </w:rPr>
              <w:t xml:space="preserve">Société Générale </w:t>
            </w:r>
            <w:proofErr w:type="spellStart"/>
            <w:r w:rsidRPr="002F789A">
              <w:rPr>
                <w:lang w:val="es-US"/>
              </w:rPr>
              <w:t>Haïtienne</w:t>
            </w:r>
            <w:proofErr w:type="spellEnd"/>
            <w:r w:rsidRPr="002F789A">
              <w:rPr>
                <w:lang w:val="es-US"/>
              </w:rPr>
              <w:t xml:space="preserve"> </w:t>
            </w:r>
            <w:r w:rsidR="007B7D08">
              <w:rPr>
                <w:lang w:val="es-US"/>
              </w:rPr>
              <w:t>d</w:t>
            </w:r>
            <w:r w:rsidRPr="002F789A">
              <w:rPr>
                <w:lang w:val="es-US"/>
              </w:rPr>
              <w:t>e Banque S.A</w:t>
            </w:r>
            <w:r w:rsidR="00BB3DE6">
              <w:rPr>
                <w:lang w:val="es-US"/>
              </w:rPr>
              <w:t>.</w:t>
            </w:r>
          </w:p>
        </w:tc>
        <w:tc>
          <w:tcPr>
            <w:tcW w:w="2340" w:type="dxa"/>
            <w:vAlign w:val="center"/>
            <w:hideMark/>
          </w:tcPr>
          <w:p w14:paraId="682EC05B" w14:textId="035D1A57" w:rsidR="00B97234" w:rsidRPr="005630DE" w:rsidRDefault="00B97234">
            <w:pPr>
              <w:pStyle w:val="ExhibitText"/>
              <w:jc w:val="right"/>
            </w:pPr>
            <w:r w:rsidRPr="005630DE">
              <w:t>401</w:t>
            </w:r>
            <w:r w:rsidR="00035E57">
              <w:t>.</w:t>
            </w:r>
            <w:r w:rsidRPr="005630DE">
              <w:t>8</w:t>
            </w:r>
          </w:p>
        </w:tc>
      </w:tr>
      <w:tr w:rsidR="00B97234" w:rsidRPr="005630DE" w14:paraId="37C47E90" w14:textId="77777777" w:rsidTr="00174436">
        <w:trPr>
          <w:cantSplit/>
          <w:trHeight w:val="288"/>
          <w:jc w:val="center"/>
        </w:trPr>
        <w:tc>
          <w:tcPr>
            <w:tcW w:w="485" w:type="dxa"/>
            <w:vAlign w:val="center"/>
            <w:hideMark/>
          </w:tcPr>
          <w:p w14:paraId="77653EC7" w14:textId="77777777" w:rsidR="00B97234" w:rsidRPr="005630DE" w:rsidRDefault="00B97234" w:rsidP="009E116E">
            <w:pPr>
              <w:pStyle w:val="ExhibitText"/>
              <w:jc w:val="right"/>
            </w:pPr>
            <w:r w:rsidRPr="005630DE">
              <w:t>6</w:t>
            </w:r>
          </w:p>
        </w:tc>
        <w:tc>
          <w:tcPr>
            <w:tcW w:w="5090" w:type="dxa"/>
            <w:vAlign w:val="center"/>
            <w:hideMark/>
          </w:tcPr>
          <w:p w14:paraId="02264F6F" w14:textId="2B934C34" w:rsidR="00B97234" w:rsidRPr="005630DE" w:rsidRDefault="00CC09FD" w:rsidP="009E116E">
            <w:pPr>
              <w:pStyle w:val="ExhibitText"/>
              <w:jc w:val="left"/>
            </w:pPr>
            <w:proofErr w:type="spellStart"/>
            <w:r w:rsidRPr="005630DE">
              <w:t>Distributeurs</w:t>
            </w:r>
            <w:proofErr w:type="spellEnd"/>
            <w:r w:rsidRPr="005630DE">
              <w:t xml:space="preserve"> </w:t>
            </w:r>
            <w:proofErr w:type="spellStart"/>
            <w:r w:rsidRPr="005630DE">
              <w:t>Nationaux</w:t>
            </w:r>
            <w:proofErr w:type="spellEnd"/>
            <w:r w:rsidRPr="005630DE">
              <w:t xml:space="preserve"> S.A</w:t>
            </w:r>
            <w:r w:rsidR="00BB3DE6">
              <w:t>.</w:t>
            </w:r>
          </w:p>
        </w:tc>
        <w:tc>
          <w:tcPr>
            <w:tcW w:w="2340" w:type="dxa"/>
            <w:vAlign w:val="center"/>
            <w:hideMark/>
          </w:tcPr>
          <w:p w14:paraId="12C2019C" w14:textId="306F8E2F" w:rsidR="00B97234" w:rsidRPr="005630DE" w:rsidRDefault="00B97234">
            <w:pPr>
              <w:pStyle w:val="ExhibitText"/>
              <w:jc w:val="right"/>
            </w:pPr>
            <w:r w:rsidRPr="005630DE">
              <w:t>364</w:t>
            </w:r>
            <w:r w:rsidR="00035E57">
              <w:t>.</w:t>
            </w:r>
            <w:r w:rsidRPr="005630DE">
              <w:t>9</w:t>
            </w:r>
          </w:p>
        </w:tc>
      </w:tr>
      <w:tr w:rsidR="00B97234" w:rsidRPr="005630DE" w14:paraId="0FF5BE2D" w14:textId="77777777" w:rsidTr="00174436">
        <w:trPr>
          <w:cantSplit/>
          <w:trHeight w:val="288"/>
          <w:jc w:val="center"/>
        </w:trPr>
        <w:tc>
          <w:tcPr>
            <w:tcW w:w="485" w:type="dxa"/>
            <w:vAlign w:val="center"/>
            <w:hideMark/>
          </w:tcPr>
          <w:p w14:paraId="08383055" w14:textId="77777777" w:rsidR="00B97234" w:rsidRPr="005630DE" w:rsidRDefault="00B97234" w:rsidP="009E116E">
            <w:pPr>
              <w:pStyle w:val="ExhibitText"/>
              <w:jc w:val="right"/>
            </w:pPr>
            <w:r w:rsidRPr="005630DE">
              <w:t>7</w:t>
            </w:r>
          </w:p>
        </w:tc>
        <w:tc>
          <w:tcPr>
            <w:tcW w:w="5090" w:type="dxa"/>
            <w:vAlign w:val="center"/>
            <w:hideMark/>
          </w:tcPr>
          <w:p w14:paraId="6EA2F46F" w14:textId="190B9DBB" w:rsidR="00B97234" w:rsidRPr="005630DE" w:rsidRDefault="00CC09FD" w:rsidP="009E116E">
            <w:pPr>
              <w:pStyle w:val="ExhibitText"/>
              <w:jc w:val="left"/>
            </w:pPr>
            <w:proofErr w:type="spellStart"/>
            <w:r w:rsidRPr="005630DE">
              <w:t>Électricité</w:t>
            </w:r>
            <w:proofErr w:type="spellEnd"/>
            <w:r w:rsidRPr="005630DE">
              <w:t xml:space="preserve"> </w:t>
            </w:r>
            <w:proofErr w:type="spellStart"/>
            <w:r w:rsidR="007B7D08">
              <w:t>d</w:t>
            </w:r>
            <w:r w:rsidRPr="005630DE">
              <w:t>'</w:t>
            </w:r>
            <w:r w:rsidR="00BB3DE6">
              <w:t>H</w:t>
            </w:r>
            <w:r w:rsidRPr="005630DE">
              <w:t>aïti</w:t>
            </w:r>
            <w:proofErr w:type="spellEnd"/>
          </w:p>
        </w:tc>
        <w:tc>
          <w:tcPr>
            <w:tcW w:w="2340" w:type="dxa"/>
            <w:vAlign w:val="center"/>
            <w:hideMark/>
          </w:tcPr>
          <w:p w14:paraId="7C883211" w14:textId="4B4E7483" w:rsidR="00B97234" w:rsidRPr="005630DE" w:rsidRDefault="00B97234">
            <w:pPr>
              <w:pStyle w:val="ExhibitText"/>
              <w:jc w:val="right"/>
            </w:pPr>
            <w:r w:rsidRPr="005630DE">
              <w:t>345</w:t>
            </w:r>
            <w:r w:rsidR="00035E57">
              <w:t>.</w:t>
            </w:r>
            <w:r w:rsidRPr="005630DE">
              <w:t>1</w:t>
            </w:r>
          </w:p>
        </w:tc>
      </w:tr>
      <w:tr w:rsidR="00B97234" w:rsidRPr="005630DE" w14:paraId="4D930978" w14:textId="77777777" w:rsidTr="00174436">
        <w:trPr>
          <w:cantSplit/>
          <w:trHeight w:val="288"/>
          <w:jc w:val="center"/>
        </w:trPr>
        <w:tc>
          <w:tcPr>
            <w:tcW w:w="485" w:type="dxa"/>
            <w:vAlign w:val="center"/>
            <w:hideMark/>
          </w:tcPr>
          <w:p w14:paraId="618D6B89" w14:textId="77777777" w:rsidR="00B97234" w:rsidRPr="005630DE" w:rsidRDefault="00B97234" w:rsidP="009E116E">
            <w:pPr>
              <w:pStyle w:val="ExhibitText"/>
              <w:jc w:val="right"/>
            </w:pPr>
            <w:r w:rsidRPr="005630DE">
              <w:t>8</w:t>
            </w:r>
          </w:p>
        </w:tc>
        <w:tc>
          <w:tcPr>
            <w:tcW w:w="5090" w:type="dxa"/>
            <w:vAlign w:val="center"/>
            <w:hideMark/>
          </w:tcPr>
          <w:p w14:paraId="0963408A" w14:textId="2201B9CC" w:rsidR="00B97234" w:rsidRPr="00542316" w:rsidRDefault="00CC09FD" w:rsidP="009E116E">
            <w:pPr>
              <w:pStyle w:val="ExhibitText"/>
              <w:jc w:val="left"/>
              <w:rPr>
                <w:lang w:val="it-IT"/>
              </w:rPr>
            </w:pPr>
            <w:r w:rsidRPr="00542316">
              <w:rPr>
                <w:lang w:val="it-IT"/>
              </w:rPr>
              <w:t>Cimenterie Nationale S</w:t>
            </w:r>
            <w:r w:rsidR="0074375A" w:rsidRPr="00542316">
              <w:rPr>
                <w:lang w:val="it-IT"/>
              </w:rPr>
              <w:t>.E.M.</w:t>
            </w:r>
          </w:p>
        </w:tc>
        <w:tc>
          <w:tcPr>
            <w:tcW w:w="2340" w:type="dxa"/>
            <w:vAlign w:val="center"/>
            <w:hideMark/>
          </w:tcPr>
          <w:p w14:paraId="3FAF9279" w14:textId="4CBAC30D" w:rsidR="00B97234" w:rsidRPr="005630DE" w:rsidRDefault="00B97234">
            <w:pPr>
              <w:pStyle w:val="ExhibitText"/>
              <w:jc w:val="right"/>
            </w:pPr>
            <w:r w:rsidRPr="005630DE">
              <w:t>309</w:t>
            </w:r>
            <w:r w:rsidR="00035E57">
              <w:t>.8</w:t>
            </w:r>
          </w:p>
        </w:tc>
      </w:tr>
      <w:tr w:rsidR="00B97234" w:rsidRPr="005630DE" w14:paraId="20FA5754" w14:textId="77777777" w:rsidTr="00174436">
        <w:trPr>
          <w:cantSplit/>
          <w:trHeight w:val="288"/>
          <w:jc w:val="center"/>
        </w:trPr>
        <w:tc>
          <w:tcPr>
            <w:tcW w:w="485" w:type="dxa"/>
            <w:vAlign w:val="center"/>
            <w:hideMark/>
          </w:tcPr>
          <w:p w14:paraId="1CDF0E72" w14:textId="77777777" w:rsidR="00B97234" w:rsidRPr="005630DE" w:rsidRDefault="00B97234" w:rsidP="009E116E">
            <w:pPr>
              <w:pStyle w:val="ExhibitText"/>
              <w:jc w:val="right"/>
            </w:pPr>
            <w:r w:rsidRPr="005630DE">
              <w:t>9</w:t>
            </w:r>
          </w:p>
        </w:tc>
        <w:tc>
          <w:tcPr>
            <w:tcW w:w="5090" w:type="dxa"/>
            <w:vAlign w:val="center"/>
            <w:hideMark/>
          </w:tcPr>
          <w:p w14:paraId="3439FAB0" w14:textId="59B7C084" w:rsidR="00B97234" w:rsidRPr="005630DE" w:rsidRDefault="00CC09FD" w:rsidP="009E116E">
            <w:pPr>
              <w:pStyle w:val="ExhibitText"/>
              <w:jc w:val="left"/>
            </w:pPr>
            <w:r w:rsidRPr="005630DE">
              <w:t>National Telecom</w:t>
            </w:r>
            <w:r>
              <w:t xml:space="preserve"> </w:t>
            </w:r>
            <w:r w:rsidRPr="005630DE">
              <w:t>S.A.</w:t>
            </w:r>
          </w:p>
        </w:tc>
        <w:tc>
          <w:tcPr>
            <w:tcW w:w="2340" w:type="dxa"/>
            <w:vAlign w:val="center"/>
            <w:hideMark/>
          </w:tcPr>
          <w:p w14:paraId="2F531285" w14:textId="715AECA8" w:rsidR="00B97234" w:rsidRPr="005630DE" w:rsidRDefault="00B97234">
            <w:pPr>
              <w:pStyle w:val="ExhibitText"/>
              <w:jc w:val="right"/>
            </w:pPr>
            <w:r w:rsidRPr="005630DE">
              <w:t>263</w:t>
            </w:r>
            <w:r w:rsidR="00035E57">
              <w:t>.7</w:t>
            </w:r>
          </w:p>
        </w:tc>
      </w:tr>
      <w:tr w:rsidR="00B97234" w:rsidRPr="005630DE" w14:paraId="261985D1" w14:textId="77777777" w:rsidTr="00174436">
        <w:trPr>
          <w:cantSplit/>
          <w:trHeight w:val="288"/>
          <w:jc w:val="center"/>
        </w:trPr>
        <w:tc>
          <w:tcPr>
            <w:tcW w:w="485" w:type="dxa"/>
            <w:vAlign w:val="center"/>
            <w:hideMark/>
          </w:tcPr>
          <w:p w14:paraId="3EF4F148" w14:textId="77777777" w:rsidR="00B97234" w:rsidRPr="005630DE" w:rsidRDefault="00B97234" w:rsidP="009E116E">
            <w:pPr>
              <w:pStyle w:val="ExhibitText"/>
              <w:jc w:val="right"/>
            </w:pPr>
            <w:r w:rsidRPr="005630DE">
              <w:t>10</w:t>
            </w:r>
          </w:p>
        </w:tc>
        <w:tc>
          <w:tcPr>
            <w:tcW w:w="5090" w:type="dxa"/>
            <w:vAlign w:val="center"/>
            <w:hideMark/>
          </w:tcPr>
          <w:p w14:paraId="55D920BC" w14:textId="3DAA3F3F" w:rsidR="00B97234" w:rsidRPr="005630DE" w:rsidRDefault="00CC09FD" w:rsidP="009E116E">
            <w:pPr>
              <w:pStyle w:val="ExhibitText"/>
              <w:jc w:val="left"/>
            </w:pPr>
            <w:r w:rsidRPr="005630DE">
              <w:t xml:space="preserve">Office </w:t>
            </w:r>
            <w:proofErr w:type="spellStart"/>
            <w:r w:rsidRPr="005630DE">
              <w:t>Nationale</w:t>
            </w:r>
            <w:proofErr w:type="spellEnd"/>
            <w:r w:rsidRPr="005630DE">
              <w:t xml:space="preserve"> </w:t>
            </w:r>
            <w:proofErr w:type="spellStart"/>
            <w:r w:rsidR="007B7D08">
              <w:t>d</w:t>
            </w:r>
            <w:r w:rsidRPr="005630DE">
              <w:t>'</w:t>
            </w:r>
            <w:r w:rsidR="007B7D08">
              <w:t>A</w:t>
            </w:r>
            <w:r w:rsidRPr="005630DE">
              <w:t>ssurance</w:t>
            </w:r>
            <w:proofErr w:type="spellEnd"/>
            <w:r w:rsidRPr="005630DE">
              <w:t xml:space="preserve"> </w:t>
            </w:r>
            <w:proofErr w:type="spellStart"/>
            <w:r w:rsidRPr="005630DE">
              <w:t>Vieillesse</w:t>
            </w:r>
            <w:proofErr w:type="spellEnd"/>
          </w:p>
        </w:tc>
        <w:tc>
          <w:tcPr>
            <w:tcW w:w="2340" w:type="dxa"/>
            <w:vAlign w:val="center"/>
            <w:hideMark/>
          </w:tcPr>
          <w:p w14:paraId="05C9B460" w14:textId="5F1B2565" w:rsidR="00B97234" w:rsidRPr="005630DE" w:rsidRDefault="00B97234">
            <w:pPr>
              <w:pStyle w:val="ExhibitText"/>
              <w:jc w:val="right"/>
            </w:pPr>
            <w:r w:rsidRPr="005630DE">
              <w:t>260</w:t>
            </w:r>
            <w:r w:rsidR="00035E57">
              <w:t>.6</w:t>
            </w:r>
          </w:p>
        </w:tc>
      </w:tr>
      <w:tr w:rsidR="00B97234" w:rsidRPr="005630DE" w14:paraId="59BC1FA2" w14:textId="77777777" w:rsidTr="00174436">
        <w:trPr>
          <w:cantSplit/>
          <w:trHeight w:val="288"/>
          <w:jc w:val="center"/>
        </w:trPr>
        <w:tc>
          <w:tcPr>
            <w:tcW w:w="485" w:type="dxa"/>
            <w:vAlign w:val="center"/>
            <w:hideMark/>
          </w:tcPr>
          <w:p w14:paraId="3C2F6C95" w14:textId="77777777" w:rsidR="00B97234" w:rsidRPr="005630DE" w:rsidRDefault="00B97234" w:rsidP="009E116E">
            <w:pPr>
              <w:pStyle w:val="ExhibitText"/>
              <w:jc w:val="right"/>
            </w:pPr>
            <w:r w:rsidRPr="005630DE">
              <w:t>11</w:t>
            </w:r>
          </w:p>
        </w:tc>
        <w:tc>
          <w:tcPr>
            <w:tcW w:w="5090" w:type="dxa"/>
            <w:vAlign w:val="center"/>
            <w:hideMark/>
          </w:tcPr>
          <w:p w14:paraId="026558D0" w14:textId="1A675500" w:rsidR="00B97234" w:rsidRPr="002F789A" w:rsidRDefault="00CC09FD" w:rsidP="009E116E">
            <w:pPr>
              <w:pStyle w:val="ExhibitText"/>
              <w:jc w:val="left"/>
              <w:rPr>
                <w:lang w:val="es-US"/>
              </w:rPr>
            </w:pPr>
            <w:proofErr w:type="spellStart"/>
            <w:r w:rsidRPr="002F789A">
              <w:rPr>
                <w:lang w:val="es-US"/>
              </w:rPr>
              <w:t>Brasserie</w:t>
            </w:r>
            <w:proofErr w:type="spellEnd"/>
            <w:r w:rsidRPr="002F789A">
              <w:rPr>
                <w:lang w:val="es-US"/>
              </w:rPr>
              <w:t xml:space="preserve"> </w:t>
            </w:r>
            <w:r w:rsidR="007B7D08">
              <w:rPr>
                <w:lang w:val="es-US"/>
              </w:rPr>
              <w:t>d</w:t>
            </w:r>
            <w:r w:rsidRPr="002F789A">
              <w:rPr>
                <w:lang w:val="es-US"/>
              </w:rPr>
              <w:t xml:space="preserve">e La </w:t>
            </w:r>
            <w:proofErr w:type="spellStart"/>
            <w:r w:rsidRPr="002F789A">
              <w:rPr>
                <w:lang w:val="es-US"/>
              </w:rPr>
              <w:t>Couronne</w:t>
            </w:r>
            <w:proofErr w:type="spellEnd"/>
            <w:r w:rsidRPr="002F789A">
              <w:rPr>
                <w:lang w:val="es-US"/>
              </w:rPr>
              <w:t xml:space="preserve"> S.A.</w:t>
            </w:r>
          </w:p>
        </w:tc>
        <w:tc>
          <w:tcPr>
            <w:tcW w:w="2340" w:type="dxa"/>
            <w:vAlign w:val="center"/>
            <w:hideMark/>
          </w:tcPr>
          <w:p w14:paraId="050CDE63" w14:textId="70C7D729" w:rsidR="00B97234" w:rsidRPr="005630DE" w:rsidRDefault="00B97234">
            <w:pPr>
              <w:pStyle w:val="ExhibitText"/>
              <w:jc w:val="right"/>
            </w:pPr>
            <w:r w:rsidRPr="005630DE">
              <w:t>200</w:t>
            </w:r>
            <w:r w:rsidR="00035E57">
              <w:t>.4</w:t>
            </w:r>
          </w:p>
        </w:tc>
      </w:tr>
      <w:tr w:rsidR="00B97234" w:rsidRPr="005630DE" w14:paraId="5CDC3A9B" w14:textId="77777777" w:rsidTr="00174436">
        <w:trPr>
          <w:cantSplit/>
          <w:trHeight w:val="288"/>
          <w:jc w:val="center"/>
        </w:trPr>
        <w:tc>
          <w:tcPr>
            <w:tcW w:w="485" w:type="dxa"/>
            <w:vAlign w:val="center"/>
            <w:hideMark/>
          </w:tcPr>
          <w:p w14:paraId="21166602" w14:textId="77777777" w:rsidR="00B97234" w:rsidRPr="005630DE" w:rsidRDefault="00B97234" w:rsidP="009E116E">
            <w:pPr>
              <w:pStyle w:val="ExhibitText"/>
              <w:jc w:val="right"/>
            </w:pPr>
            <w:r w:rsidRPr="005630DE">
              <w:t>12</w:t>
            </w:r>
          </w:p>
        </w:tc>
        <w:tc>
          <w:tcPr>
            <w:tcW w:w="5090" w:type="dxa"/>
            <w:vAlign w:val="center"/>
            <w:hideMark/>
          </w:tcPr>
          <w:p w14:paraId="73540EF3" w14:textId="2C0DF9AE" w:rsidR="00B97234" w:rsidRPr="005630DE" w:rsidRDefault="00CC09FD" w:rsidP="009E116E">
            <w:pPr>
              <w:pStyle w:val="ExhibitText"/>
              <w:jc w:val="left"/>
            </w:pPr>
            <w:r w:rsidRPr="005630DE">
              <w:t>American Airlines</w:t>
            </w:r>
            <w:r w:rsidR="007B7D08">
              <w:t>, Inc.</w:t>
            </w:r>
          </w:p>
        </w:tc>
        <w:tc>
          <w:tcPr>
            <w:tcW w:w="2340" w:type="dxa"/>
            <w:vAlign w:val="center"/>
            <w:hideMark/>
          </w:tcPr>
          <w:p w14:paraId="7ACE7144" w14:textId="22644D59" w:rsidR="00B97234" w:rsidRPr="005630DE" w:rsidRDefault="00B97234">
            <w:pPr>
              <w:pStyle w:val="ExhibitText"/>
              <w:jc w:val="right"/>
            </w:pPr>
            <w:r w:rsidRPr="005630DE">
              <w:t>199</w:t>
            </w:r>
            <w:r w:rsidR="00035E57">
              <w:t>.9</w:t>
            </w:r>
          </w:p>
        </w:tc>
      </w:tr>
      <w:tr w:rsidR="00B97234" w:rsidRPr="005630DE" w14:paraId="5DB27D12" w14:textId="77777777" w:rsidTr="00174436">
        <w:trPr>
          <w:cantSplit/>
          <w:trHeight w:val="288"/>
          <w:jc w:val="center"/>
        </w:trPr>
        <w:tc>
          <w:tcPr>
            <w:tcW w:w="485" w:type="dxa"/>
            <w:vAlign w:val="center"/>
            <w:hideMark/>
          </w:tcPr>
          <w:p w14:paraId="07C144B9" w14:textId="77777777" w:rsidR="00B97234" w:rsidRPr="005630DE" w:rsidRDefault="00B97234" w:rsidP="009E116E">
            <w:pPr>
              <w:pStyle w:val="ExhibitText"/>
              <w:jc w:val="right"/>
            </w:pPr>
            <w:r w:rsidRPr="005630DE">
              <w:t>13</w:t>
            </w:r>
          </w:p>
        </w:tc>
        <w:tc>
          <w:tcPr>
            <w:tcW w:w="5090" w:type="dxa"/>
            <w:vAlign w:val="center"/>
            <w:hideMark/>
          </w:tcPr>
          <w:p w14:paraId="1C761CB7" w14:textId="40B7E20F" w:rsidR="00B97234" w:rsidRPr="005630DE" w:rsidRDefault="00CC09FD" w:rsidP="009E116E">
            <w:pPr>
              <w:pStyle w:val="ExhibitText"/>
              <w:jc w:val="left"/>
            </w:pPr>
            <w:proofErr w:type="spellStart"/>
            <w:r w:rsidRPr="005630DE">
              <w:t>Hinoto</w:t>
            </w:r>
            <w:proofErr w:type="spellEnd"/>
            <w:r w:rsidRPr="005630DE">
              <w:t xml:space="preserve"> S.A.</w:t>
            </w:r>
          </w:p>
        </w:tc>
        <w:tc>
          <w:tcPr>
            <w:tcW w:w="2340" w:type="dxa"/>
            <w:vAlign w:val="center"/>
            <w:hideMark/>
          </w:tcPr>
          <w:p w14:paraId="7A385219" w14:textId="335EC390" w:rsidR="00B97234" w:rsidRPr="005630DE" w:rsidRDefault="00B97234">
            <w:pPr>
              <w:pStyle w:val="ExhibitText"/>
              <w:jc w:val="right"/>
            </w:pPr>
            <w:r w:rsidRPr="005630DE">
              <w:t>191</w:t>
            </w:r>
            <w:r w:rsidR="00035E57">
              <w:t>.6</w:t>
            </w:r>
          </w:p>
        </w:tc>
      </w:tr>
      <w:tr w:rsidR="00B97234" w:rsidRPr="005630DE" w14:paraId="6189A126" w14:textId="77777777" w:rsidTr="00174436">
        <w:trPr>
          <w:cantSplit/>
          <w:trHeight w:val="288"/>
          <w:jc w:val="center"/>
        </w:trPr>
        <w:tc>
          <w:tcPr>
            <w:tcW w:w="485" w:type="dxa"/>
            <w:vAlign w:val="center"/>
            <w:hideMark/>
          </w:tcPr>
          <w:p w14:paraId="2374FC46" w14:textId="77777777" w:rsidR="00B97234" w:rsidRPr="005630DE" w:rsidRDefault="00B97234" w:rsidP="009E116E">
            <w:pPr>
              <w:pStyle w:val="ExhibitText"/>
              <w:jc w:val="right"/>
            </w:pPr>
            <w:r w:rsidRPr="005630DE">
              <w:t>14</w:t>
            </w:r>
          </w:p>
        </w:tc>
        <w:tc>
          <w:tcPr>
            <w:tcW w:w="5090" w:type="dxa"/>
            <w:vAlign w:val="center"/>
            <w:hideMark/>
          </w:tcPr>
          <w:p w14:paraId="59FED003" w14:textId="28FA37AE" w:rsidR="00B97234" w:rsidRPr="005630DE" w:rsidRDefault="00CC09FD" w:rsidP="009E116E">
            <w:pPr>
              <w:pStyle w:val="ExhibitText"/>
              <w:jc w:val="left"/>
            </w:pPr>
            <w:r w:rsidRPr="005630DE">
              <w:t>Capital Bank S.A</w:t>
            </w:r>
            <w:r w:rsidR="00BB3DE6">
              <w:t>.</w:t>
            </w:r>
          </w:p>
        </w:tc>
        <w:tc>
          <w:tcPr>
            <w:tcW w:w="2340" w:type="dxa"/>
            <w:vAlign w:val="center"/>
            <w:hideMark/>
          </w:tcPr>
          <w:p w14:paraId="1F7EE0FA" w14:textId="46BAD4C5" w:rsidR="00B97234" w:rsidRPr="005630DE" w:rsidRDefault="00B97234">
            <w:pPr>
              <w:pStyle w:val="ExhibitText"/>
              <w:jc w:val="right"/>
            </w:pPr>
            <w:r w:rsidRPr="005630DE">
              <w:t>17</w:t>
            </w:r>
            <w:r w:rsidR="00035E57">
              <w:t>1.0</w:t>
            </w:r>
          </w:p>
        </w:tc>
      </w:tr>
      <w:tr w:rsidR="00B97234" w:rsidRPr="005630DE" w14:paraId="0D692209" w14:textId="77777777" w:rsidTr="00174436">
        <w:trPr>
          <w:cantSplit/>
          <w:trHeight w:val="288"/>
          <w:jc w:val="center"/>
        </w:trPr>
        <w:tc>
          <w:tcPr>
            <w:tcW w:w="485" w:type="dxa"/>
            <w:vAlign w:val="center"/>
            <w:hideMark/>
          </w:tcPr>
          <w:p w14:paraId="77F80FD5" w14:textId="77777777" w:rsidR="00B97234" w:rsidRPr="005630DE" w:rsidRDefault="00B97234" w:rsidP="009E116E">
            <w:pPr>
              <w:pStyle w:val="ExhibitText"/>
              <w:jc w:val="right"/>
            </w:pPr>
            <w:r w:rsidRPr="005630DE">
              <w:t>15</w:t>
            </w:r>
          </w:p>
        </w:tc>
        <w:tc>
          <w:tcPr>
            <w:tcW w:w="5090" w:type="dxa"/>
            <w:vAlign w:val="center"/>
            <w:hideMark/>
          </w:tcPr>
          <w:p w14:paraId="02846734" w14:textId="07B16A62" w:rsidR="00B97234" w:rsidRPr="005630DE" w:rsidRDefault="00CC09FD" w:rsidP="009E116E">
            <w:pPr>
              <w:pStyle w:val="ExhibitText"/>
              <w:jc w:val="left"/>
            </w:pPr>
            <w:r w:rsidRPr="005630DE">
              <w:t>Total Ha</w:t>
            </w:r>
            <w:r w:rsidR="00AF29ED">
              <w:t>i</w:t>
            </w:r>
            <w:r w:rsidRPr="005630DE">
              <w:t>ti S.A.</w:t>
            </w:r>
          </w:p>
        </w:tc>
        <w:tc>
          <w:tcPr>
            <w:tcW w:w="2340" w:type="dxa"/>
            <w:vAlign w:val="center"/>
            <w:hideMark/>
          </w:tcPr>
          <w:p w14:paraId="2C77DD14" w14:textId="227EF0AC" w:rsidR="00B97234" w:rsidRPr="005630DE" w:rsidRDefault="00B97234">
            <w:pPr>
              <w:pStyle w:val="ExhibitText"/>
              <w:jc w:val="right"/>
            </w:pPr>
            <w:r w:rsidRPr="005630DE">
              <w:t>170</w:t>
            </w:r>
            <w:r w:rsidR="00035E57">
              <w:t>.0</w:t>
            </w:r>
          </w:p>
        </w:tc>
      </w:tr>
      <w:tr w:rsidR="00B97234" w:rsidRPr="005630DE" w14:paraId="26A55A9F" w14:textId="77777777" w:rsidTr="00174436">
        <w:trPr>
          <w:cantSplit/>
          <w:trHeight w:val="288"/>
          <w:jc w:val="center"/>
        </w:trPr>
        <w:tc>
          <w:tcPr>
            <w:tcW w:w="485" w:type="dxa"/>
            <w:vAlign w:val="center"/>
            <w:hideMark/>
          </w:tcPr>
          <w:p w14:paraId="154B6E9E" w14:textId="77777777" w:rsidR="00B97234" w:rsidRPr="005630DE" w:rsidRDefault="00B97234" w:rsidP="009E116E">
            <w:pPr>
              <w:pStyle w:val="ExhibitText"/>
              <w:jc w:val="right"/>
            </w:pPr>
            <w:r w:rsidRPr="005630DE">
              <w:t>16</w:t>
            </w:r>
          </w:p>
        </w:tc>
        <w:tc>
          <w:tcPr>
            <w:tcW w:w="5090" w:type="dxa"/>
            <w:vAlign w:val="center"/>
            <w:hideMark/>
          </w:tcPr>
          <w:p w14:paraId="09DF517C" w14:textId="528BBABD" w:rsidR="00B97234" w:rsidRPr="005630DE" w:rsidRDefault="00CC09FD" w:rsidP="009E116E">
            <w:pPr>
              <w:pStyle w:val="ExhibitText"/>
              <w:jc w:val="left"/>
            </w:pPr>
            <w:r w:rsidRPr="005630DE">
              <w:t>Tropic S.A.</w:t>
            </w:r>
          </w:p>
        </w:tc>
        <w:tc>
          <w:tcPr>
            <w:tcW w:w="2340" w:type="dxa"/>
            <w:vAlign w:val="center"/>
            <w:hideMark/>
          </w:tcPr>
          <w:p w14:paraId="5745AA5B" w14:textId="09A07259" w:rsidR="00B97234" w:rsidRPr="005630DE" w:rsidRDefault="00B97234">
            <w:pPr>
              <w:pStyle w:val="ExhibitText"/>
              <w:jc w:val="right"/>
            </w:pPr>
            <w:r w:rsidRPr="005630DE">
              <w:t>167</w:t>
            </w:r>
            <w:r w:rsidR="00035E57">
              <w:t>.4</w:t>
            </w:r>
          </w:p>
        </w:tc>
      </w:tr>
      <w:tr w:rsidR="00B97234" w:rsidRPr="005630DE" w14:paraId="1DC27927" w14:textId="77777777" w:rsidTr="00174436">
        <w:trPr>
          <w:cantSplit/>
          <w:trHeight w:val="288"/>
          <w:jc w:val="center"/>
        </w:trPr>
        <w:tc>
          <w:tcPr>
            <w:tcW w:w="485" w:type="dxa"/>
            <w:vAlign w:val="center"/>
            <w:hideMark/>
          </w:tcPr>
          <w:p w14:paraId="30925F61" w14:textId="77777777" w:rsidR="00B97234" w:rsidRPr="005630DE" w:rsidRDefault="00B97234" w:rsidP="009E116E">
            <w:pPr>
              <w:pStyle w:val="ExhibitText"/>
              <w:jc w:val="right"/>
            </w:pPr>
            <w:r w:rsidRPr="005630DE">
              <w:t>17</w:t>
            </w:r>
          </w:p>
        </w:tc>
        <w:tc>
          <w:tcPr>
            <w:tcW w:w="5090" w:type="dxa"/>
            <w:vAlign w:val="center"/>
            <w:hideMark/>
          </w:tcPr>
          <w:p w14:paraId="7A61C900" w14:textId="2236D9D1" w:rsidR="00B97234" w:rsidRPr="005630DE" w:rsidRDefault="00CC09FD" w:rsidP="009E116E">
            <w:pPr>
              <w:pStyle w:val="ExhibitText"/>
              <w:jc w:val="left"/>
            </w:pPr>
            <w:r w:rsidRPr="005630DE">
              <w:t xml:space="preserve">Valerio </w:t>
            </w:r>
            <w:proofErr w:type="spellStart"/>
            <w:r w:rsidRPr="005630DE">
              <w:t>Canez</w:t>
            </w:r>
            <w:proofErr w:type="spellEnd"/>
            <w:r w:rsidRPr="005630DE">
              <w:t xml:space="preserve"> S.A</w:t>
            </w:r>
            <w:r w:rsidR="00BB3DE6">
              <w:t>.</w:t>
            </w:r>
          </w:p>
        </w:tc>
        <w:tc>
          <w:tcPr>
            <w:tcW w:w="2340" w:type="dxa"/>
            <w:vAlign w:val="center"/>
            <w:hideMark/>
          </w:tcPr>
          <w:p w14:paraId="1469111E" w14:textId="2DFE2E92" w:rsidR="00B97234" w:rsidRPr="005630DE" w:rsidRDefault="00B97234">
            <w:pPr>
              <w:pStyle w:val="ExhibitText"/>
              <w:jc w:val="right"/>
            </w:pPr>
            <w:r w:rsidRPr="005630DE">
              <w:t>142</w:t>
            </w:r>
            <w:r w:rsidR="00035E57">
              <w:t>.9</w:t>
            </w:r>
          </w:p>
        </w:tc>
      </w:tr>
      <w:tr w:rsidR="00B97234" w:rsidRPr="005630DE" w14:paraId="24853302" w14:textId="77777777" w:rsidTr="00174436">
        <w:trPr>
          <w:cantSplit/>
          <w:trHeight w:val="288"/>
          <w:jc w:val="center"/>
        </w:trPr>
        <w:tc>
          <w:tcPr>
            <w:tcW w:w="485" w:type="dxa"/>
            <w:vAlign w:val="center"/>
            <w:hideMark/>
          </w:tcPr>
          <w:p w14:paraId="48AE8B0F" w14:textId="77777777" w:rsidR="00B97234" w:rsidRPr="005630DE" w:rsidRDefault="00B97234" w:rsidP="009E116E">
            <w:pPr>
              <w:pStyle w:val="ExhibitText"/>
              <w:jc w:val="right"/>
            </w:pPr>
            <w:r w:rsidRPr="005630DE">
              <w:t>18</w:t>
            </w:r>
          </w:p>
        </w:tc>
        <w:tc>
          <w:tcPr>
            <w:tcW w:w="5090" w:type="dxa"/>
            <w:vAlign w:val="center"/>
            <w:hideMark/>
          </w:tcPr>
          <w:p w14:paraId="6B1999A2" w14:textId="2B67D7DF" w:rsidR="00B97234" w:rsidRPr="005630DE" w:rsidRDefault="00CC09FD" w:rsidP="009E116E">
            <w:pPr>
              <w:pStyle w:val="ExhibitText"/>
              <w:jc w:val="left"/>
            </w:pPr>
            <w:r w:rsidRPr="005630DE">
              <w:t>Telecom Solutions,</w:t>
            </w:r>
            <w:r w:rsidR="00BB3DE6">
              <w:t xml:space="preserve"> </w:t>
            </w:r>
            <w:r w:rsidRPr="005630DE">
              <w:t>S.A.</w:t>
            </w:r>
          </w:p>
        </w:tc>
        <w:tc>
          <w:tcPr>
            <w:tcW w:w="2340" w:type="dxa"/>
            <w:vAlign w:val="center"/>
            <w:hideMark/>
          </w:tcPr>
          <w:p w14:paraId="5027DE3A" w14:textId="53EB4350" w:rsidR="00B97234" w:rsidRPr="005630DE" w:rsidRDefault="00B97234">
            <w:pPr>
              <w:pStyle w:val="ExhibitText"/>
              <w:jc w:val="right"/>
            </w:pPr>
            <w:r w:rsidRPr="005630DE">
              <w:t>140</w:t>
            </w:r>
            <w:r w:rsidR="00035E57">
              <w:t>.5</w:t>
            </w:r>
          </w:p>
        </w:tc>
      </w:tr>
      <w:tr w:rsidR="00B97234" w:rsidRPr="005630DE" w14:paraId="2AF68A41" w14:textId="77777777" w:rsidTr="00174436">
        <w:trPr>
          <w:cantSplit/>
          <w:trHeight w:val="288"/>
          <w:jc w:val="center"/>
        </w:trPr>
        <w:tc>
          <w:tcPr>
            <w:tcW w:w="485" w:type="dxa"/>
            <w:vAlign w:val="center"/>
            <w:hideMark/>
          </w:tcPr>
          <w:p w14:paraId="2502A8B2" w14:textId="77777777" w:rsidR="00B97234" w:rsidRPr="005630DE" w:rsidRDefault="00B97234" w:rsidP="009E116E">
            <w:pPr>
              <w:pStyle w:val="ExhibitText"/>
              <w:jc w:val="right"/>
            </w:pPr>
            <w:r w:rsidRPr="005630DE">
              <w:t>19</w:t>
            </w:r>
          </w:p>
        </w:tc>
        <w:tc>
          <w:tcPr>
            <w:tcW w:w="5090" w:type="dxa"/>
            <w:vAlign w:val="center"/>
            <w:hideMark/>
          </w:tcPr>
          <w:p w14:paraId="720E8DC0" w14:textId="65958CDD" w:rsidR="00B97234" w:rsidRPr="005630DE" w:rsidRDefault="00B60DEE" w:rsidP="009E116E">
            <w:pPr>
              <w:pStyle w:val="ExhibitText"/>
              <w:jc w:val="left"/>
            </w:pPr>
            <w:r>
              <w:t xml:space="preserve">Les </w:t>
            </w:r>
            <w:proofErr w:type="spellStart"/>
            <w:r w:rsidR="00CC09FD" w:rsidRPr="005630DE">
              <w:t>Moteurs</w:t>
            </w:r>
            <w:proofErr w:type="spellEnd"/>
            <w:r w:rsidR="00CC09FD" w:rsidRPr="005630DE">
              <w:t xml:space="preserve"> </w:t>
            </w:r>
            <w:proofErr w:type="spellStart"/>
            <w:r w:rsidR="00CC09FD" w:rsidRPr="005630DE">
              <w:t>Réunis</w:t>
            </w:r>
            <w:proofErr w:type="spellEnd"/>
            <w:r w:rsidR="00CC09FD" w:rsidRPr="005630DE">
              <w:t xml:space="preserve"> S.A.</w:t>
            </w:r>
          </w:p>
        </w:tc>
        <w:tc>
          <w:tcPr>
            <w:tcW w:w="2340" w:type="dxa"/>
            <w:vAlign w:val="center"/>
            <w:hideMark/>
          </w:tcPr>
          <w:p w14:paraId="3360FDD4" w14:textId="3E60F8B5" w:rsidR="00B97234" w:rsidRPr="005630DE" w:rsidRDefault="00B97234">
            <w:pPr>
              <w:pStyle w:val="ExhibitText"/>
              <w:jc w:val="right"/>
            </w:pPr>
            <w:r w:rsidRPr="005630DE">
              <w:t>135</w:t>
            </w:r>
            <w:r w:rsidR="00035E57">
              <w:t>.0</w:t>
            </w:r>
          </w:p>
        </w:tc>
      </w:tr>
      <w:tr w:rsidR="00B97234" w:rsidRPr="005630DE" w14:paraId="293D414D" w14:textId="77777777" w:rsidTr="00174436">
        <w:trPr>
          <w:cantSplit/>
          <w:trHeight w:val="288"/>
          <w:jc w:val="center"/>
        </w:trPr>
        <w:tc>
          <w:tcPr>
            <w:tcW w:w="485" w:type="dxa"/>
            <w:vAlign w:val="center"/>
            <w:hideMark/>
          </w:tcPr>
          <w:p w14:paraId="4F22AA17" w14:textId="77777777" w:rsidR="00B97234" w:rsidRPr="005630DE" w:rsidRDefault="00B97234" w:rsidP="009E116E">
            <w:pPr>
              <w:pStyle w:val="ExhibitText"/>
              <w:jc w:val="right"/>
            </w:pPr>
            <w:r w:rsidRPr="005630DE">
              <w:t>20</w:t>
            </w:r>
          </w:p>
        </w:tc>
        <w:tc>
          <w:tcPr>
            <w:tcW w:w="5090" w:type="dxa"/>
            <w:vAlign w:val="center"/>
            <w:hideMark/>
          </w:tcPr>
          <w:p w14:paraId="7FE42352" w14:textId="4D3E1C16" w:rsidR="00B97234" w:rsidRPr="00603B0C" w:rsidRDefault="00CC09FD" w:rsidP="009E116E">
            <w:pPr>
              <w:pStyle w:val="ExhibitText"/>
              <w:jc w:val="left"/>
              <w:rPr>
                <w:lang w:val="fr-CA"/>
              </w:rPr>
            </w:pPr>
            <w:r w:rsidRPr="00603B0C">
              <w:rPr>
                <w:lang w:val="fr-CA"/>
              </w:rPr>
              <w:t xml:space="preserve">Communication Cellulaire </w:t>
            </w:r>
            <w:r w:rsidR="00B60DEE">
              <w:rPr>
                <w:lang w:val="fr-CA"/>
              </w:rPr>
              <w:t>d</w:t>
            </w:r>
            <w:r w:rsidRPr="00603B0C">
              <w:rPr>
                <w:lang w:val="fr-CA"/>
              </w:rPr>
              <w:t>'</w:t>
            </w:r>
            <w:r w:rsidR="00BB3DE6">
              <w:rPr>
                <w:lang w:val="fr-CA"/>
              </w:rPr>
              <w:t>H</w:t>
            </w:r>
            <w:r w:rsidRPr="00603B0C">
              <w:rPr>
                <w:lang w:val="fr-CA"/>
              </w:rPr>
              <w:t>aïti S.A.</w:t>
            </w:r>
          </w:p>
        </w:tc>
        <w:tc>
          <w:tcPr>
            <w:tcW w:w="2340" w:type="dxa"/>
            <w:vAlign w:val="center"/>
            <w:hideMark/>
          </w:tcPr>
          <w:p w14:paraId="6E2C015D" w14:textId="2C28E096" w:rsidR="00B97234" w:rsidRPr="005630DE" w:rsidRDefault="00B97234">
            <w:pPr>
              <w:pStyle w:val="ExhibitText"/>
              <w:jc w:val="right"/>
            </w:pPr>
            <w:r w:rsidRPr="005630DE">
              <w:t>126</w:t>
            </w:r>
            <w:r w:rsidR="00035E57">
              <w:t>.8</w:t>
            </w:r>
          </w:p>
        </w:tc>
      </w:tr>
      <w:tr w:rsidR="00B97234" w:rsidRPr="005630DE" w14:paraId="44C306E3" w14:textId="77777777" w:rsidTr="00174436">
        <w:trPr>
          <w:cantSplit/>
          <w:trHeight w:val="288"/>
          <w:jc w:val="center"/>
        </w:trPr>
        <w:tc>
          <w:tcPr>
            <w:tcW w:w="485" w:type="dxa"/>
            <w:vAlign w:val="center"/>
            <w:hideMark/>
          </w:tcPr>
          <w:p w14:paraId="2DFEEBD5" w14:textId="77777777" w:rsidR="00B97234" w:rsidRPr="005630DE" w:rsidRDefault="00B97234" w:rsidP="009E116E">
            <w:pPr>
              <w:pStyle w:val="ExhibitText"/>
              <w:jc w:val="right"/>
            </w:pPr>
            <w:r w:rsidRPr="005630DE">
              <w:t>21</w:t>
            </w:r>
          </w:p>
        </w:tc>
        <w:tc>
          <w:tcPr>
            <w:tcW w:w="5090" w:type="dxa"/>
            <w:vAlign w:val="center"/>
            <w:hideMark/>
          </w:tcPr>
          <w:p w14:paraId="27AA2173" w14:textId="47D8F6FF" w:rsidR="00B97234" w:rsidRPr="005630DE" w:rsidRDefault="00CC09FD" w:rsidP="009E116E">
            <w:pPr>
              <w:pStyle w:val="ExhibitText"/>
              <w:jc w:val="left"/>
            </w:pPr>
            <w:proofErr w:type="spellStart"/>
            <w:r w:rsidRPr="005630DE">
              <w:t>Carribex</w:t>
            </w:r>
            <w:proofErr w:type="spellEnd"/>
            <w:r w:rsidRPr="005630DE">
              <w:t>, S.A.</w:t>
            </w:r>
          </w:p>
        </w:tc>
        <w:tc>
          <w:tcPr>
            <w:tcW w:w="2340" w:type="dxa"/>
            <w:vAlign w:val="center"/>
            <w:hideMark/>
          </w:tcPr>
          <w:p w14:paraId="44D1EECD" w14:textId="4958DF79" w:rsidR="00B97234" w:rsidRPr="005630DE" w:rsidRDefault="00B97234">
            <w:pPr>
              <w:pStyle w:val="ExhibitText"/>
              <w:jc w:val="right"/>
            </w:pPr>
            <w:r w:rsidRPr="005630DE">
              <w:t>122</w:t>
            </w:r>
            <w:r w:rsidR="00035E57">
              <w:t>.1</w:t>
            </w:r>
          </w:p>
        </w:tc>
      </w:tr>
      <w:tr w:rsidR="00B97234" w:rsidRPr="005630DE" w14:paraId="6FF64BFF" w14:textId="77777777" w:rsidTr="00174436">
        <w:trPr>
          <w:cantSplit/>
          <w:trHeight w:val="288"/>
          <w:jc w:val="center"/>
        </w:trPr>
        <w:tc>
          <w:tcPr>
            <w:tcW w:w="485" w:type="dxa"/>
            <w:vAlign w:val="center"/>
            <w:hideMark/>
          </w:tcPr>
          <w:p w14:paraId="08EC1932" w14:textId="77777777" w:rsidR="00B97234" w:rsidRPr="005630DE" w:rsidRDefault="00B97234" w:rsidP="009E116E">
            <w:pPr>
              <w:pStyle w:val="ExhibitText"/>
              <w:jc w:val="right"/>
            </w:pPr>
            <w:r w:rsidRPr="005630DE">
              <w:t>22</w:t>
            </w:r>
          </w:p>
        </w:tc>
        <w:tc>
          <w:tcPr>
            <w:tcW w:w="5090" w:type="dxa"/>
            <w:vAlign w:val="center"/>
            <w:hideMark/>
          </w:tcPr>
          <w:p w14:paraId="648F47C3" w14:textId="30F6B328" w:rsidR="00B97234" w:rsidRPr="00603B0C" w:rsidRDefault="00CC09FD" w:rsidP="009E116E">
            <w:pPr>
              <w:pStyle w:val="ExhibitText"/>
              <w:jc w:val="left"/>
              <w:rPr>
                <w:lang w:val="fr-CA"/>
              </w:rPr>
            </w:pPr>
            <w:r w:rsidRPr="00603B0C">
              <w:rPr>
                <w:lang w:val="fr-CA"/>
              </w:rPr>
              <w:t>Operateurs Portuaires Réunis S.A.</w:t>
            </w:r>
          </w:p>
        </w:tc>
        <w:tc>
          <w:tcPr>
            <w:tcW w:w="2340" w:type="dxa"/>
            <w:vAlign w:val="center"/>
            <w:hideMark/>
          </w:tcPr>
          <w:p w14:paraId="67C0F14F" w14:textId="57EFC03D" w:rsidR="00B97234" w:rsidRPr="005630DE" w:rsidRDefault="00B97234">
            <w:pPr>
              <w:pStyle w:val="ExhibitText"/>
              <w:jc w:val="right"/>
            </w:pPr>
            <w:r w:rsidRPr="005630DE">
              <w:t>109</w:t>
            </w:r>
            <w:r w:rsidR="00035E57">
              <w:t xml:space="preserve">.6   </w:t>
            </w:r>
          </w:p>
        </w:tc>
      </w:tr>
      <w:tr w:rsidR="00B97234" w:rsidRPr="005630DE" w14:paraId="6EE7DA77" w14:textId="77777777" w:rsidTr="00174436">
        <w:trPr>
          <w:cantSplit/>
          <w:trHeight w:val="288"/>
          <w:jc w:val="center"/>
        </w:trPr>
        <w:tc>
          <w:tcPr>
            <w:tcW w:w="485" w:type="dxa"/>
            <w:vAlign w:val="center"/>
            <w:hideMark/>
          </w:tcPr>
          <w:p w14:paraId="56CE6FD8" w14:textId="77777777" w:rsidR="00B97234" w:rsidRPr="005630DE" w:rsidRDefault="00B97234" w:rsidP="009E116E">
            <w:pPr>
              <w:pStyle w:val="ExhibitText"/>
              <w:jc w:val="right"/>
            </w:pPr>
            <w:r w:rsidRPr="005630DE">
              <w:t>23</w:t>
            </w:r>
          </w:p>
        </w:tc>
        <w:tc>
          <w:tcPr>
            <w:tcW w:w="5090" w:type="dxa"/>
            <w:vAlign w:val="center"/>
            <w:hideMark/>
          </w:tcPr>
          <w:p w14:paraId="48A59533" w14:textId="3A35FA73" w:rsidR="00B97234" w:rsidRPr="005630DE" w:rsidRDefault="00CC09FD" w:rsidP="009E116E">
            <w:pPr>
              <w:pStyle w:val="ExhibitText"/>
              <w:jc w:val="left"/>
            </w:pPr>
            <w:proofErr w:type="spellStart"/>
            <w:r w:rsidRPr="005630DE">
              <w:t>Séjourn</w:t>
            </w:r>
            <w:r w:rsidR="00B60DEE">
              <w:t>é</w:t>
            </w:r>
            <w:proofErr w:type="spellEnd"/>
            <w:r w:rsidRPr="005630DE">
              <w:t xml:space="preserve"> S.A.</w:t>
            </w:r>
          </w:p>
        </w:tc>
        <w:tc>
          <w:tcPr>
            <w:tcW w:w="2340" w:type="dxa"/>
            <w:vAlign w:val="center"/>
            <w:hideMark/>
          </w:tcPr>
          <w:p w14:paraId="1359964E" w14:textId="6BA94DF3" w:rsidR="00B97234" w:rsidRPr="005630DE" w:rsidRDefault="00B97234">
            <w:pPr>
              <w:pStyle w:val="ExhibitText"/>
              <w:jc w:val="right"/>
            </w:pPr>
            <w:r w:rsidRPr="005630DE">
              <w:t>106</w:t>
            </w:r>
            <w:r w:rsidR="00035E57">
              <w:t>.3</w:t>
            </w:r>
          </w:p>
        </w:tc>
      </w:tr>
      <w:tr w:rsidR="00B97234" w:rsidRPr="005630DE" w14:paraId="0FEBE780" w14:textId="77777777" w:rsidTr="00174436">
        <w:trPr>
          <w:cantSplit/>
          <w:trHeight w:val="288"/>
          <w:jc w:val="center"/>
        </w:trPr>
        <w:tc>
          <w:tcPr>
            <w:tcW w:w="485" w:type="dxa"/>
            <w:vAlign w:val="center"/>
            <w:hideMark/>
          </w:tcPr>
          <w:p w14:paraId="4FB506E8" w14:textId="77777777" w:rsidR="00B97234" w:rsidRPr="005630DE" w:rsidRDefault="00B97234" w:rsidP="009E116E">
            <w:pPr>
              <w:pStyle w:val="ExhibitText"/>
              <w:jc w:val="right"/>
            </w:pPr>
            <w:r w:rsidRPr="005630DE">
              <w:t>24</w:t>
            </w:r>
          </w:p>
        </w:tc>
        <w:tc>
          <w:tcPr>
            <w:tcW w:w="5090" w:type="dxa"/>
            <w:vAlign w:val="center"/>
            <w:hideMark/>
          </w:tcPr>
          <w:p w14:paraId="6ED6DFE6" w14:textId="10703A01" w:rsidR="00B97234" w:rsidRPr="00603B0C" w:rsidRDefault="00CC09FD" w:rsidP="009E116E">
            <w:pPr>
              <w:pStyle w:val="ExhibitText"/>
              <w:jc w:val="left"/>
              <w:rPr>
                <w:lang w:val="fr-CA"/>
              </w:rPr>
            </w:pPr>
            <w:r w:rsidRPr="00603B0C">
              <w:rPr>
                <w:lang w:val="fr-CA"/>
              </w:rPr>
              <w:t>Office Assurances Véhicules Contre Tiers</w:t>
            </w:r>
          </w:p>
        </w:tc>
        <w:tc>
          <w:tcPr>
            <w:tcW w:w="2340" w:type="dxa"/>
            <w:vAlign w:val="center"/>
            <w:hideMark/>
          </w:tcPr>
          <w:p w14:paraId="445870CB" w14:textId="41F65D98" w:rsidR="00B97234" w:rsidRPr="005630DE" w:rsidRDefault="00B97234">
            <w:pPr>
              <w:pStyle w:val="ExhibitText"/>
              <w:jc w:val="right"/>
            </w:pPr>
            <w:r w:rsidRPr="005630DE">
              <w:t>103</w:t>
            </w:r>
            <w:r w:rsidR="00035E57">
              <w:t>.5</w:t>
            </w:r>
          </w:p>
        </w:tc>
      </w:tr>
      <w:tr w:rsidR="00B97234" w:rsidRPr="005630DE" w14:paraId="3F68FECA" w14:textId="77777777" w:rsidTr="00174436">
        <w:trPr>
          <w:cantSplit/>
          <w:trHeight w:val="288"/>
          <w:jc w:val="center"/>
        </w:trPr>
        <w:tc>
          <w:tcPr>
            <w:tcW w:w="485" w:type="dxa"/>
            <w:vAlign w:val="center"/>
            <w:hideMark/>
          </w:tcPr>
          <w:p w14:paraId="681CE57A" w14:textId="77777777" w:rsidR="00B97234" w:rsidRPr="005630DE" w:rsidRDefault="00B97234" w:rsidP="009E116E">
            <w:pPr>
              <w:pStyle w:val="ExhibitText"/>
              <w:jc w:val="right"/>
            </w:pPr>
            <w:r w:rsidRPr="005630DE">
              <w:t>25</w:t>
            </w:r>
          </w:p>
        </w:tc>
        <w:tc>
          <w:tcPr>
            <w:tcW w:w="5090" w:type="dxa"/>
            <w:vAlign w:val="center"/>
            <w:hideMark/>
          </w:tcPr>
          <w:p w14:paraId="379C5A34" w14:textId="62A989FF" w:rsidR="00B97234" w:rsidRPr="005630DE" w:rsidRDefault="00CC09FD" w:rsidP="009E116E">
            <w:pPr>
              <w:pStyle w:val="ExhibitText"/>
              <w:jc w:val="left"/>
            </w:pPr>
            <w:r w:rsidRPr="005630DE">
              <w:t>Alternative Insurance Company</w:t>
            </w:r>
          </w:p>
        </w:tc>
        <w:tc>
          <w:tcPr>
            <w:tcW w:w="2340" w:type="dxa"/>
            <w:vAlign w:val="center"/>
            <w:hideMark/>
          </w:tcPr>
          <w:p w14:paraId="043D516A" w14:textId="1AE9EB30" w:rsidR="00B97234" w:rsidRPr="005630DE" w:rsidRDefault="00B97234">
            <w:pPr>
              <w:pStyle w:val="ExhibitText"/>
              <w:jc w:val="right"/>
            </w:pPr>
            <w:r w:rsidRPr="005630DE">
              <w:t>101</w:t>
            </w:r>
            <w:r w:rsidR="00035E57">
              <w:t>.2</w:t>
            </w:r>
          </w:p>
        </w:tc>
      </w:tr>
    </w:tbl>
    <w:p w14:paraId="3A035676" w14:textId="77777777" w:rsidR="00B97234" w:rsidRPr="005630DE" w:rsidRDefault="00B97234" w:rsidP="00542316">
      <w:pPr>
        <w:pStyle w:val="ExhibitText"/>
      </w:pPr>
    </w:p>
    <w:p w14:paraId="2D18C6DC" w14:textId="767FA1F9" w:rsidR="005D0BA3" w:rsidRPr="005630DE" w:rsidRDefault="00B97234" w:rsidP="00B97234">
      <w:pPr>
        <w:pStyle w:val="Footnote"/>
      </w:pPr>
      <w:r w:rsidRPr="005630DE">
        <w:t>Source</w:t>
      </w:r>
      <w:r w:rsidR="00E524BD">
        <w:t xml:space="preserve">: Government of Haiti, Department of Energy Security. </w:t>
      </w:r>
    </w:p>
    <w:p w14:paraId="71413930" w14:textId="77777777" w:rsidR="005D0BA3" w:rsidRPr="005630DE" w:rsidRDefault="005D0BA3" w:rsidP="00542316">
      <w:pPr>
        <w:pStyle w:val="ExhibitText"/>
        <w:rPr>
          <w:sz w:val="17"/>
          <w:szCs w:val="17"/>
        </w:rPr>
      </w:pPr>
      <w:r w:rsidRPr="005630DE">
        <w:br w:type="page"/>
      </w:r>
    </w:p>
    <w:p w14:paraId="68074D6B" w14:textId="77777777" w:rsidR="005D0BA3" w:rsidRPr="005630DE" w:rsidRDefault="005D0BA3" w:rsidP="00B97234">
      <w:pPr>
        <w:pStyle w:val="Footnote"/>
        <w:sectPr w:rsidR="005D0BA3" w:rsidRPr="005630DE" w:rsidSect="00EB5410">
          <w:headerReference w:type="default" r:id="rId11"/>
          <w:endnotePr>
            <w:numFmt w:val="decimal"/>
          </w:endnotePr>
          <w:pgSz w:w="12240" w:h="15840"/>
          <w:pgMar w:top="1080" w:right="1440" w:bottom="1440" w:left="1440" w:header="1080" w:footer="720" w:gutter="0"/>
          <w:cols w:space="720"/>
          <w:titlePg/>
          <w:docGrid w:linePitch="360"/>
        </w:sectPr>
      </w:pPr>
    </w:p>
    <w:p w14:paraId="6AA67BC1" w14:textId="77777777" w:rsidR="005D0BA3" w:rsidRDefault="005D0BA3" w:rsidP="00A85BD3">
      <w:pPr>
        <w:pStyle w:val="ExhibitHeading"/>
        <w:outlineLvl w:val="0"/>
      </w:pPr>
      <w:r w:rsidRPr="005630DE">
        <w:lastRenderedPageBreak/>
        <w:t xml:space="preserve">Exhibit </w:t>
      </w:r>
      <w:r w:rsidRPr="005630DE">
        <w:fldChar w:fldCharType="begin"/>
      </w:r>
      <w:r w:rsidRPr="005630DE">
        <w:instrText xml:space="preserve"> SEQ Exhibit \* ARABIC </w:instrText>
      </w:r>
      <w:r w:rsidRPr="005630DE">
        <w:fldChar w:fldCharType="separate"/>
      </w:r>
      <w:r w:rsidR="00BB6432">
        <w:rPr>
          <w:noProof/>
        </w:rPr>
        <w:t>2</w:t>
      </w:r>
      <w:r w:rsidRPr="005630DE">
        <w:fldChar w:fldCharType="end"/>
      </w:r>
      <w:r w:rsidRPr="005630DE">
        <w:t>: The Northern Region</w:t>
      </w:r>
    </w:p>
    <w:p w14:paraId="6D88CC89" w14:textId="77777777" w:rsidR="003D03ED" w:rsidRPr="005630DE" w:rsidRDefault="003D03ED" w:rsidP="003D03ED">
      <w:pPr>
        <w:pStyle w:val="ExhibitText"/>
      </w:pPr>
    </w:p>
    <w:p w14:paraId="7C48FA2D" w14:textId="77777777" w:rsidR="00507015" w:rsidRPr="00E31345" w:rsidRDefault="00507015" w:rsidP="00E31345">
      <w:pPr>
        <w:pStyle w:val="ExhibitText"/>
        <w:sectPr w:rsidR="00507015" w:rsidRPr="00E31345" w:rsidSect="005D0BA3">
          <w:headerReference w:type="default" r:id="rId12"/>
          <w:endnotePr>
            <w:numFmt w:val="decimal"/>
          </w:endnotePr>
          <w:pgSz w:w="15840" w:h="12240" w:orient="landscape"/>
          <w:pgMar w:top="1440" w:right="1440" w:bottom="1440" w:left="1440" w:header="1080" w:footer="720" w:gutter="0"/>
          <w:cols w:space="720"/>
          <w:docGrid w:linePitch="360"/>
        </w:sectPr>
      </w:pPr>
    </w:p>
    <w:p w14:paraId="107F9638" w14:textId="70388004" w:rsidR="003D03ED" w:rsidRPr="00DB5A0C" w:rsidRDefault="005D0BA3" w:rsidP="00507015">
      <w:pPr>
        <w:pStyle w:val="ExhibitText"/>
        <w:jc w:val="left"/>
        <w:rPr>
          <w:sz w:val="18"/>
          <w:szCs w:val="18"/>
        </w:rPr>
      </w:pPr>
      <w:r w:rsidRPr="00DB5A0C">
        <w:rPr>
          <w:b/>
          <w:sz w:val="18"/>
          <w:szCs w:val="18"/>
        </w:rPr>
        <w:t>Tourism</w:t>
      </w:r>
      <w:r w:rsidRPr="00DB5A0C">
        <w:rPr>
          <w:sz w:val="18"/>
          <w:szCs w:val="18"/>
        </w:rPr>
        <w:t>: La Citadel (</w:t>
      </w:r>
      <w:r w:rsidR="003D03ED" w:rsidRPr="00DB5A0C">
        <w:rPr>
          <w:sz w:val="18"/>
          <w:szCs w:val="18"/>
        </w:rPr>
        <w:t>b</w:t>
      </w:r>
      <w:r w:rsidRPr="00DB5A0C">
        <w:rPr>
          <w:sz w:val="18"/>
          <w:szCs w:val="18"/>
        </w:rPr>
        <w:t xml:space="preserve">iggest </w:t>
      </w:r>
      <w:r w:rsidR="003D03ED" w:rsidRPr="00DB5A0C">
        <w:rPr>
          <w:sz w:val="18"/>
          <w:szCs w:val="18"/>
        </w:rPr>
        <w:t>f</w:t>
      </w:r>
      <w:r w:rsidRPr="00DB5A0C">
        <w:rPr>
          <w:sz w:val="18"/>
          <w:szCs w:val="18"/>
        </w:rPr>
        <w:t>ortress in Western Hemisphere)</w:t>
      </w:r>
      <w:r w:rsidR="003D03ED" w:rsidRPr="00DB5A0C">
        <w:rPr>
          <w:sz w:val="18"/>
          <w:szCs w:val="18"/>
        </w:rPr>
        <w:t>;</w:t>
      </w:r>
      <w:r w:rsidRPr="00DB5A0C">
        <w:rPr>
          <w:sz w:val="18"/>
          <w:szCs w:val="18"/>
        </w:rPr>
        <w:t xml:space="preserve"> Labadie (</w:t>
      </w:r>
      <w:r w:rsidR="003D03ED" w:rsidRPr="00DB5A0C">
        <w:rPr>
          <w:sz w:val="18"/>
          <w:szCs w:val="18"/>
        </w:rPr>
        <w:t>c</w:t>
      </w:r>
      <w:r w:rsidRPr="00DB5A0C">
        <w:rPr>
          <w:sz w:val="18"/>
          <w:szCs w:val="18"/>
        </w:rPr>
        <w:t xml:space="preserve">ruise </w:t>
      </w:r>
      <w:r w:rsidR="003D03ED" w:rsidRPr="00DB5A0C">
        <w:rPr>
          <w:sz w:val="18"/>
          <w:szCs w:val="18"/>
        </w:rPr>
        <w:t>s</w:t>
      </w:r>
      <w:r w:rsidRPr="00DB5A0C">
        <w:rPr>
          <w:sz w:val="18"/>
          <w:szCs w:val="18"/>
        </w:rPr>
        <w:t xml:space="preserve">hip </w:t>
      </w:r>
      <w:r w:rsidR="003D03ED" w:rsidRPr="00DB5A0C">
        <w:rPr>
          <w:sz w:val="18"/>
          <w:szCs w:val="18"/>
        </w:rPr>
        <w:t>d</w:t>
      </w:r>
      <w:r w:rsidRPr="00DB5A0C">
        <w:rPr>
          <w:sz w:val="18"/>
          <w:szCs w:val="18"/>
        </w:rPr>
        <w:t>estination)</w:t>
      </w:r>
      <w:r w:rsidR="00783BD6">
        <w:rPr>
          <w:sz w:val="18"/>
          <w:szCs w:val="18"/>
        </w:rPr>
        <w:t xml:space="preserve"> with</w:t>
      </w:r>
      <w:r w:rsidRPr="00DB5A0C">
        <w:rPr>
          <w:sz w:val="18"/>
          <w:szCs w:val="18"/>
        </w:rPr>
        <w:t xml:space="preserve"> 600</w:t>
      </w:r>
      <w:r w:rsidR="003D03ED" w:rsidRPr="00DB5A0C">
        <w:rPr>
          <w:sz w:val="18"/>
          <w:szCs w:val="18"/>
        </w:rPr>
        <w:t>,000</w:t>
      </w:r>
      <w:r w:rsidRPr="00DB5A0C">
        <w:rPr>
          <w:sz w:val="18"/>
          <w:szCs w:val="18"/>
        </w:rPr>
        <w:t xml:space="preserve"> visitors per year</w:t>
      </w:r>
      <w:r w:rsidR="003D03ED" w:rsidRPr="00DB5A0C">
        <w:rPr>
          <w:sz w:val="18"/>
          <w:szCs w:val="18"/>
        </w:rPr>
        <w:t>;</w:t>
      </w:r>
      <w:r w:rsidRPr="00DB5A0C">
        <w:rPr>
          <w:sz w:val="18"/>
          <w:szCs w:val="18"/>
        </w:rPr>
        <w:t xml:space="preserve"> </w:t>
      </w:r>
      <w:r w:rsidR="003D03ED" w:rsidRPr="00DB5A0C">
        <w:rPr>
          <w:sz w:val="18"/>
          <w:szCs w:val="18"/>
        </w:rPr>
        <w:t>i</w:t>
      </w:r>
      <w:r w:rsidRPr="00DB5A0C">
        <w:rPr>
          <w:sz w:val="18"/>
          <w:szCs w:val="18"/>
        </w:rPr>
        <w:t xml:space="preserve">nternational </w:t>
      </w:r>
      <w:r w:rsidR="003D03ED" w:rsidRPr="00DB5A0C">
        <w:rPr>
          <w:sz w:val="18"/>
          <w:szCs w:val="18"/>
        </w:rPr>
        <w:t>a</w:t>
      </w:r>
      <w:r w:rsidRPr="00DB5A0C">
        <w:rPr>
          <w:sz w:val="18"/>
          <w:szCs w:val="18"/>
        </w:rPr>
        <w:t>irport in Cap-</w:t>
      </w:r>
      <w:proofErr w:type="spellStart"/>
      <w:r w:rsidRPr="00DB5A0C">
        <w:rPr>
          <w:sz w:val="18"/>
          <w:szCs w:val="18"/>
        </w:rPr>
        <w:t>Ha</w:t>
      </w:r>
      <w:r w:rsidR="003D03ED" w:rsidRPr="00DB5A0C">
        <w:rPr>
          <w:sz w:val="18"/>
          <w:szCs w:val="18"/>
        </w:rPr>
        <w:t>ï</w:t>
      </w:r>
      <w:r w:rsidR="00507015" w:rsidRPr="00DB5A0C">
        <w:rPr>
          <w:sz w:val="18"/>
          <w:szCs w:val="18"/>
        </w:rPr>
        <w:t>tien</w:t>
      </w:r>
      <w:proofErr w:type="spellEnd"/>
    </w:p>
    <w:p w14:paraId="3126D96D" w14:textId="77777777" w:rsidR="00507015" w:rsidRPr="00DB5A0C" w:rsidRDefault="00507015" w:rsidP="00507015">
      <w:pPr>
        <w:pStyle w:val="ExhibitText"/>
        <w:jc w:val="left"/>
        <w:rPr>
          <w:sz w:val="18"/>
          <w:szCs w:val="18"/>
        </w:rPr>
      </w:pPr>
    </w:p>
    <w:p w14:paraId="56F83EB0" w14:textId="4293FFBB" w:rsidR="003D03ED" w:rsidRPr="00DB5A0C" w:rsidRDefault="00507015" w:rsidP="00507015">
      <w:pPr>
        <w:pStyle w:val="ExhibitText"/>
        <w:jc w:val="left"/>
        <w:rPr>
          <w:sz w:val="18"/>
          <w:szCs w:val="18"/>
        </w:rPr>
      </w:pPr>
      <w:r w:rsidRPr="00DB5A0C">
        <w:rPr>
          <w:b/>
          <w:sz w:val="18"/>
          <w:szCs w:val="18"/>
        </w:rPr>
        <w:t>Agricultural</w:t>
      </w:r>
      <w:r w:rsidR="003D03ED" w:rsidRPr="00DB5A0C">
        <w:rPr>
          <w:b/>
          <w:sz w:val="18"/>
          <w:szCs w:val="18"/>
        </w:rPr>
        <w:t xml:space="preserve"> </w:t>
      </w:r>
      <w:r w:rsidR="005D0BA3" w:rsidRPr="00DB5A0C">
        <w:rPr>
          <w:b/>
          <w:sz w:val="18"/>
          <w:szCs w:val="18"/>
        </w:rPr>
        <w:t>Potential</w:t>
      </w:r>
      <w:r w:rsidR="005D0BA3" w:rsidRPr="00DB5A0C">
        <w:rPr>
          <w:sz w:val="18"/>
          <w:szCs w:val="18"/>
        </w:rPr>
        <w:t>:</w:t>
      </w:r>
      <w:r w:rsidRPr="00DB5A0C">
        <w:rPr>
          <w:sz w:val="18"/>
          <w:szCs w:val="18"/>
        </w:rPr>
        <w:t xml:space="preserve"> </w:t>
      </w:r>
      <w:r w:rsidR="005D0BA3" w:rsidRPr="00DB5A0C">
        <w:rPr>
          <w:sz w:val="18"/>
          <w:szCs w:val="18"/>
        </w:rPr>
        <w:t>Strong</w:t>
      </w:r>
    </w:p>
    <w:p w14:paraId="3A7001BD" w14:textId="77777777" w:rsidR="00507015" w:rsidRPr="00DB5A0C" w:rsidRDefault="00507015" w:rsidP="00507015">
      <w:pPr>
        <w:pStyle w:val="ExhibitText"/>
        <w:jc w:val="left"/>
        <w:rPr>
          <w:sz w:val="18"/>
          <w:szCs w:val="18"/>
        </w:rPr>
      </w:pPr>
    </w:p>
    <w:p w14:paraId="1D2F816F" w14:textId="45BC71DD" w:rsidR="003D03ED" w:rsidRPr="00DB5A0C" w:rsidRDefault="005D0BA3" w:rsidP="00507015">
      <w:pPr>
        <w:pStyle w:val="ExhibitText"/>
        <w:jc w:val="left"/>
        <w:rPr>
          <w:sz w:val="18"/>
          <w:szCs w:val="18"/>
        </w:rPr>
      </w:pPr>
      <w:r w:rsidRPr="00DB5A0C">
        <w:rPr>
          <w:b/>
          <w:sz w:val="18"/>
          <w:szCs w:val="18"/>
        </w:rPr>
        <w:t>Geography</w:t>
      </w:r>
      <w:r w:rsidRPr="00DB5A0C">
        <w:rPr>
          <w:sz w:val="18"/>
          <w:szCs w:val="18"/>
        </w:rPr>
        <w:t>:</w:t>
      </w:r>
      <w:r w:rsidR="00507015" w:rsidRPr="00DB5A0C">
        <w:rPr>
          <w:sz w:val="18"/>
          <w:szCs w:val="18"/>
        </w:rPr>
        <w:t xml:space="preserve"> </w:t>
      </w:r>
      <w:r w:rsidR="00E05DF1" w:rsidRPr="00DB5A0C">
        <w:rPr>
          <w:sz w:val="18"/>
          <w:szCs w:val="18"/>
        </w:rPr>
        <w:t>le p</w:t>
      </w:r>
      <w:r w:rsidRPr="00DB5A0C">
        <w:rPr>
          <w:sz w:val="18"/>
          <w:szCs w:val="18"/>
        </w:rPr>
        <w:t xml:space="preserve">assage </w:t>
      </w:r>
      <w:r w:rsidR="00E05DF1" w:rsidRPr="00DB5A0C">
        <w:rPr>
          <w:sz w:val="18"/>
          <w:szCs w:val="18"/>
        </w:rPr>
        <w:t>d</w:t>
      </w:r>
      <w:r w:rsidRPr="00DB5A0C">
        <w:rPr>
          <w:sz w:val="18"/>
          <w:szCs w:val="18"/>
        </w:rPr>
        <w:t>u Vent</w:t>
      </w:r>
      <w:r w:rsidR="00E05DF1" w:rsidRPr="00DB5A0C">
        <w:rPr>
          <w:sz w:val="18"/>
          <w:szCs w:val="18"/>
        </w:rPr>
        <w:t xml:space="preserve">/Windward Passage </w:t>
      </w:r>
      <w:r w:rsidRPr="00DB5A0C">
        <w:rPr>
          <w:sz w:val="18"/>
          <w:szCs w:val="18"/>
        </w:rPr>
        <w:t>(potential for trans</w:t>
      </w:r>
      <w:r w:rsidR="003D03ED" w:rsidRPr="00DB5A0C">
        <w:rPr>
          <w:sz w:val="18"/>
          <w:szCs w:val="18"/>
        </w:rPr>
        <w:t>-</w:t>
      </w:r>
      <w:r w:rsidRPr="00DB5A0C">
        <w:rPr>
          <w:sz w:val="18"/>
          <w:szCs w:val="18"/>
        </w:rPr>
        <w:t xml:space="preserve">shipment and </w:t>
      </w:r>
      <w:r w:rsidR="00507015" w:rsidRPr="00DB5A0C">
        <w:rPr>
          <w:sz w:val="18"/>
          <w:szCs w:val="18"/>
        </w:rPr>
        <w:t>i</w:t>
      </w:r>
      <w:r w:rsidRPr="00DB5A0C">
        <w:rPr>
          <w:sz w:val="18"/>
          <w:szCs w:val="18"/>
        </w:rPr>
        <w:t>ndustrial development)</w:t>
      </w:r>
      <w:r w:rsidR="00507015" w:rsidRPr="00DB5A0C">
        <w:rPr>
          <w:sz w:val="18"/>
          <w:szCs w:val="18"/>
        </w:rPr>
        <w:t>;</w:t>
      </w:r>
      <w:r w:rsidRPr="00DB5A0C">
        <w:rPr>
          <w:sz w:val="18"/>
          <w:szCs w:val="18"/>
        </w:rPr>
        <w:t xml:space="preserve"> </w:t>
      </w:r>
      <w:r w:rsidR="00E05DF1" w:rsidRPr="00DB5A0C">
        <w:rPr>
          <w:sz w:val="18"/>
          <w:szCs w:val="18"/>
        </w:rPr>
        <w:t>b</w:t>
      </w:r>
      <w:r w:rsidRPr="00DB5A0C">
        <w:rPr>
          <w:sz w:val="18"/>
          <w:szCs w:val="18"/>
        </w:rPr>
        <w:t>order with the D</w:t>
      </w:r>
      <w:r w:rsidR="00E05DF1" w:rsidRPr="00DB5A0C">
        <w:rPr>
          <w:sz w:val="18"/>
          <w:szCs w:val="18"/>
        </w:rPr>
        <w:t xml:space="preserve">ominican </w:t>
      </w:r>
      <w:r w:rsidRPr="00DB5A0C">
        <w:rPr>
          <w:sz w:val="18"/>
          <w:szCs w:val="18"/>
        </w:rPr>
        <w:t>R</w:t>
      </w:r>
      <w:r w:rsidR="00E05DF1" w:rsidRPr="00DB5A0C">
        <w:rPr>
          <w:sz w:val="18"/>
          <w:szCs w:val="18"/>
        </w:rPr>
        <w:t>epublic;</w:t>
      </w:r>
      <w:r w:rsidRPr="00DB5A0C">
        <w:rPr>
          <w:sz w:val="18"/>
          <w:szCs w:val="18"/>
        </w:rPr>
        <w:t xml:space="preserve"> </w:t>
      </w:r>
      <w:proofErr w:type="spellStart"/>
      <w:r w:rsidR="00E05DF1" w:rsidRPr="00DB5A0C">
        <w:rPr>
          <w:sz w:val="18"/>
          <w:szCs w:val="18"/>
        </w:rPr>
        <w:t>L’î</w:t>
      </w:r>
      <w:r w:rsidRPr="00DB5A0C">
        <w:rPr>
          <w:sz w:val="18"/>
          <w:szCs w:val="18"/>
        </w:rPr>
        <w:t>le</w:t>
      </w:r>
      <w:proofErr w:type="spellEnd"/>
      <w:r w:rsidRPr="00DB5A0C">
        <w:rPr>
          <w:sz w:val="18"/>
          <w:szCs w:val="18"/>
        </w:rPr>
        <w:t xml:space="preserve"> de la </w:t>
      </w:r>
      <w:proofErr w:type="spellStart"/>
      <w:r w:rsidRPr="00DB5A0C">
        <w:rPr>
          <w:sz w:val="18"/>
          <w:szCs w:val="18"/>
        </w:rPr>
        <w:t>Tortue</w:t>
      </w:r>
      <w:proofErr w:type="spellEnd"/>
      <w:r w:rsidR="00E05DF1" w:rsidRPr="00DB5A0C">
        <w:rPr>
          <w:sz w:val="18"/>
          <w:szCs w:val="18"/>
        </w:rPr>
        <w:t>/Tortuga</w:t>
      </w:r>
      <w:r w:rsidRPr="00DB5A0C">
        <w:rPr>
          <w:sz w:val="18"/>
          <w:szCs w:val="18"/>
        </w:rPr>
        <w:t xml:space="preserve"> (mountainous, rocky, rich history, and often connected </w:t>
      </w:r>
      <w:r w:rsidR="003D03ED" w:rsidRPr="00DB5A0C">
        <w:rPr>
          <w:sz w:val="18"/>
          <w:szCs w:val="18"/>
        </w:rPr>
        <w:t>to fiction</w:t>
      </w:r>
      <w:r w:rsidR="0001396A" w:rsidRPr="00DB5A0C">
        <w:rPr>
          <w:sz w:val="18"/>
          <w:szCs w:val="18"/>
        </w:rPr>
        <w:t>al pirate narratives</w:t>
      </w:r>
      <w:r w:rsidR="003D03ED" w:rsidRPr="00DB5A0C">
        <w:rPr>
          <w:sz w:val="18"/>
          <w:szCs w:val="18"/>
        </w:rPr>
        <w:t>)</w:t>
      </w:r>
    </w:p>
    <w:p w14:paraId="75FF9303" w14:textId="77777777" w:rsidR="00507015" w:rsidRPr="00DB5A0C" w:rsidRDefault="00507015" w:rsidP="00507015">
      <w:pPr>
        <w:pStyle w:val="ExhibitText"/>
        <w:jc w:val="left"/>
        <w:rPr>
          <w:sz w:val="18"/>
          <w:szCs w:val="18"/>
        </w:rPr>
      </w:pPr>
    </w:p>
    <w:p w14:paraId="3BB03BF6" w14:textId="1AF043B1" w:rsidR="00202FC2" w:rsidRDefault="005D0BA3" w:rsidP="00507015">
      <w:pPr>
        <w:pStyle w:val="ExhibitText"/>
        <w:jc w:val="left"/>
        <w:rPr>
          <w:sz w:val="18"/>
          <w:szCs w:val="18"/>
        </w:rPr>
      </w:pPr>
      <w:r w:rsidRPr="00DB5A0C">
        <w:rPr>
          <w:b/>
          <w:sz w:val="18"/>
          <w:szCs w:val="18"/>
        </w:rPr>
        <w:t>Infrastructure</w:t>
      </w:r>
      <w:r w:rsidRPr="00DB5A0C">
        <w:rPr>
          <w:sz w:val="18"/>
          <w:szCs w:val="18"/>
        </w:rPr>
        <w:t>:</w:t>
      </w:r>
      <w:r w:rsidR="00507015" w:rsidRPr="00DB5A0C">
        <w:rPr>
          <w:sz w:val="18"/>
          <w:szCs w:val="18"/>
        </w:rPr>
        <w:t xml:space="preserve"> </w:t>
      </w:r>
      <w:r w:rsidRPr="00DB5A0C">
        <w:rPr>
          <w:sz w:val="18"/>
          <w:szCs w:val="18"/>
        </w:rPr>
        <w:t>New 250</w:t>
      </w:r>
      <w:r w:rsidR="0001396A" w:rsidRPr="00DB5A0C">
        <w:rPr>
          <w:sz w:val="18"/>
          <w:szCs w:val="18"/>
        </w:rPr>
        <w:t>-a</w:t>
      </w:r>
      <w:r w:rsidRPr="00DB5A0C">
        <w:rPr>
          <w:sz w:val="18"/>
          <w:szCs w:val="18"/>
        </w:rPr>
        <w:t xml:space="preserve">cre </w:t>
      </w:r>
      <w:r w:rsidR="0001396A" w:rsidRPr="00DB5A0C">
        <w:rPr>
          <w:sz w:val="18"/>
          <w:szCs w:val="18"/>
        </w:rPr>
        <w:t>i</w:t>
      </w:r>
      <w:r w:rsidRPr="00DB5A0C">
        <w:rPr>
          <w:sz w:val="18"/>
          <w:szCs w:val="18"/>
        </w:rPr>
        <w:t xml:space="preserve">ndustrial </w:t>
      </w:r>
      <w:r w:rsidR="0001396A" w:rsidRPr="00DB5A0C">
        <w:rPr>
          <w:sz w:val="18"/>
          <w:szCs w:val="18"/>
        </w:rPr>
        <w:t>p</w:t>
      </w:r>
      <w:r w:rsidRPr="00DB5A0C">
        <w:rPr>
          <w:sz w:val="18"/>
          <w:szCs w:val="18"/>
        </w:rPr>
        <w:t>ark with 27</w:t>
      </w:r>
      <w:r w:rsidR="0001396A" w:rsidRPr="00DB5A0C">
        <w:rPr>
          <w:sz w:val="18"/>
          <w:szCs w:val="18"/>
        </w:rPr>
        <w:t xml:space="preserve"> </w:t>
      </w:r>
      <w:r w:rsidRPr="00DB5A0C">
        <w:rPr>
          <w:sz w:val="18"/>
          <w:szCs w:val="18"/>
        </w:rPr>
        <w:t xml:space="preserve">MW </w:t>
      </w:r>
      <w:r w:rsidR="0001396A" w:rsidRPr="00DB5A0C">
        <w:rPr>
          <w:sz w:val="18"/>
          <w:szCs w:val="18"/>
        </w:rPr>
        <w:t>p</w:t>
      </w:r>
      <w:r w:rsidRPr="00DB5A0C">
        <w:rPr>
          <w:sz w:val="18"/>
          <w:szCs w:val="18"/>
        </w:rPr>
        <w:t xml:space="preserve">ower </w:t>
      </w:r>
      <w:r w:rsidR="0001396A" w:rsidRPr="00DB5A0C">
        <w:rPr>
          <w:sz w:val="18"/>
          <w:szCs w:val="18"/>
        </w:rPr>
        <w:t>p</w:t>
      </w:r>
      <w:r w:rsidRPr="00DB5A0C">
        <w:rPr>
          <w:sz w:val="18"/>
          <w:szCs w:val="18"/>
        </w:rPr>
        <w:t xml:space="preserve">lant in </w:t>
      </w:r>
      <w:r w:rsidR="0001396A" w:rsidRPr="00DB5A0C">
        <w:rPr>
          <w:sz w:val="18"/>
          <w:szCs w:val="18"/>
        </w:rPr>
        <w:t>n</w:t>
      </w:r>
      <w:r w:rsidRPr="00DB5A0C">
        <w:rPr>
          <w:sz w:val="18"/>
          <w:szCs w:val="18"/>
        </w:rPr>
        <w:t>orth</w:t>
      </w:r>
      <w:r w:rsidR="0001396A" w:rsidRPr="00DB5A0C">
        <w:rPr>
          <w:sz w:val="18"/>
          <w:szCs w:val="18"/>
        </w:rPr>
        <w:t>w</w:t>
      </w:r>
      <w:r w:rsidRPr="00DB5A0C">
        <w:rPr>
          <w:sz w:val="18"/>
          <w:szCs w:val="18"/>
        </w:rPr>
        <w:t xml:space="preserve">est area of </w:t>
      </w:r>
      <w:proofErr w:type="spellStart"/>
      <w:r w:rsidRPr="00DB5A0C">
        <w:rPr>
          <w:sz w:val="18"/>
          <w:szCs w:val="18"/>
        </w:rPr>
        <w:t>Caracol</w:t>
      </w:r>
      <w:proofErr w:type="spellEnd"/>
    </w:p>
    <w:p w14:paraId="424269F6" w14:textId="77777777" w:rsidR="00202FC2" w:rsidRDefault="00202FC2" w:rsidP="00507015">
      <w:pPr>
        <w:pStyle w:val="ExhibitText"/>
        <w:jc w:val="left"/>
        <w:rPr>
          <w:b/>
          <w:sz w:val="18"/>
          <w:szCs w:val="18"/>
        </w:rPr>
      </w:pPr>
    </w:p>
    <w:p w14:paraId="5CC4B2EE" w14:textId="56BABA7C" w:rsidR="00507015" w:rsidRPr="00DB5A0C" w:rsidRDefault="005D0BA3" w:rsidP="00507015">
      <w:pPr>
        <w:pStyle w:val="ExhibitText"/>
        <w:jc w:val="left"/>
        <w:rPr>
          <w:sz w:val="18"/>
          <w:szCs w:val="18"/>
        </w:rPr>
        <w:sectPr w:rsidR="00507015" w:rsidRPr="00DB5A0C" w:rsidSect="00E31345">
          <w:endnotePr>
            <w:numFmt w:val="decimal"/>
          </w:endnotePr>
          <w:type w:val="continuous"/>
          <w:pgSz w:w="15840" w:h="12240" w:orient="landscape"/>
          <w:pgMar w:top="1440" w:right="1440" w:bottom="1440" w:left="1440" w:header="1080" w:footer="720" w:gutter="0"/>
          <w:cols w:num="2" w:space="720"/>
          <w:docGrid w:linePitch="360"/>
        </w:sectPr>
      </w:pPr>
      <w:r w:rsidRPr="00542316">
        <w:rPr>
          <w:b/>
          <w:sz w:val="18"/>
          <w:szCs w:val="18"/>
        </w:rPr>
        <w:t>Unique Energy Aspects</w:t>
      </w:r>
      <w:r w:rsidRPr="00DB5A0C">
        <w:rPr>
          <w:sz w:val="18"/>
          <w:szCs w:val="18"/>
        </w:rPr>
        <w:t xml:space="preserve">: High and steady wind flows in </w:t>
      </w:r>
      <w:r w:rsidR="00DB5A0C" w:rsidRPr="00DB5A0C">
        <w:rPr>
          <w:sz w:val="18"/>
          <w:szCs w:val="18"/>
        </w:rPr>
        <w:t>n</w:t>
      </w:r>
      <w:r w:rsidRPr="00DB5A0C">
        <w:rPr>
          <w:sz w:val="18"/>
          <w:szCs w:val="18"/>
        </w:rPr>
        <w:t>orth</w:t>
      </w:r>
      <w:r w:rsidR="00DB5A0C" w:rsidRPr="00DB5A0C">
        <w:rPr>
          <w:sz w:val="18"/>
          <w:szCs w:val="18"/>
        </w:rPr>
        <w:t>w</w:t>
      </w:r>
      <w:r w:rsidRPr="00DB5A0C">
        <w:rPr>
          <w:sz w:val="18"/>
          <w:szCs w:val="18"/>
        </w:rPr>
        <w:t>est region</w:t>
      </w:r>
      <w:r w:rsidR="00DB5A0C" w:rsidRPr="00DB5A0C">
        <w:rPr>
          <w:sz w:val="18"/>
          <w:szCs w:val="18"/>
        </w:rPr>
        <w:t>;</w:t>
      </w:r>
      <w:r w:rsidRPr="00DB5A0C">
        <w:rPr>
          <w:sz w:val="18"/>
          <w:szCs w:val="18"/>
        </w:rPr>
        <w:t xml:space="preserve"> </w:t>
      </w:r>
      <w:r w:rsidR="00DB5A0C" w:rsidRPr="00DB5A0C">
        <w:rPr>
          <w:sz w:val="18"/>
          <w:szCs w:val="18"/>
        </w:rPr>
        <w:t>n</w:t>
      </w:r>
      <w:r w:rsidRPr="00DB5A0C">
        <w:rPr>
          <w:sz w:val="18"/>
          <w:szCs w:val="18"/>
        </w:rPr>
        <w:t xml:space="preserve">atural potential for </w:t>
      </w:r>
      <w:r w:rsidR="00DB5A0C" w:rsidRPr="00DB5A0C">
        <w:rPr>
          <w:sz w:val="18"/>
          <w:szCs w:val="18"/>
        </w:rPr>
        <w:t>h</w:t>
      </w:r>
      <w:r w:rsidRPr="00DB5A0C">
        <w:rPr>
          <w:sz w:val="18"/>
          <w:szCs w:val="18"/>
        </w:rPr>
        <w:t xml:space="preserve">ydro and </w:t>
      </w:r>
      <w:r w:rsidR="00DB5A0C" w:rsidRPr="00DB5A0C">
        <w:rPr>
          <w:sz w:val="18"/>
          <w:szCs w:val="18"/>
        </w:rPr>
        <w:t>s</w:t>
      </w:r>
      <w:r w:rsidRPr="00DB5A0C">
        <w:rPr>
          <w:sz w:val="18"/>
          <w:szCs w:val="18"/>
        </w:rPr>
        <w:t xml:space="preserve">olar </w:t>
      </w:r>
      <w:r w:rsidR="00DB5A0C" w:rsidRPr="00DB5A0C">
        <w:rPr>
          <w:sz w:val="18"/>
          <w:szCs w:val="18"/>
        </w:rPr>
        <w:t>e</w:t>
      </w:r>
      <w:r w:rsidRPr="00DB5A0C">
        <w:rPr>
          <w:sz w:val="18"/>
          <w:szCs w:val="18"/>
        </w:rPr>
        <w:t>nergy</w:t>
      </w:r>
    </w:p>
    <w:p w14:paraId="34A61C05" w14:textId="77777777" w:rsidR="003D03ED" w:rsidRPr="005630DE" w:rsidRDefault="003D03ED" w:rsidP="003D03ED">
      <w:pPr>
        <w:pStyle w:val="ExhibitText"/>
      </w:pPr>
    </w:p>
    <w:tbl>
      <w:tblPr>
        <w:tblStyle w:val="TableGrid"/>
        <w:tblW w:w="4998" w:type="pct"/>
        <w:jc w:val="center"/>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616"/>
        <w:gridCol w:w="1087"/>
        <w:gridCol w:w="922"/>
        <w:gridCol w:w="923"/>
        <w:gridCol w:w="922"/>
        <w:gridCol w:w="923"/>
        <w:gridCol w:w="1080"/>
        <w:gridCol w:w="838"/>
        <w:gridCol w:w="929"/>
        <w:gridCol w:w="929"/>
        <w:gridCol w:w="928"/>
        <w:gridCol w:w="929"/>
        <w:gridCol w:w="929"/>
      </w:tblGrid>
      <w:tr w:rsidR="003307BA" w:rsidRPr="005233EE" w14:paraId="5F87E784" w14:textId="77777777" w:rsidTr="00174436">
        <w:trPr>
          <w:cantSplit/>
          <w:trHeight w:val="1529"/>
          <w:jc w:val="center"/>
        </w:trPr>
        <w:tc>
          <w:tcPr>
            <w:tcW w:w="1616" w:type="dxa"/>
            <w:tcBorders>
              <w:top w:val="single" w:sz="4" w:space="0" w:color="auto"/>
              <w:bottom w:val="single" w:sz="4" w:space="0" w:color="auto"/>
            </w:tcBorders>
            <w:vAlign w:val="center"/>
            <w:hideMark/>
          </w:tcPr>
          <w:p w14:paraId="6F8A08FF" w14:textId="77777777" w:rsidR="005D0BA3" w:rsidRPr="005233EE" w:rsidRDefault="005D0BA3" w:rsidP="009E116E">
            <w:pPr>
              <w:pStyle w:val="ExhibitText"/>
              <w:jc w:val="left"/>
              <w:rPr>
                <w:b/>
                <w:sz w:val="18"/>
                <w:szCs w:val="18"/>
              </w:rPr>
            </w:pPr>
            <w:r w:rsidRPr="005233EE">
              <w:rPr>
                <w:b/>
                <w:sz w:val="18"/>
                <w:szCs w:val="18"/>
              </w:rPr>
              <w:t>Description</w:t>
            </w:r>
          </w:p>
        </w:tc>
        <w:tc>
          <w:tcPr>
            <w:tcW w:w="1087" w:type="dxa"/>
            <w:tcBorders>
              <w:top w:val="single" w:sz="4" w:space="0" w:color="auto"/>
              <w:bottom w:val="single" w:sz="4" w:space="0" w:color="auto"/>
            </w:tcBorders>
            <w:textDirection w:val="btLr"/>
            <w:vAlign w:val="bottom"/>
            <w:hideMark/>
          </w:tcPr>
          <w:p w14:paraId="1D881C5E" w14:textId="77777777" w:rsidR="005D0BA3" w:rsidRPr="005233EE" w:rsidRDefault="005D0BA3" w:rsidP="003B21DA">
            <w:pPr>
              <w:pStyle w:val="ExhibitText"/>
              <w:ind w:left="113" w:right="113"/>
              <w:jc w:val="left"/>
              <w:rPr>
                <w:b/>
                <w:sz w:val="18"/>
                <w:szCs w:val="18"/>
              </w:rPr>
            </w:pPr>
            <w:r w:rsidRPr="005233EE">
              <w:rPr>
                <w:b/>
                <w:sz w:val="18"/>
                <w:szCs w:val="18"/>
              </w:rPr>
              <w:t>Total</w:t>
            </w:r>
            <w:r w:rsidRPr="005233EE">
              <w:rPr>
                <w:b/>
                <w:sz w:val="18"/>
                <w:szCs w:val="18"/>
              </w:rPr>
              <w:br/>
              <w:t>Population</w:t>
            </w:r>
          </w:p>
        </w:tc>
        <w:tc>
          <w:tcPr>
            <w:tcW w:w="922" w:type="dxa"/>
            <w:tcBorders>
              <w:top w:val="single" w:sz="4" w:space="0" w:color="auto"/>
              <w:bottom w:val="single" w:sz="4" w:space="0" w:color="auto"/>
            </w:tcBorders>
            <w:textDirection w:val="btLr"/>
            <w:vAlign w:val="bottom"/>
            <w:hideMark/>
          </w:tcPr>
          <w:p w14:paraId="09B51433" w14:textId="09B598BD" w:rsidR="005D0BA3" w:rsidRPr="005233EE" w:rsidRDefault="00DB5A0C" w:rsidP="003B21DA">
            <w:pPr>
              <w:pStyle w:val="ExhibitText"/>
              <w:ind w:left="113" w:right="113"/>
              <w:jc w:val="left"/>
              <w:rPr>
                <w:b/>
                <w:sz w:val="18"/>
                <w:szCs w:val="18"/>
              </w:rPr>
            </w:pPr>
            <w:r>
              <w:rPr>
                <w:b/>
                <w:sz w:val="18"/>
                <w:szCs w:val="18"/>
              </w:rPr>
              <w:t xml:space="preserve">Less than </w:t>
            </w:r>
            <w:r w:rsidR="005D0BA3" w:rsidRPr="005233EE">
              <w:rPr>
                <w:b/>
                <w:sz w:val="18"/>
                <w:szCs w:val="18"/>
              </w:rPr>
              <w:t xml:space="preserve">18 </w:t>
            </w:r>
            <w:r w:rsidR="00D4624F">
              <w:rPr>
                <w:b/>
                <w:sz w:val="18"/>
                <w:szCs w:val="18"/>
              </w:rPr>
              <w:t>Y</w:t>
            </w:r>
            <w:r>
              <w:rPr>
                <w:b/>
                <w:sz w:val="18"/>
                <w:szCs w:val="18"/>
              </w:rPr>
              <w:t xml:space="preserve">ears of </w:t>
            </w:r>
            <w:r w:rsidR="00D4624F">
              <w:rPr>
                <w:b/>
                <w:sz w:val="18"/>
                <w:szCs w:val="18"/>
              </w:rPr>
              <w:t>A</w:t>
            </w:r>
            <w:r>
              <w:rPr>
                <w:b/>
                <w:sz w:val="18"/>
                <w:szCs w:val="18"/>
              </w:rPr>
              <w:t>ge</w:t>
            </w:r>
          </w:p>
        </w:tc>
        <w:tc>
          <w:tcPr>
            <w:tcW w:w="923" w:type="dxa"/>
            <w:tcBorders>
              <w:top w:val="single" w:sz="4" w:space="0" w:color="auto"/>
              <w:bottom w:val="single" w:sz="4" w:space="0" w:color="auto"/>
            </w:tcBorders>
            <w:textDirection w:val="btLr"/>
            <w:vAlign w:val="bottom"/>
            <w:hideMark/>
          </w:tcPr>
          <w:p w14:paraId="02D49809" w14:textId="77777777" w:rsidR="005D0BA3" w:rsidRPr="005233EE" w:rsidRDefault="005D0BA3" w:rsidP="003B21DA">
            <w:pPr>
              <w:pStyle w:val="ExhibitText"/>
              <w:ind w:left="113" w:right="113"/>
              <w:jc w:val="left"/>
              <w:rPr>
                <w:b/>
                <w:sz w:val="18"/>
                <w:szCs w:val="18"/>
              </w:rPr>
            </w:pPr>
            <w:r w:rsidRPr="005233EE">
              <w:rPr>
                <w:b/>
                <w:sz w:val="18"/>
                <w:szCs w:val="18"/>
              </w:rPr>
              <w:t>Number</w:t>
            </w:r>
            <w:r w:rsidRPr="005233EE">
              <w:rPr>
                <w:b/>
                <w:sz w:val="18"/>
                <w:szCs w:val="18"/>
              </w:rPr>
              <w:br/>
              <w:t>of Houses</w:t>
            </w:r>
          </w:p>
        </w:tc>
        <w:tc>
          <w:tcPr>
            <w:tcW w:w="922" w:type="dxa"/>
            <w:tcBorders>
              <w:top w:val="single" w:sz="4" w:space="0" w:color="auto"/>
              <w:bottom w:val="single" w:sz="4" w:space="0" w:color="auto"/>
            </w:tcBorders>
            <w:textDirection w:val="btLr"/>
            <w:vAlign w:val="bottom"/>
            <w:hideMark/>
          </w:tcPr>
          <w:p w14:paraId="30D94AE4" w14:textId="3F03E0FE" w:rsidR="005D0BA3" w:rsidRPr="005233EE" w:rsidRDefault="005D0BA3" w:rsidP="003B21DA">
            <w:pPr>
              <w:pStyle w:val="ExhibitText"/>
              <w:ind w:left="113" w:right="113"/>
              <w:jc w:val="left"/>
              <w:rPr>
                <w:b/>
                <w:sz w:val="18"/>
                <w:szCs w:val="18"/>
              </w:rPr>
            </w:pPr>
            <w:r w:rsidRPr="005233EE">
              <w:rPr>
                <w:b/>
                <w:sz w:val="18"/>
                <w:szCs w:val="18"/>
              </w:rPr>
              <w:t>Surface Area</w:t>
            </w:r>
            <w:r w:rsidR="00DB5A0C">
              <w:rPr>
                <w:b/>
                <w:sz w:val="18"/>
                <w:szCs w:val="18"/>
              </w:rPr>
              <w:t xml:space="preserve"> (</w:t>
            </w:r>
            <w:r w:rsidRPr="005233EE">
              <w:rPr>
                <w:b/>
                <w:sz w:val="18"/>
                <w:szCs w:val="18"/>
              </w:rPr>
              <w:t>km²</w:t>
            </w:r>
            <w:r w:rsidR="00DB5A0C">
              <w:rPr>
                <w:b/>
                <w:sz w:val="18"/>
                <w:szCs w:val="18"/>
              </w:rPr>
              <w:t>)</w:t>
            </w:r>
          </w:p>
        </w:tc>
        <w:tc>
          <w:tcPr>
            <w:tcW w:w="923" w:type="dxa"/>
            <w:tcBorders>
              <w:top w:val="single" w:sz="4" w:space="0" w:color="auto"/>
              <w:bottom w:val="single" w:sz="4" w:space="0" w:color="auto"/>
            </w:tcBorders>
            <w:textDirection w:val="btLr"/>
            <w:vAlign w:val="bottom"/>
            <w:hideMark/>
          </w:tcPr>
          <w:p w14:paraId="1B1ADA75" w14:textId="2956C051" w:rsidR="005D0BA3" w:rsidRPr="005233EE" w:rsidRDefault="00A8691C">
            <w:pPr>
              <w:pStyle w:val="ExhibitText"/>
              <w:ind w:left="113" w:right="113"/>
              <w:jc w:val="left"/>
              <w:rPr>
                <w:b/>
                <w:sz w:val="18"/>
                <w:szCs w:val="18"/>
              </w:rPr>
            </w:pPr>
            <w:r>
              <w:rPr>
                <w:b/>
                <w:sz w:val="18"/>
                <w:szCs w:val="18"/>
              </w:rPr>
              <w:t xml:space="preserve">Population </w:t>
            </w:r>
            <w:r w:rsidR="005D0BA3" w:rsidRPr="005233EE">
              <w:rPr>
                <w:b/>
                <w:sz w:val="18"/>
                <w:szCs w:val="18"/>
              </w:rPr>
              <w:t>Density</w:t>
            </w:r>
          </w:p>
        </w:tc>
        <w:tc>
          <w:tcPr>
            <w:tcW w:w="1080" w:type="dxa"/>
            <w:tcBorders>
              <w:top w:val="single" w:sz="4" w:space="0" w:color="auto"/>
              <w:bottom w:val="single" w:sz="4" w:space="0" w:color="auto"/>
            </w:tcBorders>
            <w:textDirection w:val="btLr"/>
            <w:vAlign w:val="bottom"/>
            <w:hideMark/>
          </w:tcPr>
          <w:p w14:paraId="703B8BE0" w14:textId="12DB4D90" w:rsidR="005D0BA3" w:rsidRPr="005233EE" w:rsidRDefault="00F32519">
            <w:pPr>
              <w:pStyle w:val="ExhibitText"/>
              <w:ind w:left="113" w:right="113"/>
              <w:jc w:val="left"/>
              <w:rPr>
                <w:b/>
                <w:sz w:val="18"/>
                <w:szCs w:val="18"/>
              </w:rPr>
            </w:pPr>
            <w:r w:rsidRPr="005233EE">
              <w:rPr>
                <w:b/>
                <w:sz w:val="18"/>
                <w:szCs w:val="18"/>
              </w:rPr>
              <w:t xml:space="preserve">Type </w:t>
            </w:r>
            <w:r w:rsidR="008E04E5">
              <w:rPr>
                <w:b/>
                <w:sz w:val="18"/>
                <w:szCs w:val="18"/>
              </w:rPr>
              <w:t xml:space="preserve">of </w:t>
            </w:r>
            <w:r w:rsidRPr="005233EE">
              <w:rPr>
                <w:b/>
                <w:sz w:val="18"/>
                <w:szCs w:val="18"/>
              </w:rPr>
              <w:t>Ener</w:t>
            </w:r>
            <w:r w:rsidR="005D0BA3" w:rsidRPr="005233EE">
              <w:rPr>
                <w:b/>
                <w:sz w:val="18"/>
                <w:szCs w:val="18"/>
              </w:rPr>
              <w:t>gy</w:t>
            </w:r>
            <w:r w:rsidRPr="005233EE">
              <w:rPr>
                <w:b/>
                <w:sz w:val="18"/>
                <w:szCs w:val="18"/>
              </w:rPr>
              <w:t xml:space="preserve"> Genera</w:t>
            </w:r>
            <w:r w:rsidR="005D0BA3" w:rsidRPr="005233EE">
              <w:rPr>
                <w:b/>
                <w:sz w:val="18"/>
                <w:szCs w:val="18"/>
              </w:rPr>
              <w:t>tion</w:t>
            </w:r>
          </w:p>
        </w:tc>
        <w:tc>
          <w:tcPr>
            <w:tcW w:w="838" w:type="dxa"/>
            <w:tcBorders>
              <w:top w:val="single" w:sz="4" w:space="0" w:color="auto"/>
              <w:bottom w:val="single" w:sz="4" w:space="0" w:color="auto"/>
            </w:tcBorders>
            <w:textDirection w:val="btLr"/>
            <w:vAlign w:val="bottom"/>
            <w:hideMark/>
          </w:tcPr>
          <w:p w14:paraId="3771F441" w14:textId="0E619A12" w:rsidR="005D0BA3" w:rsidRPr="005233EE" w:rsidRDefault="005D0BA3" w:rsidP="003B21DA">
            <w:pPr>
              <w:pStyle w:val="ExhibitText"/>
              <w:ind w:left="113" w:right="113"/>
              <w:jc w:val="left"/>
              <w:rPr>
                <w:b/>
                <w:sz w:val="18"/>
                <w:szCs w:val="18"/>
              </w:rPr>
            </w:pPr>
            <w:r w:rsidRPr="005233EE">
              <w:rPr>
                <w:b/>
                <w:sz w:val="18"/>
                <w:szCs w:val="18"/>
              </w:rPr>
              <w:t>Installed Capacity (</w:t>
            </w:r>
            <w:r w:rsidR="004E5F35" w:rsidRPr="005233EE">
              <w:rPr>
                <w:b/>
                <w:sz w:val="18"/>
                <w:szCs w:val="18"/>
              </w:rPr>
              <w:t>MW</w:t>
            </w:r>
            <w:r w:rsidRPr="005233EE">
              <w:rPr>
                <w:b/>
                <w:sz w:val="18"/>
                <w:szCs w:val="18"/>
              </w:rPr>
              <w:t>)</w:t>
            </w:r>
          </w:p>
        </w:tc>
        <w:tc>
          <w:tcPr>
            <w:tcW w:w="929" w:type="dxa"/>
            <w:tcBorders>
              <w:top w:val="single" w:sz="4" w:space="0" w:color="auto"/>
              <w:bottom w:val="single" w:sz="4" w:space="0" w:color="auto"/>
            </w:tcBorders>
            <w:textDirection w:val="btLr"/>
            <w:vAlign w:val="bottom"/>
            <w:hideMark/>
          </w:tcPr>
          <w:p w14:paraId="29B44066" w14:textId="516063ED" w:rsidR="005D0BA3" w:rsidRPr="005233EE" w:rsidRDefault="005D0BA3" w:rsidP="003B21DA">
            <w:pPr>
              <w:pStyle w:val="ExhibitText"/>
              <w:ind w:left="113" w:right="113"/>
              <w:jc w:val="left"/>
              <w:rPr>
                <w:b/>
                <w:sz w:val="18"/>
                <w:szCs w:val="18"/>
              </w:rPr>
            </w:pPr>
            <w:r w:rsidRPr="005233EE">
              <w:rPr>
                <w:b/>
                <w:sz w:val="18"/>
                <w:szCs w:val="18"/>
              </w:rPr>
              <w:t>Available</w:t>
            </w:r>
            <w:r w:rsidR="00F32519" w:rsidRPr="005233EE">
              <w:rPr>
                <w:b/>
                <w:sz w:val="18"/>
                <w:szCs w:val="18"/>
              </w:rPr>
              <w:t xml:space="preserve"> </w:t>
            </w:r>
            <w:r w:rsidRPr="005233EE">
              <w:rPr>
                <w:b/>
                <w:sz w:val="18"/>
                <w:szCs w:val="18"/>
              </w:rPr>
              <w:t>Capacity</w:t>
            </w:r>
            <w:r w:rsidR="00D034B2">
              <w:rPr>
                <w:b/>
                <w:sz w:val="18"/>
                <w:szCs w:val="18"/>
              </w:rPr>
              <w:t xml:space="preserve"> (MW)</w:t>
            </w:r>
          </w:p>
        </w:tc>
        <w:tc>
          <w:tcPr>
            <w:tcW w:w="929" w:type="dxa"/>
            <w:tcBorders>
              <w:top w:val="single" w:sz="4" w:space="0" w:color="auto"/>
              <w:bottom w:val="single" w:sz="4" w:space="0" w:color="auto"/>
            </w:tcBorders>
            <w:textDirection w:val="btLr"/>
            <w:vAlign w:val="bottom"/>
            <w:hideMark/>
          </w:tcPr>
          <w:p w14:paraId="03175A48" w14:textId="16B14050" w:rsidR="005D0BA3" w:rsidRPr="005233EE" w:rsidRDefault="005D0BA3">
            <w:pPr>
              <w:pStyle w:val="ExhibitText"/>
              <w:ind w:left="113" w:right="113"/>
              <w:jc w:val="left"/>
              <w:rPr>
                <w:b/>
                <w:sz w:val="18"/>
                <w:szCs w:val="18"/>
              </w:rPr>
            </w:pPr>
            <w:r w:rsidRPr="005233EE">
              <w:rPr>
                <w:b/>
                <w:sz w:val="18"/>
                <w:szCs w:val="18"/>
              </w:rPr>
              <w:t xml:space="preserve">Energy Produced </w:t>
            </w:r>
            <w:r w:rsidR="008B5E60">
              <w:rPr>
                <w:b/>
                <w:sz w:val="18"/>
                <w:szCs w:val="18"/>
              </w:rPr>
              <w:t xml:space="preserve">per </w:t>
            </w:r>
            <w:r w:rsidR="00D4624F">
              <w:rPr>
                <w:b/>
                <w:sz w:val="18"/>
                <w:szCs w:val="18"/>
              </w:rPr>
              <w:t>D</w:t>
            </w:r>
            <w:r w:rsidR="008B5E60">
              <w:rPr>
                <w:b/>
                <w:sz w:val="18"/>
                <w:szCs w:val="18"/>
              </w:rPr>
              <w:t xml:space="preserve">ay </w:t>
            </w:r>
            <w:r w:rsidR="00DB5A0C">
              <w:rPr>
                <w:b/>
                <w:sz w:val="18"/>
                <w:szCs w:val="18"/>
              </w:rPr>
              <w:t>(</w:t>
            </w:r>
            <w:r w:rsidRPr="005233EE">
              <w:rPr>
                <w:b/>
                <w:sz w:val="18"/>
                <w:szCs w:val="18"/>
              </w:rPr>
              <w:t>MWh</w:t>
            </w:r>
            <w:r w:rsidR="00DB5A0C">
              <w:rPr>
                <w:b/>
                <w:sz w:val="18"/>
                <w:szCs w:val="18"/>
              </w:rPr>
              <w:t>)</w:t>
            </w:r>
          </w:p>
        </w:tc>
        <w:tc>
          <w:tcPr>
            <w:tcW w:w="928" w:type="dxa"/>
            <w:tcBorders>
              <w:top w:val="single" w:sz="4" w:space="0" w:color="auto"/>
              <w:bottom w:val="single" w:sz="4" w:space="0" w:color="auto"/>
            </w:tcBorders>
            <w:textDirection w:val="btLr"/>
            <w:vAlign w:val="bottom"/>
            <w:hideMark/>
          </w:tcPr>
          <w:p w14:paraId="31EF2BBD" w14:textId="1991718B" w:rsidR="005D0BA3" w:rsidRPr="005233EE" w:rsidRDefault="005D0BA3" w:rsidP="003B21DA">
            <w:pPr>
              <w:pStyle w:val="ExhibitText"/>
              <w:ind w:left="113" w:right="113"/>
              <w:jc w:val="left"/>
              <w:rPr>
                <w:b/>
                <w:sz w:val="18"/>
                <w:szCs w:val="18"/>
              </w:rPr>
            </w:pPr>
            <w:r w:rsidRPr="005233EE">
              <w:rPr>
                <w:b/>
                <w:sz w:val="18"/>
                <w:szCs w:val="18"/>
              </w:rPr>
              <w:t>EDH Fuel Consumption</w:t>
            </w:r>
            <w:r w:rsidR="00783BD6">
              <w:rPr>
                <w:b/>
                <w:sz w:val="18"/>
                <w:szCs w:val="18"/>
              </w:rPr>
              <w:t xml:space="preserve"> (gal.</w:t>
            </w:r>
            <w:r w:rsidR="00153EB4">
              <w:rPr>
                <w:b/>
                <w:sz w:val="18"/>
                <w:szCs w:val="18"/>
              </w:rPr>
              <w:t>/day</w:t>
            </w:r>
            <w:r w:rsidR="00783BD6">
              <w:rPr>
                <w:b/>
                <w:sz w:val="18"/>
                <w:szCs w:val="18"/>
              </w:rPr>
              <w:t>)</w:t>
            </w:r>
          </w:p>
        </w:tc>
        <w:tc>
          <w:tcPr>
            <w:tcW w:w="929" w:type="dxa"/>
            <w:tcBorders>
              <w:top w:val="single" w:sz="4" w:space="0" w:color="auto"/>
              <w:bottom w:val="single" w:sz="4" w:space="0" w:color="auto"/>
            </w:tcBorders>
            <w:textDirection w:val="btLr"/>
            <w:vAlign w:val="bottom"/>
            <w:hideMark/>
          </w:tcPr>
          <w:p w14:paraId="3F6DB240" w14:textId="37032D9D" w:rsidR="005D0BA3" w:rsidRPr="005233EE" w:rsidRDefault="005D0BA3">
            <w:pPr>
              <w:pStyle w:val="ExhibitText"/>
              <w:ind w:left="113" w:right="113"/>
              <w:jc w:val="left"/>
              <w:rPr>
                <w:b/>
                <w:sz w:val="18"/>
                <w:szCs w:val="18"/>
              </w:rPr>
            </w:pPr>
            <w:r w:rsidRPr="005233EE">
              <w:rPr>
                <w:b/>
                <w:sz w:val="18"/>
                <w:szCs w:val="18"/>
              </w:rPr>
              <w:t xml:space="preserve">EDH Fuel in </w:t>
            </w:r>
            <w:r w:rsidR="00DB5A0C">
              <w:rPr>
                <w:b/>
                <w:sz w:val="18"/>
                <w:szCs w:val="18"/>
              </w:rPr>
              <w:t>S</w:t>
            </w:r>
            <w:r w:rsidRPr="005233EE">
              <w:rPr>
                <w:b/>
                <w:sz w:val="18"/>
                <w:szCs w:val="18"/>
              </w:rPr>
              <w:t>tock (</w:t>
            </w:r>
            <w:proofErr w:type="gramStart"/>
            <w:r w:rsidRPr="005233EE">
              <w:rPr>
                <w:b/>
                <w:sz w:val="18"/>
                <w:szCs w:val="18"/>
              </w:rPr>
              <w:t>gal</w:t>
            </w:r>
            <w:proofErr w:type="gramEnd"/>
            <w:r w:rsidR="003307BA">
              <w:rPr>
                <w:b/>
                <w:sz w:val="18"/>
                <w:szCs w:val="18"/>
              </w:rPr>
              <w:t>.</w:t>
            </w:r>
            <w:r w:rsidRPr="005233EE">
              <w:rPr>
                <w:b/>
                <w:sz w:val="18"/>
                <w:szCs w:val="18"/>
              </w:rPr>
              <w:t>)</w:t>
            </w:r>
          </w:p>
        </w:tc>
        <w:tc>
          <w:tcPr>
            <w:tcW w:w="929" w:type="dxa"/>
            <w:tcBorders>
              <w:top w:val="single" w:sz="4" w:space="0" w:color="auto"/>
              <w:bottom w:val="single" w:sz="4" w:space="0" w:color="auto"/>
            </w:tcBorders>
            <w:textDirection w:val="btLr"/>
            <w:vAlign w:val="bottom"/>
            <w:hideMark/>
          </w:tcPr>
          <w:p w14:paraId="6E5C21C1" w14:textId="0FF9BF80" w:rsidR="005D0BA3" w:rsidRPr="005233EE" w:rsidRDefault="005D0BA3" w:rsidP="003B21DA">
            <w:pPr>
              <w:pStyle w:val="ExhibitText"/>
              <w:ind w:left="113" w:right="113"/>
              <w:jc w:val="left"/>
              <w:rPr>
                <w:b/>
                <w:sz w:val="18"/>
                <w:szCs w:val="18"/>
              </w:rPr>
            </w:pPr>
            <w:r w:rsidRPr="005233EE">
              <w:rPr>
                <w:b/>
                <w:sz w:val="18"/>
                <w:szCs w:val="18"/>
              </w:rPr>
              <w:t>Client</w:t>
            </w:r>
            <w:r w:rsidR="00DB5A0C">
              <w:rPr>
                <w:b/>
                <w:sz w:val="18"/>
                <w:szCs w:val="18"/>
              </w:rPr>
              <w:t xml:space="preserve"> </w:t>
            </w:r>
            <w:r w:rsidRPr="005233EE">
              <w:rPr>
                <w:b/>
                <w:sz w:val="18"/>
                <w:szCs w:val="18"/>
              </w:rPr>
              <w:t>Base</w:t>
            </w:r>
          </w:p>
        </w:tc>
      </w:tr>
      <w:tr w:rsidR="003D03ED" w:rsidRPr="009E116E" w14:paraId="0D720259"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7BC99D46" w14:textId="77777777" w:rsidR="005D0BA3" w:rsidRPr="009E116E" w:rsidRDefault="005D0BA3" w:rsidP="009E116E">
            <w:pPr>
              <w:pStyle w:val="ExhibitText"/>
              <w:jc w:val="left"/>
              <w:rPr>
                <w:sz w:val="18"/>
                <w:szCs w:val="18"/>
              </w:rPr>
            </w:pPr>
            <w:r w:rsidRPr="009E116E">
              <w:rPr>
                <w:sz w:val="18"/>
                <w:szCs w:val="18"/>
              </w:rPr>
              <w:t>All Areas</w:t>
            </w:r>
          </w:p>
        </w:tc>
        <w:tc>
          <w:tcPr>
            <w:tcW w:w="1087" w:type="dxa"/>
            <w:tcBorders>
              <w:top w:val="single" w:sz="4" w:space="0" w:color="auto"/>
              <w:left w:val="single" w:sz="4" w:space="0" w:color="auto"/>
              <w:bottom w:val="single" w:sz="4" w:space="0" w:color="auto"/>
              <w:right w:val="single" w:sz="4" w:space="0" w:color="auto"/>
            </w:tcBorders>
            <w:vAlign w:val="center"/>
            <w:hideMark/>
          </w:tcPr>
          <w:p w14:paraId="00A37CF8" w14:textId="1F555BD9" w:rsidR="005D0BA3" w:rsidRPr="009E116E" w:rsidRDefault="005D0BA3" w:rsidP="009E116E">
            <w:pPr>
              <w:pStyle w:val="ExhibitText"/>
              <w:jc w:val="right"/>
              <w:rPr>
                <w:sz w:val="18"/>
                <w:szCs w:val="18"/>
              </w:rPr>
            </w:pPr>
            <w:r w:rsidRPr="009E116E">
              <w:rPr>
                <w:sz w:val="18"/>
                <w:szCs w:val="18"/>
              </w:rPr>
              <w:t>1</w:t>
            </w:r>
            <w:r w:rsidR="00E31345">
              <w:rPr>
                <w:sz w:val="18"/>
                <w:szCs w:val="18"/>
              </w:rPr>
              <w:t>,</w:t>
            </w:r>
            <w:r w:rsidRPr="009E116E">
              <w:rPr>
                <w:sz w:val="18"/>
                <w:szCs w:val="18"/>
              </w:rPr>
              <w:t>991</w:t>
            </w:r>
            <w:r w:rsidR="00E31345">
              <w:rPr>
                <w:sz w:val="18"/>
                <w:szCs w:val="18"/>
              </w:rPr>
              <w:t>,</w:t>
            </w:r>
            <w:r w:rsidRPr="009E116E">
              <w:rPr>
                <w:sz w:val="18"/>
                <w:szCs w:val="18"/>
              </w:rPr>
              <w:t>549</w:t>
            </w:r>
          </w:p>
        </w:tc>
        <w:tc>
          <w:tcPr>
            <w:tcW w:w="922" w:type="dxa"/>
            <w:tcBorders>
              <w:top w:val="single" w:sz="4" w:space="0" w:color="auto"/>
              <w:left w:val="single" w:sz="4" w:space="0" w:color="auto"/>
              <w:bottom w:val="single" w:sz="4" w:space="0" w:color="auto"/>
              <w:right w:val="single" w:sz="4" w:space="0" w:color="auto"/>
            </w:tcBorders>
            <w:vAlign w:val="center"/>
            <w:hideMark/>
          </w:tcPr>
          <w:p w14:paraId="1AFDF75C" w14:textId="28B158B1" w:rsidR="005D0BA3" w:rsidRPr="009E116E" w:rsidRDefault="005D0BA3" w:rsidP="009E116E">
            <w:pPr>
              <w:pStyle w:val="ExhibitText"/>
              <w:jc w:val="right"/>
              <w:rPr>
                <w:sz w:val="18"/>
                <w:szCs w:val="18"/>
              </w:rPr>
            </w:pPr>
            <w:r w:rsidRPr="009E116E">
              <w:rPr>
                <w:sz w:val="18"/>
                <w:szCs w:val="18"/>
              </w:rPr>
              <w:t>915</w:t>
            </w:r>
            <w:r w:rsidR="00E31345">
              <w:rPr>
                <w:sz w:val="18"/>
                <w:szCs w:val="18"/>
              </w:rPr>
              <w:t>,</w:t>
            </w:r>
            <w:r w:rsidRPr="009E116E">
              <w:rPr>
                <w:sz w:val="18"/>
                <w:szCs w:val="18"/>
              </w:rPr>
              <w:t>078</w:t>
            </w:r>
          </w:p>
        </w:tc>
        <w:tc>
          <w:tcPr>
            <w:tcW w:w="923" w:type="dxa"/>
            <w:tcBorders>
              <w:top w:val="single" w:sz="4" w:space="0" w:color="auto"/>
              <w:left w:val="single" w:sz="4" w:space="0" w:color="auto"/>
              <w:bottom w:val="single" w:sz="4" w:space="0" w:color="auto"/>
              <w:right w:val="single" w:sz="4" w:space="0" w:color="auto"/>
            </w:tcBorders>
            <w:vAlign w:val="center"/>
            <w:hideMark/>
          </w:tcPr>
          <w:p w14:paraId="1C073FEB" w14:textId="36A4555E" w:rsidR="005D0BA3" w:rsidRPr="009E116E" w:rsidRDefault="005D0BA3" w:rsidP="009E116E">
            <w:pPr>
              <w:pStyle w:val="ExhibitText"/>
              <w:jc w:val="right"/>
              <w:rPr>
                <w:sz w:val="18"/>
                <w:szCs w:val="18"/>
              </w:rPr>
            </w:pPr>
            <w:r w:rsidRPr="009E116E">
              <w:rPr>
                <w:sz w:val="18"/>
                <w:szCs w:val="18"/>
              </w:rPr>
              <w:t>398</w:t>
            </w:r>
            <w:r w:rsidR="00E31345">
              <w:rPr>
                <w:sz w:val="18"/>
                <w:szCs w:val="18"/>
              </w:rPr>
              <w:t>,</w:t>
            </w:r>
            <w:r w:rsidRPr="009E116E">
              <w:rPr>
                <w:sz w:val="18"/>
                <w:szCs w:val="18"/>
              </w:rPr>
              <w:t>555</w:t>
            </w:r>
          </w:p>
        </w:tc>
        <w:tc>
          <w:tcPr>
            <w:tcW w:w="922" w:type="dxa"/>
            <w:tcBorders>
              <w:top w:val="single" w:sz="4" w:space="0" w:color="auto"/>
              <w:left w:val="single" w:sz="4" w:space="0" w:color="auto"/>
              <w:bottom w:val="single" w:sz="4" w:space="0" w:color="auto"/>
              <w:right w:val="single" w:sz="4" w:space="0" w:color="auto"/>
            </w:tcBorders>
            <w:vAlign w:val="center"/>
            <w:hideMark/>
          </w:tcPr>
          <w:p w14:paraId="5D2BE1E4" w14:textId="77777777" w:rsidR="005D0BA3" w:rsidRPr="009E116E" w:rsidRDefault="005D0BA3" w:rsidP="009E116E">
            <w:pPr>
              <w:pStyle w:val="ExhibitText"/>
              <w:jc w:val="right"/>
              <w:rPr>
                <w:sz w:val="18"/>
                <w:szCs w:val="18"/>
              </w:rPr>
            </w:pPr>
            <w:r w:rsidRPr="009E116E">
              <w:rPr>
                <w:sz w:val="18"/>
                <w:szCs w:val="18"/>
              </w:rPr>
              <w:t>5,841</w:t>
            </w:r>
          </w:p>
        </w:tc>
        <w:tc>
          <w:tcPr>
            <w:tcW w:w="923" w:type="dxa"/>
            <w:tcBorders>
              <w:top w:val="single" w:sz="4" w:space="0" w:color="auto"/>
              <w:left w:val="single" w:sz="4" w:space="0" w:color="auto"/>
              <w:bottom w:val="single" w:sz="4" w:space="0" w:color="auto"/>
              <w:right w:val="single" w:sz="4" w:space="0" w:color="auto"/>
            </w:tcBorders>
            <w:vAlign w:val="center"/>
            <w:hideMark/>
          </w:tcPr>
          <w:p w14:paraId="7785BCE8" w14:textId="77777777" w:rsidR="005D0BA3" w:rsidRPr="009E116E" w:rsidRDefault="005D0BA3" w:rsidP="009E116E">
            <w:pPr>
              <w:pStyle w:val="ExhibitText"/>
              <w:jc w:val="right"/>
              <w:rPr>
                <w:sz w:val="18"/>
                <w:szCs w:val="18"/>
              </w:rPr>
            </w:pPr>
            <w:r w:rsidRPr="009E116E">
              <w:rPr>
                <w:sz w:val="18"/>
                <w:szCs w:val="18"/>
              </w:rPr>
              <w:t>341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0AD06F7" w14:textId="77777777" w:rsidR="005D0BA3" w:rsidRPr="009E116E" w:rsidRDefault="005D0BA3" w:rsidP="00542316">
            <w:pPr>
              <w:pStyle w:val="ExhibitText"/>
              <w:jc w:val="right"/>
              <w:rPr>
                <w:sz w:val="18"/>
                <w:szCs w:val="18"/>
              </w:rPr>
            </w:pPr>
            <w:r w:rsidRPr="009E116E">
              <w:rPr>
                <w:sz w:val="18"/>
                <w:szCs w:val="18"/>
              </w:rPr>
              <w:t>Mixed</w:t>
            </w:r>
          </w:p>
        </w:tc>
        <w:tc>
          <w:tcPr>
            <w:tcW w:w="838" w:type="dxa"/>
            <w:tcBorders>
              <w:top w:val="single" w:sz="4" w:space="0" w:color="auto"/>
              <w:left w:val="single" w:sz="4" w:space="0" w:color="auto"/>
              <w:bottom w:val="single" w:sz="4" w:space="0" w:color="auto"/>
              <w:right w:val="single" w:sz="4" w:space="0" w:color="auto"/>
            </w:tcBorders>
            <w:vAlign w:val="center"/>
            <w:hideMark/>
          </w:tcPr>
          <w:p w14:paraId="68F12724" w14:textId="77777777" w:rsidR="005D0BA3" w:rsidRPr="009E116E" w:rsidRDefault="005D0BA3" w:rsidP="009E116E">
            <w:pPr>
              <w:pStyle w:val="ExhibitText"/>
              <w:jc w:val="right"/>
              <w:rPr>
                <w:sz w:val="18"/>
                <w:szCs w:val="18"/>
              </w:rPr>
            </w:pPr>
            <w:r w:rsidRPr="009E116E">
              <w:rPr>
                <w:sz w:val="18"/>
                <w:szCs w:val="18"/>
              </w:rPr>
              <w:t>20.69</w:t>
            </w:r>
          </w:p>
        </w:tc>
        <w:tc>
          <w:tcPr>
            <w:tcW w:w="929" w:type="dxa"/>
            <w:tcBorders>
              <w:top w:val="single" w:sz="4" w:space="0" w:color="auto"/>
              <w:left w:val="single" w:sz="4" w:space="0" w:color="auto"/>
              <w:bottom w:val="single" w:sz="4" w:space="0" w:color="auto"/>
              <w:right w:val="single" w:sz="4" w:space="0" w:color="auto"/>
            </w:tcBorders>
            <w:vAlign w:val="center"/>
            <w:hideMark/>
          </w:tcPr>
          <w:p w14:paraId="0677821F" w14:textId="77777777" w:rsidR="005D0BA3" w:rsidRPr="009E116E" w:rsidRDefault="005D0BA3" w:rsidP="009E116E">
            <w:pPr>
              <w:pStyle w:val="ExhibitText"/>
              <w:jc w:val="right"/>
              <w:rPr>
                <w:sz w:val="18"/>
                <w:szCs w:val="18"/>
              </w:rPr>
            </w:pPr>
            <w:r w:rsidRPr="009E116E">
              <w:rPr>
                <w:sz w:val="18"/>
                <w:szCs w:val="18"/>
              </w:rPr>
              <w:t>17.45</w:t>
            </w:r>
          </w:p>
        </w:tc>
        <w:tc>
          <w:tcPr>
            <w:tcW w:w="929" w:type="dxa"/>
            <w:tcBorders>
              <w:top w:val="single" w:sz="4" w:space="0" w:color="auto"/>
              <w:left w:val="single" w:sz="4" w:space="0" w:color="auto"/>
              <w:bottom w:val="single" w:sz="4" w:space="0" w:color="auto"/>
              <w:right w:val="single" w:sz="4" w:space="0" w:color="auto"/>
            </w:tcBorders>
            <w:vAlign w:val="center"/>
            <w:hideMark/>
          </w:tcPr>
          <w:p w14:paraId="31C7A446" w14:textId="77777777" w:rsidR="005D0BA3" w:rsidRPr="009E116E" w:rsidRDefault="005D0BA3" w:rsidP="009E116E">
            <w:pPr>
              <w:pStyle w:val="ExhibitText"/>
              <w:jc w:val="right"/>
              <w:rPr>
                <w:sz w:val="18"/>
                <w:szCs w:val="18"/>
              </w:rPr>
            </w:pPr>
            <w:r w:rsidRPr="009E116E">
              <w:rPr>
                <w:sz w:val="18"/>
                <w:szCs w:val="18"/>
              </w:rPr>
              <w:t>287.7</w:t>
            </w:r>
          </w:p>
        </w:tc>
        <w:tc>
          <w:tcPr>
            <w:tcW w:w="928" w:type="dxa"/>
            <w:tcBorders>
              <w:top w:val="single" w:sz="4" w:space="0" w:color="auto"/>
              <w:left w:val="single" w:sz="4" w:space="0" w:color="auto"/>
              <w:bottom w:val="single" w:sz="4" w:space="0" w:color="auto"/>
              <w:right w:val="single" w:sz="4" w:space="0" w:color="auto"/>
            </w:tcBorders>
            <w:vAlign w:val="center"/>
            <w:hideMark/>
          </w:tcPr>
          <w:p w14:paraId="52F5D012" w14:textId="0BF482FD" w:rsidR="005D0BA3" w:rsidRPr="009E116E" w:rsidRDefault="005D0BA3" w:rsidP="009E116E">
            <w:pPr>
              <w:pStyle w:val="ExhibitText"/>
              <w:jc w:val="right"/>
              <w:rPr>
                <w:sz w:val="18"/>
                <w:szCs w:val="18"/>
              </w:rPr>
            </w:pPr>
            <w:r w:rsidRPr="009E116E">
              <w:rPr>
                <w:sz w:val="18"/>
                <w:szCs w:val="18"/>
              </w:rPr>
              <w:t>10</w:t>
            </w:r>
            <w:r w:rsidR="003334B8">
              <w:rPr>
                <w:sz w:val="18"/>
                <w:szCs w:val="18"/>
              </w:rPr>
              <w:t>,</w:t>
            </w:r>
            <w:r w:rsidRPr="009E116E">
              <w:rPr>
                <w:sz w:val="18"/>
                <w:szCs w:val="18"/>
              </w:rPr>
              <w:t xml:space="preserve"> 540</w:t>
            </w:r>
          </w:p>
        </w:tc>
        <w:tc>
          <w:tcPr>
            <w:tcW w:w="929" w:type="dxa"/>
            <w:tcBorders>
              <w:top w:val="single" w:sz="4" w:space="0" w:color="auto"/>
              <w:left w:val="single" w:sz="4" w:space="0" w:color="auto"/>
              <w:bottom w:val="single" w:sz="4" w:space="0" w:color="auto"/>
              <w:right w:val="single" w:sz="4" w:space="0" w:color="auto"/>
            </w:tcBorders>
            <w:vAlign w:val="center"/>
            <w:hideMark/>
          </w:tcPr>
          <w:p w14:paraId="3B3C16AF" w14:textId="596BD389" w:rsidR="005D0BA3" w:rsidRPr="009E116E" w:rsidRDefault="005D0BA3" w:rsidP="009E116E">
            <w:pPr>
              <w:pStyle w:val="ExhibitText"/>
              <w:jc w:val="right"/>
              <w:rPr>
                <w:sz w:val="18"/>
                <w:szCs w:val="18"/>
              </w:rPr>
            </w:pPr>
            <w:r w:rsidRPr="009E116E">
              <w:rPr>
                <w:sz w:val="18"/>
                <w:szCs w:val="18"/>
              </w:rPr>
              <w:t>164</w:t>
            </w:r>
            <w:r w:rsidR="003001CD">
              <w:rPr>
                <w:sz w:val="18"/>
                <w:szCs w:val="18"/>
              </w:rPr>
              <w:t>,000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0B3F10BE" w14:textId="189F0730" w:rsidR="005D0BA3" w:rsidRPr="009E116E" w:rsidRDefault="005D0BA3" w:rsidP="009E116E">
            <w:pPr>
              <w:pStyle w:val="ExhibitText"/>
              <w:jc w:val="right"/>
              <w:rPr>
                <w:sz w:val="18"/>
                <w:szCs w:val="18"/>
              </w:rPr>
            </w:pPr>
            <w:r w:rsidRPr="009E116E">
              <w:rPr>
                <w:sz w:val="18"/>
                <w:szCs w:val="18"/>
              </w:rPr>
              <w:t>22</w:t>
            </w:r>
            <w:r w:rsidR="003001CD">
              <w:rPr>
                <w:sz w:val="18"/>
                <w:szCs w:val="18"/>
              </w:rPr>
              <w:t>,</w:t>
            </w:r>
            <w:r w:rsidRPr="009E116E">
              <w:rPr>
                <w:sz w:val="18"/>
                <w:szCs w:val="18"/>
              </w:rPr>
              <w:t>650</w:t>
            </w:r>
          </w:p>
        </w:tc>
      </w:tr>
      <w:tr w:rsidR="00DB5A0C" w:rsidRPr="009E116E" w14:paraId="277DAD1C"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69D0C215" w14:textId="77777777" w:rsidR="005D0BA3" w:rsidRPr="009E116E" w:rsidRDefault="005D0BA3" w:rsidP="009E116E">
            <w:pPr>
              <w:pStyle w:val="ExhibitText"/>
              <w:jc w:val="left"/>
              <w:rPr>
                <w:sz w:val="18"/>
                <w:szCs w:val="18"/>
              </w:rPr>
            </w:pPr>
            <w:r w:rsidRPr="009E116E">
              <w:rPr>
                <w:sz w:val="18"/>
                <w:szCs w:val="18"/>
              </w:rPr>
              <w:t>Rural</w:t>
            </w:r>
          </w:p>
        </w:tc>
        <w:tc>
          <w:tcPr>
            <w:tcW w:w="1087" w:type="dxa"/>
            <w:tcBorders>
              <w:top w:val="single" w:sz="4" w:space="0" w:color="auto"/>
              <w:left w:val="single" w:sz="4" w:space="0" w:color="auto"/>
              <w:bottom w:val="single" w:sz="4" w:space="0" w:color="auto"/>
              <w:right w:val="single" w:sz="4" w:space="0" w:color="auto"/>
            </w:tcBorders>
            <w:vAlign w:val="center"/>
            <w:hideMark/>
          </w:tcPr>
          <w:p w14:paraId="08B290D9" w14:textId="5D379F6F" w:rsidR="005D0BA3" w:rsidRPr="009E116E" w:rsidRDefault="005D0BA3" w:rsidP="009E116E">
            <w:pPr>
              <w:pStyle w:val="ExhibitText"/>
              <w:jc w:val="right"/>
              <w:rPr>
                <w:sz w:val="18"/>
                <w:szCs w:val="18"/>
              </w:rPr>
            </w:pPr>
            <w:r w:rsidRPr="009E116E">
              <w:rPr>
                <w:sz w:val="18"/>
                <w:szCs w:val="18"/>
              </w:rPr>
              <w:t>1</w:t>
            </w:r>
            <w:r w:rsidR="00E31345">
              <w:rPr>
                <w:sz w:val="18"/>
                <w:szCs w:val="18"/>
              </w:rPr>
              <w:t>,</w:t>
            </w:r>
            <w:r w:rsidRPr="009E116E">
              <w:rPr>
                <w:sz w:val="18"/>
                <w:szCs w:val="18"/>
              </w:rPr>
              <w:t>224</w:t>
            </w:r>
            <w:r w:rsidR="00E31345">
              <w:rPr>
                <w:sz w:val="18"/>
                <w:szCs w:val="18"/>
              </w:rPr>
              <w:t>,</w:t>
            </w:r>
            <w:r w:rsidRPr="009E116E">
              <w:rPr>
                <w:sz w:val="18"/>
                <w:szCs w:val="18"/>
              </w:rPr>
              <w:t>771</w:t>
            </w:r>
          </w:p>
        </w:tc>
        <w:tc>
          <w:tcPr>
            <w:tcW w:w="922" w:type="dxa"/>
            <w:tcBorders>
              <w:top w:val="single" w:sz="4" w:space="0" w:color="auto"/>
              <w:left w:val="single" w:sz="4" w:space="0" w:color="auto"/>
              <w:bottom w:val="single" w:sz="4" w:space="0" w:color="auto"/>
              <w:right w:val="single" w:sz="4" w:space="0" w:color="auto"/>
            </w:tcBorders>
            <w:vAlign w:val="center"/>
            <w:hideMark/>
          </w:tcPr>
          <w:p w14:paraId="456B99EA" w14:textId="39EC52CC" w:rsidR="005D0BA3" w:rsidRPr="009E116E" w:rsidRDefault="005D0BA3" w:rsidP="009E116E">
            <w:pPr>
              <w:pStyle w:val="ExhibitText"/>
              <w:jc w:val="right"/>
              <w:rPr>
                <w:sz w:val="18"/>
                <w:szCs w:val="18"/>
              </w:rPr>
            </w:pPr>
            <w:r w:rsidRPr="009E116E">
              <w:rPr>
                <w:sz w:val="18"/>
                <w:szCs w:val="18"/>
              </w:rPr>
              <w:t>581</w:t>
            </w:r>
            <w:r w:rsidR="00E31345">
              <w:rPr>
                <w:sz w:val="18"/>
                <w:szCs w:val="18"/>
              </w:rPr>
              <w:t>,</w:t>
            </w:r>
            <w:r w:rsidRPr="009E116E">
              <w:rPr>
                <w:sz w:val="18"/>
                <w:szCs w:val="18"/>
              </w:rPr>
              <w:t>204</w:t>
            </w:r>
          </w:p>
        </w:tc>
        <w:tc>
          <w:tcPr>
            <w:tcW w:w="923" w:type="dxa"/>
            <w:tcBorders>
              <w:top w:val="single" w:sz="4" w:space="0" w:color="auto"/>
              <w:left w:val="single" w:sz="4" w:space="0" w:color="auto"/>
              <w:bottom w:val="single" w:sz="4" w:space="0" w:color="auto"/>
              <w:right w:val="single" w:sz="4" w:space="0" w:color="auto"/>
            </w:tcBorders>
            <w:vAlign w:val="center"/>
            <w:hideMark/>
          </w:tcPr>
          <w:p w14:paraId="4BFC91FB" w14:textId="3A311E0C" w:rsidR="005D0BA3" w:rsidRPr="009E116E" w:rsidRDefault="005D0BA3" w:rsidP="009E116E">
            <w:pPr>
              <w:pStyle w:val="ExhibitText"/>
              <w:jc w:val="right"/>
              <w:rPr>
                <w:sz w:val="18"/>
                <w:szCs w:val="18"/>
              </w:rPr>
            </w:pPr>
            <w:r w:rsidRPr="009E116E">
              <w:rPr>
                <w:sz w:val="18"/>
                <w:szCs w:val="18"/>
              </w:rPr>
              <w:t>242</w:t>
            </w:r>
            <w:r w:rsidR="00E31345">
              <w:rPr>
                <w:sz w:val="18"/>
                <w:szCs w:val="18"/>
              </w:rPr>
              <w:t>,</w:t>
            </w:r>
            <w:r w:rsidRPr="009E116E">
              <w:rPr>
                <w:sz w:val="18"/>
                <w:szCs w:val="18"/>
              </w:rPr>
              <w:t>493</w:t>
            </w:r>
          </w:p>
        </w:tc>
        <w:tc>
          <w:tcPr>
            <w:tcW w:w="922" w:type="dxa"/>
            <w:tcBorders>
              <w:top w:val="single" w:sz="4" w:space="0" w:color="auto"/>
              <w:left w:val="single" w:sz="4" w:space="0" w:color="auto"/>
              <w:bottom w:val="single" w:sz="4" w:space="0" w:color="auto"/>
              <w:right w:val="single" w:sz="4" w:space="0" w:color="auto"/>
            </w:tcBorders>
            <w:vAlign w:val="center"/>
            <w:hideMark/>
          </w:tcPr>
          <w:p w14:paraId="33791A35" w14:textId="77777777" w:rsidR="005D0BA3" w:rsidRPr="009E116E" w:rsidRDefault="005D0BA3" w:rsidP="009E116E">
            <w:pPr>
              <w:pStyle w:val="ExhibitText"/>
              <w:jc w:val="right"/>
              <w:rPr>
                <w:sz w:val="18"/>
                <w:szCs w:val="18"/>
              </w:rPr>
            </w:pPr>
            <w:r w:rsidRPr="009E116E">
              <w:rPr>
                <w:sz w:val="18"/>
                <w:szCs w:val="18"/>
              </w:rPr>
              <w:t>5,741</w:t>
            </w:r>
          </w:p>
        </w:tc>
        <w:tc>
          <w:tcPr>
            <w:tcW w:w="923" w:type="dxa"/>
            <w:tcBorders>
              <w:top w:val="single" w:sz="4" w:space="0" w:color="auto"/>
              <w:left w:val="single" w:sz="4" w:space="0" w:color="auto"/>
              <w:bottom w:val="single" w:sz="4" w:space="0" w:color="auto"/>
              <w:right w:val="single" w:sz="4" w:space="0" w:color="auto"/>
            </w:tcBorders>
            <w:vAlign w:val="center"/>
            <w:hideMark/>
          </w:tcPr>
          <w:p w14:paraId="47EF3CCB" w14:textId="77777777" w:rsidR="005D0BA3" w:rsidRPr="009E116E" w:rsidRDefault="005D0BA3" w:rsidP="009E116E">
            <w:pPr>
              <w:pStyle w:val="ExhibitText"/>
              <w:jc w:val="right"/>
              <w:rPr>
                <w:sz w:val="18"/>
                <w:szCs w:val="18"/>
              </w:rPr>
            </w:pPr>
            <w:r w:rsidRPr="009E116E">
              <w:rPr>
                <w:sz w:val="18"/>
                <w:szCs w:val="18"/>
              </w:rPr>
              <w:t>213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FFC13E9" w14:textId="77777777" w:rsidR="005D0BA3" w:rsidRPr="009E116E" w:rsidRDefault="005D0BA3" w:rsidP="00542316">
            <w:pPr>
              <w:pStyle w:val="ExhibitText"/>
              <w:jc w:val="right"/>
              <w:rPr>
                <w:sz w:val="18"/>
                <w:szCs w:val="18"/>
              </w:rPr>
            </w:pPr>
            <w:r w:rsidRPr="009E116E">
              <w:rPr>
                <w:sz w:val="18"/>
                <w:szCs w:val="18"/>
              </w:rPr>
              <w:t>-</w:t>
            </w:r>
          </w:p>
        </w:tc>
        <w:tc>
          <w:tcPr>
            <w:tcW w:w="838" w:type="dxa"/>
            <w:tcBorders>
              <w:top w:val="single" w:sz="4" w:space="0" w:color="auto"/>
              <w:left w:val="single" w:sz="4" w:space="0" w:color="auto"/>
              <w:bottom w:val="single" w:sz="4" w:space="0" w:color="auto"/>
              <w:right w:val="single" w:sz="4" w:space="0" w:color="auto"/>
            </w:tcBorders>
            <w:vAlign w:val="center"/>
            <w:hideMark/>
          </w:tcPr>
          <w:p w14:paraId="44949528"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32AEC43"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70B679D0" w14:textId="77777777" w:rsidR="005D0BA3" w:rsidRPr="009E116E" w:rsidRDefault="005D0BA3" w:rsidP="009E116E">
            <w:pPr>
              <w:pStyle w:val="ExhibitText"/>
              <w:jc w:val="right"/>
              <w:rPr>
                <w:sz w:val="18"/>
                <w:szCs w:val="18"/>
              </w:rPr>
            </w:pPr>
            <w:r w:rsidRPr="009E116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236C189A"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4F87F20"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4C31A46C" w14:textId="77777777" w:rsidR="005D0BA3" w:rsidRPr="009E116E" w:rsidRDefault="005D0BA3" w:rsidP="009E116E">
            <w:pPr>
              <w:pStyle w:val="ExhibitText"/>
              <w:jc w:val="right"/>
              <w:rPr>
                <w:sz w:val="18"/>
                <w:szCs w:val="18"/>
              </w:rPr>
            </w:pPr>
            <w:r w:rsidRPr="009E116E">
              <w:rPr>
                <w:sz w:val="18"/>
                <w:szCs w:val="18"/>
              </w:rPr>
              <w:t>-</w:t>
            </w:r>
          </w:p>
        </w:tc>
      </w:tr>
      <w:tr w:rsidR="00DB5A0C" w:rsidRPr="009E116E" w14:paraId="77E1B76C"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1B66D7E7" w14:textId="77777777" w:rsidR="005D0BA3" w:rsidRPr="009E116E" w:rsidRDefault="005D0BA3" w:rsidP="009E116E">
            <w:pPr>
              <w:pStyle w:val="ExhibitText"/>
              <w:jc w:val="left"/>
              <w:rPr>
                <w:sz w:val="18"/>
                <w:szCs w:val="18"/>
              </w:rPr>
            </w:pPr>
            <w:r w:rsidRPr="009E116E">
              <w:rPr>
                <w:sz w:val="18"/>
                <w:szCs w:val="18"/>
              </w:rPr>
              <w:t>Suburban</w:t>
            </w:r>
          </w:p>
        </w:tc>
        <w:tc>
          <w:tcPr>
            <w:tcW w:w="1087" w:type="dxa"/>
            <w:tcBorders>
              <w:top w:val="single" w:sz="4" w:space="0" w:color="auto"/>
              <w:left w:val="single" w:sz="4" w:space="0" w:color="auto"/>
              <w:bottom w:val="single" w:sz="4" w:space="0" w:color="auto"/>
              <w:right w:val="single" w:sz="4" w:space="0" w:color="auto"/>
            </w:tcBorders>
            <w:vAlign w:val="center"/>
            <w:hideMark/>
          </w:tcPr>
          <w:p w14:paraId="53756C65" w14:textId="095A8635" w:rsidR="005D0BA3" w:rsidRPr="009E116E" w:rsidRDefault="005D0BA3" w:rsidP="009E116E">
            <w:pPr>
              <w:pStyle w:val="ExhibitText"/>
              <w:jc w:val="right"/>
              <w:rPr>
                <w:sz w:val="18"/>
                <w:szCs w:val="18"/>
              </w:rPr>
            </w:pPr>
            <w:r w:rsidRPr="009E116E">
              <w:rPr>
                <w:sz w:val="18"/>
                <w:szCs w:val="18"/>
              </w:rPr>
              <w:t>124</w:t>
            </w:r>
            <w:r w:rsidR="00E31345">
              <w:rPr>
                <w:sz w:val="18"/>
                <w:szCs w:val="18"/>
              </w:rPr>
              <w:t>,</w:t>
            </w:r>
            <w:r w:rsidRPr="009E116E">
              <w:rPr>
                <w:sz w:val="18"/>
                <w:szCs w:val="18"/>
              </w:rPr>
              <w:t>705</w:t>
            </w:r>
          </w:p>
        </w:tc>
        <w:tc>
          <w:tcPr>
            <w:tcW w:w="922" w:type="dxa"/>
            <w:tcBorders>
              <w:top w:val="single" w:sz="4" w:space="0" w:color="auto"/>
              <w:left w:val="single" w:sz="4" w:space="0" w:color="auto"/>
              <w:bottom w:val="single" w:sz="4" w:space="0" w:color="auto"/>
              <w:right w:val="single" w:sz="4" w:space="0" w:color="auto"/>
            </w:tcBorders>
            <w:vAlign w:val="center"/>
            <w:hideMark/>
          </w:tcPr>
          <w:p w14:paraId="5ACC305D" w14:textId="70DB5C8B" w:rsidR="005D0BA3" w:rsidRPr="009E116E" w:rsidRDefault="005D0BA3" w:rsidP="009E116E">
            <w:pPr>
              <w:pStyle w:val="ExhibitText"/>
              <w:jc w:val="right"/>
              <w:rPr>
                <w:sz w:val="18"/>
                <w:szCs w:val="18"/>
              </w:rPr>
            </w:pPr>
            <w:r w:rsidRPr="009E116E">
              <w:rPr>
                <w:sz w:val="18"/>
                <w:szCs w:val="18"/>
              </w:rPr>
              <w:t>55</w:t>
            </w:r>
            <w:r w:rsidR="00E31345">
              <w:rPr>
                <w:sz w:val="18"/>
                <w:szCs w:val="18"/>
              </w:rPr>
              <w:t>,</w:t>
            </w:r>
            <w:r w:rsidRPr="009E116E">
              <w:rPr>
                <w:sz w:val="18"/>
                <w:szCs w:val="18"/>
              </w:rPr>
              <w:t>618</w:t>
            </w:r>
          </w:p>
        </w:tc>
        <w:tc>
          <w:tcPr>
            <w:tcW w:w="923" w:type="dxa"/>
            <w:tcBorders>
              <w:top w:val="single" w:sz="4" w:space="0" w:color="auto"/>
              <w:left w:val="single" w:sz="4" w:space="0" w:color="auto"/>
              <w:bottom w:val="single" w:sz="4" w:space="0" w:color="auto"/>
              <w:right w:val="single" w:sz="4" w:space="0" w:color="auto"/>
            </w:tcBorders>
            <w:vAlign w:val="center"/>
            <w:hideMark/>
          </w:tcPr>
          <w:p w14:paraId="6668392C" w14:textId="2A7A30AA" w:rsidR="005D0BA3" w:rsidRPr="009E116E" w:rsidRDefault="005D0BA3" w:rsidP="009E116E">
            <w:pPr>
              <w:pStyle w:val="ExhibitText"/>
              <w:jc w:val="right"/>
              <w:rPr>
                <w:sz w:val="18"/>
                <w:szCs w:val="18"/>
              </w:rPr>
            </w:pPr>
            <w:r w:rsidRPr="009E116E">
              <w:rPr>
                <w:sz w:val="18"/>
                <w:szCs w:val="18"/>
              </w:rPr>
              <w:t>24</w:t>
            </w:r>
            <w:r w:rsidR="00E31345">
              <w:rPr>
                <w:sz w:val="18"/>
                <w:szCs w:val="18"/>
              </w:rPr>
              <w:t>,</w:t>
            </w:r>
            <w:r w:rsidRPr="009E116E">
              <w:rPr>
                <w:sz w:val="18"/>
                <w:szCs w:val="18"/>
              </w:rPr>
              <w:t>677</w:t>
            </w:r>
          </w:p>
        </w:tc>
        <w:tc>
          <w:tcPr>
            <w:tcW w:w="922" w:type="dxa"/>
            <w:tcBorders>
              <w:top w:val="single" w:sz="4" w:space="0" w:color="auto"/>
              <w:left w:val="single" w:sz="4" w:space="0" w:color="auto"/>
              <w:bottom w:val="single" w:sz="4" w:space="0" w:color="auto"/>
              <w:right w:val="single" w:sz="4" w:space="0" w:color="auto"/>
            </w:tcBorders>
            <w:vAlign w:val="center"/>
            <w:hideMark/>
          </w:tcPr>
          <w:p w14:paraId="47664193" w14:textId="2CA9C074" w:rsidR="005D0BA3" w:rsidRPr="009E116E" w:rsidRDefault="005D0BA3" w:rsidP="00D034B2">
            <w:pPr>
              <w:pStyle w:val="ExhibitText"/>
              <w:jc w:val="right"/>
              <w:rPr>
                <w:sz w:val="18"/>
                <w:szCs w:val="18"/>
              </w:rPr>
            </w:pPr>
            <w:r w:rsidRPr="009E116E">
              <w:rPr>
                <w:sz w:val="18"/>
                <w:szCs w:val="18"/>
              </w:rPr>
              <w:t>2</w:t>
            </w:r>
            <w:r w:rsidR="008E04E5">
              <w:rPr>
                <w:sz w:val="18"/>
                <w:szCs w:val="18"/>
              </w:rPr>
              <w:t>6</w:t>
            </w:r>
          </w:p>
        </w:tc>
        <w:tc>
          <w:tcPr>
            <w:tcW w:w="923" w:type="dxa"/>
            <w:tcBorders>
              <w:top w:val="single" w:sz="4" w:space="0" w:color="auto"/>
              <w:left w:val="single" w:sz="4" w:space="0" w:color="auto"/>
              <w:bottom w:val="single" w:sz="4" w:space="0" w:color="auto"/>
              <w:right w:val="single" w:sz="4" w:space="0" w:color="auto"/>
            </w:tcBorders>
            <w:vAlign w:val="center"/>
            <w:hideMark/>
          </w:tcPr>
          <w:p w14:paraId="38EE7028" w14:textId="0748DBB0" w:rsidR="005D0BA3" w:rsidRPr="009E116E" w:rsidRDefault="005D0BA3" w:rsidP="009E116E">
            <w:pPr>
              <w:pStyle w:val="ExhibitText"/>
              <w:jc w:val="right"/>
              <w:rPr>
                <w:sz w:val="18"/>
                <w:szCs w:val="18"/>
              </w:rPr>
            </w:pPr>
            <w:r w:rsidRPr="009E116E">
              <w:rPr>
                <w:sz w:val="18"/>
                <w:szCs w:val="18"/>
              </w:rPr>
              <w:t>4</w:t>
            </w:r>
            <w:r w:rsidR="00E31345">
              <w:rPr>
                <w:sz w:val="18"/>
                <w:szCs w:val="18"/>
              </w:rPr>
              <w:t>,</w:t>
            </w:r>
            <w:r w:rsidRPr="009E116E">
              <w:rPr>
                <w:sz w:val="18"/>
                <w:szCs w:val="18"/>
              </w:rPr>
              <w:t>829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E517A83" w14:textId="77777777" w:rsidR="005D0BA3" w:rsidRPr="009E116E" w:rsidRDefault="005D0BA3" w:rsidP="00542316">
            <w:pPr>
              <w:pStyle w:val="ExhibitText"/>
              <w:jc w:val="right"/>
              <w:rPr>
                <w:sz w:val="18"/>
                <w:szCs w:val="18"/>
              </w:rPr>
            </w:pPr>
            <w:r w:rsidRPr="009E116E">
              <w:rPr>
                <w:sz w:val="18"/>
                <w:szCs w:val="18"/>
              </w:rPr>
              <w:t>-</w:t>
            </w:r>
          </w:p>
        </w:tc>
        <w:tc>
          <w:tcPr>
            <w:tcW w:w="838" w:type="dxa"/>
            <w:tcBorders>
              <w:top w:val="single" w:sz="4" w:space="0" w:color="auto"/>
              <w:left w:val="single" w:sz="4" w:space="0" w:color="auto"/>
              <w:bottom w:val="single" w:sz="4" w:space="0" w:color="auto"/>
              <w:right w:val="single" w:sz="4" w:space="0" w:color="auto"/>
            </w:tcBorders>
            <w:vAlign w:val="center"/>
            <w:hideMark/>
          </w:tcPr>
          <w:p w14:paraId="06D5AE1D"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4E853CB1"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687627F1" w14:textId="77777777" w:rsidR="005D0BA3" w:rsidRPr="009E116E" w:rsidRDefault="005D0BA3" w:rsidP="009E116E">
            <w:pPr>
              <w:pStyle w:val="ExhibitText"/>
              <w:jc w:val="right"/>
              <w:rPr>
                <w:sz w:val="18"/>
                <w:szCs w:val="18"/>
              </w:rPr>
            </w:pPr>
            <w:r w:rsidRPr="009E116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7E739FF"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CA89F44"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BF2ACF4" w14:textId="77777777" w:rsidR="005D0BA3" w:rsidRPr="009E116E" w:rsidRDefault="005D0BA3" w:rsidP="009E116E">
            <w:pPr>
              <w:pStyle w:val="ExhibitText"/>
              <w:jc w:val="right"/>
              <w:rPr>
                <w:sz w:val="18"/>
                <w:szCs w:val="18"/>
              </w:rPr>
            </w:pPr>
            <w:r w:rsidRPr="009E116E">
              <w:rPr>
                <w:sz w:val="18"/>
                <w:szCs w:val="18"/>
              </w:rPr>
              <w:t>-</w:t>
            </w:r>
          </w:p>
        </w:tc>
      </w:tr>
      <w:tr w:rsidR="00DB5A0C" w:rsidRPr="009E116E" w14:paraId="504D7642"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29469F93" w14:textId="77777777" w:rsidR="005D0BA3" w:rsidRPr="009E116E" w:rsidRDefault="005D0BA3" w:rsidP="009E116E">
            <w:pPr>
              <w:pStyle w:val="ExhibitText"/>
              <w:jc w:val="left"/>
              <w:rPr>
                <w:sz w:val="18"/>
                <w:szCs w:val="18"/>
              </w:rPr>
            </w:pPr>
            <w:r w:rsidRPr="009E116E">
              <w:rPr>
                <w:sz w:val="18"/>
                <w:szCs w:val="18"/>
              </w:rPr>
              <w:t>Cities</w:t>
            </w:r>
          </w:p>
        </w:tc>
        <w:tc>
          <w:tcPr>
            <w:tcW w:w="1087" w:type="dxa"/>
            <w:tcBorders>
              <w:top w:val="single" w:sz="4" w:space="0" w:color="auto"/>
              <w:left w:val="single" w:sz="4" w:space="0" w:color="auto"/>
              <w:bottom w:val="single" w:sz="4" w:space="0" w:color="auto"/>
              <w:right w:val="single" w:sz="4" w:space="0" w:color="auto"/>
            </w:tcBorders>
            <w:vAlign w:val="center"/>
            <w:hideMark/>
          </w:tcPr>
          <w:p w14:paraId="15648F44" w14:textId="1120B599" w:rsidR="005D0BA3" w:rsidRPr="009E116E" w:rsidRDefault="005D0BA3" w:rsidP="009E116E">
            <w:pPr>
              <w:pStyle w:val="ExhibitText"/>
              <w:jc w:val="right"/>
              <w:rPr>
                <w:sz w:val="18"/>
                <w:szCs w:val="18"/>
              </w:rPr>
            </w:pPr>
            <w:r w:rsidRPr="009E116E">
              <w:rPr>
                <w:sz w:val="18"/>
                <w:szCs w:val="18"/>
              </w:rPr>
              <w:t>642</w:t>
            </w:r>
            <w:r w:rsidR="00E31345">
              <w:rPr>
                <w:sz w:val="18"/>
                <w:szCs w:val="18"/>
              </w:rPr>
              <w:t>,</w:t>
            </w:r>
            <w:r w:rsidRPr="009E116E">
              <w:rPr>
                <w:sz w:val="18"/>
                <w:szCs w:val="18"/>
              </w:rPr>
              <w:t>073</w:t>
            </w:r>
          </w:p>
        </w:tc>
        <w:tc>
          <w:tcPr>
            <w:tcW w:w="922" w:type="dxa"/>
            <w:tcBorders>
              <w:top w:val="single" w:sz="4" w:space="0" w:color="auto"/>
              <w:left w:val="single" w:sz="4" w:space="0" w:color="auto"/>
              <w:bottom w:val="single" w:sz="4" w:space="0" w:color="auto"/>
              <w:right w:val="single" w:sz="4" w:space="0" w:color="auto"/>
            </w:tcBorders>
            <w:vAlign w:val="center"/>
            <w:hideMark/>
          </w:tcPr>
          <w:p w14:paraId="4DD8D468" w14:textId="2EE36D13" w:rsidR="005D0BA3" w:rsidRPr="009E116E" w:rsidRDefault="005D0BA3" w:rsidP="009E116E">
            <w:pPr>
              <w:pStyle w:val="ExhibitText"/>
              <w:jc w:val="right"/>
              <w:rPr>
                <w:sz w:val="18"/>
                <w:szCs w:val="18"/>
              </w:rPr>
            </w:pPr>
            <w:r w:rsidRPr="009E116E">
              <w:rPr>
                <w:sz w:val="18"/>
                <w:szCs w:val="18"/>
              </w:rPr>
              <w:t>363</w:t>
            </w:r>
            <w:r w:rsidR="00E31345">
              <w:rPr>
                <w:sz w:val="18"/>
                <w:szCs w:val="18"/>
              </w:rPr>
              <w:t>,</w:t>
            </w:r>
            <w:r w:rsidRPr="009E116E">
              <w:rPr>
                <w:sz w:val="18"/>
                <w:szCs w:val="18"/>
              </w:rPr>
              <w:t>817</w:t>
            </w:r>
          </w:p>
        </w:tc>
        <w:tc>
          <w:tcPr>
            <w:tcW w:w="923" w:type="dxa"/>
            <w:tcBorders>
              <w:top w:val="single" w:sz="4" w:space="0" w:color="auto"/>
              <w:left w:val="single" w:sz="4" w:space="0" w:color="auto"/>
              <w:bottom w:val="single" w:sz="4" w:space="0" w:color="auto"/>
              <w:right w:val="single" w:sz="4" w:space="0" w:color="auto"/>
            </w:tcBorders>
            <w:vAlign w:val="center"/>
            <w:hideMark/>
          </w:tcPr>
          <w:p w14:paraId="1259762C" w14:textId="65DC381C" w:rsidR="005D0BA3" w:rsidRPr="009E116E" w:rsidRDefault="005D0BA3" w:rsidP="009E116E">
            <w:pPr>
              <w:pStyle w:val="ExhibitText"/>
              <w:jc w:val="right"/>
              <w:rPr>
                <w:sz w:val="18"/>
                <w:szCs w:val="18"/>
              </w:rPr>
            </w:pPr>
            <w:r w:rsidRPr="009E116E">
              <w:rPr>
                <w:sz w:val="18"/>
                <w:szCs w:val="18"/>
              </w:rPr>
              <w:t>131</w:t>
            </w:r>
            <w:r w:rsidR="00E31345">
              <w:rPr>
                <w:sz w:val="18"/>
                <w:szCs w:val="18"/>
              </w:rPr>
              <w:t>,</w:t>
            </w:r>
            <w:r w:rsidRPr="009E116E">
              <w:rPr>
                <w:sz w:val="18"/>
                <w:szCs w:val="18"/>
              </w:rPr>
              <w:t>385</w:t>
            </w:r>
          </w:p>
        </w:tc>
        <w:tc>
          <w:tcPr>
            <w:tcW w:w="922" w:type="dxa"/>
            <w:tcBorders>
              <w:top w:val="single" w:sz="4" w:space="0" w:color="auto"/>
              <w:left w:val="single" w:sz="4" w:space="0" w:color="auto"/>
              <w:bottom w:val="single" w:sz="4" w:space="0" w:color="auto"/>
              <w:right w:val="single" w:sz="4" w:space="0" w:color="auto"/>
            </w:tcBorders>
            <w:vAlign w:val="center"/>
            <w:hideMark/>
          </w:tcPr>
          <w:p w14:paraId="0D17280A" w14:textId="4C616B94" w:rsidR="005D0BA3" w:rsidRPr="009E116E" w:rsidRDefault="005D0BA3" w:rsidP="00D034B2">
            <w:pPr>
              <w:pStyle w:val="ExhibitText"/>
              <w:jc w:val="right"/>
              <w:rPr>
                <w:sz w:val="18"/>
                <w:szCs w:val="18"/>
              </w:rPr>
            </w:pPr>
            <w:r w:rsidRPr="009E116E">
              <w:rPr>
                <w:sz w:val="18"/>
                <w:szCs w:val="18"/>
              </w:rPr>
              <w:t>7</w:t>
            </w:r>
            <w:r w:rsidR="008E04E5">
              <w:rPr>
                <w:sz w:val="18"/>
                <w:szCs w:val="18"/>
              </w:rPr>
              <w:t>3</w:t>
            </w:r>
          </w:p>
        </w:tc>
        <w:tc>
          <w:tcPr>
            <w:tcW w:w="923" w:type="dxa"/>
            <w:tcBorders>
              <w:top w:val="single" w:sz="4" w:space="0" w:color="auto"/>
              <w:left w:val="single" w:sz="4" w:space="0" w:color="auto"/>
              <w:bottom w:val="single" w:sz="4" w:space="0" w:color="auto"/>
              <w:right w:val="single" w:sz="4" w:space="0" w:color="auto"/>
            </w:tcBorders>
            <w:vAlign w:val="center"/>
            <w:hideMark/>
          </w:tcPr>
          <w:p w14:paraId="4C67C7FF" w14:textId="5068EBB3" w:rsidR="005D0BA3" w:rsidRPr="009E116E" w:rsidRDefault="005D0BA3" w:rsidP="009E116E">
            <w:pPr>
              <w:pStyle w:val="ExhibitText"/>
              <w:jc w:val="right"/>
              <w:rPr>
                <w:sz w:val="18"/>
                <w:szCs w:val="18"/>
              </w:rPr>
            </w:pPr>
            <w:r w:rsidRPr="009E116E">
              <w:rPr>
                <w:sz w:val="18"/>
                <w:szCs w:val="18"/>
              </w:rPr>
              <w:t>8</w:t>
            </w:r>
            <w:r w:rsidR="00E31345">
              <w:rPr>
                <w:sz w:val="18"/>
                <w:szCs w:val="18"/>
              </w:rPr>
              <w:t>,</w:t>
            </w:r>
            <w:r w:rsidRPr="009E116E">
              <w:rPr>
                <w:sz w:val="18"/>
                <w:szCs w:val="18"/>
              </w:rPr>
              <w:t>836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4705C9A" w14:textId="77777777" w:rsidR="005D0BA3" w:rsidRPr="009E116E" w:rsidRDefault="005D0BA3" w:rsidP="00542316">
            <w:pPr>
              <w:pStyle w:val="ExhibitText"/>
              <w:jc w:val="right"/>
              <w:rPr>
                <w:sz w:val="18"/>
                <w:szCs w:val="18"/>
              </w:rPr>
            </w:pPr>
            <w:r w:rsidRPr="009E116E">
              <w:rPr>
                <w:sz w:val="18"/>
                <w:szCs w:val="18"/>
              </w:rPr>
              <w:t>-</w:t>
            </w:r>
          </w:p>
        </w:tc>
        <w:tc>
          <w:tcPr>
            <w:tcW w:w="838" w:type="dxa"/>
            <w:tcBorders>
              <w:top w:val="single" w:sz="4" w:space="0" w:color="auto"/>
              <w:left w:val="single" w:sz="4" w:space="0" w:color="auto"/>
              <w:bottom w:val="single" w:sz="4" w:space="0" w:color="auto"/>
              <w:right w:val="single" w:sz="4" w:space="0" w:color="auto"/>
            </w:tcBorders>
            <w:vAlign w:val="center"/>
            <w:hideMark/>
          </w:tcPr>
          <w:p w14:paraId="259D470E"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DBBA606"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42DD0806" w14:textId="77777777" w:rsidR="005D0BA3" w:rsidRPr="009E116E" w:rsidRDefault="005D0BA3" w:rsidP="009E116E">
            <w:pPr>
              <w:pStyle w:val="ExhibitText"/>
              <w:jc w:val="right"/>
              <w:rPr>
                <w:sz w:val="18"/>
                <w:szCs w:val="18"/>
              </w:rPr>
            </w:pPr>
            <w:r w:rsidRPr="009E116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3489B1D6"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2178288C"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9B8597B" w14:textId="77777777" w:rsidR="005D0BA3" w:rsidRPr="009E116E" w:rsidRDefault="005D0BA3" w:rsidP="009E116E">
            <w:pPr>
              <w:pStyle w:val="ExhibitText"/>
              <w:jc w:val="right"/>
              <w:rPr>
                <w:sz w:val="18"/>
                <w:szCs w:val="18"/>
              </w:rPr>
            </w:pPr>
            <w:r w:rsidRPr="009E116E">
              <w:rPr>
                <w:sz w:val="18"/>
                <w:szCs w:val="18"/>
              </w:rPr>
              <w:t>-</w:t>
            </w:r>
          </w:p>
        </w:tc>
      </w:tr>
      <w:tr w:rsidR="00DB5A0C" w:rsidRPr="009E116E" w14:paraId="115F62F0"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46BEB31E" w14:textId="49CB2C23" w:rsidR="005D0BA3" w:rsidRPr="009E116E" w:rsidRDefault="005D0BA3" w:rsidP="009E116E">
            <w:pPr>
              <w:pStyle w:val="ExhibitText"/>
              <w:jc w:val="left"/>
              <w:rPr>
                <w:sz w:val="18"/>
                <w:szCs w:val="18"/>
              </w:rPr>
            </w:pPr>
            <w:r w:rsidRPr="009E116E">
              <w:rPr>
                <w:sz w:val="18"/>
                <w:szCs w:val="18"/>
              </w:rPr>
              <w:t>Cap-</w:t>
            </w:r>
            <w:proofErr w:type="spellStart"/>
            <w:r w:rsidRPr="009E116E">
              <w:rPr>
                <w:sz w:val="18"/>
                <w:szCs w:val="18"/>
              </w:rPr>
              <w:t>Ha</w:t>
            </w:r>
            <w:r w:rsidR="003001CD">
              <w:rPr>
                <w:sz w:val="18"/>
                <w:szCs w:val="18"/>
              </w:rPr>
              <w:t>ï</w:t>
            </w:r>
            <w:r w:rsidRPr="009E116E">
              <w:rPr>
                <w:sz w:val="18"/>
                <w:szCs w:val="18"/>
              </w:rPr>
              <w:t>ti</w:t>
            </w:r>
            <w:r w:rsidR="003001CD">
              <w:rPr>
                <w:sz w:val="18"/>
                <w:szCs w:val="18"/>
              </w:rPr>
              <w:t>e</w:t>
            </w:r>
            <w:r w:rsidRPr="009E116E">
              <w:rPr>
                <w:sz w:val="18"/>
                <w:szCs w:val="18"/>
              </w:rPr>
              <w:t>n</w:t>
            </w:r>
            <w:proofErr w:type="spellEnd"/>
          </w:p>
        </w:tc>
        <w:tc>
          <w:tcPr>
            <w:tcW w:w="1087" w:type="dxa"/>
            <w:tcBorders>
              <w:top w:val="single" w:sz="4" w:space="0" w:color="auto"/>
              <w:left w:val="single" w:sz="4" w:space="0" w:color="auto"/>
              <w:bottom w:val="single" w:sz="4" w:space="0" w:color="auto"/>
              <w:right w:val="single" w:sz="4" w:space="0" w:color="auto"/>
            </w:tcBorders>
            <w:vAlign w:val="center"/>
            <w:hideMark/>
          </w:tcPr>
          <w:p w14:paraId="1CEA6A61" w14:textId="1269226B" w:rsidR="005D0BA3" w:rsidRPr="009E116E" w:rsidRDefault="005D0BA3" w:rsidP="009E116E">
            <w:pPr>
              <w:pStyle w:val="ExhibitText"/>
              <w:jc w:val="right"/>
              <w:rPr>
                <w:sz w:val="18"/>
                <w:szCs w:val="18"/>
              </w:rPr>
            </w:pPr>
            <w:r w:rsidRPr="009E116E">
              <w:rPr>
                <w:sz w:val="18"/>
                <w:szCs w:val="18"/>
              </w:rPr>
              <w:t>249</w:t>
            </w:r>
            <w:r w:rsidR="00E31345">
              <w:rPr>
                <w:sz w:val="18"/>
                <w:szCs w:val="18"/>
              </w:rPr>
              <w:t>,</w:t>
            </w:r>
            <w:r w:rsidRPr="009E116E">
              <w:rPr>
                <w:sz w:val="18"/>
                <w:szCs w:val="18"/>
              </w:rPr>
              <w:t>541</w:t>
            </w:r>
          </w:p>
        </w:tc>
        <w:tc>
          <w:tcPr>
            <w:tcW w:w="922" w:type="dxa"/>
            <w:tcBorders>
              <w:top w:val="single" w:sz="4" w:space="0" w:color="auto"/>
              <w:left w:val="single" w:sz="4" w:space="0" w:color="auto"/>
              <w:bottom w:val="single" w:sz="4" w:space="0" w:color="auto"/>
              <w:right w:val="single" w:sz="4" w:space="0" w:color="auto"/>
            </w:tcBorders>
            <w:vAlign w:val="center"/>
            <w:hideMark/>
          </w:tcPr>
          <w:p w14:paraId="67FFD4F7" w14:textId="665A2555" w:rsidR="005D0BA3" w:rsidRPr="009E116E" w:rsidRDefault="005D0BA3" w:rsidP="009E116E">
            <w:pPr>
              <w:pStyle w:val="ExhibitText"/>
              <w:jc w:val="right"/>
              <w:rPr>
                <w:sz w:val="18"/>
                <w:szCs w:val="18"/>
              </w:rPr>
            </w:pPr>
            <w:r w:rsidRPr="009E116E">
              <w:rPr>
                <w:sz w:val="18"/>
                <w:szCs w:val="18"/>
              </w:rPr>
              <w:t>103</w:t>
            </w:r>
            <w:r w:rsidR="00E31345">
              <w:rPr>
                <w:sz w:val="18"/>
                <w:szCs w:val="18"/>
              </w:rPr>
              <w:t>,</w:t>
            </w:r>
            <w:r w:rsidRPr="009E116E">
              <w:rPr>
                <w:sz w:val="18"/>
                <w:szCs w:val="18"/>
              </w:rPr>
              <w:t>671</w:t>
            </w:r>
          </w:p>
        </w:tc>
        <w:tc>
          <w:tcPr>
            <w:tcW w:w="923" w:type="dxa"/>
            <w:tcBorders>
              <w:top w:val="single" w:sz="4" w:space="0" w:color="auto"/>
              <w:left w:val="single" w:sz="4" w:space="0" w:color="auto"/>
              <w:bottom w:val="single" w:sz="4" w:space="0" w:color="auto"/>
              <w:right w:val="single" w:sz="4" w:space="0" w:color="auto"/>
            </w:tcBorders>
            <w:vAlign w:val="center"/>
            <w:hideMark/>
          </w:tcPr>
          <w:p w14:paraId="5C99FDBE" w14:textId="2B570C24" w:rsidR="005D0BA3" w:rsidRPr="009E116E" w:rsidRDefault="005D0BA3" w:rsidP="009E116E">
            <w:pPr>
              <w:pStyle w:val="ExhibitText"/>
              <w:jc w:val="right"/>
              <w:rPr>
                <w:sz w:val="18"/>
                <w:szCs w:val="18"/>
              </w:rPr>
            </w:pPr>
            <w:r w:rsidRPr="009E116E">
              <w:rPr>
                <w:sz w:val="18"/>
                <w:szCs w:val="18"/>
              </w:rPr>
              <w:t>48,384</w:t>
            </w:r>
          </w:p>
        </w:tc>
        <w:tc>
          <w:tcPr>
            <w:tcW w:w="922" w:type="dxa"/>
            <w:tcBorders>
              <w:top w:val="single" w:sz="4" w:space="0" w:color="auto"/>
              <w:left w:val="single" w:sz="4" w:space="0" w:color="auto"/>
              <w:bottom w:val="single" w:sz="4" w:space="0" w:color="auto"/>
              <w:right w:val="single" w:sz="4" w:space="0" w:color="auto"/>
            </w:tcBorders>
            <w:vAlign w:val="center"/>
            <w:hideMark/>
          </w:tcPr>
          <w:p w14:paraId="1AA83F16" w14:textId="457987E3" w:rsidR="005D0BA3" w:rsidRPr="009E116E" w:rsidRDefault="005D0BA3" w:rsidP="00D034B2">
            <w:pPr>
              <w:pStyle w:val="ExhibitText"/>
              <w:jc w:val="right"/>
              <w:rPr>
                <w:sz w:val="18"/>
                <w:szCs w:val="18"/>
              </w:rPr>
            </w:pPr>
            <w:r w:rsidRPr="009E116E">
              <w:rPr>
                <w:sz w:val="18"/>
                <w:szCs w:val="18"/>
              </w:rPr>
              <w:t>5</w:t>
            </w:r>
            <w:r w:rsidR="008E04E5">
              <w:rPr>
                <w:sz w:val="18"/>
                <w:szCs w:val="18"/>
              </w:rPr>
              <w:t>4</w:t>
            </w:r>
          </w:p>
        </w:tc>
        <w:tc>
          <w:tcPr>
            <w:tcW w:w="923" w:type="dxa"/>
            <w:tcBorders>
              <w:top w:val="single" w:sz="4" w:space="0" w:color="auto"/>
              <w:left w:val="single" w:sz="4" w:space="0" w:color="auto"/>
              <w:bottom w:val="single" w:sz="4" w:space="0" w:color="auto"/>
              <w:right w:val="single" w:sz="4" w:space="0" w:color="auto"/>
            </w:tcBorders>
            <w:vAlign w:val="center"/>
            <w:hideMark/>
          </w:tcPr>
          <w:p w14:paraId="4388F965" w14:textId="625EDBE4" w:rsidR="005D0BA3" w:rsidRPr="009E116E" w:rsidRDefault="005D0BA3" w:rsidP="009E116E">
            <w:pPr>
              <w:pStyle w:val="ExhibitText"/>
              <w:jc w:val="right"/>
              <w:rPr>
                <w:sz w:val="18"/>
                <w:szCs w:val="18"/>
              </w:rPr>
            </w:pPr>
            <w:r w:rsidRPr="009E116E">
              <w:rPr>
                <w:sz w:val="18"/>
                <w:szCs w:val="18"/>
              </w:rPr>
              <w:t>4</w:t>
            </w:r>
            <w:r w:rsidR="00E31345">
              <w:rPr>
                <w:sz w:val="18"/>
                <w:szCs w:val="18"/>
              </w:rPr>
              <w:t>,</w:t>
            </w:r>
            <w:r w:rsidRPr="009E116E">
              <w:rPr>
                <w:sz w:val="18"/>
                <w:szCs w:val="18"/>
              </w:rPr>
              <w:t>664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8D47FB0" w14:textId="6C269E28" w:rsidR="005D0BA3" w:rsidRPr="009E116E" w:rsidRDefault="005D0BA3" w:rsidP="00542316">
            <w:pPr>
              <w:pStyle w:val="ExhibitText"/>
              <w:jc w:val="right"/>
              <w:rPr>
                <w:sz w:val="18"/>
                <w:szCs w:val="18"/>
              </w:rPr>
            </w:pPr>
            <w:proofErr w:type="spellStart"/>
            <w:r w:rsidRPr="009E116E">
              <w:rPr>
                <w:sz w:val="18"/>
                <w:szCs w:val="18"/>
              </w:rPr>
              <w:t>Thermo</w:t>
            </w:r>
            <w:proofErr w:type="spellEnd"/>
            <w:r w:rsidR="003001CD">
              <w:rPr>
                <w:sz w:val="18"/>
                <w:szCs w:val="18"/>
              </w:rPr>
              <w:t> </w:t>
            </w:r>
            <w:r w:rsidRPr="009E116E">
              <w:rPr>
                <w:sz w:val="18"/>
                <w:szCs w:val="18"/>
              </w:rPr>
              <w:t>H</w:t>
            </w:r>
          </w:p>
        </w:tc>
        <w:tc>
          <w:tcPr>
            <w:tcW w:w="838" w:type="dxa"/>
            <w:tcBorders>
              <w:top w:val="single" w:sz="4" w:space="0" w:color="auto"/>
              <w:left w:val="single" w:sz="4" w:space="0" w:color="auto"/>
              <w:bottom w:val="single" w:sz="4" w:space="0" w:color="auto"/>
              <w:right w:val="single" w:sz="4" w:space="0" w:color="auto"/>
            </w:tcBorders>
            <w:vAlign w:val="center"/>
            <w:hideMark/>
          </w:tcPr>
          <w:p w14:paraId="0B3387A4" w14:textId="42815F63" w:rsidR="005D0BA3" w:rsidRPr="009E116E" w:rsidRDefault="005D0BA3" w:rsidP="009E116E">
            <w:pPr>
              <w:pStyle w:val="ExhibitText"/>
              <w:jc w:val="right"/>
              <w:rPr>
                <w:sz w:val="18"/>
                <w:szCs w:val="18"/>
              </w:rPr>
            </w:pPr>
            <w:r w:rsidRPr="009E116E">
              <w:rPr>
                <w:sz w:val="18"/>
                <w:szCs w:val="18"/>
              </w:rPr>
              <w:t>15.0</w:t>
            </w:r>
            <w:r w:rsidR="00D034B2">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52E74611" w14:textId="498F3A53" w:rsidR="005D0BA3" w:rsidRPr="009E116E" w:rsidRDefault="005D0BA3" w:rsidP="009E116E">
            <w:pPr>
              <w:pStyle w:val="ExhibitText"/>
              <w:jc w:val="right"/>
              <w:rPr>
                <w:sz w:val="18"/>
                <w:szCs w:val="18"/>
              </w:rPr>
            </w:pPr>
            <w:r w:rsidRPr="009E116E">
              <w:rPr>
                <w:sz w:val="18"/>
                <w:szCs w:val="18"/>
              </w:rPr>
              <w:t>14.0</w:t>
            </w:r>
            <w:r w:rsidR="00D034B2">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0D77C974" w14:textId="77777777" w:rsidR="005D0BA3" w:rsidRPr="009E116E" w:rsidRDefault="005D0BA3" w:rsidP="009E116E">
            <w:pPr>
              <w:pStyle w:val="ExhibitText"/>
              <w:jc w:val="right"/>
              <w:rPr>
                <w:sz w:val="18"/>
                <w:szCs w:val="18"/>
              </w:rPr>
            </w:pPr>
            <w:r w:rsidRPr="009E116E">
              <w:rPr>
                <w:sz w:val="18"/>
                <w:szCs w:val="18"/>
              </w:rPr>
              <w:t>285.6</w:t>
            </w:r>
          </w:p>
        </w:tc>
        <w:tc>
          <w:tcPr>
            <w:tcW w:w="928" w:type="dxa"/>
            <w:tcBorders>
              <w:top w:val="single" w:sz="4" w:space="0" w:color="auto"/>
              <w:left w:val="single" w:sz="4" w:space="0" w:color="auto"/>
              <w:bottom w:val="single" w:sz="4" w:space="0" w:color="auto"/>
              <w:right w:val="single" w:sz="4" w:space="0" w:color="auto"/>
            </w:tcBorders>
            <w:vAlign w:val="center"/>
            <w:hideMark/>
          </w:tcPr>
          <w:p w14:paraId="4778215C" w14:textId="0D3AA5FB" w:rsidR="005D0BA3" w:rsidRPr="009E116E" w:rsidRDefault="005D0BA3" w:rsidP="009E116E">
            <w:pPr>
              <w:pStyle w:val="ExhibitText"/>
              <w:jc w:val="right"/>
              <w:rPr>
                <w:sz w:val="18"/>
                <w:szCs w:val="18"/>
              </w:rPr>
            </w:pPr>
            <w:r w:rsidRPr="009E116E">
              <w:rPr>
                <w:sz w:val="18"/>
                <w:szCs w:val="18"/>
              </w:rPr>
              <w:t>10</w:t>
            </w:r>
            <w:r w:rsidR="00E31345">
              <w:rPr>
                <w:sz w:val="18"/>
                <w:szCs w:val="18"/>
              </w:rPr>
              <w:t>,</w:t>
            </w:r>
            <w:r w:rsidRPr="009E116E">
              <w:rPr>
                <w:sz w:val="18"/>
                <w:szCs w:val="18"/>
              </w:rPr>
              <w:t>540</w:t>
            </w:r>
          </w:p>
        </w:tc>
        <w:tc>
          <w:tcPr>
            <w:tcW w:w="929" w:type="dxa"/>
            <w:tcBorders>
              <w:top w:val="single" w:sz="4" w:space="0" w:color="auto"/>
              <w:left w:val="single" w:sz="4" w:space="0" w:color="auto"/>
              <w:bottom w:val="single" w:sz="4" w:space="0" w:color="auto"/>
              <w:right w:val="single" w:sz="4" w:space="0" w:color="auto"/>
            </w:tcBorders>
            <w:vAlign w:val="center"/>
            <w:hideMark/>
          </w:tcPr>
          <w:p w14:paraId="66A4A56E" w14:textId="409F45BF" w:rsidR="005D0BA3" w:rsidRPr="009E116E" w:rsidRDefault="005D0BA3">
            <w:pPr>
              <w:pStyle w:val="ExhibitText"/>
              <w:jc w:val="right"/>
              <w:rPr>
                <w:sz w:val="18"/>
                <w:szCs w:val="18"/>
              </w:rPr>
            </w:pPr>
            <w:r w:rsidRPr="009E116E">
              <w:rPr>
                <w:sz w:val="18"/>
                <w:szCs w:val="18"/>
              </w:rPr>
              <w:t>162</w:t>
            </w:r>
            <w:r w:rsidR="003001CD">
              <w:rPr>
                <w:sz w:val="18"/>
                <w:szCs w:val="18"/>
              </w:rPr>
              <w:t>,</w:t>
            </w:r>
            <w:r w:rsidRPr="009E116E">
              <w:rPr>
                <w:sz w:val="18"/>
                <w:szCs w:val="18"/>
              </w:rPr>
              <w:t>7</w:t>
            </w:r>
            <w:r w:rsidR="003001CD">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556B5316" w14:textId="3943759F" w:rsidR="005D0BA3" w:rsidRPr="009E116E" w:rsidRDefault="005D0BA3" w:rsidP="009E116E">
            <w:pPr>
              <w:pStyle w:val="ExhibitText"/>
              <w:jc w:val="right"/>
              <w:rPr>
                <w:sz w:val="18"/>
                <w:szCs w:val="18"/>
              </w:rPr>
            </w:pPr>
            <w:r w:rsidRPr="009E116E">
              <w:rPr>
                <w:sz w:val="18"/>
                <w:szCs w:val="18"/>
              </w:rPr>
              <w:t>15</w:t>
            </w:r>
            <w:r w:rsidR="00E31345">
              <w:rPr>
                <w:sz w:val="18"/>
                <w:szCs w:val="18"/>
              </w:rPr>
              <w:t>,</w:t>
            </w:r>
            <w:r w:rsidRPr="009E116E">
              <w:rPr>
                <w:sz w:val="18"/>
                <w:szCs w:val="18"/>
              </w:rPr>
              <w:t>000</w:t>
            </w:r>
          </w:p>
        </w:tc>
      </w:tr>
      <w:tr w:rsidR="006C1C7E" w:rsidRPr="009E116E" w14:paraId="61F78A87"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7D8F6BB4" w14:textId="77777777" w:rsidR="006C1C7E" w:rsidRPr="009E116E" w:rsidRDefault="006C1C7E" w:rsidP="00B71A15">
            <w:pPr>
              <w:pStyle w:val="ExhibitText"/>
              <w:jc w:val="left"/>
              <w:rPr>
                <w:sz w:val="18"/>
                <w:szCs w:val="18"/>
              </w:rPr>
            </w:pPr>
            <w:proofErr w:type="spellStart"/>
            <w:r w:rsidRPr="009E116E">
              <w:rPr>
                <w:sz w:val="18"/>
                <w:szCs w:val="18"/>
              </w:rPr>
              <w:t>Caracol</w:t>
            </w:r>
            <w:proofErr w:type="spellEnd"/>
          </w:p>
        </w:tc>
        <w:tc>
          <w:tcPr>
            <w:tcW w:w="1087" w:type="dxa"/>
            <w:tcBorders>
              <w:top w:val="single" w:sz="4" w:space="0" w:color="auto"/>
              <w:left w:val="single" w:sz="4" w:space="0" w:color="auto"/>
              <w:bottom w:val="single" w:sz="4" w:space="0" w:color="auto"/>
              <w:right w:val="single" w:sz="4" w:space="0" w:color="auto"/>
            </w:tcBorders>
            <w:vAlign w:val="center"/>
            <w:hideMark/>
          </w:tcPr>
          <w:p w14:paraId="0223DA78" w14:textId="6C04284E" w:rsidR="006C1C7E" w:rsidRPr="009E116E" w:rsidRDefault="006C1C7E" w:rsidP="00B71A15">
            <w:pPr>
              <w:pStyle w:val="ExhibitText"/>
              <w:jc w:val="right"/>
              <w:rPr>
                <w:sz w:val="18"/>
                <w:szCs w:val="18"/>
              </w:rPr>
            </w:pPr>
            <w:r w:rsidRPr="009E116E">
              <w:rPr>
                <w:sz w:val="18"/>
                <w:szCs w:val="18"/>
              </w:rPr>
              <w:t>7</w:t>
            </w:r>
            <w:r>
              <w:rPr>
                <w:sz w:val="18"/>
                <w:szCs w:val="18"/>
              </w:rPr>
              <w:t>,</w:t>
            </w:r>
            <w:r w:rsidRPr="009E116E">
              <w:rPr>
                <w:sz w:val="18"/>
                <w:szCs w:val="18"/>
              </w:rPr>
              <w:t>015</w:t>
            </w:r>
          </w:p>
        </w:tc>
        <w:tc>
          <w:tcPr>
            <w:tcW w:w="922" w:type="dxa"/>
            <w:tcBorders>
              <w:top w:val="single" w:sz="4" w:space="0" w:color="auto"/>
              <w:left w:val="single" w:sz="4" w:space="0" w:color="auto"/>
              <w:bottom w:val="single" w:sz="4" w:space="0" w:color="auto"/>
              <w:right w:val="single" w:sz="4" w:space="0" w:color="auto"/>
            </w:tcBorders>
            <w:vAlign w:val="center"/>
            <w:hideMark/>
          </w:tcPr>
          <w:p w14:paraId="3480EDA9" w14:textId="768B267A" w:rsidR="006C1C7E" w:rsidRPr="009E116E" w:rsidRDefault="006C1C7E" w:rsidP="00B71A15">
            <w:pPr>
              <w:pStyle w:val="ExhibitText"/>
              <w:jc w:val="right"/>
              <w:rPr>
                <w:sz w:val="18"/>
                <w:szCs w:val="18"/>
              </w:rPr>
            </w:pPr>
            <w:r w:rsidRPr="009E116E">
              <w:rPr>
                <w:sz w:val="18"/>
                <w:szCs w:val="18"/>
              </w:rPr>
              <w:t>3</w:t>
            </w:r>
            <w:r>
              <w:rPr>
                <w:sz w:val="18"/>
                <w:szCs w:val="18"/>
              </w:rPr>
              <w:t>,</w:t>
            </w:r>
            <w:r w:rsidRPr="009E116E">
              <w:rPr>
                <w:sz w:val="18"/>
                <w:szCs w:val="18"/>
              </w:rPr>
              <w:t>197</w:t>
            </w:r>
          </w:p>
        </w:tc>
        <w:tc>
          <w:tcPr>
            <w:tcW w:w="923" w:type="dxa"/>
            <w:tcBorders>
              <w:top w:val="single" w:sz="4" w:space="0" w:color="auto"/>
              <w:left w:val="single" w:sz="4" w:space="0" w:color="auto"/>
              <w:bottom w:val="single" w:sz="4" w:space="0" w:color="auto"/>
              <w:right w:val="single" w:sz="4" w:space="0" w:color="auto"/>
            </w:tcBorders>
            <w:vAlign w:val="center"/>
            <w:hideMark/>
          </w:tcPr>
          <w:p w14:paraId="512A2B7C" w14:textId="5350171F" w:rsidR="006C1C7E" w:rsidRPr="009E116E" w:rsidRDefault="006C1C7E" w:rsidP="00B71A15">
            <w:pPr>
              <w:pStyle w:val="ExhibitText"/>
              <w:jc w:val="right"/>
              <w:rPr>
                <w:sz w:val="18"/>
                <w:szCs w:val="18"/>
              </w:rPr>
            </w:pPr>
            <w:r w:rsidRPr="009E116E">
              <w:rPr>
                <w:sz w:val="18"/>
                <w:szCs w:val="18"/>
              </w:rPr>
              <w:t>1</w:t>
            </w:r>
            <w:r>
              <w:rPr>
                <w:sz w:val="18"/>
                <w:szCs w:val="18"/>
              </w:rPr>
              <w:t>,</w:t>
            </w:r>
            <w:r w:rsidRPr="009E116E">
              <w:rPr>
                <w:sz w:val="18"/>
                <w:szCs w:val="18"/>
              </w:rPr>
              <w:t>713</w:t>
            </w:r>
          </w:p>
        </w:tc>
        <w:tc>
          <w:tcPr>
            <w:tcW w:w="922" w:type="dxa"/>
            <w:tcBorders>
              <w:top w:val="single" w:sz="4" w:space="0" w:color="auto"/>
              <w:left w:val="single" w:sz="4" w:space="0" w:color="auto"/>
              <w:bottom w:val="single" w:sz="4" w:space="0" w:color="auto"/>
              <w:right w:val="single" w:sz="4" w:space="0" w:color="auto"/>
            </w:tcBorders>
            <w:vAlign w:val="center"/>
            <w:hideMark/>
          </w:tcPr>
          <w:p w14:paraId="59D322A4" w14:textId="4293E364" w:rsidR="006C1C7E" w:rsidRPr="009E116E" w:rsidRDefault="006C1C7E" w:rsidP="00B71A15">
            <w:pPr>
              <w:pStyle w:val="ExhibitText"/>
              <w:jc w:val="right"/>
              <w:rPr>
                <w:sz w:val="18"/>
                <w:szCs w:val="18"/>
              </w:rPr>
            </w:pPr>
            <w:r w:rsidRPr="009E116E">
              <w:rPr>
                <w:sz w:val="18"/>
                <w:szCs w:val="18"/>
              </w:rPr>
              <w:t>7</w:t>
            </w:r>
            <w:r>
              <w:rPr>
                <w:sz w:val="18"/>
                <w:szCs w:val="18"/>
              </w:rPr>
              <w:t>5</w:t>
            </w:r>
          </w:p>
        </w:tc>
        <w:tc>
          <w:tcPr>
            <w:tcW w:w="923" w:type="dxa"/>
            <w:tcBorders>
              <w:top w:val="single" w:sz="4" w:space="0" w:color="auto"/>
              <w:left w:val="single" w:sz="4" w:space="0" w:color="auto"/>
              <w:bottom w:val="single" w:sz="4" w:space="0" w:color="auto"/>
              <w:right w:val="single" w:sz="4" w:space="0" w:color="auto"/>
            </w:tcBorders>
            <w:vAlign w:val="center"/>
            <w:hideMark/>
          </w:tcPr>
          <w:p w14:paraId="13E4CB51" w14:textId="77777777" w:rsidR="006C1C7E" w:rsidRPr="009E116E" w:rsidRDefault="006C1C7E" w:rsidP="00B71A15">
            <w:pPr>
              <w:pStyle w:val="ExhibitText"/>
              <w:jc w:val="right"/>
              <w:rPr>
                <w:sz w:val="18"/>
                <w:szCs w:val="18"/>
              </w:rPr>
            </w:pPr>
            <w:r w:rsidRPr="009E116E">
              <w:rPr>
                <w:sz w:val="18"/>
                <w:szCs w:val="18"/>
              </w:rPr>
              <w:t>94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B589ED1" w14:textId="77777777" w:rsidR="006C1C7E" w:rsidRPr="009E116E" w:rsidRDefault="006C1C7E" w:rsidP="00542316">
            <w:pPr>
              <w:pStyle w:val="ExhibitText"/>
              <w:jc w:val="right"/>
              <w:rPr>
                <w:sz w:val="18"/>
                <w:szCs w:val="18"/>
              </w:rPr>
            </w:pPr>
            <w:r w:rsidRPr="009E116E">
              <w:rPr>
                <w:sz w:val="18"/>
                <w:szCs w:val="18"/>
              </w:rPr>
              <w:t>Hydro</w:t>
            </w:r>
          </w:p>
        </w:tc>
        <w:tc>
          <w:tcPr>
            <w:tcW w:w="838" w:type="dxa"/>
            <w:tcBorders>
              <w:top w:val="single" w:sz="4" w:space="0" w:color="auto"/>
              <w:left w:val="single" w:sz="4" w:space="0" w:color="auto"/>
              <w:bottom w:val="single" w:sz="4" w:space="0" w:color="auto"/>
              <w:right w:val="single" w:sz="4" w:space="0" w:color="auto"/>
            </w:tcBorders>
            <w:vAlign w:val="center"/>
            <w:hideMark/>
          </w:tcPr>
          <w:p w14:paraId="21D1A134" w14:textId="77777777" w:rsidR="006C1C7E" w:rsidRPr="009E116E" w:rsidRDefault="006C1C7E" w:rsidP="00B71A15">
            <w:pPr>
              <w:pStyle w:val="ExhibitText"/>
              <w:jc w:val="right"/>
              <w:rPr>
                <w:sz w:val="18"/>
                <w:szCs w:val="18"/>
              </w:rPr>
            </w:pPr>
            <w:r w:rsidRPr="009E116E">
              <w:rPr>
                <w:sz w:val="18"/>
                <w:szCs w:val="18"/>
              </w:rPr>
              <w:t>0.08</w:t>
            </w:r>
          </w:p>
        </w:tc>
        <w:tc>
          <w:tcPr>
            <w:tcW w:w="929" w:type="dxa"/>
            <w:tcBorders>
              <w:top w:val="single" w:sz="4" w:space="0" w:color="auto"/>
              <w:left w:val="single" w:sz="4" w:space="0" w:color="auto"/>
              <w:bottom w:val="single" w:sz="4" w:space="0" w:color="auto"/>
              <w:right w:val="single" w:sz="4" w:space="0" w:color="auto"/>
            </w:tcBorders>
            <w:vAlign w:val="center"/>
            <w:hideMark/>
          </w:tcPr>
          <w:p w14:paraId="0222033D" w14:textId="77777777" w:rsidR="006C1C7E" w:rsidRPr="009E116E" w:rsidRDefault="006C1C7E" w:rsidP="00B71A15">
            <w:pPr>
              <w:pStyle w:val="ExhibitText"/>
              <w:jc w:val="right"/>
              <w:rPr>
                <w:sz w:val="18"/>
                <w:szCs w:val="18"/>
              </w:rPr>
            </w:pPr>
            <w:r w:rsidRPr="009E116E">
              <w:rPr>
                <w:sz w:val="18"/>
                <w:szCs w:val="18"/>
              </w:rPr>
              <w:t>0.5</w:t>
            </w:r>
            <w:r>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6DE2E93D" w14:textId="77777777" w:rsidR="006C1C7E" w:rsidRPr="009E116E" w:rsidRDefault="006C1C7E" w:rsidP="00B71A15">
            <w:pPr>
              <w:pStyle w:val="ExhibitText"/>
              <w:jc w:val="right"/>
              <w:rPr>
                <w:sz w:val="18"/>
                <w:szCs w:val="18"/>
              </w:rPr>
            </w:pPr>
            <w:r w:rsidRPr="009E116E">
              <w:rPr>
                <w:sz w:val="18"/>
                <w:szCs w:val="18"/>
              </w:rPr>
              <w:t>2.1</w:t>
            </w:r>
          </w:p>
        </w:tc>
        <w:tc>
          <w:tcPr>
            <w:tcW w:w="928" w:type="dxa"/>
            <w:tcBorders>
              <w:top w:val="single" w:sz="4" w:space="0" w:color="auto"/>
              <w:left w:val="single" w:sz="4" w:space="0" w:color="auto"/>
              <w:bottom w:val="single" w:sz="4" w:space="0" w:color="auto"/>
              <w:right w:val="single" w:sz="4" w:space="0" w:color="auto"/>
            </w:tcBorders>
            <w:vAlign w:val="center"/>
            <w:hideMark/>
          </w:tcPr>
          <w:p w14:paraId="351ABE34" w14:textId="3E875915" w:rsidR="006C1C7E" w:rsidRPr="009E116E" w:rsidRDefault="006C1C7E" w:rsidP="00B71A15">
            <w:pPr>
              <w:pStyle w:val="ExhibitText"/>
              <w:jc w:val="right"/>
              <w:rPr>
                <w:sz w:val="18"/>
                <w:szCs w:val="18"/>
              </w:rPr>
            </w:pPr>
            <w:r w:rsidRPr="009E116E">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5DFF90CE" w14:textId="697147BA" w:rsidR="006C1C7E" w:rsidRPr="009E116E" w:rsidRDefault="006C1C7E" w:rsidP="00B71A15">
            <w:pPr>
              <w:pStyle w:val="ExhibitText"/>
              <w:jc w:val="right"/>
              <w:rPr>
                <w:sz w:val="18"/>
                <w:szCs w:val="18"/>
              </w:rPr>
            </w:pPr>
            <w:r>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3063065A" w14:textId="77777777" w:rsidR="006C1C7E" w:rsidRPr="009E116E" w:rsidRDefault="006C1C7E" w:rsidP="00B71A15">
            <w:pPr>
              <w:pStyle w:val="ExhibitText"/>
              <w:jc w:val="right"/>
              <w:rPr>
                <w:sz w:val="18"/>
                <w:szCs w:val="18"/>
              </w:rPr>
            </w:pPr>
            <w:r w:rsidRPr="009E116E">
              <w:rPr>
                <w:sz w:val="18"/>
                <w:szCs w:val="18"/>
              </w:rPr>
              <w:t>100</w:t>
            </w:r>
          </w:p>
        </w:tc>
      </w:tr>
      <w:tr w:rsidR="00DB5A0C" w:rsidRPr="009E116E" w14:paraId="02E77E2E"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136352E7" w14:textId="39D9A740" w:rsidR="005D0BA3" w:rsidRPr="009E116E" w:rsidRDefault="005D0BA3" w:rsidP="009E116E">
            <w:pPr>
              <w:pStyle w:val="ExhibitText"/>
              <w:jc w:val="left"/>
              <w:rPr>
                <w:sz w:val="18"/>
                <w:szCs w:val="18"/>
              </w:rPr>
            </w:pPr>
            <w:r w:rsidRPr="009E116E">
              <w:rPr>
                <w:sz w:val="18"/>
                <w:szCs w:val="18"/>
              </w:rPr>
              <w:t>Fort-</w:t>
            </w:r>
            <w:proofErr w:type="spellStart"/>
            <w:r w:rsidRPr="009E116E">
              <w:rPr>
                <w:sz w:val="18"/>
                <w:szCs w:val="18"/>
              </w:rPr>
              <w:t>Libert</w:t>
            </w:r>
            <w:r w:rsidR="003001CD">
              <w:rPr>
                <w:sz w:val="18"/>
                <w:szCs w:val="18"/>
              </w:rPr>
              <w:t>é</w:t>
            </w:r>
            <w:proofErr w:type="spellEnd"/>
          </w:p>
        </w:tc>
        <w:tc>
          <w:tcPr>
            <w:tcW w:w="1087" w:type="dxa"/>
            <w:tcBorders>
              <w:top w:val="single" w:sz="4" w:space="0" w:color="auto"/>
              <w:left w:val="single" w:sz="4" w:space="0" w:color="auto"/>
              <w:bottom w:val="single" w:sz="4" w:space="0" w:color="auto"/>
              <w:right w:val="single" w:sz="4" w:space="0" w:color="auto"/>
            </w:tcBorders>
            <w:vAlign w:val="center"/>
            <w:hideMark/>
          </w:tcPr>
          <w:p w14:paraId="647026DB" w14:textId="6DF225AD" w:rsidR="005D0BA3" w:rsidRPr="009E116E" w:rsidRDefault="005D0BA3" w:rsidP="009E116E">
            <w:pPr>
              <w:pStyle w:val="ExhibitText"/>
              <w:jc w:val="right"/>
              <w:rPr>
                <w:sz w:val="18"/>
                <w:szCs w:val="18"/>
              </w:rPr>
            </w:pPr>
            <w:r w:rsidRPr="009E116E">
              <w:rPr>
                <w:sz w:val="18"/>
                <w:szCs w:val="18"/>
              </w:rPr>
              <w:t>31</w:t>
            </w:r>
            <w:r w:rsidR="00E31345">
              <w:rPr>
                <w:sz w:val="18"/>
                <w:szCs w:val="18"/>
              </w:rPr>
              <w:t>,</w:t>
            </w:r>
            <w:r w:rsidRPr="009E116E">
              <w:rPr>
                <w:sz w:val="18"/>
                <w:szCs w:val="18"/>
              </w:rPr>
              <w:t>315</w:t>
            </w:r>
          </w:p>
        </w:tc>
        <w:tc>
          <w:tcPr>
            <w:tcW w:w="922" w:type="dxa"/>
            <w:tcBorders>
              <w:top w:val="single" w:sz="4" w:space="0" w:color="auto"/>
              <w:left w:val="single" w:sz="4" w:space="0" w:color="auto"/>
              <w:bottom w:val="single" w:sz="4" w:space="0" w:color="auto"/>
              <w:right w:val="single" w:sz="4" w:space="0" w:color="auto"/>
            </w:tcBorders>
            <w:vAlign w:val="center"/>
            <w:hideMark/>
          </w:tcPr>
          <w:p w14:paraId="3D8F8F94" w14:textId="7D9C5F78" w:rsidR="005D0BA3" w:rsidRPr="009E116E" w:rsidRDefault="005D0BA3" w:rsidP="009E116E">
            <w:pPr>
              <w:pStyle w:val="ExhibitText"/>
              <w:jc w:val="right"/>
              <w:rPr>
                <w:sz w:val="18"/>
                <w:szCs w:val="18"/>
              </w:rPr>
            </w:pPr>
            <w:r w:rsidRPr="009E116E">
              <w:rPr>
                <w:sz w:val="18"/>
                <w:szCs w:val="18"/>
              </w:rPr>
              <w:t>14</w:t>
            </w:r>
            <w:r w:rsidR="00E31345">
              <w:rPr>
                <w:sz w:val="18"/>
                <w:szCs w:val="18"/>
              </w:rPr>
              <w:t>,</w:t>
            </w:r>
            <w:r w:rsidRPr="009E116E">
              <w:rPr>
                <w:sz w:val="18"/>
                <w:szCs w:val="18"/>
              </w:rPr>
              <w:t>100</w:t>
            </w:r>
          </w:p>
        </w:tc>
        <w:tc>
          <w:tcPr>
            <w:tcW w:w="923" w:type="dxa"/>
            <w:tcBorders>
              <w:top w:val="single" w:sz="4" w:space="0" w:color="auto"/>
              <w:left w:val="single" w:sz="4" w:space="0" w:color="auto"/>
              <w:bottom w:val="single" w:sz="4" w:space="0" w:color="auto"/>
              <w:right w:val="single" w:sz="4" w:space="0" w:color="auto"/>
            </w:tcBorders>
            <w:vAlign w:val="center"/>
            <w:hideMark/>
          </w:tcPr>
          <w:p w14:paraId="4783E972" w14:textId="73078816" w:rsidR="005D0BA3" w:rsidRPr="009E116E" w:rsidRDefault="005D0BA3" w:rsidP="009E116E">
            <w:pPr>
              <w:pStyle w:val="ExhibitText"/>
              <w:jc w:val="right"/>
              <w:rPr>
                <w:sz w:val="18"/>
                <w:szCs w:val="18"/>
              </w:rPr>
            </w:pPr>
            <w:r w:rsidRPr="009E116E">
              <w:rPr>
                <w:sz w:val="18"/>
                <w:szCs w:val="18"/>
              </w:rPr>
              <w:t>6</w:t>
            </w:r>
            <w:r w:rsidR="00E31345">
              <w:rPr>
                <w:sz w:val="18"/>
                <w:szCs w:val="18"/>
              </w:rPr>
              <w:t>,</w:t>
            </w:r>
            <w:r w:rsidRPr="009E116E">
              <w:rPr>
                <w:sz w:val="18"/>
                <w:szCs w:val="18"/>
              </w:rPr>
              <w:t>959</w:t>
            </w:r>
          </w:p>
        </w:tc>
        <w:tc>
          <w:tcPr>
            <w:tcW w:w="922" w:type="dxa"/>
            <w:tcBorders>
              <w:top w:val="single" w:sz="4" w:space="0" w:color="auto"/>
              <w:left w:val="single" w:sz="4" w:space="0" w:color="auto"/>
              <w:bottom w:val="single" w:sz="4" w:space="0" w:color="auto"/>
              <w:right w:val="single" w:sz="4" w:space="0" w:color="auto"/>
            </w:tcBorders>
            <w:vAlign w:val="center"/>
            <w:hideMark/>
          </w:tcPr>
          <w:p w14:paraId="2A9F9B99" w14:textId="02FC99D3" w:rsidR="005D0BA3" w:rsidRPr="009E116E" w:rsidRDefault="005D0BA3" w:rsidP="00D034B2">
            <w:pPr>
              <w:pStyle w:val="ExhibitText"/>
              <w:jc w:val="right"/>
              <w:rPr>
                <w:sz w:val="18"/>
                <w:szCs w:val="18"/>
              </w:rPr>
            </w:pPr>
            <w:r w:rsidRPr="009E116E">
              <w:rPr>
                <w:sz w:val="18"/>
                <w:szCs w:val="18"/>
              </w:rPr>
              <w:t>240</w:t>
            </w:r>
          </w:p>
        </w:tc>
        <w:tc>
          <w:tcPr>
            <w:tcW w:w="923" w:type="dxa"/>
            <w:tcBorders>
              <w:top w:val="single" w:sz="4" w:space="0" w:color="auto"/>
              <w:left w:val="single" w:sz="4" w:space="0" w:color="auto"/>
              <w:bottom w:val="single" w:sz="4" w:space="0" w:color="auto"/>
              <w:right w:val="single" w:sz="4" w:space="0" w:color="auto"/>
            </w:tcBorders>
            <w:vAlign w:val="center"/>
            <w:hideMark/>
          </w:tcPr>
          <w:p w14:paraId="4821069C" w14:textId="77777777" w:rsidR="005D0BA3" w:rsidRPr="009E116E" w:rsidRDefault="005D0BA3" w:rsidP="009E116E">
            <w:pPr>
              <w:pStyle w:val="ExhibitText"/>
              <w:jc w:val="right"/>
              <w:rPr>
                <w:sz w:val="18"/>
                <w:szCs w:val="18"/>
              </w:rPr>
            </w:pPr>
            <w:r w:rsidRPr="009E116E">
              <w:rPr>
                <w:sz w:val="18"/>
                <w:szCs w:val="18"/>
              </w:rPr>
              <w:t>130</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6077A32" w14:textId="3ACF6086" w:rsidR="005D0BA3" w:rsidRPr="009E116E" w:rsidRDefault="005D0BA3" w:rsidP="00542316">
            <w:pPr>
              <w:pStyle w:val="ExhibitText"/>
              <w:jc w:val="right"/>
              <w:rPr>
                <w:sz w:val="18"/>
                <w:szCs w:val="18"/>
              </w:rPr>
            </w:pPr>
            <w:proofErr w:type="spellStart"/>
            <w:r w:rsidRPr="009E116E">
              <w:rPr>
                <w:sz w:val="18"/>
                <w:szCs w:val="18"/>
              </w:rPr>
              <w:t>Thermo</w:t>
            </w:r>
            <w:proofErr w:type="spellEnd"/>
            <w:r w:rsidR="00D75FCD">
              <w:rPr>
                <w:sz w:val="18"/>
                <w:szCs w:val="18"/>
              </w:rPr>
              <w:t xml:space="preserve"> G</w:t>
            </w:r>
          </w:p>
        </w:tc>
        <w:tc>
          <w:tcPr>
            <w:tcW w:w="838" w:type="dxa"/>
            <w:tcBorders>
              <w:top w:val="single" w:sz="4" w:space="0" w:color="auto"/>
              <w:left w:val="single" w:sz="4" w:space="0" w:color="auto"/>
              <w:bottom w:val="single" w:sz="4" w:space="0" w:color="auto"/>
              <w:right w:val="single" w:sz="4" w:space="0" w:color="auto"/>
            </w:tcBorders>
            <w:vAlign w:val="center"/>
            <w:hideMark/>
          </w:tcPr>
          <w:p w14:paraId="57E79CBD" w14:textId="7835216B" w:rsidR="005D0BA3" w:rsidRPr="009E116E" w:rsidRDefault="005D0BA3" w:rsidP="009E116E">
            <w:pPr>
              <w:pStyle w:val="ExhibitText"/>
              <w:jc w:val="right"/>
              <w:rPr>
                <w:sz w:val="18"/>
                <w:szCs w:val="18"/>
              </w:rPr>
            </w:pPr>
            <w:r w:rsidRPr="009E116E">
              <w:rPr>
                <w:sz w:val="18"/>
                <w:szCs w:val="18"/>
              </w:rPr>
              <w:t>0.4</w:t>
            </w:r>
            <w:r w:rsidR="00D034B2">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6B74F0EC" w14:textId="16BD5134" w:rsidR="005D0BA3" w:rsidRPr="009E116E" w:rsidRDefault="005D0BA3" w:rsidP="009E116E">
            <w:pPr>
              <w:pStyle w:val="ExhibitText"/>
              <w:jc w:val="right"/>
              <w:rPr>
                <w:sz w:val="18"/>
                <w:szCs w:val="18"/>
              </w:rPr>
            </w:pPr>
            <w:r w:rsidRPr="009E116E">
              <w:rPr>
                <w:sz w:val="18"/>
                <w:szCs w:val="18"/>
              </w:rPr>
              <w:t>0.4</w:t>
            </w:r>
            <w:r w:rsidR="00D034B2">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004B8E04" w14:textId="77777777" w:rsidR="005D0BA3" w:rsidRPr="009E116E" w:rsidRDefault="005D0BA3" w:rsidP="009E116E">
            <w:pPr>
              <w:pStyle w:val="ExhibitText"/>
              <w:jc w:val="right"/>
              <w:rPr>
                <w:sz w:val="18"/>
                <w:szCs w:val="18"/>
              </w:rPr>
            </w:pPr>
            <w:r w:rsidRPr="009E116E">
              <w:rPr>
                <w:sz w:val="18"/>
                <w:szCs w:val="18"/>
              </w:rPr>
              <w:t>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6D93E1BA" w14:textId="2FA5E16F" w:rsidR="005D0BA3" w:rsidRPr="009E116E" w:rsidRDefault="005D0BA3" w:rsidP="009E116E">
            <w:pPr>
              <w:pStyle w:val="ExhibitText"/>
              <w:jc w:val="right"/>
              <w:rPr>
                <w:sz w:val="18"/>
                <w:szCs w:val="18"/>
              </w:rPr>
            </w:pPr>
            <w:r w:rsidRPr="009E116E">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5D479834" w14:textId="77777777" w:rsidR="005D0BA3" w:rsidRPr="009E116E" w:rsidRDefault="005D0BA3" w:rsidP="009E116E">
            <w:pPr>
              <w:pStyle w:val="ExhibitText"/>
              <w:jc w:val="right"/>
              <w:rPr>
                <w:sz w:val="18"/>
                <w:szCs w:val="18"/>
              </w:rPr>
            </w:pPr>
            <w:r w:rsidRPr="009E116E">
              <w:rPr>
                <w:sz w:val="18"/>
                <w:szCs w:val="18"/>
              </w:rPr>
              <w:t>279</w:t>
            </w:r>
          </w:p>
        </w:tc>
        <w:tc>
          <w:tcPr>
            <w:tcW w:w="929" w:type="dxa"/>
            <w:tcBorders>
              <w:top w:val="single" w:sz="4" w:space="0" w:color="auto"/>
              <w:left w:val="single" w:sz="4" w:space="0" w:color="auto"/>
              <w:bottom w:val="single" w:sz="4" w:space="0" w:color="auto"/>
              <w:right w:val="single" w:sz="4" w:space="0" w:color="auto"/>
            </w:tcBorders>
            <w:vAlign w:val="center"/>
            <w:hideMark/>
          </w:tcPr>
          <w:p w14:paraId="1EA6DFE1" w14:textId="09C6387F" w:rsidR="005D0BA3" w:rsidRPr="009E116E" w:rsidRDefault="005D0BA3" w:rsidP="009E116E">
            <w:pPr>
              <w:pStyle w:val="ExhibitText"/>
              <w:jc w:val="right"/>
              <w:rPr>
                <w:sz w:val="18"/>
                <w:szCs w:val="18"/>
              </w:rPr>
            </w:pPr>
            <w:r w:rsidRPr="009E116E">
              <w:rPr>
                <w:sz w:val="18"/>
                <w:szCs w:val="18"/>
              </w:rPr>
              <w:t>0</w:t>
            </w:r>
          </w:p>
        </w:tc>
      </w:tr>
      <w:tr w:rsidR="006C1C7E" w:rsidRPr="009E116E" w14:paraId="34BDA410"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2A26143C" w14:textId="3F457C11" w:rsidR="006C1C7E" w:rsidRPr="009E116E" w:rsidRDefault="006C1C7E">
            <w:pPr>
              <w:pStyle w:val="ExhibitText"/>
              <w:jc w:val="left"/>
              <w:rPr>
                <w:sz w:val="18"/>
                <w:szCs w:val="18"/>
              </w:rPr>
            </w:pPr>
            <w:proofErr w:type="spellStart"/>
            <w:r w:rsidRPr="009E116E">
              <w:rPr>
                <w:sz w:val="18"/>
                <w:szCs w:val="18"/>
              </w:rPr>
              <w:t>M</w:t>
            </w:r>
            <w:r>
              <w:rPr>
                <w:sz w:val="18"/>
                <w:szCs w:val="18"/>
              </w:rPr>
              <w:t>ô</w:t>
            </w:r>
            <w:r w:rsidRPr="009E116E">
              <w:rPr>
                <w:sz w:val="18"/>
                <w:szCs w:val="18"/>
              </w:rPr>
              <w:t>le</w:t>
            </w:r>
            <w:proofErr w:type="spellEnd"/>
            <w:r>
              <w:rPr>
                <w:sz w:val="18"/>
                <w:szCs w:val="18"/>
              </w:rPr>
              <w:t>-</w:t>
            </w:r>
            <w:r w:rsidRPr="009E116E">
              <w:rPr>
                <w:sz w:val="18"/>
                <w:szCs w:val="18"/>
              </w:rPr>
              <w:t>S</w:t>
            </w:r>
            <w:r>
              <w:rPr>
                <w:sz w:val="18"/>
                <w:szCs w:val="18"/>
              </w:rPr>
              <w:t>ain</w:t>
            </w:r>
            <w:r w:rsidRPr="009E116E">
              <w:rPr>
                <w:sz w:val="18"/>
                <w:szCs w:val="18"/>
              </w:rPr>
              <w:t>t</w:t>
            </w:r>
            <w:r>
              <w:rPr>
                <w:sz w:val="18"/>
                <w:szCs w:val="18"/>
              </w:rPr>
              <w:t xml:space="preserve">- </w:t>
            </w:r>
            <w:r w:rsidRPr="009E116E">
              <w:rPr>
                <w:sz w:val="18"/>
                <w:szCs w:val="18"/>
              </w:rPr>
              <w:t>Nicolas</w:t>
            </w:r>
          </w:p>
        </w:tc>
        <w:tc>
          <w:tcPr>
            <w:tcW w:w="1087" w:type="dxa"/>
            <w:tcBorders>
              <w:top w:val="single" w:sz="4" w:space="0" w:color="auto"/>
              <w:left w:val="single" w:sz="4" w:space="0" w:color="auto"/>
              <w:bottom w:val="single" w:sz="4" w:space="0" w:color="auto"/>
              <w:right w:val="single" w:sz="4" w:space="0" w:color="auto"/>
            </w:tcBorders>
            <w:vAlign w:val="center"/>
            <w:hideMark/>
          </w:tcPr>
          <w:p w14:paraId="11E3005D" w14:textId="67B564C0" w:rsidR="006C1C7E" w:rsidRPr="009E116E" w:rsidRDefault="006C1C7E" w:rsidP="00B71A15">
            <w:pPr>
              <w:pStyle w:val="ExhibitText"/>
              <w:jc w:val="right"/>
              <w:rPr>
                <w:sz w:val="18"/>
                <w:szCs w:val="18"/>
              </w:rPr>
            </w:pPr>
            <w:r w:rsidRPr="009E116E">
              <w:rPr>
                <w:sz w:val="18"/>
                <w:szCs w:val="18"/>
              </w:rPr>
              <w:t>30</w:t>
            </w:r>
            <w:r>
              <w:rPr>
                <w:sz w:val="18"/>
                <w:szCs w:val="18"/>
              </w:rPr>
              <w:t>,</w:t>
            </w:r>
            <w:r w:rsidRPr="009E116E">
              <w:rPr>
                <w:sz w:val="18"/>
                <w:szCs w:val="18"/>
              </w:rPr>
              <w:t>795</w:t>
            </w:r>
          </w:p>
        </w:tc>
        <w:tc>
          <w:tcPr>
            <w:tcW w:w="922" w:type="dxa"/>
            <w:tcBorders>
              <w:top w:val="single" w:sz="4" w:space="0" w:color="auto"/>
              <w:left w:val="single" w:sz="4" w:space="0" w:color="auto"/>
              <w:bottom w:val="single" w:sz="4" w:space="0" w:color="auto"/>
              <w:right w:val="single" w:sz="4" w:space="0" w:color="auto"/>
            </w:tcBorders>
            <w:vAlign w:val="center"/>
            <w:hideMark/>
          </w:tcPr>
          <w:p w14:paraId="4C91BCF6" w14:textId="34E70C04" w:rsidR="006C1C7E" w:rsidRPr="009E116E" w:rsidRDefault="006C1C7E" w:rsidP="00B71A15">
            <w:pPr>
              <w:pStyle w:val="ExhibitText"/>
              <w:jc w:val="right"/>
              <w:rPr>
                <w:sz w:val="18"/>
                <w:szCs w:val="18"/>
              </w:rPr>
            </w:pPr>
            <w:r w:rsidRPr="009E116E">
              <w:rPr>
                <w:sz w:val="18"/>
                <w:szCs w:val="18"/>
              </w:rPr>
              <w:t>14</w:t>
            </w:r>
            <w:r>
              <w:rPr>
                <w:sz w:val="18"/>
                <w:szCs w:val="18"/>
              </w:rPr>
              <w:t>,</w:t>
            </w:r>
            <w:r w:rsidRPr="009E116E">
              <w:rPr>
                <w:sz w:val="18"/>
                <w:szCs w:val="18"/>
              </w:rPr>
              <w:t>777</w:t>
            </w:r>
          </w:p>
        </w:tc>
        <w:tc>
          <w:tcPr>
            <w:tcW w:w="923" w:type="dxa"/>
            <w:tcBorders>
              <w:top w:val="single" w:sz="4" w:space="0" w:color="auto"/>
              <w:left w:val="single" w:sz="4" w:space="0" w:color="auto"/>
              <w:bottom w:val="single" w:sz="4" w:space="0" w:color="auto"/>
              <w:right w:val="single" w:sz="4" w:space="0" w:color="auto"/>
            </w:tcBorders>
            <w:vAlign w:val="center"/>
            <w:hideMark/>
          </w:tcPr>
          <w:p w14:paraId="0E0B06A8" w14:textId="1EC4CF5F" w:rsidR="006C1C7E" w:rsidRPr="009E116E" w:rsidRDefault="006C1C7E" w:rsidP="00B71A15">
            <w:pPr>
              <w:pStyle w:val="ExhibitText"/>
              <w:jc w:val="right"/>
              <w:rPr>
                <w:sz w:val="18"/>
                <w:szCs w:val="18"/>
              </w:rPr>
            </w:pPr>
            <w:r w:rsidRPr="009E116E">
              <w:rPr>
                <w:sz w:val="18"/>
                <w:szCs w:val="18"/>
              </w:rPr>
              <w:t>5</w:t>
            </w:r>
            <w:r>
              <w:rPr>
                <w:sz w:val="18"/>
                <w:szCs w:val="18"/>
              </w:rPr>
              <w:t>,</w:t>
            </w:r>
            <w:r w:rsidRPr="009E116E">
              <w:rPr>
                <w:sz w:val="18"/>
                <w:szCs w:val="18"/>
              </w:rPr>
              <w:t>935</w:t>
            </w:r>
          </w:p>
        </w:tc>
        <w:tc>
          <w:tcPr>
            <w:tcW w:w="922" w:type="dxa"/>
            <w:tcBorders>
              <w:top w:val="single" w:sz="4" w:space="0" w:color="auto"/>
              <w:left w:val="single" w:sz="4" w:space="0" w:color="auto"/>
              <w:bottom w:val="single" w:sz="4" w:space="0" w:color="auto"/>
              <w:right w:val="single" w:sz="4" w:space="0" w:color="auto"/>
            </w:tcBorders>
            <w:vAlign w:val="center"/>
            <w:hideMark/>
          </w:tcPr>
          <w:p w14:paraId="580B13FA" w14:textId="7F5421C9" w:rsidR="006C1C7E" w:rsidRPr="009E116E" w:rsidRDefault="006C1C7E" w:rsidP="00B71A15">
            <w:pPr>
              <w:pStyle w:val="ExhibitText"/>
              <w:jc w:val="right"/>
              <w:rPr>
                <w:sz w:val="18"/>
                <w:szCs w:val="18"/>
              </w:rPr>
            </w:pPr>
            <w:r w:rsidRPr="009E116E">
              <w:rPr>
                <w:sz w:val="18"/>
                <w:szCs w:val="18"/>
              </w:rPr>
              <w:t>227</w:t>
            </w:r>
          </w:p>
        </w:tc>
        <w:tc>
          <w:tcPr>
            <w:tcW w:w="923" w:type="dxa"/>
            <w:tcBorders>
              <w:top w:val="single" w:sz="4" w:space="0" w:color="auto"/>
              <w:left w:val="single" w:sz="4" w:space="0" w:color="auto"/>
              <w:bottom w:val="single" w:sz="4" w:space="0" w:color="auto"/>
              <w:right w:val="single" w:sz="4" w:space="0" w:color="auto"/>
            </w:tcBorders>
            <w:vAlign w:val="center"/>
            <w:hideMark/>
          </w:tcPr>
          <w:p w14:paraId="3C0A3975" w14:textId="77777777" w:rsidR="006C1C7E" w:rsidRPr="009E116E" w:rsidRDefault="006C1C7E" w:rsidP="00B71A15">
            <w:pPr>
              <w:pStyle w:val="ExhibitText"/>
              <w:jc w:val="right"/>
              <w:rPr>
                <w:sz w:val="18"/>
                <w:szCs w:val="18"/>
              </w:rPr>
            </w:pPr>
            <w:r w:rsidRPr="009E116E">
              <w:rPr>
                <w:sz w:val="18"/>
                <w:szCs w:val="18"/>
              </w:rPr>
              <w:t>136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F4B1CF6" w14:textId="77777777" w:rsidR="006C1C7E" w:rsidRPr="009E116E" w:rsidRDefault="006C1C7E" w:rsidP="00542316">
            <w:pPr>
              <w:pStyle w:val="ExhibitText"/>
              <w:jc w:val="right"/>
              <w:rPr>
                <w:sz w:val="18"/>
                <w:szCs w:val="18"/>
              </w:rPr>
            </w:pPr>
            <w:r w:rsidRPr="009E116E">
              <w:rPr>
                <w:sz w:val="18"/>
                <w:szCs w:val="18"/>
              </w:rPr>
              <w:t>-</w:t>
            </w:r>
          </w:p>
        </w:tc>
        <w:tc>
          <w:tcPr>
            <w:tcW w:w="838" w:type="dxa"/>
            <w:tcBorders>
              <w:top w:val="single" w:sz="4" w:space="0" w:color="auto"/>
              <w:left w:val="single" w:sz="4" w:space="0" w:color="auto"/>
              <w:bottom w:val="single" w:sz="4" w:space="0" w:color="auto"/>
              <w:right w:val="single" w:sz="4" w:space="0" w:color="auto"/>
            </w:tcBorders>
            <w:vAlign w:val="center"/>
            <w:hideMark/>
          </w:tcPr>
          <w:p w14:paraId="2FA2F2F1" w14:textId="77777777" w:rsidR="006C1C7E" w:rsidRPr="009E116E" w:rsidRDefault="006C1C7E" w:rsidP="00B71A15">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94EDED8" w14:textId="77777777" w:rsidR="006C1C7E" w:rsidRPr="009E116E" w:rsidRDefault="006C1C7E" w:rsidP="00B71A15">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1C7CF67" w14:textId="77777777" w:rsidR="006C1C7E" w:rsidRPr="009E116E" w:rsidRDefault="006C1C7E" w:rsidP="00B71A15">
            <w:pPr>
              <w:pStyle w:val="ExhibitText"/>
              <w:jc w:val="right"/>
              <w:rPr>
                <w:sz w:val="18"/>
                <w:szCs w:val="18"/>
              </w:rPr>
            </w:pPr>
            <w:r w:rsidRPr="009E116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696C481B" w14:textId="77777777" w:rsidR="006C1C7E" w:rsidRPr="009E116E" w:rsidRDefault="006C1C7E" w:rsidP="00B71A15">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7A171BA9" w14:textId="77777777" w:rsidR="006C1C7E" w:rsidRPr="009E116E" w:rsidRDefault="006C1C7E" w:rsidP="00B71A15">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638D09CB" w14:textId="77777777" w:rsidR="006C1C7E" w:rsidRPr="009E116E" w:rsidRDefault="006C1C7E" w:rsidP="00B71A15">
            <w:pPr>
              <w:pStyle w:val="ExhibitText"/>
              <w:jc w:val="right"/>
              <w:rPr>
                <w:sz w:val="18"/>
                <w:szCs w:val="18"/>
              </w:rPr>
            </w:pPr>
            <w:r w:rsidRPr="009E116E">
              <w:rPr>
                <w:sz w:val="18"/>
                <w:szCs w:val="18"/>
              </w:rPr>
              <w:t>-</w:t>
            </w:r>
          </w:p>
        </w:tc>
      </w:tr>
      <w:tr w:rsidR="00DB5A0C" w:rsidRPr="009E116E" w14:paraId="2EFB4CDC"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05E04A1C" w14:textId="77777777" w:rsidR="005D0BA3" w:rsidRPr="009E116E" w:rsidRDefault="005D0BA3" w:rsidP="009E116E">
            <w:pPr>
              <w:pStyle w:val="ExhibitText"/>
              <w:jc w:val="left"/>
              <w:rPr>
                <w:sz w:val="18"/>
                <w:szCs w:val="18"/>
              </w:rPr>
            </w:pPr>
            <w:proofErr w:type="spellStart"/>
            <w:r w:rsidRPr="009E116E">
              <w:rPr>
                <w:sz w:val="18"/>
                <w:szCs w:val="18"/>
              </w:rPr>
              <w:t>Ouanaminthe</w:t>
            </w:r>
            <w:proofErr w:type="spellEnd"/>
          </w:p>
        </w:tc>
        <w:tc>
          <w:tcPr>
            <w:tcW w:w="1087" w:type="dxa"/>
            <w:tcBorders>
              <w:top w:val="single" w:sz="4" w:space="0" w:color="auto"/>
              <w:left w:val="single" w:sz="4" w:space="0" w:color="auto"/>
              <w:bottom w:val="single" w:sz="4" w:space="0" w:color="auto"/>
              <w:right w:val="single" w:sz="4" w:space="0" w:color="auto"/>
            </w:tcBorders>
            <w:vAlign w:val="center"/>
            <w:hideMark/>
          </w:tcPr>
          <w:p w14:paraId="0887CBC6" w14:textId="59A117A6" w:rsidR="005D0BA3" w:rsidRPr="009E116E" w:rsidRDefault="005D0BA3" w:rsidP="009E116E">
            <w:pPr>
              <w:pStyle w:val="ExhibitText"/>
              <w:jc w:val="right"/>
              <w:rPr>
                <w:sz w:val="18"/>
                <w:szCs w:val="18"/>
              </w:rPr>
            </w:pPr>
            <w:r w:rsidRPr="009E116E">
              <w:rPr>
                <w:sz w:val="18"/>
                <w:szCs w:val="18"/>
              </w:rPr>
              <w:t>96</w:t>
            </w:r>
            <w:r w:rsidR="00E31345">
              <w:rPr>
                <w:sz w:val="18"/>
                <w:szCs w:val="18"/>
              </w:rPr>
              <w:t>,</w:t>
            </w:r>
            <w:r w:rsidRPr="009E116E">
              <w:rPr>
                <w:sz w:val="18"/>
                <w:szCs w:val="18"/>
              </w:rPr>
              <w:t>515</w:t>
            </w:r>
          </w:p>
        </w:tc>
        <w:tc>
          <w:tcPr>
            <w:tcW w:w="922" w:type="dxa"/>
            <w:tcBorders>
              <w:top w:val="single" w:sz="4" w:space="0" w:color="auto"/>
              <w:left w:val="single" w:sz="4" w:space="0" w:color="auto"/>
              <w:bottom w:val="single" w:sz="4" w:space="0" w:color="auto"/>
              <w:right w:val="single" w:sz="4" w:space="0" w:color="auto"/>
            </w:tcBorders>
            <w:vAlign w:val="center"/>
            <w:hideMark/>
          </w:tcPr>
          <w:p w14:paraId="5CA12CDB" w14:textId="1415306C" w:rsidR="005D0BA3" w:rsidRPr="009E116E" w:rsidRDefault="005D0BA3" w:rsidP="009E116E">
            <w:pPr>
              <w:pStyle w:val="ExhibitText"/>
              <w:jc w:val="right"/>
              <w:rPr>
                <w:sz w:val="18"/>
                <w:szCs w:val="18"/>
              </w:rPr>
            </w:pPr>
            <w:r w:rsidRPr="009E116E">
              <w:rPr>
                <w:sz w:val="18"/>
                <w:szCs w:val="18"/>
              </w:rPr>
              <w:t>46</w:t>
            </w:r>
            <w:r w:rsidR="00E31345">
              <w:rPr>
                <w:sz w:val="18"/>
                <w:szCs w:val="18"/>
              </w:rPr>
              <w:t>,</w:t>
            </w:r>
            <w:r w:rsidRPr="009E116E">
              <w:rPr>
                <w:sz w:val="18"/>
                <w:szCs w:val="18"/>
              </w:rPr>
              <w:t>329</w:t>
            </w:r>
          </w:p>
        </w:tc>
        <w:tc>
          <w:tcPr>
            <w:tcW w:w="923" w:type="dxa"/>
            <w:tcBorders>
              <w:top w:val="single" w:sz="4" w:space="0" w:color="auto"/>
              <w:left w:val="single" w:sz="4" w:space="0" w:color="auto"/>
              <w:bottom w:val="single" w:sz="4" w:space="0" w:color="auto"/>
              <w:right w:val="single" w:sz="4" w:space="0" w:color="auto"/>
            </w:tcBorders>
            <w:vAlign w:val="center"/>
            <w:hideMark/>
          </w:tcPr>
          <w:p w14:paraId="2E42B883" w14:textId="0BEF4F0B" w:rsidR="005D0BA3" w:rsidRPr="009E116E" w:rsidRDefault="005D0BA3" w:rsidP="009E116E">
            <w:pPr>
              <w:pStyle w:val="ExhibitText"/>
              <w:jc w:val="right"/>
              <w:rPr>
                <w:sz w:val="18"/>
                <w:szCs w:val="18"/>
              </w:rPr>
            </w:pPr>
            <w:r w:rsidRPr="009E116E">
              <w:rPr>
                <w:sz w:val="18"/>
                <w:szCs w:val="18"/>
              </w:rPr>
              <w:t>19</w:t>
            </w:r>
            <w:r w:rsidR="00E31345">
              <w:rPr>
                <w:sz w:val="18"/>
                <w:szCs w:val="18"/>
              </w:rPr>
              <w:t>,</w:t>
            </w:r>
            <w:r w:rsidRPr="009E116E">
              <w:rPr>
                <w:sz w:val="18"/>
                <w:szCs w:val="18"/>
              </w:rPr>
              <w:t>438</w:t>
            </w:r>
          </w:p>
        </w:tc>
        <w:tc>
          <w:tcPr>
            <w:tcW w:w="922" w:type="dxa"/>
            <w:tcBorders>
              <w:top w:val="single" w:sz="4" w:space="0" w:color="auto"/>
              <w:left w:val="single" w:sz="4" w:space="0" w:color="auto"/>
              <w:bottom w:val="single" w:sz="4" w:space="0" w:color="auto"/>
              <w:right w:val="single" w:sz="4" w:space="0" w:color="auto"/>
            </w:tcBorders>
            <w:vAlign w:val="center"/>
            <w:hideMark/>
          </w:tcPr>
          <w:p w14:paraId="50AD3C33" w14:textId="0D1C9722" w:rsidR="005D0BA3" w:rsidRPr="009E116E" w:rsidRDefault="005D0BA3" w:rsidP="00D034B2">
            <w:pPr>
              <w:pStyle w:val="ExhibitText"/>
              <w:jc w:val="right"/>
              <w:rPr>
                <w:sz w:val="18"/>
                <w:szCs w:val="18"/>
              </w:rPr>
            </w:pPr>
            <w:r w:rsidRPr="009E116E">
              <w:rPr>
                <w:sz w:val="18"/>
                <w:szCs w:val="18"/>
              </w:rPr>
              <w:t>199</w:t>
            </w:r>
          </w:p>
        </w:tc>
        <w:tc>
          <w:tcPr>
            <w:tcW w:w="923" w:type="dxa"/>
            <w:tcBorders>
              <w:top w:val="single" w:sz="4" w:space="0" w:color="auto"/>
              <w:left w:val="single" w:sz="4" w:space="0" w:color="auto"/>
              <w:bottom w:val="single" w:sz="4" w:space="0" w:color="auto"/>
              <w:right w:val="single" w:sz="4" w:space="0" w:color="auto"/>
            </w:tcBorders>
            <w:vAlign w:val="center"/>
            <w:hideMark/>
          </w:tcPr>
          <w:p w14:paraId="20EB5CBA" w14:textId="77777777" w:rsidR="005D0BA3" w:rsidRPr="009E116E" w:rsidRDefault="005D0BA3" w:rsidP="009E116E">
            <w:pPr>
              <w:pStyle w:val="ExhibitText"/>
              <w:jc w:val="right"/>
              <w:rPr>
                <w:sz w:val="18"/>
                <w:szCs w:val="18"/>
              </w:rPr>
            </w:pPr>
            <w:r w:rsidRPr="009E116E">
              <w:rPr>
                <w:sz w:val="18"/>
                <w:szCs w:val="18"/>
              </w:rPr>
              <w:t>485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0510A24" w14:textId="1CDEAF39" w:rsidR="005D0BA3" w:rsidRPr="009E116E" w:rsidRDefault="005D0BA3" w:rsidP="00542316">
            <w:pPr>
              <w:pStyle w:val="ExhibitText"/>
              <w:jc w:val="right"/>
              <w:rPr>
                <w:sz w:val="18"/>
                <w:szCs w:val="18"/>
              </w:rPr>
            </w:pPr>
            <w:proofErr w:type="spellStart"/>
            <w:r w:rsidRPr="009E116E">
              <w:rPr>
                <w:sz w:val="18"/>
                <w:szCs w:val="18"/>
              </w:rPr>
              <w:t>Thermo</w:t>
            </w:r>
            <w:proofErr w:type="spellEnd"/>
            <w:r w:rsidR="003001CD">
              <w:rPr>
                <w:sz w:val="18"/>
                <w:szCs w:val="18"/>
              </w:rPr>
              <w:t> </w:t>
            </w:r>
            <w:r w:rsidRPr="009E116E">
              <w:rPr>
                <w:sz w:val="18"/>
                <w:szCs w:val="18"/>
              </w:rPr>
              <w:t>D</w:t>
            </w:r>
          </w:p>
        </w:tc>
        <w:tc>
          <w:tcPr>
            <w:tcW w:w="838" w:type="dxa"/>
            <w:tcBorders>
              <w:top w:val="single" w:sz="4" w:space="0" w:color="auto"/>
              <w:left w:val="single" w:sz="4" w:space="0" w:color="auto"/>
              <w:bottom w:val="single" w:sz="4" w:space="0" w:color="auto"/>
              <w:right w:val="single" w:sz="4" w:space="0" w:color="auto"/>
            </w:tcBorders>
            <w:vAlign w:val="center"/>
            <w:hideMark/>
          </w:tcPr>
          <w:p w14:paraId="3FFEADE4" w14:textId="294FF883" w:rsidR="005D0BA3" w:rsidRPr="009E116E" w:rsidRDefault="005D0BA3" w:rsidP="009E116E">
            <w:pPr>
              <w:pStyle w:val="ExhibitText"/>
              <w:jc w:val="right"/>
              <w:rPr>
                <w:sz w:val="18"/>
                <w:szCs w:val="18"/>
              </w:rPr>
            </w:pPr>
            <w:r w:rsidRPr="009E116E">
              <w:rPr>
                <w:sz w:val="18"/>
                <w:szCs w:val="18"/>
              </w:rPr>
              <w:t>1.6</w:t>
            </w:r>
            <w:r w:rsidR="00D034B2">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2861E11E" w14:textId="77E10391" w:rsidR="005D0BA3" w:rsidRPr="009E116E" w:rsidRDefault="005D0BA3" w:rsidP="009E116E">
            <w:pPr>
              <w:pStyle w:val="ExhibitText"/>
              <w:jc w:val="right"/>
              <w:rPr>
                <w:sz w:val="18"/>
                <w:szCs w:val="18"/>
              </w:rPr>
            </w:pPr>
            <w:r w:rsidRPr="009E116E">
              <w:rPr>
                <w:sz w:val="18"/>
                <w:szCs w:val="18"/>
              </w:rPr>
              <w:t>1.3</w:t>
            </w:r>
            <w:r w:rsidR="00D034B2">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4E06033B" w14:textId="77777777" w:rsidR="005D0BA3" w:rsidRPr="009E116E" w:rsidRDefault="005D0BA3" w:rsidP="009E116E">
            <w:pPr>
              <w:pStyle w:val="ExhibitText"/>
              <w:jc w:val="right"/>
              <w:rPr>
                <w:sz w:val="18"/>
                <w:szCs w:val="18"/>
              </w:rPr>
            </w:pPr>
            <w:r w:rsidRPr="009E116E">
              <w:rPr>
                <w:sz w:val="18"/>
                <w:szCs w:val="18"/>
              </w:rPr>
              <w:t>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57B6C546" w14:textId="25F4D634" w:rsidR="005D0BA3" w:rsidRPr="009E116E" w:rsidRDefault="005D0BA3" w:rsidP="009E116E">
            <w:pPr>
              <w:pStyle w:val="ExhibitText"/>
              <w:jc w:val="right"/>
              <w:rPr>
                <w:sz w:val="18"/>
                <w:szCs w:val="18"/>
              </w:rPr>
            </w:pPr>
            <w:r w:rsidRPr="009E116E">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19BAFC47" w14:textId="77777777" w:rsidR="005D0BA3" w:rsidRPr="009E116E" w:rsidRDefault="005D0BA3" w:rsidP="009E116E">
            <w:pPr>
              <w:pStyle w:val="ExhibitText"/>
              <w:jc w:val="right"/>
              <w:rPr>
                <w:sz w:val="18"/>
                <w:szCs w:val="18"/>
              </w:rPr>
            </w:pPr>
            <w:r w:rsidRPr="009E116E">
              <w:rPr>
                <w:sz w:val="18"/>
                <w:szCs w:val="18"/>
              </w:rPr>
              <w:t>180</w:t>
            </w:r>
          </w:p>
        </w:tc>
        <w:tc>
          <w:tcPr>
            <w:tcW w:w="929" w:type="dxa"/>
            <w:tcBorders>
              <w:top w:val="single" w:sz="4" w:space="0" w:color="auto"/>
              <w:left w:val="single" w:sz="4" w:space="0" w:color="auto"/>
              <w:bottom w:val="single" w:sz="4" w:space="0" w:color="auto"/>
              <w:right w:val="single" w:sz="4" w:space="0" w:color="auto"/>
            </w:tcBorders>
            <w:vAlign w:val="center"/>
            <w:hideMark/>
          </w:tcPr>
          <w:p w14:paraId="356CEE36" w14:textId="3CCA6115" w:rsidR="005D0BA3" w:rsidRPr="009E116E" w:rsidRDefault="005D0BA3" w:rsidP="009E116E">
            <w:pPr>
              <w:pStyle w:val="ExhibitText"/>
              <w:jc w:val="right"/>
              <w:rPr>
                <w:sz w:val="18"/>
                <w:szCs w:val="18"/>
              </w:rPr>
            </w:pPr>
            <w:r w:rsidRPr="009E116E">
              <w:rPr>
                <w:sz w:val="18"/>
                <w:szCs w:val="18"/>
              </w:rPr>
              <w:t>1</w:t>
            </w:r>
            <w:r w:rsidR="00E31345">
              <w:rPr>
                <w:sz w:val="18"/>
                <w:szCs w:val="18"/>
              </w:rPr>
              <w:t>,</w:t>
            </w:r>
            <w:r w:rsidRPr="009E116E">
              <w:rPr>
                <w:sz w:val="18"/>
                <w:szCs w:val="18"/>
              </w:rPr>
              <w:t>500</w:t>
            </w:r>
          </w:p>
        </w:tc>
      </w:tr>
      <w:tr w:rsidR="006C1C7E" w:rsidRPr="009E116E" w14:paraId="6BF54F65"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7812AB72" w14:textId="77777777" w:rsidR="006C1C7E" w:rsidRPr="009E116E" w:rsidRDefault="006C1C7E" w:rsidP="00B71A15">
            <w:pPr>
              <w:pStyle w:val="ExhibitText"/>
              <w:jc w:val="left"/>
              <w:rPr>
                <w:sz w:val="18"/>
                <w:szCs w:val="18"/>
              </w:rPr>
            </w:pPr>
            <w:r w:rsidRPr="009E116E">
              <w:rPr>
                <w:sz w:val="18"/>
                <w:szCs w:val="18"/>
              </w:rPr>
              <w:t>Port-de-</w:t>
            </w:r>
            <w:proofErr w:type="spellStart"/>
            <w:r w:rsidRPr="009E116E">
              <w:rPr>
                <w:sz w:val="18"/>
                <w:szCs w:val="18"/>
              </w:rPr>
              <w:t>Paix</w:t>
            </w:r>
            <w:proofErr w:type="spellEnd"/>
          </w:p>
        </w:tc>
        <w:tc>
          <w:tcPr>
            <w:tcW w:w="1087" w:type="dxa"/>
            <w:tcBorders>
              <w:top w:val="single" w:sz="4" w:space="0" w:color="auto"/>
              <w:left w:val="single" w:sz="4" w:space="0" w:color="auto"/>
              <w:bottom w:val="single" w:sz="4" w:space="0" w:color="auto"/>
              <w:right w:val="single" w:sz="4" w:space="0" w:color="auto"/>
            </w:tcBorders>
            <w:vAlign w:val="center"/>
            <w:hideMark/>
          </w:tcPr>
          <w:p w14:paraId="7F481D03" w14:textId="3AFB3474" w:rsidR="006C1C7E" w:rsidRPr="009E116E" w:rsidRDefault="006C1C7E" w:rsidP="00B71A15">
            <w:pPr>
              <w:pStyle w:val="ExhibitText"/>
              <w:jc w:val="right"/>
              <w:rPr>
                <w:sz w:val="18"/>
                <w:szCs w:val="18"/>
              </w:rPr>
            </w:pPr>
            <w:r w:rsidRPr="009E116E">
              <w:rPr>
                <w:sz w:val="18"/>
                <w:szCs w:val="18"/>
              </w:rPr>
              <w:t>185</w:t>
            </w:r>
            <w:r>
              <w:rPr>
                <w:sz w:val="18"/>
                <w:szCs w:val="18"/>
              </w:rPr>
              <w:t>,</w:t>
            </w:r>
            <w:r w:rsidRPr="009E116E">
              <w:rPr>
                <w:sz w:val="18"/>
                <w:szCs w:val="18"/>
              </w:rPr>
              <w:t>494</w:t>
            </w:r>
          </w:p>
        </w:tc>
        <w:tc>
          <w:tcPr>
            <w:tcW w:w="922" w:type="dxa"/>
            <w:tcBorders>
              <w:top w:val="single" w:sz="4" w:space="0" w:color="auto"/>
              <w:left w:val="single" w:sz="4" w:space="0" w:color="auto"/>
              <w:bottom w:val="single" w:sz="4" w:space="0" w:color="auto"/>
              <w:right w:val="single" w:sz="4" w:space="0" w:color="auto"/>
            </w:tcBorders>
            <w:vAlign w:val="center"/>
            <w:hideMark/>
          </w:tcPr>
          <w:p w14:paraId="0C8DEBD0" w14:textId="5218071A" w:rsidR="006C1C7E" w:rsidRPr="009E116E" w:rsidRDefault="006C1C7E" w:rsidP="00B71A15">
            <w:pPr>
              <w:pStyle w:val="ExhibitText"/>
              <w:jc w:val="right"/>
              <w:rPr>
                <w:sz w:val="18"/>
                <w:szCs w:val="18"/>
              </w:rPr>
            </w:pPr>
            <w:r w:rsidRPr="009E116E">
              <w:rPr>
                <w:sz w:val="18"/>
                <w:szCs w:val="18"/>
              </w:rPr>
              <w:t>84</w:t>
            </w:r>
            <w:r>
              <w:rPr>
                <w:sz w:val="18"/>
                <w:szCs w:val="18"/>
              </w:rPr>
              <w:t>,</w:t>
            </w:r>
            <w:r w:rsidRPr="009E116E">
              <w:rPr>
                <w:sz w:val="18"/>
                <w:szCs w:val="18"/>
              </w:rPr>
              <w:t>415</w:t>
            </w:r>
          </w:p>
        </w:tc>
        <w:tc>
          <w:tcPr>
            <w:tcW w:w="923" w:type="dxa"/>
            <w:tcBorders>
              <w:top w:val="single" w:sz="4" w:space="0" w:color="auto"/>
              <w:left w:val="single" w:sz="4" w:space="0" w:color="auto"/>
              <w:bottom w:val="single" w:sz="4" w:space="0" w:color="auto"/>
              <w:right w:val="single" w:sz="4" w:space="0" w:color="auto"/>
            </w:tcBorders>
            <w:vAlign w:val="center"/>
            <w:hideMark/>
          </w:tcPr>
          <w:p w14:paraId="3B9C3772" w14:textId="7ED55CCA" w:rsidR="006C1C7E" w:rsidRPr="009E116E" w:rsidRDefault="006C1C7E" w:rsidP="00B71A15">
            <w:pPr>
              <w:pStyle w:val="ExhibitText"/>
              <w:jc w:val="right"/>
              <w:rPr>
                <w:sz w:val="18"/>
                <w:szCs w:val="18"/>
              </w:rPr>
            </w:pPr>
            <w:r w:rsidRPr="009E116E">
              <w:rPr>
                <w:sz w:val="18"/>
                <w:szCs w:val="18"/>
              </w:rPr>
              <w:t>37</w:t>
            </w:r>
            <w:r>
              <w:rPr>
                <w:sz w:val="18"/>
                <w:szCs w:val="18"/>
              </w:rPr>
              <w:t>,</w:t>
            </w:r>
            <w:r w:rsidRPr="009E116E">
              <w:rPr>
                <w:sz w:val="18"/>
                <w:szCs w:val="18"/>
              </w:rPr>
              <w:t>095</w:t>
            </w:r>
          </w:p>
        </w:tc>
        <w:tc>
          <w:tcPr>
            <w:tcW w:w="922" w:type="dxa"/>
            <w:tcBorders>
              <w:top w:val="single" w:sz="4" w:space="0" w:color="auto"/>
              <w:left w:val="single" w:sz="4" w:space="0" w:color="auto"/>
              <w:bottom w:val="single" w:sz="4" w:space="0" w:color="auto"/>
              <w:right w:val="single" w:sz="4" w:space="0" w:color="auto"/>
            </w:tcBorders>
            <w:vAlign w:val="center"/>
            <w:hideMark/>
          </w:tcPr>
          <w:p w14:paraId="7307E2AF" w14:textId="5A55A43F" w:rsidR="006C1C7E" w:rsidRPr="009E116E" w:rsidRDefault="006C1C7E" w:rsidP="00B71A15">
            <w:pPr>
              <w:pStyle w:val="ExhibitText"/>
              <w:jc w:val="right"/>
              <w:rPr>
                <w:sz w:val="18"/>
                <w:szCs w:val="18"/>
              </w:rPr>
            </w:pPr>
            <w:r w:rsidRPr="009E116E">
              <w:rPr>
                <w:sz w:val="18"/>
                <w:szCs w:val="18"/>
              </w:rPr>
              <w:t>35</w:t>
            </w:r>
            <w:r>
              <w:rPr>
                <w:sz w:val="18"/>
                <w:szCs w:val="18"/>
              </w:rPr>
              <w:t>2</w:t>
            </w:r>
          </w:p>
        </w:tc>
        <w:tc>
          <w:tcPr>
            <w:tcW w:w="923" w:type="dxa"/>
            <w:tcBorders>
              <w:top w:val="single" w:sz="4" w:space="0" w:color="auto"/>
              <w:left w:val="single" w:sz="4" w:space="0" w:color="auto"/>
              <w:bottom w:val="single" w:sz="4" w:space="0" w:color="auto"/>
              <w:right w:val="single" w:sz="4" w:space="0" w:color="auto"/>
            </w:tcBorders>
            <w:vAlign w:val="center"/>
            <w:hideMark/>
          </w:tcPr>
          <w:p w14:paraId="10903E5A" w14:textId="77777777" w:rsidR="006C1C7E" w:rsidRPr="009E116E" w:rsidRDefault="006C1C7E" w:rsidP="00B71A15">
            <w:pPr>
              <w:pStyle w:val="ExhibitText"/>
              <w:jc w:val="right"/>
              <w:rPr>
                <w:sz w:val="18"/>
                <w:szCs w:val="18"/>
              </w:rPr>
            </w:pPr>
            <w:r w:rsidRPr="009E116E">
              <w:rPr>
                <w:sz w:val="18"/>
                <w:szCs w:val="18"/>
              </w:rPr>
              <w:t>527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8B4B008" w14:textId="228AF043" w:rsidR="006C1C7E" w:rsidRPr="009E116E" w:rsidRDefault="006C1C7E" w:rsidP="00542316">
            <w:pPr>
              <w:pStyle w:val="ExhibitText"/>
              <w:jc w:val="right"/>
              <w:rPr>
                <w:sz w:val="18"/>
                <w:szCs w:val="18"/>
              </w:rPr>
            </w:pPr>
            <w:proofErr w:type="spellStart"/>
            <w:r w:rsidRPr="009E116E">
              <w:rPr>
                <w:sz w:val="18"/>
                <w:szCs w:val="18"/>
              </w:rPr>
              <w:t>Thermo</w:t>
            </w:r>
            <w:proofErr w:type="spellEnd"/>
            <w:r>
              <w:rPr>
                <w:sz w:val="18"/>
                <w:szCs w:val="18"/>
              </w:rPr>
              <w:t> </w:t>
            </w:r>
            <w:r w:rsidRPr="009E116E">
              <w:rPr>
                <w:sz w:val="18"/>
                <w:szCs w:val="18"/>
              </w:rPr>
              <w:t>D</w:t>
            </w:r>
          </w:p>
        </w:tc>
        <w:tc>
          <w:tcPr>
            <w:tcW w:w="838" w:type="dxa"/>
            <w:tcBorders>
              <w:top w:val="single" w:sz="4" w:space="0" w:color="auto"/>
              <w:left w:val="single" w:sz="4" w:space="0" w:color="auto"/>
              <w:bottom w:val="single" w:sz="4" w:space="0" w:color="auto"/>
              <w:right w:val="single" w:sz="4" w:space="0" w:color="auto"/>
            </w:tcBorders>
            <w:vAlign w:val="center"/>
            <w:hideMark/>
          </w:tcPr>
          <w:p w14:paraId="16D1D244" w14:textId="77777777" w:rsidR="006C1C7E" w:rsidRPr="009E116E" w:rsidRDefault="006C1C7E" w:rsidP="00B71A15">
            <w:pPr>
              <w:pStyle w:val="ExhibitText"/>
              <w:jc w:val="right"/>
              <w:rPr>
                <w:sz w:val="18"/>
                <w:szCs w:val="18"/>
              </w:rPr>
            </w:pPr>
            <w:r w:rsidRPr="009E116E">
              <w:rPr>
                <w:sz w:val="18"/>
                <w:szCs w:val="18"/>
              </w:rPr>
              <w:t>2.5</w:t>
            </w:r>
            <w:r>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0A7C2664" w14:textId="77777777" w:rsidR="006C1C7E" w:rsidRPr="009E116E" w:rsidRDefault="006C1C7E" w:rsidP="00B71A15">
            <w:pPr>
              <w:pStyle w:val="ExhibitText"/>
              <w:jc w:val="right"/>
              <w:rPr>
                <w:sz w:val="18"/>
                <w:szCs w:val="18"/>
              </w:rPr>
            </w:pPr>
            <w:r w:rsidRPr="009E116E">
              <w:rPr>
                <w:sz w:val="18"/>
                <w:szCs w:val="18"/>
              </w:rPr>
              <w:t>1.0</w:t>
            </w:r>
            <w:r>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57D979D5" w14:textId="77777777" w:rsidR="006C1C7E" w:rsidRPr="009E116E" w:rsidRDefault="006C1C7E" w:rsidP="00B71A15">
            <w:pPr>
              <w:pStyle w:val="ExhibitText"/>
              <w:jc w:val="right"/>
              <w:rPr>
                <w:sz w:val="18"/>
                <w:szCs w:val="18"/>
              </w:rPr>
            </w:pPr>
            <w:r w:rsidRPr="009E116E">
              <w:rPr>
                <w:sz w:val="18"/>
                <w:szCs w:val="18"/>
              </w:rPr>
              <w:t>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4D23C05D" w14:textId="472FF8FB" w:rsidR="006C1C7E" w:rsidRPr="009E116E" w:rsidRDefault="006C1C7E" w:rsidP="00B71A15">
            <w:pPr>
              <w:pStyle w:val="ExhibitText"/>
              <w:jc w:val="right"/>
              <w:rPr>
                <w:sz w:val="18"/>
                <w:szCs w:val="18"/>
              </w:rPr>
            </w:pPr>
            <w:r w:rsidRPr="009E116E">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6F977D69" w14:textId="77777777" w:rsidR="006C1C7E" w:rsidRPr="009E116E" w:rsidRDefault="006C1C7E" w:rsidP="00B71A15">
            <w:pPr>
              <w:pStyle w:val="ExhibitText"/>
              <w:jc w:val="right"/>
              <w:rPr>
                <w:sz w:val="18"/>
                <w:szCs w:val="18"/>
              </w:rPr>
            </w:pPr>
            <w:r w:rsidRPr="009E116E">
              <w:rPr>
                <w:sz w:val="18"/>
                <w:szCs w:val="18"/>
              </w:rPr>
              <w:t>668</w:t>
            </w:r>
          </w:p>
        </w:tc>
        <w:tc>
          <w:tcPr>
            <w:tcW w:w="929" w:type="dxa"/>
            <w:tcBorders>
              <w:top w:val="single" w:sz="4" w:space="0" w:color="auto"/>
              <w:left w:val="single" w:sz="4" w:space="0" w:color="auto"/>
              <w:bottom w:val="single" w:sz="4" w:space="0" w:color="auto"/>
              <w:right w:val="single" w:sz="4" w:space="0" w:color="auto"/>
            </w:tcBorders>
            <w:vAlign w:val="center"/>
            <w:hideMark/>
          </w:tcPr>
          <w:p w14:paraId="21B305E1" w14:textId="166F8955" w:rsidR="006C1C7E" w:rsidRPr="009E116E" w:rsidRDefault="006C1C7E" w:rsidP="00B71A15">
            <w:pPr>
              <w:pStyle w:val="ExhibitText"/>
              <w:jc w:val="right"/>
              <w:rPr>
                <w:sz w:val="18"/>
                <w:szCs w:val="18"/>
              </w:rPr>
            </w:pPr>
            <w:r w:rsidRPr="009E116E">
              <w:rPr>
                <w:sz w:val="18"/>
                <w:szCs w:val="18"/>
              </w:rPr>
              <w:t>2</w:t>
            </w:r>
            <w:r>
              <w:rPr>
                <w:sz w:val="18"/>
                <w:szCs w:val="18"/>
              </w:rPr>
              <w:t>,</w:t>
            </w:r>
            <w:r w:rsidRPr="009E116E">
              <w:rPr>
                <w:sz w:val="18"/>
                <w:szCs w:val="18"/>
              </w:rPr>
              <w:t>000</w:t>
            </w:r>
          </w:p>
        </w:tc>
      </w:tr>
      <w:tr w:rsidR="00DB5A0C" w:rsidRPr="009E116E" w14:paraId="1DF72BBD" w14:textId="77777777" w:rsidTr="00174436">
        <w:trPr>
          <w:trHeight w:val="360"/>
          <w:jc w:val="center"/>
        </w:trPr>
        <w:tc>
          <w:tcPr>
            <w:tcW w:w="1616" w:type="dxa"/>
            <w:tcBorders>
              <w:top w:val="single" w:sz="4" w:space="0" w:color="auto"/>
              <w:left w:val="single" w:sz="4" w:space="0" w:color="auto"/>
              <w:bottom w:val="single" w:sz="4" w:space="0" w:color="auto"/>
              <w:right w:val="single" w:sz="4" w:space="0" w:color="auto"/>
            </w:tcBorders>
            <w:vAlign w:val="center"/>
            <w:hideMark/>
          </w:tcPr>
          <w:p w14:paraId="79C05315" w14:textId="4FF38C8D" w:rsidR="005D0BA3" w:rsidRPr="009E116E" w:rsidRDefault="005D0BA3">
            <w:pPr>
              <w:pStyle w:val="ExhibitText"/>
              <w:jc w:val="left"/>
              <w:rPr>
                <w:sz w:val="18"/>
                <w:szCs w:val="18"/>
              </w:rPr>
            </w:pPr>
            <w:r w:rsidRPr="009E116E">
              <w:rPr>
                <w:sz w:val="18"/>
                <w:szCs w:val="18"/>
              </w:rPr>
              <w:t>S</w:t>
            </w:r>
            <w:r w:rsidR="003001CD">
              <w:rPr>
                <w:sz w:val="18"/>
                <w:szCs w:val="18"/>
              </w:rPr>
              <w:t>aint-</w:t>
            </w:r>
            <w:r w:rsidRPr="009E116E">
              <w:rPr>
                <w:sz w:val="18"/>
                <w:szCs w:val="18"/>
              </w:rPr>
              <w:t>Louis</w:t>
            </w:r>
            <w:r w:rsidR="003001CD">
              <w:rPr>
                <w:sz w:val="18"/>
                <w:szCs w:val="18"/>
              </w:rPr>
              <w:t>-</w:t>
            </w:r>
            <w:r w:rsidRPr="009E116E">
              <w:rPr>
                <w:sz w:val="18"/>
                <w:szCs w:val="18"/>
              </w:rPr>
              <w:t>du</w:t>
            </w:r>
            <w:r w:rsidR="003001CD">
              <w:rPr>
                <w:sz w:val="18"/>
                <w:szCs w:val="18"/>
              </w:rPr>
              <w:t>-</w:t>
            </w:r>
            <w:r w:rsidRPr="009E116E">
              <w:rPr>
                <w:sz w:val="18"/>
                <w:szCs w:val="18"/>
              </w:rPr>
              <w:t>Nord</w:t>
            </w:r>
          </w:p>
        </w:tc>
        <w:tc>
          <w:tcPr>
            <w:tcW w:w="1087" w:type="dxa"/>
            <w:tcBorders>
              <w:top w:val="single" w:sz="4" w:space="0" w:color="auto"/>
              <w:left w:val="single" w:sz="4" w:space="0" w:color="auto"/>
              <w:bottom w:val="single" w:sz="4" w:space="0" w:color="auto"/>
              <w:right w:val="single" w:sz="4" w:space="0" w:color="auto"/>
            </w:tcBorders>
            <w:vAlign w:val="center"/>
            <w:hideMark/>
          </w:tcPr>
          <w:p w14:paraId="6240518D" w14:textId="4D63E8AB" w:rsidR="005D0BA3" w:rsidRPr="009E116E" w:rsidRDefault="005D0BA3" w:rsidP="009E116E">
            <w:pPr>
              <w:pStyle w:val="ExhibitText"/>
              <w:jc w:val="right"/>
              <w:rPr>
                <w:sz w:val="18"/>
                <w:szCs w:val="18"/>
              </w:rPr>
            </w:pPr>
            <w:r w:rsidRPr="009E116E">
              <w:rPr>
                <w:sz w:val="18"/>
                <w:szCs w:val="18"/>
              </w:rPr>
              <w:t>105</w:t>
            </w:r>
            <w:r w:rsidR="00E31345">
              <w:rPr>
                <w:sz w:val="18"/>
                <w:szCs w:val="18"/>
              </w:rPr>
              <w:t>,</w:t>
            </w:r>
            <w:r w:rsidRPr="009E116E">
              <w:rPr>
                <w:sz w:val="18"/>
                <w:szCs w:val="18"/>
              </w:rPr>
              <w:t>808</w:t>
            </w:r>
          </w:p>
        </w:tc>
        <w:tc>
          <w:tcPr>
            <w:tcW w:w="922" w:type="dxa"/>
            <w:tcBorders>
              <w:top w:val="single" w:sz="4" w:space="0" w:color="auto"/>
              <w:left w:val="single" w:sz="4" w:space="0" w:color="auto"/>
              <w:bottom w:val="single" w:sz="4" w:space="0" w:color="auto"/>
              <w:right w:val="single" w:sz="4" w:space="0" w:color="auto"/>
            </w:tcBorders>
            <w:vAlign w:val="center"/>
            <w:hideMark/>
          </w:tcPr>
          <w:p w14:paraId="5885710D" w14:textId="0CE1D419" w:rsidR="005D0BA3" w:rsidRPr="009E116E" w:rsidRDefault="005D0BA3" w:rsidP="009E116E">
            <w:pPr>
              <w:pStyle w:val="ExhibitText"/>
              <w:jc w:val="right"/>
              <w:rPr>
                <w:sz w:val="18"/>
                <w:szCs w:val="18"/>
              </w:rPr>
            </w:pPr>
            <w:r w:rsidRPr="009E116E">
              <w:rPr>
                <w:sz w:val="18"/>
                <w:szCs w:val="18"/>
              </w:rPr>
              <w:t>49</w:t>
            </w:r>
            <w:r w:rsidR="00E31345">
              <w:rPr>
                <w:sz w:val="18"/>
                <w:szCs w:val="18"/>
              </w:rPr>
              <w:t>,</w:t>
            </w:r>
            <w:r w:rsidRPr="009E116E">
              <w:rPr>
                <w:sz w:val="18"/>
                <w:szCs w:val="18"/>
              </w:rPr>
              <w:t>492</w:t>
            </w:r>
          </w:p>
        </w:tc>
        <w:tc>
          <w:tcPr>
            <w:tcW w:w="923" w:type="dxa"/>
            <w:tcBorders>
              <w:top w:val="single" w:sz="4" w:space="0" w:color="auto"/>
              <w:left w:val="single" w:sz="4" w:space="0" w:color="auto"/>
              <w:bottom w:val="single" w:sz="4" w:space="0" w:color="auto"/>
              <w:right w:val="single" w:sz="4" w:space="0" w:color="auto"/>
            </w:tcBorders>
            <w:vAlign w:val="center"/>
            <w:hideMark/>
          </w:tcPr>
          <w:p w14:paraId="124EEFF8" w14:textId="4E926CBE" w:rsidR="005D0BA3" w:rsidRPr="009E116E" w:rsidRDefault="005D0BA3" w:rsidP="009E116E">
            <w:pPr>
              <w:pStyle w:val="ExhibitText"/>
              <w:jc w:val="right"/>
              <w:rPr>
                <w:sz w:val="18"/>
                <w:szCs w:val="18"/>
              </w:rPr>
            </w:pPr>
            <w:r w:rsidRPr="009E116E">
              <w:rPr>
                <w:sz w:val="18"/>
                <w:szCs w:val="18"/>
              </w:rPr>
              <w:t>19</w:t>
            </w:r>
            <w:r w:rsidR="00E31345">
              <w:rPr>
                <w:sz w:val="18"/>
                <w:szCs w:val="18"/>
              </w:rPr>
              <w:t>,</w:t>
            </w:r>
            <w:r w:rsidRPr="009E116E">
              <w:rPr>
                <w:sz w:val="18"/>
                <w:szCs w:val="18"/>
              </w:rPr>
              <w:t>827</w:t>
            </w:r>
          </w:p>
        </w:tc>
        <w:tc>
          <w:tcPr>
            <w:tcW w:w="922" w:type="dxa"/>
            <w:tcBorders>
              <w:top w:val="single" w:sz="4" w:space="0" w:color="auto"/>
              <w:left w:val="single" w:sz="4" w:space="0" w:color="auto"/>
              <w:bottom w:val="single" w:sz="4" w:space="0" w:color="auto"/>
              <w:right w:val="single" w:sz="4" w:space="0" w:color="auto"/>
            </w:tcBorders>
            <w:vAlign w:val="center"/>
            <w:hideMark/>
          </w:tcPr>
          <w:p w14:paraId="7958B450" w14:textId="62628E90" w:rsidR="005D0BA3" w:rsidRPr="009E116E" w:rsidRDefault="005D0BA3" w:rsidP="00D034B2">
            <w:pPr>
              <w:pStyle w:val="ExhibitText"/>
              <w:jc w:val="right"/>
              <w:rPr>
                <w:sz w:val="18"/>
                <w:szCs w:val="18"/>
              </w:rPr>
            </w:pPr>
            <w:r w:rsidRPr="009E116E">
              <w:rPr>
                <w:sz w:val="18"/>
                <w:szCs w:val="18"/>
              </w:rPr>
              <w:t>126</w:t>
            </w:r>
          </w:p>
        </w:tc>
        <w:tc>
          <w:tcPr>
            <w:tcW w:w="923" w:type="dxa"/>
            <w:tcBorders>
              <w:top w:val="single" w:sz="4" w:space="0" w:color="auto"/>
              <w:left w:val="single" w:sz="4" w:space="0" w:color="auto"/>
              <w:bottom w:val="single" w:sz="4" w:space="0" w:color="auto"/>
              <w:right w:val="single" w:sz="4" w:space="0" w:color="auto"/>
            </w:tcBorders>
            <w:vAlign w:val="center"/>
            <w:hideMark/>
          </w:tcPr>
          <w:p w14:paraId="5B0A5C3E" w14:textId="77777777" w:rsidR="005D0BA3" w:rsidRPr="009E116E" w:rsidRDefault="005D0BA3" w:rsidP="009E116E">
            <w:pPr>
              <w:pStyle w:val="ExhibitText"/>
              <w:jc w:val="right"/>
              <w:rPr>
                <w:sz w:val="18"/>
                <w:szCs w:val="18"/>
              </w:rPr>
            </w:pPr>
            <w:r w:rsidRPr="009E116E">
              <w:rPr>
                <w:sz w:val="18"/>
                <w:szCs w:val="18"/>
              </w:rPr>
              <w:t>842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781A80A" w14:textId="77777777" w:rsidR="005D0BA3" w:rsidRPr="009E116E" w:rsidRDefault="005D0BA3" w:rsidP="00542316">
            <w:pPr>
              <w:pStyle w:val="ExhibitText"/>
              <w:jc w:val="right"/>
              <w:rPr>
                <w:sz w:val="18"/>
                <w:szCs w:val="18"/>
              </w:rPr>
            </w:pPr>
            <w:r w:rsidRPr="009E116E">
              <w:rPr>
                <w:sz w:val="18"/>
                <w:szCs w:val="18"/>
              </w:rPr>
              <w:t>-</w:t>
            </w:r>
          </w:p>
        </w:tc>
        <w:tc>
          <w:tcPr>
            <w:tcW w:w="838" w:type="dxa"/>
            <w:tcBorders>
              <w:top w:val="single" w:sz="4" w:space="0" w:color="auto"/>
              <w:left w:val="single" w:sz="4" w:space="0" w:color="auto"/>
              <w:bottom w:val="single" w:sz="4" w:space="0" w:color="auto"/>
              <w:right w:val="single" w:sz="4" w:space="0" w:color="auto"/>
            </w:tcBorders>
            <w:vAlign w:val="center"/>
            <w:hideMark/>
          </w:tcPr>
          <w:p w14:paraId="04186898"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37714458"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F57B57E" w14:textId="77777777" w:rsidR="005D0BA3" w:rsidRPr="009E116E" w:rsidRDefault="005D0BA3" w:rsidP="009E116E">
            <w:pPr>
              <w:pStyle w:val="ExhibitText"/>
              <w:jc w:val="right"/>
              <w:rPr>
                <w:sz w:val="18"/>
                <w:szCs w:val="18"/>
              </w:rPr>
            </w:pPr>
            <w:r w:rsidRPr="009E116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32DA6E3A"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0C37D8B" w14:textId="77777777" w:rsidR="005D0BA3" w:rsidRPr="009E116E" w:rsidRDefault="005D0BA3" w:rsidP="009E116E">
            <w:pPr>
              <w:pStyle w:val="ExhibitText"/>
              <w:jc w:val="right"/>
              <w:rPr>
                <w:sz w:val="18"/>
                <w:szCs w:val="18"/>
              </w:rPr>
            </w:pPr>
            <w:r w:rsidRPr="009E116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66B3E222" w14:textId="77777777" w:rsidR="005D0BA3" w:rsidRPr="009E116E" w:rsidRDefault="005D0BA3" w:rsidP="009E116E">
            <w:pPr>
              <w:pStyle w:val="ExhibitText"/>
              <w:jc w:val="right"/>
              <w:rPr>
                <w:sz w:val="18"/>
                <w:szCs w:val="18"/>
              </w:rPr>
            </w:pPr>
            <w:r w:rsidRPr="009E116E">
              <w:rPr>
                <w:sz w:val="18"/>
                <w:szCs w:val="18"/>
              </w:rPr>
              <w:t>-</w:t>
            </w:r>
          </w:p>
        </w:tc>
      </w:tr>
    </w:tbl>
    <w:p w14:paraId="6702870E" w14:textId="77777777" w:rsidR="005D0BA3" w:rsidRPr="005630DE" w:rsidRDefault="005D0BA3" w:rsidP="005D0BA3"/>
    <w:p w14:paraId="46DC144C" w14:textId="2394D934" w:rsidR="00D034B2" w:rsidRDefault="003307BA" w:rsidP="005D0BA3">
      <w:pPr>
        <w:pStyle w:val="Footnote"/>
      </w:pPr>
      <w:r>
        <w:t xml:space="preserve">Note: </w:t>
      </w:r>
      <w:r w:rsidR="001515D8">
        <w:t xml:space="preserve">EDH = </w:t>
      </w:r>
      <w:proofErr w:type="spellStart"/>
      <w:r w:rsidR="001515D8">
        <w:t>Électricité</w:t>
      </w:r>
      <w:proofErr w:type="spellEnd"/>
      <w:r w:rsidR="001515D8">
        <w:t xml:space="preserve"> </w:t>
      </w:r>
      <w:proofErr w:type="spellStart"/>
      <w:r w:rsidR="001515D8">
        <w:t>d’Haïti</w:t>
      </w:r>
      <w:proofErr w:type="spellEnd"/>
      <w:r>
        <w:t xml:space="preserve">; </w:t>
      </w:r>
      <w:proofErr w:type="gramStart"/>
      <w:r>
        <w:t>gal</w:t>
      </w:r>
      <w:proofErr w:type="gramEnd"/>
      <w:r>
        <w:t xml:space="preserve">. = </w:t>
      </w:r>
      <w:r w:rsidR="00A60C13">
        <w:t xml:space="preserve">U.S. liquid </w:t>
      </w:r>
      <w:r>
        <w:t>gallons; km</w:t>
      </w:r>
      <w:r w:rsidRPr="00542316">
        <w:rPr>
          <w:vertAlign w:val="superscript"/>
        </w:rPr>
        <w:t>2</w:t>
      </w:r>
      <w:r>
        <w:t xml:space="preserve"> = </w:t>
      </w:r>
      <w:r w:rsidR="001515D8">
        <w:t>square kilometre</w:t>
      </w:r>
      <w:r>
        <w:t xml:space="preserve">; </w:t>
      </w:r>
      <w:r w:rsidR="001515D8">
        <w:t>MWh</w:t>
      </w:r>
      <w:r>
        <w:t xml:space="preserve"> = </w:t>
      </w:r>
      <w:r w:rsidR="001515D8">
        <w:t>megawatt-hour</w:t>
      </w:r>
      <w:r>
        <w:t xml:space="preserve">; </w:t>
      </w:r>
      <w:proofErr w:type="spellStart"/>
      <w:r w:rsidR="00153EB4">
        <w:t>Thermo</w:t>
      </w:r>
      <w:proofErr w:type="spellEnd"/>
      <w:r w:rsidR="00153EB4">
        <w:t xml:space="preserve"> </w:t>
      </w:r>
      <w:r w:rsidR="00D75FCD">
        <w:t xml:space="preserve">G </w:t>
      </w:r>
      <w:r w:rsidR="00153EB4">
        <w:t xml:space="preserve">= Gasoline, </w:t>
      </w:r>
      <w:proofErr w:type="spellStart"/>
      <w:r w:rsidR="00153EB4">
        <w:t>Thermo</w:t>
      </w:r>
      <w:proofErr w:type="spellEnd"/>
      <w:r w:rsidR="00153EB4">
        <w:t xml:space="preserve"> H = Heavy Fuel Oil, </w:t>
      </w:r>
      <w:proofErr w:type="spellStart"/>
      <w:r w:rsidR="00153EB4">
        <w:t>Thermo</w:t>
      </w:r>
      <w:proofErr w:type="spellEnd"/>
      <w:r w:rsidR="00153EB4">
        <w:t xml:space="preserve"> D = Diesel, </w:t>
      </w:r>
      <w:proofErr w:type="spellStart"/>
      <w:r w:rsidR="00153EB4">
        <w:t>Thermo</w:t>
      </w:r>
      <w:proofErr w:type="spellEnd"/>
      <w:r w:rsidR="00153EB4">
        <w:t xml:space="preserve"> M = Mixed.</w:t>
      </w:r>
    </w:p>
    <w:p w14:paraId="229E8B72" w14:textId="5FFF0296" w:rsidR="00B07DD4" w:rsidRDefault="005D0BA3" w:rsidP="00A90A69">
      <w:pPr>
        <w:pStyle w:val="Footnote"/>
      </w:pPr>
      <w:r w:rsidRPr="005630DE">
        <w:t>Source:</w:t>
      </w:r>
      <w:r w:rsidR="003001CD">
        <w:t xml:space="preserve"> </w:t>
      </w:r>
      <w:r w:rsidRPr="005630DE">
        <w:t>Government</w:t>
      </w:r>
      <w:r w:rsidR="003001CD">
        <w:t xml:space="preserve"> </w:t>
      </w:r>
      <w:r w:rsidRPr="005630DE">
        <w:t>of</w:t>
      </w:r>
      <w:r w:rsidR="003001CD">
        <w:t xml:space="preserve"> </w:t>
      </w:r>
      <w:r w:rsidR="00E524BD">
        <w:t>Haiti, Department of Energy Security.</w:t>
      </w:r>
      <w:r w:rsidR="00B07DD4" w:rsidRPr="005630DE">
        <w:br w:type="page"/>
      </w:r>
    </w:p>
    <w:p w14:paraId="0280DAB6" w14:textId="5C4DF7A4" w:rsidR="00202FC2" w:rsidRDefault="00202FC2" w:rsidP="00202FC2">
      <w:pPr>
        <w:pStyle w:val="ExhibitHeading"/>
        <w:outlineLvl w:val="0"/>
      </w:pPr>
      <w:r w:rsidRPr="005630DE">
        <w:lastRenderedPageBreak/>
        <w:t xml:space="preserve">Exhibit </w:t>
      </w:r>
      <w:r w:rsidRPr="005630DE">
        <w:fldChar w:fldCharType="begin"/>
      </w:r>
      <w:r w:rsidRPr="005630DE">
        <w:instrText xml:space="preserve"> SEQ Exhibit \* ARABIC </w:instrText>
      </w:r>
      <w:r w:rsidRPr="005630DE">
        <w:fldChar w:fldCharType="separate"/>
      </w:r>
      <w:r w:rsidR="00BB6432">
        <w:rPr>
          <w:noProof/>
        </w:rPr>
        <w:t>3</w:t>
      </w:r>
      <w:r w:rsidRPr="005630DE">
        <w:fldChar w:fldCharType="end"/>
      </w:r>
      <w:r w:rsidRPr="005630DE">
        <w:t xml:space="preserve">: The </w:t>
      </w:r>
      <w:r w:rsidR="001456A2">
        <w:t>Central Region</w:t>
      </w:r>
    </w:p>
    <w:p w14:paraId="24531AA9" w14:textId="77777777" w:rsidR="00202FC2" w:rsidRPr="005630DE" w:rsidRDefault="00202FC2" w:rsidP="00202FC2">
      <w:pPr>
        <w:pStyle w:val="ExhibitText"/>
      </w:pPr>
    </w:p>
    <w:p w14:paraId="2332951F" w14:textId="77777777" w:rsidR="00202FC2" w:rsidRPr="00E31345" w:rsidRDefault="00202FC2" w:rsidP="00202FC2">
      <w:pPr>
        <w:pStyle w:val="ExhibitText"/>
        <w:sectPr w:rsidR="00202FC2" w:rsidRPr="00E31345" w:rsidSect="00202FC2">
          <w:headerReference w:type="default" r:id="rId13"/>
          <w:endnotePr>
            <w:numFmt w:val="decimal"/>
          </w:endnotePr>
          <w:type w:val="continuous"/>
          <w:pgSz w:w="15840" w:h="12240" w:orient="landscape"/>
          <w:pgMar w:top="1440" w:right="1440" w:bottom="1440" w:left="1440" w:header="1080" w:footer="720" w:gutter="0"/>
          <w:cols w:space="720"/>
          <w:docGrid w:linePitch="360"/>
        </w:sectPr>
      </w:pPr>
    </w:p>
    <w:p w14:paraId="1F1F63C6" w14:textId="7A02B6C2" w:rsidR="00B71A15" w:rsidRDefault="001456A2" w:rsidP="00202FC2">
      <w:pPr>
        <w:pStyle w:val="ExhibitText"/>
        <w:jc w:val="left"/>
        <w:rPr>
          <w:sz w:val="18"/>
          <w:szCs w:val="18"/>
        </w:rPr>
      </w:pPr>
      <w:r w:rsidRPr="00542316">
        <w:rPr>
          <w:b/>
          <w:bCs/>
          <w:sz w:val="18"/>
          <w:szCs w:val="18"/>
        </w:rPr>
        <w:t>Tourism</w:t>
      </w:r>
      <w:r w:rsidRPr="001456A2">
        <w:rPr>
          <w:sz w:val="18"/>
          <w:szCs w:val="18"/>
        </w:rPr>
        <w:t>: Potential for 50</w:t>
      </w:r>
      <w:r w:rsidR="00B71A15">
        <w:rPr>
          <w:sz w:val="18"/>
          <w:szCs w:val="18"/>
        </w:rPr>
        <w:t>,000 t</w:t>
      </w:r>
      <w:r w:rsidRPr="001456A2">
        <w:rPr>
          <w:sz w:val="18"/>
          <w:szCs w:val="18"/>
        </w:rPr>
        <w:t>ourists per year</w:t>
      </w:r>
      <w:r w:rsidR="00B71A15">
        <w:rPr>
          <w:sz w:val="18"/>
          <w:szCs w:val="18"/>
        </w:rPr>
        <w:t>;</w:t>
      </w:r>
      <w:r w:rsidRPr="001456A2">
        <w:rPr>
          <w:sz w:val="18"/>
          <w:szCs w:val="18"/>
        </w:rPr>
        <w:t xml:space="preserve"> </w:t>
      </w:r>
      <w:proofErr w:type="spellStart"/>
      <w:r w:rsidRPr="001456A2">
        <w:rPr>
          <w:sz w:val="18"/>
          <w:szCs w:val="18"/>
        </w:rPr>
        <w:t>Bassin</w:t>
      </w:r>
      <w:proofErr w:type="spellEnd"/>
      <w:r w:rsidRPr="001456A2">
        <w:rPr>
          <w:sz w:val="18"/>
          <w:szCs w:val="18"/>
        </w:rPr>
        <w:t xml:space="preserve"> </w:t>
      </w:r>
      <w:proofErr w:type="spellStart"/>
      <w:r w:rsidRPr="001456A2">
        <w:rPr>
          <w:sz w:val="18"/>
          <w:szCs w:val="18"/>
        </w:rPr>
        <w:t>Zim</w:t>
      </w:r>
      <w:proofErr w:type="spellEnd"/>
      <w:r w:rsidRPr="001456A2">
        <w:rPr>
          <w:sz w:val="18"/>
          <w:szCs w:val="18"/>
        </w:rPr>
        <w:t xml:space="preserve"> (</w:t>
      </w:r>
      <w:proofErr w:type="gramStart"/>
      <w:r w:rsidRPr="001456A2">
        <w:rPr>
          <w:sz w:val="18"/>
          <w:szCs w:val="18"/>
        </w:rPr>
        <w:t>20 m</w:t>
      </w:r>
      <w:r w:rsidR="00B71A15">
        <w:rPr>
          <w:sz w:val="18"/>
          <w:szCs w:val="18"/>
        </w:rPr>
        <w:t>etre</w:t>
      </w:r>
      <w:proofErr w:type="gramEnd"/>
      <w:r w:rsidRPr="001456A2">
        <w:rPr>
          <w:sz w:val="18"/>
          <w:szCs w:val="18"/>
        </w:rPr>
        <w:t xml:space="preserve"> waterfall</w:t>
      </w:r>
      <w:r w:rsidR="00B71A15">
        <w:rPr>
          <w:sz w:val="18"/>
          <w:szCs w:val="18"/>
        </w:rPr>
        <w:t>,</w:t>
      </w:r>
      <w:r w:rsidRPr="001456A2">
        <w:rPr>
          <w:sz w:val="18"/>
          <w:szCs w:val="18"/>
        </w:rPr>
        <w:t xml:space="preserve"> beautiful scenery</w:t>
      </w:r>
      <w:r w:rsidR="00B71A15">
        <w:rPr>
          <w:sz w:val="18"/>
          <w:szCs w:val="18"/>
        </w:rPr>
        <w:t>,</w:t>
      </w:r>
      <w:r w:rsidRPr="001456A2">
        <w:rPr>
          <w:sz w:val="18"/>
          <w:szCs w:val="18"/>
        </w:rPr>
        <w:t xml:space="preserve"> and an underground cave network)</w:t>
      </w:r>
      <w:r w:rsidR="00B71A15">
        <w:rPr>
          <w:sz w:val="18"/>
          <w:szCs w:val="18"/>
        </w:rPr>
        <w:t xml:space="preserve">; </w:t>
      </w:r>
      <w:r w:rsidRPr="001456A2">
        <w:rPr>
          <w:sz w:val="18"/>
          <w:szCs w:val="18"/>
        </w:rPr>
        <w:t>Saint-Marc</w:t>
      </w:r>
      <w:r w:rsidR="00B71A15">
        <w:rPr>
          <w:sz w:val="18"/>
          <w:szCs w:val="18"/>
        </w:rPr>
        <w:t xml:space="preserve"> </w:t>
      </w:r>
      <w:r w:rsidRPr="001456A2">
        <w:rPr>
          <w:sz w:val="18"/>
          <w:szCs w:val="18"/>
        </w:rPr>
        <w:t xml:space="preserve">(the </w:t>
      </w:r>
      <w:r w:rsidR="00B71A15">
        <w:rPr>
          <w:sz w:val="18"/>
          <w:szCs w:val="18"/>
        </w:rPr>
        <w:t>lo</w:t>
      </w:r>
      <w:r w:rsidRPr="001456A2">
        <w:rPr>
          <w:sz w:val="18"/>
          <w:szCs w:val="18"/>
        </w:rPr>
        <w:t>cation for some of Haiti’s most popular beach resorts)</w:t>
      </w:r>
    </w:p>
    <w:p w14:paraId="262F78BA" w14:textId="77777777" w:rsidR="00CB3B9E" w:rsidRDefault="00CB3B9E" w:rsidP="00202FC2">
      <w:pPr>
        <w:pStyle w:val="ExhibitText"/>
        <w:jc w:val="left"/>
        <w:rPr>
          <w:b/>
          <w:bCs/>
          <w:sz w:val="18"/>
          <w:szCs w:val="18"/>
        </w:rPr>
      </w:pPr>
    </w:p>
    <w:p w14:paraId="5EF33B91" w14:textId="4D52A3B3" w:rsidR="00CB3B9E" w:rsidRDefault="00B71A15" w:rsidP="00202FC2">
      <w:pPr>
        <w:pStyle w:val="ExhibitText"/>
        <w:jc w:val="left"/>
        <w:rPr>
          <w:sz w:val="18"/>
          <w:szCs w:val="18"/>
        </w:rPr>
      </w:pPr>
      <w:r w:rsidRPr="00B71A15">
        <w:rPr>
          <w:b/>
          <w:bCs/>
          <w:sz w:val="18"/>
          <w:szCs w:val="18"/>
        </w:rPr>
        <w:t>Agricultural</w:t>
      </w:r>
      <w:r w:rsidR="001456A2" w:rsidRPr="00B71A15">
        <w:rPr>
          <w:b/>
          <w:bCs/>
          <w:sz w:val="18"/>
          <w:szCs w:val="18"/>
        </w:rPr>
        <w:t xml:space="preserve"> Potential</w:t>
      </w:r>
      <w:r w:rsidR="001456A2" w:rsidRPr="001456A2">
        <w:rPr>
          <w:bCs/>
          <w:sz w:val="18"/>
          <w:szCs w:val="18"/>
        </w:rPr>
        <w:t xml:space="preserve">: </w:t>
      </w:r>
      <w:r w:rsidR="001456A2" w:rsidRPr="001456A2">
        <w:rPr>
          <w:sz w:val="18"/>
          <w:szCs w:val="18"/>
        </w:rPr>
        <w:t>Strong</w:t>
      </w:r>
    </w:p>
    <w:p w14:paraId="0F52A7D3" w14:textId="77777777" w:rsidR="00CB3B9E" w:rsidRDefault="00CB3B9E" w:rsidP="00202FC2">
      <w:pPr>
        <w:pStyle w:val="ExhibitText"/>
        <w:jc w:val="left"/>
        <w:rPr>
          <w:b/>
          <w:bCs/>
          <w:sz w:val="18"/>
          <w:szCs w:val="18"/>
        </w:rPr>
      </w:pPr>
    </w:p>
    <w:p w14:paraId="272C428C" w14:textId="26A94F68" w:rsidR="00CB3B9E" w:rsidRDefault="001456A2" w:rsidP="00202FC2">
      <w:pPr>
        <w:pStyle w:val="ExhibitText"/>
        <w:jc w:val="left"/>
        <w:rPr>
          <w:sz w:val="18"/>
          <w:szCs w:val="18"/>
        </w:rPr>
      </w:pPr>
      <w:r w:rsidRPr="00CB3B9E">
        <w:rPr>
          <w:b/>
          <w:bCs/>
          <w:sz w:val="18"/>
          <w:szCs w:val="18"/>
        </w:rPr>
        <w:t>Geography</w:t>
      </w:r>
      <w:r w:rsidRPr="001456A2">
        <w:rPr>
          <w:bCs/>
          <w:sz w:val="18"/>
          <w:szCs w:val="18"/>
        </w:rPr>
        <w:t xml:space="preserve">: </w:t>
      </w:r>
      <w:r w:rsidRPr="001456A2">
        <w:rPr>
          <w:sz w:val="18"/>
          <w:szCs w:val="18"/>
        </w:rPr>
        <w:t>Adjacent to the central border of Dominican Republic</w:t>
      </w:r>
      <w:r w:rsidR="00CB3B9E">
        <w:rPr>
          <w:sz w:val="18"/>
          <w:szCs w:val="18"/>
        </w:rPr>
        <w:t xml:space="preserve">; </w:t>
      </w:r>
      <w:proofErr w:type="spellStart"/>
      <w:r w:rsidRPr="001456A2">
        <w:rPr>
          <w:sz w:val="18"/>
          <w:szCs w:val="18"/>
        </w:rPr>
        <w:t>Artibonite</w:t>
      </w:r>
      <w:proofErr w:type="spellEnd"/>
      <w:r w:rsidRPr="001456A2">
        <w:rPr>
          <w:sz w:val="18"/>
          <w:szCs w:val="18"/>
        </w:rPr>
        <w:t xml:space="preserve"> River (320 k</w:t>
      </w:r>
      <w:r w:rsidR="00CB3B9E">
        <w:rPr>
          <w:sz w:val="18"/>
          <w:szCs w:val="18"/>
        </w:rPr>
        <w:t>ilo</w:t>
      </w:r>
      <w:r w:rsidRPr="001456A2">
        <w:rPr>
          <w:sz w:val="18"/>
          <w:szCs w:val="18"/>
        </w:rPr>
        <w:t>m</w:t>
      </w:r>
      <w:r w:rsidR="00CB3B9E">
        <w:rPr>
          <w:sz w:val="18"/>
          <w:szCs w:val="18"/>
        </w:rPr>
        <w:t>etre</w:t>
      </w:r>
      <w:r w:rsidR="00705E6C">
        <w:rPr>
          <w:sz w:val="18"/>
          <w:szCs w:val="18"/>
        </w:rPr>
        <w:t>s</w:t>
      </w:r>
      <w:r w:rsidRPr="001456A2">
        <w:rPr>
          <w:sz w:val="18"/>
          <w:szCs w:val="18"/>
        </w:rPr>
        <w:t xml:space="preserve"> long and most important river on the island</w:t>
      </w:r>
      <w:proofErr w:type="gramStart"/>
      <w:r w:rsidRPr="001456A2">
        <w:rPr>
          <w:sz w:val="18"/>
          <w:szCs w:val="18"/>
        </w:rPr>
        <w:t>)</w:t>
      </w:r>
      <w:proofErr w:type="gramEnd"/>
      <w:r w:rsidR="008428F3">
        <w:rPr>
          <w:sz w:val="18"/>
          <w:szCs w:val="18"/>
        </w:rPr>
        <w:br w:type="column"/>
      </w:r>
      <w:r w:rsidRPr="00CB3B9E">
        <w:rPr>
          <w:b/>
          <w:bCs/>
          <w:sz w:val="18"/>
          <w:szCs w:val="18"/>
        </w:rPr>
        <w:t>Infrastructure</w:t>
      </w:r>
      <w:r w:rsidRPr="001456A2">
        <w:rPr>
          <w:bCs/>
          <w:sz w:val="18"/>
          <w:szCs w:val="18"/>
        </w:rPr>
        <w:t xml:space="preserve">: </w:t>
      </w:r>
      <w:r w:rsidRPr="001456A2">
        <w:rPr>
          <w:sz w:val="18"/>
          <w:szCs w:val="18"/>
        </w:rPr>
        <w:t>Port of Gonaives</w:t>
      </w:r>
      <w:r w:rsidR="00D75FCD">
        <w:rPr>
          <w:sz w:val="18"/>
          <w:szCs w:val="18"/>
        </w:rPr>
        <w:t>;</w:t>
      </w:r>
      <w:r w:rsidR="00CB3B9E">
        <w:rPr>
          <w:sz w:val="18"/>
          <w:szCs w:val="18"/>
        </w:rPr>
        <w:t xml:space="preserve"> p</w:t>
      </w:r>
      <w:r w:rsidRPr="001456A2">
        <w:rPr>
          <w:sz w:val="18"/>
          <w:szCs w:val="18"/>
        </w:rPr>
        <w:t>otential for 50 acres of green land to become an</w:t>
      </w:r>
      <w:r w:rsidR="00CB3B9E">
        <w:rPr>
          <w:sz w:val="18"/>
          <w:szCs w:val="18"/>
        </w:rPr>
        <w:t xml:space="preserve"> i</w:t>
      </w:r>
      <w:r w:rsidRPr="001456A2">
        <w:rPr>
          <w:sz w:val="18"/>
          <w:szCs w:val="18"/>
        </w:rPr>
        <w:t>ndustrial</w:t>
      </w:r>
      <w:r w:rsidR="00CB3B9E">
        <w:rPr>
          <w:sz w:val="18"/>
          <w:szCs w:val="18"/>
        </w:rPr>
        <w:t xml:space="preserve"> p</w:t>
      </w:r>
      <w:r w:rsidRPr="001456A2">
        <w:rPr>
          <w:sz w:val="18"/>
          <w:szCs w:val="18"/>
        </w:rPr>
        <w:t>ark</w:t>
      </w:r>
    </w:p>
    <w:p w14:paraId="26471304" w14:textId="77777777" w:rsidR="00CB3B9E" w:rsidRDefault="00CB3B9E" w:rsidP="00202FC2">
      <w:pPr>
        <w:pStyle w:val="ExhibitText"/>
        <w:jc w:val="left"/>
        <w:rPr>
          <w:sz w:val="18"/>
          <w:szCs w:val="18"/>
        </w:rPr>
      </w:pPr>
    </w:p>
    <w:p w14:paraId="11E6B9D9" w14:textId="18009F0E" w:rsidR="00202FC2" w:rsidRPr="001456A2" w:rsidRDefault="001456A2" w:rsidP="00202FC2">
      <w:pPr>
        <w:pStyle w:val="ExhibitText"/>
        <w:jc w:val="left"/>
        <w:rPr>
          <w:sz w:val="18"/>
          <w:szCs w:val="18"/>
        </w:rPr>
        <w:sectPr w:rsidR="00202FC2" w:rsidRPr="001456A2" w:rsidSect="00E31345">
          <w:endnotePr>
            <w:numFmt w:val="decimal"/>
          </w:endnotePr>
          <w:type w:val="continuous"/>
          <w:pgSz w:w="15840" w:h="12240" w:orient="landscape"/>
          <w:pgMar w:top="1440" w:right="1440" w:bottom="1440" w:left="1440" w:header="1080" w:footer="720" w:gutter="0"/>
          <w:cols w:num="2" w:space="720"/>
          <w:docGrid w:linePitch="360"/>
        </w:sectPr>
      </w:pPr>
      <w:r w:rsidRPr="00CB3B9E">
        <w:rPr>
          <w:b/>
          <w:bCs/>
          <w:sz w:val="18"/>
          <w:szCs w:val="18"/>
        </w:rPr>
        <w:t>Unique Energy Aspects</w:t>
      </w:r>
      <w:r w:rsidRPr="001456A2">
        <w:rPr>
          <w:bCs/>
          <w:sz w:val="18"/>
          <w:szCs w:val="18"/>
        </w:rPr>
        <w:t xml:space="preserve">: </w:t>
      </w:r>
      <w:r w:rsidR="00CB3B9E">
        <w:rPr>
          <w:sz w:val="18"/>
          <w:szCs w:val="18"/>
        </w:rPr>
        <w:t>Hydro d</w:t>
      </w:r>
      <w:r w:rsidRPr="001456A2">
        <w:rPr>
          <w:sz w:val="18"/>
          <w:szCs w:val="18"/>
        </w:rPr>
        <w:t>am in</w:t>
      </w:r>
      <w:r w:rsidR="00CB3B9E">
        <w:rPr>
          <w:sz w:val="18"/>
          <w:szCs w:val="18"/>
        </w:rPr>
        <w:t xml:space="preserve"> </w:t>
      </w:r>
      <w:proofErr w:type="spellStart"/>
      <w:r w:rsidR="00CB3B9E">
        <w:rPr>
          <w:sz w:val="18"/>
          <w:szCs w:val="18"/>
        </w:rPr>
        <w:t>Pé</w:t>
      </w:r>
      <w:r w:rsidRPr="001456A2">
        <w:rPr>
          <w:sz w:val="18"/>
          <w:szCs w:val="18"/>
        </w:rPr>
        <w:t>ligre</w:t>
      </w:r>
      <w:proofErr w:type="spellEnd"/>
      <w:r w:rsidRPr="001456A2">
        <w:rPr>
          <w:sz w:val="18"/>
          <w:szCs w:val="18"/>
        </w:rPr>
        <w:t xml:space="preserve"> </w:t>
      </w:r>
      <w:r w:rsidR="00E900AD">
        <w:rPr>
          <w:sz w:val="18"/>
          <w:szCs w:val="18"/>
        </w:rPr>
        <w:t>with a capacity of</w:t>
      </w:r>
      <w:r w:rsidR="00E900AD" w:rsidRPr="001456A2">
        <w:rPr>
          <w:sz w:val="18"/>
          <w:szCs w:val="18"/>
        </w:rPr>
        <w:t xml:space="preserve"> </w:t>
      </w:r>
      <w:r w:rsidRPr="001456A2">
        <w:rPr>
          <w:sz w:val="18"/>
          <w:szCs w:val="18"/>
        </w:rPr>
        <w:t>36</w:t>
      </w:r>
      <w:r w:rsidR="00CB3B9E">
        <w:rPr>
          <w:sz w:val="18"/>
          <w:szCs w:val="18"/>
        </w:rPr>
        <w:t xml:space="preserve"> </w:t>
      </w:r>
      <w:r w:rsidRPr="001456A2">
        <w:rPr>
          <w:sz w:val="18"/>
          <w:szCs w:val="18"/>
        </w:rPr>
        <w:t xml:space="preserve">MW </w:t>
      </w:r>
      <w:r w:rsidR="00E900AD">
        <w:rPr>
          <w:sz w:val="18"/>
          <w:szCs w:val="18"/>
        </w:rPr>
        <w:t>and</w:t>
      </w:r>
      <w:r w:rsidR="00E900AD" w:rsidRPr="001456A2">
        <w:rPr>
          <w:sz w:val="18"/>
          <w:szCs w:val="18"/>
        </w:rPr>
        <w:t xml:space="preserve"> </w:t>
      </w:r>
      <w:r w:rsidRPr="001456A2">
        <w:rPr>
          <w:sz w:val="18"/>
          <w:szCs w:val="18"/>
        </w:rPr>
        <w:t xml:space="preserve">a potential for expansion </w:t>
      </w:r>
      <w:r w:rsidR="00CB3B9E">
        <w:rPr>
          <w:sz w:val="18"/>
          <w:szCs w:val="18"/>
        </w:rPr>
        <w:t xml:space="preserve">ranging </w:t>
      </w:r>
      <w:r w:rsidRPr="001456A2">
        <w:rPr>
          <w:sz w:val="18"/>
          <w:szCs w:val="18"/>
        </w:rPr>
        <w:t>up to 100</w:t>
      </w:r>
      <w:r w:rsidR="00CB3B9E">
        <w:rPr>
          <w:sz w:val="18"/>
          <w:szCs w:val="18"/>
        </w:rPr>
        <w:t xml:space="preserve"> MW; a</w:t>
      </w:r>
      <w:r w:rsidRPr="001456A2">
        <w:rPr>
          <w:sz w:val="18"/>
          <w:szCs w:val="18"/>
        </w:rPr>
        <w:t>verage</w:t>
      </w:r>
      <w:r w:rsidR="00CB3B9E">
        <w:rPr>
          <w:sz w:val="18"/>
          <w:szCs w:val="18"/>
        </w:rPr>
        <w:t xml:space="preserve"> c</w:t>
      </w:r>
      <w:r w:rsidRPr="001456A2">
        <w:rPr>
          <w:sz w:val="18"/>
          <w:szCs w:val="18"/>
        </w:rPr>
        <w:t>onstruction cost of</w:t>
      </w:r>
      <w:r w:rsidR="00CB3B9E">
        <w:rPr>
          <w:sz w:val="18"/>
          <w:szCs w:val="18"/>
        </w:rPr>
        <w:t xml:space="preserve"> h</w:t>
      </w:r>
      <w:r w:rsidRPr="001456A2">
        <w:rPr>
          <w:sz w:val="18"/>
          <w:szCs w:val="18"/>
        </w:rPr>
        <w:t xml:space="preserve">ydroelectricity </w:t>
      </w:r>
      <w:r w:rsidR="00CB3B9E">
        <w:rPr>
          <w:sz w:val="18"/>
          <w:szCs w:val="18"/>
        </w:rPr>
        <w:t>US$</w:t>
      </w:r>
      <w:r w:rsidRPr="001456A2">
        <w:rPr>
          <w:sz w:val="18"/>
          <w:szCs w:val="18"/>
        </w:rPr>
        <w:t>7 million per MW</w:t>
      </w:r>
    </w:p>
    <w:p w14:paraId="5B7474B9" w14:textId="77777777" w:rsidR="00202FC2" w:rsidRPr="005630DE" w:rsidRDefault="00202FC2" w:rsidP="00202FC2">
      <w:pPr>
        <w:pStyle w:val="ExhibitText"/>
      </w:pPr>
    </w:p>
    <w:tbl>
      <w:tblPr>
        <w:tblStyle w:val="TableGrid"/>
        <w:tblW w:w="4998" w:type="pct"/>
        <w:jc w:val="center"/>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263"/>
        <w:gridCol w:w="1026"/>
        <w:gridCol w:w="1026"/>
        <w:gridCol w:w="1026"/>
        <w:gridCol w:w="1026"/>
        <w:gridCol w:w="1026"/>
        <w:gridCol w:w="1080"/>
        <w:gridCol w:w="838"/>
        <w:gridCol w:w="929"/>
        <w:gridCol w:w="929"/>
        <w:gridCol w:w="928"/>
        <w:gridCol w:w="929"/>
        <w:gridCol w:w="929"/>
      </w:tblGrid>
      <w:tr w:rsidR="003B21DA" w:rsidRPr="005233EE" w14:paraId="45B80E7B" w14:textId="77777777" w:rsidTr="00174436">
        <w:trPr>
          <w:cantSplit/>
          <w:trHeight w:val="1529"/>
          <w:jc w:val="center"/>
        </w:trPr>
        <w:tc>
          <w:tcPr>
            <w:tcW w:w="1263" w:type="dxa"/>
            <w:tcBorders>
              <w:top w:val="single" w:sz="4" w:space="0" w:color="auto"/>
              <w:bottom w:val="single" w:sz="4" w:space="0" w:color="auto"/>
            </w:tcBorders>
            <w:vAlign w:val="center"/>
            <w:hideMark/>
          </w:tcPr>
          <w:p w14:paraId="1DAED492" w14:textId="77777777" w:rsidR="00202FC2" w:rsidRPr="005233EE" w:rsidRDefault="00202FC2" w:rsidP="00B71A15">
            <w:pPr>
              <w:pStyle w:val="ExhibitText"/>
              <w:jc w:val="left"/>
              <w:rPr>
                <w:b/>
                <w:sz w:val="18"/>
                <w:szCs w:val="18"/>
              </w:rPr>
            </w:pPr>
            <w:r w:rsidRPr="005233EE">
              <w:rPr>
                <w:b/>
                <w:sz w:val="18"/>
                <w:szCs w:val="18"/>
              </w:rPr>
              <w:t>Description</w:t>
            </w:r>
          </w:p>
        </w:tc>
        <w:tc>
          <w:tcPr>
            <w:tcW w:w="1026" w:type="dxa"/>
            <w:tcBorders>
              <w:top w:val="single" w:sz="4" w:space="0" w:color="auto"/>
              <w:bottom w:val="single" w:sz="4" w:space="0" w:color="auto"/>
            </w:tcBorders>
            <w:textDirection w:val="btLr"/>
            <w:vAlign w:val="bottom"/>
            <w:hideMark/>
          </w:tcPr>
          <w:p w14:paraId="571DA613" w14:textId="487A13BB" w:rsidR="00202FC2" w:rsidRPr="005233EE" w:rsidRDefault="00202FC2" w:rsidP="001456A2">
            <w:pPr>
              <w:pStyle w:val="ExhibitText"/>
              <w:ind w:left="113" w:right="113"/>
              <w:jc w:val="left"/>
              <w:rPr>
                <w:b/>
                <w:sz w:val="18"/>
                <w:szCs w:val="18"/>
              </w:rPr>
            </w:pPr>
            <w:r w:rsidRPr="005233EE">
              <w:rPr>
                <w:b/>
                <w:sz w:val="18"/>
                <w:szCs w:val="18"/>
              </w:rPr>
              <w:t>Total</w:t>
            </w:r>
            <w:r w:rsidR="001456A2">
              <w:rPr>
                <w:b/>
                <w:sz w:val="18"/>
                <w:szCs w:val="18"/>
              </w:rPr>
              <w:t xml:space="preserve"> </w:t>
            </w:r>
            <w:r w:rsidRPr="005233EE">
              <w:rPr>
                <w:b/>
                <w:sz w:val="18"/>
                <w:szCs w:val="18"/>
              </w:rPr>
              <w:t>Population</w:t>
            </w:r>
          </w:p>
        </w:tc>
        <w:tc>
          <w:tcPr>
            <w:tcW w:w="1026" w:type="dxa"/>
            <w:tcBorders>
              <w:top w:val="single" w:sz="4" w:space="0" w:color="auto"/>
              <w:bottom w:val="single" w:sz="4" w:space="0" w:color="auto"/>
            </w:tcBorders>
            <w:textDirection w:val="btLr"/>
            <w:vAlign w:val="bottom"/>
            <w:hideMark/>
          </w:tcPr>
          <w:p w14:paraId="27791A38" w14:textId="0AF52C30" w:rsidR="00202FC2" w:rsidRPr="005233EE" w:rsidRDefault="00202FC2" w:rsidP="00B71A15">
            <w:pPr>
              <w:pStyle w:val="ExhibitText"/>
              <w:ind w:left="113" w:right="113"/>
              <w:jc w:val="left"/>
              <w:rPr>
                <w:b/>
                <w:sz w:val="18"/>
                <w:szCs w:val="18"/>
              </w:rPr>
            </w:pPr>
            <w:r>
              <w:rPr>
                <w:b/>
                <w:sz w:val="18"/>
                <w:szCs w:val="18"/>
              </w:rPr>
              <w:t xml:space="preserve">Less than </w:t>
            </w:r>
            <w:r w:rsidRPr="005233EE">
              <w:rPr>
                <w:b/>
                <w:sz w:val="18"/>
                <w:szCs w:val="18"/>
              </w:rPr>
              <w:t xml:space="preserve">18 </w:t>
            </w:r>
            <w:r w:rsidR="00D4624F">
              <w:rPr>
                <w:b/>
                <w:sz w:val="18"/>
                <w:szCs w:val="18"/>
              </w:rPr>
              <w:t>Y</w:t>
            </w:r>
            <w:r>
              <w:rPr>
                <w:b/>
                <w:sz w:val="18"/>
                <w:szCs w:val="18"/>
              </w:rPr>
              <w:t xml:space="preserve">ears of </w:t>
            </w:r>
            <w:r w:rsidR="00D4624F">
              <w:rPr>
                <w:b/>
                <w:sz w:val="18"/>
                <w:szCs w:val="18"/>
              </w:rPr>
              <w:t>A</w:t>
            </w:r>
            <w:r>
              <w:rPr>
                <w:b/>
                <w:sz w:val="18"/>
                <w:szCs w:val="18"/>
              </w:rPr>
              <w:t>ge</w:t>
            </w:r>
          </w:p>
        </w:tc>
        <w:tc>
          <w:tcPr>
            <w:tcW w:w="1026" w:type="dxa"/>
            <w:tcBorders>
              <w:top w:val="single" w:sz="4" w:space="0" w:color="auto"/>
              <w:bottom w:val="single" w:sz="4" w:space="0" w:color="auto"/>
            </w:tcBorders>
            <w:textDirection w:val="btLr"/>
            <w:vAlign w:val="bottom"/>
            <w:hideMark/>
          </w:tcPr>
          <w:p w14:paraId="6BEF9EB9" w14:textId="415350B4" w:rsidR="00202FC2" w:rsidRPr="005233EE" w:rsidRDefault="00202FC2" w:rsidP="001456A2">
            <w:pPr>
              <w:pStyle w:val="ExhibitText"/>
              <w:ind w:left="113" w:right="113"/>
              <w:jc w:val="left"/>
              <w:rPr>
                <w:b/>
                <w:sz w:val="18"/>
                <w:szCs w:val="18"/>
              </w:rPr>
            </w:pPr>
            <w:r w:rsidRPr="005233EE">
              <w:rPr>
                <w:b/>
                <w:sz w:val="18"/>
                <w:szCs w:val="18"/>
              </w:rPr>
              <w:t>Number</w:t>
            </w:r>
            <w:r w:rsidR="001456A2">
              <w:rPr>
                <w:b/>
                <w:sz w:val="18"/>
                <w:szCs w:val="18"/>
              </w:rPr>
              <w:t xml:space="preserve"> </w:t>
            </w:r>
            <w:r w:rsidRPr="005233EE">
              <w:rPr>
                <w:b/>
                <w:sz w:val="18"/>
                <w:szCs w:val="18"/>
              </w:rPr>
              <w:t>of Houses</w:t>
            </w:r>
          </w:p>
        </w:tc>
        <w:tc>
          <w:tcPr>
            <w:tcW w:w="1026" w:type="dxa"/>
            <w:tcBorders>
              <w:top w:val="single" w:sz="4" w:space="0" w:color="auto"/>
              <w:bottom w:val="single" w:sz="4" w:space="0" w:color="auto"/>
            </w:tcBorders>
            <w:textDirection w:val="btLr"/>
            <w:vAlign w:val="bottom"/>
            <w:hideMark/>
          </w:tcPr>
          <w:p w14:paraId="62A90AE1" w14:textId="7E516F18" w:rsidR="00202FC2" w:rsidRPr="005233EE" w:rsidRDefault="00202FC2" w:rsidP="00B71A15">
            <w:pPr>
              <w:pStyle w:val="ExhibitText"/>
              <w:ind w:left="113" w:right="113"/>
              <w:jc w:val="left"/>
              <w:rPr>
                <w:b/>
                <w:sz w:val="18"/>
                <w:szCs w:val="18"/>
              </w:rPr>
            </w:pPr>
            <w:r w:rsidRPr="005233EE">
              <w:rPr>
                <w:b/>
                <w:sz w:val="18"/>
                <w:szCs w:val="18"/>
              </w:rPr>
              <w:t>Surface Area</w:t>
            </w:r>
            <w:r>
              <w:rPr>
                <w:b/>
                <w:sz w:val="18"/>
                <w:szCs w:val="18"/>
              </w:rPr>
              <w:t xml:space="preserve"> (</w:t>
            </w:r>
            <w:r w:rsidRPr="005233EE">
              <w:rPr>
                <w:b/>
                <w:sz w:val="18"/>
                <w:szCs w:val="18"/>
              </w:rPr>
              <w:t>km²</w:t>
            </w:r>
            <w:r>
              <w:rPr>
                <w:b/>
                <w:sz w:val="18"/>
                <w:szCs w:val="18"/>
              </w:rPr>
              <w:t>)</w:t>
            </w:r>
          </w:p>
        </w:tc>
        <w:tc>
          <w:tcPr>
            <w:tcW w:w="1026" w:type="dxa"/>
            <w:tcBorders>
              <w:top w:val="single" w:sz="4" w:space="0" w:color="auto"/>
              <w:bottom w:val="single" w:sz="4" w:space="0" w:color="auto"/>
            </w:tcBorders>
            <w:textDirection w:val="btLr"/>
            <w:vAlign w:val="bottom"/>
            <w:hideMark/>
          </w:tcPr>
          <w:p w14:paraId="0A133455" w14:textId="57BEE251" w:rsidR="00202FC2" w:rsidRPr="005233EE" w:rsidRDefault="00A8691C" w:rsidP="00B71A15">
            <w:pPr>
              <w:pStyle w:val="ExhibitText"/>
              <w:ind w:left="113" w:right="113"/>
              <w:jc w:val="left"/>
              <w:rPr>
                <w:b/>
                <w:sz w:val="18"/>
                <w:szCs w:val="18"/>
              </w:rPr>
            </w:pPr>
            <w:r>
              <w:rPr>
                <w:b/>
                <w:sz w:val="18"/>
                <w:szCs w:val="18"/>
              </w:rPr>
              <w:t xml:space="preserve">Population </w:t>
            </w:r>
            <w:r w:rsidR="00202FC2" w:rsidRPr="005233EE">
              <w:rPr>
                <w:b/>
                <w:sz w:val="18"/>
                <w:szCs w:val="18"/>
              </w:rPr>
              <w:t>Density</w:t>
            </w:r>
          </w:p>
        </w:tc>
        <w:tc>
          <w:tcPr>
            <w:tcW w:w="1080" w:type="dxa"/>
            <w:tcBorders>
              <w:top w:val="single" w:sz="4" w:space="0" w:color="auto"/>
              <w:bottom w:val="single" w:sz="4" w:space="0" w:color="auto"/>
            </w:tcBorders>
            <w:textDirection w:val="btLr"/>
            <w:vAlign w:val="center"/>
            <w:hideMark/>
          </w:tcPr>
          <w:p w14:paraId="1DCB4526" w14:textId="151FE51B" w:rsidR="00202FC2" w:rsidRPr="005233EE" w:rsidRDefault="00202FC2">
            <w:pPr>
              <w:pStyle w:val="ExhibitText"/>
              <w:ind w:left="113" w:right="113"/>
              <w:jc w:val="left"/>
              <w:rPr>
                <w:b/>
                <w:sz w:val="18"/>
                <w:szCs w:val="18"/>
              </w:rPr>
            </w:pPr>
            <w:r w:rsidRPr="005233EE">
              <w:rPr>
                <w:b/>
                <w:sz w:val="18"/>
                <w:szCs w:val="18"/>
              </w:rPr>
              <w:t xml:space="preserve">Type </w:t>
            </w:r>
            <w:r>
              <w:rPr>
                <w:b/>
                <w:sz w:val="18"/>
                <w:szCs w:val="18"/>
              </w:rPr>
              <w:t xml:space="preserve">of </w:t>
            </w:r>
            <w:r w:rsidRPr="005233EE">
              <w:rPr>
                <w:b/>
                <w:sz w:val="18"/>
                <w:szCs w:val="18"/>
              </w:rPr>
              <w:t>Energy Generation</w:t>
            </w:r>
          </w:p>
        </w:tc>
        <w:tc>
          <w:tcPr>
            <w:tcW w:w="838" w:type="dxa"/>
            <w:tcBorders>
              <w:top w:val="single" w:sz="4" w:space="0" w:color="auto"/>
              <w:bottom w:val="single" w:sz="4" w:space="0" w:color="auto"/>
            </w:tcBorders>
            <w:textDirection w:val="btLr"/>
            <w:vAlign w:val="bottom"/>
            <w:hideMark/>
          </w:tcPr>
          <w:p w14:paraId="1A2872FC" w14:textId="6AE2A032" w:rsidR="00202FC2" w:rsidRPr="005233EE" w:rsidRDefault="00202FC2">
            <w:pPr>
              <w:pStyle w:val="ExhibitText"/>
              <w:ind w:left="113" w:right="113"/>
              <w:jc w:val="left"/>
              <w:rPr>
                <w:b/>
                <w:sz w:val="18"/>
                <w:szCs w:val="18"/>
              </w:rPr>
            </w:pPr>
            <w:r w:rsidRPr="005233EE">
              <w:rPr>
                <w:b/>
                <w:sz w:val="18"/>
                <w:szCs w:val="18"/>
              </w:rPr>
              <w:t>Installed Capacity (MW)</w:t>
            </w:r>
          </w:p>
        </w:tc>
        <w:tc>
          <w:tcPr>
            <w:tcW w:w="929" w:type="dxa"/>
            <w:tcBorders>
              <w:top w:val="single" w:sz="4" w:space="0" w:color="auto"/>
              <w:bottom w:val="single" w:sz="4" w:space="0" w:color="auto"/>
            </w:tcBorders>
            <w:textDirection w:val="btLr"/>
            <w:vAlign w:val="bottom"/>
            <w:hideMark/>
          </w:tcPr>
          <w:p w14:paraId="1CCFFF85" w14:textId="13287C47" w:rsidR="00202FC2" w:rsidRPr="005233EE" w:rsidRDefault="00202FC2">
            <w:pPr>
              <w:pStyle w:val="ExhibitText"/>
              <w:ind w:left="113" w:right="113"/>
              <w:jc w:val="left"/>
              <w:rPr>
                <w:b/>
                <w:sz w:val="18"/>
                <w:szCs w:val="18"/>
              </w:rPr>
            </w:pPr>
            <w:r w:rsidRPr="005233EE">
              <w:rPr>
                <w:b/>
                <w:sz w:val="18"/>
                <w:szCs w:val="18"/>
              </w:rPr>
              <w:t>Available Capacity</w:t>
            </w:r>
            <w:r>
              <w:rPr>
                <w:b/>
                <w:sz w:val="18"/>
                <w:szCs w:val="18"/>
              </w:rPr>
              <w:t xml:space="preserve"> (MW)</w:t>
            </w:r>
          </w:p>
        </w:tc>
        <w:tc>
          <w:tcPr>
            <w:tcW w:w="929" w:type="dxa"/>
            <w:tcBorders>
              <w:top w:val="single" w:sz="4" w:space="0" w:color="auto"/>
              <w:bottom w:val="single" w:sz="4" w:space="0" w:color="auto"/>
            </w:tcBorders>
            <w:textDirection w:val="btLr"/>
            <w:vAlign w:val="bottom"/>
            <w:hideMark/>
          </w:tcPr>
          <w:p w14:paraId="728A6037" w14:textId="7AACE029" w:rsidR="00202FC2" w:rsidRPr="005233EE" w:rsidRDefault="008B5E60" w:rsidP="00B71A15">
            <w:pPr>
              <w:pStyle w:val="ExhibitText"/>
              <w:ind w:left="113" w:right="113"/>
              <w:jc w:val="left"/>
              <w:rPr>
                <w:b/>
                <w:sz w:val="18"/>
                <w:szCs w:val="18"/>
              </w:rPr>
            </w:pPr>
            <w:r w:rsidRPr="005233EE">
              <w:rPr>
                <w:b/>
                <w:sz w:val="18"/>
                <w:szCs w:val="18"/>
              </w:rPr>
              <w:t xml:space="preserve">Energy Produced </w:t>
            </w:r>
            <w:r>
              <w:rPr>
                <w:b/>
                <w:sz w:val="18"/>
                <w:szCs w:val="18"/>
              </w:rPr>
              <w:t xml:space="preserve">per </w:t>
            </w:r>
            <w:r w:rsidR="00D4624F">
              <w:rPr>
                <w:b/>
                <w:sz w:val="18"/>
                <w:szCs w:val="18"/>
              </w:rPr>
              <w:t>D</w:t>
            </w:r>
            <w:r>
              <w:rPr>
                <w:b/>
                <w:sz w:val="18"/>
                <w:szCs w:val="18"/>
              </w:rPr>
              <w:t>ay (</w:t>
            </w:r>
            <w:r w:rsidRPr="005233EE">
              <w:rPr>
                <w:b/>
                <w:sz w:val="18"/>
                <w:szCs w:val="18"/>
              </w:rPr>
              <w:t>MWh</w:t>
            </w:r>
            <w:r>
              <w:rPr>
                <w:b/>
                <w:sz w:val="18"/>
                <w:szCs w:val="18"/>
              </w:rPr>
              <w:t>)</w:t>
            </w:r>
          </w:p>
        </w:tc>
        <w:tc>
          <w:tcPr>
            <w:tcW w:w="928" w:type="dxa"/>
            <w:tcBorders>
              <w:top w:val="single" w:sz="4" w:space="0" w:color="auto"/>
              <w:bottom w:val="single" w:sz="4" w:space="0" w:color="auto"/>
            </w:tcBorders>
            <w:textDirection w:val="btLr"/>
            <w:vAlign w:val="bottom"/>
            <w:hideMark/>
          </w:tcPr>
          <w:p w14:paraId="419A0216" w14:textId="4EDFCC04" w:rsidR="00202FC2" w:rsidRPr="005233EE" w:rsidRDefault="00202FC2" w:rsidP="00B71A15">
            <w:pPr>
              <w:pStyle w:val="ExhibitText"/>
              <w:ind w:left="113" w:right="113"/>
              <w:jc w:val="left"/>
              <w:rPr>
                <w:b/>
                <w:sz w:val="18"/>
                <w:szCs w:val="18"/>
              </w:rPr>
            </w:pPr>
            <w:r w:rsidRPr="005233EE">
              <w:rPr>
                <w:b/>
                <w:sz w:val="18"/>
                <w:szCs w:val="18"/>
              </w:rPr>
              <w:t>EDH Fuel Consumption</w:t>
            </w:r>
            <w:r w:rsidR="007A7A5C">
              <w:rPr>
                <w:b/>
                <w:sz w:val="18"/>
                <w:szCs w:val="18"/>
              </w:rPr>
              <w:t xml:space="preserve"> (gal.</w:t>
            </w:r>
            <w:r w:rsidR="00153EB4">
              <w:rPr>
                <w:b/>
                <w:sz w:val="18"/>
                <w:szCs w:val="18"/>
              </w:rPr>
              <w:t>/day</w:t>
            </w:r>
            <w:r w:rsidR="007A7A5C">
              <w:rPr>
                <w:b/>
                <w:sz w:val="18"/>
                <w:szCs w:val="18"/>
              </w:rPr>
              <w:t>)</w:t>
            </w:r>
          </w:p>
        </w:tc>
        <w:tc>
          <w:tcPr>
            <w:tcW w:w="929" w:type="dxa"/>
            <w:tcBorders>
              <w:top w:val="single" w:sz="4" w:space="0" w:color="auto"/>
              <w:bottom w:val="single" w:sz="4" w:space="0" w:color="auto"/>
            </w:tcBorders>
            <w:textDirection w:val="btLr"/>
            <w:vAlign w:val="bottom"/>
            <w:hideMark/>
          </w:tcPr>
          <w:p w14:paraId="4C4ED33E" w14:textId="6B1E611E" w:rsidR="00202FC2" w:rsidRPr="005233EE" w:rsidRDefault="00202FC2">
            <w:pPr>
              <w:pStyle w:val="ExhibitText"/>
              <w:ind w:left="113" w:right="113"/>
              <w:jc w:val="left"/>
              <w:rPr>
                <w:b/>
                <w:sz w:val="18"/>
                <w:szCs w:val="18"/>
              </w:rPr>
            </w:pPr>
            <w:r w:rsidRPr="005233EE">
              <w:rPr>
                <w:b/>
                <w:sz w:val="18"/>
                <w:szCs w:val="18"/>
              </w:rPr>
              <w:t xml:space="preserve">EDH Fuel in </w:t>
            </w:r>
            <w:r>
              <w:rPr>
                <w:b/>
                <w:sz w:val="18"/>
                <w:szCs w:val="18"/>
              </w:rPr>
              <w:t>S</w:t>
            </w:r>
            <w:r w:rsidRPr="005233EE">
              <w:rPr>
                <w:b/>
                <w:sz w:val="18"/>
                <w:szCs w:val="18"/>
              </w:rPr>
              <w:t>tock (</w:t>
            </w:r>
            <w:proofErr w:type="gramStart"/>
            <w:r w:rsidRPr="005233EE">
              <w:rPr>
                <w:b/>
                <w:sz w:val="18"/>
                <w:szCs w:val="18"/>
              </w:rPr>
              <w:t>gal</w:t>
            </w:r>
            <w:proofErr w:type="gramEnd"/>
            <w:r>
              <w:rPr>
                <w:b/>
                <w:sz w:val="18"/>
                <w:szCs w:val="18"/>
              </w:rPr>
              <w:t>.</w:t>
            </w:r>
            <w:r w:rsidRPr="005233EE">
              <w:rPr>
                <w:b/>
                <w:sz w:val="18"/>
                <w:szCs w:val="18"/>
              </w:rPr>
              <w:t>)</w:t>
            </w:r>
          </w:p>
        </w:tc>
        <w:tc>
          <w:tcPr>
            <w:tcW w:w="929" w:type="dxa"/>
            <w:tcBorders>
              <w:top w:val="single" w:sz="4" w:space="0" w:color="auto"/>
              <w:bottom w:val="single" w:sz="4" w:space="0" w:color="auto"/>
            </w:tcBorders>
            <w:textDirection w:val="btLr"/>
            <w:vAlign w:val="bottom"/>
            <w:hideMark/>
          </w:tcPr>
          <w:p w14:paraId="070AD5C8" w14:textId="0780B4C3" w:rsidR="00202FC2" w:rsidRPr="005233EE" w:rsidRDefault="00202FC2" w:rsidP="00B71A15">
            <w:pPr>
              <w:pStyle w:val="ExhibitText"/>
              <w:ind w:left="113" w:right="113"/>
              <w:jc w:val="left"/>
              <w:rPr>
                <w:b/>
                <w:sz w:val="18"/>
                <w:szCs w:val="18"/>
              </w:rPr>
            </w:pPr>
            <w:r w:rsidRPr="005233EE">
              <w:rPr>
                <w:b/>
                <w:sz w:val="18"/>
                <w:szCs w:val="18"/>
              </w:rPr>
              <w:t>Client</w:t>
            </w:r>
            <w:r>
              <w:rPr>
                <w:b/>
                <w:sz w:val="18"/>
                <w:szCs w:val="18"/>
              </w:rPr>
              <w:t xml:space="preserve"> </w:t>
            </w:r>
            <w:r w:rsidRPr="005233EE">
              <w:rPr>
                <w:b/>
                <w:sz w:val="18"/>
                <w:szCs w:val="18"/>
              </w:rPr>
              <w:t>Base</w:t>
            </w:r>
          </w:p>
        </w:tc>
      </w:tr>
      <w:tr w:rsidR="00683E55" w:rsidRPr="009E116E" w14:paraId="795A69C3" w14:textId="77777777" w:rsidTr="00174436">
        <w:trPr>
          <w:trHeight w:val="36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411060B2" w14:textId="77777777" w:rsidR="00683E55" w:rsidRPr="009E116E" w:rsidRDefault="00683E55" w:rsidP="001456A2">
            <w:pPr>
              <w:pStyle w:val="ExhibitText"/>
              <w:jc w:val="left"/>
              <w:rPr>
                <w:sz w:val="18"/>
                <w:szCs w:val="18"/>
              </w:rPr>
            </w:pPr>
            <w:r w:rsidRPr="009E116E">
              <w:rPr>
                <w:sz w:val="18"/>
                <w:szCs w:val="18"/>
              </w:rPr>
              <w:t>All Areas</w:t>
            </w:r>
          </w:p>
        </w:tc>
        <w:tc>
          <w:tcPr>
            <w:tcW w:w="1026" w:type="dxa"/>
            <w:tcBorders>
              <w:top w:val="single" w:sz="4" w:space="0" w:color="auto"/>
              <w:left w:val="single" w:sz="4" w:space="0" w:color="auto"/>
              <w:bottom w:val="single" w:sz="4" w:space="0" w:color="auto"/>
              <w:right w:val="single" w:sz="4" w:space="0" w:color="auto"/>
            </w:tcBorders>
            <w:vAlign w:val="center"/>
            <w:hideMark/>
          </w:tcPr>
          <w:p w14:paraId="2C5A689A" w14:textId="673BC5DF" w:rsidR="00683E55" w:rsidRPr="00683E55" w:rsidRDefault="00683E55" w:rsidP="00683E55">
            <w:pPr>
              <w:pStyle w:val="ExhibitText"/>
              <w:jc w:val="right"/>
              <w:rPr>
                <w:sz w:val="18"/>
                <w:szCs w:val="18"/>
              </w:rPr>
            </w:pPr>
            <w:r w:rsidRPr="00683E55">
              <w:rPr>
                <w:sz w:val="18"/>
                <w:szCs w:val="18"/>
              </w:rPr>
              <w:t>2</w:t>
            </w:r>
            <w:r w:rsidR="00B71A15">
              <w:rPr>
                <w:sz w:val="18"/>
                <w:szCs w:val="18"/>
              </w:rPr>
              <w:t>,</w:t>
            </w:r>
            <w:r w:rsidRPr="00683E55">
              <w:rPr>
                <w:sz w:val="18"/>
                <w:szCs w:val="18"/>
              </w:rPr>
              <w:t>195</w:t>
            </w:r>
            <w:r>
              <w:rPr>
                <w:sz w:val="18"/>
                <w:szCs w:val="18"/>
              </w:rPr>
              <w:t>,</w:t>
            </w:r>
            <w:r w:rsidRPr="00683E55">
              <w:rPr>
                <w:sz w:val="18"/>
                <w:szCs w:val="18"/>
              </w:rPr>
              <w:t>646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236BB0EB" w14:textId="4266AF99" w:rsidR="00683E55" w:rsidRPr="00683E55" w:rsidRDefault="00683E55" w:rsidP="00683E55">
            <w:pPr>
              <w:pStyle w:val="ExhibitText"/>
              <w:jc w:val="right"/>
              <w:rPr>
                <w:sz w:val="18"/>
                <w:szCs w:val="18"/>
              </w:rPr>
            </w:pPr>
            <w:r w:rsidRPr="00683E55">
              <w:rPr>
                <w:sz w:val="18"/>
                <w:szCs w:val="18"/>
              </w:rPr>
              <w:t>1</w:t>
            </w:r>
            <w:r>
              <w:rPr>
                <w:sz w:val="18"/>
                <w:szCs w:val="18"/>
              </w:rPr>
              <w:t>,</w:t>
            </w:r>
            <w:r w:rsidR="00AE7205">
              <w:rPr>
                <w:sz w:val="18"/>
                <w:szCs w:val="18"/>
              </w:rPr>
              <w:t>0</w:t>
            </w:r>
            <w:r w:rsidRPr="00683E55">
              <w:rPr>
                <w:sz w:val="18"/>
                <w:szCs w:val="18"/>
              </w:rPr>
              <w:t>12</w:t>
            </w:r>
            <w:r>
              <w:rPr>
                <w:sz w:val="18"/>
                <w:szCs w:val="18"/>
              </w:rPr>
              <w:t>,</w:t>
            </w:r>
            <w:r w:rsidRPr="00683E55">
              <w:rPr>
                <w:sz w:val="18"/>
                <w:szCs w:val="18"/>
              </w:rPr>
              <w:t>254</w:t>
            </w:r>
          </w:p>
        </w:tc>
        <w:tc>
          <w:tcPr>
            <w:tcW w:w="1026" w:type="dxa"/>
            <w:tcBorders>
              <w:top w:val="single" w:sz="4" w:space="0" w:color="auto"/>
              <w:left w:val="single" w:sz="4" w:space="0" w:color="auto"/>
              <w:bottom w:val="single" w:sz="4" w:space="0" w:color="auto"/>
              <w:right w:val="single" w:sz="4" w:space="0" w:color="auto"/>
            </w:tcBorders>
            <w:vAlign w:val="center"/>
            <w:hideMark/>
          </w:tcPr>
          <w:p w14:paraId="756EDA18" w14:textId="1CD46BC4" w:rsidR="00683E55" w:rsidRPr="00683E55" w:rsidRDefault="00683E55" w:rsidP="00683E55">
            <w:pPr>
              <w:pStyle w:val="ExhibitText"/>
              <w:jc w:val="right"/>
              <w:rPr>
                <w:sz w:val="18"/>
                <w:szCs w:val="18"/>
              </w:rPr>
            </w:pPr>
            <w:r w:rsidRPr="00683E55">
              <w:rPr>
                <w:sz w:val="18"/>
                <w:szCs w:val="18"/>
              </w:rPr>
              <w:t>511</w:t>
            </w:r>
            <w:r>
              <w:rPr>
                <w:sz w:val="18"/>
                <w:szCs w:val="18"/>
              </w:rPr>
              <w:t>,</w:t>
            </w:r>
            <w:r w:rsidRPr="00683E55">
              <w:rPr>
                <w:sz w:val="18"/>
                <w:szCs w:val="18"/>
              </w:rPr>
              <w:t>440</w:t>
            </w:r>
          </w:p>
        </w:tc>
        <w:tc>
          <w:tcPr>
            <w:tcW w:w="1026" w:type="dxa"/>
            <w:tcBorders>
              <w:top w:val="single" w:sz="4" w:space="0" w:color="auto"/>
              <w:left w:val="single" w:sz="4" w:space="0" w:color="auto"/>
              <w:bottom w:val="single" w:sz="4" w:space="0" w:color="auto"/>
              <w:right w:val="single" w:sz="4" w:space="0" w:color="auto"/>
            </w:tcBorders>
            <w:vAlign w:val="center"/>
            <w:hideMark/>
          </w:tcPr>
          <w:p w14:paraId="38B1C9CC" w14:textId="042D0304" w:rsidR="00683E55" w:rsidRPr="00683E55" w:rsidRDefault="00683E55" w:rsidP="00683E55">
            <w:pPr>
              <w:pStyle w:val="ExhibitText"/>
              <w:jc w:val="right"/>
              <w:rPr>
                <w:sz w:val="18"/>
                <w:szCs w:val="18"/>
              </w:rPr>
            </w:pPr>
            <w:r w:rsidRPr="00683E55">
              <w:rPr>
                <w:sz w:val="18"/>
                <w:szCs w:val="18"/>
              </w:rPr>
              <w:t>8</w:t>
            </w:r>
            <w:r>
              <w:rPr>
                <w:sz w:val="18"/>
                <w:szCs w:val="18"/>
              </w:rPr>
              <w:t>,</w:t>
            </w:r>
            <w:r w:rsidRPr="00683E55">
              <w:rPr>
                <w:sz w:val="18"/>
                <w:szCs w:val="18"/>
              </w:rPr>
              <w:t>374</w:t>
            </w:r>
          </w:p>
        </w:tc>
        <w:tc>
          <w:tcPr>
            <w:tcW w:w="1026" w:type="dxa"/>
            <w:tcBorders>
              <w:top w:val="single" w:sz="4" w:space="0" w:color="auto"/>
              <w:left w:val="single" w:sz="4" w:space="0" w:color="auto"/>
              <w:bottom w:val="single" w:sz="4" w:space="0" w:color="auto"/>
              <w:right w:val="single" w:sz="4" w:space="0" w:color="auto"/>
            </w:tcBorders>
            <w:vAlign w:val="center"/>
            <w:hideMark/>
          </w:tcPr>
          <w:p w14:paraId="17977359" w14:textId="54BB8842" w:rsidR="00683E55" w:rsidRPr="00683E55" w:rsidRDefault="00683E55" w:rsidP="00683E55">
            <w:pPr>
              <w:pStyle w:val="ExhibitText"/>
              <w:jc w:val="right"/>
              <w:rPr>
                <w:sz w:val="18"/>
                <w:szCs w:val="18"/>
              </w:rPr>
            </w:pPr>
            <w:r w:rsidRPr="00683E55">
              <w:rPr>
                <w:sz w:val="18"/>
                <w:szCs w:val="18"/>
              </w:rPr>
              <w:t>262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830E7D0" w14:textId="476A1A58" w:rsidR="00683E55" w:rsidRPr="00683E55" w:rsidRDefault="00683E55" w:rsidP="00542316">
            <w:pPr>
              <w:pStyle w:val="ExhibitText"/>
              <w:jc w:val="right"/>
              <w:rPr>
                <w:sz w:val="18"/>
                <w:szCs w:val="18"/>
              </w:rPr>
            </w:pPr>
            <w:r w:rsidRPr="00683E55">
              <w:rPr>
                <w:sz w:val="18"/>
                <w:szCs w:val="18"/>
              </w:rPr>
              <w:t>Mixed</w:t>
            </w:r>
          </w:p>
        </w:tc>
        <w:tc>
          <w:tcPr>
            <w:tcW w:w="838" w:type="dxa"/>
            <w:tcBorders>
              <w:top w:val="single" w:sz="4" w:space="0" w:color="auto"/>
              <w:left w:val="single" w:sz="4" w:space="0" w:color="auto"/>
              <w:bottom w:val="single" w:sz="4" w:space="0" w:color="auto"/>
              <w:right w:val="single" w:sz="4" w:space="0" w:color="auto"/>
            </w:tcBorders>
            <w:vAlign w:val="center"/>
            <w:hideMark/>
          </w:tcPr>
          <w:p w14:paraId="7739DF2A" w14:textId="1F82D9D9" w:rsidR="00683E55" w:rsidRPr="00683E55" w:rsidRDefault="00683E55" w:rsidP="00683E55">
            <w:pPr>
              <w:pStyle w:val="ExhibitText"/>
              <w:jc w:val="right"/>
              <w:rPr>
                <w:sz w:val="18"/>
                <w:szCs w:val="18"/>
              </w:rPr>
            </w:pPr>
            <w:r w:rsidRPr="00683E55">
              <w:rPr>
                <w:sz w:val="18"/>
                <w:szCs w:val="18"/>
              </w:rPr>
              <w:t>70.6</w:t>
            </w:r>
          </w:p>
        </w:tc>
        <w:tc>
          <w:tcPr>
            <w:tcW w:w="929" w:type="dxa"/>
            <w:tcBorders>
              <w:top w:val="single" w:sz="4" w:space="0" w:color="auto"/>
              <w:left w:val="single" w:sz="4" w:space="0" w:color="auto"/>
              <w:bottom w:val="single" w:sz="4" w:space="0" w:color="auto"/>
              <w:right w:val="single" w:sz="4" w:space="0" w:color="auto"/>
            </w:tcBorders>
            <w:vAlign w:val="center"/>
            <w:hideMark/>
          </w:tcPr>
          <w:p w14:paraId="02334ED7" w14:textId="6FC4817F" w:rsidR="00683E55" w:rsidRPr="00683E55" w:rsidRDefault="00683E55" w:rsidP="00683E55">
            <w:pPr>
              <w:pStyle w:val="ExhibitText"/>
              <w:jc w:val="right"/>
              <w:rPr>
                <w:sz w:val="18"/>
                <w:szCs w:val="18"/>
              </w:rPr>
            </w:pPr>
            <w:r w:rsidRPr="00683E55">
              <w:rPr>
                <w:sz w:val="18"/>
                <w:szCs w:val="18"/>
              </w:rPr>
              <w:t>47.8</w:t>
            </w:r>
          </w:p>
        </w:tc>
        <w:tc>
          <w:tcPr>
            <w:tcW w:w="929" w:type="dxa"/>
            <w:tcBorders>
              <w:top w:val="single" w:sz="4" w:space="0" w:color="auto"/>
              <w:left w:val="single" w:sz="4" w:space="0" w:color="auto"/>
              <w:bottom w:val="single" w:sz="4" w:space="0" w:color="auto"/>
              <w:right w:val="single" w:sz="4" w:space="0" w:color="auto"/>
            </w:tcBorders>
            <w:vAlign w:val="center"/>
            <w:hideMark/>
          </w:tcPr>
          <w:p w14:paraId="056435E5" w14:textId="4DD955EB" w:rsidR="00683E55" w:rsidRPr="00683E55" w:rsidRDefault="00683E55" w:rsidP="00683E55">
            <w:pPr>
              <w:pStyle w:val="ExhibitText"/>
              <w:jc w:val="right"/>
              <w:rPr>
                <w:sz w:val="18"/>
                <w:szCs w:val="18"/>
              </w:rPr>
            </w:pPr>
            <w:r w:rsidRPr="00683E55">
              <w:rPr>
                <w:sz w:val="18"/>
                <w:szCs w:val="18"/>
              </w:rPr>
              <w:t>1</w:t>
            </w:r>
            <w:r>
              <w:rPr>
                <w:sz w:val="18"/>
                <w:szCs w:val="18"/>
              </w:rPr>
              <w:t>,</w:t>
            </w:r>
            <w:r w:rsidRPr="00683E55">
              <w:rPr>
                <w:sz w:val="18"/>
                <w:szCs w:val="18"/>
              </w:rPr>
              <w:t>050</w:t>
            </w:r>
            <w:r w:rsidR="00B71A15">
              <w:rPr>
                <w:sz w:val="18"/>
                <w:szCs w:val="18"/>
              </w:rPr>
              <w:t>.0</w:t>
            </w:r>
          </w:p>
        </w:tc>
        <w:tc>
          <w:tcPr>
            <w:tcW w:w="928" w:type="dxa"/>
            <w:tcBorders>
              <w:top w:val="single" w:sz="4" w:space="0" w:color="auto"/>
              <w:left w:val="single" w:sz="4" w:space="0" w:color="auto"/>
              <w:bottom w:val="single" w:sz="4" w:space="0" w:color="auto"/>
              <w:right w:val="single" w:sz="4" w:space="0" w:color="auto"/>
            </w:tcBorders>
            <w:vAlign w:val="center"/>
            <w:hideMark/>
          </w:tcPr>
          <w:p w14:paraId="707456FA" w14:textId="25C1EB52" w:rsidR="00683E55" w:rsidRPr="00683E55" w:rsidRDefault="00683E55" w:rsidP="00683E55">
            <w:pPr>
              <w:pStyle w:val="ExhibitText"/>
              <w:jc w:val="right"/>
              <w:rPr>
                <w:sz w:val="18"/>
                <w:szCs w:val="18"/>
              </w:rPr>
            </w:pPr>
            <w:r w:rsidRPr="00683E55">
              <w:rPr>
                <w:sz w:val="18"/>
                <w:szCs w:val="18"/>
              </w:rPr>
              <w:t>41.7</w:t>
            </w:r>
          </w:p>
        </w:tc>
        <w:tc>
          <w:tcPr>
            <w:tcW w:w="929" w:type="dxa"/>
            <w:tcBorders>
              <w:top w:val="single" w:sz="4" w:space="0" w:color="auto"/>
              <w:left w:val="single" w:sz="4" w:space="0" w:color="auto"/>
              <w:bottom w:val="single" w:sz="4" w:space="0" w:color="auto"/>
              <w:right w:val="single" w:sz="4" w:space="0" w:color="auto"/>
            </w:tcBorders>
            <w:vAlign w:val="center"/>
            <w:hideMark/>
          </w:tcPr>
          <w:p w14:paraId="3A399BEA" w14:textId="1B6D5F31" w:rsidR="00683E55" w:rsidRPr="00683E55" w:rsidRDefault="00683E55" w:rsidP="00683E55">
            <w:pPr>
              <w:pStyle w:val="ExhibitText"/>
              <w:jc w:val="right"/>
              <w:rPr>
                <w:sz w:val="18"/>
                <w:szCs w:val="18"/>
              </w:rPr>
            </w:pPr>
            <w:r w:rsidRPr="00683E55">
              <w:rPr>
                <w:sz w:val="18"/>
                <w:szCs w:val="18"/>
              </w:rPr>
              <w:t>8</w:t>
            </w:r>
            <w:r>
              <w:rPr>
                <w:sz w:val="18"/>
                <w:szCs w:val="18"/>
              </w:rPr>
              <w:t>,</w:t>
            </w:r>
            <w:r w:rsidRPr="00683E55">
              <w:rPr>
                <w:sz w:val="18"/>
                <w:szCs w:val="18"/>
              </w:rPr>
              <w:t>789</w:t>
            </w:r>
          </w:p>
        </w:tc>
        <w:tc>
          <w:tcPr>
            <w:tcW w:w="929" w:type="dxa"/>
            <w:tcBorders>
              <w:top w:val="single" w:sz="4" w:space="0" w:color="auto"/>
              <w:left w:val="single" w:sz="4" w:space="0" w:color="auto"/>
              <w:bottom w:val="single" w:sz="4" w:space="0" w:color="auto"/>
              <w:right w:val="single" w:sz="4" w:space="0" w:color="auto"/>
            </w:tcBorders>
            <w:vAlign w:val="center"/>
            <w:hideMark/>
          </w:tcPr>
          <w:p w14:paraId="4F1F2850" w14:textId="4DE98955" w:rsidR="00683E55" w:rsidRPr="00683E55" w:rsidRDefault="00683E55" w:rsidP="00683E55">
            <w:pPr>
              <w:pStyle w:val="ExhibitText"/>
              <w:jc w:val="right"/>
              <w:rPr>
                <w:sz w:val="18"/>
                <w:szCs w:val="18"/>
              </w:rPr>
            </w:pPr>
            <w:r w:rsidRPr="00683E55">
              <w:rPr>
                <w:sz w:val="18"/>
                <w:szCs w:val="18"/>
              </w:rPr>
              <w:t>25</w:t>
            </w:r>
            <w:r>
              <w:rPr>
                <w:sz w:val="18"/>
                <w:szCs w:val="18"/>
              </w:rPr>
              <w:t>,</w:t>
            </w:r>
            <w:r w:rsidRPr="00683E55">
              <w:rPr>
                <w:sz w:val="18"/>
                <w:szCs w:val="18"/>
              </w:rPr>
              <w:t>900</w:t>
            </w:r>
          </w:p>
        </w:tc>
      </w:tr>
      <w:tr w:rsidR="00683E55" w:rsidRPr="009E116E" w14:paraId="62F215C4" w14:textId="77777777" w:rsidTr="00174436">
        <w:trPr>
          <w:trHeight w:val="36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1C9862D7" w14:textId="77777777" w:rsidR="00683E55" w:rsidRPr="00025BF4" w:rsidRDefault="00683E55" w:rsidP="001456A2">
            <w:pPr>
              <w:pStyle w:val="ExhibitText"/>
              <w:jc w:val="left"/>
              <w:rPr>
                <w:sz w:val="18"/>
                <w:szCs w:val="18"/>
              </w:rPr>
            </w:pPr>
            <w:r w:rsidRPr="00025BF4">
              <w:rPr>
                <w:sz w:val="18"/>
                <w:szCs w:val="18"/>
              </w:rPr>
              <w:t>Rural</w:t>
            </w:r>
          </w:p>
        </w:tc>
        <w:tc>
          <w:tcPr>
            <w:tcW w:w="1026" w:type="dxa"/>
            <w:tcBorders>
              <w:top w:val="single" w:sz="4" w:space="0" w:color="auto"/>
              <w:left w:val="single" w:sz="4" w:space="0" w:color="auto"/>
              <w:bottom w:val="single" w:sz="4" w:space="0" w:color="auto"/>
              <w:right w:val="single" w:sz="4" w:space="0" w:color="auto"/>
            </w:tcBorders>
            <w:vAlign w:val="center"/>
            <w:hideMark/>
          </w:tcPr>
          <w:p w14:paraId="1D149578" w14:textId="786B5925" w:rsidR="00683E55" w:rsidRPr="00025BF4" w:rsidRDefault="00025BF4" w:rsidP="00683E55">
            <w:pPr>
              <w:pStyle w:val="ExhibitText"/>
              <w:jc w:val="right"/>
              <w:rPr>
                <w:sz w:val="18"/>
                <w:szCs w:val="18"/>
              </w:rPr>
            </w:pPr>
            <w:r w:rsidRPr="00E524BD">
              <w:rPr>
                <w:sz w:val="18"/>
                <w:szCs w:val="18"/>
              </w:rPr>
              <w:t>902,562</w:t>
            </w:r>
          </w:p>
        </w:tc>
        <w:tc>
          <w:tcPr>
            <w:tcW w:w="1026" w:type="dxa"/>
            <w:tcBorders>
              <w:top w:val="single" w:sz="4" w:space="0" w:color="auto"/>
              <w:left w:val="single" w:sz="4" w:space="0" w:color="auto"/>
              <w:bottom w:val="single" w:sz="4" w:space="0" w:color="auto"/>
              <w:right w:val="single" w:sz="4" w:space="0" w:color="auto"/>
            </w:tcBorders>
            <w:vAlign w:val="center"/>
            <w:hideMark/>
          </w:tcPr>
          <w:p w14:paraId="39B6DB62" w14:textId="4947D51B" w:rsidR="00683E55" w:rsidRPr="00025BF4" w:rsidRDefault="00025BF4" w:rsidP="00683E55">
            <w:pPr>
              <w:pStyle w:val="ExhibitText"/>
              <w:jc w:val="right"/>
              <w:rPr>
                <w:sz w:val="18"/>
                <w:szCs w:val="18"/>
              </w:rPr>
            </w:pPr>
            <w:r w:rsidRPr="00025BF4">
              <w:rPr>
                <w:sz w:val="18"/>
                <w:szCs w:val="18"/>
              </w:rPr>
              <w:t>424,927</w:t>
            </w:r>
          </w:p>
        </w:tc>
        <w:tc>
          <w:tcPr>
            <w:tcW w:w="1026" w:type="dxa"/>
            <w:tcBorders>
              <w:top w:val="single" w:sz="4" w:space="0" w:color="auto"/>
              <w:left w:val="single" w:sz="4" w:space="0" w:color="auto"/>
              <w:bottom w:val="single" w:sz="4" w:space="0" w:color="auto"/>
              <w:right w:val="single" w:sz="4" w:space="0" w:color="auto"/>
            </w:tcBorders>
            <w:vAlign w:val="center"/>
            <w:hideMark/>
          </w:tcPr>
          <w:p w14:paraId="370B20AF" w14:textId="13288150" w:rsidR="00683E55" w:rsidRPr="00025BF4" w:rsidRDefault="00683E55" w:rsidP="00683E55">
            <w:pPr>
              <w:pStyle w:val="ExhibitText"/>
              <w:jc w:val="right"/>
              <w:rPr>
                <w:sz w:val="18"/>
                <w:szCs w:val="18"/>
              </w:rPr>
            </w:pPr>
            <w:r w:rsidRPr="00025BF4">
              <w:rPr>
                <w:sz w:val="18"/>
                <w:szCs w:val="18"/>
              </w:rPr>
              <w:t>351,317</w:t>
            </w:r>
          </w:p>
        </w:tc>
        <w:tc>
          <w:tcPr>
            <w:tcW w:w="1026" w:type="dxa"/>
            <w:tcBorders>
              <w:top w:val="single" w:sz="4" w:space="0" w:color="auto"/>
              <w:left w:val="single" w:sz="4" w:space="0" w:color="auto"/>
              <w:bottom w:val="single" w:sz="4" w:space="0" w:color="auto"/>
              <w:right w:val="single" w:sz="4" w:space="0" w:color="auto"/>
            </w:tcBorders>
            <w:vAlign w:val="center"/>
            <w:hideMark/>
          </w:tcPr>
          <w:p w14:paraId="40F1AA7F" w14:textId="79762D4D" w:rsidR="00683E55" w:rsidRPr="00025BF4" w:rsidRDefault="00683E55">
            <w:pPr>
              <w:pStyle w:val="ExhibitText"/>
              <w:jc w:val="right"/>
              <w:rPr>
                <w:sz w:val="18"/>
                <w:szCs w:val="18"/>
              </w:rPr>
            </w:pPr>
            <w:r w:rsidRPr="00025BF4">
              <w:rPr>
                <w:sz w:val="18"/>
                <w:szCs w:val="18"/>
              </w:rPr>
              <w:t>8,275</w:t>
            </w:r>
          </w:p>
        </w:tc>
        <w:tc>
          <w:tcPr>
            <w:tcW w:w="1026" w:type="dxa"/>
            <w:tcBorders>
              <w:top w:val="single" w:sz="4" w:space="0" w:color="auto"/>
              <w:left w:val="single" w:sz="4" w:space="0" w:color="auto"/>
              <w:bottom w:val="single" w:sz="4" w:space="0" w:color="auto"/>
              <w:right w:val="single" w:sz="4" w:space="0" w:color="auto"/>
            </w:tcBorders>
            <w:vAlign w:val="center"/>
            <w:hideMark/>
          </w:tcPr>
          <w:p w14:paraId="1226AA93" w14:textId="63C73F9A" w:rsidR="00683E55" w:rsidRPr="00025BF4" w:rsidRDefault="00683E55" w:rsidP="00683E55">
            <w:pPr>
              <w:pStyle w:val="ExhibitText"/>
              <w:jc w:val="right"/>
              <w:rPr>
                <w:sz w:val="18"/>
                <w:szCs w:val="18"/>
              </w:rPr>
            </w:pPr>
            <w:r w:rsidRPr="00025BF4">
              <w:rPr>
                <w:sz w:val="18"/>
                <w:szCs w:val="18"/>
              </w:rPr>
              <w:t>1</w:t>
            </w:r>
            <w:r w:rsidR="00025BF4" w:rsidRPr="00025BF4">
              <w:rPr>
                <w:sz w:val="18"/>
                <w:szCs w:val="18"/>
              </w:rPr>
              <w:t>09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06A741C" w14:textId="3E097340" w:rsidR="00683E55" w:rsidRPr="00683E55" w:rsidRDefault="00683E55" w:rsidP="00542316">
            <w:pPr>
              <w:pStyle w:val="ExhibitText"/>
              <w:jc w:val="right"/>
              <w:rPr>
                <w:sz w:val="18"/>
                <w:szCs w:val="18"/>
              </w:rPr>
            </w:pPr>
            <w:r w:rsidRPr="00683E55">
              <w:rPr>
                <w:sz w:val="18"/>
                <w:szCs w:val="18"/>
              </w:rPr>
              <w:t>-</w:t>
            </w:r>
          </w:p>
        </w:tc>
        <w:tc>
          <w:tcPr>
            <w:tcW w:w="838" w:type="dxa"/>
            <w:tcBorders>
              <w:top w:val="single" w:sz="4" w:space="0" w:color="auto"/>
              <w:left w:val="single" w:sz="4" w:space="0" w:color="auto"/>
              <w:bottom w:val="single" w:sz="4" w:space="0" w:color="auto"/>
              <w:right w:val="single" w:sz="4" w:space="0" w:color="auto"/>
            </w:tcBorders>
            <w:vAlign w:val="center"/>
            <w:hideMark/>
          </w:tcPr>
          <w:p w14:paraId="3EF5448B" w14:textId="421C09DE"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62535166" w14:textId="2202C65B"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3166AC25" w14:textId="596FCF4F" w:rsidR="00683E55" w:rsidRPr="00683E55" w:rsidRDefault="00683E55" w:rsidP="00683E55">
            <w:pPr>
              <w:pStyle w:val="ExhibitText"/>
              <w:jc w:val="right"/>
              <w:rPr>
                <w:sz w:val="18"/>
                <w:szCs w:val="18"/>
              </w:rPr>
            </w:pPr>
            <w:r w:rsidRPr="00683E55">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AE6C51B" w14:textId="52999985"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2248975" w14:textId="3CA0E90A"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EBA0F85" w14:textId="4B6076BA" w:rsidR="00683E55" w:rsidRPr="00683E55" w:rsidRDefault="00683E55" w:rsidP="00683E55">
            <w:pPr>
              <w:pStyle w:val="ExhibitText"/>
              <w:jc w:val="right"/>
              <w:rPr>
                <w:sz w:val="18"/>
                <w:szCs w:val="18"/>
              </w:rPr>
            </w:pPr>
            <w:r w:rsidRPr="00683E55">
              <w:rPr>
                <w:sz w:val="18"/>
                <w:szCs w:val="18"/>
              </w:rPr>
              <w:t>-</w:t>
            </w:r>
          </w:p>
        </w:tc>
      </w:tr>
      <w:tr w:rsidR="00683E55" w:rsidRPr="009E116E" w14:paraId="25FF824C" w14:textId="77777777" w:rsidTr="00174436">
        <w:trPr>
          <w:trHeight w:val="36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7C39DFBC" w14:textId="77777777" w:rsidR="00683E55" w:rsidRPr="009E116E" w:rsidRDefault="00683E55" w:rsidP="001456A2">
            <w:pPr>
              <w:pStyle w:val="ExhibitText"/>
              <w:jc w:val="left"/>
              <w:rPr>
                <w:sz w:val="18"/>
                <w:szCs w:val="18"/>
              </w:rPr>
            </w:pPr>
            <w:r w:rsidRPr="009E116E">
              <w:rPr>
                <w:sz w:val="18"/>
                <w:szCs w:val="18"/>
              </w:rPr>
              <w:t>Suburban</w:t>
            </w:r>
          </w:p>
        </w:tc>
        <w:tc>
          <w:tcPr>
            <w:tcW w:w="1026" w:type="dxa"/>
            <w:tcBorders>
              <w:top w:val="single" w:sz="4" w:space="0" w:color="auto"/>
              <w:left w:val="single" w:sz="4" w:space="0" w:color="auto"/>
              <w:bottom w:val="single" w:sz="4" w:space="0" w:color="auto"/>
              <w:right w:val="single" w:sz="4" w:space="0" w:color="auto"/>
            </w:tcBorders>
            <w:vAlign w:val="center"/>
            <w:hideMark/>
          </w:tcPr>
          <w:p w14:paraId="53491FD7" w14:textId="48453E0B" w:rsidR="00683E55" w:rsidRPr="00025BF4" w:rsidRDefault="00683E55" w:rsidP="00683E55">
            <w:pPr>
              <w:pStyle w:val="ExhibitText"/>
              <w:jc w:val="right"/>
              <w:rPr>
                <w:sz w:val="18"/>
                <w:szCs w:val="18"/>
              </w:rPr>
            </w:pPr>
            <w:r w:rsidRPr="00025BF4">
              <w:rPr>
                <w:sz w:val="18"/>
                <w:szCs w:val="18"/>
              </w:rPr>
              <w:t>56,862</w:t>
            </w:r>
          </w:p>
        </w:tc>
        <w:tc>
          <w:tcPr>
            <w:tcW w:w="1026" w:type="dxa"/>
            <w:tcBorders>
              <w:top w:val="single" w:sz="4" w:space="0" w:color="auto"/>
              <w:left w:val="single" w:sz="4" w:space="0" w:color="auto"/>
              <w:bottom w:val="single" w:sz="4" w:space="0" w:color="auto"/>
              <w:right w:val="single" w:sz="4" w:space="0" w:color="auto"/>
            </w:tcBorders>
            <w:vAlign w:val="center"/>
            <w:hideMark/>
          </w:tcPr>
          <w:p w14:paraId="37574E5A" w14:textId="2369F86D" w:rsidR="00683E55" w:rsidRPr="00025BF4" w:rsidRDefault="00683E55" w:rsidP="00683E55">
            <w:pPr>
              <w:pStyle w:val="ExhibitText"/>
              <w:jc w:val="right"/>
              <w:rPr>
                <w:sz w:val="18"/>
                <w:szCs w:val="18"/>
              </w:rPr>
            </w:pPr>
            <w:r w:rsidRPr="00025BF4">
              <w:rPr>
                <w:sz w:val="18"/>
                <w:szCs w:val="18"/>
              </w:rPr>
              <w:t>24,720</w:t>
            </w:r>
          </w:p>
        </w:tc>
        <w:tc>
          <w:tcPr>
            <w:tcW w:w="1026" w:type="dxa"/>
            <w:tcBorders>
              <w:top w:val="single" w:sz="4" w:space="0" w:color="auto"/>
              <w:left w:val="single" w:sz="4" w:space="0" w:color="auto"/>
              <w:bottom w:val="single" w:sz="4" w:space="0" w:color="auto"/>
              <w:right w:val="single" w:sz="4" w:space="0" w:color="auto"/>
            </w:tcBorders>
            <w:vAlign w:val="center"/>
            <w:hideMark/>
          </w:tcPr>
          <w:p w14:paraId="2B65A4F8" w14:textId="336C2B90" w:rsidR="00683E55" w:rsidRPr="00683E55" w:rsidRDefault="00683E55" w:rsidP="00683E55">
            <w:pPr>
              <w:pStyle w:val="ExhibitText"/>
              <w:jc w:val="right"/>
              <w:rPr>
                <w:sz w:val="18"/>
                <w:szCs w:val="18"/>
              </w:rPr>
            </w:pPr>
            <w:r w:rsidRPr="00683E55">
              <w:rPr>
                <w:sz w:val="18"/>
                <w:szCs w:val="18"/>
              </w:rPr>
              <w:t>14</w:t>
            </w:r>
            <w:r>
              <w:rPr>
                <w:sz w:val="18"/>
                <w:szCs w:val="18"/>
              </w:rPr>
              <w:t>,</w:t>
            </w:r>
            <w:r w:rsidRPr="00683E55">
              <w:rPr>
                <w:sz w:val="18"/>
                <w:szCs w:val="18"/>
              </w:rPr>
              <w:t>208</w:t>
            </w:r>
          </w:p>
        </w:tc>
        <w:tc>
          <w:tcPr>
            <w:tcW w:w="1026" w:type="dxa"/>
            <w:tcBorders>
              <w:top w:val="single" w:sz="4" w:space="0" w:color="auto"/>
              <w:left w:val="single" w:sz="4" w:space="0" w:color="auto"/>
              <w:bottom w:val="single" w:sz="4" w:space="0" w:color="auto"/>
              <w:right w:val="single" w:sz="4" w:space="0" w:color="auto"/>
            </w:tcBorders>
            <w:vAlign w:val="center"/>
            <w:hideMark/>
          </w:tcPr>
          <w:p w14:paraId="75768280" w14:textId="57D01578" w:rsidR="00683E55" w:rsidRPr="00683E55" w:rsidRDefault="00683E55">
            <w:pPr>
              <w:pStyle w:val="ExhibitText"/>
              <w:jc w:val="right"/>
              <w:rPr>
                <w:sz w:val="18"/>
                <w:szCs w:val="18"/>
              </w:rPr>
            </w:pPr>
            <w:r w:rsidRPr="00683E55">
              <w:rPr>
                <w:sz w:val="18"/>
                <w:szCs w:val="18"/>
              </w:rPr>
              <w:t>2</w:t>
            </w:r>
            <w:r w:rsidR="00B71A15">
              <w:rPr>
                <w:sz w:val="18"/>
                <w:szCs w:val="18"/>
              </w:rPr>
              <w:t>4</w:t>
            </w:r>
          </w:p>
        </w:tc>
        <w:tc>
          <w:tcPr>
            <w:tcW w:w="1026" w:type="dxa"/>
            <w:tcBorders>
              <w:top w:val="single" w:sz="4" w:space="0" w:color="auto"/>
              <w:left w:val="single" w:sz="4" w:space="0" w:color="auto"/>
              <w:bottom w:val="single" w:sz="4" w:space="0" w:color="auto"/>
              <w:right w:val="single" w:sz="4" w:space="0" w:color="auto"/>
            </w:tcBorders>
            <w:vAlign w:val="center"/>
            <w:hideMark/>
          </w:tcPr>
          <w:p w14:paraId="5E79627B" w14:textId="4585955C" w:rsidR="00683E55" w:rsidRPr="00683E55" w:rsidRDefault="00683E55" w:rsidP="00683E55">
            <w:pPr>
              <w:pStyle w:val="ExhibitText"/>
              <w:jc w:val="right"/>
              <w:rPr>
                <w:sz w:val="18"/>
                <w:szCs w:val="18"/>
              </w:rPr>
            </w:pPr>
            <w:r w:rsidRPr="00683E55">
              <w:rPr>
                <w:sz w:val="18"/>
                <w:szCs w:val="18"/>
              </w:rPr>
              <w:t>2</w:t>
            </w:r>
            <w:r>
              <w:rPr>
                <w:sz w:val="18"/>
                <w:szCs w:val="18"/>
              </w:rPr>
              <w:t>,</w:t>
            </w:r>
            <w:r w:rsidRPr="00683E55">
              <w:rPr>
                <w:sz w:val="18"/>
                <w:szCs w:val="18"/>
              </w:rPr>
              <w:t>401</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1C3FDCB" w14:textId="36A396B1" w:rsidR="00683E55" w:rsidRPr="00683E55" w:rsidRDefault="00683E55" w:rsidP="00542316">
            <w:pPr>
              <w:pStyle w:val="ExhibitText"/>
              <w:jc w:val="right"/>
              <w:rPr>
                <w:sz w:val="18"/>
                <w:szCs w:val="18"/>
              </w:rPr>
            </w:pPr>
            <w:r w:rsidRPr="00683E55">
              <w:rPr>
                <w:sz w:val="18"/>
                <w:szCs w:val="18"/>
              </w:rPr>
              <w:t>-</w:t>
            </w:r>
          </w:p>
        </w:tc>
        <w:tc>
          <w:tcPr>
            <w:tcW w:w="838" w:type="dxa"/>
            <w:tcBorders>
              <w:top w:val="single" w:sz="4" w:space="0" w:color="auto"/>
              <w:left w:val="single" w:sz="4" w:space="0" w:color="auto"/>
              <w:bottom w:val="single" w:sz="4" w:space="0" w:color="auto"/>
              <w:right w:val="single" w:sz="4" w:space="0" w:color="auto"/>
            </w:tcBorders>
            <w:vAlign w:val="center"/>
            <w:hideMark/>
          </w:tcPr>
          <w:p w14:paraId="06EC5148" w14:textId="66FCDAAE"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32F6E670" w14:textId="7066B58B"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44F321C4" w14:textId="1C203AEA" w:rsidR="00683E55" w:rsidRPr="00683E55" w:rsidRDefault="00683E55" w:rsidP="00683E55">
            <w:pPr>
              <w:pStyle w:val="ExhibitText"/>
              <w:jc w:val="right"/>
              <w:rPr>
                <w:sz w:val="18"/>
                <w:szCs w:val="18"/>
              </w:rPr>
            </w:pPr>
            <w:r w:rsidRPr="00683E55">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3E633631" w14:textId="3988BB05"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7F22D568" w14:textId="16D1CB3B"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7661EE4A" w14:textId="6B632FC8" w:rsidR="00683E55" w:rsidRPr="00683E55" w:rsidRDefault="00683E55" w:rsidP="00683E55">
            <w:pPr>
              <w:pStyle w:val="ExhibitText"/>
              <w:jc w:val="right"/>
              <w:rPr>
                <w:sz w:val="18"/>
                <w:szCs w:val="18"/>
              </w:rPr>
            </w:pPr>
            <w:r w:rsidRPr="00683E55">
              <w:rPr>
                <w:sz w:val="18"/>
                <w:szCs w:val="18"/>
              </w:rPr>
              <w:t>-</w:t>
            </w:r>
          </w:p>
        </w:tc>
      </w:tr>
      <w:tr w:rsidR="00683E55" w:rsidRPr="009E116E" w14:paraId="6E5BECEA" w14:textId="77777777" w:rsidTr="00174436">
        <w:trPr>
          <w:trHeight w:val="36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5636695C" w14:textId="77777777" w:rsidR="00683E55" w:rsidRPr="009E116E" w:rsidRDefault="00683E55" w:rsidP="001456A2">
            <w:pPr>
              <w:pStyle w:val="ExhibitText"/>
              <w:jc w:val="left"/>
              <w:rPr>
                <w:sz w:val="18"/>
                <w:szCs w:val="18"/>
              </w:rPr>
            </w:pPr>
            <w:r w:rsidRPr="009E116E">
              <w:rPr>
                <w:sz w:val="18"/>
                <w:szCs w:val="18"/>
              </w:rPr>
              <w:t>Cities</w:t>
            </w:r>
          </w:p>
        </w:tc>
        <w:tc>
          <w:tcPr>
            <w:tcW w:w="1026" w:type="dxa"/>
            <w:tcBorders>
              <w:top w:val="single" w:sz="4" w:space="0" w:color="auto"/>
              <w:left w:val="single" w:sz="4" w:space="0" w:color="auto"/>
              <w:bottom w:val="single" w:sz="4" w:space="0" w:color="auto"/>
              <w:right w:val="single" w:sz="4" w:space="0" w:color="auto"/>
            </w:tcBorders>
            <w:vAlign w:val="center"/>
            <w:hideMark/>
          </w:tcPr>
          <w:p w14:paraId="0074E0C4" w14:textId="46971E7F" w:rsidR="00683E55" w:rsidRPr="00025BF4" w:rsidRDefault="00683E55" w:rsidP="00683E55">
            <w:pPr>
              <w:pStyle w:val="ExhibitText"/>
              <w:jc w:val="right"/>
              <w:rPr>
                <w:sz w:val="18"/>
                <w:szCs w:val="18"/>
              </w:rPr>
            </w:pPr>
            <w:r w:rsidRPr="00025BF4">
              <w:rPr>
                <w:sz w:val="18"/>
                <w:szCs w:val="18"/>
              </w:rPr>
              <w:t>1,236,222</w:t>
            </w:r>
          </w:p>
        </w:tc>
        <w:tc>
          <w:tcPr>
            <w:tcW w:w="1026" w:type="dxa"/>
            <w:tcBorders>
              <w:top w:val="single" w:sz="4" w:space="0" w:color="auto"/>
              <w:left w:val="single" w:sz="4" w:space="0" w:color="auto"/>
              <w:bottom w:val="single" w:sz="4" w:space="0" w:color="auto"/>
              <w:right w:val="single" w:sz="4" w:space="0" w:color="auto"/>
            </w:tcBorders>
            <w:vAlign w:val="center"/>
            <w:hideMark/>
          </w:tcPr>
          <w:p w14:paraId="1EDF79B9" w14:textId="2E79C8BA" w:rsidR="00683E55" w:rsidRPr="00025BF4" w:rsidRDefault="00683E55" w:rsidP="00683E55">
            <w:pPr>
              <w:pStyle w:val="ExhibitText"/>
              <w:jc w:val="right"/>
              <w:rPr>
                <w:sz w:val="18"/>
                <w:szCs w:val="18"/>
              </w:rPr>
            </w:pPr>
            <w:r w:rsidRPr="00025BF4">
              <w:rPr>
                <w:sz w:val="18"/>
                <w:szCs w:val="18"/>
              </w:rPr>
              <w:t>562,607</w:t>
            </w:r>
          </w:p>
        </w:tc>
        <w:tc>
          <w:tcPr>
            <w:tcW w:w="1026" w:type="dxa"/>
            <w:tcBorders>
              <w:top w:val="single" w:sz="4" w:space="0" w:color="auto"/>
              <w:left w:val="single" w:sz="4" w:space="0" w:color="auto"/>
              <w:bottom w:val="single" w:sz="4" w:space="0" w:color="auto"/>
              <w:right w:val="single" w:sz="4" w:space="0" w:color="auto"/>
            </w:tcBorders>
            <w:vAlign w:val="center"/>
            <w:hideMark/>
          </w:tcPr>
          <w:p w14:paraId="7E4D82B9" w14:textId="11165234" w:rsidR="00683E55" w:rsidRPr="00683E55" w:rsidRDefault="00683E55" w:rsidP="00683E55">
            <w:pPr>
              <w:pStyle w:val="ExhibitText"/>
              <w:jc w:val="right"/>
              <w:rPr>
                <w:sz w:val="18"/>
                <w:szCs w:val="18"/>
              </w:rPr>
            </w:pPr>
            <w:r w:rsidRPr="00683E55">
              <w:rPr>
                <w:sz w:val="18"/>
                <w:szCs w:val="18"/>
              </w:rPr>
              <w:t>145</w:t>
            </w:r>
            <w:r>
              <w:rPr>
                <w:sz w:val="18"/>
                <w:szCs w:val="18"/>
              </w:rPr>
              <w:t>,</w:t>
            </w:r>
            <w:r w:rsidRPr="00683E55">
              <w:rPr>
                <w:sz w:val="18"/>
                <w:szCs w:val="18"/>
              </w:rPr>
              <w:t>915</w:t>
            </w:r>
          </w:p>
        </w:tc>
        <w:tc>
          <w:tcPr>
            <w:tcW w:w="1026" w:type="dxa"/>
            <w:tcBorders>
              <w:top w:val="single" w:sz="4" w:space="0" w:color="auto"/>
              <w:left w:val="single" w:sz="4" w:space="0" w:color="auto"/>
              <w:bottom w:val="single" w:sz="4" w:space="0" w:color="auto"/>
              <w:right w:val="single" w:sz="4" w:space="0" w:color="auto"/>
            </w:tcBorders>
            <w:vAlign w:val="center"/>
            <w:hideMark/>
          </w:tcPr>
          <w:p w14:paraId="7E9CFAB6" w14:textId="205C4512" w:rsidR="00683E55" w:rsidRPr="00683E55" w:rsidRDefault="00683E55" w:rsidP="00683E55">
            <w:pPr>
              <w:pStyle w:val="ExhibitText"/>
              <w:jc w:val="right"/>
              <w:rPr>
                <w:sz w:val="18"/>
                <w:szCs w:val="18"/>
              </w:rPr>
            </w:pPr>
            <w:r w:rsidRPr="00683E55">
              <w:rPr>
                <w:sz w:val="18"/>
                <w:szCs w:val="18"/>
              </w:rPr>
              <w:t>76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674B1851" w14:textId="0ED29584" w:rsidR="00683E55" w:rsidRPr="00683E55" w:rsidRDefault="00683E55" w:rsidP="00683E55">
            <w:pPr>
              <w:pStyle w:val="ExhibitText"/>
              <w:jc w:val="right"/>
              <w:rPr>
                <w:sz w:val="18"/>
                <w:szCs w:val="18"/>
              </w:rPr>
            </w:pPr>
            <w:r w:rsidRPr="00683E55">
              <w:rPr>
                <w:sz w:val="18"/>
                <w:szCs w:val="18"/>
              </w:rPr>
              <w:t>16</w:t>
            </w:r>
            <w:r>
              <w:rPr>
                <w:sz w:val="18"/>
                <w:szCs w:val="18"/>
              </w:rPr>
              <w:t>,</w:t>
            </w:r>
            <w:r w:rsidRPr="00683E55">
              <w:rPr>
                <w:sz w:val="18"/>
                <w:szCs w:val="18"/>
              </w:rPr>
              <w:t>242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6F0D389" w14:textId="6BFFE575" w:rsidR="00683E55" w:rsidRPr="00683E55" w:rsidRDefault="00683E55" w:rsidP="00542316">
            <w:pPr>
              <w:pStyle w:val="ExhibitText"/>
              <w:jc w:val="right"/>
              <w:rPr>
                <w:sz w:val="18"/>
                <w:szCs w:val="18"/>
              </w:rPr>
            </w:pPr>
            <w:r w:rsidRPr="00683E55">
              <w:rPr>
                <w:sz w:val="18"/>
                <w:szCs w:val="18"/>
              </w:rPr>
              <w:t>-</w:t>
            </w:r>
          </w:p>
        </w:tc>
        <w:tc>
          <w:tcPr>
            <w:tcW w:w="838" w:type="dxa"/>
            <w:tcBorders>
              <w:top w:val="single" w:sz="4" w:space="0" w:color="auto"/>
              <w:left w:val="single" w:sz="4" w:space="0" w:color="auto"/>
              <w:bottom w:val="single" w:sz="4" w:space="0" w:color="auto"/>
              <w:right w:val="single" w:sz="4" w:space="0" w:color="auto"/>
            </w:tcBorders>
            <w:vAlign w:val="center"/>
            <w:hideMark/>
          </w:tcPr>
          <w:p w14:paraId="1FF00F21" w14:textId="0F8810A5"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57812F17" w14:textId="1E42841E"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1F877D9" w14:textId="5C8D07D5" w:rsidR="00683E55" w:rsidRPr="00683E55" w:rsidRDefault="00683E55" w:rsidP="00683E55">
            <w:pPr>
              <w:pStyle w:val="ExhibitText"/>
              <w:jc w:val="right"/>
              <w:rPr>
                <w:sz w:val="18"/>
                <w:szCs w:val="18"/>
              </w:rPr>
            </w:pPr>
            <w:r w:rsidRPr="00683E55">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41A884B" w14:textId="22BE3789"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8EB4B2A" w14:textId="239FA368" w:rsidR="00683E55" w:rsidRPr="00683E55" w:rsidRDefault="00683E55" w:rsidP="00683E55">
            <w:pPr>
              <w:pStyle w:val="ExhibitText"/>
              <w:jc w:val="right"/>
              <w:rPr>
                <w:sz w:val="18"/>
                <w:szCs w:val="18"/>
              </w:rPr>
            </w:pPr>
            <w:r w:rsidRPr="00683E55">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45AF3A49" w14:textId="19E69E5F" w:rsidR="00683E55" w:rsidRPr="00683E55" w:rsidRDefault="00683E55" w:rsidP="00683E55">
            <w:pPr>
              <w:pStyle w:val="ExhibitText"/>
              <w:jc w:val="right"/>
              <w:rPr>
                <w:sz w:val="18"/>
                <w:szCs w:val="18"/>
              </w:rPr>
            </w:pPr>
            <w:r w:rsidRPr="00683E55">
              <w:rPr>
                <w:sz w:val="18"/>
                <w:szCs w:val="18"/>
              </w:rPr>
              <w:t>-</w:t>
            </w:r>
          </w:p>
        </w:tc>
      </w:tr>
      <w:tr w:rsidR="003B21DA" w:rsidRPr="009E116E" w14:paraId="2B95C0A9" w14:textId="77777777" w:rsidTr="00174436">
        <w:trPr>
          <w:trHeight w:val="36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579CCA83" w14:textId="0D3550BB" w:rsidR="001456A2" w:rsidRPr="001456A2" w:rsidRDefault="003B21DA" w:rsidP="001456A2">
            <w:pPr>
              <w:pStyle w:val="ExhibitText"/>
              <w:jc w:val="left"/>
              <w:rPr>
                <w:sz w:val="18"/>
                <w:szCs w:val="18"/>
              </w:rPr>
            </w:pPr>
            <w:proofErr w:type="spellStart"/>
            <w:r>
              <w:rPr>
                <w:bCs/>
                <w:sz w:val="18"/>
                <w:szCs w:val="18"/>
              </w:rPr>
              <w:t>Gonaï</w:t>
            </w:r>
            <w:r w:rsidR="001456A2" w:rsidRPr="001456A2">
              <w:rPr>
                <w:bCs/>
                <w:sz w:val="18"/>
                <w:szCs w:val="18"/>
              </w:rPr>
              <w:t>ves</w:t>
            </w:r>
            <w:proofErr w:type="spellEnd"/>
          </w:p>
        </w:tc>
        <w:tc>
          <w:tcPr>
            <w:tcW w:w="1026" w:type="dxa"/>
            <w:tcBorders>
              <w:top w:val="single" w:sz="4" w:space="0" w:color="auto"/>
              <w:left w:val="single" w:sz="4" w:space="0" w:color="auto"/>
              <w:bottom w:val="single" w:sz="4" w:space="0" w:color="auto"/>
              <w:right w:val="single" w:sz="4" w:space="0" w:color="auto"/>
            </w:tcBorders>
            <w:vAlign w:val="center"/>
            <w:hideMark/>
          </w:tcPr>
          <w:p w14:paraId="3511E705" w14:textId="3FBE917D" w:rsidR="001456A2" w:rsidRPr="009E116E" w:rsidRDefault="001456A2" w:rsidP="001456A2">
            <w:pPr>
              <w:pStyle w:val="ExhibitText"/>
              <w:jc w:val="right"/>
              <w:rPr>
                <w:sz w:val="18"/>
                <w:szCs w:val="18"/>
              </w:rPr>
            </w:pPr>
            <w:r w:rsidRPr="00A90A69">
              <w:rPr>
                <w:sz w:val="18"/>
                <w:szCs w:val="18"/>
              </w:rPr>
              <w:t>324,043</w:t>
            </w:r>
          </w:p>
        </w:tc>
        <w:tc>
          <w:tcPr>
            <w:tcW w:w="1026" w:type="dxa"/>
            <w:tcBorders>
              <w:top w:val="single" w:sz="4" w:space="0" w:color="auto"/>
              <w:left w:val="single" w:sz="4" w:space="0" w:color="auto"/>
              <w:bottom w:val="single" w:sz="4" w:space="0" w:color="auto"/>
              <w:right w:val="single" w:sz="4" w:space="0" w:color="auto"/>
            </w:tcBorders>
            <w:vAlign w:val="center"/>
            <w:hideMark/>
          </w:tcPr>
          <w:p w14:paraId="0AD88615" w14:textId="0CE04C85" w:rsidR="001456A2" w:rsidRPr="009E116E" w:rsidRDefault="001456A2" w:rsidP="001456A2">
            <w:pPr>
              <w:pStyle w:val="ExhibitText"/>
              <w:jc w:val="right"/>
              <w:rPr>
                <w:sz w:val="18"/>
                <w:szCs w:val="18"/>
              </w:rPr>
            </w:pPr>
            <w:r w:rsidRPr="00A90A69">
              <w:rPr>
                <w:sz w:val="18"/>
                <w:szCs w:val="18"/>
              </w:rPr>
              <w:t>136,750</w:t>
            </w:r>
          </w:p>
        </w:tc>
        <w:tc>
          <w:tcPr>
            <w:tcW w:w="1026" w:type="dxa"/>
            <w:tcBorders>
              <w:top w:val="single" w:sz="4" w:space="0" w:color="auto"/>
              <w:left w:val="single" w:sz="4" w:space="0" w:color="auto"/>
              <w:bottom w:val="single" w:sz="4" w:space="0" w:color="auto"/>
              <w:right w:val="single" w:sz="4" w:space="0" w:color="auto"/>
            </w:tcBorders>
            <w:vAlign w:val="center"/>
            <w:hideMark/>
          </w:tcPr>
          <w:p w14:paraId="2F9C903F" w14:textId="13E43135" w:rsidR="001456A2" w:rsidRPr="009E116E" w:rsidRDefault="001456A2" w:rsidP="001456A2">
            <w:pPr>
              <w:pStyle w:val="ExhibitText"/>
              <w:jc w:val="right"/>
              <w:rPr>
                <w:sz w:val="18"/>
                <w:szCs w:val="18"/>
              </w:rPr>
            </w:pPr>
            <w:r w:rsidRPr="00A90A69">
              <w:rPr>
                <w:sz w:val="18"/>
                <w:szCs w:val="18"/>
              </w:rPr>
              <w:t>67,190</w:t>
            </w:r>
          </w:p>
        </w:tc>
        <w:tc>
          <w:tcPr>
            <w:tcW w:w="1026" w:type="dxa"/>
            <w:tcBorders>
              <w:top w:val="single" w:sz="4" w:space="0" w:color="auto"/>
              <w:left w:val="single" w:sz="4" w:space="0" w:color="auto"/>
              <w:bottom w:val="single" w:sz="4" w:space="0" w:color="auto"/>
              <w:right w:val="single" w:sz="4" w:space="0" w:color="auto"/>
            </w:tcBorders>
            <w:vAlign w:val="center"/>
            <w:hideMark/>
          </w:tcPr>
          <w:p w14:paraId="245698B4" w14:textId="34407C25" w:rsidR="001456A2" w:rsidRPr="009E116E" w:rsidRDefault="001456A2" w:rsidP="001456A2">
            <w:pPr>
              <w:pStyle w:val="ExhibitText"/>
              <w:jc w:val="right"/>
              <w:rPr>
                <w:sz w:val="18"/>
                <w:szCs w:val="18"/>
              </w:rPr>
            </w:pPr>
            <w:r w:rsidRPr="00A90A69">
              <w:rPr>
                <w:sz w:val="18"/>
                <w:szCs w:val="18"/>
              </w:rPr>
              <w:t>57</w:t>
            </w:r>
            <w:r w:rsidR="00B71A15">
              <w:rPr>
                <w:sz w:val="18"/>
                <w:szCs w:val="18"/>
              </w:rPr>
              <w:t>4</w:t>
            </w:r>
          </w:p>
        </w:tc>
        <w:tc>
          <w:tcPr>
            <w:tcW w:w="1026" w:type="dxa"/>
            <w:tcBorders>
              <w:top w:val="single" w:sz="4" w:space="0" w:color="auto"/>
              <w:left w:val="single" w:sz="4" w:space="0" w:color="auto"/>
              <w:bottom w:val="single" w:sz="4" w:space="0" w:color="auto"/>
              <w:right w:val="single" w:sz="4" w:space="0" w:color="auto"/>
            </w:tcBorders>
            <w:vAlign w:val="center"/>
            <w:hideMark/>
          </w:tcPr>
          <w:p w14:paraId="292D06BC" w14:textId="2E8A5640" w:rsidR="001456A2" w:rsidRPr="009E116E" w:rsidRDefault="001456A2" w:rsidP="001456A2">
            <w:pPr>
              <w:pStyle w:val="ExhibitText"/>
              <w:jc w:val="right"/>
              <w:rPr>
                <w:sz w:val="18"/>
                <w:szCs w:val="18"/>
              </w:rPr>
            </w:pPr>
            <w:r w:rsidRPr="00A90A69">
              <w:rPr>
                <w:sz w:val="18"/>
                <w:szCs w:val="18"/>
              </w:rPr>
              <w:t>565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F682FDE" w14:textId="28E772A2" w:rsidR="001456A2" w:rsidRPr="009E116E" w:rsidRDefault="001456A2" w:rsidP="00542316">
            <w:pPr>
              <w:pStyle w:val="ExhibitText"/>
              <w:jc w:val="right"/>
              <w:rPr>
                <w:sz w:val="18"/>
                <w:szCs w:val="18"/>
              </w:rPr>
            </w:pPr>
            <w:proofErr w:type="spellStart"/>
            <w:r w:rsidRPr="00A90A69">
              <w:rPr>
                <w:sz w:val="18"/>
                <w:szCs w:val="18"/>
              </w:rPr>
              <w:t>Thermo</w:t>
            </w:r>
            <w:proofErr w:type="spellEnd"/>
            <w:r>
              <w:rPr>
                <w:sz w:val="18"/>
                <w:szCs w:val="18"/>
              </w:rPr>
              <w:t xml:space="preserve"> </w:t>
            </w:r>
            <w:r w:rsidRPr="00A90A69">
              <w:rPr>
                <w:sz w:val="18"/>
                <w:szCs w:val="18"/>
              </w:rPr>
              <w:t>M</w:t>
            </w:r>
          </w:p>
        </w:tc>
        <w:tc>
          <w:tcPr>
            <w:tcW w:w="838" w:type="dxa"/>
            <w:tcBorders>
              <w:top w:val="single" w:sz="4" w:space="0" w:color="auto"/>
              <w:left w:val="single" w:sz="4" w:space="0" w:color="auto"/>
              <w:bottom w:val="single" w:sz="4" w:space="0" w:color="auto"/>
              <w:right w:val="single" w:sz="4" w:space="0" w:color="auto"/>
            </w:tcBorders>
            <w:vAlign w:val="center"/>
            <w:hideMark/>
          </w:tcPr>
          <w:p w14:paraId="1B011BC3" w14:textId="550B5BC0" w:rsidR="001456A2" w:rsidRPr="009E116E" w:rsidRDefault="001456A2" w:rsidP="001456A2">
            <w:pPr>
              <w:pStyle w:val="ExhibitText"/>
              <w:jc w:val="right"/>
              <w:rPr>
                <w:sz w:val="18"/>
                <w:szCs w:val="18"/>
              </w:rPr>
            </w:pPr>
            <w:r w:rsidRPr="00A90A69">
              <w:rPr>
                <w:sz w:val="18"/>
                <w:szCs w:val="18"/>
              </w:rPr>
              <w:t>15.0</w:t>
            </w:r>
          </w:p>
        </w:tc>
        <w:tc>
          <w:tcPr>
            <w:tcW w:w="929" w:type="dxa"/>
            <w:tcBorders>
              <w:top w:val="single" w:sz="4" w:space="0" w:color="auto"/>
              <w:left w:val="single" w:sz="4" w:space="0" w:color="auto"/>
              <w:bottom w:val="single" w:sz="4" w:space="0" w:color="auto"/>
              <w:right w:val="single" w:sz="4" w:space="0" w:color="auto"/>
            </w:tcBorders>
            <w:vAlign w:val="center"/>
            <w:hideMark/>
          </w:tcPr>
          <w:p w14:paraId="1492BF97" w14:textId="3323D1F8" w:rsidR="001456A2" w:rsidRPr="009E116E" w:rsidRDefault="001456A2" w:rsidP="001456A2">
            <w:pPr>
              <w:pStyle w:val="ExhibitText"/>
              <w:jc w:val="right"/>
              <w:rPr>
                <w:sz w:val="18"/>
                <w:szCs w:val="18"/>
              </w:rPr>
            </w:pPr>
            <w:r w:rsidRPr="00A90A69">
              <w:rPr>
                <w:sz w:val="18"/>
                <w:szCs w:val="18"/>
              </w:rPr>
              <w:t>14.0</w:t>
            </w:r>
          </w:p>
        </w:tc>
        <w:tc>
          <w:tcPr>
            <w:tcW w:w="929" w:type="dxa"/>
            <w:tcBorders>
              <w:top w:val="single" w:sz="4" w:space="0" w:color="auto"/>
              <w:left w:val="single" w:sz="4" w:space="0" w:color="auto"/>
              <w:bottom w:val="single" w:sz="4" w:space="0" w:color="auto"/>
              <w:right w:val="single" w:sz="4" w:space="0" w:color="auto"/>
            </w:tcBorders>
            <w:vAlign w:val="center"/>
            <w:hideMark/>
          </w:tcPr>
          <w:p w14:paraId="5CCCBCBA" w14:textId="6F3FBDBF" w:rsidR="001456A2" w:rsidRPr="009E116E" w:rsidRDefault="001456A2" w:rsidP="001456A2">
            <w:pPr>
              <w:pStyle w:val="ExhibitText"/>
              <w:jc w:val="right"/>
              <w:rPr>
                <w:sz w:val="18"/>
                <w:szCs w:val="18"/>
              </w:rPr>
            </w:pPr>
            <w:r w:rsidRPr="00A90A69">
              <w:rPr>
                <w:sz w:val="18"/>
                <w:szCs w:val="18"/>
              </w:rPr>
              <w:t>285.6</w:t>
            </w:r>
          </w:p>
        </w:tc>
        <w:tc>
          <w:tcPr>
            <w:tcW w:w="928" w:type="dxa"/>
            <w:tcBorders>
              <w:top w:val="single" w:sz="4" w:space="0" w:color="auto"/>
              <w:left w:val="single" w:sz="4" w:space="0" w:color="auto"/>
              <w:bottom w:val="single" w:sz="4" w:space="0" w:color="auto"/>
              <w:right w:val="single" w:sz="4" w:space="0" w:color="auto"/>
            </w:tcBorders>
            <w:vAlign w:val="center"/>
            <w:hideMark/>
          </w:tcPr>
          <w:p w14:paraId="3571003E" w14:textId="0D9C7504" w:rsidR="001456A2" w:rsidRPr="009E116E" w:rsidRDefault="001456A2" w:rsidP="001456A2">
            <w:pPr>
              <w:pStyle w:val="ExhibitText"/>
              <w:jc w:val="right"/>
              <w:rPr>
                <w:sz w:val="18"/>
                <w:szCs w:val="18"/>
              </w:rPr>
            </w:pPr>
            <w:r w:rsidRPr="00A90A69">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4B2307BD" w14:textId="52256680" w:rsidR="001456A2" w:rsidRPr="009E116E" w:rsidRDefault="001456A2">
            <w:pPr>
              <w:pStyle w:val="ExhibitText"/>
              <w:jc w:val="right"/>
              <w:rPr>
                <w:sz w:val="18"/>
                <w:szCs w:val="18"/>
              </w:rPr>
            </w:pPr>
            <w:r w:rsidRPr="00A90A69">
              <w:rPr>
                <w:sz w:val="18"/>
                <w:szCs w:val="18"/>
              </w:rPr>
              <w:t>3,714</w:t>
            </w:r>
          </w:p>
        </w:tc>
        <w:tc>
          <w:tcPr>
            <w:tcW w:w="929" w:type="dxa"/>
            <w:tcBorders>
              <w:top w:val="single" w:sz="4" w:space="0" w:color="auto"/>
              <w:left w:val="single" w:sz="4" w:space="0" w:color="auto"/>
              <w:bottom w:val="single" w:sz="4" w:space="0" w:color="auto"/>
              <w:right w:val="single" w:sz="4" w:space="0" w:color="auto"/>
            </w:tcBorders>
            <w:vAlign w:val="center"/>
            <w:hideMark/>
          </w:tcPr>
          <w:p w14:paraId="19ECC6DD" w14:textId="7FDA186F" w:rsidR="001456A2" w:rsidRPr="009E116E" w:rsidRDefault="001456A2" w:rsidP="001456A2">
            <w:pPr>
              <w:pStyle w:val="ExhibitText"/>
              <w:jc w:val="right"/>
              <w:rPr>
                <w:sz w:val="18"/>
                <w:szCs w:val="18"/>
              </w:rPr>
            </w:pPr>
            <w:r w:rsidRPr="00A90A69">
              <w:rPr>
                <w:sz w:val="18"/>
                <w:szCs w:val="18"/>
              </w:rPr>
              <w:t>16,000</w:t>
            </w:r>
          </w:p>
        </w:tc>
      </w:tr>
      <w:tr w:rsidR="003B21DA" w:rsidRPr="009E116E" w14:paraId="6E8A69DA" w14:textId="77777777" w:rsidTr="00174436">
        <w:trPr>
          <w:trHeight w:val="36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2B0CEBF6" w14:textId="76BCC493" w:rsidR="001456A2" w:rsidRPr="001456A2" w:rsidRDefault="001456A2" w:rsidP="001456A2">
            <w:pPr>
              <w:pStyle w:val="ExhibitText"/>
              <w:jc w:val="left"/>
              <w:rPr>
                <w:sz w:val="18"/>
                <w:szCs w:val="18"/>
              </w:rPr>
            </w:pPr>
            <w:r w:rsidRPr="001456A2">
              <w:rPr>
                <w:bCs/>
                <w:sz w:val="18"/>
                <w:szCs w:val="18"/>
              </w:rPr>
              <w:t>Hinche</w:t>
            </w:r>
          </w:p>
        </w:tc>
        <w:tc>
          <w:tcPr>
            <w:tcW w:w="1026" w:type="dxa"/>
            <w:tcBorders>
              <w:top w:val="single" w:sz="4" w:space="0" w:color="auto"/>
              <w:left w:val="single" w:sz="4" w:space="0" w:color="auto"/>
              <w:bottom w:val="single" w:sz="4" w:space="0" w:color="auto"/>
              <w:right w:val="single" w:sz="4" w:space="0" w:color="auto"/>
            </w:tcBorders>
            <w:vAlign w:val="center"/>
            <w:hideMark/>
          </w:tcPr>
          <w:p w14:paraId="29C50AAB" w14:textId="6CE855A7" w:rsidR="001456A2" w:rsidRPr="009E116E" w:rsidRDefault="001456A2" w:rsidP="001456A2">
            <w:pPr>
              <w:pStyle w:val="ExhibitText"/>
              <w:jc w:val="right"/>
              <w:rPr>
                <w:sz w:val="18"/>
                <w:szCs w:val="18"/>
              </w:rPr>
            </w:pPr>
            <w:r w:rsidRPr="00A90A69">
              <w:rPr>
                <w:sz w:val="18"/>
                <w:szCs w:val="18"/>
              </w:rPr>
              <w:t>109,916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073714D9" w14:textId="282AE746" w:rsidR="001456A2" w:rsidRPr="009E116E" w:rsidRDefault="001456A2" w:rsidP="001456A2">
            <w:pPr>
              <w:pStyle w:val="ExhibitText"/>
              <w:jc w:val="right"/>
              <w:rPr>
                <w:sz w:val="18"/>
                <w:szCs w:val="18"/>
              </w:rPr>
            </w:pPr>
            <w:r w:rsidRPr="00A90A69">
              <w:rPr>
                <w:sz w:val="18"/>
                <w:szCs w:val="18"/>
              </w:rPr>
              <w:t>46,682</w:t>
            </w:r>
          </w:p>
        </w:tc>
        <w:tc>
          <w:tcPr>
            <w:tcW w:w="1026" w:type="dxa"/>
            <w:tcBorders>
              <w:top w:val="single" w:sz="4" w:space="0" w:color="auto"/>
              <w:left w:val="single" w:sz="4" w:space="0" w:color="auto"/>
              <w:bottom w:val="single" w:sz="4" w:space="0" w:color="auto"/>
              <w:right w:val="single" w:sz="4" w:space="0" w:color="auto"/>
            </w:tcBorders>
            <w:vAlign w:val="center"/>
            <w:hideMark/>
          </w:tcPr>
          <w:p w14:paraId="67276A53" w14:textId="10F728CC" w:rsidR="001456A2" w:rsidRPr="009E116E" w:rsidRDefault="001456A2" w:rsidP="001456A2">
            <w:pPr>
              <w:pStyle w:val="ExhibitText"/>
              <w:jc w:val="right"/>
              <w:rPr>
                <w:sz w:val="18"/>
                <w:szCs w:val="18"/>
              </w:rPr>
            </w:pPr>
            <w:r w:rsidRPr="00A90A69">
              <w:rPr>
                <w:sz w:val="18"/>
                <w:szCs w:val="18"/>
              </w:rPr>
              <w:t>23,663</w:t>
            </w:r>
          </w:p>
        </w:tc>
        <w:tc>
          <w:tcPr>
            <w:tcW w:w="1026" w:type="dxa"/>
            <w:tcBorders>
              <w:top w:val="single" w:sz="4" w:space="0" w:color="auto"/>
              <w:left w:val="single" w:sz="4" w:space="0" w:color="auto"/>
              <w:bottom w:val="single" w:sz="4" w:space="0" w:color="auto"/>
              <w:right w:val="single" w:sz="4" w:space="0" w:color="auto"/>
            </w:tcBorders>
            <w:vAlign w:val="center"/>
            <w:hideMark/>
          </w:tcPr>
          <w:p w14:paraId="6E26D368" w14:textId="74E4CEB5" w:rsidR="001456A2" w:rsidRPr="009E116E" w:rsidRDefault="001456A2" w:rsidP="001456A2">
            <w:pPr>
              <w:pStyle w:val="ExhibitText"/>
              <w:jc w:val="right"/>
              <w:rPr>
                <w:sz w:val="18"/>
                <w:szCs w:val="18"/>
              </w:rPr>
            </w:pPr>
            <w:r w:rsidRPr="00A90A69">
              <w:rPr>
                <w:sz w:val="18"/>
                <w:szCs w:val="18"/>
              </w:rPr>
              <w:t>588</w:t>
            </w:r>
          </w:p>
        </w:tc>
        <w:tc>
          <w:tcPr>
            <w:tcW w:w="1026" w:type="dxa"/>
            <w:tcBorders>
              <w:top w:val="single" w:sz="4" w:space="0" w:color="auto"/>
              <w:left w:val="single" w:sz="4" w:space="0" w:color="auto"/>
              <w:bottom w:val="single" w:sz="4" w:space="0" w:color="auto"/>
              <w:right w:val="single" w:sz="4" w:space="0" w:color="auto"/>
            </w:tcBorders>
            <w:vAlign w:val="center"/>
            <w:hideMark/>
          </w:tcPr>
          <w:p w14:paraId="62893424" w14:textId="553242C6" w:rsidR="001456A2" w:rsidRPr="009E116E" w:rsidRDefault="001456A2" w:rsidP="001456A2">
            <w:pPr>
              <w:pStyle w:val="ExhibitText"/>
              <w:jc w:val="right"/>
              <w:rPr>
                <w:sz w:val="18"/>
                <w:szCs w:val="18"/>
              </w:rPr>
            </w:pPr>
            <w:r w:rsidRPr="00A90A69">
              <w:rPr>
                <w:sz w:val="18"/>
                <w:szCs w:val="18"/>
              </w:rPr>
              <w:t>187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4A2308E" w14:textId="73EB48AF" w:rsidR="001456A2" w:rsidRPr="009E116E" w:rsidRDefault="001456A2" w:rsidP="00542316">
            <w:pPr>
              <w:pStyle w:val="ExhibitText"/>
              <w:jc w:val="right"/>
              <w:rPr>
                <w:sz w:val="18"/>
                <w:szCs w:val="18"/>
              </w:rPr>
            </w:pPr>
            <w:proofErr w:type="spellStart"/>
            <w:r w:rsidRPr="00A90A69">
              <w:rPr>
                <w:sz w:val="18"/>
                <w:szCs w:val="18"/>
              </w:rPr>
              <w:t>Thermo</w:t>
            </w:r>
            <w:proofErr w:type="spellEnd"/>
            <w:r w:rsidR="00D75FCD">
              <w:rPr>
                <w:sz w:val="18"/>
                <w:szCs w:val="18"/>
              </w:rPr>
              <w:t xml:space="preserve"> G</w:t>
            </w:r>
          </w:p>
        </w:tc>
        <w:tc>
          <w:tcPr>
            <w:tcW w:w="838" w:type="dxa"/>
            <w:tcBorders>
              <w:top w:val="single" w:sz="4" w:space="0" w:color="auto"/>
              <w:left w:val="single" w:sz="4" w:space="0" w:color="auto"/>
              <w:bottom w:val="single" w:sz="4" w:space="0" w:color="auto"/>
              <w:right w:val="single" w:sz="4" w:space="0" w:color="auto"/>
            </w:tcBorders>
            <w:vAlign w:val="center"/>
            <w:hideMark/>
          </w:tcPr>
          <w:p w14:paraId="1D2D8B82" w14:textId="1897FABA" w:rsidR="001456A2" w:rsidRPr="009E116E" w:rsidRDefault="001456A2" w:rsidP="001456A2">
            <w:pPr>
              <w:pStyle w:val="ExhibitText"/>
              <w:jc w:val="right"/>
              <w:rPr>
                <w:sz w:val="18"/>
                <w:szCs w:val="18"/>
              </w:rPr>
            </w:pPr>
            <w:r w:rsidRPr="00A90A69">
              <w:rPr>
                <w:sz w:val="18"/>
                <w:szCs w:val="18"/>
              </w:rPr>
              <w:t>2.8</w:t>
            </w:r>
          </w:p>
        </w:tc>
        <w:tc>
          <w:tcPr>
            <w:tcW w:w="929" w:type="dxa"/>
            <w:tcBorders>
              <w:top w:val="single" w:sz="4" w:space="0" w:color="auto"/>
              <w:left w:val="single" w:sz="4" w:space="0" w:color="auto"/>
              <w:bottom w:val="single" w:sz="4" w:space="0" w:color="auto"/>
              <w:right w:val="single" w:sz="4" w:space="0" w:color="auto"/>
            </w:tcBorders>
            <w:vAlign w:val="center"/>
            <w:hideMark/>
          </w:tcPr>
          <w:p w14:paraId="774DBE7C" w14:textId="09A85655" w:rsidR="001456A2" w:rsidRPr="009E116E" w:rsidRDefault="001456A2" w:rsidP="001456A2">
            <w:pPr>
              <w:pStyle w:val="ExhibitText"/>
              <w:jc w:val="right"/>
              <w:rPr>
                <w:sz w:val="18"/>
                <w:szCs w:val="18"/>
              </w:rPr>
            </w:pPr>
            <w:r w:rsidRPr="00A90A69">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7C918717" w14:textId="43566B90" w:rsidR="001456A2" w:rsidRPr="009E116E" w:rsidRDefault="001456A2" w:rsidP="001456A2">
            <w:pPr>
              <w:pStyle w:val="ExhibitText"/>
              <w:jc w:val="right"/>
              <w:rPr>
                <w:sz w:val="18"/>
                <w:szCs w:val="18"/>
              </w:rPr>
            </w:pPr>
            <w:r w:rsidRPr="00A90A69">
              <w:rPr>
                <w:sz w:val="18"/>
                <w:szCs w:val="18"/>
              </w:rPr>
              <w:t>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75F87ADB" w14:textId="14543C3F" w:rsidR="001456A2" w:rsidRPr="009E116E" w:rsidRDefault="001456A2" w:rsidP="001456A2">
            <w:pPr>
              <w:pStyle w:val="ExhibitText"/>
              <w:jc w:val="right"/>
              <w:rPr>
                <w:sz w:val="18"/>
                <w:szCs w:val="18"/>
              </w:rPr>
            </w:pPr>
            <w:r w:rsidRPr="00A90A69">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588E2D5A" w14:textId="08DAE33A" w:rsidR="001456A2" w:rsidRPr="009E116E" w:rsidRDefault="001456A2" w:rsidP="001456A2">
            <w:pPr>
              <w:pStyle w:val="ExhibitText"/>
              <w:jc w:val="right"/>
              <w:rPr>
                <w:sz w:val="18"/>
                <w:szCs w:val="18"/>
              </w:rPr>
            </w:pPr>
            <w:r w:rsidRPr="00A90A69">
              <w:rPr>
                <w:sz w:val="18"/>
                <w:szCs w:val="18"/>
              </w:rPr>
              <w:t>5,000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616EB108" w14:textId="504BEA15" w:rsidR="001456A2" w:rsidRPr="009E116E" w:rsidRDefault="001456A2" w:rsidP="001456A2">
            <w:pPr>
              <w:pStyle w:val="ExhibitText"/>
              <w:jc w:val="right"/>
              <w:rPr>
                <w:sz w:val="18"/>
                <w:szCs w:val="18"/>
              </w:rPr>
            </w:pPr>
            <w:r w:rsidRPr="00A90A69">
              <w:rPr>
                <w:sz w:val="18"/>
                <w:szCs w:val="18"/>
              </w:rPr>
              <w:t>1,200</w:t>
            </w:r>
          </w:p>
        </w:tc>
      </w:tr>
      <w:tr w:rsidR="00291BAC" w:rsidRPr="009E116E" w14:paraId="7C81B71B" w14:textId="77777777" w:rsidTr="00174436">
        <w:trPr>
          <w:trHeight w:val="36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2658F112" w14:textId="77777777" w:rsidR="00291BAC" w:rsidRPr="001456A2" w:rsidRDefault="00291BAC">
            <w:pPr>
              <w:pStyle w:val="ExhibitText"/>
              <w:jc w:val="left"/>
              <w:rPr>
                <w:sz w:val="18"/>
                <w:szCs w:val="18"/>
              </w:rPr>
            </w:pPr>
            <w:r w:rsidRPr="001456A2">
              <w:rPr>
                <w:bCs/>
                <w:sz w:val="18"/>
                <w:szCs w:val="18"/>
              </w:rPr>
              <w:t>Mirebalais</w:t>
            </w:r>
          </w:p>
        </w:tc>
        <w:tc>
          <w:tcPr>
            <w:tcW w:w="1026" w:type="dxa"/>
            <w:tcBorders>
              <w:top w:val="single" w:sz="4" w:space="0" w:color="auto"/>
              <w:left w:val="single" w:sz="4" w:space="0" w:color="auto"/>
              <w:bottom w:val="single" w:sz="4" w:space="0" w:color="auto"/>
              <w:right w:val="single" w:sz="4" w:space="0" w:color="auto"/>
            </w:tcBorders>
            <w:vAlign w:val="center"/>
            <w:hideMark/>
          </w:tcPr>
          <w:p w14:paraId="3D24F8DC" w14:textId="0B600272" w:rsidR="00291BAC" w:rsidRPr="009E116E" w:rsidRDefault="00291BAC" w:rsidP="003E7C35">
            <w:pPr>
              <w:pStyle w:val="ExhibitText"/>
              <w:jc w:val="right"/>
              <w:rPr>
                <w:sz w:val="18"/>
                <w:szCs w:val="18"/>
              </w:rPr>
            </w:pPr>
            <w:r w:rsidRPr="00A90A69">
              <w:rPr>
                <w:sz w:val="18"/>
                <w:szCs w:val="18"/>
              </w:rPr>
              <w:t>88,899</w:t>
            </w:r>
          </w:p>
        </w:tc>
        <w:tc>
          <w:tcPr>
            <w:tcW w:w="1026" w:type="dxa"/>
            <w:tcBorders>
              <w:top w:val="single" w:sz="4" w:space="0" w:color="auto"/>
              <w:left w:val="single" w:sz="4" w:space="0" w:color="auto"/>
              <w:bottom w:val="single" w:sz="4" w:space="0" w:color="auto"/>
              <w:right w:val="single" w:sz="4" w:space="0" w:color="auto"/>
            </w:tcBorders>
            <w:vAlign w:val="center"/>
            <w:hideMark/>
          </w:tcPr>
          <w:p w14:paraId="4E6BE809" w14:textId="7D4A8895" w:rsidR="00291BAC" w:rsidRPr="009E116E" w:rsidRDefault="00291BAC" w:rsidP="003E7C35">
            <w:pPr>
              <w:pStyle w:val="ExhibitText"/>
              <w:jc w:val="right"/>
              <w:rPr>
                <w:sz w:val="18"/>
                <w:szCs w:val="18"/>
              </w:rPr>
            </w:pPr>
            <w:r w:rsidRPr="00A90A69">
              <w:rPr>
                <w:sz w:val="18"/>
                <w:szCs w:val="18"/>
              </w:rPr>
              <w:t>39,771</w:t>
            </w:r>
          </w:p>
        </w:tc>
        <w:tc>
          <w:tcPr>
            <w:tcW w:w="1026" w:type="dxa"/>
            <w:tcBorders>
              <w:top w:val="single" w:sz="4" w:space="0" w:color="auto"/>
              <w:left w:val="single" w:sz="4" w:space="0" w:color="auto"/>
              <w:bottom w:val="single" w:sz="4" w:space="0" w:color="auto"/>
              <w:right w:val="single" w:sz="4" w:space="0" w:color="auto"/>
            </w:tcBorders>
            <w:vAlign w:val="center"/>
            <w:hideMark/>
          </w:tcPr>
          <w:p w14:paraId="1CB1927D" w14:textId="2F66ACAC" w:rsidR="00291BAC" w:rsidRPr="009E116E" w:rsidRDefault="00291BAC" w:rsidP="003E7C35">
            <w:pPr>
              <w:pStyle w:val="ExhibitText"/>
              <w:jc w:val="right"/>
              <w:rPr>
                <w:sz w:val="18"/>
                <w:szCs w:val="18"/>
              </w:rPr>
            </w:pPr>
            <w:r w:rsidRPr="00A90A69">
              <w:rPr>
                <w:sz w:val="18"/>
                <w:szCs w:val="18"/>
              </w:rPr>
              <w:t>21,087</w:t>
            </w:r>
          </w:p>
        </w:tc>
        <w:tc>
          <w:tcPr>
            <w:tcW w:w="1026" w:type="dxa"/>
            <w:tcBorders>
              <w:top w:val="single" w:sz="4" w:space="0" w:color="auto"/>
              <w:left w:val="single" w:sz="4" w:space="0" w:color="auto"/>
              <w:bottom w:val="single" w:sz="4" w:space="0" w:color="auto"/>
              <w:right w:val="single" w:sz="4" w:space="0" w:color="auto"/>
            </w:tcBorders>
            <w:vAlign w:val="center"/>
            <w:hideMark/>
          </w:tcPr>
          <w:p w14:paraId="634D8A7E" w14:textId="10FB15BC" w:rsidR="00291BAC" w:rsidRPr="009E116E" w:rsidRDefault="00291BAC">
            <w:pPr>
              <w:pStyle w:val="ExhibitText"/>
              <w:jc w:val="right"/>
              <w:rPr>
                <w:sz w:val="18"/>
                <w:szCs w:val="18"/>
              </w:rPr>
            </w:pPr>
            <w:r w:rsidRPr="00A90A69">
              <w:rPr>
                <w:sz w:val="18"/>
                <w:szCs w:val="18"/>
              </w:rPr>
              <w:t>33</w:t>
            </w:r>
            <w:r>
              <w:rPr>
                <w:sz w:val="18"/>
                <w:szCs w:val="18"/>
              </w:rPr>
              <w:t>1</w:t>
            </w:r>
          </w:p>
        </w:tc>
        <w:tc>
          <w:tcPr>
            <w:tcW w:w="1026" w:type="dxa"/>
            <w:tcBorders>
              <w:top w:val="single" w:sz="4" w:space="0" w:color="auto"/>
              <w:left w:val="single" w:sz="4" w:space="0" w:color="auto"/>
              <w:bottom w:val="single" w:sz="4" w:space="0" w:color="auto"/>
              <w:right w:val="single" w:sz="4" w:space="0" w:color="auto"/>
            </w:tcBorders>
            <w:vAlign w:val="center"/>
            <w:hideMark/>
          </w:tcPr>
          <w:p w14:paraId="30C6EFBF" w14:textId="77777777" w:rsidR="00291BAC" w:rsidRPr="009E116E" w:rsidRDefault="00291BAC" w:rsidP="003E7C35">
            <w:pPr>
              <w:pStyle w:val="ExhibitText"/>
              <w:jc w:val="right"/>
              <w:rPr>
                <w:sz w:val="18"/>
                <w:szCs w:val="18"/>
              </w:rPr>
            </w:pPr>
            <w:r w:rsidRPr="00A90A69">
              <w:rPr>
                <w:sz w:val="18"/>
                <w:szCs w:val="18"/>
              </w:rPr>
              <w:t>269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AE84269" w14:textId="77777777" w:rsidR="00291BAC" w:rsidRPr="009E116E" w:rsidRDefault="00291BAC" w:rsidP="00542316">
            <w:pPr>
              <w:pStyle w:val="ExhibitText"/>
              <w:jc w:val="right"/>
              <w:rPr>
                <w:sz w:val="18"/>
                <w:szCs w:val="18"/>
              </w:rPr>
            </w:pPr>
            <w:r w:rsidRPr="00A90A69">
              <w:rPr>
                <w:sz w:val="18"/>
                <w:szCs w:val="18"/>
              </w:rPr>
              <w:t>Hydro</w:t>
            </w:r>
          </w:p>
        </w:tc>
        <w:tc>
          <w:tcPr>
            <w:tcW w:w="838" w:type="dxa"/>
            <w:tcBorders>
              <w:top w:val="single" w:sz="4" w:space="0" w:color="auto"/>
              <w:left w:val="single" w:sz="4" w:space="0" w:color="auto"/>
              <w:bottom w:val="single" w:sz="4" w:space="0" w:color="auto"/>
              <w:right w:val="single" w:sz="4" w:space="0" w:color="auto"/>
            </w:tcBorders>
            <w:vAlign w:val="center"/>
            <w:hideMark/>
          </w:tcPr>
          <w:p w14:paraId="1B488FB0" w14:textId="77777777" w:rsidR="00291BAC" w:rsidRPr="009E116E" w:rsidRDefault="00291BAC" w:rsidP="003E7C35">
            <w:pPr>
              <w:pStyle w:val="ExhibitText"/>
              <w:jc w:val="right"/>
              <w:rPr>
                <w:sz w:val="18"/>
                <w:szCs w:val="18"/>
              </w:rPr>
            </w:pPr>
            <w:r w:rsidRPr="00A90A69">
              <w:rPr>
                <w:sz w:val="18"/>
                <w:szCs w:val="18"/>
              </w:rPr>
              <w:t>36.0</w:t>
            </w:r>
          </w:p>
        </w:tc>
        <w:tc>
          <w:tcPr>
            <w:tcW w:w="929" w:type="dxa"/>
            <w:tcBorders>
              <w:top w:val="single" w:sz="4" w:space="0" w:color="auto"/>
              <w:left w:val="single" w:sz="4" w:space="0" w:color="auto"/>
              <w:bottom w:val="single" w:sz="4" w:space="0" w:color="auto"/>
              <w:right w:val="single" w:sz="4" w:space="0" w:color="auto"/>
            </w:tcBorders>
            <w:vAlign w:val="center"/>
            <w:hideMark/>
          </w:tcPr>
          <w:p w14:paraId="49BD08BC" w14:textId="77777777" w:rsidR="00291BAC" w:rsidRPr="009E116E" w:rsidRDefault="00291BAC" w:rsidP="003E7C35">
            <w:pPr>
              <w:pStyle w:val="ExhibitText"/>
              <w:jc w:val="right"/>
              <w:rPr>
                <w:sz w:val="18"/>
                <w:szCs w:val="18"/>
              </w:rPr>
            </w:pPr>
            <w:r w:rsidRPr="00A90A69">
              <w:rPr>
                <w:sz w:val="18"/>
                <w:szCs w:val="18"/>
              </w:rPr>
              <w:t>28.0</w:t>
            </w:r>
          </w:p>
        </w:tc>
        <w:tc>
          <w:tcPr>
            <w:tcW w:w="929" w:type="dxa"/>
            <w:tcBorders>
              <w:top w:val="single" w:sz="4" w:space="0" w:color="auto"/>
              <w:left w:val="single" w:sz="4" w:space="0" w:color="auto"/>
              <w:bottom w:val="single" w:sz="4" w:space="0" w:color="auto"/>
              <w:right w:val="single" w:sz="4" w:space="0" w:color="auto"/>
            </w:tcBorders>
            <w:vAlign w:val="center"/>
            <w:hideMark/>
          </w:tcPr>
          <w:p w14:paraId="7404FE2B" w14:textId="77777777" w:rsidR="00291BAC" w:rsidRPr="009E116E" w:rsidRDefault="00291BAC" w:rsidP="003E7C35">
            <w:pPr>
              <w:pStyle w:val="ExhibitText"/>
              <w:jc w:val="right"/>
              <w:rPr>
                <w:sz w:val="18"/>
                <w:szCs w:val="18"/>
              </w:rPr>
            </w:pPr>
            <w:r w:rsidRPr="00A90A69">
              <w:rPr>
                <w:sz w:val="18"/>
                <w:szCs w:val="18"/>
              </w:rPr>
              <w:t>672.0</w:t>
            </w:r>
          </w:p>
        </w:tc>
        <w:tc>
          <w:tcPr>
            <w:tcW w:w="928" w:type="dxa"/>
            <w:tcBorders>
              <w:top w:val="single" w:sz="4" w:space="0" w:color="auto"/>
              <w:left w:val="single" w:sz="4" w:space="0" w:color="auto"/>
              <w:bottom w:val="single" w:sz="4" w:space="0" w:color="auto"/>
              <w:right w:val="single" w:sz="4" w:space="0" w:color="auto"/>
            </w:tcBorders>
            <w:vAlign w:val="center"/>
            <w:hideMark/>
          </w:tcPr>
          <w:p w14:paraId="7E97AAB5" w14:textId="77777777" w:rsidR="00291BAC" w:rsidRPr="009E116E" w:rsidRDefault="00291BAC" w:rsidP="003E7C35">
            <w:pPr>
              <w:pStyle w:val="ExhibitText"/>
              <w:jc w:val="right"/>
              <w:rPr>
                <w:sz w:val="18"/>
                <w:szCs w:val="18"/>
              </w:rPr>
            </w:pPr>
            <w:r w:rsidRPr="00A90A69">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1B7CE1F5" w14:textId="0B7D7935" w:rsidR="00291BAC" w:rsidRPr="009E116E" w:rsidRDefault="00291BAC" w:rsidP="003E7C35">
            <w:pPr>
              <w:pStyle w:val="ExhibitText"/>
              <w:jc w:val="right"/>
              <w:rPr>
                <w:sz w:val="18"/>
                <w:szCs w:val="18"/>
              </w:rPr>
            </w:pPr>
            <w:r w:rsidRPr="00A90A69">
              <w:rPr>
                <w:sz w:val="18"/>
                <w:szCs w:val="18"/>
              </w:rPr>
              <w:t>0</w:t>
            </w:r>
          </w:p>
        </w:tc>
        <w:tc>
          <w:tcPr>
            <w:tcW w:w="929" w:type="dxa"/>
            <w:tcBorders>
              <w:top w:val="single" w:sz="4" w:space="0" w:color="auto"/>
              <w:left w:val="single" w:sz="4" w:space="0" w:color="auto"/>
              <w:bottom w:val="single" w:sz="4" w:space="0" w:color="auto"/>
              <w:right w:val="single" w:sz="4" w:space="0" w:color="auto"/>
            </w:tcBorders>
            <w:vAlign w:val="center"/>
            <w:hideMark/>
          </w:tcPr>
          <w:p w14:paraId="20F545C1" w14:textId="679FAAA9" w:rsidR="00291BAC" w:rsidRPr="009E116E" w:rsidRDefault="00291BAC" w:rsidP="003E7C35">
            <w:pPr>
              <w:pStyle w:val="ExhibitText"/>
              <w:jc w:val="right"/>
              <w:rPr>
                <w:sz w:val="18"/>
                <w:szCs w:val="18"/>
              </w:rPr>
            </w:pPr>
            <w:r w:rsidRPr="00A90A69">
              <w:rPr>
                <w:sz w:val="18"/>
                <w:szCs w:val="18"/>
              </w:rPr>
              <w:t>2,200</w:t>
            </w:r>
          </w:p>
        </w:tc>
      </w:tr>
      <w:tr w:rsidR="003B21DA" w:rsidRPr="009E116E" w14:paraId="79606793" w14:textId="77777777" w:rsidTr="00174436">
        <w:trPr>
          <w:trHeight w:val="36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4F0BCA41" w14:textId="6EE52226" w:rsidR="001456A2" w:rsidRPr="001456A2" w:rsidRDefault="001456A2">
            <w:pPr>
              <w:pStyle w:val="ExhibitText"/>
              <w:jc w:val="left"/>
              <w:rPr>
                <w:sz w:val="18"/>
                <w:szCs w:val="18"/>
              </w:rPr>
            </w:pPr>
            <w:r w:rsidRPr="001456A2">
              <w:rPr>
                <w:bCs/>
                <w:sz w:val="18"/>
                <w:szCs w:val="18"/>
              </w:rPr>
              <w:t>S</w:t>
            </w:r>
            <w:r w:rsidR="003B21DA">
              <w:rPr>
                <w:bCs/>
                <w:sz w:val="18"/>
                <w:szCs w:val="18"/>
              </w:rPr>
              <w:t>aint-</w:t>
            </w:r>
            <w:r w:rsidRPr="001456A2">
              <w:rPr>
                <w:bCs/>
                <w:sz w:val="18"/>
                <w:szCs w:val="18"/>
              </w:rPr>
              <w:t>Marc</w:t>
            </w:r>
          </w:p>
        </w:tc>
        <w:tc>
          <w:tcPr>
            <w:tcW w:w="1026" w:type="dxa"/>
            <w:tcBorders>
              <w:top w:val="single" w:sz="4" w:space="0" w:color="auto"/>
              <w:left w:val="single" w:sz="4" w:space="0" w:color="auto"/>
              <w:bottom w:val="single" w:sz="4" w:space="0" w:color="auto"/>
              <w:right w:val="single" w:sz="4" w:space="0" w:color="auto"/>
            </w:tcBorders>
            <w:vAlign w:val="center"/>
            <w:hideMark/>
          </w:tcPr>
          <w:p w14:paraId="125AF569" w14:textId="675C0EA1" w:rsidR="001456A2" w:rsidRPr="009E116E" w:rsidRDefault="001456A2" w:rsidP="001456A2">
            <w:pPr>
              <w:pStyle w:val="ExhibitText"/>
              <w:jc w:val="right"/>
              <w:rPr>
                <w:sz w:val="18"/>
                <w:szCs w:val="18"/>
              </w:rPr>
            </w:pPr>
            <w:r w:rsidRPr="00A90A69">
              <w:rPr>
                <w:sz w:val="18"/>
                <w:szCs w:val="18"/>
              </w:rPr>
              <w:t>242,485</w:t>
            </w:r>
          </w:p>
        </w:tc>
        <w:tc>
          <w:tcPr>
            <w:tcW w:w="1026" w:type="dxa"/>
            <w:tcBorders>
              <w:top w:val="single" w:sz="4" w:space="0" w:color="auto"/>
              <w:left w:val="single" w:sz="4" w:space="0" w:color="auto"/>
              <w:bottom w:val="single" w:sz="4" w:space="0" w:color="auto"/>
              <w:right w:val="single" w:sz="4" w:space="0" w:color="auto"/>
            </w:tcBorders>
            <w:vAlign w:val="center"/>
            <w:hideMark/>
          </w:tcPr>
          <w:p w14:paraId="46856FCC" w14:textId="51AA1605" w:rsidR="001456A2" w:rsidRPr="009E116E" w:rsidRDefault="001456A2" w:rsidP="001456A2">
            <w:pPr>
              <w:pStyle w:val="ExhibitText"/>
              <w:jc w:val="right"/>
              <w:rPr>
                <w:sz w:val="18"/>
                <w:szCs w:val="18"/>
              </w:rPr>
            </w:pPr>
            <w:r w:rsidRPr="00A90A69">
              <w:rPr>
                <w:sz w:val="18"/>
                <w:szCs w:val="18"/>
              </w:rPr>
              <w:t>101,932</w:t>
            </w:r>
          </w:p>
        </w:tc>
        <w:tc>
          <w:tcPr>
            <w:tcW w:w="1026" w:type="dxa"/>
            <w:tcBorders>
              <w:top w:val="single" w:sz="4" w:space="0" w:color="auto"/>
              <w:left w:val="single" w:sz="4" w:space="0" w:color="auto"/>
              <w:bottom w:val="single" w:sz="4" w:space="0" w:color="auto"/>
              <w:right w:val="single" w:sz="4" w:space="0" w:color="auto"/>
            </w:tcBorders>
            <w:vAlign w:val="center"/>
            <w:hideMark/>
          </w:tcPr>
          <w:p w14:paraId="081EB6DC" w14:textId="051BAE5D" w:rsidR="001456A2" w:rsidRPr="009E116E" w:rsidRDefault="001456A2" w:rsidP="001456A2">
            <w:pPr>
              <w:pStyle w:val="ExhibitText"/>
              <w:jc w:val="right"/>
              <w:rPr>
                <w:sz w:val="18"/>
                <w:szCs w:val="18"/>
              </w:rPr>
            </w:pPr>
            <w:r w:rsidRPr="00A90A69">
              <w:rPr>
                <w:sz w:val="18"/>
                <w:szCs w:val="18"/>
              </w:rPr>
              <w:t>55,109</w:t>
            </w:r>
          </w:p>
        </w:tc>
        <w:tc>
          <w:tcPr>
            <w:tcW w:w="1026" w:type="dxa"/>
            <w:tcBorders>
              <w:top w:val="single" w:sz="4" w:space="0" w:color="auto"/>
              <w:left w:val="single" w:sz="4" w:space="0" w:color="auto"/>
              <w:bottom w:val="single" w:sz="4" w:space="0" w:color="auto"/>
              <w:right w:val="single" w:sz="4" w:space="0" w:color="auto"/>
            </w:tcBorders>
            <w:vAlign w:val="center"/>
            <w:hideMark/>
          </w:tcPr>
          <w:p w14:paraId="1D59CFEB" w14:textId="11FCD285" w:rsidR="001456A2" w:rsidRPr="009E116E" w:rsidRDefault="001456A2" w:rsidP="001456A2">
            <w:pPr>
              <w:pStyle w:val="ExhibitText"/>
              <w:jc w:val="right"/>
              <w:rPr>
                <w:sz w:val="18"/>
                <w:szCs w:val="18"/>
              </w:rPr>
            </w:pPr>
            <w:r w:rsidRPr="00A90A69">
              <w:rPr>
                <w:sz w:val="18"/>
                <w:szCs w:val="18"/>
              </w:rPr>
              <w:t>55</w:t>
            </w:r>
            <w:r w:rsidR="00B71A15">
              <w:rPr>
                <w:sz w:val="18"/>
                <w:szCs w:val="18"/>
              </w:rPr>
              <w:t>7</w:t>
            </w:r>
          </w:p>
        </w:tc>
        <w:tc>
          <w:tcPr>
            <w:tcW w:w="1026" w:type="dxa"/>
            <w:tcBorders>
              <w:top w:val="single" w:sz="4" w:space="0" w:color="auto"/>
              <w:left w:val="single" w:sz="4" w:space="0" w:color="auto"/>
              <w:bottom w:val="single" w:sz="4" w:space="0" w:color="auto"/>
              <w:right w:val="single" w:sz="4" w:space="0" w:color="auto"/>
            </w:tcBorders>
            <w:vAlign w:val="center"/>
            <w:hideMark/>
          </w:tcPr>
          <w:p w14:paraId="198A347A" w14:textId="036CF92C" w:rsidR="001456A2" w:rsidRPr="009E116E" w:rsidRDefault="001456A2" w:rsidP="001456A2">
            <w:pPr>
              <w:pStyle w:val="ExhibitText"/>
              <w:jc w:val="right"/>
              <w:rPr>
                <w:sz w:val="18"/>
                <w:szCs w:val="18"/>
              </w:rPr>
            </w:pPr>
            <w:r w:rsidRPr="00A90A69">
              <w:rPr>
                <w:sz w:val="18"/>
                <w:szCs w:val="18"/>
              </w:rPr>
              <w:t>436</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60BF872" w14:textId="36D8A0DF" w:rsidR="001456A2" w:rsidRPr="009E116E" w:rsidRDefault="001456A2" w:rsidP="00542316">
            <w:pPr>
              <w:pStyle w:val="ExhibitText"/>
              <w:jc w:val="right"/>
              <w:rPr>
                <w:sz w:val="18"/>
                <w:szCs w:val="18"/>
              </w:rPr>
            </w:pPr>
            <w:r w:rsidRPr="00A90A69">
              <w:rPr>
                <w:sz w:val="18"/>
                <w:szCs w:val="18"/>
              </w:rPr>
              <w:t>Mixed</w:t>
            </w:r>
          </w:p>
        </w:tc>
        <w:tc>
          <w:tcPr>
            <w:tcW w:w="838" w:type="dxa"/>
            <w:tcBorders>
              <w:top w:val="single" w:sz="4" w:space="0" w:color="auto"/>
              <w:left w:val="single" w:sz="4" w:space="0" w:color="auto"/>
              <w:bottom w:val="single" w:sz="4" w:space="0" w:color="auto"/>
              <w:right w:val="single" w:sz="4" w:space="0" w:color="auto"/>
            </w:tcBorders>
            <w:vAlign w:val="center"/>
            <w:hideMark/>
          </w:tcPr>
          <w:p w14:paraId="74471C3B" w14:textId="3663DB37" w:rsidR="001456A2" w:rsidRPr="009E116E" w:rsidRDefault="001456A2" w:rsidP="001456A2">
            <w:pPr>
              <w:pStyle w:val="ExhibitText"/>
              <w:jc w:val="right"/>
              <w:rPr>
                <w:sz w:val="18"/>
                <w:szCs w:val="18"/>
              </w:rPr>
            </w:pPr>
            <w:r w:rsidRPr="00A90A69">
              <w:rPr>
                <w:sz w:val="18"/>
                <w:szCs w:val="18"/>
              </w:rPr>
              <w:t>13.4</w:t>
            </w:r>
          </w:p>
        </w:tc>
        <w:tc>
          <w:tcPr>
            <w:tcW w:w="929" w:type="dxa"/>
            <w:tcBorders>
              <w:top w:val="single" w:sz="4" w:space="0" w:color="auto"/>
              <w:left w:val="single" w:sz="4" w:space="0" w:color="auto"/>
              <w:bottom w:val="single" w:sz="4" w:space="0" w:color="auto"/>
              <w:right w:val="single" w:sz="4" w:space="0" w:color="auto"/>
            </w:tcBorders>
            <w:vAlign w:val="center"/>
            <w:hideMark/>
          </w:tcPr>
          <w:p w14:paraId="6712F612" w14:textId="62EE73A3" w:rsidR="001456A2" w:rsidRPr="009E116E" w:rsidRDefault="001456A2" w:rsidP="001456A2">
            <w:pPr>
              <w:pStyle w:val="ExhibitText"/>
              <w:jc w:val="right"/>
              <w:rPr>
                <w:sz w:val="18"/>
                <w:szCs w:val="18"/>
              </w:rPr>
            </w:pPr>
            <w:r w:rsidRPr="00A90A69">
              <w:rPr>
                <w:sz w:val="18"/>
                <w:szCs w:val="18"/>
              </w:rPr>
              <w:t>2.9</w:t>
            </w:r>
          </w:p>
        </w:tc>
        <w:tc>
          <w:tcPr>
            <w:tcW w:w="929" w:type="dxa"/>
            <w:tcBorders>
              <w:top w:val="single" w:sz="4" w:space="0" w:color="auto"/>
              <w:left w:val="single" w:sz="4" w:space="0" w:color="auto"/>
              <w:bottom w:val="single" w:sz="4" w:space="0" w:color="auto"/>
              <w:right w:val="single" w:sz="4" w:space="0" w:color="auto"/>
            </w:tcBorders>
            <w:vAlign w:val="center"/>
            <w:hideMark/>
          </w:tcPr>
          <w:p w14:paraId="5D770D71" w14:textId="05208250" w:rsidR="001456A2" w:rsidRPr="009E116E" w:rsidRDefault="001456A2" w:rsidP="001456A2">
            <w:pPr>
              <w:pStyle w:val="ExhibitText"/>
              <w:jc w:val="right"/>
              <w:rPr>
                <w:sz w:val="18"/>
                <w:szCs w:val="18"/>
              </w:rPr>
            </w:pPr>
            <w:r w:rsidRPr="00A90A69">
              <w:rPr>
                <w:sz w:val="18"/>
                <w:szCs w:val="18"/>
              </w:rPr>
              <w:t>61.5</w:t>
            </w:r>
          </w:p>
        </w:tc>
        <w:tc>
          <w:tcPr>
            <w:tcW w:w="928" w:type="dxa"/>
            <w:tcBorders>
              <w:top w:val="single" w:sz="4" w:space="0" w:color="auto"/>
              <w:left w:val="single" w:sz="4" w:space="0" w:color="auto"/>
              <w:bottom w:val="single" w:sz="4" w:space="0" w:color="auto"/>
              <w:right w:val="single" w:sz="4" w:space="0" w:color="auto"/>
            </w:tcBorders>
            <w:vAlign w:val="center"/>
            <w:hideMark/>
          </w:tcPr>
          <w:p w14:paraId="3B4BA063" w14:textId="23576F2F" w:rsidR="001456A2" w:rsidRPr="009E116E" w:rsidRDefault="001456A2" w:rsidP="001456A2">
            <w:pPr>
              <w:pStyle w:val="ExhibitText"/>
              <w:jc w:val="right"/>
              <w:rPr>
                <w:sz w:val="18"/>
                <w:szCs w:val="18"/>
              </w:rPr>
            </w:pPr>
            <w:r w:rsidRPr="00A90A69">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5F54C4DD" w14:textId="0017BD7F" w:rsidR="001456A2" w:rsidRPr="009E116E" w:rsidRDefault="001456A2" w:rsidP="001456A2">
            <w:pPr>
              <w:pStyle w:val="ExhibitText"/>
              <w:jc w:val="right"/>
              <w:rPr>
                <w:sz w:val="18"/>
                <w:szCs w:val="18"/>
              </w:rPr>
            </w:pPr>
            <w:r w:rsidRPr="00A90A69">
              <w:rPr>
                <w:sz w:val="18"/>
                <w:szCs w:val="18"/>
              </w:rPr>
              <w:t>75</w:t>
            </w:r>
          </w:p>
        </w:tc>
        <w:tc>
          <w:tcPr>
            <w:tcW w:w="929" w:type="dxa"/>
            <w:tcBorders>
              <w:top w:val="single" w:sz="4" w:space="0" w:color="auto"/>
              <w:left w:val="single" w:sz="4" w:space="0" w:color="auto"/>
              <w:bottom w:val="single" w:sz="4" w:space="0" w:color="auto"/>
              <w:right w:val="single" w:sz="4" w:space="0" w:color="auto"/>
            </w:tcBorders>
            <w:vAlign w:val="center"/>
            <w:hideMark/>
          </w:tcPr>
          <w:p w14:paraId="52113663" w14:textId="2B24FCA7" w:rsidR="001456A2" w:rsidRPr="009E116E" w:rsidRDefault="001456A2" w:rsidP="001456A2">
            <w:pPr>
              <w:pStyle w:val="ExhibitText"/>
              <w:jc w:val="right"/>
              <w:rPr>
                <w:sz w:val="18"/>
                <w:szCs w:val="18"/>
              </w:rPr>
            </w:pPr>
            <w:r w:rsidRPr="00A90A69">
              <w:rPr>
                <w:sz w:val="18"/>
                <w:szCs w:val="18"/>
              </w:rPr>
              <w:t>4,000</w:t>
            </w:r>
          </w:p>
        </w:tc>
      </w:tr>
    </w:tbl>
    <w:p w14:paraId="31029D5A" w14:textId="77777777" w:rsidR="00202FC2" w:rsidRPr="005630DE" w:rsidRDefault="00202FC2" w:rsidP="00202FC2"/>
    <w:p w14:paraId="72A15B6D" w14:textId="1C3A8848" w:rsidR="00153EB4" w:rsidRDefault="00E965D8" w:rsidP="00153EB4">
      <w:pPr>
        <w:pStyle w:val="Footnote"/>
      </w:pPr>
      <w:r>
        <w:t xml:space="preserve">Note: EDH = </w:t>
      </w:r>
      <w:proofErr w:type="spellStart"/>
      <w:r>
        <w:t>Électricité</w:t>
      </w:r>
      <w:proofErr w:type="spellEnd"/>
      <w:r>
        <w:t xml:space="preserve"> </w:t>
      </w:r>
      <w:proofErr w:type="spellStart"/>
      <w:r>
        <w:t>d’Haïti</w:t>
      </w:r>
      <w:proofErr w:type="spellEnd"/>
      <w:r>
        <w:t xml:space="preserve">; </w:t>
      </w:r>
      <w:proofErr w:type="gramStart"/>
      <w:r>
        <w:t>gal</w:t>
      </w:r>
      <w:proofErr w:type="gramEnd"/>
      <w:r>
        <w:t>. = U.S. liquid gallons; km</w:t>
      </w:r>
      <w:r w:rsidRPr="00542316">
        <w:rPr>
          <w:vertAlign w:val="superscript"/>
        </w:rPr>
        <w:t>2</w:t>
      </w:r>
      <w:r>
        <w:t xml:space="preserve"> = square kilometre; MWh = megawatt-hour; </w:t>
      </w:r>
      <w:proofErr w:type="spellStart"/>
      <w:r w:rsidR="00153EB4">
        <w:t>Thermo</w:t>
      </w:r>
      <w:proofErr w:type="spellEnd"/>
      <w:r w:rsidR="00153EB4">
        <w:t xml:space="preserve"> </w:t>
      </w:r>
      <w:r w:rsidR="00D75FCD">
        <w:t xml:space="preserve">G </w:t>
      </w:r>
      <w:r w:rsidR="00153EB4">
        <w:t xml:space="preserve">= Gasoline, </w:t>
      </w:r>
      <w:proofErr w:type="spellStart"/>
      <w:r w:rsidR="00153EB4">
        <w:t>Thermo</w:t>
      </w:r>
      <w:proofErr w:type="spellEnd"/>
      <w:r w:rsidR="00153EB4">
        <w:t xml:space="preserve"> H = Heavy Fuel Oil, </w:t>
      </w:r>
      <w:proofErr w:type="spellStart"/>
      <w:r w:rsidR="00153EB4">
        <w:t>Thermo</w:t>
      </w:r>
      <w:proofErr w:type="spellEnd"/>
      <w:r w:rsidR="00153EB4">
        <w:t xml:space="preserve"> D = Diesel, </w:t>
      </w:r>
      <w:proofErr w:type="spellStart"/>
      <w:r w:rsidR="00153EB4">
        <w:t>Thermo</w:t>
      </w:r>
      <w:proofErr w:type="spellEnd"/>
      <w:r w:rsidR="00153EB4">
        <w:t xml:space="preserve"> M = Mixed.</w:t>
      </w:r>
    </w:p>
    <w:p w14:paraId="7466C496" w14:textId="79275E81" w:rsidR="00585D94" w:rsidRPr="005630DE" w:rsidRDefault="00202FC2" w:rsidP="001456A2">
      <w:pPr>
        <w:pStyle w:val="Footnote"/>
      </w:pPr>
      <w:r w:rsidRPr="005630DE">
        <w:t>Source:</w:t>
      </w:r>
      <w:r>
        <w:t xml:space="preserve"> </w:t>
      </w:r>
      <w:r w:rsidRPr="005630DE">
        <w:t>Government</w:t>
      </w:r>
      <w:r>
        <w:t xml:space="preserve"> </w:t>
      </w:r>
      <w:r w:rsidRPr="005630DE">
        <w:t>of</w:t>
      </w:r>
      <w:r>
        <w:t xml:space="preserve"> </w:t>
      </w:r>
      <w:r w:rsidR="00E524BD">
        <w:t>Haiti, Department of Energy Security.</w:t>
      </w:r>
      <w:r w:rsidRPr="005630DE">
        <w:br w:type="page"/>
      </w:r>
    </w:p>
    <w:p w14:paraId="2590A4BB" w14:textId="5F9A05F7" w:rsidR="00585D94" w:rsidRPr="005630DE" w:rsidRDefault="00585D94" w:rsidP="00A85BD3">
      <w:pPr>
        <w:pStyle w:val="ExhibitHeading"/>
        <w:outlineLvl w:val="0"/>
      </w:pPr>
      <w:r w:rsidRPr="005630DE">
        <w:lastRenderedPageBreak/>
        <w:t>Exhibit</w:t>
      </w:r>
      <w:r w:rsidR="00631AD3">
        <w:t xml:space="preserve"> </w:t>
      </w:r>
      <w:r w:rsidRPr="005630DE">
        <w:fldChar w:fldCharType="begin"/>
      </w:r>
      <w:r w:rsidRPr="005630DE">
        <w:instrText xml:space="preserve"> SEQ Exhibit \* ARABIC </w:instrText>
      </w:r>
      <w:r w:rsidRPr="005630DE">
        <w:fldChar w:fldCharType="separate"/>
      </w:r>
      <w:r w:rsidR="00BB6432">
        <w:rPr>
          <w:noProof/>
        </w:rPr>
        <w:t>4</w:t>
      </w:r>
      <w:r w:rsidRPr="005630DE">
        <w:fldChar w:fldCharType="end"/>
      </w:r>
      <w:r w:rsidRPr="005630DE">
        <w:t>:</w:t>
      </w:r>
      <w:r w:rsidR="00631AD3">
        <w:t xml:space="preserve"> </w:t>
      </w:r>
      <w:r w:rsidRPr="005630DE">
        <w:t>The</w:t>
      </w:r>
      <w:r w:rsidR="00631AD3">
        <w:t xml:space="preserve"> </w:t>
      </w:r>
      <w:r w:rsidRPr="005630DE">
        <w:t>Western</w:t>
      </w:r>
      <w:r w:rsidR="00631AD3">
        <w:t xml:space="preserve"> </w:t>
      </w:r>
      <w:r w:rsidRPr="005630DE">
        <w:t>Region</w:t>
      </w:r>
    </w:p>
    <w:p w14:paraId="60665695" w14:textId="77777777" w:rsidR="00631AD3" w:rsidRPr="005630DE" w:rsidRDefault="00631AD3" w:rsidP="00631AD3">
      <w:pPr>
        <w:pStyle w:val="ExhibitText"/>
      </w:pPr>
    </w:p>
    <w:p w14:paraId="511489A4" w14:textId="77777777" w:rsidR="00631AD3" w:rsidRPr="00E31345" w:rsidRDefault="00631AD3" w:rsidP="00631AD3">
      <w:pPr>
        <w:pStyle w:val="ExhibitText"/>
        <w:sectPr w:rsidR="00631AD3" w:rsidRPr="00E31345" w:rsidSect="00202FC2">
          <w:headerReference w:type="default" r:id="rId14"/>
          <w:endnotePr>
            <w:numFmt w:val="decimal"/>
          </w:endnotePr>
          <w:type w:val="continuous"/>
          <w:pgSz w:w="15840" w:h="12240" w:orient="landscape"/>
          <w:pgMar w:top="1440" w:right="1440" w:bottom="1440" w:left="1440" w:header="1080" w:footer="720" w:gutter="0"/>
          <w:cols w:space="720"/>
          <w:docGrid w:linePitch="360"/>
        </w:sectPr>
      </w:pPr>
    </w:p>
    <w:p w14:paraId="30C4BD8C" w14:textId="0E2864FE" w:rsidR="009E26EE" w:rsidRDefault="00631AD3" w:rsidP="00631AD3">
      <w:pPr>
        <w:pStyle w:val="ExhibitText"/>
        <w:jc w:val="left"/>
        <w:rPr>
          <w:bCs/>
          <w:sz w:val="18"/>
          <w:szCs w:val="18"/>
        </w:rPr>
      </w:pPr>
      <w:r w:rsidRPr="00542316">
        <w:rPr>
          <w:b/>
          <w:bCs/>
          <w:sz w:val="18"/>
          <w:szCs w:val="18"/>
        </w:rPr>
        <w:t>Tourism</w:t>
      </w:r>
      <w:r w:rsidRPr="00631AD3">
        <w:rPr>
          <w:bCs/>
          <w:sz w:val="18"/>
          <w:szCs w:val="18"/>
        </w:rPr>
        <w:t>:</w:t>
      </w:r>
      <w:r>
        <w:rPr>
          <w:bCs/>
          <w:sz w:val="18"/>
          <w:szCs w:val="18"/>
        </w:rPr>
        <w:t xml:space="preserve"> </w:t>
      </w:r>
      <w:r w:rsidRPr="00631AD3">
        <w:rPr>
          <w:bCs/>
          <w:sz w:val="18"/>
          <w:szCs w:val="18"/>
        </w:rPr>
        <w:t>Beach</w:t>
      </w:r>
      <w:r>
        <w:rPr>
          <w:bCs/>
          <w:sz w:val="18"/>
          <w:szCs w:val="18"/>
        </w:rPr>
        <w:t xml:space="preserve"> </w:t>
      </w:r>
      <w:r w:rsidR="000604B2">
        <w:rPr>
          <w:bCs/>
          <w:sz w:val="18"/>
          <w:szCs w:val="18"/>
        </w:rPr>
        <w:t>r</w:t>
      </w:r>
      <w:r w:rsidRPr="00631AD3">
        <w:rPr>
          <w:bCs/>
          <w:sz w:val="18"/>
          <w:szCs w:val="18"/>
        </w:rPr>
        <w:t>esorts</w:t>
      </w:r>
      <w:r>
        <w:rPr>
          <w:bCs/>
          <w:sz w:val="18"/>
          <w:szCs w:val="18"/>
        </w:rPr>
        <w:t xml:space="preserve"> </w:t>
      </w:r>
      <w:r w:rsidRPr="00631AD3">
        <w:rPr>
          <w:bCs/>
          <w:sz w:val="18"/>
          <w:szCs w:val="18"/>
        </w:rPr>
        <w:t>with</w:t>
      </w:r>
      <w:r>
        <w:rPr>
          <w:bCs/>
          <w:sz w:val="18"/>
          <w:szCs w:val="18"/>
        </w:rPr>
        <w:t xml:space="preserve"> </w:t>
      </w:r>
      <w:r w:rsidRPr="00631AD3">
        <w:rPr>
          <w:bCs/>
          <w:sz w:val="18"/>
          <w:szCs w:val="18"/>
        </w:rPr>
        <w:t>1,300</w:t>
      </w:r>
      <w:r>
        <w:rPr>
          <w:bCs/>
          <w:sz w:val="18"/>
          <w:szCs w:val="18"/>
        </w:rPr>
        <w:t xml:space="preserve"> </w:t>
      </w:r>
      <w:r w:rsidRPr="00631AD3">
        <w:rPr>
          <w:bCs/>
          <w:sz w:val="18"/>
          <w:szCs w:val="18"/>
        </w:rPr>
        <w:t>rooms</w:t>
      </w:r>
      <w:r>
        <w:rPr>
          <w:bCs/>
          <w:sz w:val="18"/>
          <w:szCs w:val="18"/>
        </w:rPr>
        <w:t xml:space="preserve"> </w:t>
      </w:r>
      <w:r w:rsidRPr="00631AD3">
        <w:rPr>
          <w:bCs/>
          <w:sz w:val="18"/>
          <w:szCs w:val="18"/>
        </w:rPr>
        <w:t>on</w:t>
      </w:r>
      <w:r>
        <w:rPr>
          <w:bCs/>
          <w:sz w:val="18"/>
          <w:szCs w:val="18"/>
        </w:rPr>
        <w:t xml:space="preserve"> </w:t>
      </w:r>
      <w:r w:rsidRPr="00631AD3">
        <w:rPr>
          <w:bCs/>
          <w:sz w:val="18"/>
          <w:szCs w:val="18"/>
        </w:rPr>
        <w:t>coast</w:t>
      </w:r>
      <w:r w:rsidR="000604B2">
        <w:rPr>
          <w:bCs/>
          <w:sz w:val="18"/>
          <w:szCs w:val="18"/>
        </w:rPr>
        <w:t xml:space="preserve">; </w:t>
      </w:r>
      <w:r w:rsidRPr="00631AD3">
        <w:rPr>
          <w:bCs/>
          <w:sz w:val="18"/>
          <w:szCs w:val="18"/>
        </w:rPr>
        <w:t>Toussaint</w:t>
      </w:r>
      <w:r>
        <w:rPr>
          <w:bCs/>
          <w:sz w:val="18"/>
          <w:szCs w:val="18"/>
        </w:rPr>
        <w:t xml:space="preserve"> </w:t>
      </w:r>
      <w:proofErr w:type="spellStart"/>
      <w:r w:rsidRPr="00631AD3">
        <w:rPr>
          <w:bCs/>
          <w:sz w:val="18"/>
          <w:szCs w:val="18"/>
        </w:rPr>
        <w:t>Louverture</w:t>
      </w:r>
      <w:proofErr w:type="spellEnd"/>
      <w:r>
        <w:rPr>
          <w:bCs/>
          <w:sz w:val="18"/>
          <w:szCs w:val="18"/>
        </w:rPr>
        <w:t xml:space="preserve"> </w:t>
      </w:r>
      <w:r w:rsidRPr="00631AD3">
        <w:rPr>
          <w:bCs/>
          <w:sz w:val="18"/>
          <w:szCs w:val="18"/>
        </w:rPr>
        <w:t>International</w:t>
      </w:r>
      <w:r>
        <w:rPr>
          <w:bCs/>
          <w:sz w:val="18"/>
          <w:szCs w:val="18"/>
        </w:rPr>
        <w:t xml:space="preserve"> </w:t>
      </w:r>
      <w:r w:rsidRPr="00631AD3">
        <w:rPr>
          <w:bCs/>
          <w:sz w:val="18"/>
          <w:szCs w:val="18"/>
        </w:rPr>
        <w:t>Airport</w:t>
      </w:r>
    </w:p>
    <w:p w14:paraId="0889521A" w14:textId="77777777" w:rsidR="009E26EE" w:rsidRDefault="009E26EE" w:rsidP="00631AD3">
      <w:pPr>
        <w:pStyle w:val="ExhibitText"/>
        <w:jc w:val="left"/>
        <w:rPr>
          <w:bCs/>
          <w:sz w:val="18"/>
          <w:szCs w:val="18"/>
        </w:rPr>
      </w:pPr>
    </w:p>
    <w:p w14:paraId="551F28D5" w14:textId="08A70837" w:rsidR="00291BAC" w:rsidRDefault="00631AD3" w:rsidP="00631AD3">
      <w:pPr>
        <w:pStyle w:val="ExhibitText"/>
        <w:jc w:val="left"/>
        <w:rPr>
          <w:bCs/>
          <w:sz w:val="18"/>
          <w:szCs w:val="18"/>
        </w:rPr>
      </w:pPr>
      <w:r w:rsidRPr="00542316">
        <w:rPr>
          <w:b/>
          <w:bCs/>
          <w:sz w:val="18"/>
          <w:szCs w:val="18"/>
        </w:rPr>
        <w:t>Agricultur</w:t>
      </w:r>
      <w:r w:rsidR="009E26EE" w:rsidRPr="00542316">
        <w:rPr>
          <w:b/>
          <w:bCs/>
          <w:sz w:val="18"/>
          <w:szCs w:val="18"/>
        </w:rPr>
        <w:t>al</w:t>
      </w:r>
      <w:r w:rsidRPr="00542316">
        <w:rPr>
          <w:b/>
          <w:bCs/>
          <w:sz w:val="18"/>
          <w:szCs w:val="18"/>
        </w:rPr>
        <w:t xml:space="preserve"> Potential</w:t>
      </w:r>
      <w:r w:rsidRPr="00631AD3">
        <w:rPr>
          <w:bCs/>
          <w:sz w:val="18"/>
          <w:szCs w:val="18"/>
        </w:rPr>
        <w:t>:</w:t>
      </w:r>
      <w:r>
        <w:rPr>
          <w:bCs/>
          <w:sz w:val="18"/>
          <w:szCs w:val="18"/>
        </w:rPr>
        <w:t xml:space="preserve"> </w:t>
      </w:r>
      <w:r w:rsidRPr="00631AD3">
        <w:rPr>
          <w:bCs/>
          <w:sz w:val="18"/>
          <w:szCs w:val="18"/>
        </w:rPr>
        <w:t>Weak</w:t>
      </w:r>
    </w:p>
    <w:p w14:paraId="50F9584A" w14:textId="77777777" w:rsidR="009E26EE" w:rsidRDefault="009E26EE" w:rsidP="00631AD3">
      <w:pPr>
        <w:pStyle w:val="ExhibitText"/>
        <w:jc w:val="left"/>
        <w:rPr>
          <w:bCs/>
          <w:sz w:val="18"/>
          <w:szCs w:val="18"/>
        </w:rPr>
      </w:pPr>
    </w:p>
    <w:p w14:paraId="7BE17FAA" w14:textId="7DE68FA6" w:rsidR="00291BAC" w:rsidRDefault="00631AD3" w:rsidP="00631AD3">
      <w:pPr>
        <w:pStyle w:val="ExhibitText"/>
        <w:jc w:val="left"/>
        <w:rPr>
          <w:bCs/>
          <w:sz w:val="18"/>
          <w:szCs w:val="18"/>
        </w:rPr>
      </w:pPr>
      <w:r w:rsidRPr="00542316">
        <w:rPr>
          <w:b/>
          <w:bCs/>
          <w:sz w:val="18"/>
          <w:szCs w:val="18"/>
        </w:rPr>
        <w:t>Geography</w:t>
      </w:r>
      <w:r w:rsidRPr="00631AD3">
        <w:rPr>
          <w:bCs/>
          <w:sz w:val="18"/>
          <w:szCs w:val="18"/>
        </w:rPr>
        <w:t>:</w:t>
      </w:r>
      <w:r>
        <w:rPr>
          <w:bCs/>
          <w:sz w:val="18"/>
          <w:szCs w:val="18"/>
        </w:rPr>
        <w:t xml:space="preserve"> </w:t>
      </w:r>
      <w:r w:rsidRPr="00631AD3">
        <w:rPr>
          <w:bCs/>
          <w:sz w:val="18"/>
          <w:szCs w:val="18"/>
        </w:rPr>
        <w:t>Adjacent</w:t>
      </w:r>
      <w:r>
        <w:rPr>
          <w:bCs/>
          <w:sz w:val="18"/>
          <w:szCs w:val="18"/>
        </w:rPr>
        <w:t xml:space="preserve"> </w:t>
      </w:r>
      <w:r w:rsidRPr="00631AD3">
        <w:rPr>
          <w:bCs/>
          <w:sz w:val="18"/>
          <w:szCs w:val="18"/>
        </w:rPr>
        <w:t>to</w:t>
      </w:r>
      <w:r>
        <w:rPr>
          <w:bCs/>
          <w:sz w:val="18"/>
          <w:szCs w:val="18"/>
        </w:rPr>
        <w:t xml:space="preserve"> </w:t>
      </w:r>
      <w:r w:rsidRPr="00631AD3">
        <w:rPr>
          <w:bCs/>
          <w:sz w:val="18"/>
          <w:szCs w:val="18"/>
        </w:rPr>
        <w:t>lower</w:t>
      </w:r>
      <w:r>
        <w:rPr>
          <w:bCs/>
          <w:sz w:val="18"/>
          <w:szCs w:val="18"/>
        </w:rPr>
        <w:t xml:space="preserve"> </w:t>
      </w:r>
      <w:r w:rsidRPr="00631AD3">
        <w:rPr>
          <w:bCs/>
          <w:sz w:val="18"/>
          <w:szCs w:val="18"/>
        </w:rPr>
        <w:t>part</w:t>
      </w:r>
      <w:r>
        <w:rPr>
          <w:bCs/>
          <w:sz w:val="18"/>
          <w:szCs w:val="18"/>
        </w:rPr>
        <w:t xml:space="preserve"> </w:t>
      </w:r>
      <w:r w:rsidRPr="00631AD3">
        <w:rPr>
          <w:bCs/>
          <w:sz w:val="18"/>
          <w:szCs w:val="18"/>
        </w:rPr>
        <w:t>of</w:t>
      </w:r>
      <w:r>
        <w:rPr>
          <w:bCs/>
          <w:sz w:val="18"/>
          <w:szCs w:val="18"/>
        </w:rPr>
        <w:t xml:space="preserve"> </w:t>
      </w:r>
      <w:r w:rsidRPr="00631AD3">
        <w:rPr>
          <w:bCs/>
          <w:sz w:val="18"/>
          <w:szCs w:val="18"/>
        </w:rPr>
        <w:t>Dominican</w:t>
      </w:r>
      <w:r>
        <w:rPr>
          <w:bCs/>
          <w:sz w:val="18"/>
          <w:szCs w:val="18"/>
        </w:rPr>
        <w:t xml:space="preserve"> </w:t>
      </w:r>
      <w:r w:rsidRPr="00631AD3">
        <w:rPr>
          <w:bCs/>
          <w:sz w:val="18"/>
          <w:szCs w:val="18"/>
        </w:rPr>
        <w:t>Republic</w:t>
      </w:r>
      <w:r w:rsidR="009E26EE">
        <w:rPr>
          <w:bCs/>
          <w:sz w:val="18"/>
          <w:szCs w:val="18"/>
        </w:rPr>
        <w:t>;</w:t>
      </w:r>
      <w:r>
        <w:rPr>
          <w:bCs/>
          <w:sz w:val="18"/>
          <w:szCs w:val="18"/>
        </w:rPr>
        <w:t xml:space="preserve"> </w:t>
      </w:r>
      <w:proofErr w:type="spellStart"/>
      <w:r w:rsidR="003E7C35">
        <w:rPr>
          <w:bCs/>
          <w:sz w:val="18"/>
          <w:szCs w:val="18"/>
        </w:rPr>
        <w:t>Î</w:t>
      </w:r>
      <w:r w:rsidRPr="00631AD3">
        <w:rPr>
          <w:bCs/>
          <w:sz w:val="18"/>
          <w:szCs w:val="18"/>
        </w:rPr>
        <w:t>le</w:t>
      </w:r>
      <w:proofErr w:type="spellEnd"/>
      <w:r>
        <w:rPr>
          <w:bCs/>
          <w:sz w:val="18"/>
          <w:szCs w:val="18"/>
        </w:rPr>
        <w:t xml:space="preserve"> </w:t>
      </w:r>
      <w:r w:rsidRPr="00631AD3">
        <w:rPr>
          <w:bCs/>
          <w:sz w:val="18"/>
          <w:szCs w:val="18"/>
        </w:rPr>
        <w:t>de</w:t>
      </w:r>
      <w:r>
        <w:rPr>
          <w:bCs/>
          <w:sz w:val="18"/>
          <w:szCs w:val="18"/>
        </w:rPr>
        <w:t xml:space="preserve"> </w:t>
      </w:r>
      <w:r w:rsidR="009E26EE">
        <w:rPr>
          <w:bCs/>
          <w:sz w:val="18"/>
          <w:szCs w:val="18"/>
        </w:rPr>
        <w:t xml:space="preserve">la </w:t>
      </w:r>
      <w:proofErr w:type="spellStart"/>
      <w:r w:rsidRPr="00631AD3">
        <w:rPr>
          <w:bCs/>
          <w:sz w:val="18"/>
          <w:szCs w:val="18"/>
        </w:rPr>
        <w:t>Gonave</w:t>
      </w:r>
      <w:proofErr w:type="spellEnd"/>
      <w:r>
        <w:rPr>
          <w:bCs/>
          <w:sz w:val="18"/>
          <w:szCs w:val="18"/>
        </w:rPr>
        <w:t xml:space="preserve"> </w:t>
      </w:r>
      <w:r w:rsidRPr="00631AD3">
        <w:rPr>
          <w:bCs/>
          <w:sz w:val="18"/>
          <w:szCs w:val="18"/>
        </w:rPr>
        <w:t>(largest</w:t>
      </w:r>
      <w:r>
        <w:rPr>
          <w:bCs/>
          <w:sz w:val="18"/>
          <w:szCs w:val="18"/>
        </w:rPr>
        <w:t xml:space="preserve"> </w:t>
      </w:r>
      <w:r w:rsidRPr="00631AD3">
        <w:rPr>
          <w:bCs/>
          <w:sz w:val="18"/>
          <w:szCs w:val="18"/>
        </w:rPr>
        <w:t>island</w:t>
      </w:r>
      <w:r>
        <w:rPr>
          <w:bCs/>
          <w:sz w:val="18"/>
          <w:szCs w:val="18"/>
        </w:rPr>
        <w:t xml:space="preserve"> </w:t>
      </w:r>
      <w:r w:rsidRPr="00631AD3">
        <w:rPr>
          <w:bCs/>
          <w:sz w:val="18"/>
          <w:szCs w:val="18"/>
        </w:rPr>
        <w:t>of</w:t>
      </w:r>
      <w:r>
        <w:rPr>
          <w:bCs/>
          <w:sz w:val="18"/>
          <w:szCs w:val="18"/>
        </w:rPr>
        <w:t xml:space="preserve"> </w:t>
      </w:r>
      <w:r w:rsidRPr="00631AD3">
        <w:rPr>
          <w:bCs/>
          <w:sz w:val="18"/>
          <w:szCs w:val="18"/>
        </w:rPr>
        <w:t>Hispaniola</w:t>
      </w:r>
      <w:r w:rsidR="009E26EE">
        <w:rPr>
          <w:bCs/>
          <w:sz w:val="18"/>
          <w:szCs w:val="18"/>
        </w:rPr>
        <w:t>,</w:t>
      </w:r>
      <w:r>
        <w:rPr>
          <w:bCs/>
          <w:sz w:val="18"/>
          <w:szCs w:val="18"/>
        </w:rPr>
        <w:t xml:space="preserve"> </w:t>
      </w:r>
      <w:r w:rsidRPr="00631AD3">
        <w:rPr>
          <w:bCs/>
          <w:sz w:val="18"/>
          <w:szCs w:val="18"/>
        </w:rPr>
        <w:t>which</w:t>
      </w:r>
      <w:r>
        <w:rPr>
          <w:bCs/>
          <w:sz w:val="18"/>
          <w:szCs w:val="18"/>
        </w:rPr>
        <w:t xml:space="preserve"> </w:t>
      </w:r>
      <w:r w:rsidRPr="00631AD3">
        <w:rPr>
          <w:bCs/>
          <w:sz w:val="18"/>
          <w:szCs w:val="18"/>
        </w:rPr>
        <w:t>is</w:t>
      </w:r>
      <w:r>
        <w:rPr>
          <w:bCs/>
          <w:sz w:val="18"/>
          <w:szCs w:val="18"/>
        </w:rPr>
        <w:t xml:space="preserve"> </w:t>
      </w:r>
      <w:r w:rsidRPr="00631AD3">
        <w:rPr>
          <w:bCs/>
          <w:sz w:val="18"/>
          <w:szCs w:val="18"/>
        </w:rPr>
        <w:t>hilly,</w:t>
      </w:r>
      <w:r w:rsidR="009E26EE">
        <w:rPr>
          <w:bCs/>
          <w:sz w:val="18"/>
          <w:szCs w:val="18"/>
        </w:rPr>
        <w:t xml:space="preserve"> </w:t>
      </w:r>
      <w:r w:rsidRPr="00631AD3">
        <w:rPr>
          <w:bCs/>
          <w:sz w:val="18"/>
          <w:szCs w:val="18"/>
        </w:rPr>
        <w:t>barren</w:t>
      </w:r>
      <w:r w:rsidR="009E26EE">
        <w:rPr>
          <w:bCs/>
          <w:sz w:val="18"/>
          <w:szCs w:val="18"/>
        </w:rPr>
        <w:t>,</w:t>
      </w:r>
      <w:r>
        <w:rPr>
          <w:bCs/>
          <w:sz w:val="18"/>
          <w:szCs w:val="18"/>
        </w:rPr>
        <w:t xml:space="preserve"> </w:t>
      </w:r>
      <w:r w:rsidRPr="00631AD3">
        <w:rPr>
          <w:bCs/>
          <w:sz w:val="18"/>
          <w:szCs w:val="18"/>
        </w:rPr>
        <w:t>and</w:t>
      </w:r>
      <w:r>
        <w:rPr>
          <w:bCs/>
          <w:sz w:val="18"/>
          <w:szCs w:val="18"/>
        </w:rPr>
        <w:t xml:space="preserve"> </w:t>
      </w:r>
      <w:r w:rsidRPr="00631AD3">
        <w:rPr>
          <w:bCs/>
          <w:sz w:val="18"/>
          <w:szCs w:val="18"/>
        </w:rPr>
        <w:t>composed</w:t>
      </w:r>
      <w:r>
        <w:rPr>
          <w:bCs/>
          <w:sz w:val="18"/>
          <w:szCs w:val="18"/>
        </w:rPr>
        <w:t xml:space="preserve"> </w:t>
      </w:r>
      <w:r w:rsidRPr="00631AD3">
        <w:rPr>
          <w:bCs/>
          <w:sz w:val="18"/>
          <w:szCs w:val="18"/>
        </w:rPr>
        <w:t>of</w:t>
      </w:r>
      <w:r>
        <w:rPr>
          <w:bCs/>
          <w:sz w:val="18"/>
          <w:szCs w:val="18"/>
        </w:rPr>
        <w:t xml:space="preserve"> </w:t>
      </w:r>
      <w:r w:rsidRPr="00631AD3">
        <w:rPr>
          <w:bCs/>
          <w:sz w:val="18"/>
          <w:szCs w:val="18"/>
        </w:rPr>
        <w:t>limestone)</w:t>
      </w:r>
      <w:r w:rsidR="009E26EE">
        <w:rPr>
          <w:bCs/>
          <w:sz w:val="18"/>
          <w:szCs w:val="18"/>
        </w:rPr>
        <w:t>;</w:t>
      </w:r>
      <w:r>
        <w:rPr>
          <w:bCs/>
          <w:sz w:val="18"/>
          <w:szCs w:val="18"/>
        </w:rPr>
        <w:t xml:space="preserve"> </w:t>
      </w:r>
      <w:r w:rsidRPr="00631AD3">
        <w:rPr>
          <w:bCs/>
          <w:sz w:val="18"/>
          <w:szCs w:val="18"/>
        </w:rPr>
        <w:t>largest</w:t>
      </w:r>
      <w:r>
        <w:rPr>
          <w:bCs/>
          <w:sz w:val="18"/>
          <w:szCs w:val="18"/>
        </w:rPr>
        <w:t xml:space="preserve"> </w:t>
      </w:r>
      <w:r w:rsidRPr="00631AD3">
        <w:rPr>
          <w:bCs/>
          <w:sz w:val="18"/>
          <w:szCs w:val="18"/>
        </w:rPr>
        <w:t>population</w:t>
      </w:r>
      <w:r>
        <w:rPr>
          <w:bCs/>
          <w:sz w:val="18"/>
          <w:szCs w:val="18"/>
        </w:rPr>
        <w:t xml:space="preserve"> </w:t>
      </w:r>
      <w:r w:rsidRPr="00631AD3">
        <w:rPr>
          <w:bCs/>
          <w:sz w:val="18"/>
          <w:szCs w:val="18"/>
        </w:rPr>
        <w:t>and</w:t>
      </w:r>
      <w:r>
        <w:rPr>
          <w:bCs/>
          <w:sz w:val="18"/>
          <w:szCs w:val="18"/>
        </w:rPr>
        <w:t xml:space="preserve"> </w:t>
      </w:r>
      <w:r w:rsidRPr="00631AD3">
        <w:rPr>
          <w:bCs/>
          <w:sz w:val="18"/>
          <w:szCs w:val="18"/>
        </w:rPr>
        <w:t>heavy</w:t>
      </w:r>
      <w:r>
        <w:rPr>
          <w:bCs/>
          <w:sz w:val="18"/>
          <w:szCs w:val="18"/>
        </w:rPr>
        <w:t xml:space="preserve"> </w:t>
      </w:r>
      <w:r w:rsidRPr="00631AD3">
        <w:rPr>
          <w:bCs/>
          <w:sz w:val="18"/>
          <w:szCs w:val="18"/>
        </w:rPr>
        <w:t>population</w:t>
      </w:r>
      <w:r>
        <w:rPr>
          <w:bCs/>
          <w:sz w:val="18"/>
          <w:szCs w:val="18"/>
        </w:rPr>
        <w:t xml:space="preserve"> </w:t>
      </w:r>
      <w:r w:rsidRPr="00631AD3">
        <w:rPr>
          <w:bCs/>
          <w:sz w:val="18"/>
          <w:szCs w:val="18"/>
        </w:rPr>
        <w:t>density</w:t>
      </w:r>
    </w:p>
    <w:p w14:paraId="7C87340E" w14:textId="77777777" w:rsidR="009E26EE" w:rsidRDefault="009E26EE" w:rsidP="00631AD3">
      <w:pPr>
        <w:pStyle w:val="ExhibitText"/>
        <w:jc w:val="left"/>
        <w:rPr>
          <w:bCs/>
          <w:sz w:val="18"/>
          <w:szCs w:val="18"/>
        </w:rPr>
      </w:pPr>
    </w:p>
    <w:p w14:paraId="064A70D4" w14:textId="10610954" w:rsidR="00291BAC" w:rsidRDefault="00631AD3" w:rsidP="00631AD3">
      <w:pPr>
        <w:pStyle w:val="ExhibitText"/>
        <w:jc w:val="left"/>
        <w:rPr>
          <w:bCs/>
          <w:sz w:val="18"/>
          <w:szCs w:val="18"/>
        </w:rPr>
      </w:pPr>
      <w:r w:rsidRPr="00542316">
        <w:rPr>
          <w:b/>
          <w:bCs/>
          <w:sz w:val="18"/>
          <w:szCs w:val="18"/>
        </w:rPr>
        <w:t>Infrastructure</w:t>
      </w:r>
      <w:r w:rsidRPr="00631AD3">
        <w:rPr>
          <w:bCs/>
          <w:sz w:val="18"/>
          <w:szCs w:val="18"/>
        </w:rPr>
        <w:t>:</w:t>
      </w:r>
      <w:r>
        <w:rPr>
          <w:bCs/>
          <w:sz w:val="18"/>
          <w:szCs w:val="18"/>
        </w:rPr>
        <w:t xml:space="preserve"> </w:t>
      </w:r>
      <w:r w:rsidRPr="00631AD3">
        <w:rPr>
          <w:bCs/>
          <w:sz w:val="18"/>
          <w:szCs w:val="18"/>
        </w:rPr>
        <w:t>Industrial</w:t>
      </w:r>
      <w:r>
        <w:rPr>
          <w:bCs/>
          <w:sz w:val="18"/>
          <w:szCs w:val="18"/>
        </w:rPr>
        <w:t xml:space="preserve"> </w:t>
      </w:r>
      <w:r w:rsidR="009E26EE">
        <w:rPr>
          <w:bCs/>
          <w:sz w:val="18"/>
          <w:szCs w:val="18"/>
        </w:rPr>
        <w:t>p</w:t>
      </w:r>
      <w:r w:rsidRPr="00631AD3">
        <w:rPr>
          <w:bCs/>
          <w:sz w:val="18"/>
          <w:szCs w:val="18"/>
        </w:rPr>
        <w:t>ark</w:t>
      </w:r>
      <w:r w:rsidR="009E26EE">
        <w:rPr>
          <w:bCs/>
          <w:sz w:val="18"/>
          <w:szCs w:val="18"/>
        </w:rPr>
        <w:t>; i</w:t>
      </w:r>
      <w:r w:rsidRPr="00631AD3">
        <w:rPr>
          <w:bCs/>
          <w:sz w:val="18"/>
          <w:szCs w:val="18"/>
        </w:rPr>
        <w:t>nternational</w:t>
      </w:r>
      <w:r>
        <w:rPr>
          <w:bCs/>
          <w:sz w:val="18"/>
          <w:szCs w:val="18"/>
        </w:rPr>
        <w:t xml:space="preserve"> </w:t>
      </w:r>
      <w:r w:rsidR="009E26EE">
        <w:rPr>
          <w:bCs/>
          <w:sz w:val="18"/>
          <w:szCs w:val="18"/>
        </w:rPr>
        <w:t>p</w:t>
      </w:r>
      <w:r w:rsidRPr="00631AD3">
        <w:rPr>
          <w:bCs/>
          <w:sz w:val="18"/>
          <w:szCs w:val="18"/>
        </w:rPr>
        <w:t>ort</w:t>
      </w:r>
      <w:r w:rsidR="009E26EE">
        <w:rPr>
          <w:bCs/>
          <w:sz w:val="18"/>
          <w:szCs w:val="18"/>
        </w:rPr>
        <w:t>; n</w:t>
      </w:r>
      <w:r w:rsidRPr="00631AD3">
        <w:rPr>
          <w:bCs/>
          <w:sz w:val="18"/>
          <w:szCs w:val="18"/>
        </w:rPr>
        <w:t>ational</w:t>
      </w:r>
      <w:r>
        <w:rPr>
          <w:bCs/>
          <w:sz w:val="18"/>
          <w:szCs w:val="18"/>
        </w:rPr>
        <w:t xml:space="preserve"> </w:t>
      </w:r>
      <w:r w:rsidR="009E26EE">
        <w:rPr>
          <w:bCs/>
          <w:sz w:val="18"/>
          <w:szCs w:val="18"/>
        </w:rPr>
        <w:t>r</w:t>
      </w:r>
      <w:r w:rsidRPr="00631AD3">
        <w:rPr>
          <w:bCs/>
          <w:sz w:val="18"/>
          <w:szCs w:val="18"/>
        </w:rPr>
        <w:t>oad</w:t>
      </w:r>
      <w:r>
        <w:rPr>
          <w:bCs/>
          <w:sz w:val="18"/>
          <w:szCs w:val="18"/>
        </w:rPr>
        <w:t xml:space="preserve"> </w:t>
      </w:r>
      <w:r w:rsidR="009E26EE">
        <w:rPr>
          <w:bCs/>
          <w:sz w:val="18"/>
          <w:szCs w:val="18"/>
        </w:rPr>
        <w:t>s</w:t>
      </w:r>
      <w:r w:rsidRPr="00631AD3">
        <w:rPr>
          <w:bCs/>
          <w:sz w:val="18"/>
          <w:szCs w:val="18"/>
        </w:rPr>
        <w:t>ystem</w:t>
      </w:r>
      <w:r w:rsidR="009E26EE">
        <w:rPr>
          <w:bCs/>
          <w:sz w:val="18"/>
          <w:szCs w:val="18"/>
        </w:rPr>
        <w:t>; r</w:t>
      </w:r>
      <w:r w:rsidRPr="00631AD3">
        <w:rPr>
          <w:bCs/>
          <w:sz w:val="18"/>
          <w:szCs w:val="18"/>
        </w:rPr>
        <w:t>eady</w:t>
      </w:r>
      <w:r>
        <w:rPr>
          <w:bCs/>
          <w:sz w:val="18"/>
          <w:szCs w:val="18"/>
        </w:rPr>
        <w:t xml:space="preserve"> </w:t>
      </w:r>
      <w:r w:rsidRPr="00631AD3">
        <w:rPr>
          <w:bCs/>
          <w:sz w:val="18"/>
          <w:szCs w:val="18"/>
        </w:rPr>
        <w:t>for</w:t>
      </w:r>
      <w:r>
        <w:rPr>
          <w:bCs/>
          <w:sz w:val="18"/>
          <w:szCs w:val="18"/>
        </w:rPr>
        <w:t xml:space="preserve"> </w:t>
      </w:r>
      <w:r w:rsidR="009E26EE" w:rsidRPr="00631AD3">
        <w:rPr>
          <w:bCs/>
          <w:sz w:val="18"/>
          <w:szCs w:val="18"/>
        </w:rPr>
        <w:t>international</w:t>
      </w:r>
      <w:r w:rsidR="009E26EE">
        <w:rPr>
          <w:bCs/>
          <w:sz w:val="18"/>
          <w:szCs w:val="18"/>
        </w:rPr>
        <w:t xml:space="preserve"> </w:t>
      </w:r>
      <w:r w:rsidR="009E26EE" w:rsidRPr="00631AD3">
        <w:rPr>
          <w:bCs/>
          <w:sz w:val="18"/>
          <w:szCs w:val="18"/>
        </w:rPr>
        <w:t>connectivity</w:t>
      </w:r>
      <w:r w:rsidR="009E26EE">
        <w:rPr>
          <w:bCs/>
          <w:sz w:val="18"/>
          <w:szCs w:val="18"/>
        </w:rPr>
        <w:t xml:space="preserve"> </w:t>
      </w:r>
      <w:r w:rsidR="009E26EE" w:rsidRPr="00631AD3">
        <w:rPr>
          <w:bCs/>
          <w:sz w:val="18"/>
          <w:szCs w:val="18"/>
        </w:rPr>
        <w:t>to</w:t>
      </w:r>
      <w:r w:rsidR="009E26EE">
        <w:rPr>
          <w:bCs/>
          <w:sz w:val="18"/>
          <w:szCs w:val="18"/>
        </w:rPr>
        <w:t xml:space="preserve"> </w:t>
      </w:r>
      <w:r w:rsidRPr="00631AD3">
        <w:rPr>
          <w:bCs/>
          <w:sz w:val="18"/>
          <w:szCs w:val="18"/>
        </w:rPr>
        <w:t>Dominican</w:t>
      </w:r>
      <w:r>
        <w:rPr>
          <w:bCs/>
          <w:sz w:val="18"/>
          <w:szCs w:val="18"/>
        </w:rPr>
        <w:t xml:space="preserve"> </w:t>
      </w:r>
      <w:r w:rsidRPr="00631AD3">
        <w:rPr>
          <w:bCs/>
          <w:sz w:val="18"/>
          <w:szCs w:val="18"/>
        </w:rPr>
        <w:t>Republic</w:t>
      </w:r>
      <w:r>
        <w:rPr>
          <w:bCs/>
          <w:sz w:val="18"/>
          <w:szCs w:val="18"/>
        </w:rPr>
        <w:t xml:space="preserve"> </w:t>
      </w:r>
      <w:r w:rsidR="009E26EE">
        <w:rPr>
          <w:bCs/>
          <w:sz w:val="18"/>
          <w:szCs w:val="18"/>
        </w:rPr>
        <w:t>g</w:t>
      </w:r>
      <w:r w:rsidR="009E26EE" w:rsidRPr="00631AD3">
        <w:rPr>
          <w:bCs/>
          <w:sz w:val="18"/>
          <w:szCs w:val="18"/>
        </w:rPr>
        <w:t>rid</w:t>
      </w:r>
    </w:p>
    <w:p w14:paraId="097D01FD" w14:textId="77777777" w:rsidR="009E26EE" w:rsidRDefault="009E26EE" w:rsidP="00631AD3">
      <w:pPr>
        <w:pStyle w:val="ExhibitText"/>
        <w:jc w:val="left"/>
        <w:rPr>
          <w:bCs/>
          <w:sz w:val="18"/>
          <w:szCs w:val="18"/>
        </w:rPr>
      </w:pPr>
    </w:p>
    <w:p w14:paraId="1E2E0E4D" w14:textId="07E82390" w:rsidR="00631AD3" w:rsidRPr="00631AD3" w:rsidRDefault="009E26EE" w:rsidP="00631AD3">
      <w:pPr>
        <w:pStyle w:val="ExhibitText"/>
        <w:jc w:val="left"/>
        <w:rPr>
          <w:sz w:val="18"/>
          <w:szCs w:val="18"/>
        </w:rPr>
        <w:sectPr w:rsidR="00631AD3" w:rsidRPr="00631AD3" w:rsidSect="00E31345">
          <w:endnotePr>
            <w:numFmt w:val="decimal"/>
          </w:endnotePr>
          <w:type w:val="continuous"/>
          <w:pgSz w:w="15840" w:h="12240" w:orient="landscape"/>
          <w:pgMar w:top="1440" w:right="1440" w:bottom="1440" w:left="1440" w:header="1080" w:footer="720" w:gutter="0"/>
          <w:cols w:num="2" w:space="720"/>
          <w:docGrid w:linePitch="360"/>
        </w:sectPr>
      </w:pPr>
      <w:r w:rsidRPr="00542316">
        <w:rPr>
          <w:b/>
          <w:bCs/>
          <w:sz w:val="18"/>
          <w:szCs w:val="18"/>
        </w:rPr>
        <w:t xml:space="preserve">Unique </w:t>
      </w:r>
      <w:r w:rsidR="00631AD3" w:rsidRPr="00542316">
        <w:rPr>
          <w:b/>
          <w:bCs/>
          <w:sz w:val="18"/>
          <w:szCs w:val="18"/>
        </w:rPr>
        <w:t>Energy</w:t>
      </w:r>
      <w:r w:rsidRPr="00542316">
        <w:rPr>
          <w:b/>
          <w:bCs/>
          <w:sz w:val="18"/>
          <w:szCs w:val="18"/>
        </w:rPr>
        <w:t xml:space="preserve"> Aspects</w:t>
      </w:r>
      <w:r w:rsidR="00631AD3" w:rsidRPr="00631AD3">
        <w:rPr>
          <w:bCs/>
          <w:sz w:val="18"/>
          <w:szCs w:val="18"/>
        </w:rPr>
        <w:t>:</w:t>
      </w:r>
      <w:r w:rsidR="00631AD3">
        <w:rPr>
          <w:bCs/>
          <w:sz w:val="18"/>
          <w:szCs w:val="18"/>
        </w:rPr>
        <w:t xml:space="preserve"> </w:t>
      </w:r>
      <w:r w:rsidR="00631AD3" w:rsidRPr="00631AD3">
        <w:rPr>
          <w:bCs/>
          <w:sz w:val="18"/>
          <w:szCs w:val="18"/>
        </w:rPr>
        <w:t>Largest</w:t>
      </w:r>
      <w:r w:rsidR="00631AD3">
        <w:rPr>
          <w:bCs/>
          <w:sz w:val="18"/>
          <w:szCs w:val="18"/>
        </w:rPr>
        <w:t xml:space="preserve"> </w:t>
      </w:r>
      <w:r w:rsidR="00631AD3" w:rsidRPr="00631AD3">
        <w:rPr>
          <w:bCs/>
          <w:sz w:val="18"/>
          <w:szCs w:val="18"/>
        </w:rPr>
        <w:t>EDH</w:t>
      </w:r>
      <w:r w:rsidR="00631AD3">
        <w:rPr>
          <w:bCs/>
          <w:sz w:val="18"/>
          <w:szCs w:val="18"/>
        </w:rPr>
        <w:t xml:space="preserve"> </w:t>
      </w:r>
      <w:r>
        <w:rPr>
          <w:bCs/>
          <w:sz w:val="18"/>
          <w:szCs w:val="18"/>
        </w:rPr>
        <w:t>f</w:t>
      </w:r>
      <w:r w:rsidR="00631AD3" w:rsidRPr="00631AD3">
        <w:rPr>
          <w:bCs/>
          <w:sz w:val="18"/>
          <w:szCs w:val="18"/>
        </w:rPr>
        <w:t>acility</w:t>
      </w:r>
    </w:p>
    <w:p w14:paraId="67E76355" w14:textId="77777777" w:rsidR="00631AD3" w:rsidRPr="005630DE" w:rsidRDefault="00631AD3" w:rsidP="00631AD3">
      <w:pPr>
        <w:pStyle w:val="ExhibitText"/>
      </w:pPr>
    </w:p>
    <w:tbl>
      <w:tblPr>
        <w:tblStyle w:val="TableGrid"/>
        <w:tblW w:w="4998" w:type="pct"/>
        <w:jc w:val="center"/>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43"/>
        <w:gridCol w:w="1080"/>
        <w:gridCol w:w="1080"/>
        <w:gridCol w:w="900"/>
        <w:gridCol w:w="990"/>
        <w:gridCol w:w="900"/>
        <w:gridCol w:w="1350"/>
        <w:gridCol w:w="720"/>
        <w:gridCol w:w="777"/>
        <w:gridCol w:w="929"/>
        <w:gridCol w:w="928"/>
        <w:gridCol w:w="966"/>
        <w:gridCol w:w="892"/>
      </w:tblGrid>
      <w:tr w:rsidR="000604B2" w:rsidRPr="005233EE" w14:paraId="7D565F86" w14:textId="77777777" w:rsidTr="00174436">
        <w:trPr>
          <w:cantSplit/>
          <w:trHeight w:val="1601"/>
          <w:jc w:val="center"/>
        </w:trPr>
        <w:tc>
          <w:tcPr>
            <w:tcW w:w="1443" w:type="dxa"/>
            <w:tcBorders>
              <w:top w:val="single" w:sz="4" w:space="0" w:color="auto"/>
              <w:bottom w:val="single" w:sz="4" w:space="0" w:color="auto"/>
            </w:tcBorders>
            <w:vAlign w:val="center"/>
            <w:hideMark/>
          </w:tcPr>
          <w:p w14:paraId="32DA9909" w14:textId="77777777" w:rsidR="00631AD3" w:rsidRPr="005233EE" w:rsidRDefault="00631AD3" w:rsidP="003E7C35">
            <w:pPr>
              <w:pStyle w:val="ExhibitText"/>
              <w:jc w:val="left"/>
              <w:rPr>
                <w:b/>
                <w:sz w:val="18"/>
                <w:szCs w:val="18"/>
              </w:rPr>
            </w:pPr>
            <w:r w:rsidRPr="005233EE">
              <w:rPr>
                <w:b/>
                <w:sz w:val="18"/>
                <w:szCs w:val="18"/>
              </w:rPr>
              <w:t>Description</w:t>
            </w:r>
          </w:p>
        </w:tc>
        <w:tc>
          <w:tcPr>
            <w:tcW w:w="1080" w:type="dxa"/>
            <w:tcBorders>
              <w:top w:val="single" w:sz="4" w:space="0" w:color="auto"/>
              <w:bottom w:val="single" w:sz="4" w:space="0" w:color="auto"/>
            </w:tcBorders>
            <w:textDirection w:val="btLr"/>
            <w:vAlign w:val="bottom"/>
            <w:hideMark/>
          </w:tcPr>
          <w:p w14:paraId="072DA9FE" w14:textId="77777777" w:rsidR="00631AD3" w:rsidRPr="005233EE" w:rsidRDefault="00631AD3" w:rsidP="003E7C35">
            <w:pPr>
              <w:pStyle w:val="ExhibitText"/>
              <w:ind w:left="113" w:right="113"/>
              <w:jc w:val="left"/>
              <w:rPr>
                <w:b/>
                <w:sz w:val="18"/>
                <w:szCs w:val="18"/>
              </w:rPr>
            </w:pPr>
            <w:r w:rsidRPr="005233EE">
              <w:rPr>
                <w:b/>
                <w:sz w:val="18"/>
                <w:szCs w:val="18"/>
              </w:rPr>
              <w:t>Total</w:t>
            </w:r>
            <w:r>
              <w:rPr>
                <w:b/>
                <w:sz w:val="18"/>
                <w:szCs w:val="18"/>
              </w:rPr>
              <w:t xml:space="preserve"> </w:t>
            </w:r>
            <w:r w:rsidRPr="005233EE">
              <w:rPr>
                <w:b/>
                <w:sz w:val="18"/>
                <w:szCs w:val="18"/>
              </w:rPr>
              <w:t>Population</w:t>
            </w:r>
          </w:p>
        </w:tc>
        <w:tc>
          <w:tcPr>
            <w:tcW w:w="1080" w:type="dxa"/>
            <w:tcBorders>
              <w:top w:val="single" w:sz="4" w:space="0" w:color="auto"/>
              <w:bottom w:val="single" w:sz="4" w:space="0" w:color="auto"/>
            </w:tcBorders>
            <w:textDirection w:val="btLr"/>
            <w:vAlign w:val="bottom"/>
            <w:hideMark/>
          </w:tcPr>
          <w:p w14:paraId="7DDF1FD4" w14:textId="5B73C3B1" w:rsidR="00631AD3" w:rsidRPr="005233EE" w:rsidRDefault="00631AD3" w:rsidP="003E7C35">
            <w:pPr>
              <w:pStyle w:val="ExhibitText"/>
              <w:ind w:left="113" w:right="113"/>
              <w:jc w:val="left"/>
              <w:rPr>
                <w:b/>
                <w:sz w:val="18"/>
                <w:szCs w:val="18"/>
              </w:rPr>
            </w:pPr>
            <w:r>
              <w:rPr>
                <w:b/>
                <w:sz w:val="18"/>
                <w:szCs w:val="18"/>
              </w:rPr>
              <w:t xml:space="preserve">Less than </w:t>
            </w:r>
            <w:r w:rsidRPr="005233EE">
              <w:rPr>
                <w:b/>
                <w:sz w:val="18"/>
                <w:szCs w:val="18"/>
              </w:rPr>
              <w:t xml:space="preserve">18 </w:t>
            </w:r>
            <w:r w:rsidR="00D4624F">
              <w:rPr>
                <w:b/>
                <w:sz w:val="18"/>
                <w:szCs w:val="18"/>
              </w:rPr>
              <w:t>Y</w:t>
            </w:r>
            <w:r>
              <w:rPr>
                <w:b/>
                <w:sz w:val="18"/>
                <w:szCs w:val="18"/>
              </w:rPr>
              <w:t xml:space="preserve">ears of </w:t>
            </w:r>
            <w:r w:rsidR="00D4624F">
              <w:rPr>
                <w:b/>
                <w:sz w:val="18"/>
                <w:szCs w:val="18"/>
              </w:rPr>
              <w:t>A</w:t>
            </w:r>
            <w:r>
              <w:rPr>
                <w:b/>
                <w:sz w:val="18"/>
                <w:szCs w:val="18"/>
              </w:rPr>
              <w:t>ge</w:t>
            </w:r>
          </w:p>
        </w:tc>
        <w:tc>
          <w:tcPr>
            <w:tcW w:w="900" w:type="dxa"/>
            <w:tcBorders>
              <w:top w:val="single" w:sz="4" w:space="0" w:color="auto"/>
              <w:bottom w:val="single" w:sz="4" w:space="0" w:color="auto"/>
            </w:tcBorders>
            <w:textDirection w:val="btLr"/>
            <w:vAlign w:val="bottom"/>
            <w:hideMark/>
          </w:tcPr>
          <w:p w14:paraId="73D50ECF" w14:textId="77777777" w:rsidR="00631AD3" w:rsidRPr="005233EE" w:rsidRDefault="00631AD3" w:rsidP="003E7C35">
            <w:pPr>
              <w:pStyle w:val="ExhibitText"/>
              <w:ind w:left="113" w:right="113"/>
              <w:jc w:val="left"/>
              <w:rPr>
                <w:b/>
                <w:sz w:val="18"/>
                <w:szCs w:val="18"/>
              </w:rPr>
            </w:pPr>
            <w:r w:rsidRPr="005233EE">
              <w:rPr>
                <w:b/>
                <w:sz w:val="18"/>
                <w:szCs w:val="18"/>
              </w:rPr>
              <w:t>Number</w:t>
            </w:r>
            <w:r>
              <w:rPr>
                <w:b/>
                <w:sz w:val="18"/>
                <w:szCs w:val="18"/>
              </w:rPr>
              <w:t xml:space="preserve"> </w:t>
            </w:r>
            <w:r w:rsidRPr="005233EE">
              <w:rPr>
                <w:b/>
                <w:sz w:val="18"/>
                <w:szCs w:val="18"/>
              </w:rPr>
              <w:t>of Houses</w:t>
            </w:r>
          </w:p>
        </w:tc>
        <w:tc>
          <w:tcPr>
            <w:tcW w:w="990" w:type="dxa"/>
            <w:tcBorders>
              <w:top w:val="single" w:sz="4" w:space="0" w:color="auto"/>
              <w:bottom w:val="single" w:sz="4" w:space="0" w:color="auto"/>
            </w:tcBorders>
            <w:textDirection w:val="btLr"/>
            <w:vAlign w:val="bottom"/>
            <w:hideMark/>
          </w:tcPr>
          <w:p w14:paraId="4FA612B6" w14:textId="0D1F8596" w:rsidR="00631AD3" w:rsidRPr="005233EE" w:rsidRDefault="00631AD3" w:rsidP="003E7C35">
            <w:pPr>
              <w:pStyle w:val="ExhibitText"/>
              <w:ind w:left="113" w:right="113"/>
              <w:jc w:val="left"/>
              <w:rPr>
                <w:b/>
                <w:sz w:val="18"/>
                <w:szCs w:val="18"/>
              </w:rPr>
            </w:pPr>
            <w:r w:rsidRPr="005233EE">
              <w:rPr>
                <w:b/>
                <w:sz w:val="18"/>
                <w:szCs w:val="18"/>
              </w:rPr>
              <w:t>Surface Area</w:t>
            </w:r>
            <w:r>
              <w:rPr>
                <w:b/>
                <w:sz w:val="18"/>
                <w:szCs w:val="18"/>
              </w:rPr>
              <w:t xml:space="preserve"> (</w:t>
            </w:r>
            <w:r w:rsidRPr="005233EE">
              <w:rPr>
                <w:b/>
                <w:sz w:val="18"/>
                <w:szCs w:val="18"/>
              </w:rPr>
              <w:t>km²</w:t>
            </w:r>
            <w:r>
              <w:rPr>
                <w:b/>
                <w:sz w:val="18"/>
                <w:szCs w:val="18"/>
              </w:rPr>
              <w:t>)</w:t>
            </w:r>
          </w:p>
        </w:tc>
        <w:tc>
          <w:tcPr>
            <w:tcW w:w="900" w:type="dxa"/>
            <w:tcBorders>
              <w:top w:val="single" w:sz="4" w:space="0" w:color="auto"/>
              <w:bottom w:val="single" w:sz="4" w:space="0" w:color="auto"/>
            </w:tcBorders>
            <w:textDirection w:val="btLr"/>
            <w:vAlign w:val="bottom"/>
            <w:hideMark/>
          </w:tcPr>
          <w:p w14:paraId="31289F2B" w14:textId="50FD22BA" w:rsidR="00631AD3" w:rsidRPr="005233EE" w:rsidRDefault="00A8691C" w:rsidP="003E7C35">
            <w:pPr>
              <w:pStyle w:val="ExhibitText"/>
              <w:ind w:left="113" w:right="113"/>
              <w:jc w:val="left"/>
              <w:rPr>
                <w:b/>
                <w:sz w:val="18"/>
                <w:szCs w:val="18"/>
              </w:rPr>
            </w:pPr>
            <w:r>
              <w:rPr>
                <w:b/>
                <w:sz w:val="18"/>
                <w:szCs w:val="18"/>
              </w:rPr>
              <w:t xml:space="preserve">Population </w:t>
            </w:r>
            <w:r w:rsidR="00631AD3" w:rsidRPr="005233EE">
              <w:rPr>
                <w:b/>
                <w:sz w:val="18"/>
                <w:szCs w:val="18"/>
              </w:rPr>
              <w:t>Density</w:t>
            </w:r>
          </w:p>
        </w:tc>
        <w:tc>
          <w:tcPr>
            <w:tcW w:w="1350" w:type="dxa"/>
            <w:tcBorders>
              <w:top w:val="single" w:sz="4" w:space="0" w:color="auto"/>
              <w:bottom w:val="single" w:sz="4" w:space="0" w:color="auto"/>
            </w:tcBorders>
            <w:textDirection w:val="btLr"/>
            <w:vAlign w:val="center"/>
            <w:hideMark/>
          </w:tcPr>
          <w:p w14:paraId="7E6F004C" w14:textId="0D5483EB" w:rsidR="00631AD3" w:rsidRPr="005233EE" w:rsidRDefault="00631AD3">
            <w:pPr>
              <w:pStyle w:val="ExhibitText"/>
              <w:ind w:left="113" w:right="113"/>
              <w:jc w:val="left"/>
              <w:rPr>
                <w:b/>
                <w:sz w:val="18"/>
                <w:szCs w:val="18"/>
              </w:rPr>
            </w:pPr>
            <w:r w:rsidRPr="005233EE">
              <w:rPr>
                <w:b/>
                <w:sz w:val="18"/>
                <w:szCs w:val="18"/>
              </w:rPr>
              <w:t xml:space="preserve">Type </w:t>
            </w:r>
            <w:r>
              <w:rPr>
                <w:b/>
                <w:sz w:val="18"/>
                <w:szCs w:val="18"/>
              </w:rPr>
              <w:t xml:space="preserve">of </w:t>
            </w:r>
            <w:r w:rsidRPr="005233EE">
              <w:rPr>
                <w:b/>
                <w:sz w:val="18"/>
                <w:szCs w:val="18"/>
              </w:rPr>
              <w:t>Energy Generation</w:t>
            </w:r>
          </w:p>
        </w:tc>
        <w:tc>
          <w:tcPr>
            <w:tcW w:w="720" w:type="dxa"/>
            <w:tcBorders>
              <w:top w:val="single" w:sz="4" w:space="0" w:color="auto"/>
              <w:bottom w:val="single" w:sz="4" w:space="0" w:color="auto"/>
            </w:tcBorders>
            <w:textDirection w:val="btLr"/>
            <w:vAlign w:val="bottom"/>
            <w:hideMark/>
          </w:tcPr>
          <w:p w14:paraId="036B4EFC" w14:textId="219B9024" w:rsidR="00631AD3" w:rsidRPr="005233EE" w:rsidRDefault="00631AD3">
            <w:pPr>
              <w:pStyle w:val="ExhibitText"/>
              <w:ind w:left="113" w:right="113"/>
              <w:jc w:val="left"/>
              <w:rPr>
                <w:b/>
                <w:sz w:val="18"/>
                <w:szCs w:val="18"/>
              </w:rPr>
            </w:pPr>
            <w:r w:rsidRPr="005233EE">
              <w:rPr>
                <w:b/>
                <w:sz w:val="18"/>
                <w:szCs w:val="18"/>
              </w:rPr>
              <w:t>Installed Capacity (MW)</w:t>
            </w:r>
          </w:p>
        </w:tc>
        <w:tc>
          <w:tcPr>
            <w:tcW w:w="777" w:type="dxa"/>
            <w:tcBorders>
              <w:top w:val="single" w:sz="4" w:space="0" w:color="auto"/>
              <w:bottom w:val="single" w:sz="4" w:space="0" w:color="auto"/>
            </w:tcBorders>
            <w:textDirection w:val="btLr"/>
            <w:vAlign w:val="bottom"/>
            <w:hideMark/>
          </w:tcPr>
          <w:p w14:paraId="46C1D843" w14:textId="67F58B9E" w:rsidR="00631AD3" w:rsidRPr="005233EE" w:rsidRDefault="00631AD3">
            <w:pPr>
              <w:pStyle w:val="ExhibitText"/>
              <w:ind w:left="113" w:right="113"/>
              <w:jc w:val="left"/>
              <w:rPr>
                <w:b/>
                <w:sz w:val="18"/>
                <w:szCs w:val="18"/>
              </w:rPr>
            </w:pPr>
            <w:r w:rsidRPr="005233EE">
              <w:rPr>
                <w:b/>
                <w:sz w:val="18"/>
                <w:szCs w:val="18"/>
              </w:rPr>
              <w:t>Available Capacity</w:t>
            </w:r>
            <w:r>
              <w:rPr>
                <w:b/>
                <w:sz w:val="18"/>
                <w:szCs w:val="18"/>
              </w:rPr>
              <w:t xml:space="preserve"> (MW)</w:t>
            </w:r>
          </w:p>
        </w:tc>
        <w:tc>
          <w:tcPr>
            <w:tcW w:w="929" w:type="dxa"/>
            <w:tcBorders>
              <w:top w:val="single" w:sz="4" w:space="0" w:color="auto"/>
              <w:bottom w:val="single" w:sz="4" w:space="0" w:color="auto"/>
            </w:tcBorders>
            <w:textDirection w:val="btLr"/>
            <w:vAlign w:val="bottom"/>
            <w:hideMark/>
          </w:tcPr>
          <w:p w14:paraId="15925D75" w14:textId="03274E26" w:rsidR="00631AD3" w:rsidRPr="005233EE" w:rsidRDefault="008B5E60" w:rsidP="003E7C35">
            <w:pPr>
              <w:pStyle w:val="ExhibitText"/>
              <w:ind w:left="113" w:right="113"/>
              <w:jc w:val="left"/>
              <w:rPr>
                <w:b/>
                <w:sz w:val="18"/>
                <w:szCs w:val="18"/>
              </w:rPr>
            </w:pPr>
            <w:r w:rsidRPr="005233EE">
              <w:rPr>
                <w:b/>
                <w:sz w:val="18"/>
                <w:szCs w:val="18"/>
              </w:rPr>
              <w:t xml:space="preserve">Energy Produced </w:t>
            </w:r>
            <w:r>
              <w:rPr>
                <w:b/>
                <w:sz w:val="18"/>
                <w:szCs w:val="18"/>
              </w:rPr>
              <w:t xml:space="preserve">per </w:t>
            </w:r>
            <w:r w:rsidR="00D4624F">
              <w:rPr>
                <w:b/>
                <w:sz w:val="18"/>
                <w:szCs w:val="18"/>
              </w:rPr>
              <w:t>D</w:t>
            </w:r>
            <w:r>
              <w:rPr>
                <w:b/>
                <w:sz w:val="18"/>
                <w:szCs w:val="18"/>
              </w:rPr>
              <w:t>ay (</w:t>
            </w:r>
            <w:r w:rsidRPr="005233EE">
              <w:rPr>
                <w:b/>
                <w:sz w:val="18"/>
                <w:szCs w:val="18"/>
              </w:rPr>
              <w:t>MWh</w:t>
            </w:r>
            <w:r>
              <w:rPr>
                <w:b/>
                <w:sz w:val="18"/>
                <w:szCs w:val="18"/>
              </w:rPr>
              <w:t>)</w:t>
            </w:r>
          </w:p>
        </w:tc>
        <w:tc>
          <w:tcPr>
            <w:tcW w:w="928" w:type="dxa"/>
            <w:tcBorders>
              <w:top w:val="single" w:sz="4" w:space="0" w:color="auto"/>
              <w:bottom w:val="single" w:sz="4" w:space="0" w:color="auto"/>
            </w:tcBorders>
            <w:textDirection w:val="btLr"/>
            <w:vAlign w:val="bottom"/>
            <w:hideMark/>
          </w:tcPr>
          <w:p w14:paraId="2B180030" w14:textId="7AA28912" w:rsidR="00631AD3" w:rsidRPr="005233EE" w:rsidRDefault="00631AD3" w:rsidP="003E7C35">
            <w:pPr>
              <w:pStyle w:val="ExhibitText"/>
              <w:ind w:left="113" w:right="113"/>
              <w:jc w:val="left"/>
              <w:rPr>
                <w:b/>
                <w:sz w:val="18"/>
                <w:szCs w:val="18"/>
              </w:rPr>
            </w:pPr>
            <w:r w:rsidRPr="005233EE">
              <w:rPr>
                <w:b/>
                <w:sz w:val="18"/>
                <w:szCs w:val="18"/>
              </w:rPr>
              <w:t>EDH Fuel Consumption</w:t>
            </w:r>
            <w:r w:rsidR="007A7A5C">
              <w:rPr>
                <w:b/>
                <w:sz w:val="18"/>
                <w:szCs w:val="18"/>
              </w:rPr>
              <w:t xml:space="preserve"> (gal.</w:t>
            </w:r>
            <w:r w:rsidR="00153EB4">
              <w:rPr>
                <w:b/>
                <w:sz w:val="18"/>
                <w:szCs w:val="18"/>
              </w:rPr>
              <w:t>/day</w:t>
            </w:r>
            <w:r w:rsidR="007A7A5C">
              <w:rPr>
                <w:b/>
                <w:sz w:val="18"/>
                <w:szCs w:val="18"/>
              </w:rPr>
              <w:t>)</w:t>
            </w:r>
          </w:p>
        </w:tc>
        <w:tc>
          <w:tcPr>
            <w:tcW w:w="966" w:type="dxa"/>
            <w:tcBorders>
              <w:top w:val="single" w:sz="4" w:space="0" w:color="auto"/>
              <w:bottom w:val="single" w:sz="4" w:space="0" w:color="auto"/>
            </w:tcBorders>
            <w:textDirection w:val="btLr"/>
            <w:vAlign w:val="bottom"/>
            <w:hideMark/>
          </w:tcPr>
          <w:p w14:paraId="52CBEB22" w14:textId="3018A261" w:rsidR="00631AD3" w:rsidRPr="005233EE" w:rsidRDefault="00631AD3">
            <w:pPr>
              <w:pStyle w:val="ExhibitText"/>
              <w:ind w:left="113" w:right="113"/>
              <w:jc w:val="left"/>
              <w:rPr>
                <w:b/>
                <w:sz w:val="18"/>
                <w:szCs w:val="18"/>
              </w:rPr>
            </w:pPr>
            <w:r w:rsidRPr="005233EE">
              <w:rPr>
                <w:b/>
                <w:sz w:val="18"/>
                <w:szCs w:val="18"/>
              </w:rPr>
              <w:t xml:space="preserve">EDH Fuel in </w:t>
            </w:r>
            <w:r>
              <w:rPr>
                <w:b/>
                <w:sz w:val="18"/>
                <w:szCs w:val="18"/>
              </w:rPr>
              <w:t>S</w:t>
            </w:r>
            <w:r w:rsidRPr="005233EE">
              <w:rPr>
                <w:b/>
                <w:sz w:val="18"/>
                <w:szCs w:val="18"/>
              </w:rPr>
              <w:t>tock (</w:t>
            </w:r>
            <w:proofErr w:type="gramStart"/>
            <w:r w:rsidRPr="005233EE">
              <w:rPr>
                <w:b/>
                <w:sz w:val="18"/>
                <w:szCs w:val="18"/>
              </w:rPr>
              <w:t>gal</w:t>
            </w:r>
            <w:proofErr w:type="gramEnd"/>
            <w:r>
              <w:rPr>
                <w:b/>
                <w:sz w:val="18"/>
                <w:szCs w:val="18"/>
              </w:rPr>
              <w:t>.</w:t>
            </w:r>
            <w:r w:rsidRPr="005233EE">
              <w:rPr>
                <w:b/>
                <w:sz w:val="18"/>
                <w:szCs w:val="18"/>
              </w:rPr>
              <w:t>)</w:t>
            </w:r>
          </w:p>
        </w:tc>
        <w:tc>
          <w:tcPr>
            <w:tcW w:w="892" w:type="dxa"/>
            <w:tcBorders>
              <w:top w:val="single" w:sz="4" w:space="0" w:color="auto"/>
              <w:bottom w:val="single" w:sz="4" w:space="0" w:color="auto"/>
            </w:tcBorders>
            <w:textDirection w:val="btLr"/>
            <w:vAlign w:val="bottom"/>
            <w:hideMark/>
          </w:tcPr>
          <w:p w14:paraId="74084BF1" w14:textId="3C1A23E7" w:rsidR="00631AD3" w:rsidRPr="005233EE" w:rsidRDefault="00631AD3" w:rsidP="003E7C35">
            <w:pPr>
              <w:pStyle w:val="ExhibitText"/>
              <w:ind w:left="113" w:right="113"/>
              <w:jc w:val="left"/>
              <w:rPr>
                <w:b/>
                <w:sz w:val="18"/>
                <w:szCs w:val="18"/>
              </w:rPr>
            </w:pPr>
            <w:r w:rsidRPr="005233EE">
              <w:rPr>
                <w:b/>
                <w:sz w:val="18"/>
                <w:szCs w:val="18"/>
              </w:rPr>
              <w:t>Client</w:t>
            </w:r>
            <w:r>
              <w:rPr>
                <w:b/>
                <w:sz w:val="18"/>
                <w:szCs w:val="18"/>
              </w:rPr>
              <w:t xml:space="preserve"> </w:t>
            </w:r>
            <w:r w:rsidRPr="005233EE">
              <w:rPr>
                <w:b/>
                <w:sz w:val="18"/>
                <w:szCs w:val="18"/>
              </w:rPr>
              <w:t>Base</w:t>
            </w:r>
          </w:p>
        </w:tc>
      </w:tr>
      <w:tr w:rsidR="00291BAC" w:rsidRPr="009E116E" w14:paraId="1ACE4435"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759B84FF" w14:textId="77777777" w:rsidR="00291BAC" w:rsidRPr="009E116E" w:rsidRDefault="00291BAC" w:rsidP="003E7C35">
            <w:pPr>
              <w:pStyle w:val="ExhibitText"/>
              <w:jc w:val="left"/>
              <w:rPr>
                <w:sz w:val="18"/>
                <w:szCs w:val="18"/>
              </w:rPr>
            </w:pPr>
            <w:r w:rsidRPr="009E116E">
              <w:rPr>
                <w:sz w:val="18"/>
                <w:szCs w:val="18"/>
              </w:rPr>
              <w:t>All Areas</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A4A2B70" w14:textId="1F074A51" w:rsidR="00291BAC" w:rsidRPr="00683E55" w:rsidRDefault="00291BAC" w:rsidP="00291BAC">
            <w:pPr>
              <w:pStyle w:val="ExhibitText"/>
              <w:jc w:val="right"/>
              <w:rPr>
                <w:sz w:val="18"/>
                <w:szCs w:val="18"/>
              </w:rPr>
            </w:pPr>
            <w:r w:rsidRPr="005630DE">
              <w:rPr>
                <w:sz w:val="18"/>
                <w:szCs w:val="18"/>
              </w:rPr>
              <w:t>4</w:t>
            </w:r>
            <w:r w:rsidR="003E7C35">
              <w:rPr>
                <w:sz w:val="18"/>
                <w:szCs w:val="18"/>
              </w:rPr>
              <w:t>,</w:t>
            </w:r>
            <w:r w:rsidRPr="005630DE">
              <w:rPr>
                <w:sz w:val="18"/>
                <w:szCs w:val="18"/>
              </w:rPr>
              <w:t>239</w:t>
            </w:r>
            <w:r w:rsidR="003E7C35">
              <w:rPr>
                <w:sz w:val="18"/>
                <w:szCs w:val="18"/>
              </w:rPr>
              <w:t>,</w:t>
            </w:r>
            <w:r w:rsidRPr="005630DE">
              <w:rPr>
                <w:sz w:val="18"/>
                <w:szCs w:val="18"/>
              </w:rPr>
              <w:t>913</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A714AD1" w14:textId="19B88C0C" w:rsidR="00291BAC" w:rsidRPr="00683E55" w:rsidRDefault="00291BAC" w:rsidP="00291BAC">
            <w:pPr>
              <w:pStyle w:val="ExhibitText"/>
              <w:jc w:val="right"/>
              <w:rPr>
                <w:sz w:val="18"/>
                <w:szCs w:val="18"/>
              </w:rPr>
            </w:pPr>
            <w:r w:rsidRPr="005630DE">
              <w:rPr>
                <w:sz w:val="18"/>
                <w:szCs w:val="18"/>
              </w:rPr>
              <w:t>1</w:t>
            </w:r>
            <w:r w:rsidR="003E7C35">
              <w:rPr>
                <w:sz w:val="18"/>
                <w:szCs w:val="18"/>
              </w:rPr>
              <w:t>,</w:t>
            </w:r>
            <w:r w:rsidRPr="005630DE">
              <w:rPr>
                <w:sz w:val="18"/>
                <w:szCs w:val="18"/>
              </w:rPr>
              <w:t>716</w:t>
            </w:r>
            <w:r w:rsidR="003E7C35">
              <w:rPr>
                <w:sz w:val="18"/>
                <w:szCs w:val="18"/>
              </w:rPr>
              <w:t>,</w:t>
            </w:r>
            <w:r w:rsidRPr="005630DE">
              <w:rPr>
                <w:sz w:val="18"/>
                <w:szCs w:val="18"/>
              </w:rPr>
              <w:t>820</w:t>
            </w:r>
          </w:p>
        </w:tc>
        <w:tc>
          <w:tcPr>
            <w:tcW w:w="900" w:type="dxa"/>
            <w:tcBorders>
              <w:top w:val="single" w:sz="4" w:space="0" w:color="auto"/>
              <w:left w:val="single" w:sz="4" w:space="0" w:color="auto"/>
              <w:bottom w:val="single" w:sz="4" w:space="0" w:color="auto"/>
              <w:right w:val="single" w:sz="4" w:space="0" w:color="auto"/>
            </w:tcBorders>
            <w:vAlign w:val="center"/>
            <w:hideMark/>
          </w:tcPr>
          <w:p w14:paraId="275019AE" w14:textId="57E16008" w:rsidR="00291BAC" w:rsidRPr="00683E55" w:rsidRDefault="00291BAC" w:rsidP="00291BAC">
            <w:pPr>
              <w:pStyle w:val="ExhibitText"/>
              <w:jc w:val="right"/>
              <w:rPr>
                <w:sz w:val="18"/>
                <w:szCs w:val="18"/>
              </w:rPr>
            </w:pPr>
            <w:r w:rsidRPr="005630DE">
              <w:rPr>
                <w:sz w:val="18"/>
                <w:szCs w:val="18"/>
              </w:rPr>
              <w:t>928</w:t>
            </w:r>
            <w:r w:rsidR="003E7C35">
              <w:rPr>
                <w:sz w:val="18"/>
                <w:szCs w:val="18"/>
              </w:rPr>
              <w:t>,</w:t>
            </w:r>
            <w:r w:rsidRPr="005630DE">
              <w:rPr>
                <w:sz w:val="18"/>
                <w:szCs w:val="18"/>
              </w:rPr>
              <w:t>510</w:t>
            </w:r>
          </w:p>
        </w:tc>
        <w:tc>
          <w:tcPr>
            <w:tcW w:w="990" w:type="dxa"/>
            <w:tcBorders>
              <w:top w:val="single" w:sz="4" w:space="0" w:color="auto"/>
              <w:left w:val="single" w:sz="4" w:space="0" w:color="auto"/>
              <w:bottom w:val="single" w:sz="4" w:space="0" w:color="auto"/>
              <w:right w:val="single" w:sz="4" w:space="0" w:color="auto"/>
            </w:tcBorders>
            <w:vAlign w:val="center"/>
            <w:hideMark/>
          </w:tcPr>
          <w:p w14:paraId="46F5F550" w14:textId="7C2DEB2B" w:rsidR="00291BAC" w:rsidRPr="00683E55" w:rsidRDefault="00291BAC" w:rsidP="00291BAC">
            <w:pPr>
              <w:pStyle w:val="ExhibitText"/>
              <w:jc w:val="right"/>
              <w:rPr>
                <w:sz w:val="18"/>
                <w:szCs w:val="18"/>
              </w:rPr>
            </w:pPr>
            <w:r w:rsidRPr="005630DE">
              <w:rPr>
                <w:sz w:val="18"/>
                <w:szCs w:val="18"/>
              </w:rPr>
              <w:t>7</w:t>
            </w:r>
            <w:r w:rsidR="003E7C35">
              <w:rPr>
                <w:sz w:val="18"/>
                <w:szCs w:val="18"/>
              </w:rPr>
              <w:t>,</w:t>
            </w:r>
            <w:r w:rsidRPr="005630DE">
              <w:rPr>
                <w:sz w:val="18"/>
                <w:szCs w:val="18"/>
              </w:rPr>
              <w:t>017</w:t>
            </w:r>
          </w:p>
        </w:tc>
        <w:tc>
          <w:tcPr>
            <w:tcW w:w="900" w:type="dxa"/>
            <w:tcBorders>
              <w:top w:val="single" w:sz="4" w:space="0" w:color="auto"/>
              <w:left w:val="single" w:sz="4" w:space="0" w:color="auto"/>
              <w:bottom w:val="single" w:sz="4" w:space="0" w:color="auto"/>
              <w:right w:val="single" w:sz="4" w:space="0" w:color="auto"/>
            </w:tcBorders>
            <w:vAlign w:val="center"/>
            <w:hideMark/>
          </w:tcPr>
          <w:p w14:paraId="64D0D461" w14:textId="4AFB3237" w:rsidR="00291BAC" w:rsidRPr="00683E55" w:rsidRDefault="00291BAC" w:rsidP="00291BAC">
            <w:pPr>
              <w:pStyle w:val="ExhibitText"/>
              <w:jc w:val="right"/>
              <w:rPr>
                <w:sz w:val="18"/>
                <w:szCs w:val="18"/>
              </w:rPr>
            </w:pPr>
            <w:r w:rsidRPr="005630DE">
              <w:rPr>
                <w:sz w:val="18"/>
                <w:szCs w:val="18"/>
              </w:rPr>
              <w:t>604</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A7070AB" w14:textId="33DFACE9" w:rsidR="00291BAC" w:rsidRPr="00683E55" w:rsidRDefault="00291BAC" w:rsidP="00542316">
            <w:pPr>
              <w:pStyle w:val="ExhibitText"/>
              <w:jc w:val="right"/>
              <w:rPr>
                <w:sz w:val="18"/>
                <w:szCs w:val="18"/>
              </w:rPr>
            </w:pPr>
            <w:r w:rsidRPr="005630DE">
              <w:rPr>
                <w:sz w:val="18"/>
                <w:szCs w:val="18"/>
              </w:rPr>
              <w:t>Mixed</w:t>
            </w:r>
          </w:p>
        </w:tc>
        <w:tc>
          <w:tcPr>
            <w:tcW w:w="720" w:type="dxa"/>
            <w:tcBorders>
              <w:top w:val="single" w:sz="4" w:space="0" w:color="auto"/>
              <w:left w:val="single" w:sz="4" w:space="0" w:color="auto"/>
              <w:bottom w:val="single" w:sz="4" w:space="0" w:color="auto"/>
              <w:right w:val="single" w:sz="4" w:space="0" w:color="auto"/>
            </w:tcBorders>
            <w:vAlign w:val="center"/>
            <w:hideMark/>
          </w:tcPr>
          <w:p w14:paraId="069F2B63" w14:textId="42C42B60" w:rsidR="00291BAC" w:rsidRPr="00683E55" w:rsidRDefault="00291BAC" w:rsidP="00291BAC">
            <w:pPr>
              <w:pStyle w:val="ExhibitText"/>
              <w:jc w:val="right"/>
              <w:rPr>
                <w:sz w:val="18"/>
                <w:szCs w:val="18"/>
              </w:rPr>
            </w:pPr>
            <w:r w:rsidRPr="005630DE">
              <w:rPr>
                <w:sz w:val="18"/>
                <w:szCs w:val="18"/>
              </w:rPr>
              <w:t>190.9</w:t>
            </w:r>
          </w:p>
        </w:tc>
        <w:tc>
          <w:tcPr>
            <w:tcW w:w="777" w:type="dxa"/>
            <w:tcBorders>
              <w:top w:val="single" w:sz="4" w:space="0" w:color="auto"/>
              <w:left w:val="single" w:sz="4" w:space="0" w:color="auto"/>
              <w:bottom w:val="single" w:sz="4" w:space="0" w:color="auto"/>
              <w:right w:val="single" w:sz="4" w:space="0" w:color="auto"/>
            </w:tcBorders>
            <w:vAlign w:val="center"/>
            <w:hideMark/>
          </w:tcPr>
          <w:p w14:paraId="23503195" w14:textId="52E516B9" w:rsidR="00291BAC" w:rsidRPr="00683E55" w:rsidRDefault="00291BAC" w:rsidP="00291BAC">
            <w:pPr>
              <w:pStyle w:val="ExhibitText"/>
              <w:jc w:val="right"/>
              <w:rPr>
                <w:sz w:val="18"/>
                <w:szCs w:val="18"/>
              </w:rPr>
            </w:pPr>
            <w:r w:rsidRPr="005630DE">
              <w:rPr>
                <w:sz w:val="18"/>
                <w:szCs w:val="18"/>
              </w:rPr>
              <w:t>126.4</w:t>
            </w:r>
          </w:p>
        </w:tc>
        <w:tc>
          <w:tcPr>
            <w:tcW w:w="929" w:type="dxa"/>
            <w:tcBorders>
              <w:top w:val="single" w:sz="4" w:space="0" w:color="auto"/>
              <w:left w:val="single" w:sz="4" w:space="0" w:color="auto"/>
              <w:bottom w:val="single" w:sz="4" w:space="0" w:color="auto"/>
              <w:right w:val="single" w:sz="4" w:space="0" w:color="auto"/>
            </w:tcBorders>
            <w:vAlign w:val="center"/>
            <w:hideMark/>
          </w:tcPr>
          <w:p w14:paraId="568AF8F2" w14:textId="08A3CFC7" w:rsidR="00291BAC" w:rsidRPr="00683E55" w:rsidRDefault="00291BAC" w:rsidP="00291BAC">
            <w:pPr>
              <w:pStyle w:val="ExhibitText"/>
              <w:jc w:val="right"/>
              <w:rPr>
                <w:sz w:val="18"/>
                <w:szCs w:val="18"/>
              </w:rPr>
            </w:pPr>
            <w:r w:rsidRPr="005630DE">
              <w:rPr>
                <w:sz w:val="18"/>
                <w:szCs w:val="18"/>
              </w:rPr>
              <w:t>1</w:t>
            </w:r>
            <w:r w:rsidR="00F86A63">
              <w:rPr>
                <w:sz w:val="18"/>
                <w:szCs w:val="18"/>
              </w:rPr>
              <w:t>,</w:t>
            </w:r>
            <w:r w:rsidRPr="005630DE">
              <w:rPr>
                <w:sz w:val="18"/>
                <w:szCs w:val="18"/>
              </w:rPr>
              <w:t>253.3</w:t>
            </w:r>
          </w:p>
        </w:tc>
        <w:tc>
          <w:tcPr>
            <w:tcW w:w="928" w:type="dxa"/>
            <w:tcBorders>
              <w:top w:val="single" w:sz="4" w:space="0" w:color="auto"/>
              <w:left w:val="single" w:sz="4" w:space="0" w:color="auto"/>
              <w:bottom w:val="single" w:sz="4" w:space="0" w:color="auto"/>
              <w:right w:val="single" w:sz="4" w:space="0" w:color="auto"/>
            </w:tcBorders>
            <w:vAlign w:val="center"/>
            <w:hideMark/>
          </w:tcPr>
          <w:p w14:paraId="2C7D3142" w14:textId="74355EF1" w:rsidR="00291BAC" w:rsidRPr="00683E55" w:rsidRDefault="00291BAC" w:rsidP="00291BAC">
            <w:pPr>
              <w:pStyle w:val="ExhibitText"/>
              <w:jc w:val="right"/>
              <w:rPr>
                <w:sz w:val="18"/>
                <w:szCs w:val="18"/>
              </w:rPr>
            </w:pPr>
            <w:r w:rsidRPr="005630DE">
              <w:rPr>
                <w:sz w:val="18"/>
                <w:szCs w:val="18"/>
              </w:rPr>
              <w:t>37</w:t>
            </w:r>
            <w:r w:rsidR="00F86A63">
              <w:rPr>
                <w:sz w:val="18"/>
                <w:szCs w:val="18"/>
              </w:rPr>
              <w:t>,</w:t>
            </w:r>
            <w:r w:rsidRPr="005630DE">
              <w:rPr>
                <w:sz w:val="18"/>
                <w:szCs w:val="18"/>
              </w:rPr>
              <w:t>8</w:t>
            </w:r>
            <w:r w:rsidR="00F86A63">
              <w:rPr>
                <w:sz w:val="18"/>
                <w:szCs w:val="18"/>
              </w:rPr>
              <w:t>30</w:t>
            </w:r>
          </w:p>
        </w:tc>
        <w:tc>
          <w:tcPr>
            <w:tcW w:w="966" w:type="dxa"/>
            <w:tcBorders>
              <w:top w:val="single" w:sz="4" w:space="0" w:color="auto"/>
              <w:left w:val="single" w:sz="4" w:space="0" w:color="auto"/>
              <w:bottom w:val="single" w:sz="4" w:space="0" w:color="auto"/>
              <w:right w:val="single" w:sz="4" w:space="0" w:color="auto"/>
            </w:tcBorders>
            <w:vAlign w:val="center"/>
            <w:hideMark/>
          </w:tcPr>
          <w:p w14:paraId="59D7868B" w14:textId="3E882EC6" w:rsidR="00291BAC" w:rsidRPr="00683E55" w:rsidRDefault="00291BAC" w:rsidP="00291BAC">
            <w:pPr>
              <w:pStyle w:val="ExhibitText"/>
              <w:jc w:val="right"/>
              <w:rPr>
                <w:sz w:val="18"/>
                <w:szCs w:val="18"/>
              </w:rPr>
            </w:pPr>
            <w:r w:rsidRPr="005630DE">
              <w:rPr>
                <w:sz w:val="18"/>
                <w:szCs w:val="18"/>
              </w:rPr>
              <w:t>514</w:t>
            </w:r>
            <w:r w:rsidR="00F86A63">
              <w:rPr>
                <w:sz w:val="18"/>
                <w:szCs w:val="18"/>
              </w:rPr>
              <w:t>,</w:t>
            </w:r>
            <w:r w:rsidRPr="005630DE">
              <w:rPr>
                <w:sz w:val="18"/>
                <w:szCs w:val="18"/>
              </w:rPr>
              <w:t>015</w:t>
            </w:r>
          </w:p>
        </w:tc>
        <w:tc>
          <w:tcPr>
            <w:tcW w:w="892" w:type="dxa"/>
            <w:tcBorders>
              <w:top w:val="single" w:sz="4" w:space="0" w:color="auto"/>
              <w:left w:val="single" w:sz="4" w:space="0" w:color="auto"/>
              <w:bottom w:val="single" w:sz="4" w:space="0" w:color="auto"/>
              <w:right w:val="single" w:sz="4" w:space="0" w:color="auto"/>
            </w:tcBorders>
            <w:vAlign w:val="center"/>
            <w:hideMark/>
          </w:tcPr>
          <w:p w14:paraId="3C516CF8" w14:textId="09773913" w:rsidR="00291BAC" w:rsidRPr="00683E55" w:rsidRDefault="00291BAC" w:rsidP="00291BAC">
            <w:pPr>
              <w:pStyle w:val="ExhibitText"/>
              <w:jc w:val="right"/>
              <w:rPr>
                <w:sz w:val="18"/>
                <w:szCs w:val="18"/>
              </w:rPr>
            </w:pPr>
            <w:r w:rsidRPr="005630DE">
              <w:rPr>
                <w:sz w:val="18"/>
                <w:szCs w:val="18"/>
              </w:rPr>
              <w:t>149</w:t>
            </w:r>
            <w:r w:rsidR="00F86A63">
              <w:rPr>
                <w:sz w:val="18"/>
                <w:szCs w:val="18"/>
              </w:rPr>
              <w:t>,</w:t>
            </w:r>
            <w:r w:rsidRPr="005630DE">
              <w:rPr>
                <w:sz w:val="18"/>
                <w:szCs w:val="18"/>
              </w:rPr>
              <w:t>400</w:t>
            </w:r>
          </w:p>
        </w:tc>
      </w:tr>
      <w:tr w:rsidR="00291BAC" w:rsidRPr="009E116E" w14:paraId="42562E4D"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761B5E1F" w14:textId="77777777" w:rsidR="00291BAC" w:rsidRPr="009E116E" w:rsidRDefault="00291BAC" w:rsidP="003E7C35">
            <w:pPr>
              <w:pStyle w:val="ExhibitText"/>
              <w:jc w:val="left"/>
              <w:rPr>
                <w:sz w:val="18"/>
                <w:szCs w:val="18"/>
              </w:rPr>
            </w:pPr>
            <w:r w:rsidRPr="009E116E">
              <w:rPr>
                <w:sz w:val="18"/>
                <w:szCs w:val="18"/>
              </w:rPr>
              <w:t>Rural</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2F6C64C" w14:textId="3AA7077D" w:rsidR="00291BAC" w:rsidRPr="00683E55" w:rsidRDefault="00291BAC" w:rsidP="00291BAC">
            <w:pPr>
              <w:pStyle w:val="ExhibitText"/>
              <w:jc w:val="right"/>
              <w:rPr>
                <w:sz w:val="18"/>
                <w:szCs w:val="18"/>
              </w:rPr>
            </w:pPr>
            <w:r w:rsidRPr="005630DE">
              <w:rPr>
                <w:sz w:val="18"/>
                <w:szCs w:val="18"/>
              </w:rPr>
              <w:t>1</w:t>
            </w:r>
            <w:r w:rsidR="003E7C35">
              <w:rPr>
                <w:sz w:val="18"/>
                <w:szCs w:val="18"/>
              </w:rPr>
              <w:t>,</w:t>
            </w:r>
            <w:r w:rsidRPr="005630DE">
              <w:rPr>
                <w:sz w:val="18"/>
                <w:szCs w:val="18"/>
              </w:rPr>
              <w:t>369</w:t>
            </w:r>
            <w:r w:rsidR="003E7C35">
              <w:rPr>
                <w:sz w:val="18"/>
                <w:szCs w:val="18"/>
              </w:rPr>
              <w:t>,</w:t>
            </w:r>
            <w:r w:rsidRPr="005630DE">
              <w:rPr>
                <w:sz w:val="18"/>
                <w:szCs w:val="18"/>
              </w:rPr>
              <w:t>604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0220EFA" w14:textId="34D70726" w:rsidR="00291BAC" w:rsidRPr="00683E55" w:rsidRDefault="00291BAC" w:rsidP="00291BAC">
            <w:pPr>
              <w:pStyle w:val="ExhibitText"/>
              <w:jc w:val="right"/>
              <w:rPr>
                <w:sz w:val="18"/>
                <w:szCs w:val="18"/>
              </w:rPr>
            </w:pPr>
            <w:r w:rsidRPr="005630DE">
              <w:rPr>
                <w:sz w:val="18"/>
                <w:szCs w:val="18"/>
              </w:rPr>
              <w:t>730</w:t>
            </w:r>
            <w:r w:rsidR="003E7C35">
              <w:rPr>
                <w:sz w:val="18"/>
                <w:szCs w:val="18"/>
              </w:rPr>
              <w:t>,</w:t>
            </w:r>
            <w:r w:rsidRPr="005630DE">
              <w:rPr>
                <w:sz w:val="18"/>
                <w:szCs w:val="18"/>
              </w:rPr>
              <w:t>142</w:t>
            </w:r>
          </w:p>
        </w:tc>
        <w:tc>
          <w:tcPr>
            <w:tcW w:w="900" w:type="dxa"/>
            <w:tcBorders>
              <w:top w:val="single" w:sz="4" w:space="0" w:color="auto"/>
              <w:left w:val="single" w:sz="4" w:space="0" w:color="auto"/>
              <w:bottom w:val="single" w:sz="4" w:space="0" w:color="auto"/>
              <w:right w:val="single" w:sz="4" w:space="0" w:color="auto"/>
            </w:tcBorders>
            <w:vAlign w:val="center"/>
            <w:hideMark/>
          </w:tcPr>
          <w:p w14:paraId="55A55D98" w14:textId="383A143F" w:rsidR="00291BAC" w:rsidRPr="00683E55" w:rsidRDefault="00291BAC" w:rsidP="00291BAC">
            <w:pPr>
              <w:pStyle w:val="ExhibitText"/>
              <w:jc w:val="right"/>
              <w:rPr>
                <w:sz w:val="18"/>
                <w:szCs w:val="18"/>
              </w:rPr>
            </w:pPr>
            <w:r w:rsidRPr="005630DE">
              <w:rPr>
                <w:sz w:val="18"/>
                <w:szCs w:val="18"/>
              </w:rPr>
              <w:t>305</w:t>
            </w:r>
            <w:r w:rsidR="003E7C35">
              <w:rPr>
                <w:sz w:val="18"/>
                <w:szCs w:val="18"/>
              </w:rPr>
              <w:t>,</w:t>
            </w:r>
            <w:r w:rsidRPr="005630DE">
              <w:rPr>
                <w:sz w:val="18"/>
                <w:szCs w:val="18"/>
              </w:rPr>
              <w:t>764</w:t>
            </w:r>
          </w:p>
        </w:tc>
        <w:tc>
          <w:tcPr>
            <w:tcW w:w="990" w:type="dxa"/>
            <w:tcBorders>
              <w:top w:val="single" w:sz="4" w:space="0" w:color="auto"/>
              <w:left w:val="single" w:sz="4" w:space="0" w:color="auto"/>
              <w:bottom w:val="single" w:sz="4" w:space="0" w:color="auto"/>
              <w:right w:val="single" w:sz="4" w:space="0" w:color="auto"/>
            </w:tcBorders>
            <w:vAlign w:val="center"/>
            <w:hideMark/>
          </w:tcPr>
          <w:p w14:paraId="440462B7" w14:textId="27278DC1" w:rsidR="00291BAC" w:rsidRPr="00683E55" w:rsidRDefault="00291BAC">
            <w:pPr>
              <w:pStyle w:val="ExhibitText"/>
              <w:jc w:val="right"/>
              <w:rPr>
                <w:sz w:val="18"/>
                <w:szCs w:val="18"/>
              </w:rPr>
            </w:pPr>
            <w:r w:rsidRPr="005630DE">
              <w:rPr>
                <w:sz w:val="18"/>
                <w:szCs w:val="18"/>
              </w:rPr>
              <w:t>6</w:t>
            </w:r>
            <w:r w:rsidR="003E7C35">
              <w:rPr>
                <w:sz w:val="18"/>
                <w:szCs w:val="18"/>
              </w:rPr>
              <w:t>,</w:t>
            </w:r>
            <w:r w:rsidRPr="005630DE">
              <w:rPr>
                <w:sz w:val="18"/>
                <w:szCs w:val="18"/>
              </w:rPr>
              <w:t>786</w:t>
            </w:r>
          </w:p>
        </w:tc>
        <w:tc>
          <w:tcPr>
            <w:tcW w:w="900" w:type="dxa"/>
            <w:tcBorders>
              <w:top w:val="single" w:sz="4" w:space="0" w:color="auto"/>
              <w:left w:val="single" w:sz="4" w:space="0" w:color="auto"/>
              <w:bottom w:val="single" w:sz="4" w:space="0" w:color="auto"/>
              <w:right w:val="single" w:sz="4" w:space="0" w:color="auto"/>
            </w:tcBorders>
            <w:vAlign w:val="center"/>
            <w:hideMark/>
          </w:tcPr>
          <w:p w14:paraId="774BDFCB" w14:textId="7108A61F" w:rsidR="00291BAC" w:rsidRPr="00683E55" w:rsidRDefault="00291BAC" w:rsidP="00291BAC">
            <w:pPr>
              <w:pStyle w:val="ExhibitText"/>
              <w:jc w:val="right"/>
              <w:rPr>
                <w:sz w:val="18"/>
                <w:szCs w:val="18"/>
              </w:rPr>
            </w:pPr>
            <w:r w:rsidRPr="005630DE">
              <w:rPr>
                <w:sz w:val="18"/>
                <w:szCs w:val="18"/>
              </w:rPr>
              <w:t>202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4D55C5E" w14:textId="07223ED0" w:rsidR="00291BAC" w:rsidRPr="00683E55" w:rsidRDefault="00291BAC"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78455218" w14:textId="1FE68C23" w:rsidR="00291BAC" w:rsidRPr="00683E55" w:rsidRDefault="00291BAC" w:rsidP="00291BAC">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166B5BA8" w14:textId="50C53562" w:rsidR="00291BAC" w:rsidRPr="00683E55" w:rsidRDefault="00291BAC" w:rsidP="00291BAC">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2FA7F61A" w14:textId="1BECFA60" w:rsidR="00291BAC" w:rsidRPr="00683E55" w:rsidRDefault="00291BAC" w:rsidP="00291BAC">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9991484" w14:textId="638F3712" w:rsidR="00291BAC" w:rsidRPr="00683E55" w:rsidRDefault="00291BAC" w:rsidP="00291BAC">
            <w:pPr>
              <w:pStyle w:val="ExhibitText"/>
              <w:jc w:val="right"/>
              <w:rPr>
                <w:sz w:val="18"/>
                <w:szCs w:val="18"/>
              </w:rPr>
            </w:pPr>
            <w:r w:rsidRPr="005630DE">
              <w:rPr>
                <w:sz w:val="18"/>
                <w:szCs w:val="18"/>
              </w:rPr>
              <w:t>-</w:t>
            </w:r>
          </w:p>
        </w:tc>
        <w:tc>
          <w:tcPr>
            <w:tcW w:w="966" w:type="dxa"/>
            <w:tcBorders>
              <w:top w:val="single" w:sz="4" w:space="0" w:color="auto"/>
              <w:left w:val="single" w:sz="4" w:space="0" w:color="auto"/>
              <w:bottom w:val="single" w:sz="4" w:space="0" w:color="auto"/>
              <w:right w:val="single" w:sz="4" w:space="0" w:color="auto"/>
            </w:tcBorders>
            <w:vAlign w:val="center"/>
            <w:hideMark/>
          </w:tcPr>
          <w:p w14:paraId="60B4FA52" w14:textId="2E8AE66E" w:rsidR="00291BAC" w:rsidRPr="00683E55" w:rsidRDefault="00291BAC" w:rsidP="00291BAC">
            <w:pPr>
              <w:pStyle w:val="ExhibitText"/>
              <w:jc w:val="right"/>
              <w:rPr>
                <w:sz w:val="18"/>
                <w:szCs w:val="18"/>
              </w:rPr>
            </w:pPr>
            <w:r w:rsidRPr="005630DE">
              <w:rPr>
                <w:sz w:val="18"/>
                <w:szCs w:val="18"/>
              </w:rPr>
              <w:t>-</w:t>
            </w:r>
          </w:p>
        </w:tc>
        <w:tc>
          <w:tcPr>
            <w:tcW w:w="892" w:type="dxa"/>
            <w:tcBorders>
              <w:top w:val="single" w:sz="4" w:space="0" w:color="auto"/>
              <w:left w:val="single" w:sz="4" w:space="0" w:color="auto"/>
              <w:bottom w:val="single" w:sz="4" w:space="0" w:color="auto"/>
              <w:right w:val="single" w:sz="4" w:space="0" w:color="auto"/>
            </w:tcBorders>
            <w:vAlign w:val="center"/>
            <w:hideMark/>
          </w:tcPr>
          <w:p w14:paraId="19F40AFC" w14:textId="7CF567AE" w:rsidR="00291BAC" w:rsidRPr="00683E55" w:rsidRDefault="00291BAC" w:rsidP="00291BAC">
            <w:pPr>
              <w:pStyle w:val="ExhibitText"/>
              <w:jc w:val="right"/>
              <w:rPr>
                <w:sz w:val="18"/>
                <w:szCs w:val="18"/>
              </w:rPr>
            </w:pPr>
            <w:r w:rsidRPr="005630DE">
              <w:rPr>
                <w:sz w:val="18"/>
                <w:szCs w:val="18"/>
              </w:rPr>
              <w:t>-</w:t>
            </w:r>
          </w:p>
        </w:tc>
      </w:tr>
      <w:tr w:rsidR="00291BAC" w:rsidRPr="009E116E" w14:paraId="62EF9D14"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7F3B281F" w14:textId="77777777" w:rsidR="00291BAC" w:rsidRPr="009E116E" w:rsidRDefault="00291BAC" w:rsidP="003E7C35">
            <w:pPr>
              <w:pStyle w:val="ExhibitText"/>
              <w:jc w:val="left"/>
              <w:rPr>
                <w:sz w:val="18"/>
                <w:szCs w:val="18"/>
              </w:rPr>
            </w:pPr>
            <w:r w:rsidRPr="009E116E">
              <w:rPr>
                <w:sz w:val="18"/>
                <w:szCs w:val="18"/>
              </w:rPr>
              <w:t>Suburban</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B7F1989" w14:textId="3375E8ED" w:rsidR="00291BAC" w:rsidRPr="00683E55" w:rsidRDefault="00291BAC" w:rsidP="00291BAC">
            <w:pPr>
              <w:pStyle w:val="ExhibitText"/>
              <w:jc w:val="right"/>
              <w:rPr>
                <w:sz w:val="18"/>
                <w:szCs w:val="18"/>
              </w:rPr>
            </w:pPr>
            <w:r w:rsidRPr="005630DE">
              <w:rPr>
                <w:sz w:val="18"/>
                <w:szCs w:val="18"/>
              </w:rPr>
              <w:t>110</w:t>
            </w:r>
            <w:r w:rsidR="003E7C35">
              <w:rPr>
                <w:sz w:val="18"/>
                <w:szCs w:val="18"/>
              </w:rPr>
              <w:t>,</w:t>
            </w:r>
            <w:r w:rsidRPr="005630DE">
              <w:rPr>
                <w:sz w:val="18"/>
                <w:szCs w:val="18"/>
              </w:rPr>
              <w:t>047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6036260" w14:textId="4D758E55" w:rsidR="00291BAC" w:rsidRPr="00683E55" w:rsidRDefault="00291BAC" w:rsidP="00291BAC">
            <w:pPr>
              <w:pStyle w:val="ExhibitText"/>
              <w:jc w:val="right"/>
              <w:rPr>
                <w:sz w:val="18"/>
                <w:szCs w:val="18"/>
              </w:rPr>
            </w:pPr>
            <w:r w:rsidRPr="005630DE">
              <w:rPr>
                <w:sz w:val="18"/>
                <w:szCs w:val="18"/>
              </w:rPr>
              <w:t>45</w:t>
            </w:r>
            <w:r w:rsidR="003E7C35">
              <w:rPr>
                <w:sz w:val="18"/>
                <w:szCs w:val="18"/>
              </w:rPr>
              <w:t>,</w:t>
            </w:r>
            <w:r w:rsidRPr="005630DE">
              <w:rPr>
                <w:sz w:val="18"/>
                <w:szCs w:val="18"/>
              </w:rPr>
              <w:t>815</w:t>
            </w:r>
          </w:p>
        </w:tc>
        <w:tc>
          <w:tcPr>
            <w:tcW w:w="900" w:type="dxa"/>
            <w:tcBorders>
              <w:top w:val="single" w:sz="4" w:space="0" w:color="auto"/>
              <w:left w:val="single" w:sz="4" w:space="0" w:color="auto"/>
              <w:bottom w:val="single" w:sz="4" w:space="0" w:color="auto"/>
              <w:right w:val="single" w:sz="4" w:space="0" w:color="auto"/>
            </w:tcBorders>
            <w:vAlign w:val="center"/>
            <w:hideMark/>
          </w:tcPr>
          <w:p w14:paraId="7AE1F342" w14:textId="31E24299" w:rsidR="00291BAC" w:rsidRPr="00683E55" w:rsidRDefault="00291BAC" w:rsidP="00291BAC">
            <w:pPr>
              <w:pStyle w:val="ExhibitText"/>
              <w:jc w:val="right"/>
              <w:rPr>
                <w:sz w:val="18"/>
                <w:szCs w:val="18"/>
              </w:rPr>
            </w:pPr>
            <w:r w:rsidRPr="005630DE">
              <w:rPr>
                <w:sz w:val="18"/>
                <w:szCs w:val="18"/>
              </w:rPr>
              <w:t>24</w:t>
            </w:r>
            <w:r w:rsidR="003E7C35">
              <w:rPr>
                <w:sz w:val="18"/>
                <w:szCs w:val="18"/>
              </w:rPr>
              <w:t>,</w:t>
            </w:r>
            <w:r w:rsidRPr="005630DE">
              <w:rPr>
                <w:sz w:val="18"/>
                <w:szCs w:val="18"/>
              </w:rPr>
              <w:t>957</w:t>
            </w:r>
          </w:p>
        </w:tc>
        <w:tc>
          <w:tcPr>
            <w:tcW w:w="990" w:type="dxa"/>
            <w:tcBorders>
              <w:top w:val="single" w:sz="4" w:space="0" w:color="auto"/>
              <w:left w:val="single" w:sz="4" w:space="0" w:color="auto"/>
              <w:bottom w:val="single" w:sz="4" w:space="0" w:color="auto"/>
              <w:right w:val="single" w:sz="4" w:space="0" w:color="auto"/>
            </w:tcBorders>
            <w:vAlign w:val="center"/>
            <w:hideMark/>
          </w:tcPr>
          <w:p w14:paraId="493E2AE1" w14:textId="5021BAC0" w:rsidR="00291BAC" w:rsidRPr="00683E55" w:rsidRDefault="00F86A63">
            <w:pPr>
              <w:pStyle w:val="ExhibitText"/>
              <w:jc w:val="right"/>
              <w:rPr>
                <w:sz w:val="18"/>
                <w:szCs w:val="18"/>
              </w:rPr>
            </w:pPr>
            <w:r>
              <w:rPr>
                <w:sz w:val="18"/>
                <w:szCs w:val="18"/>
              </w:rPr>
              <w:t>3</w:t>
            </w:r>
          </w:p>
        </w:tc>
        <w:tc>
          <w:tcPr>
            <w:tcW w:w="900" w:type="dxa"/>
            <w:tcBorders>
              <w:top w:val="single" w:sz="4" w:space="0" w:color="auto"/>
              <w:left w:val="single" w:sz="4" w:space="0" w:color="auto"/>
              <w:bottom w:val="single" w:sz="4" w:space="0" w:color="auto"/>
              <w:right w:val="single" w:sz="4" w:space="0" w:color="auto"/>
            </w:tcBorders>
            <w:vAlign w:val="center"/>
            <w:hideMark/>
          </w:tcPr>
          <w:p w14:paraId="70FFD5F9" w14:textId="3906496B" w:rsidR="00291BAC" w:rsidRPr="00683E55" w:rsidRDefault="00291BAC" w:rsidP="00291BAC">
            <w:pPr>
              <w:pStyle w:val="ExhibitText"/>
              <w:jc w:val="right"/>
              <w:rPr>
                <w:sz w:val="18"/>
                <w:szCs w:val="18"/>
              </w:rPr>
            </w:pPr>
            <w:r w:rsidRPr="005630DE">
              <w:rPr>
                <w:sz w:val="18"/>
                <w:szCs w:val="18"/>
              </w:rPr>
              <w:t>3</w:t>
            </w:r>
            <w:r w:rsidR="003E7C35">
              <w:rPr>
                <w:sz w:val="18"/>
                <w:szCs w:val="18"/>
              </w:rPr>
              <w:t>,</w:t>
            </w:r>
            <w:r w:rsidRPr="005630DE">
              <w:rPr>
                <w:sz w:val="18"/>
                <w:szCs w:val="18"/>
              </w:rPr>
              <w:t>355</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1C0A24D" w14:textId="53BA5695" w:rsidR="00291BAC" w:rsidRPr="00683E55" w:rsidRDefault="00291BAC"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761F2CBA" w14:textId="290B424D" w:rsidR="00291BAC" w:rsidRPr="00683E55" w:rsidRDefault="00291BAC" w:rsidP="00291BAC">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2503C3B9" w14:textId="54851D32" w:rsidR="00291BAC" w:rsidRPr="00683E55" w:rsidRDefault="00291BAC" w:rsidP="00291BAC">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C785644" w14:textId="401F6A7D" w:rsidR="00291BAC" w:rsidRPr="00683E55" w:rsidRDefault="00291BAC" w:rsidP="00291BAC">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4F92422C" w14:textId="43917B54" w:rsidR="00291BAC" w:rsidRPr="00683E55" w:rsidRDefault="00291BAC" w:rsidP="00291BAC">
            <w:pPr>
              <w:pStyle w:val="ExhibitText"/>
              <w:jc w:val="right"/>
              <w:rPr>
                <w:sz w:val="18"/>
                <w:szCs w:val="18"/>
              </w:rPr>
            </w:pPr>
            <w:r w:rsidRPr="005630DE">
              <w:rPr>
                <w:sz w:val="18"/>
                <w:szCs w:val="18"/>
              </w:rPr>
              <w:t>-</w:t>
            </w:r>
          </w:p>
        </w:tc>
        <w:tc>
          <w:tcPr>
            <w:tcW w:w="966" w:type="dxa"/>
            <w:tcBorders>
              <w:top w:val="single" w:sz="4" w:space="0" w:color="auto"/>
              <w:left w:val="single" w:sz="4" w:space="0" w:color="auto"/>
              <w:bottom w:val="single" w:sz="4" w:space="0" w:color="auto"/>
              <w:right w:val="single" w:sz="4" w:space="0" w:color="auto"/>
            </w:tcBorders>
            <w:vAlign w:val="center"/>
            <w:hideMark/>
          </w:tcPr>
          <w:p w14:paraId="39017929" w14:textId="767BFB25" w:rsidR="00291BAC" w:rsidRPr="00683E55" w:rsidRDefault="00291BAC" w:rsidP="00291BAC">
            <w:pPr>
              <w:pStyle w:val="ExhibitText"/>
              <w:jc w:val="right"/>
              <w:rPr>
                <w:sz w:val="18"/>
                <w:szCs w:val="18"/>
              </w:rPr>
            </w:pPr>
            <w:r w:rsidRPr="005630DE">
              <w:rPr>
                <w:sz w:val="18"/>
                <w:szCs w:val="18"/>
              </w:rPr>
              <w:t>-</w:t>
            </w:r>
          </w:p>
        </w:tc>
        <w:tc>
          <w:tcPr>
            <w:tcW w:w="892" w:type="dxa"/>
            <w:tcBorders>
              <w:top w:val="single" w:sz="4" w:space="0" w:color="auto"/>
              <w:left w:val="single" w:sz="4" w:space="0" w:color="auto"/>
              <w:bottom w:val="single" w:sz="4" w:space="0" w:color="auto"/>
              <w:right w:val="single" w:sz="4" w:space="0" w:color="auto"/>
            </w:tcBorders>
            <w:vAlign w:val="center"/>
            <w:hideMark/>
          </w:tcPr>
          <w:p w14:paraId="0891F84F" w14:textId="07982D58" w:rsidR="00291BAC" w:rsidRPr="00683E55" w:rsidRDefault="00291BAC" w:rsidP="00291BAC">
            <w:pPr>
              <w:pStyle w:val="ExhibitText"/>
              <w:jc w:val="right"/>
              <w:rPr>
                <w:sz w:val="18"/>
                <w:szCs w:val="18"/>
              </w:rPr>
            </w:pPr>
            <w:r w:rsidRPr="005630DE">
              <w:rPr>
                <w:sz w:val="18"/>
                <w:szCs w:val="18"/>
              </w:rPr>
              <w:t>-</w:t>
            </w:r>
          </w:p>
        </w:tc>
      </w:tr>
      <w:tr w:rsidR="00291BAC" w:rsidRPr="009E116E" w14:paraId="3D3EE536"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1D69F2D1" w14:textId="77777777" w:rsidR="00291BAC" w:rsidRPr="009E116E" w:rsidRDefault="00291BAC" w:rsidP="003E7C35">
            <w:pPr>
              <w:pStyle w:val="ExhibitText"/>
              <w:jc w:val="left"/>
              <w:rPr>
                <w:sz w:val="18"/>
                <w:szCs w:val="18"/>
              </w:rPr>
            </w:pPr>
            <w:r w:rsidRPr="009E116E">
              <w:rPr>
                <w:sz w:val="18"/>
                <w:szCs w:val="18"/>
              </w:rPr>
              <w:t>Cities</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494FAA5" w14:textId="1C6E80AA" w:rsidR="00291BAC" w:rsidRPr="00683E55" w:rsidRDefault="00291BAC" w:rsidP="00291BAC">
            <w:pPr>
              <w:pStyle w:val="ExhibitText"/>
              <w:jc w:val="right"/>
              <w:rPr>
                <w:sz w:val="18"/>
                <w:szCs w:val="18"/>
              </w:rPr>
            </w:pPr>
            <w:r w:rsidRPr="005630DE">
              <w:rPr>
                <w:sz w:val="18"/>
                <w:szCs w:val="18"/>
              </w:rPr>
              <w:t>2</w:t>
            </w:r>
            <w:r w:rsidR="003E7C35">
              <w:rPr>
                <w:sz w:val="18"/>
                <w:szCs w:val="18"/>
              </w:rPr>
              <w:t>,</w:t>
            </w:r>
            <w:r w:rsidRPr="005630DE">
              <w:rPr>
                <w:sz w:val="18"/>
                <w:szCs w:val="18"/>
              </w:rPr>
              <w:t>760</w:t>
            </w:r>
            <w:r w:rsidR="003E7C35">
              <w:rPr>
                <w:sz w:val="18"/>
                <w:szCs w:val="18"/>
              </w:rPr>
              <w:t>,</w:t>
            </w:r>
            <w:r w:rsidRPr="005630DE">
              <w:rPr>
                <w:sz w:val="18"/>
                <w:szCs w:val="18"/>
              </w:rPr>
              <w:t>262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26040B0" w14:textId="0E821352" w:rsidR="00291BAC" w:rsidRPr="00683E55" w:rsidRDefault="00291BAC" w:rsidP="00291BAC">
            <w:pPr>
              <w:pStyle w:val="ExhibitText"/>
              <w:jc w:val="right"/>
              <w:rPr>
                <w:sz w:val="18"/>
                <w:szCs w:val="18"/>
              </w:rPr>
            </w:pPr>
            <w:r w:rsidRPr="005630DE">
              <w:rPr>
                <w:sz w:val="18"/>
                <w:szCs w:val="18"/>
              </w:rPr>
              <w:t>1</w:t>
            </w:r>
            <w:r w:rsidR="003E7C35">
              <w:rPr>
                <w:sz w:val="18"/>
                <w:szCs w:val="18"/>
              </w:rPr>
              <w:t>,</w:t>
            </w:r>
            <w:r w:rsidRPr="005630DE">
              <w:rPr>
                <w:sz w:val="18"/>
                <w:szCs w:val="18"/>
              </w:rPr>
              <w:t>075</w:t>
            </w:r>
            <w:r w:rsidR="003E7C35">
              <w:rPr>
                <w:sz w:val="18"/>
                <w:szCs w:val="18"/>
              </w:rPr>
              <w:t>,</w:t>
            </w:r>
            <w:r w:rsidRPr="005630DE">
              <w:rPr>
                <w:sz w:val="18"/>
                <w:szCs w:val="18"/>
              </w:rPr>
              <w:t>430</w:t>
            </w:r>
          </w:p>
        </w:tc>
        <w:tc>
          <w:tcPr>
            <w:tcW w:w="900" w:type="dxa"/>
            <w:tcBorders>
              <w:top w:val="single" w:sz="4" w:space="0" w:color="auto"/>
              <w:left w:val="single" w:sz="4" w:space="0" w:color="auto"/>
              <w:bottom w:val="single" w:sz="4" w:space="0" w:color="auto"/>
              <w:right w:val="single" w:sz="4" w:space="0" w:color="auto"/>
            </w:tcBorders>
            <w:vAlign w:val="center"/>
            <w:hideMark/>
          </w:tcPr>
          <w:p w14:paraId="219E9B59" w14:textId="2F2BDE0C" w:rsidR="00291BAC" w:rsidRPr="00683E55" w:rsidRDefault="00291BAC" w:rsidP="00291BAC">
            <w:pPr>
              <w:pStyle w:val="ExhibitText"/>
              <w:jc w:val="right"/>
              <w:rPr>
                <w:sz w:val="18"/>
                <w:szCs w:val="18"/>
              </w:rPr>
            </w:pPr>
            <w:r w:rsidRPr="005630DE">
              <w:rPr>
                <w:sz w:val="18"/>
                <w:szCs w:val="18"/>
              </w:rPr>
              <w:t>709</w:t>
            </w:r>
            <w:r w:rsidR="003E7C35">
              <w:rPr>
                <w:sz w:val="18"/>
                <w:szCs w:val="18"/>
              </w:rPr>
              <w:t>,</w:t>
            </w:r>
            <w:r w:rsidRPr="005630DE">
              <w:rPr>
                <w:sz w:val="18"/>
                <w:szCs w:val="18"/>
              </w:rPr>
              <w:t>461</w:t>
            </w:r>
          </w:p>
        </w:tc>
        <w:tc>
          <w:tcPr>
            <w:tcW w:w="990" w:type="dxa"/>
            <w:tcBorders>
              <w:top w:val="single" w:sz="4" w:space="0" w:color="auto"/>
              <w:left w:val="single" w:sz="4" w:space="0" w:color="auto"/>
              <w:bottom w:val="single" w:sz="4" w:space="0" w:color="auto"/>
              <w:right w:val="single" w:sz="4" w:space="0" w:color="auto"/>
            </w:tcBorders>
            <w:vAlign w:val="center"/>
            <w:hideMark/>
          </w:tcPr>
          <w:p w14:paraId="5CBA5F07" w14:textId="40F2411C" w:rsidR="00291BAC" w:rsidRPr="00683E55" w:rsidRDefault="00291BAC" w:rsidP="00291BAC">
            <w:pPr>
              <w:pStyle w:val="ExhibitText"/>
              <w:jc w:val="right"/>
              <w:rPr>
                <w:sz w:val="18"/>
                <w:szCs w:val="18"/>
              </w:rPr>
            </w:pPr>
            <w:r w:rsidRPr="005630DE">
              <w:rPr>
                <w:sz w:val="18"/>
                <w:szCs w:val="18"/>
              </w:rPr>
              <w:t>2,215</w:t>
            </w:r>
          </w:p>
        </w:tc>
        <w:tc>
          <w:tcPr>
            <w:tcW w:w="900" w:type="dxa"/>
            <w:tcBorders>
              <w:top w:val="single" w:sz="4" w:space="0" w:color="auto"/>
              <w:left w:val="single" w:sz="4" w:space="0" w:color="auto"/>
              <w:bottom w:val="single" w:sz="4" w:space="0" w:color="auto"/>
              <w:right w:val="single" w:sz="4" w:space="0" w:color="auto"/>
            </w:tcBorders>
            <w:vAlign w:val="center"/>
            <w:hideMark/>
          </w:tcPr>
          <w:p w14:paraId="74DC6422" w14:textId="28B8A557" w:rsidR="00291BAC" w:rsidRPr="00683E55" w:rsidRDefault="00291BAC" w:rsidP="00291BAC">
            <w:pPr>
              <w:pStyle w:val="ExhibitText"/>
              <w:jc w:val="right"/>
              <w:rPr>
                <w:sz w:val="18"/>
                <w:szCs w:val="18"/>
              </w:rPr>
            </w:pPr>
            <w:r w:rsidRPr="005630DE">
              <w:rPr>
                <w:sz w:val="18"/>
                <w:szCs w:val="18"/>
              </w:rPr>
              <w:t>1</w:t>
            </w:r>
            <w:r w:rsidR="003E7C35">
              <w:rPr>
                <w:sz w:val="18"/>
                <w:szCs w:val="18"/>
              </w:rPr>
              <w:t>,</w:t>
            </w:r>
            <w:r w:rsidRPr="005630DE">
              <w:rPr>
                <w:sz w:val="18"/>
                <w:szCs w:val="18"/>
              </w:rPr>
              <w:t>245</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5FA6F54" w14:textId="7FC60DBB" w:rsidR="00291BAC" w:rsidRPr="00683E55" w:rsidRDefault="00291BAC"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338DB079" w14:textId="4B3EA753" w:rsidR="00291BAC" w:rsidRPr="00683E55" w:rsidRDefault="00291BAC" w:rsidP="00291BAC">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5DB7EC52" w14:textId="217E13EA" w:rsidR="00291BAC" w:rsidRPr="00683E55" w:rsidRDefault="00291BAC" w:rsidP="00291BAC">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73F1E1E0" w14:textId="22F99EAA" w:rsidR="00291BAC" w:rsidRPr="00683E55" w:rsidRDefault="00291BAC" w:rsidP="00291BAC">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21733148" w14:textId="476A1242" w:rsidR="00291BAC" w:rsidRPr="00683E55" w:rsidRDefault="00291BAC" w:rsidP="00291BAC">
            <w:pPr>
              <w:pStyle w:val="ExhibitText"/>
              <w:jc w:val="right"/>
              <w:rPr>
                <w:sz w:val="18"/>
                <w:szCs w:val="18"/>
              </w:rPr>
            </w:pPr>
            <w:r w:rsidRPr="005630DE">
              <w:rPr>
                <w:sz w:val="18"/>
                <w:szCs w:val="18"/>
              </w:rPr>
              <w:t>-</w:t>
            </w:r>
          </w:p>
        </w:tc>
        <w:tc>
          <w:tcPr>
            <w:tcW w:w="966" w:type="dxa"/>
            <w:tcBorders>
              <w:top w:val="single" w:sz="4" w:space="0" w:color="auto"/>
              <w:left w:val="single" w:sz="4" w:space="0" w:color="auto"/>
              <w:bottom w:val="single" w:sz="4" w:space="0" w:color="auto"/>
              <w:right w:val="single" w:sz="4" w:space="0" w:color="auto"/>
            </w:tcBorders>
            <w:vAlign w:val="center"/>
            <w:hideMark/>
          </w:tcPr>
          <w:p w14:paraId="5B366801" w14:textId="218AB48C" w:rsidR="00291BAC" w:rsidRPr="00683E55" w:rsidRDefault="00291BAC" w:rsidP="00291BAC">
            <w:pPr>
              <w:pStyle w:val="ExhibitText"/>
              <w:jc w:val="right"/>
              <w:rPr>
                <w:sz w:val="18"/>
                <w:szCs w:val="18"/>
              </w:rPr>
            </w:pPr>
            <w:r w:rsidRPr="005630DE">
              <w:rPr>
                <w:sz w:val="18"/>
                <w:szCs w:val="18"/>
              </w:rPr>
              <w:t>-</w:t>
            </w:r>
          </w:p>
        </w:tc>
        <w:tc>
          <w:tcPr>
            <w:tcW w:w="892" w:type="dxa"/>
            <w:tcBorders>
              <w:top w:val="single" w:sz="4" w:space="0" w:color="auto"/>
              <w:left w:val="single" w:sz="4" w:space="0" w:color="auto"/>
              <w:bottom w:val="single" w:sz="4" w:space="0" w:color="auto"/>
              <w:right w:val="single" w:sz="4" w:space="0" w:color="auto"/>
            </w:tcBorders>
            <w:vAlign w:val="center"/>
            <w:hideMark/>
          </w:tcPr>
          <w:p w14:paraId="5140C7D4" w14:textId="044D815C" w:rsidR="00291BAC" w:rsidRPr="00683E55" w:rsidRDefault="00291BAC" w:rsidP="00291BAC">
            <w:pPr>
              <w:pStyle w:val="ExhibitText"/>
              <w:jc w:val="right"/>
              <w:rPr>
                <w:sz w:val="18"/>
                <w:szCs w:val="18"/>
              </w:rPr>
            </w:pPr>
            <w:r w:rsidRPr="005630DE">
              <w:rPr>
                <w:sz w:val="18"/>
                <w:szCs w:val="18"/>
              </w:rPr>
              <w:t>-</w:t>
            </w:r>
          </w:p>
        </w:tc>
      </w:tr>
      <w:tr w:rsidR="00291BAC" w:rsidRPr="009E116E" w14:paraId="21522814"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30EC1040" w14:textId="4EABD019" w:rsidR="00291BAC" w:rsidRPr="001456A2" w:rsidRDefault="00291BAC" w:rsidP="00291BAC">
            <w:pPr>
              <w:pStyle w:val="ExhibitText"/>
              <w:jc w:val="left"/>
              <w:rPr>
                <w:sz w:val="18"/>
                <w:szCs w:val="18"/>
              </w:rPr>
            </w:pPr>
            <w:r w:rsidRPr="005630DE">
              <w:rPr>
                <w:sz w:val="18"/>
                <w:szCs w:val="18"/>
              </w:rPr>
              <w:t>Grand-</w:t>
            </w:r>
            <w:proofErr w:type="spellStart"/>
            <w:r w:rsidRPr="005630DE">
              <w:rPr>
                <w:sz w:val="18"/>
                <w:szCs w:val="18"/>
              </w:rPr>
              <w:t>Go</w:t>
            </w:r>
            <w:r w:rsidR="003E7C35">
              <w:rPr>
                <w:sz w:val="18"/>
                <w:szCs w:val="18"/>
              </w:rPr>
              <w:t>â</w:t>
            </w:r>
            <w:r w:rsidRPr="005630DE">
              <w:rPr>
                <w:sz w:val="18"/>
                <w:szCs w:val="18"/>
              </w:rPr>
              <w:t>ve</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6B38339A" w14:textId="305B3297" w:rsidR="00291BAC" w:rsidRPr="009E116E" w:rsidRDefault="00291BAC" w:rsidP="00291BAC">
            <w:pPr>
              <w:pStyle w:val="ExhibitText"/>
              <w:jc w:val="right"/>
              <w:rPr>
                <w:sz w:val="18"/>
                <w:szCs w:val="18"/>
              </w:rPr>
            </w:pPr>
            <w:r w:rsidRPr="005630DE">
              <w:rPr>
                <w:sz w:val="18"/>
                <w:szCs w:val="18"/>
              </w:rPr>
              <w:t>124</w:t>
            </w:r>
            <w:r w:rsidR="003E7C35">
              <w:rPr>
                <w:sz w:val="18"/>
                <w:szCs w:val="18"/>
              </w:rPr>
              <w:t>,</w:t>
            </w:r>
            <w:r w:rsidRPr="005630DE">
              <w:rPr>
                <w:sz w:val="18"/>
                <w:szCs w:val="18"/>
              </w:rPr>
              <w:t>135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620784E" w14:textId="35B086B9" w:rsidR="00291BAC" w:rsidRPr="009E116E" w:rsidRDefault="00291BAC" w:rsidP="00291BAC">
            <w:pPr>
              <w:pStyle w:val="ExhibitText"/>
              <w:jc w:val="right"/>
              <w:rPr>
                <w:sz w:val="18"/>
                <w:szCs w:val="18"/>
              </w:rPr>
            </w:pPr>
            <w:r w:rsidRPr="005630DE">
              <w:rPr>
                <w:sz w:val="18"/>
                <w:szCs w:val="18"/>
              </w:rPr>
              <w:t>50</w:t>
            </w:r>
            <w:r w:rsidR="003E7C35">
              <w:rPr>
                <w:sz w:val="18"/>
                <w:szCs w:val="18"/>
              </w:rPr>
              <w:t>,</w:t>
            </w:r>
            <w:r w:rsidRPr="005630DE">
              <w:rPr>
                <w:sz w:val="18"/>
                <w:szCs w:val="18"/>
              </w:rPr>
              <w:t>065</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B42EC4" w14:textId="502D4611" w:rsidR="00291BAC" w:rsidRPr="009E116E" w:rsidRDefault="00291BAC" w:rsidP="00291BAC">
            <w:pPr>
              <w:pStyle w:val="ExhibitText"/>
              <w:jc w:val="right"/>
              <w:rPr>
                <w:sz w:val="18"/>
                <w:szCs w:val="18"/>
              </w:rPr>
            </w:pPr>
            <w:r w:rsidRPr="005630DE">
              <w:rPr>
                <w:sz w:val="18"/>
                <w:szCs w:val="18"/>
              </w:rPr>
              <w:t>31</w:t>
            </w:r>
            <w:r w:rsidR="003E7C35">
              <w:rPr>
                <w:sz w:val="18"/>
                <w:szCs w:val="18"/>
              </w:rPr>
              <w:t>,</w:t>
            </w:r>
            <w:r w:rsidRPr="005630DE">
              <w:rPr>
                <w:sz w:val="18"/>
                <w:szCs w:val="18"/>
              </w:rPr>
              <w:t>890</w:t>
            </w:r>
          </w:p>
        </w:tc>
        <w:tc>
          <w:tcPr>
            <w:tcW w:w="990" w:type="dxa"/>
            <w:tcBorders>
              <w:top w:val="single" w:sz="4" w:space="0" w:color="auto"/>
              <w:left w:val="single" w:sz="4" w:space="0" w:color="auto"/>
              <w:bottom w:val="single" w:sz="4" w:space="0" w:color="auto"/>
              <w:right w:val="single" w:sz="4" w:space="0" w:color="auto"/>
            </w:tcBorders>
            <w:vAlign w:val="center"/>
            <w:hideMark/>
          </w:tcPr>
          <w:p w14:paraId="4972D44B" w14:textId="73E5D25D" w:rsidR="00291BAC" w:rsidRPr="009E116E" w:rsidRDefault="00291BAC" w:rsidP="00291BAC">
            <w:pPr>
              <w:pStyle w:val="ExhibitText"/>
              <w:jc w:val="right"/>
              <w:rPr>
                <w:sz w:val="18"/>
                <w:szCs w:val="18"/>
              </w:rPr>
            </w:pPr>
            <w:r w:rsidRPr="005630DE">
              <w:rPr>
                <w:sz w:val="18"/>
                <w:szCs w:val="18"/>
              </w:rPr>
              <w:t>24</w:t>
            </w:r>
            <w:r w:rsidR="00F86A63">
              <w:rPr>
                <w:sz w:val="18"/>
                <w:szCs w:val="18"/>
              </w:rPr>
              <w:t>3</w:t>
            </w:r>
          </w:p>
        </w:tc>
        <w:tc>
          <w:tcPr>
            <w:tcW w:w="900" w:type="dxa"/>
            <w:tcBorders>
              <w:top w:val="single" w:sz="4" w:space="0" w:color="auto"/>
              <w:left w:val="single" w:sz="4" w:space="0" w:color="auto"/>
              <w:bottom w:val="single" w:sz="4" w:space="0" w:color="auto"/>
              <w:right w:val="single" w:sz="4" w:space="0" w:color="auto"/>
            </w:tcBorders>
            <w:vAlign w:val="center"/>
            <w:hideMark/>
          </w:tcPr>
          <w:p w14:paraId="554718D6" w14:textId="0A34A59E" w:rsidR="00291BAC" w:rsidRPr="009E116E" w:rsidRDefault="00291BAC" w:rsidP="00291BAC">
            <w:pPr>
              <w:pStyle w:val="ExhibitText"/>
              <w:jc w:val="right"/>
              <w:rPr>
                <w:sz w:val="18"/>
                <w:szCs w:val="18"/>
              </w:rPr>
            </w:pPr>
            <w:r w:rsidRPr="005630DE">
              <w:rPr>
                <w:sz w:val="18"/>
                <w:szCs w:val="18"/>
              </w:rPr>
              <w:t>511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390B08C" w14:textId="5C86509F" w:rsidR="00291BAC" w:rsidRPr="009E116E" w:rsidRDefault="00291BAC"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00D1A66E" w14:textId="66FFF63F" w:rsidR="00291BAC" w:rsidRPr="009E116E" w:rsidRDefault="00291BAC" w:rsidP="00291BAC">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05EA8CF3" w14:textId="24B3C3A6" w:rsidR="00291BAC" w:rsidRPr="009E116E" w:rsidRDefault="00291BAC" w:rsidP="00291BAC">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22E0898" w14:textId="11062919" w:rsidR="00291BAC" w:rsidRPr="009E116E" w:rsidRDefault="00291BAC" w:rsidP="00291BAC">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B0C64AE" w14:textId="63E06693" w:rsidR="00291BAC" w:rsidRPr="009E116E" w:rsidRDefault="00291BAC" w:rsidP="00291BAC">
            <w:pPr>
              <w:pStyle w:val="ExhibitText"/>
              <w:jc w:val="right"/>
              <w:rPr>
                <w:sz w:val="18"/>
                <w:szCs w:val="18"/>
              </w:rPr>
            </w:pPr>
            <w:r w:rsidRPr="005630DE">
              <w:rPr>
                <w:sz w:val="18"/>
                <w:szCs w:val="18"/>
              </w:rPr>
              <w:t>-</w:t>
            </w:r>
          </w:p>
        </w:tc>
        <w:tc>
          <w:tcPr>
            <w:tcW w:w="966" w:type="dxa"/>
            <w:tcBorders>
              <w:top w:val="single" w:sz="4" w:space="0" w:color="auto"/>
              <w:left w:val="single" w:sz="4" w:space="0" w:color="auto"/>
              <w:bottom w:val="single" w:sz="4" w:space="0" w:color="auto"/>
              <w:right w:val="single" w:sz="4" w:space="0" w:color="auto"/>
            </w:tcBorders>
            <w:vAlign w:val="center"/>
            <w:hideMark/>
          </w:tcPr>
          <w:p w14:paraId="757F16EB" w14:textId="569738D2" w:rsidR="00291BAC" w:rsidRPr="009E116E" w:rsidRDefault="00291BAC">
            <w:pPr>
              <w:pStyle w:val="ExhibitText"/>
              <w:jc w:val="right"/>
              <w:rPr>
                <w:sz w:val="18"/>
                <w:szCs w:val="18"/>
              </w:rPr>
            </w:pPr>
            <w:r w:rsidRPr="005630DE">
              <w:rPr>
                <w:sz w:val="18"/>
                <w:szCs w:val="18"/>
              </w:rPr>
              <w:t>-</w:t>
            </w:r>
          </w:p>
        </w:tc>
        <w:tc>
          <w:tcPr>
            <w:tcW w:w="892" w:type="dxa"/>
            <w:tcBorders>
              <w:top w:val="single" w:sz="4" w:space="0" w:color="auto"/>
              <w:left w:val="single" w:sz="4" w:space="0" w:color="auto"/>
              <w:bottom w:val="single" w:sz="4" w:space="0" w:color="auto"/>
              <w:right w:val="single" w:sz="4" w:space="0" w:color="auto"/>
            </w:tcBorders>
            <w:vAlign w:val="center"/>
            <w:hideMark/>
          </w:tcPr>
          <w:p w14:paraId="279F321C" w14:textId="79BD8AE3" w:rsidR="00291BAC" w:rsidRPr="009E116E" w:rsidRDefault="00291BAC" w:rsidP="00291BAC">
            <w:pPr>
              <w:pStyle w:val="ExhibitText"/>
              <w:jc w:val="right"/>
              <w:rPr>
                <w:sz w:val="18"/>
                <w:szCs w:val="18"/>
              </w:rPr>
            </w:pPr>
            <w:r w:rsidRPr="005630DE">
              <w:rPr>
                <w:sz w:val="18"/>
                <w:szCs w:val="18"/>
              </w:rPr>
              <w:t>-</w:t>
            </w:r>
          </w:p>
        </w:tc>
      </w:tr>
      <w:tr w:rsidR="00291BAC" w:rsidRPr="009E116E" w14:paraId="412D8A7C"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67D83AD0" w14:textId="6F19474B" w:rsidR="00291BAC" w:rsidRPr="001456A2" w:rsidRDefault="00291BAC" w:rsidP="00291BAC">
            <w:pPr>
              <w:pStyle w:val="ExhibitText"/>
              <w:jc w:val="left"/>
              <w:rPr>
                <w:sz w:val="18"/>
                <w:szCs w:val="18"/>
              </w:rPr>
            </w:pPr>
            <w:proofErr w:type="spellStart"/>
            <w:r w:rsidRPr="005630DE">
              <w:rPr>
                <w:sz w:val="18"/>
                <w:szCs w:val="18"/>
              </w:rPr>
              <w:t>Jacmel</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6D553C90" w14:textId="52C431F8" w:rsidR="00291BAC" w:rsidRPr="009E116E" w:rsidRDefault="00291BAC" w:rsidP="00291BAC">
            <w:pPr>
              <w:pStyle w:val="ExhibitText"/>
              <w:jc w:val="right"/>
              <w:rPr>
                <w:sz w:val="18"/>
                <w:szCs w:val="18"/>
              </w:rPr>
            </w:pPr>
            <w:r w:rsidRPr="005630DE">
              <w:rPr>
                <w:sz w:val="18"/>
                <w:szCs w:val="18"/>
              </w:rPr>
              <w:t>170</w:t>
            </w:r>
            <w:r w:rsidR="003E7C35">
              <w:rPr>
                <w:sz w:val="18"/>
                <w:szCs w:val="18"/>
              </w:rPr>
              <w:t>,</w:t>
            </w:r>
            <w:r w:rsidRPr="005630DE">
              <w:rPr>
                <w:sz w:val="18"/>
                <w:szCs w:val="18"/>
              </w:rPr>
              <w:t>289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A015BF1" w14:textId="4BBDDE6B" w:rsidR="00291BAC" w:rsidRPr="009E116E" w:rsidRDefault="00291BAC" w:rsidP="00291BAC">
            <w:pPr>
              <w:pStyle w:val="ExhibitText"/>
              <w:jc w:val="right"/>
              <w:rPr>
                <w:sz w:val="18"/>
                <w:szCs w:val="18"/>
              </w:rPr>
            </w:pPr>
            <w:r w:rsidRPr="005630DE">
              <w:rPr>
                <w:sz w:val="18"/>
                <w:szCs w:val="18"/>
              </w:rPr>
              <w:t>71</w:t>
            </w:r>
            <w:r w:rsidR="003E7C35">
              <w:rPr>
                <w:sz w:val="18"/>
                <w:szCs w:val="18"/>
              </w:rPr>
              <w:t>,</w:t>
            </w:r>
            <w:r w:rsidRPr="005630DE">
              <w:rPr>
                <w:sz w:val="18"/>
                <w:szCs w:val="18"/>
              </w:rPr>
              <w:t>801</w:t>
            </w:r>
          </w:p>
        </w:tc>
        <w:tc>
          <w:tcPr>
            <w:tcW w:w="900" w:type="dxa"/>
            <w:tcBorders>
              <w:top w:val="single" w:sz="4" w:space="0" w:color="auto"/>
              <w:left w:val="single" w:sz="4" w:space="0" w:color="auto"/>
              <w:bottom w:val="single" w:sz="4" w:space="0" w:color="auto"/>
              <w:right w:val="single" w:sz="4" w:space="0" w:color="auto"/>
            </w:tcBorders>
            <w:vAlign w:val="center"/>
            <w:hideMark/>
          </w:tcPr>
          <w:p w14:paraId="213121AA" w14:textId="4E0A9B38" w:rsidR="00291BAC" w:rsidRPr="009E116E" w:rsidRDefault="00291BAC" w:rsidP="00291BAC">
            <w:pPr>
              <w:pStyle w:val="ExhibitText"/>
              <w:jc w:val="right"/>
              <w:rPr>
                <w:sz w:val="18"/>
                <w:szCs w:val="18"/>
              </w:rPr>
            </w:pPr>
            <w:r w:rsidRPr="005630DE">
              <w:rPr>
                <w:sz w:val="18"/>
                <w:szCs w:val="18"/>
              </w:rPr>
              <w:t>39</w:t>
            </w:r>
            <w:r w:rsidR="003E7C35">
              <w:rPr>
                <w:sz w:val="18"/>
                <w:szCs w:val="18"/>
              </w:rPr>
              <w:t>,</w:t>
            </w:r>
            <w:r w:rsidRPr="005630DE">
              <w:rPr>
                <w:sz w:val="18"/>
                <w:szCs w:val="18"/>
              </w:rPr>
              <w:t>435</w:t>
            </w:r>
          </w:p>
        </w:tc>
        <w:tc>
          <w:tcPr>
            <w:tcW w:w="990" w:type="dxa"/>
            <w:tcBorders>
              <w:top w:val="single" w:sz="4" w:space="0" w:color="auto"/>
              <w:left w:val="single" w:sz="4" w:space="0" w:color="auto"/>
              <w:bottom w:val="single" w:sz="4" w:space="0" w:color="auto"/>
              <w:right w:val="single" w:sz="4" w:space="0" w:color="auto"/>
            </w:tcBorders>
            <w:vAlign w:val="center"/>
            <w:hideMark/>
          </w:tcPr>
          <w:p w14:paraId="74E54CFF" w14:textId="07F17FD9" w:rsidR="00291BAC" w:rsidRPr="009E116E" w:rsidRDefault="00291BAC" w:rsidP="00291BAC">
            <w:pPr>
              <w:pStyle w:val="ExhibitText"/>
              <w:jc w:val="right"/>
              <w:rPr>
                <w:sz w:val="18"/>
                <w:szCs w:val="18"/>
              </w:rPr>
            </w:pPr>
            <w:r w:rsidRPr="005630DE">
              <w:rPr>
                <w:sz w:val="18"/>
                <w:szCs w:val="18"/>
              </w:rPr>
              <w:t>44</w:t>
            </w:r>
            <w:r w:rsidR="00F86A63">
              <w:rPr>
                <w:sz w:val="18"/>
                <w:szCs w:val="18"/>
              </w:rPr>
              <w:t>4</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C7D577" w14:textId="67F9C8BB" w:rsidR="00291BAC" w:rsidRPr="009E116E" w:rsidRDefault="00291BAC" w:rsidP="00291BAC">
            <w:pPr>
              <w:pStyle w:val="ExhibitText"/>
              <w:jc w:val="right"/>
              <w:rPr>
                <w:sz w:val="18"/>
                <w:szCs w:val="18"/>
              </w:rPr>
            </w:pPr>
            <w:r w:rsidRPr="005630DE">
              <w:rPr>
                <w:sz w:val="18"/>
                <w:szCs w:val="18"/>
              </w:rPr>
              <w:t>384</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C54EF66" w14:textId="56C26CC4" w:rsidR="00291BAC" w:rsidRPr="009E116E" w:rsidRDefault="00291BAC" w:rsidP="00542316">
            <w:pPr>
              <w:pStyle w:val="ExhibitText"/>
              <w:jc w:val="right"/>
              <w:rPr>
                <w:sz w:val="18"/>
                <w:szCs w:val="18"/>
              </w:rPr>
            </w:pPr>
            <w:proofErr w:type="spellStart"/>
            <w:r w:rsidRPr="005630DE">
              <w:rPr>
                <w:sz w:val="18"/>
                <w:szCs w:val="18"/>
              </w:rPr>
              <w:t>Thermo</w:t>
            </w:r>
            <w:proofErr w:type="spellEnd"/>
            <w:r w:rsidR="00F86A63">
              <w:rPr>
                <w:sz w:val="18"/>
                <w:szCs w:val="18"/>
              </w:rPr>
              <w:t> </w:t>
            </w:r>
            <w:r w:rsidRPr="005630DE">
              <w:rPr>
                <w:sz w:val="18"/>
                <w:szCs w:val="18"/>
              </w:rPr>
              <w:t>D</w:t>
            </w:r>
          </w:p>
        </w:tc>
        <w:tc>
          <w:tcPr>
            <w:tcW w:w="720" w:type="dxa"/>
            <w:tcBorders>
              <w:top w:val="single" w:sz="4" w:space="0" w:color="auto"/>
              <w:left w:val="single" w:sz="4" w:space="0" w:color="auto"/>
              <w:bottom w:val="single" w:sz="4" w:space="0" w:color="auto"/>
              <w:right w:val="single" w:sz="4" w:space="0" w:color="auto"/>
            </w:tcBorders>
            <w:vAlign w:val="center"/>
            <w:hideMark/>
          </w:tcPr>
          <w:p w14:paraId="41710C99" w14:textId="10836B2C" w:rsidR="00291BAC" w:rsidRPr="009E116E" w:rsidRDefault="00291BAC" w:rsidP="00291BAC">
            <w:pPr>
              <w:pStyle w:val="ExhibitText"/>
              <w:jc w:val="right"/>
              <w:rPr>
                <w:sz w:val="18"/>
                <w:szCs w:val="18"/>
              </w:rPr>
            </w:pPr>
            <w:r w:rsidRPr="005630DE">
              <w:rPr>
                <w:sz w:val="18"/>
                <w:szCs w:val="18"/>
              </w:rPr>
              <w:t>3.8</w:t>
            </w:r>
          </w:p>
        </w:tc>
        <w:tc>
          <w:tcPr>
            <w:tcW w:w="777" w:type="dxa"/>
            <w:tcBorders>
              <w:top w:val="single" w:sz="4" w:space="0" w:color="auto"/>
              <w:left w:val="single" w:sz="4" w:space="0" w:color="auto"/>
              <w:bottom w:val="single" w:sz="4" w:space="0" w:color="auto"/>
              <w:right w:val="single" w:sz="4" w:space="0" w:color="auto"/>
            </w:tcBorders>
            <w:vAlign w:val="center"/>
            <w:hideMark/>
          </w:tcPr>
          <w:p w14:paraId="28FD1CAE" w14:textId="20D27E25" w:rsidR="00291BAC" w:rsidRPr="009E116E" w:rsidRDefault="00291BAC" w:rsidP="00291BAC">
            <w:pPr>
              <w:pStyle w:val="ExhibitText"/>
              <w:jc w:val="right"/>
              <w:rPr>
                <w:sz w:val="18"/>
                <w:szCs w:val="18"/>
              </w:rPr>
            </w:pPr>
            <w:r w:rsidRPr="005630DE">
              <w:rPr>
                <w:sz w:val="18"/>
                <w:szCs w:val="18"/>
              </w:rPr>
              <w:t>2.9</w:t>
            </w:r>
          </w:p>
        </w:tc>
        <w:tc>
          <w:tcPr>
            <w:tcW w:w="929" w:type="dxa"/>
            <w:tcBorders>
              <w:top w:val="single" w:sz="4" w:space="0" w:color="auto"/>
              <w:left w:val="single" w:sz="4" w:space="0" w:color="auto"/>
              <w:bottom w:val="single" w:sz="4" w:space="0" w:color="auto"/>
              <w:right w:val="single" w:sz="4" w:space="0" w:color="auto"/>
            </w:tcBorders>
            <w:vAlign w:val="center"/>
            <w:hideMark/>
          </w:tcPr>
          <w:p w14:paraId="1142038C" w14:textId="563DE6CC" w:rsidR="00291BAC" w:rsidRPr="009E116E" w:rsidRDefault="00291BAC" w:rsidP="00291BAC">
            <w:pPr>
              <w:pStyle w:val="ExhibitText"/>
              <w:jc w:val="right"/>
              <w:rPr>
                <w:sz w:val="18"/>
                <w:szCs w:val="18"/>
              </w:rPr>
            </w:pPr>
            <w:r w:rsidRPr="005630DE">
              <w:rPr>
                <w:sz w:val="18"/>
                <w:szCs w:val="18"/>
              </w:rPr>
              <w:t>20.9</w:t>
            </w:r>
          </w:p>
        </w:tc>
        <w:tc>
          <w:tcPr>
            <w:tcW w:w="928" w:type="dxa"/>
            <w:tcBorders>
              <w:top w:val="single" w:sz="4" w:space="0" w:color="auto"/>
              <w:left w:val="single" w:sz="4" w:space="0" w:color="auto"/>
              <w:bottom w:val="single" w:sz="4" w:space="0" w:color="auto"/>
              <w:right w:val="single" w:sz="4" w:space="0" w:color="auto"/>
            </w:tcBorders>
            <w:vAlign w:val="center"/>
            <w:hideMark/>
          </w:tcPr>
          <w:p w14:paraId="2C8EDE83" w14:textId="7BD3793C" w:rsidR="00291BAC" w:rsidRPr="009E116E" w:rsidRDefault="00291BAC" w:rsidP="00291BAC">
            <w:pPr>
              <w:pStyle w:val="ExhibitText"/>
              <w:jc w:val="right"/>
              <w:rPr>
                <w:sz w:val="18"/>
                <w:szCs w:val="18"/>
              </w:rPr>
            </w:pPr>
            <w:r w:rsidRPr="005630DE">
              <w:rPr>
                <w:sz w:val="18"/>
                <w:szCs w:val="18"/>
              </w:rPr>
              <w:t>1</w:t>
            </w:r>
            <w:r w:rsidR="00F86A63">
              <w:rPr>
                <w:sz w:val="18"/>
                <w:szCs w:val="18"/>
              </w:rPr>
              <w:t>,</w:t>
            </w:r>
            <w:r w:rsidRPr="005630DE">
              <w:rPr>
                <w:sz w:val="18"/>
                <w:szCs w:val="18"/>
              </w:rPr>
              <w:t>522</w:t>
            </w:r>
          </w:p>
        </w:tc>
        <w:tc>
          <w:tcPr>
            <w:tcW w:w="966" w:type="dxa"/>
            <w:tcBorders>
              <w:top w:val="single" w:sz="4" w:space="0" w:color="auto"/>
              <w:left w:val="single" w:sz="4" w:space="0" w:color="auto"/>
              <w:bottom w:val="single" w:sz="4" w:space="0" w:color="auto"/>
              <w:right w:val="single" w:sz="4" w:space="0" w:color="auto"/>
            </w:tcBorders>
            <w:vAlign w:val="center"/>
            <w:hideMark/>
          </w:tcPr>
          <w:p w14:paraId="7FFB1A75" w14:textId="7ADEF16C" w:rsidR="00291BAC" w:rsidRPr="009E116E" w:rsidRDefault="00291BAC" w:rsidP="00291BAC">
            <w:pPr>
              <w:pStyle w:val="ExhibitText"/>
              <w:jc w:val="right"/>
              <w:rPr>
                <w:sz w:val="18"/>
                <w:szCs w:val="18"/>
              </w:rPr>
            </w:pPr>
            <w:r w:rsidRPr="005630DE">
              <w:rPr>
                <w:sz w:val="18"/>
                <w:szCs w:val="18"/>
              </w:rPr>
              <w:t>6</w:t>
            </w:r>
            <w:r w:rsidR="00F86A63">
              <w:rPr>
                <w:sz w:val="18"/>
                <w:szCs w:val="18"/>
              </w:rPr>
              <w:t>,</w:t>
            </w:r>
            <w:r w:rsidRPr="005630DE">
              <w:rPr>
                <w:sz w:val="18"/>
                <w:szCs w:val="18"/>
              </w:rPr>
              <w:t>616</w:t>
            </w:r>
          </w:p>
        </w:tc>
        <w:tc>
          <w:tcPr>
            <w:tcW w:w="892" w:type="dxa"/>
            <w:tcBorders>
              <w:top w:val="single" w:sz="4" w:space="0" w:color="auto"/>
              <w:left w:val="single" w:sz="4" w:space="0" w:color="auto"/>
              <w:bottom w:val="single" w:sz="4" w:space="0" w:color="auto"/>
              <w:right w:val="single" w:sz="4" w:space="0" w:color="auto"/>
            </w:tcBorders>
            <w:vAlign w:val="center"/>
            <w:hideMark/>
          </w:tcPr>
          <w:p w14:paraId="5F32F6A9" w14:textId="55E0BB89" w:rsidR="00291BAC" w:rsidRPr="009E116E" w:rsidRDefault="00291BAC" w:rsidP="00291BAC">
            <w:pPr>
              <w:pStyle w:val="ExhibitText"/>
              <w:jc w:val="right"/>
              <w:rPr>
                <w:sz w:val="18"/>
                <w:szCs w:val="18"/>
              </w:rPr>
            </w:pPr>
            <w:r w:rsidRPr="005630DE">
              <w:rPr>
                <w:sz w:val="18"/>
                <w:szCs w:val="18"/>
              </w:rPr>
              <w:t>6</w:t>
            </w:r>
            <w:r w:rsidR="00F86A63">
              <w:rPr>
                <w:sz w:val="18"/>
                <w:szCs w:val="18"/>
              </w:rPr>
              <w:t>,</w:t>
            </w:r>
            <w:r w:rsidRPr="005630DE">
              <w:rPr>
                <w:sz w:val="18"/>
                <w:szCs w:val="18"/>
              </w:rPr>
              <w:t>000</w:t>
            </w:r>
          </w:p>
        </w:tc>
      </w:tr>
      <w:tr w:rsidR="00291BAC" w:rsidRPr="009E116E" w14:paraId="10C2AF37"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0B268FC4" w14:textId="4AAD19FE" w:rsidR="00291BAC" w:rsidRPr="001456A2" w:rsidRDefault="00291BAC">
            <w:pPr>
              <w:pStyle w:val="ExhibitText"/>
              <w:jc w:val="left"/>
              <w:rPr>
                <w:sz w:val="18"/>
                <w:szCs w:val="18"/>
              </w:rPr>
            </w:pPr>
            <w:proofErr w:type="spellStart"/>
            <w:r w:rsidRPr="005630DE">
              <w:rPr>
                <w:sz w:val="18"/>
                <w:szCs w:val="18"/>
              </w:rPr>
              <w:t>L</w:t>
            </w:r>
            <w:r w:rsidR="003E7C35">
              <w:rPr>
                <w:sz w:val="18"/>
                <w:szCs w:val="18"/>
              </w:rPr>
              <w:t>é</w:t>
            </w:r>
            <w:r w:rsidRPr="005630DE">
              <w:rPr>
                <w:sz w:val="18"/>
                <w:szCs w:val="18"/>
              </w:rPr>
              <w:t>ogo</w:t>
            </w:r>
            <w:r w:rsidR="003E7C35">
              <w:rPr>
                <w:sz w:val="18"/>
                <w:szCs w:val="18"/>
              </w:rPr>
              <w:t>â</w:t>
            </w:r>
            <w:r w:rsidRPr="005630DE">
              <w:rPr>
                <w:sz w:val="18"/>
                <w:szCs w:val="18"/>
              </w:rPr>
              <w:t>ne</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61660813" w14:textId="6DCB113E" w:rsidR="00291BAC" w:rsidRPr="009E116E" w:rsidRDefault="00291BAC" w:rsidP="00291BAC">
            <w:pPr>
              <w:pStyle w:val="ExhibitText"/>
              <w:jc w:val="right"/>
              <w:rPr>
                <w:sz w:val="18"/>
                <w:szCs w:val="18"/>
              </w:rPr>
            </w:pPr>
            <w:r w:rsidRPr="005630DE">
              <w:rPr>
                <w:sz w:val="18"/>
                <w:szCs w:val="18"/>
              </w:rPr>
              <w:t>181</w:t>
            </w:r>
            <w:r w:rsidR="003E7C35">
              <w:rPr>
                <w:sz w:val="18"/>
                <w:szCs w:val="18"/>
              </w:rPr>
              <w:t>,</w:t>
            </w:r>
            <w:r w:rsidRPr="005630DE">
              <w:rPr>
                <w:sz w:val="18"/>
                <w:szCs w:val="18"/>
              </w:rPr>
              <w:t>709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250B1BF" w14:textId="22616DEA" w:rsidR="00291BAC" w:rsidRPr="009E116E" w:rsidRDefault="00291BAC" w:rsidP="00291BAC">
            <w:pPr>
              <w:pStyle w:val="ExhibitText"/>
              <w:jc w:val="right"/>
              <w:rPr>
                <w:sz w:val="18"/>
                <w:szCs w:val="18"/>
              </w:rPr>
            </w:pPr>
            <w:r w:rsidRPr="005630DE">
              <w:rPr>
                <w:sz w:val="18"/>
                <w:szCs w:val="18"/>
              </w:rPr>
              <w:t>73</w:t>
            </w:r>
            <w:r w:rsidR="003E7C35">
              <w:rPr>
                <w:sz w:val="18"/>
                <w:szCs w:val="18"/>
              </w:rPr>
              <w:t>,</w:t>
            </w:r>
            <w:r w:rsidRPr="005630DE">
              <w:rPr>
                <w:sz w:val="18"/>
                <w:szCs w:val="18"/>
              </w:rPr>
              <w:t>971</w:t>
            </w:r>
          </w:p>
        </w:tc>
        <w:tc>
          <w:tcPr>
            <w:tcW w:w="900" w:type="dxa"/>
            <w:tcBorders>
              <w:top w:val="single" w:sz="4" w:space="0" w:color="auto"/>
              <w:left w:val="single" w:sz="4" w:space="0" w:color="auto"/>
              <w:bottom w:val="single" w:sz="4" w:space="0" w:color="auto"/>
              <w:right w:val="single" w:sz="4" w:space="0" w:color="auto"/>
            </w:tcBorders>
            <w:vAlign w:val="center"/>
            <w:hideMark/>
          </w:tcPr>
          <w:p w14:paraId="0CBFB4FF" w14:textId="0EC25D30" w:rsidR="00291BAC" w:rsidRPr="009E116E" w:rsidRDefault="00291BAC" w:rsidP="00291BAC">
            <w:pPr>
              <w:pStyle w:val="ExhibitText"/>
              <w:jc w:val="right"/>
              <w:rPr>
                <w:sz w:val="18"/>
                <w:szCs w:val="18"/>
              </w:rPr>
            </w:pPr>
            <w:r w:rsidRPr="005630DE">
              <w:rPr>
                <w:sz w:val="18"/>
                <w:szCs w:val="18"/>
              </w:rPr>
              <w:t>42</w:t>
            </w:r>
            <w:r w:rsidR="003E7C35">
              <w:rPr>
                <w:sz w:val="18"/>
                <w:szCs w:val="18"/>
              </w:rPr>
              <w:t>,</w:t>
            </w:r>
            <w:r w:rsidRPr="005630DE">
              <w:rPr>
                <w:sz w:val="18"/>
                <w:szCs w:val="18"/>
              </w:rPr>
              <w:t>380</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8F4E7D" w14:textId="517DB03C" w:rsidR="00291BAC" w:rsidRPr="009E116E" w:rsidRDefault="00291BAC" w:rsidP="00291BAC">
            <w:pPr>
              <w:pStyle w:val="ExhibitText"/>
              <w:jc w:val="right"/>
              <w:rPr>
                <w:sz w:val="18"/>
                <w:szCs w:val="18"/>
              </w:rPr>
            </w:pPr>
            <w:r w:rsidRPr="005630DE">
              <w:rPr>
                <w:sz w:val="18"/>
                <w:szCs w:val="18"/>
              </w:rPr>
              <w:t>385</w:t>
            </w:r>
          </w:p>
        </w:tc>
        <w:tc>
          <w:tcPr>
            <w:tcW w:w="900" w:type="dxa"/>
            <w:tcBorders>
              <w:top w:val="single" w:sz="4" w:space="0" w:color="auto"/>
              <w:left w:val="single" w:sz="4" w:space="0" w:color="auto"/>
              <w:bottom w:val="single" w:sz="4" w:space="0" w:color="auto"/>
              <w:right w:val="single" w:sz="4" w:space="0" w:color="auto"/>
            </w:tcBorders>
            <w:vAlign w:val="center"/>
            <w:hideMark/>
          </w:tcPr>
          <w:p w14:paraId="61C2DF8F" w14:textId="1AC7C01C" w:rsidR="00291BAC" w:rsidRPr="009E116E" w:rsidRDefault="00291BAC" w:rsidP="00291BAC">
            <w:pPr>
              <w:pStyle w:val="ExhibitText"/>
              <w:jc w:val="right"/>
              <w:rPr>
                <w:sz w:val="18"/>
                <w:szCs w:val="18"/>
              </w:rPr>
            </w:pPr>
            <w:r w:rsidRPr="005630DE">
              <w:rPr>
                <w:sz w:val="18"/>
                <w:szCs w:val="18"/>
              </w:rPr>
              <w:t>472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C075C1A" w14:textId="34EA7FCD" w:rsidR="00291BAC" w:rsidRPr="009E116E" w:rsidRDefault="00291BAC"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1164FB2F" w14:textId="5D2C1EBC" w:rsidR="00291BAC" w:rsidRPr="009E116E" w:rsidRDefault="00291BAC" w:rsidP="00291BAC">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6A04F437" w14:textId="2E3BEEA5" w:rsidR="00291BAC" w:rsidRPr="009E116E" w:rsidRDefault="00291BAC" w:rsidP="00291BAC">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5B19E062" w14:textId="25454A6C" w:rsidR="00291BAC" w:rsidRPr="009E116E" w:rsidRDefault="00291BAC" w:rsidP="00291BAC">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AC1F9DA" w14:textId="6468702B" w:rsidR="00291BAC" w:rsidRPr="009E116E" w:rsidRDefault="00291BAC" w:rsidP="00291BAC">
            <w:pPr>
              <w:pStyle w:val="ExhibitText"/>
              <w:jc w:val="right"/>
              <w:rPr>
                <w:sz w:val="18"/>
                <w:szCs w:val="18"/>
              </w:rPr>
            </w:pPr>
            <w:r w:rsidRPr="005630DE">
              <w:rPr>
                <w:sz w:val="18"/>
                <w:szCs w:val="18"/>
              </w:rPr>
              <w:t>-</w:t>
            </w:r>
          </w:p>
        </w:tc>
        <w:tc>
          <w:tcPr>
            <w:tcW w:w="966" w:type="dxa"/>
            <w:tcBorders>
              <w:top w:val="single" w:sz="4" w:space="0" w:color="auto"/>
              <w:left w:val="single" w:sz="4" w:space="0" w:color="auto"/>
              <w:bottom w:val="single" w:sz="4" w:space="0" w:color="auto"/>
              <w:right w:val="single" w:sz="4" w:space="0" w:color="auto"/>
            </w:tcBorders>
            <w:vAlign w:val="center"/>
            <w:hideMark/>
          </w:tcPr>
          <w:p w14:paraId="4E9AE966" w14:textId="51A49080" w:rsidR="00291BAC" w:rsidRPr="009E116E" w:rsidRDefault="00291BAC" w:rsidP="00291BAC">
            <w:pPr>
              <w:pStyle w:val="ExhibitText"/>
              <w:jc w:val="right"/>
              <w:rPr>
                <w:sz w:val="18"/>
                <w:szCs w:val="18"/>
              </w:rPr>
            </w:pPr>
            <w:r w:rsidRPr="005630DE">
              <w:rPr>
                <w:sz w:val="18"/>
                <w:szCs w:val="18"/>
              </w:rPr>
              <w:t>-</w:t>
            </w:r>
          </w:p>
        </w:tc>
        <w:tc>
          <w:tcPr>
            <w:tcW w:w="892" w:type="dxa"/>
            <w:tcBorders>
              <w:top w:val="single" w:sz="4" w:space="0" w:color="auto"/>
              <w:left w:val="single" w:sz="4" w:space="0" w:color="auto"/>
              <w:bottom w:val="single" w:sz="4" w:space="0" w:color="auto"/>
              <w:right w:val="single" w:sz="4" w:space="0" w:color="auto"/>
            </w:tcBorders>
            <w:vAlign w:val="center"/>
            <w:hideMark/>
          </w:tcPr>
          <w:p w14:paraId="27F8D9A7" w14:textId="40A28592" w:rsidR="00291BAC" w:rsidRPr="009E116E" w:rsidRDefault="00291BAC" w:rsidP="00291BAC">
            <w:pPr>
              <w:pStyle w:val="ExhibitText"/>
              <w:jc w:val="right"/>
              <w:rPr>
                <w:sz w:val="18"/>
                <w:szCs w:val="18"/>
              </w:rPr>
            </w:pPr>
            <w:r w:rsidRPr="005630DE">
              <w:rPr>
                <w:sz w:val="18"/>
                <w:szCs w:val="18"/>
              </w:rPr>
              <w:t>-</w:t>
            </w:r>
          </w:p>
        </w:tc>
      </w:tr>
      <w:tr w:rsidR="00291BAC" w:rsidRPr="009E116E" w14:paraId="6B119E98"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tcPr>
          <w:p w14:paraId="0A8CAC46" w14:textId="5DDED7AB" w:rsidR="00291BAC" w:rsidRPr="001456A2" w:rsidRDefault="00291BAC" w:rsidP="00291BAC">
            <w:pPr>
              <w:pStyle w:val="ExhibitText"/>
              <w:jc w:val="left"/>
              <w:rPr>
                <w:bCs/>
                <w:sz w:val="18"/>
                <w:szCs w:val="18"/>
              </w:rPr>
            </w:pPr>
            <w:r w:rsidRPr="005630DE">
              <w:rPr>
                <w:sz w:val="18"/>
                <w:szCs w:val="18"/>
              </w:rPr>
              <w:t>Petit-</w:t>
            </w:r>
            <w:proofErr w:type="spellStart"/>
            <w:r w:rsidRPr="005630DE">
              <w:rPr>
                <w:sz w:val="18"/>
                <w:szCs w:val="18"/>
              </w:rPr>
              <w:t>Go</w:t>
            </w:r>
            <w:r w:rsidR="003E7C35">
              <w:rPr>
                <w:sz w:val="18"/>
                <w:szCs w:val="18"/>
              </w:rPr>
              <w:t>â</w:t>
            </w:r>
            <w:r w:rsidRPr="005630DE">
              <w:rPr>
                <w:sz w:val="18"/>
                <w:szCs w:val="18"/>
              </w:rPr>
              <w:t>ve</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14:paraId="51B9B18D" w14:textId="4904AE36" w:rsidR="00291BAC" w:rsidRPr="00A90A69" w:rsidRDefault="00291BAC" w:rsidP="00291BAC">
            <w:pPr>
              <w:pStyle w:val="ExhibitText"/>
              <w:jc w:val="right"/>
              <w:rPr>
                <w:sz w:val="18"/>
                <w:szCs w:val="18"/>
              </w:rPr>
            </w:pPr>
            <w:r w:rsidRPr="005630DE">
              <w:rPr>
                <w:sz w:val="18"/>
                <w:szCs w:val="18"/>
              </w:rPr>
              <w:t>157</w:t>
            </w:r>
            <w:r w:rsidR="003E7C35">
              <w:rPr>
                <w:sz w:val="18"/>
                <w:szCs w:val="18"/>
              </w:rPr>
              <w:t>,</w:t>
            </w:r>
            <w:r w:rsidRPr="005630DE">
              <w:rPr>
                <w:sz w:val="18"/>
                <w:szCs w:val="18"/>
              </w:rPr>
              <w:t>296</w:t>
            </w:r>
          </w:p>
        </w:tc>
        <w:tc>
          <w:tcPr>
            <w:tcW w:w="1080" w:type="dxa"/>
            <w:tcBorders>
              <w:top w:val="single" w:sz="4" w:space="0" w:color="auto"/>
              <w:left w:val="single" w:sz="4" w:space="0" w:color="auto"/>
              <w:bottom w:val="single" w:sz="4" w:space="0" w:color="auto"/>
              <w:right w:val="single" w:sz="4" w:space="0" w:color="auto"/>
            </w:tcBorders>
            <w:vAlign w:val="center"/>
          </w:tcPr>
          <w:p w14:paraId="5BDD49EF" w14:textId="539C2775" w:rsidR="00291BAC" w:rsidRPr="00A90A69" w:rsidRDefault="00291BAC" w:rsidP="00291BAC">
            <w:pPr>
              <w:pStyle w:val="ExhibitText"/>
              <w:jc w:val="right"/>
              <w:rPr>
                <w:sz w:val="18"/>
                <w:szCs w:val="18"/>
              </w:rPr>
            </w:pPr>
            <w:r w:rsidRPr="005630DE">
              <w:rPr>
                <w:sz w:val="18"/>
                <w:szCs w:val="18"/>
              </w:rPr>
              <w:t>64</w:t>
            </w:r>
            <w:r w:rsidR="003E7C35">
              <w:rPr>
                <w:sz w:val="18"/>
                <w:szCs w:val="18"/>
              </w:rPr>
              <w:t>,</w:t>
            </w:r>
            <w:r w:rsidRPr="005630DE">
              <w:rPr>
                <w:sz w:val="18"/>
                <w:szCs w:val="18"/>
              </w:rPr>
              <w:t>842</w:t>
            </w:r>
          </w:p>
        </w:tc>
        <w:tc>
          <w:tcPr>
            <w:tcW w:w="900" w:type="dxa"/>
            <w:tcBorders>
              <w:top w:val="single" w:sz="4" w:space="0" w:color="auto"/>
              <w:left w:val="single" w:sz="4" w:space="0" w:color="auto"/>
              <w:bottom w:val="single" w:sz="4" w:space="0" w:color="auto"/>
              <w:right w:val="single" w:sz="4" w:space="0" w:color="auto"/>
            </w:tcBorders>
            <w:vAlign w:val="center"/>
          </w:tcPr>
          <w:p w14:paraId="536A3C40" w14:textId="28A2852D" w:rsidR="00291BAC" w:rsidRPr="00A90A69" w:rsidRDefault="00291BAC" w:rsidP="00291BAC">
            <w:pPr>
              <w:pStyle w:val="ExhibitText"/>
              <w:jc w:val="right"/>
              <w:rPr>
                <w:sz w:val="18"/>
                <w:szCs w:val="18"/>
              </w:rPr>
            </w:pPr>
            <w:r w:rsidRPr="005630DE">
              <w:rPr>
                <w:sz w:val="18"/>
                <w:szCs w:val="18"/>
              </w:rPr>
              <w:t>36</w:t>
            </w:r>
            <w:r w:rsidR="003E7C35">
              <w:rPr>
                <w:sz w:val="18"/>
                <w:szCs w:val="18"/>
              </w:rPr>
              <w:t>,</w:t>
            </w:r>
            <w:r w:rsidRPr="005630DE">
              <w:rPr>
                <w:sz w:val="18"/>
                <w:szCs w:val="18"/>
              </w:rPr>
              <w:t>827</w:t>
            </w:r>
          </w:p>
        </w:tc>
        <w:tc>
          <w:tcPr>
            <w:tcW w:w="990" w:type="dxa"/>
            <w:tcBorders>
              <w:top w:val="single" w:sz="4" w:space="0" w:color="auto"/>
              <w:left w:val="single" w:sz="4" w:space="0" w:color="auto"/>
              <w:bottom w:val="single" w:sz="4" w:space="0" w:color="auto"/>
              <w:right w:val="single" w:sz="4" w:space="0" w:color="auto"/>
            </w:tcBorders>
            <w:vAlign w:val="center"/>
          </w:tcPr>
          <w:p w14:paraId="2D9648B4" w14:textId="7DDBE8BC" w:rsidR="00291BAC" w:rsidRPr="00A90A69" w:rsidRDefault="00291BAC" w:rsidP="00291BAC">
            <w:pPr>
              <w:pStyle w:val="ExhibitText"/>
              <w:jc w:val="right"/>
              <w:rPr>
                <w:sz w:val="18"/>
                <w:szCs w:val="18"/>
              </w:rPr>
            </w:pPr>
            <w:r w:rsidRPr="005630DE">
              <w:rPr>
                <w:sz w:val="18"/>
                <w:szCs w:val="18"/>
              </w:rPr>
              <w:t>38</w:t>
            </w:r>
            <w:r w:rsidR="00F86A63">
              <w:rPr>
                <w:sz w:val="18"/>
                <w:szCs w:val="18"/>
              </w:rPr>
              <w:t>8</w:t>
            </w:r>
          </w:p>
        </w:tc>
        <w:tc>
          <w:tcPr>
            <w:tcW w:w="900" w:type="dxa"/>
            <w:tcBorders>
              <w:top w:val="single" w:sz="4" w:space="0" w:color="auto"/>
              <w:left w:val="single" w:sz="4" w:space="0" w:color="auto"/>
              <w:bottom w:val="single" w:sz="4" w:space="0" w:color="auto"/>
              <w:right w:val="single" w:sz="4" w:space="0" w:color="auto"/>
            </w:tcBorders>
            <w:vAlign w:val="center"/>
          </w:tcPr>
          <w:p w14:paraId="796FF8FB" w14:textId="671FDF64" w:rsidR="00291BAC" w:rsidRPr="00A90A69" w:rsidRDefault="00291BAC" w:rsidP="00291BAC">
            <w:pPr>
              <w:pStyle w:val="ExhibitText"/>
              <w:jc w:val="right"/>
              <w:rPr>
                <w:sz w:val="18"/>
                <w:szCs w:val="18"/>
              </w:rPr>
            </w:pPr>
            <w:r w:rsidRPr="005630DE">
              <w:rPr>
                <w:sz w:val="18"/>
                <w:szCs w:val="18"/>
              </w:rPr>
              <w:t>406</w:t>
            </w:r>
          </w:p>
        </w:tc>
        <w:tc>
          <w:tcPr>
            <w:tcW w:w="1350" w:type="dxa"/>
            <w:tcBorders>
              <w:top w:val="single" w:sz="4" w:space="0" w:color="auto"/>
              <w:left w:val="single" w:sz="4" w:space="0" w:color="auto"/>
              <w:bottom w:val="single" w:sz="4" w:space="0" w:color="auto"/>
              <w:right w:val="single" w:sz="4" w:space="0" w:color="auto"/>
            </w:tcBorders>
            <w:vAlign w:val="center"/>
          </w:tcPr>
          <w:p w14:paraId="57AF9BFC" w14:textId="40B6C48E" w:rsidR="00291BAC" w:rsidRPr="00A90A69" w:rsidRDefault="00291BAC" w:rsidP="00291BAC">
            <w:pPr>
              <w:pStyle w:val="ExhibitText"/>
              <w:jc w:val="right"/>
              <w:rPr>
                <w:sz w:val="18"/>
                <w:szCs w:val="18"/>
              </w:rPr>
            </w:pPr>
            <w:proofErr w:type="spellStart"/>
            <w:r w:rsidRPr="005630DE">
              <w:rPr>
                <w:sz w:val="18"/>
                <w:szCs w:val="18"/>
              </w:rPr>
              <w:t>Thermo</w:t>
            </w:r>
            <w:proofErr w:type="spellEnd"/>
            <w:r w:rsidR="00D75FCD">
              <w:rPr>
                <w:sz w:val="18"/>
                <w:szCs w:val="18"/>
              </w:rPr>
              <w:t xml:space="preserve"> G</w:t>
            </w:r>
          </w:p>
        </w:tc>
        <w:tc>
          <w:tcPr>
            <w:tcW w:w="720" w:type="dxa"/>
            <w:tcBorders>
              <w:top w:val="single" w:sz="4" w:space="0" w:color="auto"/>
              <w:left w:val="single" w:sz="4" w:space="0" w:color="auto"/>
              <w:bottom w:val="single" w:sz="4" w:space="0" w:color="auto"/>
              <w:right w:val="single" w:sz="4" w:space="0" w:color="auto"/>
            </w:tcBorders>
            <w:vAlign w:val="center"/>
          </w:tcPr>
          <w:p w14:paraId="06FFF47B" w14:textId="77EA894A" w:rsidR="00291BAC" w:rsidRPr="00A90A69" w:rsidRDefault="00291BAC" w:rsidP="00291BAC">
            <w:pPr>
              <w:pStyle w:val="ExhibitText"/>
              <w:jc w:val="right"/>
              <w:rPr>
                <w:sz w:val="18"/>
                <w:szCs w:val="18"/>
              </w:rPr>
            </w:pPr>
            <w:r w:rsidRPr="005630DE">
              <w:rPr>
                <w:sz w:val="18"/>
                <w:szCs w:val="18"/>
              </w:rPr>
              <w:t>6.0</w:t>
            </w:r>
          </w:p>
        </w:tc>
        <w:tc>
          <w:tcPr>
            <w:tcW w:w="777" w:type="dxa"/>
            <w:tcBorders>
              <w:top w:val="single" w:sz="4" w:space="0" w:color="auto"/>
              <w:left w:val="single" w:sz="4" w:space="0" w:color="auto"/>
              <w:bottom w:val="single" w:sz="4" w:space="0" w:color="auto"/>
              <w:right w:val="single" w:sz="4" w:space="0" w:color="auto"/>
            </w:tcBorders>
            <w:vAlign w:val="center"/>
          </w:tcPr>
          <w:p w14:paraId="2452D5AC" w14:textId="7BA1C9F3" w:rsidR="00291BAC" w:rsidRPr="00A90A69" w:rsidRDefault="00291BAC" w:rsidP="00291BAC">
            <w:pPr>
              <w:pStyle w:val="ExhibitText"/>
              <w:jc w:val="right"/>
              <w:rPr>
                <w:sz w:val="18"/>
                <w:szCs w:val="18"/>
              </w:rPr>
            </w:pPr>
            <w:r w:rsidRPr="005630DE">
              <w:rPr>
                <w:sz w:val="18"/>
                <w:szCs w:val="18"/>
              </w:rPr>
              <w:t>5.5</w:t>
            </w:r>
          </w:p>
        </w:tc>
        <w:tc>
          <w:tcPr>
            <w:tcW w:w="929" w:type="dxa"/>
            <w:tcBorders>
              <w:top w:val="single" w:sz="4" w:space="0" w:color="auto"/>
              <w:left w:val="single" w:sz="4" w:space="0" w:color="auto"/>
              <w:bottom w:val="single" w:sz="4" w:space="0" w:color="auto"/>
              <w:right w:val="single" w:sz="4" w:space="0" w:color="auto"/>
            </w:tcBorders>
            <w:vAlign w:val="center"/>
          </w:tcPr>
          <w:p w14:paraId="18DBE9CC" w14:textId="08CD690A" w:rsidR="00291BAC" w:rsidRPr="00A90A69" w:rsidRDefault="00291BAC" w:rsidP="00291BAC">
            <w:pPr>
              <w:pStyle w:val="ExhibitText"/>
              <w:jc w:val="right"/>
              <w:rPr>
                <w:sz w:val="18"/>
                <w:szCs w:val="18"/>
              </w:rPr>
            </w:pPr>
            <w:r w:rsidRPr="005630DE">
              <w:rPr>
                <w:sz w:val="18"/>
                <w:szCs w:val="18"/>
              </w:rPr>
              <w:t>132.0</w:t>
            </w:r>
          </w:p>
        </w:tc>
        <w:tc>
          <w:tcPr>
            <w:tcW w:w="928" w:type="dxa"/>
            <w:tcBorders>
              <w:top w:val="single" w:sz="4" w:space="0" w:color="auto"/>
              <w:left w:val="single" w:sz="4" w:space="0" w:color="auto"/>
              <w:bottom w:val="single" w:sz="4" w:space="0" w:color="auto"/>
              <w:right w:val="single" w:sz="4" w:space="0" w:color="auto"/>
            </w:tcBorders>
            <w:vAlign w:val="center"/>
          </w:tcPr>
          <w:p w14:paraId="47A5076F" w14:textId="787C68E2" w:rsidR="00291BAC" w:rsidRPr="00A90A69" w:rsidRDefault="00291BAC" w:rsidP="00291BAC">
            <w:pPr>
              <w:pStyle w:val="ExhibitText"/>
              <w:jc w:val="right"/>
              <w:rPr>
                <w:sz w:val="18"/>
                <w:szCs w:val="18"/>
              </w:rPr>
            </w:pPr>
            <w:r w:rsidRPr="005630DE">
              <w:rPr>
                <w:sz w:val="18"/>
                <w:szCs w:val="18"/>
              </w:rPr>
              <w:t>0</w:t>
            </w:r>
          </w:p>
        </w:tc>
        <w:tc>
          <w:tcPr>
            <w:tcW w:w="966" w:type="dxa"/>
            <w:tcBorders>
              <w:top w:val="single" w:sz="4" w:space="0" w:color="auto"/>
              <w:left w:val="single" w:sz="4" w:space="0" w:color="auto"/>
              <w:bottom w:val="single" w:sz="4" w:space="0" w:color="auto"/>
              <w:right w:val="single" w:sz="4" w:space="0" w:color="auto"/>
            </w:tcBorders>
            <w:vAlign w:val="center"/>
          </w:tcPr>
          <w:p w14:paraId="211AFC60" w14:textId="57D09837" w:rsidR="00291BAC" w:rsidRPr="00A90A69" w:rsidRDefault="00291BAC" w:rsidP="00291BAC">
            <w:pPr>
              <w:pStyle w:val="ExhibitText"/>
              <w:jc w:val="right"/>
              <w:rPr>
                <w:sz w:val="18"/>
                <w:szCs w:val="18"/>
              </w:rPr>
            </w:pPr>
            <w:r w:rsidRPr="005630DE">
              <w:rPr>
                <w:sz w:val="18"/>
                <w:szCs w:val="18"/>
              </w:rPr>
              <w:t>0</w:t>
            </w:r>
          </w:p>
        </w:tc>
        <w:tc>
          <w:tcPr>
            <w:tcW w:w="892" w:type="dxa"/>
            <w:tcBorders>
              <w:top w:val="single" w:sz="4" w:space="0" w:color="auto"/>
              <w:left w:val="single" w:sz="4" w:space="0" w:color="auto"/>
              <w:bottom w:val="single" w:sz="4" w:space="0" w:color="auto"/>
              <w:right w:val="single" w:sz="4" w:space="0" w:color="auto"/>
            </w:tcBorders>
            <w:vAlign w:val="center"/>
          </w:tcPr>
          <w:p w14:paraId="2350BA8E" w14:textId="786C6865" w:rsidR="00291BAC" w:rsidRPr="00A90A69" w:rsidRDefault="00291BAC" w:rsidP="00291BAC">
            <w:pPr>
              <w:pStyle w:val="ExhibitText"/>
              <w:jc w:val="right"/>
              <w:rPr>
                <w:sz w:val="18"/>
                <w:szCs w:val="18"/>
              </w:rPr>
            </w:pPr>
            <w:r w:rsidRPr="005630DE">
              <w:rPr>
                <w:sz w:val="18"/>
                <w:szCs w:val="18"/>
              </w:rPr>
              <w:t>4</w:t>
            </w:r>
            <w:r w:rsidR="00F86A63">
              <w:rPr>
                <w:sz w:val="18"/>
                <w:szCs w:val="18"/>
              </w:rPr>
              <w:t>,</w:t>
            </w:r>
            <w:r w:rsidRPr="005630DE">
              <w:rPr>
                <w:sz w:val="18"/>
                <w:szCs w:val="18"/>
              </w:rPr>
              <w:t>000</w:t>
            </w:r>
          </w:p>
        </w:tc>
      </w:tr>
      <w:tr w:rsidR="00291BAC" w:rsidRPr="009E116E" w14:paraId="6EF2C65C"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17C898C4" w14:textId="164DBB3D" w:rsidR="00291BAC" w:rsidRPr="001456A2" w:rsidRDefault="00291BAC">
            <w:pPr>
              <w:pStyle w:val="ExhibitText"/>
              <w:jc w:val="left"/>
              <w:rPr>
                <w:sz w:val="18"/>
                <w:szCs w:val="18"/>
              </w:rPr>
            </w:pPr>
            <w:r w:rsidRPr="005630DE">
              <w:rPr>
                <w:sz w:val="18"/>
                <w:szCs w:val="18"/>
              </w:rPr>
              <w:t>Port-au-Prince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5994B22" w14:textId="71EDD28A" w:rsidR="00291BAC" w:rsidRPr="009E116E" w:rsidRDefault="00291BAC" w:rsidP="00291BAC">
            <w:pPr>
              <w:pStyle w:val="ExhibitText"/>
              <w:jc w:val="right"/>
              <w:rPr>
                <w:sz w:val="18"/>
                <w:szCs w:val="18"/>
              </w:rPr>
            </w:pPr>
            <w:r w:rsidRPr="005630DE">
              <w:rPr>
                <w:sz w:val="18"/>
                <w:szCs w:val="18"/>
              </w:rPr>
              <w:t>897</w:t>
            </w:r>
            <w:r w:rsidR="003E7C35">
              <w:rPr>
                <w:sz w:val="18"/>
                <w:szCs w:val="18"/>
              </w:rPr>
              <w:t>,</w:t>
            </w:r>
            <w:r w:rsidRPr="005630DE">
              <w:rPr>
                <w:sz w:val="18"/>
                <w:szCs w:val="18"/>
              </w:rPr>
              <w:t>859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4E4061B" w14:textId="4BB2EF0B" w:rsidR="00291BAC" w:rsidRPr="009E116E" w:rsidRDefault="00291BAC" w:rsidP="00291BAC">
            <w:pPr>
              <w:pStyle w:val="ExhibitText"/>
              <w:jc w:val="right"/>
              <w:rPr>
                <w:sz w:val="18"/>
                <w:szCs w:val="18"/>
              </w:rPr>
            </w:pPr>
            <w:r w:rsidRPr="005630DE">
              <w:rPr>
                <w:sz w:val="18"/>
                <w:szCs w:val="18"/>
              </w:rPr>
              <w:t>329</w:t>
            </w:r>
            <w:r w:rsidR="003E7C35">
              <w:rPr>
                <w:sz w:val="18"/>
                <w:szCs w:val="18"/>
              </w:rPr>
              <w:t>,</w:t>
            </w:r>
            <w:r w:rsidRPr="005630DE">
              <w:rPr>
                <w:sz w:val="18"/>
                <w:szCs w:val="18"/>
              </w:rPr>
              <w:t>895</w:t>
            </w:r>
          </w:p>
        </w:tc>
        <w:tc>
          <w:tcPr>
            <w:tcW w:w="900" w:type="dxa"/>
            <w:tcBorders>
              <w:top w:val="single" w:sz="4" w:space="0" w:color="auto"/>
              <w:left w:val="single" w:sz="4" w:space="0" w:color="auto"/>
              <w:bottom w:val="single" w:sz="4" w:space="0" w:color="auto"/>
              <w:right w:val="single" w:sz="4" w:space="0" w:color="auto"/>
            </w:tcBorders>
            <w:vAlign w:val="center"/>
            <w:hideMark/>
          </w:tcPr>
          <w:p w14:paraId="1ACB20D6" w14:textId="2A895D07" w:rsidR="00291BAC" w:rsidRPr="009E116E" w:rsidRDefault="00291BAC" w:rsidP="00291BAC">
            <w:pPr>
              <w:pStyle w:val="ExhibitText"/>
              <w:jc w:val="right"/>
              <w:rPr>
                <w:sz w:val="18"/>
                <w:szCs w:val="18"/>
              </w:rPr>
            </w:pPr>
            <w:r w:rsidRPr="005630DE">
              <w:rPr>
                <w:sz w:val="18"/>
                <w:szCs w:val="18"/>
              </w:rPr>
              <w:t>193</w:t>
            </w:r>
            <w:r w:rsidR="003E7C35">
              <w:rPr>
                <w:sz w:val="18"/>
                <w:szCs w:val="18"/>
              </w:rPr>
              <w:t>,</w:t>
            </w:r>
            <w:r w:rsidRPr="005630DE">
              <w:rPr>
                <w:sz w:val="18"/>
                <w:szCs w:val="18"/>
              </w:rPr>
              <w:t>540</w:t>
            </w:r>
          </w:p>
        </w:tc>
        <w:tc>
          <w:tcPr>
            <w:tcW w:w="990" w:type="dxa"/>
            <w:tcBorders>
              <w:top w:val="single" w:sz="4" w:space="0" w:color="auto"/>
              <w:left w:val="single" w:sz="4" w:space="0" w:color="auto"/>
              <w:bottom w:val="single" w:sz="4" w:space="0" w:color="auto"/>
              <w:right w:val="single" w:sz="4" w:space="0" w:color="auto"/>
            </w:tcBorders>
            <w:vAlign w:val="center"/>
            <w:hideMark/>
          </w:tcPr>
          <w:p w14:paraId="7DB78236" w14:textId="72C29BD3" w:rsidR="00291BAC" w:rsidRPr="009E116E" w:rsidRDefault="00291BAC">
            <w:pPr>
              <w:pStyle w:val="ExhibitText"/>
              <w:jc w:val="right"/>
              <w:rPr>
                <w:sz w:val="18"/>
                <w:szCs w:val="18"/>
              </w:rPr>
            </w:pPr>
            <w:r w:rsidRPr="005630DE">
              <w:rPr>
                <w:sz w:val="18"/>
                <w:szCs w:val="18"/>
              </w:rPr>
              <w:t>36</w:t>
            </w:r>
          </w:p>
        </w:tc>
        <w:tc>
          <w:tcPr>
            <w:tcW w:w="900" w:type="dxa"/>
            <w:tcBorders>
              <w:top w:val="single" w:sz="4" w:space="0" w:color="auto"/>
              <w:left w:val="single" w:sz="4" w:space="0" w:color="auto"/>
              <w:bottom w:val="single" w:sz="4" w:space="0" w:color="auto"/>
              <w:right w:val="single" w:sz="4" w:space="0" w:color="auto"/>
            </w:tcBorders>
            <w:vAlign w:val="center"/>
            <w:hideMark/>
          </w:tcPr>
          <w:p w14:paraId="040B54F8" w14:textId="2EE0D607" w:rsidR="00291BAC" w:rsidRPr="009E116E" w:rsidRDefault="00291BAC" w:rsidP="00291BAC">
            <w:pPr>
              <w:pStyle w:val="ExhibitText"/>
              <w:jc w:val="right"/>
              <w:rPr>
                <w:sz w:val="18"/>
                <w:szCs w:val="18"/>
              </w:rPr>
            </w:pPr>
            <w:r w:rsidRPr="005630DE">
              <w:rPr>
                <w:sz w:val="18"/>
                <w:szCs w:val="18"/>
              </w:rPr>
              <w:t>24</w:t>
            </w:r>
            <w:r w:rsidR="003E7C35">
              <w:rPr>
                <w:sz w:val="18"/>
                <w:szCs w:val="18"/>
              </w:rPr>
              <w:t>,</w:t>
            </w:r>
            <w:r w:rsidRPr="005630DE">
              <w:rPr>
                <w:sz w:val="18"/>
                <w:szCs w:val="18"/>
              </w:rPr>
              <w:t>913</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1C7719B" w14:textId="75FA5376" w:rsidR="00291BAC" w:rsidRPr="009E116E" w:rsidRDefault="00291BAC" w:rsidP="00542316">
            <w:pPr>
              <w:pStyle w:val="ExhibitText"/>
              <w:jc w:val="right"/>
              <w:rPr>
                <w:sz w:val="18"/>
                <w:szCs w:val="18"/>
              </w:rPr>
            </w:pPr>
            <w:proofErr w:type="spellStart"/>
            <w:r w:rsidRPr="005630DE">
              <w:rPr>
                <w:sz w:val="18"/>
                <w:szCs w:val="18"/>
              </w:rPr>
              <w:t>Thermo</w:t>
            </w:r>
            <w:proofErr w:type="spellEnd"/>
            <w:r w:rsidR="00F86A63">
              <w:rPr>
                <w:sz w:val="18"/>
                <w:szCs w:val="18"/>
              </w:rPr>
              <w:t> </w:t>
            </w:r>
            <w:r w:rsidRPr="005630DE">
              <w:rPr>
                <w:sz w:val="18"/>
                <w:szCs w:val="18"/>
              </w:rPr>
              <w:t>D/M</w:t>
            </w:r>
          </w:p>
        </w:tc>
        <w:tc>
          <w:tcPr>
            <w:tcW w:w="720" w:type="dxa"/>
            <w:tcBorders>
              <w:top w:val="single" w:sz="4" w:space="0" w:color="auto"/>
              <w:left w:val="single" w:sz="4" w:space="0" w:color="auto"/>
              <w:bottom w:val="single" w:sz="4" w:space="0" w:color="auto"/>
              <w:right w:val="single" w:sz="4" w:space="0" w:color="auto"/>
            </w:tcBorders>
            <w:vAlign w:val="center"/>
            <w:hideMark/>
          </w:tcPr>
          <w:p w14:paraId="1B5E140A" w14:textId="4B5EB216" w:rsidR="00291BAC" w:rsidRPr="009E116E" w:rsidRDefault="00291BAC" w:rsidP="00291BAC">
            <w:pPr>
              <w:pStyle w:val="ExhibitText"/>
              <w:jc w:val="right"/>
              <w:rPr>
                <w:sz w:val="18"/>
                <w:szCs w:val="18"/>
              </w:rPr>
            </w:pPr>
            <w:r w:rsidRPr="005630DE">
              <w:rPr>
                <w:sz w:val="18"/>
                <w:szCs w:val="18"/>
              </w:rPr>
              <w:t>178</w:t>
            </w:r>
            <w:r w:rsidR="00F86A63">
              <w:rPr>
                <w:sz w:val="18"/>
                <w:szCs w:val="18"/>
              </w:rPr>
              <w:t>.0</w:t>
            </w:r>
          </w:p>
        </w:tc>
        <w:tc>
          <w:tcPr>
            <w:tcW w:w="777" w:type="dxa"/>
            <w:tcBorders>
              <w:top w:val="single" w:sz="4" w:space="0" w:color="auto"/>
              <w:left w:val="single" w:sz="4" w:space="0" w:color="auto"/>
              <w:bottom w:val="single" w:sz="4" w:space="0" w:color="auto"/>
              <w:right w:val="single" w:sz="4" w:space="0" w:color="auto"/>
            </w:tcBorders>
            <w:vAlign w:val="center"/>
            <w:hideMark/>
          </w:tcPr>
          <w:p w14:paraId="0333771D" w14:textId="15F91618" w:rsidR="00291BAC" w:rsidRPr="009E116E" w:rsidRDefault="00291BAC" w:rsidP="00291BAC">
            <w:pPr>
              <w:pStyle w:val="ExhibitText"/>
              <w:jc w:val="right"/>
              <w:rPr>
                <w:sz w:val="18"/>
                <w:szCs w:val="18"/>
              </w:rPr>
            </w:pPr>
            <w:r w:rsidRPr="005630DE">
              <w:rPr>
                <w:sz w:val="18"/>
                <w:szCs w:val="18"/>
              </w:rPr>
              <w:t>115.6</w:t>
            </w:r>
          </w:p>
        </w:tc>
        <w:tc>
          <w:tcPr>
            <w:tcW w:w="929" w:type="dxa"/>
            <w:tcBorders>
              <w:top w:val="single" w:sz="4" w:space="0" w:color="auto"/>
              <w:left w:val="single" w:sz="4" w:space="0" w:color="auto"/>
              <w:bottom w:val="single" w:sz="4" w:space="0" w:color="auto"/>
              <w:right w:val="single" w:sz="4" w:space="0" w:color="auto"/>
            </w:tcBorders>
            <w:vAlign w:val="center"/>
            <w:hideMark/>
          </w:tcPr>
          <w:p w14:paraId="686D3ED7" w14:textId="1F60C24B" w:rsidR="00291BAC" w:rsidRPr="009E116E" w:rsidRDefault="00291BAC" w:rsidP="00291BAC">
            <w:pPr>
              <w:pStyle w:val="ExhibitText"/>
              <w:jc w:val="right"/>
              <w:rPr>
                <w:sz w:val="18"/>
                <w:szCs w:val="18"/>
              </w:rPr>
            </w:pPr>
            <w:r w:rsidRPr="005630DE">
              <w:rPr>
                <w:sz w:val="18"/>
                <w:szCs w:val="18"/>
              </w:rPr>
              <w:t>1</w:t>
            </w:r>
            <w:r w:rsidR="00F86A63">
              <w:rPr>
                <w:sz w:val="18"/>
                <w:szCs w:val="18"/>
              </w:rPr>
              <w:t>,</w:t>
            </w:r>
            <w:r w:rsidRPr="005630DE">
              <w:rPr>
                <w:sz w:val="18"/>
                <w:szCs w:val="18"/>
              </w:rPr>
              <w:t>094.4</w:t>
            </w:r>
          </w:p>
        </w:tc>
        <w:tc>
          <w:tcPr>
            <w:tcW w:w="928" w:type="dxa"/>
            <w:tcBorders>
              <w:top w:val="single" w:sz="4" w:space="0" w:color="auto"/>
              <w:left w:val="single" w:sz="4" w:space="0" w:color="auto"/>
              <w:bottom w:val="single" w:sz="4" w:space="0" w:color="auto"/>
              <w:right w:val="single" w:sz="4" w:space="0" w:color="auto"/>
            </w:tcBorders>
            <w:vAlign w:val="center"/>
            <w:hideMark/>
          </w:tcPr>
          <w:p w14:paraId="4210BDDC" w14:textId="5E0A7B5B" w:rsidR="00291BAC" w:rsidRPr="009E116E" w:rsidRDefault="00291BAC" w:rsidP="00291BAC">
            <w:pPr>
              <w:pStyle w:val="ExhibitText"/>
              <w:jc w:val="right"/>
              <w:rPr>
                <w:sz w:val="18"/>
                <w:szCs w:val="18"/>
              </w:rPr>
            </w:pPr>
            <w:r w:rsidRPr="005630DE">
              <w:rPr>
                <w:sz w:val="18"/>
                <w:szCs w:val="18"/>
              </w:rPr>
              <w:t>36 18</w:t>
            </w:r>
            <w:r w:rsidR="00F86A63">
              <w:rPr>
                <w:sz w:val="18"/>
                <w:szCs w:val="18"/>
              </w:rPr>
              <w:t>5</w:t>
            </w:r>
          </w:p>
        </w:tc>
        <w:tc>
          <w:tcPr>
            <w:tcW w:w="966" w:type="dxa"/>
            <w:tcBorders>
              <w:top w:val="single" w:sz="4" w:space="0" w:color="auto"/>
              <w:left w:val="single" w:sz="4" w:space="0" w:color="auto"/>
              <w:bottom w:val="single" w:sz="4" w:space="0" w:color="auto"/>
              <w:right w:val="single" w:sz="4" w:space="0" w:color="auto"/>
            </w:tcBorders>
            <w:vAlign w:val="center"/>
            <w:hideMark/>
          </w:tcPr>
          <w:p w14:paraId="17508627" w14:textId="532B302B" w:rsidR="00291BAC" w:rsidRPr="009E116E" w:rsidRDefault="00291BAC" w:rsidP="00291BAC">
            <w:pPr>
              <w:pStyle w:val="ExhibitText"/>
              <w:jc w:val="right"/>
              <w:rPr>
                <w:sz w:val="18"/>
                <w:szCs w:val="18"/>
              </w:rPr>
            </w:pPr>
            <w:r w:rsidRPr="005630DE">
              <w:rPr>
                <w:sz w:val="18"/>
                <w:szCs w:val="18"/>
              </w:rPr>
              <w:t>506</w:t>
            </w:r>
            <w:r w:rsidR="00F86A63">
              <w:rPr>
                <w:sz w:val="18"/>
                <w:szCs w:val="18"/>
              </w:rPr>
              <w:t>,</w:t>
            </w:r>
            <w:r w:rsidRPr="005630DE">
              <w:rPr>
                <w:sz w:val="18"/>
                <w:szCs w:val="18"/>
              </w:rPr>
              <w:t>805</w:t>
            </w:r>
          </w:p>
        </w:tc>
        <w:tc>
          <w:tcPr>
            <w:tcW w:w="892" w:type="dxa"/>
            <w:tcBorders>
              <w:top w:val="single" w:sz="4" w:space="0" w:color="auto"/>
              <w:left w:val="single" w:sz="4" w:space="0" w:color="auto"/>
              <w:bottom w:val="single" w:sz="4" w:space="0" w:color="auto"/>
              <w:right w:val="single" w:sz="4" w:space="0" w:color="auto"/>
            </w:tcBorders>
            <w:vAlign w:val="center"/>
            <w:hideMark/>
          </w:tcPr>
          <w:p w14:paraId="073748DC" w14:textId="3AE3C0DB" w:rsidR="00291BAC" w:rsidRPr="009E116E" w:rsidRDefault="00291BAC" w:rsidP="00291BAC">
            <w:pPr>
              <w:pStyle w:val="ExhibitText"/>
              <w:jc w:val="right"/>
              <w:rPr>
                <w:sz w:val="18"/>
                <w:szCs w:val="18"/>
              </w:rPr>
            </w:pPr>
            <w:r w:rsidRPr="005630DE">
              <w:rPr>
                <w:sz w:val="18"/>
                <w:szCs w:val="18"/>
              </w:rPr>
              <w:t>109</w:t>
            </w:r>
            <w:r w:rsidR="00F86A63">
              <w:rPr>
                <w:sz w:val="18"/>
                <w:szCs w:val="18"/>
              </w:rPr>
              <w:t>,</w:t>
            </w:r>
            <w:r w:rsidRPr="005630DE">
              <w:rPr>
                <w:sz w:val="18"/>
                <w:szCs w:val="18"/>
              </w:rPr>
              <w:t>500</w:t>
            </w:r>
          </w:p>
        </w:tc>
      </w:tr>
    </w:tbl>
    <w:p w14:paraId="72B0983A" w14:textId="77777777" w:rsidR="00631AD3" w:rsidRPr="005630DE" w:rsidRDefault="00631AD3" w:rsidP="00631AD3"/>
    <w:p w14:paraId="7BCCDCFB" w14:textId="48441CF5" w:rsidR="00631AD3" w:rsidRDefault="00E965D8" w:rsidP="00631AD3">
      <w:pPr>
        <w:pStyle w:val="Footnote"/>
      </w:pPr>
      <w:r>
        <w:t xml:space="preserve">Note: EDH = </w:t>
      </w:r>
      <w:proofErr w:type="spellStart"/>
      <w:r>
        <w:t>Électricité</w:t>
      </w:r>
      <w:proofErr w:type="spellEnd"/>
      <w:r>
        <w:t xml:space="preserve"> </w:t>
      </w:r>
      <w:proofErr w:type="spellStart"/>
      <w:r>
        <w:t>d’Haïti</w:t>
      </w:r>
      <w:proofErr w:type="spellEnd"/>
      <w:r>
        <w:t xml:space="preserve">; </w:t>
      </w:r>
      <w:proofErr w:type="gramStart"/>
      <w:r>
        <w:t>gal</w:t>
      </w:r>
      <w:proofErr w:type="gramEnd"/>
      <w:r>
        <w:t>. = U.S. liquid gallons; km</w:t>
      </w:r>
      <w:r w:rsidRPr="00542316">
        <w:rPr>
          <w:vertAlign w:val="superscript"/>
        </w:rPr>
        <w:t>2</w:t>
      </w:r>
      <w:r>
        <w:t xml:space="preserve"> = square kilometre; MWh = megawatt-hour; </w:t>
      </w:r>
      <w:proofErr w:type="spellStart"/>
      <w:r w:rsidR="007A7A5C">
        <w:t>Thermo</w:t>
      </w:r>
      <w:proofErr w:type="spellEnd"/>
      <w:r w:rsidR="007A7A5C">
        <w:t xml:space="preserve"> </w:t>
      </w:r>
      <w:r w:rsidR="00D75FCD">
        <w:t xml:space="preserve">G </w:t>
      </w:r>
      <w:r w:rsidR="007A7A5C">
        <w:t xml:space="preserve">= </w:t>
      </w:r>
      <w:r w:rsidR="00153EB4">
        <w:t>Gasoline</w:t>
      </w:r>
      <w:r w:rsidR="007A7A5C">
        <w:t xml:space="preserve">, </w:t>
      </w:r>
      <w:proofErr w:type="spellStart"/>
      <w:r w:rsidR="00153EB4">
        <w:t>Thermo</w:t>
      </w:r>
      <w:proofErr w:type="spellEnd"/>
      <w:r w:rsidR="00153EB4">
        <w:t xml:space="preserve"> H = Heavy Fuel Oil, </w:t>
      </w:r>
      <w:proofErr w:type="spellStart"/>
      <w:r>
        <w:t>Thermo</w:t>
      </w:r>
      <w:proofErr w:type="spellEnd"/>
      <w:r>
        <w:t xml:space="preserve"> </w:t>
      </w:r>
      <w:r w:rsidR="007A7A5C">
        <w:t>D</w:t>
      </w:r>
      <w:r>
        <w:t xml:space="preserve"> = </w:t>
      </w:r>
      <w:r w:rsidR="00153EB4">
        <w:t>Diesel</w:t>
      </w:r>
      <w:r>
        <w:t xml:space="preserve">, </w:t>
      </w:r>
      <w:proofErr w:type="spellStart"/>
      <w:r>
        <w:t>Thermo</w:t>
      </w:r>
      <w:proofErr w:type="spellEnd"/>
      <w:r>
        <w:t xml:space="preserve"> </w:t>
      </w:r>
      <w:r w:rsidR="007A7A5C">
        <w:t>M</w:t>
      </w:r>
      <w:r>
        <w:t xml:space="preserve"> = </w:t>
      </w:r>
      <w:r w:rsidR="00153EB4">
        <w:t>Mixed</w:t>
      </w:r>
      <w:r>
        <w:t>.</w:t>
      </w:r>
    </w:p>
    <w:p w14:paraId="386813E8" w14:textId="06452A19" w:rsidR="00291BAC" w:rsidRDefault="00631AD3" w:rsidP="00291BAC">
      <w:pPr>
        <w:pStyle w:val="Footnote"/>
      </w:pPr>
      <w:r w:rsidRPr="005630DE">
        <w:t>Source:</w:t>
      </w:r>
      <w:r>
        <w:t xml:space="preserve"> </w:t>
      </w:r>
      <w:r w:rsidRPr="005630DE">
        <w:t>Government</w:t>
      </w:r>
      <w:r>
        <w:t xml:space="preserve"> </w:t>
      </w:r>
      <w:r w:rsidRPr="005630DE">
        <w:t>of</w:t>
      </w:r>
      <w:r>
        <w:t xml:space="preserve"> </w:t>
      </w:r>
      <w:r w:rsidR="00E524BD">
        <w:t xml:space="preserve">Haiti, Department of Energy Security. </w:t>
      </w:r>
    </w:p>
    <w:p w14:paraId="4FDBA5C4" w14:textId="5342BD00" w:rsidR="00585D94" w:rsidRPr="000604B2" w:rsidRDefault="00291BAC" w:rsidP="000604B2">
      <w:pPr>
        <w:spacing w:after="200" w:line="276" w:lineRule="auto"/>
        <w:rPr>
          <w:rFonts w:ascii="Arial" w:hAnsi="Arial" w:cs="Arial"/>
        </w:rPr>
      </w:pPr>
      <w:r>
        <w:br w:type="page"/>
      </w:r>
    </w:p>
    <w:p w14:paraId="6B75459A" w14:textId="32E65A4B" w:rsidR="00A970A4" w:rsidRDefault="00A970A4" w:rsidP="00A85BD3">
      <w:pPr>
        <w:pStyle w:val="ExhibitHeading"/>
        <w:outlineLvl w:val="0"/>
      </w:pPr>
      <w:r w:rsidRPr="005630DE">
        <w:lastRenderedPageBreak/>
        <w:t>Exhibit</w:t>
      </w:r>
      <w:r w:rsidR="0056612B">
        <w:t xml:space="preserve"> </w:t>
      </w:r>
      <w:r w:rsidRPr="005630DE">
        <w:fldChar w:fldCharType="begin"/>
      </w:r>
      <w:r w:rsidRPr="005630DE">
        <w:instrText xml:space="preserve"> SEQ Exhibit \* ARABIC </w:instrText>
      </w:r>
      <w:r w:rsidRPr="005630DE">
        <w:fldChar w:fldCharType="separate"/>
      </w:r>
      <w:r w:rsidR="00BB6432">
        <w:rPr>
          <w:noProof/>
        </w:rPr>
        <w:t>5</w:t>
      </w:r>
      <w:r w:rsidRPr="005630DE">
        <w:fldChar w:fldCharType="end"/>
      </w:r>
      <w:r w:rsidRPr="005630DE">
        <w:t>:</w:t>
      </w:r>
      <w:r w:rsidR="0056612B">
        <w:t xml:space="preserve"> </w:t>
      </w:r>
      <w:r w:rsidRPr="005630DE">
        <w:t>The</w:t>
      </w:r>
      <w:r w:rsidR="0056612B">
        <w:t xml:space="preserve"> </w:t>
      </w:r>
      <w:r w:rsidRPr="005630DE">
        <w:t>Southern</w:t>
      </w:r>
      <w:r w:rsidR="0056612B">
        <w:t xml:space="preserve"> </w:t>
      </w:r>
      <w:r w:rsidRPr="005630DE">
        <w:t>Region</w:t>
      </w:r>
    </w:p>
    <w:p w14:paraId="39DEB705" w14:textId="77777777" w:rsidR="000604B2" w:rsidRPr="005630DE" w:rsidRDefault="000604B2" w:rsidP="000604B2">
      <w:pPr>
        <w:pStyle w:val="ExhibitText"/>
      </w:pPr>
    </w:p>
    <w:p w14:paraId="301FFB2E" w14:textId="77777777" w:rsidR="000604B2" w:rsidRPr="00E31345" w:rsidRDefault="000604B2" w:rsidP="000604B2">
      <w:pPr>
        <w:pStyle w:val="ExhibitText"/>
        <w:sectPr w:rsidR="000604B2" w:rsidRPr="00E31345" w:rsidSect="00202FC2">
          <w:headerReference w:type="default" r:id="rId15"/>
          <w:endnotePr>
            <w:numFmt w:val="decimal"/>
          </w:endnotePr>
          <w:type w:val="continuous"/>
          <w:pgSz w:w="15840" w:h="12240" w:orient="landscape"/>
          <w:pgMar w:top="1440" w:right="1440" w:bottom="1440" w:left="1440" w:header="1080" w:footer="720" w:gutter="0"/>
          <w:cols w:space="720"/>
          <w:docGrid w:linePitch="360"/>
        </w:sectPr>
      </w:pPr>
    </w:p>
    <w:p w14:paraId="0E9FAD12" w14:textId="1F0AA8BA" w:rsidR="00E72DD3" w:rsidRDefault="000604B2" w:rsidP="000604B2">
      <w:pPr>
        <w:pStyle w:val="ExhibitText"/>
        <w:jc w:val="left"/>
        <w:rPr>
          <w:bCs/>
          <w:sz w:val="18"/>
          <w:szCs w:val="18"/>
        </w:rPr>
      </w:pPr>
      <w:r w:rsidRPr="000604B2">
        <w:rPr>
          <w:b/>
          <w:bCs/>
          <w:sz w:val="18"/>
          <w:szCs w:val="18"/>
        </w:rPr>
        <w:t>Tourism</w:t>
      </w:r>
      <w:r w:rsidRPr="000604B2">
        <w:rPr>
          <w:bCs/>
          <w:sz w:val="18"/>
          <w:szCs w:val="18"/>
        </w:rPr>
        <w:t xml:space="preserve">: </w:t>
      </w:r>
      <w:proofErr w:type="spellStart"/>
      <w:r w:rsidR="0056612B">
        <w:rPr>
          <w:bCs/>
          <w:sz w:val="18"/>
          <w:szCs w:val="18"/>
        </w:rPr>
        <w:t>Î</w:t>
      </w:r>
      <w:r w:rsidRPr="000604B2">
        <w:rPr>
          <w:bCs/>
          <w:sz w:val="18"/>
          <w:szCs w:val="18"/>
        </w:rPr>
        <w:t>le</w:t>
      </w:r>
      <w:proofErr w:type="spellEnd"/>
      <w:r w:rsidR="0056612B">
        <w:rPr>
          <w:bCs/>
          <w:sz w:val="18"/>
          <w:szCs w:val="18"/>
        </w:rPr>
        <w:t>-à-</w:t>
      </w:r>
      <w:proofErr w:type="spellStart"/>
      <w:r w:rsidRPr="000604B2">
        <w:rPr>
          <w:bCs/>
          <w:sz w:val="18"/>
          <w:szCs w:val="18"/>
        </w:rPr>
        <w:t>Vache</w:t>
      </w:r>
      <w:proofErr w:type="spellEnd"/>
      <w:r w:rsidRPr="000604B2">
        <w:rPr>
          <w:bCs/>
          <w:sz w:val="18"/>
          <w:szCs w:val="18"/>
        </w:rPr>
        <w:t xml:space="preserve"> </w:t>
      </w:r>
      <w:r w:rsidR="0056612B">
        <w:rPr>
          <w:bCs/>
          <w:sz w:val="18"/>
          <w:szCs w:val="18"/>
        </w:rPr>
        <w:t>(b</w:t>
      </w:r>
      <w:r w:rsidRPr="000604B2">
        <w:rPr>
          <w:bCs/>
          <w:sz w:val="18"/>
          <w:szCs w:val="18"/>
        </w:rPr>
        <w:t xml:space="preserve">each </w:t>
      </w:r>
      <w:r w:rsidR="0056612B">
        <w:rPr>
          <w:bCs/>
          <w:sz w:val="18"/>
          <w:szCs w:val="18"/>
        </w:rPr>
        <w:t>r</w:t>
      </w:r>
      <w:r w:rsidRPr="000604B2">
        <w:rPr>
          <w:bCs/>
          <w:sz w:val="18"/>
          <w:szCs w:val="18"/>
        </w:rPr>
        <w:t>esort</w:t>
      </w:r>
      <w:r w:rsidR="0056612B">
        <w:rPr>
          <w:bCs/>
          <w:sz w:val="18"/>
          <w:szCs w:val="18"/>
        </w:rPr>
        <w:t xml:space="preserve"> with</w:t>
      </w:r>
      <w:r w:rsidRPr="000604B2">
        <w:rPr>
          <w:bCs/>
          <w:sz w:val="18"/>
          <w:szCs w:val="18"/>
        </w:rPr>
        <w:t xml:space="preserve"> 300 rooms</w:t>
      </w:r>
      <w:r w:rsidR="0056612B">
        <w:rPr>
          <w:bCs/>
          <w:sz w:val="18"/>
          <w:szCs w:val="18"/>
        </w:rPr>
        <w:t>,</w:t>
      </w:r>
      <w:r w:rsidRPr="000604B2">
        <w:rPr>
          <w:bCs/>
          <w:sz w:val="18"/>
          <w:szCs w:val="18"/>
        </w:rPr>
        <w:t xml:space="preserve"> potential to </w:t>
      </w:r>
      <w:r w:rsidR="0056612B">
        <w:rPr>
          <w:bCs/>
          <w:sz w:val="18"/>
          <w:szCs w:val="18"/>
        </w:rPr>
        <w:t>grow</w:t>
      </w:r>
      <w:r w:rsidR="0056612B" w:rsidRPr="000604B2">
        <w:rPr>
          <w:bCs/>
          <w:sz w:val="18"/>
          <w:szCs w:val="18"/>
        </w:rPr>
        <w:t xml:space="preserve"> </w:t>
      </w:r>
      <w:r w:rsidRPr="000604B2">
        <w:rPr>
          <w:bCs/>
          <w:sz w:val="18"/>
          <w:szCs w:val="18"/>
        </w:rPr>
        <w:t>to 18,000 rooms</w:t>
      </w:r>
      <w:r w:rsidR="0056612B">
        <w:rPr>
          <w:bCs/>
          <w:sz w:val="18"/>
          <w:szCs w:val="18"/>
        </w:rPr>
        <w:t xml:space="preserve">); </w:t>
      </w:r>
      <w:r w:rsidRPr="000604B2">
        <w:rPr>
          <w:bCs/>
          <w:sz w:val="18"/>
          <w:szCs w:val="18"/>
        </w:rPr>
        <w:t>Port</w:t>
      </w:r>
      <w:r w:rsidR="00E72DD3">
        <w:rPr>
          <w:bCs/>
          <w:sz w:val="18"/>
          <w:szCs w:val="18"/>
        </w:rPr>
        <w:t>-</w:t>
      </w:r>
      <w:proofErr w:type="spellStart"/>
      <w:r w:rsidRPr="000604B2">
        <w:rPr>
          <w:bCs/>
          <w:sz w:val="18"/>
          <w:szCs w:val="18"/>
        </w:rPr>
        <w:t>Salut</w:t>
      </w:r>
      <w:proofErr w:type="spellEnd"/>
      <w:r w:rsidRPr="000604B2">
        <w:rPr>
          <w:bCs/>
          <w:sz w:val="18"/>
          <w:szCs w:val="18"/>
        </w:rPr>
        <w:t xml:space="preserve"> (potential tourist town with large cave networks, untouched luscious green landscape, waterfalls, and long natural beaches)</w:t>
      </w:r>
    </w:p>
    <w:p w14:paraId="29FE0CD5" w14:textId="77777777" w:rsidR="00E72DD3" w:rsidRDefault="00E72DD3" w:rsidP="000604B2">
      <w:pPr>
        <w:pStyle w:val="ExhibitText"/>
        <w:jc w:val="left"/>
        <w:rPr>
          <w:bCs/>
          <w:sz w:val="18"/>
          <w:szCs w:val="18"/>
        </w:rPr>
      </w:pPr>
    </w:p>
    <w:p w14:paraId="3199C6A8" w14:textId="1406CCE8" w:rsidR="00E72DD3" w:rsidRDefault="000604B2" w:rsidP="000604B2">
      <w:pPr>
        <w:pStyle w:val="ExhibitText"/>
        <w:jc w:val="left"/>
        <w:rPr>
          <w:bCs/>
          <w:sz w:val="18"/>
          <w:szCs w:val="18"/>
        </w:rPr>
      </w:pPr>
      <w:r w:rsidRPr="000604B2">
        <w:rPr>
          <w:b/>
          <w:bCs/>
          <w:sz w:val="18"/>
          <w:szCs w:val="18"/>
        </w:rPr>
        <w:t>Agricultur</w:t>
      </w:r>
      <w:r w:rsidR="00E72DD3">
        <w:rPr>
          <w:b/>
          <w:bCs/>
          <w:sz w:val="18"/>
          <w:szCs w:val="18"/>
        </w:rPr>
        <w:t>al</w:t>
      </w:r>
      <w:r w:rsidRPr="000604B2">
        <w:rPr>
          <w:b/>
          <w:bCs/>
          <w:sz w:val="18"/>
          <w:szCs w:val="18"/>
        </w:rPr>
        <w:t xml:space="preserve"> Potential</w:t>
      </w:r>
      <w:r w:rsidRPr="000604B2">
        <w:rPr>
          <w:bCs/>
          <w:sz w:val="18"/>
          <w:szCs w:val="18"/>
        </w:rPr>
        <w:t>: Medium</w:t>
      </w:r>
    </w:p>
    <w:p w14:paraId="4B96F12E" w14:textId="77777777" w:rsidR="00E72DD3" w:rsidRDefault="00E72DD3" w:rsidP="000604B2">
      <w:pPr>
        <w:pStyle w:val="ExhibitText"/>
        <w:jc w:val="left"/>
        <w:rPr>
          <w:bCs/>
          <w:sz w:val="18"/>
          <w:szCs w:val="18"/>
        </w:rPr>
      </w:pPr>
    </w:p>
    <w:p w14:paraId="6D15275E" w14:textId="02ED9A95" w:rsidR="00E72DD3" w:rsidRDefault="000604B2" w:rsidP="000604B2">
      <w:pPr>
        <w:pStyle w:val="ExhibitText"/>
        <w:jc w:val="left"/>
        <w:rPr>
          <w:bCs/>
          <w:sz w:val="18"/>
          <w:szCs w:val="18"/>
        </w:rPr>
      </w:pPr>
      <w:r w:rsidRPr="000604B2">
        <w:rPr>
          <w:b/>
          <w:bCs/>
          <w:sz w:val="18"/>
          <w:szCs w:val="18"/>
        </w:rPr>
        <w:t>Geography</w:t>
      </w:r>
      <w:r w:rsidRPr="000604B2">
        <w:rPr>
          <w:bCs/>
          <w:sz w:val="18"/>
          <w:szCs w:val="18"/>
        </w:rPr>
        <w:t xml:space="preserve">: </w:t>
      </w:r>
      <w:r w:rsidR="00E72DD3" w:rsidRPr="00E72DD3">
        <w:rPr>
          <w:bCs/>
          <w:sz w:val="18"/>
          <w:szCs w:val="18"/>
        </w:rPr>
        <w:t>le passage du Vent/Windward Passage (potential for trans-shipment and industrial development</w:t>
      </w:r>
      <w:proofErr w:type="gramStart"/>
      <w:r w:rsidRPr="000604B2">
        <w:rPr>
          <w:bCs/>
          <w:sz w:val="18"/>
          <w:szCs w:val="18"/>
        </w:rPr>
        <w:t>)</w:t>
      </w:r>
      <w:proofErr w:type="gramEnd"/>
      <w:r w:rsidR="00E72DD3">
        <w:rPr>
          <w:bCs/>
          <w:sz w:val="18"/>
          <w:szCs w:val="18"/>
        </w:rPr>
        <w:br w:type="column"/>
      </w:r>
      <w:r w:rsidRPr="000604B2">
        <w:rPr>
          <w:b/>
          <w:bCs/>
          <w:sz w:val="18"/>
          <w:szCs w:val="18"/>
        </w:rPr>
        <w:t>Infrastructure</w:t>
      </w:r>
      <w:r w:rsidRPr="000604B2">
        <w:rPr>
          <w:bCs/>
          <w:sz w:val="18"/>
          <w:szCs w:val="18"/>
        </w:rPr>
        <w:t xml:space="preserve">: Road reconstruction in Les </w:t>
      </w:r>
      <w:proofErr w:type="spellStart"/>
      <w:r w:rsidRPr="000604B2">
        <w:rPr>
          <w:bCs/>
          <w:sz w:val="18"/>
          <w:szCs w:val="18"/>
        </w:rPr>
        <w:t>Cayes</w:t>
      </w:r>
      <w:proofErr w:type="spellEnd"/>
      <w:r w:rsidR="00E72DD3">
        <w:rPr>
          <w:bCs/>
          <w:sz w:val="18"/>
          <w:szCs w:val="18"/>
        </w:rPr>
        <w:t>; t</w:t>
      </w:r>
      <w:r w:rsidRPr="000604B2">
        <w:rPr>
          <w:bCs/>
          <w:sz w:val="18"/>
          <w:szCs w:val="18"/>
        </w:rPr>
        <w:t xml:space="preserve">hree airports in construction (Les </w:t>
      </w:r>
      <w:proofErr w:type="spellStart"/>
      <w:r w:rsidRPr="000604B2">
        <w:rPr>
          <w:bCs/>
          <w:sz w:val="18"/>
          <w:szCs w:val="18"/>
        </w:rPr>
        <w:t>Cayes</w:t>
      </w:r>
      <w:proofErr w:type="spellEnd"/>
      <w:r w:rsidRPr="000604B2">
        <w:rPr>
          <w:bCs/>
          <w:sz w:val="18"/>
          <w:szCs w:val="18"/>
        </w:rPr>
        <w:t xml:space="preserve">, </w:t>
      </w:r>
      <w:proofErr w:type="spellStart"/>
      <w:r w:rsidR="00E72DD3">
        <w:rPr>
          <w:bCs/>
          <w:sz w:val="18"/>
          <w:szCs w:val="18"/>
        </w:rPr>
        <w:t>Î</w:t>
      </w:r>
      <w:r w:rsidRPr="000604B2">
        <w:rPr>
          <w:bCs/>
          <w:sz w:val="18"/>
          <w:szCs w:val="18"/>
        </w:rPr>
        <w:t>le</w:t>
      </w:r>
      <w:proofErr w:type="spellEnd"/>
      <w:r w:rsidR="00E72DD3">
        <w:rPr>
          <w:bCs/>
          <w:sz w:val="18"/>
          <w:szCs w:val="18"/>
        </w:rPr>
        <w:t>-à-</w:t>
      </w:r>
      <w:proofErr w:type="spellStart"/>
      <w:r w:rsidRPr="000604B2">
        <w:rPr>
          <w:bCs/>
          <w:sz w:val="18"/>
          <w:szCs w:val="18"/>
        </w:rPr>
        <w:t>Vache</w:t>
      </w:r>
      <w:proofErr w:type="spellEnd"/>
      <w:r w:rsidRPr="000604B2">
        <w:rPr>
          <w:bCs/>
          <w:sz w:val="18"/>
          <w:szCs w:val="18"/>
        </w:rPr>
        <w:t xml:space="preserve">, </w:t>
      </w:r>
      <w:proofErr w:type="spellStart"/>
      <w:r w:rsidRPr="000604B2">
        <w:rPr>
          <w:bCs/>
          <w:sz w:val="18"/>
          <w:szCs w:val="18"/>
        </w:rPr>
        <w:t>C</w:t>
      </w:r>
      <w:r w:rsidR="00E72DD3">
        <w:rPr>
          <w:bCs/>
          <w:sz w:val="18"/>
          <w:szCs w:val="18"/>
        </w:rPr>
        <w:t>ô</w:t>
      </w:r>
      <w:r w:rsidRPr="000604B2">
        <w:rPr>
          <w:bCs/>
          <w:sz w:val="18"/>
          <w:szCs w:val="18"/>
        </w:rPr>
        <w:t>te</w:t>
      </w:r>
      <w:r w:rsidR="00E72DD3">
        <w:rPr>
          <w:bCs/>
          <w:sz w:val="18"/>
          <w:szCs w:val="18"/>
        </w:rPr>
        <w:t>s</w:t>
      </w:r>
      <w:proofErr w:type="spellEnd"/>
      <w:r w:rsidR="00E72DD3">
        <w:rPr>
          <w:bCs/>
          <w:sz w:val="18"/>
          <w:szCs w:val="18"/>
        </w:rPr>
        <w:t>-</w:t>
      </w:r>
      <w:r w:rsidRPr="000604B2">
        <w:rPr>
          <w:bCs/>
          <w:sz w:val="18"/>
          <w:szCs w:val="18"/>
        </w:rPr>
        <w:t>de</w:t>
      </w:r>
      <w:r w:rsidR="00E72DD3">
        <w:rPr>
          <w:bCs/>
          <w:sz w:val="18"/>
          <w:szCs w:val="18"/>
        </w:rPr>
        <w:t>-</w:t>
      </w:r>
      <w:proofErr w:type="spellStart"/>
      <w:r w:rsidRPr="000604B2">
        <w:rPr>
          <w:bCs/>
          <w:sz w:val="18"/>
          <w:szCs w:val="18"/>
        </w:rPr>
        <w:t>Fer</w:t>
      </w:r>
      <w:proofErr w:type="spellEnd"/>
      <w:r w:rsidRPr="000604B2">
        <w:rPr>
          <w:bCs/>
          <w:sz w:val="18"/>
          <w:szCs w:val="18"/>
        </w:rPr>
        <w:t>)</w:t>
      </w:r>
      <w:r w:rsidR="00E72DD3">
        <w:rPr>
          <w:bCs/>
          <w:sz w:val="18"/>
          <w:szCs w:val="18"/>
        </w:rPr>
        <w:t>;</w:t>
      </w:r>
      <w:r w:rsidRPr="000604B2">
        <w:rPr>
          <w:bCs/>
          <w:sz w:val="18"/>
          <w:szCs w:val="18"/>
        </w:rPr>
        <w:t xml:space="preserve"> </w:t>
      </w:r>
      <w:r w:rsidR="00E72DD3">
        <w:rPr>
          <w:bCs/>
          <w:sz w:val="18"/>
          <w:szCs w:val="18"/>
        </w:rPr>
        <w:t>i</w:t>
      </w:r>
      <w:r w:rsidRPr="000604B2">
        <w:rPr>
          <w:bCs/>
          <w:sz w:val="18"/>
          <w:szCs w:val="18"/>
        </w:rPr>
        <w:t xml:space="preserve">nternational </w:t>
      </w:r>
      <w:r w:rsidR="00E72DD3">
        <w:rPr>
          <w:bCs/>
          <w:sz w:val="18"/>
          <w:szCs w:val="18"/>
        </w:rPr>
        <w:t>p</w:t>
      </w:r>
      <w:r w:rsidRPr="000604B2">
        <w:rPr>
          <w:bCs/>
          <w:sz w:val="18"/>
          <w:szCs w:val="18"/>
        </w:rPr>
        <w:t xml:space="preserve">ort in </w:t>
      </w:r>
      <w:proofErr w:type="spellStart"/>
      <w:r w:rsidRPr="000604B2">
        <w:rPr>
          <w:bCs/>
          <w:sz w:val="18"/>
          <w:szCs w:val="18"/>
        </w:rPr>
        <w:t>Mirago</w:t>
      </w:r>
      <w:r w:rsidR="00E72DD3">
        <w:rPr>
          <w:bCs/>
          <w:sz w:val="18"/>
          <w:szCs w:val="18"/>
        </w:rPr>
        <w:t>â</w:t>
      </w:r>
      <w:r w:rsidRPr="000604B2">
        <w:rPr>
          <w:bCs/>
          <w:sz w:val="18"/>
          <w:szCs w:val="18"/>
        </w:rPr>
        <w:t>ne</w:t>
      </w:r>
      <w:proofErr w:type="spellEnd"/>
    </w:p>
    <w:p w14:paraId="55DB2899" w14:textId="77777777" w:rsidR="00E72DD3" w:rsidRDefault="00E72DD3" w:rsidP="000604B2">
      <w:pPr>
        <w:pStyle w:val="ExhibitText"/>
        <w:jc w:val="left"/>
        <w:rPr>
          <w:bCs/>
          <w:sz w:val="18"/>
          <w:szCs w:val="18"/>
        </w:rPr>
      </w:pPr>
    </w:p>
    <w:p w14:paraId="0499985A" w14:textId="421357DF" w:rsidR="000604B2" w:rsidRPr="00631AD3" w:rsidRDefault="00E72DD3" w:rsidP="000604B2">
      <w:pPr>
        <w:pStyle w:val="ExhibitText"/>
        <w:jc w:val="left"/>
        <w:rPr>
          <w:sz w:val="18"/>
          <w:szCs w:val="18"/>
        </w:rPr>
        <w:sectPr w:rsidR="000604B2" w:rsidRPr="00631AD3" w:rsidSect="00E31345">
          <w:endnotePr>
            <w:numFmt w:val="decimal"/>
          </w:endnotePr>
          <w:type w:val="continuous"/>
          <w:pgSz w:w="15840" w:h="12240" w:orient="landscape"/>
          <w:pgMar w:top="1440" w:right="1440" w:bottom="1440" w:left="1440" w:header="1080" w:footer="720" w:gutter="0"/>
          <w:cols w:num="2" w:space="720"/>
          <w:docGrid w:linePitch="360"/>
        </w:sectPr>
      </w:pPr>
      <w:r>
        <w:rPr>
          <w:b/>
          <w:bCs/>
          <w:sz w:val="18"/>
          <w:szCs w:val="18"/>
        </w:rPr>
        <w:t xml:space="preserve">Unique </w:t>
      </w:r>
      <w:r w:rsidR="000604B2" w:rsidRPr="000604B2">
        <w:rPr>
          <w:b/>
          <w:bCs/>
          <w:sz w:val="18"/>
          <w:szCs w:val="18"/>
        </w:rPr>
        <w:t>Energy</w:t>
      </w:r>
      <w:r>
        <w:rPr>
          <w:b/>
          <w:bCs/>
          <w:sz w:val="18"/>
          <w:szCs w:val="18"/>
        </w:rPr>
        <w:t xml:space="preserve"> Aspects</w:t>
      </w:r>
      <w:r w:rsidR="000604B2" w:rsidRPr="000604B2">
        <w:rPr>
          <w:bCs/>
          <w:sz w:val="18"/>
          <w:szCs w:val="18"/>
        </w:rPr>
        <w:t>: Hydro with potential for growth to 30 MW</w:t>
      </w:r>
      <w:r>
        <w:rPr>
          <w:bCs/>
          <w:sz w:val="18"/>
          <w:szCs w:val="18"/>
        </w:rPr>
        <w:t>;</w:t>
      </w:r>
      <w:r w:rsidR="000604B2" w:rsidRPr="000604B2">
        <w:rPr>
          <w:bCs/>
          <w:sz w:val="18"/>
          <w:szCs w:val="18"/>
        </w:rPr>
        <w:t xml:space="preserve"> </w:t>
      </w:r>
      <w:r>
        <w:rPr>
          <w:bCs/>
          <w:sz w:val="18"/>
          <w:szCs w:val="18"/>
        </w:rPr>
        <w:t>a</w:t>
      </w:r>
      <w:r w:rsidR="000604B2" w:rsidRPr="000604B2">
        <w:rPr>
          <w:bCs/>
          <w:sz w:val="18"/>
          <w:szCs w:val="18"/>
        </w:rPr>
        <w:t xml:space="preserve">verage construction cost of </w:t>
      </w:r>
      <w:r>
        <w:rPr>
          <w:bCs/>
          <w:sz w:val="18"/>
          <w:szCs w:val="18"/>
        </w:rPr>
        <w:t>h</w:t>
      </w:r>
      <w:r w:rsidR="000604B2" w:rsidRPr="000604B2">
        <w:rPr>
          <w:bCs/>
          <w:sz w:val="18"/>
          <w:szCs w:val="18"/>
        </w:rPr>
        <w:t xml:space="preserve">ydroelectricity </w:t>
      </w:r>
      <w:r>
        <w:rPr>
          <w:bCs/>
          <w:sz w:val="18"/>
          <w:szCs w:val="18"/>
        </w:rPr>
        <w:t>US$</w:t>
      </w:r>
      <w:r w:rsidR="000604B2" w:rsidRPr="000604B2">
        <w:rPr>
          <w:bCs/>
          <w:sz w:val="18"/>
          <w:szCs w:val="18"/>
        </w:rPr>
        <w:t>7 million per MW</w:t>
      </w:r>
      <w:r>
        <w:rPr>
          <w:bCs/>
          <w:sz w:val="18"/>
          <w:szCs w:val="18"/>
        </w:rPr>
        <w:t>; s</w:t>
      </w:r>
      <w:r w:rsidR="000604B2" w:rsidRPr="000604B2">
        <w:rPr>
          <w:bCs/>
          <w:sz w:val="18"/>
          <w:szCs w:val="18"/>
        </w:rPr>
        <w:t xml:space="preserve">trong wind potential in </w:t>
      </w:r>
      <w:proofErr w:type="spellStart"/>
      <w:r w:rsidR="000604B2" w:rsidRPr="000604B2">
        <w:rPr>
          <w:bCs/>
          <w:sz w:val="18"/>
          <w:szCs w:val="18"/>
        </w:rPr>
        <w:t>Grand</w:t>
      </w:r>
      <w:r>
        <w:rPr>
          <w:bCs/>
          <w:sz w:val="18"/>
          <w:szCs w:val="18"/>
        </w:rPr>
        <w:t>’</w:t>
      </w:r>
      <w:r w:rsidR="000604B2" w:rsidRPr="000604B2">
        <w:rPr>
          <w:bCs/>
          <w:sz w:val="18"/>
          <w:szCs w:val="18"/>
        </w:rPr>
        <w:t>Anse</w:t>
      </w:r>
      <w:proofErr w:type="spellEnd"/>
    </w:p>
    <w:p w14:paraId="13765824" w14:textId="77777777" w:rsidR="000604B2" w:rsidRPr="005630DE" w:rsidRDefault="000604B2" w:rsidP="000604B2">
      <w:pPr>
        <w:pStyle w:val="ExhibitText"/>
      </w:pPr>
    </w:p>
    <w:tbl>
      <w:tblPr>
        <w:tblStyle w:val="TableGrid"/>
        <w:tblW w:w="4998" w:type="pct"/>
        <w:jc w:val="center"/>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43"/>
        <w:gridCol w:w="1080"/>
        <w:gridCol w:w="1080"/>
        <w:gridCol w:w="900"/>
        <w:gridCol w:w="990"/>
        <w:gridCol w:w="900"/>
        <w:gridCol w:w="1350"/>
        <w:gridCol w:w="720"/>
        <w:gridCol w:w="777"/>
        <w:gridCol w:w="929"/>
        <w:gridCol w:w="928"/>
        <w:gridCol w:w="929"/>
        <w:gridCol w:w="929"/>
      </w:tblGrid>
      <w:tr w:rsidR="000604B2" w:rsidRPr="005233EE" w14:paraId="59F16C90" w14:textId="77777777" w:rsidTr="00174436">
        <w:trPr>
          <w:cantSplit/>
          <w:trHeight w:val="1601"/>
          <w:jc w:val="center"/>
        </w:trPr>
        <w:tc>
          <w:tcPr>
            <w:tcW w:w="1443" w:type="dxa"/>
            <w:tcBorders>
              <w:top w:val="single" w:sz="4" w:space="0" w:color="auto"/>
              <w:bottom w:val="single" w:sz="4" w:space="0" w:color="auto"/>
            </w:tcBorders>
            <w:vAlign w:val="center"/>
            <w:hideMark/>
          </w:tcPr>
          <w:p w14:paraId="3E200D55" w14:textId="77777777" w:rsidR="000604B2" w:rsidRPr="005233EE" w:rsidRDefault="000604B2" w:rsidP="003E7C35">
            <w:pPr>
              <w:pStyle w:val="ExhibitText"/>
              <w:jc w:val="left"/>
              <w:rPr>
                <w:b/>
                <w:sz w:val="18"/>
                <w:szCs w:val="18"/>
              </w:rPr>
            </w:pPr>
            <w:r w:rsidRPr="005233EE">
              <w:rPr>
                <w:b/>
                <w:sz w:val="18"/>
                <w:szCs w:val="18"/>
              </w:rPr>
              <w:t>Description</w:t>
            </w:r>
          </w:p>
        </w:tc>
        <w:tc>
          <w:tcPr>
            <w:tcW w:w="1080" w:type="dxa"/>
            <w:tcBorders>
              <w:top w:val="single" w:sz="4" w:space="0" w:color="auto"/>
              <w:bottom w:val="single" w:sz="4" w:space="0" w:color="auto"/>
            </w:tcBorders>
            <w:textDirection w:val="btLr"/>
            <w:vAlign w:val="bottom"/>
            <w:hideMark/>
          </w:tcPr>
          <w:p w14:paraId="6EAC4ED1" w14:textId="77777777" w:rsidR="000604B2" w:rsidRPr="005233EE" w:rsidRDefault="000604B2" w:rsidP="003E7C35">
            <w:pPr>
              <w:pStyle w:val="ExhibitText"/>
              <w:ind w:left="113" w:right="113"/>
              <w:jc w:val="left"/>
              <w:rPr>
                <w:b/>
                <w:sz w:val="18"/>
                <w:szCs w:val="18"/>
              </w:rPr>
            </w:pPr>
            <w:r w:rsidRPr="005233EE">
              <w:rPr>
                <w:b/>
                <w:sz w:val="18"/>
                <w:szCs w:val="18"/>
              </w:rPr>
              <w:t>Total</w:t>
            </w:r>
            <w:r>
              <w:rPr>
                <w:b/>
                <w:sz w:val="18"/>
                <w:szCs w:val="18"/>
              </w:rPr>
              <w:t xml:space="preserve"> </w:t>
            </w:r>
            <w:r w:rsidRPr="005233EE">
              <w:rPr>
                <w:b/>
                <w:sz w:val="18"/>
                <w:szCs w:val="18"/>
              </w:rPr>
              <w:t>Population</w:t>
            </w:r>
          </w:p>
        </w:tc>
        <w:tc>
          <w:tcPr>
            <w:tcW w:w="1080" w:type="dxa"/>
            <w:tcBorders>
              <w:top w:val="single" w:sz="4" w:space="0" w:color="auto"/>
              <w:bottom w:val="single" w:sz="4" w:space="0" w:color="auto"/>
            </w:tcBorders>
            <w:textDirection w:val="btLr"/>
            <w:vAlign w:val="bottom"/>
            <w:hideMark/>
          </w:tcPr>
          <w:p w14:paraId="63589911" w14:textId="59A16893" w:rsidR="000604B2" w:rsidRPr="005233EE" w:rsidRDefault="000604B2" w:rsidP="003E7C35">
            <w:pPr>
              <w:pStyle w:val="ExhibitText"/>
              <w:ind w:left="113" w:right="113"/>
              <w:jc w:val="left"/>
              <w:rPr>
                <w:b/>
                <w:sz w:val="18"/>
                <w:szCs w:val="18"/>
              </w:rPr>
            </w:pPr>
            <w:r>
              <w:rPr>
                <w:b/>
                <w:sz w:val="18"/>
                <w:szCs w:val="18"/>
              </w:rPr>
              <w:t xml:space="preserve">Less than </w:t>
            </w:r>
            <w:r w:rsidRPr="005233EE">
              <w:rPr>
                <w:b/>
                <w:sz w:val="18"/>
                <w:szCs w:val="18"/>
              </w:rPr>
              <w:t xml:space="preserve">18 </w:t>
            </w:r>
            <w:r w:rsidR="00D4624F">
              <w:rPr>
                <w:b/>
                <w:sz w:val="18"/>
                <w:szCs w:val="18"/>
              </w:rPr>
              <w:t>Y</w:t>
            </w:r>
            <w:r>
              <w:rPr>
                <w:b/>
                <w:sz w:val="18"/>
                <w:szCs w:val="18"/>
              </w:rPr>
              <w:t xml:space="preserve">ears of </w:t>
            </w:r>
            <w:r w:rsidR="00D4624F">
              <w:rPr>
                <w:b/>
                <w:sz w:val="18"/>
                <w:szCs w:val="18"/>
              </w:rPr>
              <w:t>A</w:t>
            </w:r>
            <w:r>
              <w:rPr>
                <w:b/>
                <w:sz w:val="18"/>
                <w:szCs w:val="18"/>
              </w:rPr>
              <w:t>ge</w:t>
            </w:r>
          </w:p>
        </w:tc>
        <w:tc>
          <w:tcPr>
            <w:tcW w:w="900" w:type="dxa"/>
            <w:tcBorders>
              <w:top w:val="single" w:sz="4" w:space="0" w:color="auto"/>
              <w:bottom w:val="single" w:sz="4" w:space="0" w:color="auto"/>
            </w:tcBorders>
            <w:textDirection w:val="btLr"/>
            <w:vAlign w:val="bottom"/>
            <w:hideMark/>
          </w:tcPr>
          <w:p w14:paraId="58F505CE" w14:textId="77777777" w:rsidR="000604B2" w:rsidRPr="005233EE" w:rsidRDefault="000604B2" w:rsidP="003E7C35">
            <w:pPr>
              <w:pStyle w:val="ExhibitText"/>
              <w:ind w:left="113" w:right="113"/>
              <w:jc w:val="left"/>
              <w:rPr>
                <w:b/>
                <w:sz w:val="18"/>
                <w:szCs w:val="18"/>
              </w:rPr>
            </w:pPr>
            <w:r w:rsidRPr="005233EE">
              <w:rPr>
                <w:b/>
                <w:sz w:val="18"/>
                <w:szCs w:val="18"/>
              </w:rPr>
              <w:t>Number</w:t>
            </w:r>
            <w:r>
              <w:rPr>
                <w:b/>
                <w:sz w:val="18"/>
                <w:szCs w:val="18"/>
              </w:rPr>
              <w:t xml:space="preserve"> </w:t>
            </w:r>
            <w:r w:rsidRPr="005233EE">
              <w:rPr>
                <w:b/>
                <w:sz w:val="18"/>
                <w:szCs w:val="18"/>
              </w:rPr>
              <w:t>of Houses</w:t>
            </w:r>
          </w:p>
        </w:tc>
        <w:tc>
          <w:tcPr>
            <w:tcW w:w="990" w:type="dxa"/>
            <w:tcBorders>
              <w:top w:val="single" w:sz="4" w:space="0" w:color="auto"/>
              <w:bottom w:val="single" w:sz="4" w:space="0" w:color="auto"/>
            </w:tcBorders>
            <w:textDirection w:val="btLr"/>
            <w:vAlign w:val="bottom"/>
            <w:hideMark/>
          </w:tcPr>
          <w:p w14:paraId="4AEC8780" w14:textId="2AC5BAE4" w:rsidR="000604B2" w:rsidRPr="005233EE" w:rsidRDefault="000604B2" w:rsidP="003E7C35">
            <w:pPr>
              <w:pStyle w:val="ExhibitText"/>
              <w:ind w:left="113" w:right="113"/>
              <w:jc w:val="left"/>
              <w:rPr>
                <w:b/>
                <w:sz w:val="18"/>
                <w:szCs w:val="18"/>
              </w:rPr>
            </w:pPr>
            <w:r w:rsidRPr="005233EE">
              <w:rPr>
                <w:b/>
                <w:sz w:val="18"/>
                <w:szCs w:val="18"/>
              </w:rPr>
              <w:t>Surface Area</w:t>
            </w:r>
            <w:r>
              <w:rPr>
                <w:b/>
                <w:sz w:val="18"/>
                <w:szCs w:val="18"/>
              </w:rPr>
              <w:t xml:space="preserve"> (</w:t>
            </w:r>
            <w:r w:rsidRPr="005233EE">
              <w:rPr>
                <w:b/>
                <w:sz w:val="18"/>
                <w:szCs w:val="18"/>
              </w:rPr>
              <w:t>km²</w:t>
            </w:r>
            <w:r>
              <w:rPr>
                <w:b/>
                <w:sz w:val="18"/>
                <w:szCs w:val="18"/>
              </w:rPr>
              <w:t>)</w:t>
            </w:r>
          </w:p>
        </w:tc>
        <w:tc>
          <w:tcPr>
            <w:tcW w:w="900" w:type="dxa"/>
            <w:tcBorders>
              <w:top w:val="single" w:sz="4" w:space="0" w:color="auto"/>
              <w:bottom w:val="single" w:sz="4" w:space="0" w:color="auto"/>
            </w:tcBorders>
            <w:textDirection w:val="btLr"/>
            <w:vAlign w:val="bottom"/>
            <w:hideMark/>
          </w:tcPr>
          <w:p w14:paraId="6F172744" w14:textId="1A2A2997" w:rsidR="000604B2" w:rsidRPr="005233EE" w:rsidRDefault="00A8691C" w:rsidP="003E7C35">
            <w:pPr>
              <w:pStyle w:val="ExhibitText"/>
              <w:ind w:left="113" w:right="113"/>
              <w:jc w:val="left"/>
              <w:rPr>
                <w:b/>
                <w:sz w:val="18"/>
                <w:szCs w:val="18"/>
              </w:rPr>
            </w:pPr>
            <w:r>
              <w:rPr>
                <w:b/>
                <w:sz w:val="18"/>
                <w:szCs w:val="18"/>
              </w:rPr>
              <w:t xml:space="preserve">Population </w:t>
            </w:r>
            <w:r w:rsidR="000604B2" w:rsidRPr="005233EE">
              <w:rPr>
                <w:b/>
                <w:sz w:val="18"/>
                <w:szCs w:val="18"/>
              </w:rPr>
              <w:t>Density</w:t>
            </w:r>
          </w:p>
        </w:tc>
        <w:tc>
          <w:tcPr>
            <w:tcW w:w="1350" w:type="dxa"/>
            <w:tcBorders>
              <w:top w:val="single" w:sz="4" w:space="0" w:color="auto"/>
              <w:bottom w:val="single" w:sz="4" w:space="0" w:color="auto"/>
            </w:tcBorders>
            <w:textDirection w:val="btLr"/>
            <w:vAlign w:val="center"/>
            <w:hideMark/>
          </w:tcPr>
          <w:p w14:paraId="664A5FE0" w14:textId="7E9F8D5F" w:rsidR="000604B2" w:rsidRPr="005233EE" w:rsidRDefault="000604B2">
            <w:pPr>
              <w:pStyle w:val="ExhibitText"/>
              <w:ind w:left="113" w:right="113"/>
              <w:jc w:val="left"/>
              <w:rPr>
                <w:b/>
                <w:sz w:val="18"/>
                <w:szCs w:val="18"/>
              </w:rPr>
            </w:pPr>
            <w:r w:rsidRPr="005233EE">
              <w:rPr>
                <w:b/>
                <w:sz w:val="18"/>
                <w:szCs w:val="18"/>
              </w:rPr>
              <w:t xml:space="preserve">Type </w:t>
            </w:r>
            <w:r>
              <w:rPr>
                <w:b/>
                <w:sz w:val="18"/>
                <w:szCs w:val="18"/>
              </w:rPr>
              <w:t xml:space="preserve">of </w:t>
            </w:r>
            <w:r w:rsidRPr="005233EE">
              <w:rPr>
                <w:b/>
                <w:sz w:val="18"/>
                <w:szCs w:val="18"/>
              </w:rPr>
              <w:t>Energy Generation</w:t>
            </w:r>
          </w:p>
        </w:tc>
        <w:tc>
          <w:tcPr>
            <w:tcW w:w="720" w:type="dxa"/>
            <w:tcBorders>
              <w:top w:val="single" w:sz="4" w:space="0" w:color="auto"/>
              <w:bottom w:val="single" w:sz="4" w:space="0" w:color="auto"/>
            </w:tcBorders>
            <w:textDirection w:val="btLr"/>
            <w:vAlign w:val="bottom"/>
            <w:hideMark/>
          </w:tcPr>
          <w:p w14:paraId="4E4CFE19" w14:textId="7B1EF0EE" w:rsidR="000604B2" w:rsidRPr="005233EE" w:rsidRDefault="000604B2">
            <w:pPr>
              <w:pStyle w:val="ExhibitText"/>
              <w:ind w:left="113" w:right="113"/>
              <w:jc w:val="left"/>
              <w:rPr>
                <w:b/>
                <w:sz w:val="18"/>
                <w:szCs w:val="18"/>
              </w:rPr>
            </w:pPr>
            <w:r w:rsidRPr="005233EE">
              <w:rPr>
                <w:b/>
                <w:sz w:val="18"/>
                <w:szCs w:val="18"/>
              </w:rPr>
              <w:t>Installed Capacity (MW)</w:t>
            </w:r>
          </w:p>
        </w:tc>
        <w:tc>
          <w:tcPr>
            <w:tcW w:w="777" w:type="dxa"/>
            <w:tcBorders>
              <w:top w:val="single" w:sz="4" w:space="0" w:color="auto"/>
              <w:bottom w:val="single" w:sz="4" w:space="0" w:color="auto"/>
            </w:tcBorders>
            <w:textDirection w:val="btLr"/>
            <w:vAlign w:val="bottom"/>
            <w:hideMark/>
          </w:tcPr>
          <w:p w14:paraId="7ABCEA3B" w14:textId="6D0DE261" w:rsidR="000604B2" w:rsidRPr="005233EE" w:rsidRDefault="000604B2">
            <w:pPr>
              <w:pStyle w:val="ExhibitText"/>
              <w:ind w:left="113" w:right="113"/>
              <w:jc w:val="left"/>
              <w:rPr>
                <w:b/>
                <w:sz w:val="18"/>
                <w:szCs w:val="18"/>
              </w:rPr>
            </w:pPr>
            <w:r w:rsidRPr="005233EE">
              <w:rPr>
                <w:b/>
                <w:sz w:val="18"/>
                <w:szCs w:val="18"/>
              </w:rPr>
              <w:t>Available Capacity</w:t>
            </w:r>
            <w:r>
              <w:rPr>
                <w:b/>
                <w:sz w:val="18"/>
                <w:szCs w:val="18"/>
              </w:rPr>
              <w:t xml:space="preserve"> (MW)</w:t>
            </w:r>
          </w:p>
        </w:tc>
        <w:tc>
          <w:tcPr>
            <w:tcW w:w="929" w:type="dxa"/>
            <w:tcBorders>
              <w:top w:val="single" w:sz="4" w:space="0" w:color="auto"/>
              <w:bottom w:val="single" w:sz="4" w:space="0" w:color="auto"/>
            </w:tcBorders>
            <w:textDirection w:val="btLr"/>
            <w:vAlign w:val="bottom"/>
            <w:hideMark/>
          </w:tcPr>
          <w:p w14:paraId="3C72E1E1" w14:textId="2035B48F" w:rsidR="000604B2" w:rsidRPr="005233EE" w:rsidRDefault="008B5E60" w:rsidP="003E7C35">
            <w:pPr>
              <w:pStyle w:val="ExhibitText"/>
              <w:ind w:left="113" w:right="113"/>
              <w:jc w:val="left"/>
              <w:rPr>
                <w:b/>
                <w:sz w:val="18"/>
                <w:szCs w:val="18"/>
              </w:rPr>
            </w:pPr>
            <w:r w:rsidRPr="005233EE">
              <w:rPr>
                <w:b/>
                <w:sz w:val="18"/>
                <w:szCs w:val="18"/>
              </w:rPr>
              <w:t xml:space="preserve">Energy Produced </w:t>
            </w:r>
            <w:r>
              <w:rPr>
                <w:b/>
                <w:sz w:val="18"/>
                <w:szCs w:val="18"/>
              </w:rPr>
              <w:t xml:space="preserve">per </w:t>
            </w:r>
            <w:r w:rsidR="00D4624F">
              <w:rPr>
                <w:b/>
                <w:sz w:val="18"/>
                <w:szCs w:val="18"/>
              </w:rPr>
              <w:t>D</w:t>
            </w:r>
            <w:r>
              <w:rPr>
                <w:b/>
                <w:sz w:val="18"/>
                <w:szCs w:val="18"/>
              </w:rPr>
              <w:t>ay (</w:t>
            </w:r>
            <w:r w:rsidRPr="005233EE">
              <w:rPr>
                <w:b/>
                <w:sz w:val="18"/>
                <w:szCs w:val="18"/>
              </w:rPr>
              <w:t>MWh</w:t>
            </w:r>
            <w:r>
              <w:rPr>
                <w:b/>
                <w:sz w:val="18"/>
                <w:szCs w:val="18"/>
              </w:rPr>
              <w:t>)</w:t>
            </w:r>
          </w:p>
        </w:tc>
        <w:tc>
          <w:tcPr>
            <w:tcW w:w="928" w:type="dxa"/>
            <w:tcBorders>
              <w:top w:val="single" w:sz="4" w:space="0" w:color="auto"/>
              <w:bottom w:val="single" w:sz="4" w:space="0" w:color="auto"/>
            </w:tcBorders>
            <w:textDirection w:val="btLr"/>
            <w:vAlign w:val="bottom"/>
            <w:hideMark/>
          </w:tcPr>
          <w:p w14:paraId="1E5045BD" w14:textId="17DF3D33" w:rsidR="000604B2" w:rsidRPr="005233EE" w:rsidRDefault="000604B2" w:rsidP="003E7C35">
            <w:pPr>
              <w:pStyle w:val="ExhibitText"/>
              <w:ind w:left="113" w:right="113"/>
              <w:jc w:val="left"/>
              <w:rPr>
                <w:b/>
                <w:sz w:val="18"/>
                <w:szCs w:val="18"/>
              </w:rPr>
            </w:pPr>
            <w:r w:rsidRPr="005233EE">
              <w:rPr>
                <w:b/>
                <w:sz w:val="18"/>
                <w:szCs w:val="18"/>
              </w:rPr>
              <w:t>EDH Fuel Consumption</w:t>
            </w:r>
            <w:r w:rsidR="007A7A5C">
              <w:rPr>
                <w:b/>
                <w:sz w:val="18"/>
                <w:szCs w:val="18"/>
              </w:rPr>
              <w:t xml:space="preserve"> (gal.</w:t>
            </w:r>
            <w:r w:rsidR="00D23C7B">
              <w:rPr>
                <w:b/>
                <w:sz w:val="18"/>
                <w:szCs w:val="18"/>
              </w:rPr>
              <w:t>/day</w:t>
            </w:r>
            <w:r w:rsidR="007A7A5C">
              <w:rPr>
                <w:b/>
                <w:sz w:val="18"/>
                <w:szCs w:val="18"/>
              </w:rPr>
              <w:t>)</w:t>
            </w:r>
          </w:p>
        </w:tc>
        <w:tc>
          <w:tcPr>
            <w:tcW w:w="929" w:type="dxa"/>
            <w:tcBorders>
              <w:top w:val="single" w:sz="4" w:space="0" w:color="auto"/>
              <w:bottom w:val="single" w:sz="4" w:space="0" w:color="auto"/>
            </w:tcBorders>
            <w:textDirection w:val="btLr"/>
            <w:vAlign w:val="bottom"/>
            <w:hideMark/>
          </w:tcPr>
          <w:p w14:paraId="089024B4" w14:textId="69D7CDD7" w:rsidR="000604B2" w:rsidRPr="005233EE" w:rsidRDefault="000604B2">
            <w:pPr>
              <w:pStyle w:val="ExhibitText"/>
              <w:ind w:left="113" w:right="113"/>
              <w:jc w:val="left"/>
              <w:rPr>
                <w:b/>
                <w:sz w:val="18"/>
                <w:szCs w:val="18"/>
              </w:rPr>
            </w:pPr>
            <w:r w:rsidRPr="005233EE">
              <w:rPr>
                <w:b/>
                <w:sz w:val="18"/>
                <w:szCs w:val="18"/>
              </w:rPr>
              <w:t xml:space="preserve">EDH Fuel in </w:t>
            </w:r>
            <w:r>
              <w:rPr>
                <w:b/>
                <w:sz w:val="18"/>
                <w:szCs w:val="18"/>
              </w:rPr>
              <w:t>S</w:t>
            </w:r>
            <w:r w:rsidRPr="005233EE">
              <w:rPr>
                <w:b/>
                <w:sz w:val="18"/>
                <w:szCs w:val="18"/>
              </w:rPr>
              <w:t>tock (</w:t>
            </w:r>
            <w:proofErr w:type="gramStart"/>
            <w:r w:rsidRPr="005233EE">
              <w:rPr>
                <w:b/>
                <w:sz w:val="18"/>
                <w:szCs w:val="18"/>
              </w:rPr>
              <w:t>gal</w:t>
            </w:r>
            <w:proofErr w:type="gramEnd"/>
            <w:r>
              <w:rPr>
                <w:b/>
                <w:sz w:val="18"/>
                <w:szCs w:val="18"/>
              </w:rPr>
              <w:t>.</w:t>
            </w:r>
            <w:r w:rsidRPr="005233EE">
              <w:rPr>
                <w:b/>
                <w:sz w:val="18"/>
                <w:szCs w:val="18"/>
              </w:rPr>
              <w:t>)</w:t>
            </w:r>
          </w:p>
        </w:tc>
        <w:tc>
          <w:tcPr>
            <w:tcW w:w="929" w:type="dxa"/>
            <w:tcBorders>
              <w:top w:val="single" w:sz="4" w:space="0" w:color="auto"/>
              <w:bottom w:val="single" w:sz="4" w:space="0" w:color="auto"/>
            </w:tcBorders>
            <w:textDirection w:val="btLr"/>
            <w:vAlign w:val="bottom"/>
            <w:hideMark/>
          </w:tcPr>
          <w:p w14:paraId="1CDCB3FB" w14:textId="1700AB8B" w:rsidR="000604B2" w:rsidRPr="005233EE" w:rsidRDefault="000604B2" w:rsidP="003E7C35">
            <w:pPr>
              <w:pStyle w:val="ExhibitText"/>
              <w:ind w:left="113" w:right="113"/>
              <w:jc w:val="left"/>
              <w:rPr>
                <w:b/>
                <w:sz w:val="18"/>
                <w:szCs w:val="18"/>
              </w:rPr>
            </w:pPr>
            <w:r w:rsidRPr="005233EE">
              <w:rPr>
                <w:b/>
                <w:sz w:val="18"/>
                <w:szCs w:val="18"/>
              </w:rPr>
              <w:t>Client</w:t>
            </w:r>
            <w:r>
              <w:rPr>
                <w:b/>
                <w:sz w:val="18"/>
                <w:szCs w:val="18"/>
              </w:rPr>
              <w:t xml:space="preserve"> </w:t>
            </w:r>
            <w:r w:rsidRPr="005233EE">
              <w:rPr>
                <w:b/>
                <w:sz w:val="18"/>
                <w:szCs w:val="18"/>
              </w:rPr>
              <w:t>Base</w:t>
            </w:r>
          </w:p>
        </w:tc>
      </w:tr>
      <w:tr w:rsidR="000604B2" w:rsidRPr="009E116E" w14:paraId="26189C78"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1DDEBBFD" w14:textId="77777777" w:rsidR="000604B2" w:rsidRPr="009E116E" w:rsidRDefault="000604B2" w:rsidP="003E7C35">
            <w:pPr>
              <w:pStyle w:val="ExhibitText"/>
              <w:jc w:val="left"/>
              <w:rPr>
                <w:sz w:val="18"/>
                <w:szCs w:val="18"/>
              </w:rPr>
            </w:pPr>
            <w:r w:rsidRPr="009E116E">
              <w:rPr>
                <w:sz w:val="18"/>
                <w:szCs w:val="18"/>
              </w:rPr>
              <w:t>All Areas</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4DE8D10" w14:textId="120A3D53" w:rsidR="000604B2" w:rsidRPr="00683E55" w:rsidRDefault="000604B2" w:rsidP="000604B2">
            <w:pPr>
              <w:pStyle w:val="ExhibitText"/>
              <w:jc w:val="right"/>
              <w:rPr>
                <w:sz w:val="18"/>
                <w:szCs w:val="18"/>
              </w:rPr>
            </w:pPr>
            <w:r w:rsidRPr="005630DE">
              <w:rPr>
                <w:sz w:val="18"/>
                <w:szCs w:val="18"/>
              </w:rPr>
              <w:t>1</w:t>
            </w:r>
            <w:r w:rsidR="00BE645A">
              <w:rPr>
                <w:sz w:val="18"/>
                <w:szCs w:val="18"/>
              </w:rPr>
              <w:t>,</w:t>
            </w:r>
            <w:r w:rsidRPr="005630DE">
              <w:rPr>
                <w:sz w:val="18"/>
                <w:szCs w:val="18"/>
              </w:rPr>
              <w:t>442</w:t>
            </w:r>
            <w:r w:rsidR="00BE645A">
              <w:rPr>
                <w:sz w:val="18"/>
                <w:szCs w:val="18"/>
              </w:rPr>
              <w:t>,</w:t>
            </w:r>
            <w:r w:rsidRPr="005630DE">
              <w:rPr>
                <w:sz w:val="18"/>
                <w:szCs w:val="18"/>
              </w:rPr>
              <w:t>135</w:t>
            </w:r>
          </w:p>
        </w:tc>
        <w:tc>
          <w:tcPr>
            <w:tcW w:w="1080" w:type="dxa"/>
            <w:tcBorders>
              <w:top w:val="single" w:sz="4" w:space="0" w:color="auto"/>
              <w:left w:val="single" w:sz="4" w:space="0" w:color="auto"/>
              <w:bottom w:val="single" w:sz="4" w:space="0" w:color="auto"/>
              <w:right w:val="single" w:sz="4" w:space="0" w:color="auto"/>
            </w:tcBorders>
            <w:vAlign w:val="center"/>
            <w:hideMark/>
          </w:tcPr>
          <w:p w14:paraId="68D66278" w14:textId="2DDF4A88" w:rsidR="000604B2" w:rsidRPr="00683E55" w:rsidRDefault="000604B2" w:rsidP="000604B2">
            <w:pPr>
              <w:pStyle w:val="ExhibitText"/>
              <w:jc w:val="right"/>
              <w:rPr>
                <w:sz w:val="18"/>
                <w:szCs w:val="18"/>
              </w:rPr>
            </w:pPr>
            <w:r w:rsidRPr="005630DE">
              <w:rPr>
                <w:sz w:val="18"/>
                <w:szCs w:val="18"/>
              </w:rPr>
              <w:t>640</w:t>
            </w:r>
            <w:r w:rsidR="00BE645A">
              <w:rPr>
                <w:sz w:val="18"/>
                <w:szCs w:val="18"/>
              </w:rPr>
              <w:t>,</w:t>
            </w:r>
            <w:r w:rsidRPr="005630DE">
              <w:rPr>
                <w:sz w:val="18"/>
                <w:szCs w:val="18"/>
              </w:rPr>
              <w:t>065</w:t>
            </w:r>
          </w:p>
        </w:tc>
        <w:tc>
          <w:tcPr>
            <w:tcW w:w="900" w:type="dxa"/>
            <w:tcBorders>
              <w:top w:val="single" w:sz="4" w:space="0" w:color="auto"/>
              <w:left w:val="single" w:sz="4" w:space="0" w:color="auto"/>
              <w:bottom w:val="single" w:sz="4" w:space="0" w:color="auto"/>
              <w:right w:val="single" w:sz="4" w:space="0" w:color="auto"/>
            </w:tcBorders>
            <w:vAlign w:val="center"/>
            <w:hideMark/>
          </w:tcPr>
          <w:p w14:paraId="038C96A0" w14:textId="6A3B11C7" w:rsidR="000604B2" w:rsidRPr="00683E55" w:rsidRDefault="000604B2" w:rsidP="000604B2">
            <w:pPr>
              <w:pStyle w:val="ExhibitText"/>
              <w:jc w:val="right"/>
              <w:rPr>
                <w:sz w:val="18"/>
                <w:szCs w:val="18"/>
              </w:rPr>
            </w:pPr>
            <w:r w:rsidRPr="005630DE">
              <w:rPr>
                <w:sz w:val="18"/>
                <w:szCs w:val="18"/>
              </w:rPr>
              <w:t>309</w:t>
            </w:r>
            <w:r w:rsidR="00BE645A">
              <w:rPr>
                <w:sz w:val="18"/>
                <w:szCs w:val="18"/>
              </w:rPr>
              <w:t>,</w:t>
            </w:r>
            <w:r w:rsidRPr="005630DE">
              <w:rPr>
                <w:sz w:val="18"/>
                <w:szCs w:val="18"/>
              </w:rPr>
              <w:t>188</w:t>
            </w:r>
          </w:p>
        </w:tc>
        <w:tc>
          <w:tcPr>
            <w:tcW w:w="990" w:type="dxa"/>
            <w:tcBorders>
              <w:top w:val="single" w:sz="4" w:space="0" w:color="auto"/>
              <w:left w:val="single" w:sz="4" w:space="0" w:color="auto"/>
              <w:bottom w:val="single" w:sz="4" w:space="0" w:color="auto"/>
              <w:right w:val="single" w:sz="4" w:space="0" w:color="auto"/>
            </w:tcBorders>
            <w:vAlign w:val="center"/>
            <w:hideMark/>
          </w:tcPr>
          <w:p w14:paraId="437B235C" w14:textId="07C1BD12" w:rsidR="000604B2" w:rsidRPr="00683E55" w:rsidRDefault="000604B2" w:rsidP="000604B2">
            <w:pPr>
              <w:pStyle w:val="ExhibitText"/>
              <w:jc w:val="right"/>
              <w:rPr>
                <w:sz w:val="18"/>
                <w:szCs w:val="18"/>
              </w:rPr>
            </w:pPr>
            <w:r w:rsidRPr="005630DE">
              <w:rPr>
                <w:sz w:val="18"/>
                <w:szCs w:val="18"/>
              </w:rPr>
              <w:t>5</w:t>
            </w:r>
            <w:r w:rsidR="00BE645A">
              <w:rPr>
                <w:sz w:val="18"/>
                <w:szCs w:val="18"/>
              </w:rPr>
              <w:t>,</w:t>
            </w:r>
            <w:r w:rsidRPr="005630DE">
              <w:rPr>
                <w:sz w:val="18"/>
                <w:szCs w:val="18"/>
              </w:rPr>
              <w:t>83</w:t>
            </w:r>
            <w:r w:rsidR="00DF0D07">
              <w:rPr>
                <w:sz w:val="18"/>
                <w:szCs w:val="18"/>
              </w:rPr>
              <w:t>4</w:t>
            </w:r>
          </w:p>
        </w:tc>
        <w:tc>
          <w:tcPr>
            <w:tcW w:w="900" w:type="dxa"/>
            <w:tcBorders>
              <w:top w:val="single" w:sz="4" w:space="0" w:color="auto"/>
              <w:left w:val="single" w:sz="4" w:space="0" w:color="auto"/>
              <w:bottom w:val="single" w:sz="4" w:space="0" w:color="auto"/>
              <w:right w:val="single" w:sz="4" w:space="0" w:color="auto"/>
            </w:tcBorders>
            <w:vAlign w:val="center"/>
            <w:hideMark/>
          </w:tcPr>
          <w:p w14:paraId="660852D7" w14:textId="2E7F16CF" w:rsidR="000604B2" w:rsidRPr="00683E55" w:rsidRDefault="000604B2" w:rsidP="000604B2">
            <w:pPr>
              <w:pStyle w:val="ExhibitText"/>
              <w:jc w:val="right"/>
              <w:rPr>
                <w:sz w:val="18"/>
                <w:szCs w:val="18"/>
              </w:rPr>
            </w:pPr>
            <w:r w:rsidRPr="005630DE">
              <w:rPr>
                <w:sz w:val="18"/>
                <w:szCs w:val="18"/>
              </w:rPr>
              <w:t>247</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5EFAD0" w14:textId="1BA886BC" w:rsidR="000604B2" w:rsidRPr="00683E55" w:rsidRDefault="000604B2" w:rsidP="00542316">
            <w:pPr>
              <w:pStyle w:val="ExhibitText"/>
              <w:jc w:val="right"/>
              <w:rPr>
                <w:sz w:val="18"/>
                <w:szCs w:val="18"/>
              </w:rPr>
            </w:pPr>
            <w:r w:rsidRPr="005630DE">
              <w:rPr>
                <w:sz w:val="18"/>
                <w:szCs w:val="18"/>
              </w:rPr>
              <w:t>Mixed</w:t>
            </w:r>
          </w:p>
        </w:tc>
        <w:tc>
          <w:tcPr>
            <w:tcW w:w="720" w:type="dxa"/>
            <w:tcBorders>
              <w:top w:val="single" w:sz="4" w:space="0" w:color="auto"/>
              <w:left w:val="single" w:sz="4" w:space="0" w:color="auto"/>
              <w:bottom w:val="single" w:sz="4" w:space="0" w:color="auto"/>
              <w:right w:val="single" w:sz="4" w:space="0" w:color="auto"/>
            </w:tcBorders>
            <w:vAlign w:val="center"/>
            <w:hideMark/>
          </w:tcPr>
          <w:p w14:paraId="1EC8EF4E" w14:textId="2A0B8C2F" w:rsidR="000604B2" w:rsidRPr="00683E55" w:rsidRDefault="000604B2" w:rsidP="000604B2">
            <w:pPr>
              <w:pStyle w:val="ExhibitText"/>
              <w:jc w:val="right"/>
              <w:rPr>
                <w:sz w:val="18"/>
                <w:szCs w:val="18"/>
              </w:rPr>
            </w:pPr>
            <w:r w:rsidRPr="005630DE">
              <w:rPr>
                <w:sz w:val="18"/>
                <w:szCs w:val="18"/>
              </w:rPr>
              <w:t>13.7</w:t>
            </w:r>
          </w:p>
        </w:tc>
        <w:tc>
          <w:tcPr>
            <w:tcW w:w="777" w:type="dxa"/>
            <w:tcBorders>
              <w:top w:val="single" w:sz="4" w:space="0" w:color="auto"/>
              <w:left w:val="single" w:sz="4" w:space="0" w:color="auto"/>
              <w:bottom w:val="single" w:sz="4" w:space="0" w:color="auto"/>
              <w:right w:val="single" w:sz="4" w:space="0" w:color="auto"/>
            </w:tcBorders>
            <w:vAlign w:val="center"/>
            <w:hideMark/>
          </w:tcPr>
          <w:p w14:paraId="1D9152D6" w14:textId="614472F9" w:rsidR="000604B2" w:rsidRPr="00683E55" w:rsidRDefault="000604B2" w:rsidP="000604B2">
            <w:pPr>
              <w:pStyle w:val="ExhibitText"/>
              <w:jc w:val="right"/>
              <w:rPr>
                <w:sz w:val="18"/>
                <w:szCs w:val="18"/>
              </w:rPr>
            </w:pPr>
            <w:r w:rsidRPr="005630DE">
              <w:rPr>
                <w:sz w:val="18"/>
                <w:szCs w:val="18"/>
              </w:rPr>
              <w:t>9.1</w:t>
            </w:r>
          </w:p>
        </w:tc>
        <w:tc>
          <w:tcPr>
            <w:tcW w:w="929" w:type="dxa"/>
            <w:tcBorders>
              <w:top w:val="single" w:sz="4" w:space="0" w:color="auto"/>
              <w:left w:val="single" w:sz="4" w:space="0" w:color="auto"/>
              <w:bottom w:val="single" w:sz="4" w:space="0" w:color="auto"/>
              <w:right w:val="single" w:sz="4" w:space="0" w:color="auto"/>
            </w:tcBorders>
            <w:vAlign w:val="center"/>
            <w:hideMark/>
          </w:tcPr>
          <w:p w14:paraId="6B23AADD" w14:textId="6677569F" w:rsidR="000604B2" w:rsidRPr="00683E55" w:rsidRDefault="000604B2" w:rsidP="000604B2">
            <w:pPr>
              <w:pStyle w:val="ExhibitText"/>
              <w:jc w:val="right"/>
              <w:rPr>
                <w:sz w:val="18"/>
                <w:szCs w:val="18"/>
              </w:rPr>
            </w:pPr>
            <w:r w:rsidRPr="005630DE">
              <w:rPr>
                <w:sz w:val="18"/>
                <w:szCs w:val="18"/>
              </w:rPr>
              <w:t>60.2</w:t>
            </w:r>
          </w:p>
        </w:tc>
        <w:tc>
          <w:tcPr>
            <w:tcW w:w="928" w:type="dxa"/>
            <w:tcBorders>
              <w:top w:val="single" w:sz="4" w:space="0" w:color="auto"/>
              <w:left w:val="single" w:sz="4" w:space="0" w:color="auto"/>
              <w:bottom w:val="single" w:sz="4" w:space="0" w:color="auto"/>
              <w:right w:val="single" w:sz="4" w:space="0" w:color="auto"/>
            </w:tcBorders>
            <w:vAlign w:val="center"/>
            <w:hideMark/>
          </w:tcPr>
          <w:p w14:paraId="525ED94B" w14:textId="5C9AD0AC" w:rsidR="000604B2" w:rsidRPr="00D23C7B" w:rsidRDefault="000604B2" w:rsidP="000604B2">
            <w:pPr>
              <w:pStyle w:val="ExhibitText"/>
              <w:jc w:val="right"/>
              <w:rPr>
                <w:sz w:val="18"/>
                <w:szCs w:val="18"/>
              </w:rPr>
            </w:pPr>
            <w:r w:rsidRPr="00D23C7B">
              <w:rPr>
                <w:sz w:val="18"/>
                <w:szCs w:val="18"/>
              </w:rPr>
              <w:t>1</w:t>
            </w:r>
            <w:r w:rsidR="00DF0D07" w:rsidRPr="00D23C7B">
              <w:rPr>
                <w:sz w:val="18"/>
                <w:szCs w:val="18"/>
              </w:rPr>
              <w:t>,</w:t>
            </w:r>
            <w:r w:rsidRPr="00D23C7B">
              <w:rPr>
                <w:sz w:val="18"/>
                <w:szCs w:val="18"/>
              </w:rPr>
              <w:t>384.6</w:t>
            </w:r>
          </w:p>
        </w:tc>
        <w:tc>
          <w:tcPr>
            <w:tcW w:w="929" w:type="dxa"/>
            <w:tcBorders>
              <w:top w:val="single" w:sz="4" w:space="0" w:color="auto"/>
              <w:left w:val="single" w:sz="4" w:space="0" w:color="auto"/>
              <w:bottom w:val="single" w:sz="4" w:space="0" w:color="auto"/>
              <w:right w:val="single" w:sz="4" w:space="0" w:color="auto"/>
            </w:tcBorders>
            <w:vAlign w:val="center"/>
            <w:hideMark/>
          </w:tcPr>
          <w:p w14:paraId="1BC2F993" w14:textId="0EE21A4B" w:rsidR="000604B2" w:rsidRPr="00D23C7B" w:rsidRDefault="000604B2" w:rsidP="000604B2">
            <w:pPr>
              <w:pStyle w:val="ExhibitText"/>
              <w:jc w:val="right"/>
              <w:rPr>
                <w:sz w:val="18"/>
                <w:szCs w:val="18"/>
              </w:rPr>
            </w:pPr>
            <w:r w:rsidRPr="00D23C7B">
              <w:rPr>
                <w:sz w:val="18"/>
                <w:szCs w:val="18"/>
              </w:rPr>
              <w:t>225.0</w:t>
            </w:r>
          </w:p>
        </w:tc>
        <w:tc>
          <w:tcPr>
            <w:tcW w:w="929" w:type="dxa"/>
            <w:tcBorders>
              <w:top w:val="single" w:sz="4" w:space="0" w:color="auto"/>
              <w:left w:val="single" w:sz="4" w:space="0" w:color="auto"/>
              <w:bottom w:val="single" w:sz="4" w:space="0" w:color="auto"/>
              <w:right w:val="single" w:sz="4" w:space="0" w:color="auto"/>
            </w:tcBorders>
            <w:vAlign w:val="center"/>
            <w:hideMark/>
          </w:tcPr>
          <w:p w14:paraId="21ED4263" w14:textId="3A444FA5" w:rsidR="000604B2" w:rsidRPr="00D23C7B" w:rsidRDefault="000604B2" w:rsidP="000604B2">
            <w:pPr>
              <w:pStyle w:val="ExhibitText"/>
              <w:jc w:val="right"/>
              <w:rPr>
                <w:sz w:val="18"/>
                <w:szCs w:val="18"/>
              </w:rPr>
            </w:pPr>
            <w:r w:rsidRPr="00D23C7B">
              <w:rPr>
                <w:sz w:val="18"/>
                <w:szCs w:val="18"/>
              </w:rPr>
              <w:t>15</w:t>
            </w:r>
            <w:r w:rsidR="00DF0D07" w:rsidRPr="00D23C7B">
              <w:rPr>
                <w:sz w:val="18"/>
                <w:szCs w:val="18"/>
              </w:rPr>
              <w:t>,</w:t>
            </w:r>
            <w:r w:rsidRPr="00D23C7B">
              <w:rPr>
                <w:sz w:val="18"/>
                <w:szCs w:val="18"/>
              </w:rPr>
              <w:t>850</w:t>
            </w:r>
          </w:p>
        </w:tc>
      </w:tr>
      <w:tr w:rsidR="000604B2" w:rsidRPr="009E116E" w14:paraId="65149C32"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19376C88" w14:textId="77777777" w:rsidR="000604B2" w:rsidRPr="009E116E" w:rsidRDefault="000604B2" w:rsidP="003E7C35">
            <w:pPr>
              <w:pStyle w:val="ExhibitText"/>
              <w:jc w:val="left"/>
              <w:rPr>
                <w:sz w:val="18"/>
                <w:szCs w:val="18"/>
              </w:rPr>
            </w:pPr>
            <w:r w:rsidRPr="009E116E">
              <w:rPr>
                <w:sz w:val="18"/>
                <w:szCs w:val="18"/>
              </w:rPr>
              <w:t>Rural</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E4B5513" w14:textId="28F1AB57" w:rsidR="000604B2" w:rsidRPr="00683E55" w:rsidRDefault="000604B2" w:rsidP="000604B2">
            <w:pPr>
              <w:pStyle w:val="ExhibitText"/>
              <w:jc w:val="right"/>
              <w:rPr>
                <w:sz w:val="18"/>
                <w:szCs w:val="18"/>
              </w:rPr>
            </w:pPr>
            <w:r w:rsidRPr="005630DE">
              <w:rPr>
                <w:sz w:val="18"/>
                <w:szCs w:val="18"/>
              </w:rPr>
              <w:t>1</w:t>
            </w:r>
            <w:r w:rsidR="00BE645A">
              <w:rPr>
                <w:sz w:val="18"/>
                <w:szCs w:val="18"/>
              </w:rPr>
              <w:t>,</w:t>
            </w:r>
            <w:r w:rsidRPr="005630DE">
              <w:rPr>
                <w:sz w:val="18"/>
                <w:szCs w:val="18"/>
              </w:rPr>
              <w:t>155</w:t>
            </w:r>
            <w:r w:rsidR="00BE645A">
              <w:rPr>
                <w:sz w:val="18"/>
                <w:szCs w:val="18"/>
              </w:rPr>
              <w:t>,</w:t>
            </w:r>
            <w:r w:rsidRPr="005630DE">
              <w:rPr>
                <w:sz w:val="18"/>
                <w:szCs w:val="18"/>
              </w:rPr>
              <w:t>259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2B0BB888" w14:textId="5A46F9FA" w:rsidR="000604B2" w:rsidRPr="00683E55" w:rsidRDefault="000604B2" w:rsidP="000604B2">
            <w:pPr>
              <w:pStyle w:val="ExhibitText"/>
              <w:jc w:val="right"/>
              <w:rPr>
                <w:sz w:val="18"/>
                <w:szCs w:val="18"/>
              </w:rPr>
            </w:pPr>
            <w:r w:rsidRPr="005630DE">
              <w:rPr>
                <w:sz w:val="18"/>
                <w:szCs w:val="18"/>
              </w:rPr>
              <w:t>516</w:t>
            </w:r>
            <w:r w:rsidR="00BE645A">
              <w:rPr>
                <w:sz w:val="18"/>
                <w:szCs w:val="18"/>
              </w:rPr>
              <w:t>,</w:t>
            </w:r>
            <w:r w:rsidRPr="005630DE">
              <w:rPr>
                <w:sz w:val="18"/>
                <w:szCs w:val="18"/>
              </w:rPr>
              <w:t>860</w:t>
            </w:r>
          </w:p>
        </w:tc>
        <w:tc>
          <w:tcPr>
            <w:tcW w:w="900" w:type="dxa"/>
            <w:tcBorders>
              <w:top w:val="single" w:sz="4" w:space="0" w:color="auto"/>
              <w:left w:val="single" w:sz="4" w:space="0" w:color="auto"/>
              <w:bottom w:val="single" w:sz="4" w:space="0" w:color="auto"/>
              <w:right w:val="single" w:sz="4" w:space="0" w:color="auto"/>
            </w:tcBorders>
            <w:vAlign w:val="center"/>
            <w:hideMark/>
          </w:tcPr>
          <w:p w14:paraId="7BB31258" w14:textId="6FF0CFB2" w:rsidR="000604B2" w:rsidRPr="00683E55" w:rsidRDefault="000604B2" w:rsidP="000604B2">
            <w:pPr>
              <w:pStyle w:val="ExhibitText"/>
              <w:jc w:val="right"/>
              <w:rPr>
                <w:sz w:val="18"/>
                <w:szCs w:val="18"/>
              </w:rPr>
            </w:pPr>
            <w:r w:rsidRPr="005630DE">
              <w:rPr>
                <w:sz w:val="18"/>
                <w:szCs w:val="18"/>
              </w:rPr>
              <w:t>247</w:t>
            </w:r>
            <w:r w:rsidR="00BE645A">
              <w:rPr>
                <w:sz w:val="18"/>
                <w:szCs w:val="18"/>
              </w:rPr>
              <w:t>,</w:t>
            </w:r>
            <w:r w:rsidRPr="005630DE">
              <w:rPr>
                <w:sz w:val="18"/>
                <w:szCs w:val="18"/>
              </w:rPr>
              <w:t>662</w:t>
            </w:r>
          </w:p>
        </w:tc>
        <w:tc>
          <w:tcPr>
            <w:tcW w:w="990" w:type="dxa"/>
            <w:tcBorders>
              <w:top w:val="single" w:sz="4" w:space="0" w:color="auto"/>
              <w:left w:val="single" w:sz="4" w:space="0" w:color="auto"/>
              <w:bottom w:val="single" w:sz="4" w:space="0" w:color="auto"/>
              <w:right w:val="single" w:sz="4" w:space="0" w:color="auto"/>
            </w:tcBorders>
            <w:vAlign w:val="center"/>
            <w:hideMark/>
          </w:tcPr>
          <w:p w14:paraId="1FD3AB1D" w14:textId="308A1B13" w:rsidR="000604B2" w:rsidRPr="00683E55" w:rsidRDefault="000604B2">
            <w:pPr>
              <w:pStyle w:val="ExhibitText"/>
              <w:jc w:val="right"/>
              <w:rPr>
                <w:sz w:val="18"/>
                <w:szCs w:val="18"/>
              </w:rPr>
            </w:pPr>
            <w:r w:rsidRPr="005630DE">
              <w:rPr>
                <w:sz w:val="18"/>
                <w:szCs w:val="18"/>
              </w:rPr>
              <w:t>5</w:t>
            </w:r>
            <w:r w:rsidR="00BE645A">
              <w:rPr>
                <w:sz w:val="18"/>
                <w:szCs w:val="18"/>
              </w:rPr>
              <w:t>,</w:t>
            </w:r>
            <w:r w:rsidRPr="005630DE">
              <w:rPr>
                <w:sz w:val="18"/>
                <w:szCs w:val="18"/>
              </w:rPr>
              <w:t>70</w:t>
            </w:r>
            <w:r w:rsidR="00DF0D07">
              <w:rPr>
                <w:sz w:val="18"/>
                <w:szCs w:val="18"/>
              </w:rPr>
              <w:t>7</w:t>
            </w:r>
          </w:p>
        </w:tc>
        <w:tc>
          <w:tcPr>
            <w:tcW w:w="900" w:type="dxa"/>
            <w:tcBorders>
              <w:top w:val="single" w:sz="4" w:space="0" w:color="auto"/>
              <w:left w:val="single" w:sz="4" w:space="0" w:color="auto"/>
              <w:bottom w:val="single" w:sz="4" w:space="0" w:color="auto"/>
              <w:right w:val="single" w:sz="4" w:space="0" w:color="auto"/>
            </w:tcBorders>
            <w:vAlign w:val="center"/>
            <w:hideMark/>
          </w:tcPr>
          <w:p w14:paraId="165835CE" w14:textId="3D3D6844" w:rsidR="000604B2" w:rsidRPr="00683E55" w:rsidRDefault="000604B2" w:rsidP="000604B2">
            <w:pPr>
              <w:pStyle w:val="ExhibitText"/>
              <w:jc w:val="right"/>
              <w:rPr>
                <w:sz w:val="18"/>
                <w:szCs w:val="18"/>
              </w:rPr>
            </w:pPr>
            <w:r w:rsidRPr="005630DE">
              <w:rPr>
                <w:sz w:val="18"/>
                <w:szCs w:val="18"/>
              </w:rPr>
              <w:t>202</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114D123" w14:textId="045CB9B0" w:rsidR="000604B2" w:rsidRPr="00683E55" w:rsidRDefault="000604B2"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26A8197D" w14:textId="2A9A5DAD" w:rsidR="000604B2" w:rsidRPr="00683E55" w:rsidRDefault="000604B2" w:rsidP="000604B2">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19E687DC" w14:textId="05693107"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3BF6C648" w14:textId="73113650" w:rsidR="000604B2" w:rsidRPr="00683E55" w:rsidRDefault="000604B2" w:rsidP="000604B2">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05219D50" w14:textId="7BADC467"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759CC1C7" w14:textId="4B303DE0"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19C2E695" w14:textId="07133B49" w:rsidR="000604B2" w:rsidRPr="00683E55" w:rsidRDefault="000604B2" w:rsidP="000604B2">
            <w:pPr>
              <w:pStyle w:val="ExhibitText"/>
              <w:jc w:val="right"/>
              <w:rPr>
                <w:sz w:val="18"/>
                <w:szCs w:val="18"/>
              </w:rPr>
            </w:pPr>
            <w:r w:rsidRPr="005630DE">
              <w:rPr>
                <w:sz w:val="18"/>
                <w:szCs w:val="18"/>
              </w:rPr>
              <w:t>-</w:t>
            </w:r>
          </w:p>
        </w:tc>
      </w:tr>
      <w:tr w:rsidR="000604B2" w:rsidRPr="009E116E" w14:paraId="5EFC3BEC"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62B92199" w14:textId="77777777" w:rsidR="000604B2" w:rsidRPr="009E116E" w:rsidRDefault="000604B2" w:rsidP="003E7C35">
            <w:pPr>
              <w:pStyle w:val="ExhibitText"/>
              <w:jc w:val="left"/>
              <w:rPr>
                <w:sz w:val="18"/>
                <w:szCs w:val="18"/>
              </w:rPr>
            </w:pPr>
            <w:r w:rsidRPr="009E116E">
              <w:rPr>
                <w:sz w:val="18"/>
                <w:szCs w:val="18"/>
              </w:rPr>
              <w:t>Suburban</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34AD8F3" w14:textId="77D5D3AA" w:rsidR="000604B2" w:rsidRPr="00683E55" w:rsidRDefault="000604B2" w:rsidP="000604B2">
            <w:pPr>
              <w:pStyle w:val="ExhibitText"/>
              <w:jc w:val="right"/>
              <w:rPr>
                <w:sz w:val="18"/>
                <w:szCs w:val="18"/>
              </w:rPr>
            </w:pPr>
            <w:r w:rsidRPr="005630DE">
              <w:rPr>
                <w:sz w:val="18"/>
                <w:szCs w:val="18"/>
              </w:rPr>
              <w:t>36</w:t>
            </w:r>
            <w:r w:rsidR="00BE645A">
              <w:rPr>
                <w:sz w:val="18"/>
                <w:szCs w:val="18"/>
              </w:rPr>
              <w:t>,</w:t>
            </w:r>
            <w:r w:rsidRPr="005630DE">
              <w:rPr>
                <w:sz w:val="18"/>
                <w:szCs w:val="18"/>
              </w:rPr>
              <w:t>027</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971D179" w14:textId="61260E3A" w:rsidR="000604B2" w:rsidRPr="00683E55" w:rsidRDefault="000604B2" w:rsidP="000604B2">
            <w:pPr>
              <w:pStyle w:val="ExhibitText"/>
              <w:jc w:val="right"/>
              <w:rPr>
                <w:sz w:val="18"/>
                <w:szCs w:val="18"/>
              </w:rPr>
            </w:pPr>
            <w:r w:rsidRPr="005630DE">
              <w:rPr>
                <w:sz w:val="18"/>
                <w:szCs w:val="18"/>
              </w:rPr>
              <w:t>15</w:t>
            </w:r>
            <w:r w:rsidR="00BE645A">
              <w:rPr>
                <w:sz w:val="18"/>
                <w:szCs w:val="18"/>
              </w:rPr>
              <w:t>,</w:t>
            </w:r>
            <w:r w:rsidRPr="005630DE">
              <w:rPr>
                <w:sz w:val="18"/>
                <w:szCs w:val="18"/>
              </w:rPr>
              <w:t>493</w:t>
            </w:r>
          </w:p>
        </w:tc>
        <w:tc>
          <w:tcPr>
            <w:tcW w:w="900" w:type="dxa"/>
            <w:tcBorders>
              <w:top w:val="single" w:sz="4" w:space="0" w:color="auto"/>
              <w:left w:val="single" w:sz="4" w:space="0" w:color="auto"/>
              <w:bottom w:val="single" w:sz="4" w:space="0" w:color="auto"/>
              <w:right w:val="single" w:sz="4" w:space="0" w:color="auto"/>
            </w:tcBorders>
            <w:vAlign w:val="center"/>
            <w:hideMark/>
          </w:tcPr>
          <w:p w14:paraId="3E7DD7B6" w14:textId="0BFCAF73" w:rsidR="000604B2" w:rsidRPr="00683E55" w:rsidRDefault="000604B2" w:rsidP="000604B2">
            <w:pPr>
              <w:pStyle w:val="ExhibitText"/>
              <w:jc w:val="right"/>
              <w:rPr>
                <w:sz w:val="18"/>
                <w:szCs w:val="18"/>
              </w:rPr>
            </w:pPr>
            <w:r w:rsidRPr="005630DE">
              <w:rPr>
                <w:sz w:val="18"/>
                <w:szCs w:val="18"/>
              </w:rPr>
              <w:t>8</w:t>
            </w:r>
            <w:r w:rsidR="00BE645A">
              <w:rPr>
                <w:sz w:val="18"/>
                <w:szCs w:val="18"/>
              </w:rPr>
              <w:t>,</w:t>
            </w:r>
            <w:r w:rsidRPr="005630DE">
              <w:rPr>
                <w:sz w:val="18"/>
                <w:szCs w:val="18"/>
              </w:rPr>
              <w:t>067</w:t>
            </w:r>
          </w:p>
        </w:tc>
        <w:tc>
          <w:tcPr>
            <w:tcW w:w="990" w:type="dxa"/>
            <w:tcBorders>
              <w:top w:val="single" w:sz="4" w:space="0" w:color="auto"/>
              <w:left w:val="single" w:sz="4" w:space="0" w:color="auto"/>
              <w:bottom w:val="single" w:sz="4" w:space="0" w:color="auto"/>
              <w:right w:val="single" w:sz="4" w:space="0" w:color="auto"/>
            </w:tcBorders>
            <w:vAlign w:val="center"/>
            <w:hideMark/>
          </w:tcPr>
          <w:p w14:paraId="7CC94944" w14:textId="77E38339" w:rsidR="000604B2" w:rsidRPr="00683E55" w:rsidRDefault="000604B2">
            <w:pPr>
              <w:pStyle w:val="ExhibitText"/>
              <w:jc w:val="right"/>
              <w:rPr>
                <w:sz w:val="18"/>
                <w:szCs w:val="18"/>
              </w:rPr>
            </w:pPr>
            <w:r w:rsidRPr="005630DE">
              <w:rPr>
                <w:sz w:val="18"/>
                <w:szCs w:val="18"/>
              </w:rPr>
              <w:t>6</w:t>
            </w:r>
            <w:r w:rsidR="00DF0D07">
              <w:rPr>
                <w:sz w:val="18"/>
                <w:szCs w:val="18"/>
              </w:rPr>
              <w:t>2</w:t>
            </w:r>
          </w:p>
        </w:tc>
        <w:tc>
          <w:tcPr>
            <w:tcW w:w="900" w:type="dxa"/>
            <w:tcBorders>
              <w:top w:val="single" w:sz="4" w:space="0" w:color="auto"/>
              <w:left w:val="single" w:sz="4" w:space="0" w:color="auto"/>
              <w:bottom w:val="single" w:sz="4" w:space="0" w:color="auto"/>
              <w:right w:val="single" w:sz="4" w:space="0" w:color="auto"/>
            </w:tcBorders>
            <w:vAlign w:val="center"/>
            <w:hideMark/>
          </w:tcPr>
          <w:p w14:paraId="510CA1F9" w14:textId="6E2E279A" w:rsidR="000604B2" w:rsidRPr="00683E55" w:rsidRDefault="000604B2" w:rsidP="000604B2">
            <w:pPr>
              <w:pStyle w:val="ExhibitText"/>
              <w:jc w:val="right"/>
              <w:rPr>
                <w:sz w:val="18"/>
                <w:szCs w:val="18"/>
              </w:rPr>
            </w:pPr>
            <w:r w:rsidRPr="005630DE">
              <w:rPr>
                <w:sz w:val="18"/>
                <w:szCs w:val="18"/>
              </w:rPr>
              <w:t>581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CAEB96D" w14:textId="7DA5DB7F" w:rsidR="000604B2" w:rsidRPr="00683E55" w:rsidRDefault="000604B2"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060C80FD" w14:textId="3431093C" w:rsidR="000604B2" w:rsidRPr="00683E55" w:rsidRDefault="000604B2" w:rsidP="000604B2">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28BD1D17" w14:textId="144BD497"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7A11B127" w14:textId="4CB6A393" w:rsidR="000604B2" w:rsidRPr="00683E55" w:rsidRDefault="000604B2" w:rsidP="000604B2">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13C60F0B" w14:textId="55DE91EC"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303BE5CD" w14:textId="129D2A8C"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4EBA3EC" w14:textId="7355309B" w:rsidR="000604B2" w:rsidRPr="00683E55" w:rsidRDefault="000604B2" w:rsidP="000604B2">
            <w:pPr>
              <w:pStyle w:val="ExhibitText"/>
              <w:jc w:val="right"/>
              <w:rPr>
                <w:sz w:val="18"/>
                <w:szCs w:val="18"/>
              </w:rPr>
            </w:pPr>
            <w:r w:rsidRPr="005630DE">
              <w:rPr>
                <w:sz w:val="18"/>
                <w:szCs w:val="18"/>
              </w:rPr>
              <w:t>-</w:t>
            </w:r>
          </w:p>
        </w:tc>
      </w:tr>
      <w:tr w:rsidR="000604B2" w:rsidRPr="009E116E" w14:paraId="6F67A7D9"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0D93A680" w14:textId="77777777" w:rsidR="000604B2" w:rsidRPr="009E116E" w:rsidRDefault="000604B2" w:rsidP="003E7C35">
            <w:pPr>
              <w:pStyle w:val="ExhibitText"/>
              <w:jc w:val="left"/>
              <w:rPr>
                <w:sz w:val="18"/>
                <w:szCs w:val="18"/>
              </w:rPr>
            </w:pPr>
            <w:r w:rsidRPr="009E116E">
              <w:rPr>
                <w:sz w:val="18"/>
                <w:szCs w:val="18"/>
              </w:rPr>
              <w:t>Cities</w:t>
            </w:r>
          </w:p>
        </w:tc>
        <w:tc>
          <w:tcPr>
            <w:tcW w:w="1080" w:type="dxa"/>
            <w:tcBorders>
              <w:top w:val="single" w:sz="4" w:space="0" w:color="auto"/>
              <w:left w:val="single" w:sz="4" w:space="0" w:color="auto"/>
              <w:bottom w:val="single" w:sz="4" w:space="0" w:color="auto"/>
              <w:right w:val="single" w:sz="4" w:space="0" w:color="auto"/>
            </w:tcBorders>
            <w:vAlign w:val="center"/>
            <w:hideMark/>
          </w:tcPr>
          <w:p w14:paraId="74674733" w14:textId="7BB22F8F" w:rsidR="000604B2" w:rsidRPr="00683E55" w:rsidRDefault="000604B2" w:rsidP="000604B2">
            <w:pPr>
              <w:pStyle w:val="ExhibitText"/>
              <w:jc w:val="right"/>
              <w:rPr>
                <w:sz w:val="18"/>
                <w:szCs w:val="18"/>
              </w:rPr>
            </w:pPr>
            <w:r w:rsidRPr="005630DE">
              <w:rPr>
                <w:sz w:val="18"/>
                <w:szCs w:val="18"/>
              </w:rPr>
              <w:t>250</w:t>
            </w:r>
            <w:r w:rsidR="00BE645A">
              <w:rPr>
                <w:sz w:val="18"/>
                <w:szCs w:val="18"/>
              </w:rPr>
              <w:t>,</w:t>
            </w:r>
            <w:r w:rsidRPr="005630DE">
              <w:rPr>
                <w:sz w:val="18"/>
                <w:szCs w:val="18"/>
              </w:rPr>
              <w:t>849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39237367" w14:textId="7DD78173" w:rsidR="000604B2" w:rsidRPr="00683E55" w:rsidRDefault="000604B2" w:rsidP="000604B2">
            <w:pPr>
              <w:pStyle w:val="ExhibitText"/>
              <w:jc w:val="right"/>
              <w:rPr>
                <w:sz w:val="18"/>
                <w:szCs w:val="18"/>
              </w:rPr>
            </w:pPr>
            <w:r w:rsidRPr="005630DE">
              <w:rPr>
                <w:sz w:val="18"/>
                <w:szCs w:val="18"/>
              </w:rPr>
              <w:t>107</w:t>
            </w:r>
            <w:r w:rsidR="00BE645A">
              <w:rPr>
                <w:sz w:val="18"/>
                <w:szCs w:val="18"/>
              </w:rPr>
              <w:t>,</w:t>
            </w:r>
            <w:r w:rsidRPr="005630DE">
              <w:rPr>
                <w:sz w:val="18"/>
                <w:szCs w:val="18"/>
              </w:rPr>
              <w:t>285</w:t>
            </w:r>
          </w:p>
        </w:tc>
        <w:tc>
          <w:tcPr>
            <w:tcW w:w="900" w:type="dxa"/>
            <w:tcBorders>
              <w:top w:val="single" w:sz="4" w:space="0" w:color="auto"/>
              <w:left w:val="single" w:sz="4" w:space="0" w:color="auto"/>
              <w:bottom w:val="single" w:sz="4" w:space="0" w:color="auto"/>
              <w:right w:val="single" w:sz="4" w:space="0" w:color="auto"/>
            </w:tcBorders>
            <w:vAlign w:val="center"/>
            <w:hideMark/>
          </w:tcPr>
          <w:p w14:paraId="200F0445" w14:textId="4F8E0666" w:rsidR="000604B2" w:rsidRPr="00683E55" w:rsidRDefault="000604B2" w:rsidP="000604B2">
            <w:pPr>
              <w:pStyle w:val="ExhibitText"/>
              <w:jc w:val="right"/>
              <w:rPr>
                <w:sz w:val="18"/>
                <w:szCs w:val="18"/>
              </w:rPr>
            </w:pPr>
            <w:r w:rsidRPr="005630DE">
              <w:rPr>
                <w:sz w:val="18"/>
                <w:szCs w:val="18"/>
              </w:rPr>
              <w:t>53</w:t>
            </w:r>
            <w:r w:rsidR="00BE645A">
              <w:rPr>
                <w:sz w:val="18"/>
                <w:szCs w:val="18"/>
              </w:rPr>
              <w:t>,</w:t>
            </w:r>
            <w:r w:rsidRPr="005630DE">
              <w:rPr>
                <w:sz w:val="18"/>
                <w:szCs w:val="18"/>
              </w:rPr>
              <w:t>459</w:t>
            </w:r>
          </w:p>
        </w:tc>
        <w:tc>
          <w:tcPr>
            <w:tcW w:w="990" w:type="dxa"/>
            <w:tcBorders>
              <w:top w:val="single" w:sz="4" w:space="0" w:color="auto"/>
              <w:left w:val="single" w:sz="4" w:space="0" w:color="auto"/>
              <w:bottom w:val="single" w:sz="4" w:space="0" w:color="auto"/>
              <w:right w:val="single" w:sz="4" w:space="0" w:color="auto"/>
            </w:tcBorders>
            <w:vAlign w:val="center"/>
            <w:hideMark/>
          </w:tcPr>
          <w:p w14:paraId="7B239A56" w14:textId="16984702" w:rsidR="000604B2" w:rsidRPr="00683E55" w:rsidRDefault="000604B2" w:rsidP="000604B2">
            <w:pPr>
              <w:pStyle w:val="ExhibitText"/>
              <w:jc w:val="right"/>
              <w:rPr>
                <w:sz w:val="18"/>
                <w:szCs w:val="18"/>
              </w:rPr>
            </w:pPr>
            <w:r w:rsidRPr="005630DE">
              <w:rPr>
                <w:sz w:val="18"/>
                <w:szCs w:val="18"/>
              </w:rPr>
              <w:t>6</w:t>
            </w:r>
            <w:r w:rsidR="00DF0D07">
              <w:rPr>
                <w:sz w:val="18"/>
                <w:szCs w:val="18"/>
              </w:rPr>
              <w:t>5</w:t>
            </w:r>
          </w:p>
        </w:tc>
        <w:tc>
          <w:tcPr>
            <w:tcW w:w="900" w:type="dxa"/>
            <w:tcBorders>
              <w:top w:val="single" w:sz="4" w:space="0" w:color="auto"/>
              <w:left w:val="single" w:sz="4" w:space="0" w:color="auto"/>
              <w:bottom w:val="single" w:sz="4" w:space="0" w:color="auto"/>
              <w:right w:val="single" w:sz="4" w:space="0" w:color="auto"/>
            </w:tcBorders>
            <w:vAlign w:val="center"/>
            <w:hideMark/>
          </w:tcPr>
          <w:p w14:paraId="1FE4DC31" w14:textId="7EB1881B" w:rsidR="000604B2" w:rsidRPr="00683E55" w:rsidRDefault="000604B2" w:rsidP="000604B2">
            <w:pPr>
              <w:pStyle w:val="ExhibitText"/>
              <w:jc w:val="right"/>
              <w:rPr>
                <w:sz w:val="18"/>
                <w:szCs w:val="18"/>
              </w:rPr>
            </w:pPr>
            <w:r w:rsidRPr="005630DE">
              <w:rPr>
                <w:sz w:val="18"/>
                <w:szCs w:val="18"/>
              </w:rPr>
              <w:t>3</w:t>
            </w:r>
            <w:r w:rsidR="00BE645A">
              <w:rPr>
                <w:sz w:val="18"/>
                <w:szCs w:val="18"/>
              </w:rPr>
              <w:t>,</w:t>
            </w:r>
            <w:r w:rsidRPr="005630DE">
              <w:rPr>
                <w:sz w:val="18"/>
                <w:szCs w:val="18"/>
              </w:rPr>
              <w:t>87</w:t>
            </w:r>
            <w:r w:rsidR="00DF0D07">
              <w:rPr>
                <w:sz w:val="18"/>
                <w:szCs w:val="18"/>
              </w:rPr>
              <w:t>1</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9DFFC86" w14:textId="1364764A" w:rsidR="000604B2" w:rsidRPr="00683E55" w:rsidRDefault="000604B2"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10E7676A" w14:textId="68B40EDC" w:rsidR="000604B2" w:rsidRPr="00683E55" w:rsidRDefault="000604B2" w:rsidP="000604B2">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187712F8" w14:textId="61EDE2F2"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2B1F762F" w14:textId="67DB99B0" w:rsidR="000604B2" w:rsidRPr="00683E55" w:rsidRDefault="000604B2" w:rsidP="000604B2">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7105A47D" w14:textId="2184C8D3"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0845131" w14:textId="203D8A48" w:rsidR="000604B2" w:rsidRPr="00683E55"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6F2B68FD" w14:textId="278837D5" w:rsidR="000604B2" w:rsidRPr="00683E55" w:rsidRDefault="000604B2" w:rsidP="000604B2">
            <w:pPr>
              <w:pStyle w:val="ExhibitText"/>
              <w:jc w:val="right"/>
              <w:rPr>
                <w:sz w:val="18"/>
                <w:szCs w:val="18"/>
              </w:rPr>
            </w:pPr>
            <w:r w:rsidRPr="005630DE">
              <w:rPr>
                <w:sz w:val="18"/>
                <w:szCs w:val="18"/>
              </w:rPr>
              <w:t>-</w:t>
            </w:r>
          </w:p>
        </w:tc>
      </w:tr>
      <w:tr w:rsidR="000604B2" w:rsidRPr="009E116E" w14:paraId="5C2D8598"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769F1176" w14:textId="15E3A4EA" w:rsidR="000604B2" w:rsidRPr="001456A2" w:rsidRDefault="000604B2" w:rsidP="000604B2">
            <w:pPr>
              <w:pStyle w:val="ExhibitText"/>
              <w:jc w:val="left"/>
              <w:rPr>
                <w:sz w:val="18"/>
                <w:szCs w:val="18"/>
              </w:rPr>
            </w:pPr>
            <w:r w:rsidRPr="005630DE">
              <w:rPr>
                <w:sz w:val="18"/>
                <w:szCs w:val="18"/>
              </w:rPr>
              <w:t>Camp-Perrin</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F6DCFC8" w14:textId="7BBF5D61" w:rsidR="000604B2" w:rsidRPr="009E116E" w:rsidRDefault="000604B2" w:rsidP="000604B2">
            <w:pPr>
              <w:pStyle w:val="ExhibitText"/>
              <w:jc w:val="right"/>
              <w:rPr>
                <w:sz w:val="18"/>
                <w:szCs w:val="18"/>
              </w:rPr>
            </w:pPr>
            <w:r w:rsidRPr="005630DE">
              <w:rPr>
                <w:sz w:val="18"/>
                <w:szCs w:val="18"/>
              </w:rPr>
              <w:t>40</w:t>
            </w:r>
            <w:r w:rsidR="00BE645A">
              <w:rPr>
                <w:sz w:val="18"/>
                <w:szCs w:val="18"/>
              </w:rPr>
              <w:t>,</w:t>
            </w:r>
            <w:r w:rsidRPr="005630DE">
              <w:rPr>
                <w:sz w:val="18"/>
                <w:szCs w:val="18"/>
              </w:rPr>
              <w:t>962</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2C9057F" w14:textId="776E4FE4" w:rsidR="000604B2" w:rsidRPr="009E116E" w:rsidRDefault="000604B2" w:rsidP="000604B2">
            <w:pPr>
              <w:pStyle w:val="ExhibitText"/>
              <w:jc w:val="right"/>
              <w:rPr>
                <w:sz w:val="18"/>
                <w:szCs w:val="18"/>
              </w:rPr>
            </w:pPr>
            <w:r w:rsidRPr="005630DE">
              <w:rPr>
                <w:sz w:val="18"/>
                <w:szCs w:val="18"/>
              </w:rPr>
              <w:t>17</w:t>
            </w:r>
            <w:r w:rsidR="00BE645A">
              <w:rPr>
                <w:sz w:val="18"/>
                <w:szCs w:val="18"/>
              </w:rPr>
              <w:t>,</w:t>
            </w:r>
            <w:r w:rsidRPr="005630DE">
              <w:rPr>
                <w:sz w:val="18"/>
                <w:szCs w:val="18"/>
              </w:rPr>
              <w:t>592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4E4AACF" w14:textId="5DFBCF31" w:rsidR="000604B2" w:rsidRPr="009E116E" w:rsidRDefault="000604B2" w:rsidP="000604B2">
            <w:pPr>
              <w:pStyle w:val="ExhibitText"/>
              <w:jc w:val="right"/>
              <w:rPr>
                <w:sz w:val="18"/>
                <w:szCs w:val="18"/>
              </w:rPr>
            </w:pPr>
            <w:r w:rsidRPr="005630DE">
              <w:rPr>
                <w:sz w:val="18"/>
                <w:szCs w:val="18"/>
              </w:rPr>
              <w:t>8</w:t>
            </w:r>
            <w:r w:rsidR="00BE645A">
              <w:rPr>
                <w:sz w:val="18"/>
                <w:szCs w:val="18"/>
              </w:rPr>
              <w:t>,</w:t>
            </w:r>
            <w:r w:rsidRPr="005630DE">
              <w:rPr>
                <w:sz w:val="18"/>
                <w:szCs w:val="18"/>
              </w:rPr>
              <w:t>346</w:t>
            </w:r>
          </w:p>
        </w:tc>
        <w:tc>
          <w:tcPr>
            <w:tcW w:w="990" w:type="dxa"/>
            <w:tcBorders>
              <w:top w:val="single" w:sz="4" w:space="0" w:color="auto"/>
              <w:left w:val="single" w:sz="4" w:space="0" w:color="auto"/>
              <w:bottom w:val="single" w:sz="4" w:space="0" w:color="auto"/>
              <w:right w:val="single" w:sz="4" w:space="0" w:color="auto"/>
            </w:tcBorders>
            <w:vAlign w:val="center"/>
            <w:hideMark/>
          </w:tcPr>
          <w:p w14:paraId="4379A097" w14:textId="20488443" w:rsidR="000604B2" w:rsidRPr="009E116E" w:rsidRDefault="000604B2" w:rsidP="000604B2">
            <w:pPr>
              <w:pStyle w:val="ExhibitText"/>
              <w:jc w:val="right"/>
              <w:rPr>
                <w:sz w:val="18"/>
                <w:szCs w:val="18"/>
              </w:rPr>
            </w:pPr>
            <w:r w:rsidRPr="005630DE">
              <w:rPr>
                <w:sz w:val="18"/>
                <w:szCs w:val="18"/>
              </w:rPr>
              <w:t>13</w:t>
            </w:r>
            <w:r w:rsidR="00DF0D07">
              <w:rPr>
                <w:sz w:val="18"/>
                <w:szCs w:val="18"/>
              </w:rPr>
              <w:t>4</w:t>
            </w:r>
          </w:p>
        </w:tc>
        <w:tc>
          <w:tcPr>
            <w:tcW w:w="900" w:type="dxa"/>
            <w:tcBorders>
              <w:top w:val="single" w:sz="4" w:space="0" w:color="auto"/>
              <w:left w:val="single" w:sz="4" w:space="0" w:color="auto"/>
              <w:bottom w:val="single" w:sz="4" w:space="0" w:color="auto"/>
              <w:right w:val="single" w:sz="4" w:space="0" w:color="auto"/>
            </w:tcBorders>
            <w:vAlign w:val="center"/>
            <w:hideMark/>
          </w:tcPr>
          <w:p w14:paraId="2C128F15" w14:textId="58B6D65D" w:rsidR="000604B2" w:rsidRPr="009E116E" w:rsidRDefault="000604B2" w:rsidP="000604B2">
            <w:pPr>
              <w:pStyle w:val="ExhibitText"/>
              <w:jc w:val="right"/>
              <w:rPr>
                <w:sz w:val="18"/>
                <w:szCs w:val="18"/>
              </w:rPr>
            </w:pPr>
            <w:r w:rsidRPr="005630DE">
              <w:rPr>
                <w:sz w:val="18"/>
                <w:szCs w:val="18"/>
              </w:rPr>
              <w:t>306</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F07E461" w14:textId="1906C2AD" w:rsidR="000604B2" w:rsidRPr="009E116E" w:rsidRDefault="000604B2" w:rsidP="00542316">
            <w:pPr>
              <w:pStyle w:val="ExhibitText"/>
              <w:jc w:val="right"/>
              <w:rPr>
                <w:sz w:val="18"/>
                <w:szCs w:val="18"/>
              </w:rPr>
            </w:pPr>
            <w:proofErr w:type="spellStart"/>
            <w:r w:rsidRPr="005630DE">
              <w:rPr>
                <w:sz w:val="18"/>
                <w:szCs w:val="18"/>
              </w:rPr>
              <w:t>Thermo</w:t>
            </w:r>
            <w:proofErr w:type="spellEnd"/>
            <w:r w:rsidR="00DF0D07">
              <w:rPr>
                <w:sz w:val="18"/>
                <w:szCs w:val="18"/>
              </w:rPr>
              <w:t> </w:t>
            </w:r>
            <w:r w:rsidRPr="005630DE">
              <w:rPr>
                <w:sz w:val="18"/>
                <w:szCs w:val="18"/>
              </w:rPr>
              <w:t>D</w:t>
            </w:r>
          </w:p>
        </w:tc>
        <w:tc>
          <w:tcPr>
            <w:tcW w:w="720" w:type="dxa"/>
            <w:tcBorders>
              <w:top w:val="single" w:sz="4" w:space="0" w:color="auto"/>
              <w:left w:val="single" w:sz="4" w:space="0" w:color="auto"/>
              <w:bottom w:val="single" w:sz="4" w:space="0" w:color="auto"/>
              <w:right w:val="single" w:sz="4" w:space="0" w:color="auto"/>
            </w:tcBorders>
            <w:vAlign w:val="center"/>
            <w:hideMark/>
          </w:tcPr>
          <w:p w14:paraId="4CD14F94" w14:textId="24C237AA" w:rsidR="000604B2" w:rsidRPr="009E116E" w:rsidRDefault="000604B2" w:rsidP="000604B2">
            <w:pPr>
              <w:pStyle w:val="ExhibitText"/>
              <w:jc w:val="right"/>
              <w:rPr>
                <w:sz w:val="18"/>
                <w:szCs w:val="18"/>
              </w:rPr>
            </w:pPr>
            <w:r w:rsidRPr="005630DE">
              <w:rPr>
                <w:sz w:val="18"/>
                <w:szCs w:val="18"/>
              </w:rPr>
              <w:t>3.7</w:t>
            </w:r>
          </w:p>
        </w:tc>
        <w:tc>
          <w:tcPr>
            <w:tcW w:w="777" w:type="dxa"/>
            <w:tcBorders>
              <w:top w:val="single" w:sz="4" w:space="0" w:color="auto"/>
              <w:left w:val="single" w:sz="4" w:space="0" w:color="auto"/>
              <w:bottom w:val="single" w:sz="4" w:space="0" w:color="auto"/>
              <w:right w:val="single" w:sz="4" w:space="0" w:color="auto"/>
            </w:tcBorders>
            <w:vAlign w:val="center"/>
            <w:hideMark/>
          </w:tcPr>
          <w:p w14:paraId="14E6C1A7" w14:textId="6BFC48FB" w:rsidR="000604B2" w:rsidRPr="009E116E" w:rsidRDefault="000604B2" w:rsidP="000604B2">
            <w:pPr>
              <w:pStyle w:val="ExhibitText"/>
              <w:jc w:val="right"/>
              <w:rPr>
                <w:sz w:val="18"/>
                <w:szCs w:val="18"/>
              </w:rPr>
            </w:pPr>
            <w:r w:rsidRPr="005630DE">
              <w:rPr>
                <w:sz w:val="18"/>
                <w:szCs w:val="18"/>
              </w:rPr>
              <w:t>1.0</w:t>
            </w:r>
          </w:p>
        </w:tc>
        <w:tc>
          <w:tcPr>
            <w:tcW w:w="929" w:type="dxa"/>
            <w:tcBorders>
              <w:top w:val="single" w:sz="4" w:space="0" w:color="auto"/>
              <w:left w:val="single" w:sz="4" w:space="0" w:color="auto"/>
              <w:bottom w:val="single" w:sz="4" w:space="0" w:color="auto"/>
              <w:right w:val="single" w:sz="4" w:space="0" w:color="auto"/>
            </w:tcBorders>
            <w:vAlign w:val="center"/>
            <w:hideMark/>
          </w:tcPr>
          <w:p w14:paraId="739FD1D2" w14:textId="41C9FB8F" w:rsidR="000604B2" w:rsidRPr="009E116E" w:rsidRDefault="000604B2" w:rsidP="000604B2">
            <w:pPr>
              <w:pStyle w:val="ExhibitText"/>
              <w:jc w:val="right"/>
              <w:rPr>
                <w:sz w:val="18"/>
                <w:szCs w:val="18"/>
              </w:rPr>
            </w:pPr>
            <w:r w:rsidRPr="005630DE">
              <w:rPr>
                <w:sz w:val="18"/>
                <w:szCs w:val="18"/>
              </w:rPr>
              <w:t>0.0</w:t>
            </w:r>
          </w:p>
        </w:tc>
        <w:tc>
          <w:tcPr>
            <w:tcW w:w="928" w:type="dxa"/>
            <w:tcBorders>
              <w:top w:val="single" w:sz="4" w:space="0" w:color="auto"/>
              <w:left w:val="single" w:sz="4" w:space="0" w:color="auto"/>
              <w:bottom w:val="single" w:sz="4" w:space="0" w:color="auto"/>
              <w:right w:val="single" w:sz="4" w:space="0" w:color="auto"/>
            </w:tcBorders>
            <w:vAlign w:val="center"/>
            <w:hideMark/>
          </w:tcPr>
          <w:p w14:paraId="5541614B" w14:textId="155EF3F7" w:rsidR="000604B2" w:rsidRPr="009E116E" w:rsidRDefault="000604B2" w:rsidP="000604B2">
            <w:pPr>
              <w:pStyle w:val="ExhibitText"/>
              <w:jc w:val="right"/>
              <w:rPr>
                <w:sz w:val="18"/>
                <w:szCs w:val="18"/>
              </w:rPr>
            </w:pPr>
            <w:r w:rsidRPr="005630DE">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483E6BC3" w14:textId="0F135CF5" w:rsidR="000604B2" w:rsidRPr="009E116E" w:rsidRDefault="000604B2">
            <w:pPr>
              <w:pStyle w:val="ExhibitText"/>
              <w:jc w:val="right"/>
              <w:rPr>
                <w:sz w:val="18"/>
                <w:szCs w:val="18"/>
              </w:rPr>
            </w:pPr>
            <w:r w:rsidRPr="005630DE">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1DB8F8CD" w14:textId="33673380" w:rsidR="000604B2" w:rsidRPr="009E116E" w:rsidRDefault="000604B2" w:rsidP="000604B2">
            <w:pPr>
              <w:pStyle w:val="ExhibitText"/>
              <w:jc w:val="right"/>
              <w:rPr>
                <w:sz w:val="18"/>
                <w:szCs w:val="18"/>
              </w:rPr>
            </w:pPr>
            <w:r w:rsidRPr="005630DE">
              <w:rPr>
                <w:sz w:val="18"/>
                <w:szCs w:val="18"/>
              </w:rPr>
              <w:t>1</w:t>
            </w:r>
            <w:r w:rsidR="00DF0D07">
              <w:rPr>
                <w:sz w:val="18"/>
                <w:szCs w:val="18"/>
              </w:rPr>
              <w:t>,</w:t>
            </w:r>
            <w:r w:rsidRPr="005630DE">
              <w:rPr>
                <w:sz w:val="18"/>
                <w:szCs w:val="18"/>
              </w:rPr>
              <w:t>000</w:t>
            </w:r>
          </w:p>
        </w:tc>
      </w:tr>
      <w:tr w:rsidR="000604B2" w:rsidRPr="009E116E" w14:paraId="7C3554F1"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596B101A" w14:textId="4F8F7A4E" w:rsidR="000604B2" w:rsidRPr="001456A2" w:rsidRDefault="0015351F">
            <w:pPr>
              <w:pStyle w:val="ExhibitText"/>
              <w:jc w:val="left"/>
              <w:rPr>
                <w:sz w:val="18"/>
                <w:szCs w:val="18"/>
              </w:rPr>
            </w:pPr>
            <w:proofErr w:type="spellStart"/>
            <w:r>
              <w:rPr>
                <w:sz w:val="18"/>
                <w:szCs w:val="18"/>
              </w:rPr>
              <w:t>Î</w:t>
            </w:r>
            <w:r w:rsidR="000604B2" w:rsidRPr="005630DE">
              <w:rPr>
                <w:sz w:val="18"/>
                <w:szCs w:val="18"/>
              </w:rPr>
              <w:t>le</w:t>
            </w:r>
            <w:proofErr w:type="spellEnd"/>
            <w:r>
              <w:rPr>
                <w:sz w:val="18"/>
                <w:szCs w:val="18"/>
              </w:rPr>
              <w:t>-à-</w:t>
            </w:r>
            <w:proofErr w:type="spellStart"/>
            <w:r w:rsidR="000604B2" w:rsidRPr="005630DE">
              <w:rPr>
                <w:sz w:val="18"/>
                <w:szCs w:val="18"/>
              </w:rPr>
              <w:t>Vache</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7B55A742" w14:textId="4E53DB5A" w:rsidR="000604B2" w:rsidRPr="009E116E" w:rsidRDefault="000604B2" w:rsidP="000604B2">
            <w:pPr>
              <w:pStyle w:val="ExhibitText"/>
              <w:jc w:val="right"/>
              <w:rPr>
                <w:sz w:val="18"/>
                <w:szCs w:val="18"/>
              </w:rPr>
            </w:pPr>
            <w:r w:rsidRPr="005630DE">
              <w:rPr>
                <w:sz w:val="18"/>
                <w:szCs w:val="18"/>
              </w:rPr>
              <w:t>14</w:t>
            </w:r>
            <w:r w:rsidR="00BE645A">
              <w:rPr>
                <w:sz w:val="18"/>
                <w:szCs w:val="18"/>
              </w:rPr>
              <w:t>,</w:t>
            </w:r>
            <w:r w:rsidRPr="005630DE">
              <w:rPr>
                <w:sz w:val="18"/>
                <w:szCs w:val="18"/>
              </w:rPr>
              <w:t>004</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FFE8BCF" w14:textId="0212DD72" w:rsidR="000604B2" w:rsidRPr="009E116E" w:rsidRDefault="000604B2" w:rsidP="000604B2">
            <w:pPr>
              <w:pStyle w:val="ExhibitText"/>
              <w:jc w:val="right"/>
              <w:rPr>
                <w:sz w:val="18"/>
                <w:szCs w:val="18"/>
              </w:rPr>
            </w:pPr>
            <w:r w:rsidRPr="005630DE">
              <w:rPr>
                <w:sz w:val="18"/>
                <w:szCs w:val="18"/>
              </w:rPr>
              <w:t>7</w:t>
            </w:r>
            <w:r w:rsidR="00BE645A">
              <w:rPr>
                <w:sz w:val="18"/>
                <w:szCs w:val="18"/>
              </w:rPr>
              <w:t>,</w:t>
            </w:r>
            <w:r w:rsidRPr="005630DE">
              <w:rPr>
                <w:sz w:val="18"/>
                <w:szCs w:val="18"/>
              </w:rPr>
              <w:t>097</w:t>
            </w:r>
          </w:p>
        </w:tc>
        <w:tc>
          <w:tcPr>
            <w:tcW w:w="900" w:type="dxa"/>
            <w:tcBorders>
              <w:top w:val="single" w:sz="4" w:space="0" w:color="auto"/>
              <w:left w:val="single" w:sz="4" w:space="0" w:color="auto"/>
              <w:bottom w:val="single" w:sz="4" w:space="0" w:color="auto"/>
              <w:right w:val="single" w:sz="4" w:space="0" w:color="auto"/>
            </w:tcBorders>
            <w:vAlign w:val="center"/>
            <w:hideMark/>
          </w:tcPr>
          <w:p w14:paraId="03464F5B" w14:textId="28C61869" w:rsidR="000604B2" w:rsidRPr="009E116E" w:rsidRDefault="000604B2" w:rsidP="000604B2">
            <w:pPr>
              <w:pStyle w:val="ExhibitText"/>
              <w:jc w:val="right"/>
              <w:rPr>
                <w:sz w:val="18"/>
                <w:szCs w:val="18"/>
              </w:rPr>
            </w:pPr>
            <w:r w:rsidRPr="005630DE">
              <w:rPr>
                <w:sz w:val="18"/>
                <w:szCs w:val="18"/>
              </w:rPr>
              <w:t>2</w:t>
            </w:r>
            <w:r w:rsidR="00BE645A">
              <w:rPr>
                <w:sz w:val="18"/>
                <w:szCs w:val="18"/>
              </w:rPr>
              <w:t>,</w:t>
            </w:r>
            <w:r w:rsidRPr="005630DE">
              <w:rPr>
                <w:sz w:val="18"/>
                <w:szCs w:val="18"/>
              </w:rPr>
              <w:t>558</w:t>
            </w:r>
          </w:p>
        </w:tc>
        <w:tc>
          <w:tcPr>
            <w:tcW w:w="990" w:type="dxa"/>
            <w:tcBorders>
              <w:top w:val="single" w:sz="4" w:space="0" w:color="auto"/>
              <w:left w:val="single" w:sz="4" w:space="0" w:color="auto"/>
              <w:bottom w:val="single" w:sz="4" w:space="0" w:color="auto"/>
              <w:right w:val="single" w:sz="4" w:space="0" w:color="auto"/>
            </w:tcBorders>
            <w:vAlign w:val="center"/>
            <w:hideMark/>
          </w:tcPr>
          <w:p w14:paraId="3B5F10A7" w14:textId="52A33E40" w:rsidR="000604B2" w:rsidRPr="009E116E" w:rsidRDefault="000604B2" w:rsidP="000604B2">
            <w:pPr>
              <w:pStyle w:val="ExhibitText"/>
              <w:jc w:val="right"/>
              <w:rPr>
                <w:sz w:val="18"/>
                <w:szCs w:val="18"/>
              </w:rPr>
            </w:pPr>
            <w:r w:rsidRPr="005630DE">
              <w:rPr>
                <w:sz w:val="18"/>
                <w:szCs w:val="18"/>
              </w:rPr>
              <w:t>4</w:t>
            </w:r>
            <w:r w:rsidR="00DF0D07">
              <w:rPr>
                <w:sz w:val="18"/>
                <w:szCs w:val="18"/>
              </w:rPr>
              <w:t>6</w:t>
            </w:r>
          </w:p>
        </w:tc>
        <w:tc>
          <w:tcPr>
            <w:tcW w:w="900" w:type="dxa"/>
            <w:tcBorders>
              <w:top w:val="single" w:sz="4" w:space="0" w:color="auto"/>
              <w:left w:val="single" w:sz="4" w:space="0" w:color="auto"/>
              <w:bottom w:val="single" w:sz="4" w:space="0" w:color="auto"/>
              <w:right w:val="single" w:sz="4" w:space="0" w:color="auto"/>
            </w:tcBorders>
            <w:vAlign w:val="center"/>
            <w:hideMark/>
          </w:tcPr>
          <w:p w14:paraId="490EB228" w14:textId="395AE494" w:rsidR="000604B2" w:rsidRPr="009E116E" w:rsidRDefault="000604B2" w:rsidP="000604B2">
            <w:pPr>
              <w:pStyle w:val="ExhibitText"/>
              <w:jc w:val="right"/>
              <w:rPr>
                <w:sz w:val="18"/>
                <w:szCs w:val="18"/>
              </w:rPr>
            </w:pPr>
            <w:r w:rsidRPr="005630DE">
              <w:rPr>
                <w:sz w:val="18"/>
                <w:szCs w:val="18"/>
              </w:rPr>
              <w:t>305</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3D5910E" w14:textId="66C6EFEE" w:rsidR="000604B2" w:rsidRPr="009E116E" w:rsidRDefault="000604B2" w:rsidP="00542316">
            <w:pPr>
              <w:pStyle w:val="ExhibitText"/>
              <w:jc w:val="right"/>
              <w:rPr>
                <w:sz w:val="18"/>
                <w:szCs w:val="18"/>
              </w:rPr>
            </w:pPr>
            <w:r w:rsidRPr="005630DE">
              <w:rPr>
                <w:sz w:val="18"/>
                <w:szCs w:val="18"/>
              </w:rPr>
              <w:t>Hydro</w:t>
            </w:r>
          </w:p>
        </w:tc>
        <w:tc>
          <w:tcPr>
            <w:tcW w:w="720" w:type="dxa"/>
            <w:tcBorders>
              <w:top w:val="single" w:sz="4" w:space="0" w:color="auto"/>
              <w:left w:val="single" w:sz="4" w:space="0" w:color="auto"/>
              <w:bottom w:val="single" w:sz="4" w:space="0" w:color="auto"/>
              <w:right w:val="single" w:sz="4" w:space="0" w:color="auto"/>
            </w:tcBorders>
            <w:vAlign w:val="center"/>
            <w:hideMark/>
          </w:tcPr>
          <w:p w14:paraId="432AAED6" w14:textId="1333DCC8" w:rsidR="000604B2" w:rsidRPr="009E116E" w:rsidRDefault="000604B2" w:rsidP="000604B2">
            <w:pPr>
              <w:pStyle w:val="ExhibitText"/>
              <w:jc w:val="right"/>
              <w:rPr>
                <w:sz w:val="18"/>
                <w:szCs w:val="18"/>
              </w:rPr>
            </w:pPr>
            <w:r w:rsidRPr="005630DE">
              <w:rPr>
                <w:sz w:val="18"/>
                <w:szCs w:val="18"/>
              </w:rPr>
              <w:t>2.4</w:t>
            </w:r>
          </w:p>
        </w:tc>
        <w:tc>
          <w:tcPr>
            <w:tcW w:w="777" w:type="dxa"/>
            <w:tcBorders>
              <w:top w:val="single" w:sz="4" w:space="0" w:color="auto"/>
              <w:left w:val="single" w:sz="4" w:space="0" w:color="auto"/>
              <w:bottom w:val="single" w:sz="4" w:space="0" w:color="auto"/>
              <w:right w:val="single" w:sz="4" w:space="0" w:color="auto"/>
            </w:tcBorders>
            <w:vAlign w:val="center"/>
            <w:hideMark/>
          </w:tcPr>
          <w:p w14:paraId="57821F08" w14:textId="53298066" w:rsidR="000604B2" w:rsidRPr="009E116E" w:rsidRDefault="000604B2" w:rsidP="000604B2">
            <w:pPr>
              <w:pStyle w:val="ExhibitText"/>
              <w:jc w:val="right"/>
              <w:rPr>
                <w:sz w:val="18"/>
                <w:szCs w:val="18"/>
              </w:rPr>
            </w:pPr>
            <w:r w:rsidRPr="005630DE">
              <w:rPr>
                <w:sz w:val="18"/>
                <w:szCs w:val="18"/>
              </w:rPr>
              <w:t>1.6</w:t>
            </w:r>
          </w:p>
        </w:tc>
        <w:tc>
          <w:tcPr>
            <w:tcW w:w="929" w:type="dxa"/>
            <w:tcBorders>
              <w:top w:val="single" w:sz="4" w:space="0" w:color="auto"/>
              <w:left w:val="single" w:sz="4" w:space="0" w:color="auto"/>
              <w:bottom w:val="single" w:sz="4" w:space="0" w:color="auto"/>
              <w:right w:val="single" w:sz="4" w:space="0" w:color="auto"/>
            </w:tcBorders>
            <w:vAlign w:val="center"/>
            <w:hideMark/>
          </w:tcPr>
          <w:p w14:paraId="35ED6733" w14:textId="10DF38FD" w:rsidR="000604B2" w:rsidRPr="009E116E" w:rsidRDefault="000604B2" w:rsidP="000604B2">
            <w:pPr>
              <w:pStyle w:val="ExhibitText"/>
              <w:jc w:val="right"/>
              <w:rPr>
                <w:sz w:val="18"/>
                <w:szCs w:val="18"/>
              </w:rPr>
            </w:pPr>
            <w:r w:rsidRPr="005630DE">
              <w:rPr>
                <w:sz w:val="18"/>
                <w:szCs w:val="18"/>
              </w:rPr>
              <w:t>11.0</w:t>
            </w:r>
          </w:p>
        </w:tc>
        <w:tc>
          <w:tcPr>
            <w:tcW w:w="928" w:type="dxa"/>
            <w:tcBorders>
              <w:top w:val="single" w:sz="4" w:space="0" w:color="auto"/>
              <w:left w:val="single" w:sz="4" w:space="0" w:color="auto"/>
              <w:bottom w:val="single" w:sz="4" w:space="0" w:color="auto"/>
              <w:right w:val="single" w:sz="4" w:space="0" w:color="auto"/>
            </w:tcBorders>
            <w:vAlign w:val="center"/>
            <w:hideMark/>
          </w:tcPr>
          <w:p w14:paraId="6F9CDB94" w14:textId="520EB828" w:rsidR="000604B2" w:rsidRPr="009E116E" w:rsidRDefault="000604B2" w:rsidP="000604B2">
            <w:pPr>
              <w:pStyle w:val="ExhibitText"/>
              <w:jc w:val="right"/>
              <w:rPr>
                <w:sz w:val="18"/>
                <w:szCs w:val="18"/>
              </w:rPr>
            </w:pPr>
            <w:r w:rsidRPr="005630DE">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6FA0A49D" w14:textId="4FB7C633" w:rsidR="000604B2" w:rsidRPr="009E116E" w:rsidRDefault="000604B2" w:rsidP="000604B2">
            <w:pPr>
              <w:pStyle w:val="ExhibitText"/>
              <w:jc w:val="right"/>
              <w:rPr>
                <w:sz w:val="18"/>
                <w:szCs w:val="18"/>
              </w:rPr>
            </w:pPr>
            <w:r w:rsidRPr="005630DE">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hideMark/>
          </w:tcPr>
          <w:p w14:paraId="00D811F3" w14:textId="7E7378E1" w:rsidR="000604B2" w:rsidRPr="009E116E" w:rsidRDefault="000604B2" w:rsidP="000604B2">
            <w:pPr>
              <w:pStyle w:val="ExhibitText"/>
              <w:jc w:val="right"/>
              <w:rPr>
                <w:sz w:val="18"/>
                <w:szCs w:val="18"/>
              </w:rPr>
            </w:pPr>
            <w:r w:rsidRPr="005630DE">
              <w:rPr>
                <w:sz w:val="18"/>
                <w:szCs w:val="18"/>
              </w:rPr>
              <w:t>400</w:t>
            </w:r>
          </w:p>
        </w:tc>
      </w:tr>
      <w:tr w:rsidR="000604B2" w:rsidRPr="009E116E" w14:paraId="449CCC23"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25088E33" w14:textId="71536EFD" w:rsidR="000604B2" w:rsidRPr="001456A2" w:rsidRDefault="000604B2">
            <w:pPr>
              <w:pStyle w:val="ExhibitText"/>
              <w:jc w:val="left"/>
              <w:rPr>
                <w:sz w:val="18"/>
                <w:szCs w:val="18"/>
              </w:rPr>
            </w:pPr>
            <w:proofErr w:type="spellStart"/>
            <w:r w:rsidRPr="005630DE">
              <w:rPr>
                <w:sz w:val="18"/>
                <w:szCs w:val="18"/>
              </w:rPr>
              <w:t>J</w:t>
            </w:r>
            <w:r w:rsidR="00BE645A">
              <w:rPr>
                <w:sz w:val="18"/>
                <w:szCs w:val="18"/>
              </w:rPr>
              <w:t>é</w:t>
            </w:r>
            <w:r w:rsidRPr="005630DE">
              <w:rPr>
                <w:sz w:val="18"/>
                <w:szCs w:val="18"/>
              </w:rPr>
              <w:t>r</w:t>
            </w:r>
            <w:r w:rsidR="00BE645A">
              <w:rPr>
                <w:sz w:val="18"/>
                <w:szCs w:val="18"/>
              </w:rPr>
              <w:t>é</w:t>
            </w:r>
            <w:r w:rsidRPr="005630DE">
              <w:rPr>
                <w:sz w:val="18"/>
                <w:szCs w:val="18"/>
              </w:rPr>
              <w:t>mie</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54440814" w14:textId="28D5D360" w:rsidR="000604B2" w:rsidRPr="009E116E" w:rsidRDefault="000604B2" w:rsidP="000604B2">
            <w:pPr>
              <w:pStyle w:val="ExhibitText"/>
              <w:jc w:val="right"/>
              <w:rPr>
                <w:sz w:val="18"/>
                <w:szCs w:val="18"/>
              </w:rPr>
            </w:pPr>
            <w:r w:rsidRPr="005630DE">
              <w:rPr>
                <w:sz w:val="18"/>
                <w:szCs w:val="18"/>
              </w:rPr>
              <w:t>122</w:t>
            </w:r>
            <w:r w:rsidR="00BE645A">
              <w:rPr>
                <w:sz w:val="18"/>
                <w:szCs w:val="18"/>
              </w:rPr>
              <w:t>,</w:t>
            </w:r>
            <w:r w:rsidRPr="005630DE">
              <w:rPr>
                <w:sz w:val="18"/>
                <w:szCs w:val="18"/>
              </w:rPr>
              <w:t>149</w:t>
            </w:r>
          </w:p>
        </w:tc>
        <w:tc>
          <w:tcPr>
            <w:tcW w:w="1080" w:type="dxa"/>
            <w:tcBorders>
              <w:top w:val="single" w:sz="4" w:space="0" w:color="auto"/>
              <w:left w:val="single" w:sz="4" w:space="0" w:color="auto"/>
              <w:bottom w:val="single" w:sz="4" w:space="0" w:color="auto"/>
              <w:right w:val="single" w:sz="4" w:space="0" w:color="auto"/>
            </w:tcBorders>
            <w:vAlign w:val="center"/>
            <w:hideMark/>
          </w:tcPr>
          <w:p w14:paraId="50F6C107" w14:textId="2E1AE045" w:rsidR="000604B2" w:rsidRPr="009E116E" w:rsidRDefault="000604B2" w:rsidP="000604B2">
            <w:pPr>
              <w:pStyle w:val="ExhibitText"/>
              <w:jc w:val="right"/>
              <w:rPr>
                <w:sz w:val="18"/>
                <w:szCs w:val="18"/>
              </w:rPr>
            </w:pPr>
            <w:r w:rsidRPr="005630DE">
              <w:rPr>
                <w:sz w:val="18"/>
                <w:szCs w:val="18"/>
              </w:rPr>
              <w:t>51</w:t>
            </w:r>
            <w:r w:rsidR="00BE645A">
              <w:rPr>
                <w:sz w:val="18"/>
                <w:szCs w:val="18"/>
              </w:rPr>
              <w:t>,</w:t>
            </w:r>
            <w:r w:rsidRPr="005630DE">
              <w:rPr>
                <w:sz w:val="18"/>
                <w:szCs w:val="18"/>
              </w:rPr>
              <w:t>995</w:t>
            </w:r>
          </w:p>
        </w:tc>
        <w:tc>
          <w:tcPr>
            <w:tcW w:w="900" w:type="dxa"/>
            <w:tcBorders>
              <w:top w:val="single" w:sz="4" w:space="0" w:color="auto"/>
              <w:left w:val="single" w:sz="4" w:space="0" w:color="auto"/>
              <w:bottom w:val="single" w:sz="4" w:space="0" w:color="auto"/>
              <w:right w:val="single" w:sz="4" w:space="0" w:color="auto"/>
            </w:tcBorders>
            <w:vAlign w:val="center"/>
            <w:hideMark/>
          </w:tcPr>
          <w:p w14:paraId="25581A9D" w14:textId="581A7B1A" w:rsidR="000604B2" w:rsidRPr="009E116E" w:rsidRDefault="000604B2" w:rsidP="000604B2">
            <w:pPr>
              <w:pStyle w:val="ExhibitText"/>
              <w:jc w:val="right"/>
              <w:rPr>
                <w:sz w:val="18"/>
                <w:szCs w:val="18"/>
              </w:rPr>
            </w:pPr>
            <w:r w:rsidRPr="005630DE">
              <w:rPr>
                <w:sz w:val="18"/>
                <w:szCs w:val="18"/>
              </w:rPr>
              <w:t>25</w:t>
            </w:r>
            <w:r w:rsidR="00BE645A">
              <w:rPr>
                <w:sz w:val="18"/>
                <w:szCs w:val="18"/>
              </w:rPr>
              <w:t>,</w:t>
            </w:r>
            <w:r w:rsidRPr="005630DE">
              <w:rPr>
                <w:sz w:val="18"/>
                <w:szCs w:val="18"/>
              </w:rPr>
              <w:t>774</w:t>
            </w:r>
          </w:p>
        </w:tc>
        <w:tc>
          <w:tcPr>
            <w:tcW w:w="990" w:type="dxa"/>
            <w:tcBorders>
              <w:top w:val="single" w:sz="4" w:space="0" w:color="auto"/>
              <w:left w:val="single" w:sz="4" w:space="0" w:color="auto"/>
              <w:bottom w:val="single" w:sz="4" w:space="0" w:color="auto"/>
              <w:right w:val="single" w:sz="4" w:space="0" w:color="auto"/>
            </w:tcBorders>
            <w:vAlign w:val="center"/>
            <w:hideMark/>
          </w:tcPr>
          <w:p w14:paraId="4001B02F" w14:textId="0AF16B97" w:rsidR="000604B2" w:rsidRPr="009E116E" w:rsidRDefault="000604B2" w:rsidP="000604B2">
            <w:pPr>
              <w:pStyle w:val="ExhibitText"/>
              <w:jc w:val="right"/>
              <w:rPr>
                <w:sz w:val="18"/>
                <w:szCs w:val="18"/>
              </w:rPr>
            </w:pPr>
            <w:r w:rsidRPr="005630DE">
              <w:rPr>
                <w:sz w:val="18"/>
                <w:szCs w:val="18"/>
              </w:rPr>
              <w:t>427</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D0C8ED" w14:textId="1A091810" w:rsidR="000604B2" w:rsidRPr="009E116E" w:rsidRDefault="000604B2" w:rsidP="000604B2">
            <w:pPr>
              <w:pStyle w:val="ExhibitText"/>
              <w:jc w:val="right"/>
              <w:rPr>
                <w:sz w:val="18"/>
                <w:szCs w:val="18"/>
              </w:rPr>
            </w:pPr>
            <w:r w:rsidRPr="005630DE">
              <w:rPr>
                <w:sz w:val="18"/>
                <w:szCs w:val="18"/>
              </w:rPr>
              <w:t>286</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3B8FB5F" w14:textId="3C84DCCC" w:rsidR="000604B2" w:rsidRPr="009E116E" w:rsidRDefault="000604B2"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5A904C18" w14:textId="2A9B96B1" w:rsidR="000604B2" w:rsidRPr="009E116E" w:rsidRDefault="000604B2" w:rsidP="000604B2">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6CC413BA" w14:textId="0B396BC1" w:rsidR="000604B2" w:rsidRPr="009E116E"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3935ACB3" w14:textId="32855AC9" w:rsidR="000604B2" w:rsidRPr="009E116E" w:rsidRDefault="000604B2" w:rsidP="000604B2">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5B2F18AE" w14:textId="1A9DBB30" w:rsidR="000604B2" w:rsidRPr="009E116E"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38D2BA41" w14:textId="46252747" w:rsidR="000604B2" w:rsidRPr="009E116E"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74030CD" w14:textId="1A60B885" w:rsidR="000604B2" w:rsidRPr="009E116E" w:rsidRDefault="000604B2" w:rsidP="000604B2">
            <w:pPr>
              <w:pStyle w:val="ExhibitText"/>
              <w:jc w:val="right"/>
              <w:rPr>
                <w:sz w:val="18"/>
                <w:szCs w:val="18"/>
              </w:rPr>
            </w:pPr>
          </w:p>
        </w:tc>
      </w:tr>
      <w:tr w:rsidR="000604B2" w:rsidRPr="009E116E" w14:paraId="5475B1A7"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tcPr>
          <w:p w14:paraId="0BE2A2CC" w14:textId="0B93851C" w:rsidR="000604B2" w:rsidRPr="005630DE" w:rsidRDefault="000604B2" w:rsidP="000604B2">
            <w:pPr>
              <w:pStyle w:val="ExhibitText"/>
              <w:jc w:val="left"/>
              <w:rPr>
                <w:sz w:val="18"/>
                <w:szCs w:val="18"/>
              </w:rPr>
            </w:pPr>
            <w:r w:rsidRPr="005630DE">
              <w:rPr>
                <w:sz w:val="18"/>
                <w:szCs w:val="18"/>
              </w:rPr>
              <w:t xml:space="preserve">Les </w:t>
            </w:r>
            <w:proofErr w:type="spellStart"/>
            <w:r w:rsidRPr="005630DE">
              <w:rPr>
                <w:sz w:val="18"/>
                <w:szCs w:val="18"/>
              </w:rPr>
              <w:t>Cayes</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14:paraId="108C2D00" w14:textId="6AB93CD8" w:rsidR="000604B2" w:rsidRPr="005630DE" w:rsidRDefault="000604B2" w:rsidP="000604B2">
            <w:pPr>
              <w:pStyle w:val="ExhibitText"/>
              <w:jc w:val="right"/>
              <w:rPr>
                <w:sz w:val="18"/>
                <w:szCs w:val="18"/>
              </w:rPr>
            </w:pPr>
            <w:r w:rsidRPr="005630DE">
              <w:rPr>
                <w:sz w:val="18"/>
                <w:szCs w:val="18"/>
              </w:rPr>
              <w:t>137</w:t>
            </w:r>
            <w:r w:rsidR="00BE645A">
              <w:rPr>
                <w:sz w:val="18"/>
                <w:szCs w:val="18"/>
              </w:rPr>
              <w:t>,</w:t>
            </w:r>
            <w:r w:rsidRPr="005630DE">
              <w:rPr>
                <w:sz w:val="18"/>
                <w:szCs w:val="18"/>
              </w:rPr>
              <w:t>952</w:t>
            </w:r>
          </w:p>
        </w:tc>
        <w:tc>
          <w:tcPr>
            <w:tcW w:w="1080" w:type="dxa"/>
            <w:tcBorders>
              <w:top w:val="single" w:sz="4" w:space="0" w:color="auto"/>
              <w:left w:val="single" w:sz="4" w:space="0" w:color="auto"/>
              <w:bottom w:val="single" w:sz="4" w:space="0" w:color="auto"/>
              <w:right w:val="single" w:sz="4" w:space="0" w:color="auto"/>
            </w:tcBorders>
            <w:vAlign w:val="center"/>
          </w:tcPr>
          <w:p w14:paraId="6CA71803" w14:textId="5F602520" w:rsidR="000604B2" w:rsidRPr="005630DE" w:rsidRDefault="000604B2" w:rsidP="000604B2">
            <w:pPr>
              <w:pStyle w:val="ExhibitText"/>
              <w:jc w:val="right"/>
              <w:rPr>
                <w:sz w:val="18"/>
                <w:szCs w:val="18"/>
              </w:rPr>
            </w:pPr>
            <w:r w:rsidRPr="005630DE">
              <w:rPr>
                <w:sz w:val="18"/>
                <w:szCs w:val="18"/>
              </w:rPr>
              <w:t>55</w:t>
            </w:r>
            <w:r w:rsidR="00BE645A">
              <w:rPr>
                <w:sz w:val="18"/>
                <w:szCs w:val="18"/>
              </w:rPr>
              <w:t>,</w:t>
            </w:r>
            <w:r w:rsidRPr="005630DE">
              <w:rPr>
                <w:sz w:val="18"/>
                <w:szCs w:val="18"/>
              </w:rPr>
              <w:t>342</w:t>
            </w:r>
          </w:p>
        </w:tc>
        <w:tc>
          <w:tcPr>
            <w:tcW w:w="900" w:type="dxa"/>
            <w:tcBorders>
              <w:top w:val="single" w:sz="4" w:space="0" w:color="auto"/>
              <w:left w:val="single" w:sz="4" w:space="0" w:color="auto"/>
              <w:bottom w:val="single" w:sz="4" w:space="0" w:color="auto"/>
              <w:right w:val="single" w:sz="4" w:space="0" w:color="auto"/>
            </w:tcBorders>
            <w:vAlign w:val="center"/>
          </w:tcPr>
          <w:p w14:paraId="61512213" w14:textId="067D23BB" w:rsidR="000604B2" w:rsidRPr="005630DE" w:rsidRDefault="000604B2" w:rsidP="000604B2">
            <w:pPr>
              <w:pStyle w:val="ExhibitText"/>
              <w:jc w:val="right"/>
              <w:rPr>
                <w:sz w:val="18"/>
                <w:szCs w:val="18"/>
              </w:rPr>
            </w:pPr>
            <w:r w:rsidRPr="005630DE">
              <w:rPr>
                <w:sz w:val="18"/>
                <w:szCs w:val="18"/>
              </w:rPr>
              <w:t>28</w:t>
            </w:r>
            <w:r w:rsidR="00BE645A">
              <w:rPr>
                <w:sz w:val="18"/>
                <w:szCs w:val="18"/>
              </w:rPr>
              <w:t>,</w:t>
            </w:r>
            <w:r w:rsidRPr="005630DE">
              <w:rPr>
                <w:sz w:val="18"/>
                <w:szCs w:val="18"/>
              </w:rPr>
              <w:t>722</w:t>
            </w:r>
          </w:p>
        </w:tc>
        <w:tc>
          <w:tcPr>
            <w:tcW w:w="990" w:type="dxa"/>
            <w:tcBorders>
              <w:top w:val="single" w:sz="4" w:space="0" w:color="auto"/>
              <w:left w:val="single" w:sz="4" w:space="0" w:color="auto"/>
              <w:bottom w:val="single" w:sz="4" w:space="0" w:color="auto"/>
              <w:right w:val="single" w:sz="4" w:space="0" w:color="auto"/>
            </w:tcBorders>
            <w:vAlign w:val="center"/>
          </w:tcPr>
          <w:p w14:paraId="00951DD4" w14:textId="09D06E04" w:rsidR="000604B2" w:rsidRPr="005630DE" w:rsidRDefault="000604B2" w:rsidP="000604B2">
            <w:pPr>
              <w:pStyle w:val="ExhibitText"/>
              <w:jc w:val="right"/>
              <w:rPr>
                <w:sz w:val="18"/>
                <w:szCs w:val="18"/>
              </w:rPr>
            </w:pPr>
            <w:r w:rsidRPr="005630DE">
              <w:rPr>
                <w:sz w:val="18"/>
                <w:szCs w:val="18"/>
              </w:rPr>
              <w:t>219</w:t>
            </w:r>
          </w:p>
        </w:tc>
        <w:tc>
          <w:tcPr>
            <w:tcW w:w="900" w:type="dxa"/>
            <w:tcBorders>
              <w:top w:val="single" w:sz="4" w:space="0" w:color="auto"/>
              <w:left w:val="single" w:sz="4" w:space="0" w:color="auto"/>
              <w:bottom w:val="single" w:sz="4" w:space="0" w:color="auto"/>
              <w:right w:val="single" w:sz="4" w:space="0" w:color="auto"/>
            </w:tcBorders>
            <w:vAlign w:val="center"/>
          </w:tcPr>
          <w:p w14:paraId="73A60935" w14:textId="69A040CF" w:rsidR="000604B2" w:rsidRPr="005630DE" w:rsidRDefault="000604B2" w:rsidP="000604B2">
            <w:pPr>
              <w:pStyle w:val="ExhibitText"/>
              <w:jc w:val="right"/>
              <w:rPr>
                <w:sz w:val="18"/>
                <w:szCs w:val="18"/>
              </w:rPr>
            </w:pPr>
            <w:r w:rsidRPr="005630DE">
              <w:rPr>
                <w:sz w:val="18"/>
                <w:szCs w:val="18"/>
              </w:rPr>
              <w:t>630</w:t>
            </w:r>
          </w:p>
        </w:tc>
        <w:tc>
          <w:tcPr>
            <w:tcW w:w="1350" w:type="dxa"/>
            <w:tcBorders>
              <w:top w:val="single" w:sz="4" w:space="0" w:color="auto"/>
              <w:left w:val="single" w:sz="4" w:space="0" w:color="auto"/>
              <w:bottom w:val="single" w:sz="4" w:space="0" w:color="auto"/>
              <w:right w:val="single" w:sz="4" w:space="0" w:color="auto"/>
            </w:tcBorders>
            <w:vAlign w:val="center"/>
          </w:tcPr>
          <w:p w14:paraId="43BC2320" w14:textId="1C1941F5" w:rsidR="000604B2" w:rsidRPr="005630DE" w:rsidRDefault="000604B2" w:rsidP="000604B2">
            <w:pPr>
              <w:pStyle w:val="ExhibitText"/>
              <w:jc w:val="right"/>
              <w:rPr>
                <w:sz w:val="18"/>
                <w:szCs w:val="18"/>
              </w:rPr>
            </w:pPr>
            <w:proofErr w:type="spellStart"/>
            <w:r w:rsidRPr="005630DE">
              <w:rPr>
                <w:sz w:val="18"/>
                <w:szCs w:val="18"/>
              </w:rPr>
              <w:t>Thermo</w:t>
            </w:r>
            <w:proofErr w:type="spellEnd"/>
            <w:r w:rsidR="00DF0D07">
              <w:rPr>
                <w:sz w:val="18"/>
                <w:szCs w:val="18"/>
              </w:rPr>
              <w:t> </w:t>
            </w:r>
            <w:r w:rsidRPr="005630DE">
              <w:rPr>
                <w:sz w:val="18"/>
                <w:szCs w:val="18"/>
              </w:rPr>
              <w:t>D</w:t>
            </w:r>
          </w:p>
        </w:tc>
        <w:tc>
          <w:tcPr>
            <w:tcW w:w="720" w:type="dxa"/>
            <w:tcBorders>
              <w:top w:val="single" w:sz="4" w:space="0" w:color="auto"/>
              <w:left w:val="single" w:sz="4" w:space="0" w:color="auto"/>
              <w:bottom w:val="single" w:sz="4" w:space="0" w:color="auto"/>
              <w:right w:val="single" w:sz="4" w:space="0" w:color="auto"/>
            </w:tcBorders>
            <w:vAlign w:val="center"/>
          </w:tcPr>
          <w:p w14:paraId="239C6528" w14:textId="7E60AF50" w:rsidR="000604B2" w:rsidRPr="005630DE" w:rsidRDefault="000604B2" w:rsidP="000604B2">
            <w:pPr>
              <w:pStyle w:val="ExhibitText"/>
              <w:jc w:val="right"/>
              <w:rPr>
                <w:sz w:val="18"/>
                <w:szCs w:val="18"/>
              </w:rPr>
            </w:pPr>
            <w:r w:rsidRPr="005630DE">
              <w:rPr>
                <w:sz w:val="18"/>
                <w:szCs w:val="18"/>
              </w:rPr>
              <w:t>7.0</w:t>
            </w:r>
          </w:p>
        </w:tc>
        <w:tc>
          <w:tcPr>
            <w:tcW w:w="777" w:type="dxa"/>
            <w:tcBorders>
              <w:top w:val="single" w:sz="4" w:space="0" w:color="auto"/>
              <w:left w:val="single" w:sz="4" w:space="0" w:color="auto"/>
              <w:bottom w:val="single" w:sz="4" w:space="0" w:color="auto"/>
              <w:right w:val="single" w:sz="4" w:space="0" w:color="auto"/>
            </w:tcBorders>
            <w:vAlign w:val="center"/>
          </w:tcPr>
          <w:p w14:paraId="41E183E7" w14:textId="5E329A74" w:rsidR="000604B2" w:rsidRPr="005630DE" w:rsidRDefault="000604B2" w:rsidP="000604B2">
            <w:pPr>
              <w:pStyle w:val="ExhibitText"/>
              <w:jc w:val="right"/>
              <w:rPr>
                <w:sz w:val="18"/>
                <w:szCs w:val="18"/>
              </w:rPr>
            </w:pPr>
            <w:r w:rsidRPr="005630DE">
              <w:rPr>
                <w:sz w:val="18"/>
                <w:szCs w:val="18"/>
              </w:rPr>
              <w:t>6.0</w:t>
            </w:r>
          </w:p>
        </w:tc>
        <w:tc>
          <w:tcPr>
            <w:tcW w:w="929" w:type="dxa"/>
            <w:tcBorders>
              <w:top w:val="single" w:sz="4" w:space="0" w:color="auto"/>
              <w:left w:val="single" w:sz="4" w:space="0" w:color="auto"/>
              <w:bottom w:val="single" w:sz="4" w:space="0" w:color="auto"/>
              <w:right w:val="single" w:sz="4" w:space="0" w:color="auto"/>
            </w:tcBorders>
            <w:vAlign w:val="center"/>
          </w:tcPr>
          <w:p w14:paraId="038DFCA1" w14:textId="565C40DC" w:rsidR="000604B2" w:rsidRPr="005630DE" w:rsidRDefault="000604B2" w:rsidP="000604B2">
            <w:pPr>
              <w:pStyle w:val="ExhibitText"/>
              <w:jc w:val="right"/>
              <w:rPr>
                <w:sz w:val="18"/>
                <w:szCs w:val="18"/>
              </w:rPr>
            </w:pPr>
            <w:r w:rsidRPr="005630DE">
              <w:rPr>
                <w:sz w:val="18"/>
                <w:szCs w:val="18"/>
              </w:rPr>
              <w:t>49.2</w:t>
            </w:r>
          </w:p>
        </w:tc>
        <w:tc>
          <w:tcPr>
            <w:tcW w:w="928" w:type="dxa"/>
            <w:tcBorders>
              <w:top w:val="single" w:sz="4" w:space="0" w:color="auto"/>
              <w:left w:val="single" w:sz="4" w:space="0" w:color="auto"/>
              <w:bottom w:val="single" w:sz="4" w:space="0" w:color="auto"/>
              <w:right w:val="single" w:sz="4" w:space="0" w:color="auto"/>
            </w:tcBorders>
            <w:vAlign w:val="center"/>
          </w:tcPr>
          <w:p w14:paraId="79215971" w14:textId="100417D1" w:rsidR="000604B2" w:rsidRPr="005630DE" w:rsidRDefault="000604B2" w:rsidP="000604B2">
            <w:pPr>
              <w:pStyle w:val="ExhibitText"/>
              <w:jc w:val="right"/>
              <w:rPr>
                <w:sz w:val="18"/>
                <w:szCs w:val="18"/>
              </w:rPr>
            </w:pPr>
            <w:r w:rsidRPr="005630DE">
              <w:rPr>
                <w:sz w:val="18"/>
                <w:szCs w:val="18"/>
              </w:rPr>
              <w:t>1</w:t>
            </w:r>
            <w:r w:rsidR="00DF0D07">
              <w:rPr>
                <w:sz w:val="18"/>
                <w:szCs w:val="18"/>
              </w:rPr>
              <w:t>,</w:t>
            </w:r>
            <w:r w:rsidRPr="005630DE">
              <w:rPr>
                <w:sz w:val="18"/>
                <w:szCs w:val="18"/>
              </w:rPr>
              <w:t>382.6</w:t>
            </w:r>
          </w:p>
        </w:tc>
        <w:tc>
          <w:tcPr>
            <w:tcW w:w="929" w:type="dxa"/>
            <w:tcBorders>
              <w:top w:val="single" w:sz="4" w:space="0" w:color="auto"/>
              <w:left w:val="single" w:sz="4" w:space="0" w:color="auto"/>
              <w:bottom w:val="single" w:sz="4" w:space="0" w:color="auto"/>
              <w:right w:val="single" w:sz="4" w:space="0" w:color="auto"/>
            </w:tcBorders>
            <w:vAlign w:val="center"/>
          </w:tcPr>
          <w:p w14:paraId="0F7143A8" w14:textId="74BC3264" w:rsidR="000604B2" w:rsidRPr="005630DE" w:rsidRDefault="000604B2" w:rsidP="000604B2">
            <w:pPr>
              <w:pStyle w:val="ExhibitText"/>
              <w:jc w:val="right"/>
              <w:rPr>
                <w:sz w:val="18"/>
                <w:szCs w:val="18"/>
              </w:rPr>
            </w:pPr>
            <w:r w:rsidRPr="005630DE">
              <w:rPr>
                <w:sz w:val="18"/>
                <w:szCs w:val="18"/>
              </w:rPr>
              <w:t>0.0</w:t>
            </w:r>
          </w:p>
        </w:tc>
        <w:tc>
          <w:tcPr>
            <w:tcW w:w="929" w:type="dxa"/>
            <w:tcBorders>
              <w:top w:val="single" w:sz="4" w:space="0" w:color="auto"/>
              <w:left w:val="single" w:sz="4" w:space="0" w:color="auto"/>
              <w:bottom w:val="single" w:sz="4" w:space="0" w:color="auto"/>
              <w:right w:val="single" w:sz="4" w:space="0" w:color="auto"/>
            </w:tcBorders>
            <w:vAlign w:val="center"/>
          </w:tcPr>
          <w:p w14:paraId="073D4466" w14:textId="08126F2B" w:rsidR="000604B2" w:rsidRPr="005630DE" w:rsidRDefault="000604B2" w:rsidP="000604B2">
            <w:pPr>
              <w:pStyle w:val="ExhibitText"/>
              <w:jc w:val="right"/>
              <w:rPr>
                <w:sz w:val="18"/>
                <w:szCs w:val="18"/>
              </w:rPr>
            </w:pPr>
            <w:r w:rsidRPr="005630DE">
              <w:rPr>
                <w:sz w:val="18"/>
                <w:szCs w:val="18"/>
              </w:rPr>
              <w:t>10</w:t>
            </w:r>
            <w:r w:rsidR="00DF0D07">
              <w:rPr>
                <w:sz w:val="18"/>
                <w:szCs w:val="18"/>
              </w:rPr>
              <w:t>,</w:t>
            </w:r>
            <w:r w:rsidRPr="005630DE">
              <w:rPr>
                <w:sz w:val="18"/>
                <w:szCs w:val="18"/>
              </w:rPr>
              <w:t>000</w:t>
            </w:r>
          </w:p>
        </w:tc>
      </w:tr>
      <w:tr w:rsidR="000604B2" w:rsidRPr="009E116E" w14:paraId="6D2A46C0"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tcPr>
          <w:p w14:paraId="4E50463D" w14:textId="463F679D" w:rsidR="000604B2" w:rsidRPr="001456A2" w:rsidRDefault="000604B2" w:rsidP="000604B2">
            <w:pPr>
              <w:pStyle w:val="ExhibitText"/>
              <w:jc w:val="left"/>
              <w:rPr>
                <w:bCs/>
                <w:sz w:val="18"/>
                <w:szCs w:val="18"/>
              </w:rPr>
            </w:pPr>
            <w:proofErr w:type="spellStart"/>
            <w:r w:rsidRPr="005630DE">
              <w:rPr>
                <w:sz w:val="18"/>
                <w:szCs w:val="18"/>
              </w:rPr>
              <w:t>Mirago</w:t>
            </w:r>
            <w:r w:rsidR="00BE645A">
              <w:rPr>
                <w:sz w:val="18"/>
                <w:szCs w:val="18"/>
              </w:rPr>
              <w:t>â</w:t>
            </w:r>
            <w:r w:rsidRPr="005630DE">
              <w:rPr>
                <w:sz w:val="18"/>
                <w:szCs w:val="18"/>
              </w:rPr>
              <w:t>ne</w:t>
            </w:r>
            <w:proofErr w:type="spellEnd"/>
          </w:p>
        </w:tc>
        <w:tc>
          <w:tcPr>
            <w:tcW w:w="1080" w:type="dxa"/>
            <w:tcBorders>
              <w:top w:val="single" w:sz="4" w:space="0" w:color="auto"/>
              <w:left w:val="single" w:sz="4" w:space="0" w:color="auto"/>
              <w:bottom w:val="single" w:sz="4" w:space="0" w:color="auto"/>
              <w:right w:val="single" w:sz="4" w:space="0" w:color="auto"/>
            </w:tcBorders>
            <w:vAlign w:val="center"/>
          </w:tcPr>
          <w:p w14:paraId="78A35EBC" w14:textId="0976C536" w:rsidR="000604B2" w:rsidRPr="00A90A69" w:rsidRDefault="000604B2" w:rsidP="000604B2">
            <w:pPr>
              <w:pStyle w:val="ExhibitText"/>
              <w:jc w:val="right"/>
              <w:rPr>
                <w:sz w:val="18"/>
                <w:szCs w:val="18"/>
              </w:rPr>
            </w:pPr>
            <w:r w:rsidRPr="005630DE">
              <w:rPr>
                <w:sz w:val="18"/>
                <w:szCs w:val="18"/>
              </w:rPr>
              <w:t>56</w:t>
            </w:r>
            <w:r w:rsidR="00BE645A">
              <w:rPr>
                <w:sz w:val="18"/>
                <w:szCs w:val="18"/>
              </w:rPr>
              <w:t>,</w:t>
            </w:r>
            <w:r w:rsidRPr="005630DE">
              <w:rPr>
                <w:sz w:val="18"/>
                <w:szCs w:val="18"/>
              </w:rPr>
              <w:t>864</w:t>
            </w:r>
          </w:p>
        </w:tc>
        <w:tc>
          <w:tcPr>
            <w:tcW w:w="1080" w:type="dxa"/>
            <w:tcBorders>
              <w:top w:val="single" w:sz="4" w:space="0" w:color="auto"/>
              <w:left w:val="single" w:sz="4" w:space="0" w:color="auto"/>
              <w:bottom w:val="single" w:sz="4" w:space="0" w:color="auto"/>
              <w:right w:val="single" w:sz="4" w:space="0" w:color="auto"/>
            </w:tcBorders>
            <w:vAlign w:val="center"/>
          </w:tcPr>
          <w:p w14:paraId="2E764490" w14:textId="2C784D8F" w:rsidR="000604B2" w:rsidRPr="00A90A69" w:rsidRDefault="000604B2" w:rsidP="000604B2">
            <w:pPr>
              <w:pStyle w:val="ExhibitText"/>
              <w:jc w:val="right"/>
              <w:rPr>
                <w:sz w:val="18"/>
                <w:szCs w:val="18"/>
              </w:rPr>
            </w:pPr>
            <w:r w:rsidRPr="005630DE">
              <w:rPr>
                <w:sz w:val="18"/>
                <w:szCs w:val="18"/>
              </w:rPr>
              <w:t>32</w:t>
            </w:r>
            <w:r w:rsidR="00BE645A">
              <w:rPr>
                <w:sz w:val="18"/>
                <w:szCs w:val="18"/>
              </w:rPr>
              <w:t>,</w:t>
            </w:r>
            <w:r w:rsidRPr="005630DE">
              <w:rPr>
                <w:sz w:val="18"/>
                <w:szCs w:val="18"/>
              </w:rPr>
              <w:t>554</w:t>
            </w:r>
          </w:p>
        </w:tc>
        <w:tc>
          <w:tcPr>
            <w:tcW w:w="900" w:type="dxa"/>
            <w:tcBorders>
              <w:top w:val="single" w:sz="4" w:space="0" w:color="auto"/>
              <w:left w:val="single" w:sz="4" w:space="0" w:color="auto"/>
              <w:bottom w:val="single" w:sz="4" w:space="0" w:color="auto"/>
              <w:right w:val="single" w:sz="4" w:space="0" w:color="auto"/>
            </w:tcBorders>
            <w:vAlign w:val="center"/>
          </w:tcPr>
          <w:p w14:paraId="0A31224E" w14:textId="1E442F7B" w:rsidR="000604B2" w:rsidRPr="00A90A69" w:rsidRDefault="000604B2" w:rsidP="000604B2">
            <w:pPr>
              <w:pStyle w:val="ExhibitText"/>
              <w:jc w:val="right"/>
              <w:rPr>
                <w:sz w:val="18"/>
                <w:szCs w:val="18"/>
              </w:rPr>
            </w:pPr>
            <w:r w:rsidRPr="005630DE">
              <w:rPr>
                <w:sz w:val="18"/>
                <w:szCs w:val="18"/>
              </w:rPr>
              <w:t>13</w:t>
            </w:r>
            <w:r w:rsidR="00BE645A">
              <w:rPr>
                <w:sz w:val="18"/>
                <w:szCs w:val="18"/>
              </w:rPr>
              <w:t>,</w:t>
            </w:r>
            <w:r w:rsidRPr="005630DE">
              <w:rPr>
                <w:sz w:val="18"/>
                <w:szCs w:val="18"/>
              </w:rPr>
              <w:t>889</w:t>
            </w:r>
          </w:p>
        </w:tc>
        <w:tc>
          <w:tcPr>
            <w:tcW w:w="990" w:type="dxa"/>
            <w:tcBorders>
              <w:top w:val="single" w:sz="4" w:space="0" w:color="auto"/>
              <w:left w:val="single" w:sz="4" w:space="0" w:color="auto"/>
              <w:bottom w:val="single" w:sz="4" w:space="0" w:color="auto"/>
              <w:right w:val="single" w:sz="4" w:space="0" w:color="auto"/>
            </w:tcBorders>
            <w:vAlign w:val="center"/>
          </w:tcPr>
          <w:p w14:paraId="19FDC395" w14:textId="38DE54EE" w:rsidR="000604B2" w:rsidRPr="00A90A69" w:rsidRDefault="000604B2" w:rsidP="000604B2">
            <w:pPr>
              <w:pStyle w:val="ExhibitText"/>
              <w:jc w:val="right"/>
              <w:rPr>
                <w:sz w:val="18"/>
                <w:szCs w:val="18"/>
              </w:rPr>
            </w:pPr>
            <w:r w:rsidRPr="005630DE">
              <w:rPr>
                <w:sz w:val="18"/>
                <w:szCs w:val="18"/>
              </w:rPr>
              <w:t>18</w:t>
            </w:r>
            <w:r w:rsidR="00DF0D07">
              <w:rPr>
                <w:sz w:val="18"/>
                <w:szCs w:val="18"/>
              </w:rPr>
              <w:t>6</w:t>
            </w:r>
          </w:p>
        </w:tc>
        <w:tc>
          <w:tcPr>
            <w:tcW w:w="900" w:type="dxa"/>
            <w:tcBorders>
              <w:top w:val="single" w:sz="4" w:space="0" w:color="auto"/>
              <w:left w:val="single" w:sz="4" w:space="0" w:color="auto"/>
              <w:bottom w:val="single" w:sz="4" w:space="0" w:color="auto"/>
              <w:right w:val="single" w:sz="4" w:space="0" w:color="auto"/>
            </w:tcBorders>
            <w:vAlign w:val="center"/>
          </w:tcPr>
          <w:p w14:paraId="3744FC47" w14:textId="02536B7E" w:rsidR="000604B2" w:rsidRPr="00A90A69" w:rsidRDefault="000604B2" w:rsidP="000604B2">
            <w:pPr>
              <w:pStyle w:val="ExhibitText"/>
              <w:jc w:val="right"/>
              <w:rPr>
                <w:sz w:val="18"/>
                <w:szCs w:val="18"/>
              </w:rPr>
            </w:pPr>
            <w:r w:rsidRPr="005630DE">
              <w:rPr>
                <w:sz w:val="18"/>
                <w:szCs w:val="18"/>
              </w:rPr>
              <w:t>306</w:t>
            </w:r>
          </w:p>
        </w:tc>
        <w:tc>
          <w:tcPr>
            <w:tcW w:w="1350" w:type="dxa"/>
            <w:tcBorders>
              <w:top w:val="single" w:sz="4" w:space="0" w:color="auto"/>
              <w:left w:val="single" w:sz="4" w:space="0" w:color="auto"/>
              <w:bottom w:val="single" w:sz="4" w:space="0" w:color="auto"/>
              <w:right w:val="single" w:sz="4" w:space="0" w:color="auto"/>
            </w:tcBorders>
            <w:vAlign w:val="center"/>
          </w:tcPr>
          <w:p w14:paraId="6C8EFEC4" w14:textId="65A9DBB9" w:rsidR="000604B2" w:rsidRPr="00A90A69" w:rsidRDefault="000604B2" w:rsidP="000604B2">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tcPr>
          <w:p w14:paraId="44D09047" w14:textId="1E64A41E" w:rsidR="000604B2" w:rsidRPr="00A90A69" w:rsidRDefault="000604B2" w:rsidP="000604B2">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tcPr>
          <w:p w14:paraId="103BBD00" w14:textId="066E8510" w:rsidR="000604B2" w:rsidRPr="00A90A69"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tcPr>
          <w:p w14:paraId="5ECE6E3B" w14:textId="101B89B6" w:rsidR="000604B2" w:rsidRPr="00A90A69" w:rsidRDefault="000604B2" w:rsidP="000604B2">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tcPr>
          <w:p w14:paraId="3067C758" w14:textId="16ADB28D" w:rsidR="000604B2" w:rsidRPr="00A90A69"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tcPr>
          <w:p w14:paraId="185742C1" w14:textId="568615BF" w:rsidR="000604B2" w:rsidRPr="00A90A69"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tcPr>
          <w:p w14:paraId="66A89A09" w14:textId="3C424DF2" w:rsidR="000604B2" w:rsidRPr="00A90A69" w:rsidRDefault="000604B2" w:rsidP="000604B2">
            <w:pPr>
              <w:pStyle w:val="ExhibitText"/>
              <w:jc w:val="right"/>
              <w:rPr>
                <w:sz w:val="18"/>
                <w:szCs w:val="18"/>
              </w:rPr>
            </w:pPr>
            <w:r w:rsidRPr="005630DE">
              <w:rPr>
                <w:sz w:val="18"/>
                <w:szCs w:val="18"/>
              </w:rPr>
              <w:t>-</w:t>
            </w:r>
          </w:p>
        </w:tc>
      </w:tr>
      <w:tr w:rsidR="000604B2" w:rsidRPr="009E116E" w14:paraId="4FE5B728" w14:textId="77777777" w:rsidTr="00174436">
        <w:trPr>
          <w:trHeight w:val="360"/>
          <w:jc w:val="center"/>
        </w:trPr>
        <w:tc>
          <w:tcPr>
            <w:tcW w:w="1443" w:type="dxa"/>
            <w:tcBorders>
              <w:top w:val="single" w:sz="4" w:space="0" w:color="auto"/>
              <w:left w:val="single" w:sz="4" w:space="0" w:color="auto"/>
              <w:bottom w:val="single" w:sz="4" w:space="0" w:color="auto"/>
              <w:right w:val="single" w:sz="4" w:space="0" w:color="auto"/>
            </w:tcBorders>
            <w:vAlign w:val="center"/>
            <w:hideMark/>
          </w:tcPr>
          <w:p w14:paraId="09E91AC8" w14:textId="446D00BB" w:rsidR="000604B2" w:rsidRPr="001456A2" w:rsidRDefault="000604B2">
            <w:pPr>
              <w:pStyle w:val="ExhibitText"/>
              <w:jc w:val="left"/>
              <w:rPr>
                <w:sz w:val="18"/>
                <w:szCs w:val="18"/>
              </w:rPr>
            </w:pPr>
            <w:r w:rsidRPr="005630DE">
              <w:rPr>
                <w:sz w:val="18"/>
                <w:szCs w:val="18"/>
              </w:rPr>
              <w:t>Port</w:t>
            </w:r>
            <w:r w:rsidR="00BE645A">
              <w:rPr>
                <w:sz w:val="18"/>
                <w:szCs w:val="18"/>
              </w:rPr>
              <w:t>-</w:t>
            </w:r>
            <w:proofErr w:type="spellStart"/>
            <w:r w:rsidRPr="005630DE">
              <w:rPr>
                <w:sz w:val="18"/>
                <w:szCs w:val="18"/>
              </w:rPr>
              <w:t>Salut</w:t>
            </w:r>
            <w:proofErr w:type="spellEnd"/>
          </w:p>
        </w:tc>
        <w:tc>
          <w:tcPr>
            <w:tcW w:w="1080" w:type="dxa"/>
            <w:tcBorders>
              <w:top w:val="single" w:sz="4" w:space="0" w:color="auto"/>
              <w:left w:val="single" w:sz="4" w:space="0" w:color="auto"/>
              <w:bottom w:val="single" w:sz="4" w:space="0" w:color="auto"/>
              <w:right w:val="single" w:sz="4" w:space="0" w:color="auto"/>
            </w:tcBorders>
            <w:vAlign w:val="center"/>
            <w:hideMark/>
          </w:tcPr>
          <w:p w14:paraId="4EB514D7" w14:textId="24C1F0B5" w:rsidR="000604B2" w:rsidRPr="009E116E" w:rsidRDefault="000604B2" w:rsidP="000604B2">
            <w:pPr>
              <w:pStyle w:val="ExhibitText"/>
              <w:jc w:val="right"/>
              <w:rPr>
                <w:sz w:val="18"/>
                <w:szCs w:val="18"/>
              </w:rPr>
            </w:pPr>
            <w:r w:rsidRPr="005630DE">
              <w:rPr>
                <w:sz w:val="18"/>
                <w:szCs w:val="18"/>
              </w:rPr>
              <w:t>17</w:t>
            </w:r>
            <w:r w:rsidR="00BE645A">
              <w:rPr>
                <w:sz w:val="18"/>
                <w:szCs w:val="18"/>
              </w:rPr>
              <w:t>,</w:t>
            </w:r>
            <w:r w:rsidRPr="005630DE">
              <w:rPr>
                <w:sz w:val="18"/>
                <w:szCs w:val="18"/>
              </w:rPr>
              <w:t>368</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3ED6010" w14:textId="3F3C2360" w:rsidR="000604B2" w:rsidRPr="009E116E" w:rsidRDefault="000604B2" w:rsidP="000604B2">
            <w:pPr>
              <w:pStyle w:val="ExhibitText"/>
              <w:jc w:val="right"/>
              <w:rPr>
                <w:sz w:val="18"/>
                <w:szCs w:val="18"/>
              </w:rPr>
            </w:pPr>
            <w:r w:rsidRPr="005630DE">
              <w:rPr>
                <w:sz w:val="18"/>
                <w:szCs w:val="18"/>
              </w:rPr>
              <w:t>9</w:t>
            </w:r>
            <w:r w:rsidR="00BE645A">
              <w:rPr>
                <w:sz w:val="18"/>
                <w:szCs w:val="18"/>
              </w:rPr>
              <w:t>,</w:t>
            </w:r>
            <w:r w:rsidRPr="005630DE">
              <w:rPr>
                <w:sz w:val="18"/>
                <w:szCs w:val="18"/>
              </w:rPr>
              <w:t>598</w:t>
            </w:r>
          </w:p>
        </w:tc>
        <w:tc>
          <w:tcPr>
            <w:tcW w:w="900" w:type="dxa"/>
            <w:tcBorders>
              <w:top w:val="single" w:sz="4" w:space="0" w:color="auto"/>
              <w:left w:val="single" w:sz="4" w:space="0" w:color="auto"/>
              <w:bottom w:val="single" w:sz="4" w:space="0" w:color="auto"/>
              <w:right w:val="single" w:sz="4" w:space="0" w:color="auto"/>
            </w:tcBorders>
            <w:vAlign w:val="center"/>
            <w:hideMark/>
          </w:tcPr>
          <w:p w14:paraId="148B0521" w14:textId="0125E8A1" w:rsidR="000604B2" w:rsidRPr="009E116E" w:rsidRDefault="000604B2" w:rsidP="000604B2">
            <w:pPr>
              <w:pStyle w:val="ExhibitText"/>
              <w:jc w:val="right"/>
              <w:rPr>
                <w:sz w:val="18"/>
                <w:szCs w:val="18"/>
              </w:rPr>
            </w:pPr>
            <w:r w:rsidRPr="005630DE">
              <w:rPr>
                <w:sz w:val="18"/>
                <w:szCs w:val="18"/>
              </w:rPr>
              <w:t>3</w:t>
            </w:r>
            <w:r w:rsidR="00BE645A">
              <w:rPr>
                <w:sz w:val="18"/>
                <w:szCs w:val="18"/>
              </w:rPr>
              <w:t>,</w:t>
            </w:r>
            <w:r w:rsidRPr="005630DE">
              <w:rPr>
                <w:sz w:val="18"/>
                <w:szCs w:val="18"/>
              </w:rPr>
              <w:t>625</w:t>
            </w:r>
          </w:p>
        </w:tc>
        <w:tc>
          <w:tcPr>
            <w:tcW w:w="990" w:type="dxa"/>
            <w:tcBorders>
              <w:top w:val="single" w:sz="4" w:space="0" w:color="auto"/>
              <w:left w:val="single" w:sz="4" w:space="0" w:color="auto"/>
              <w:bottom w:val="single" w:sz="4" w:space="0" w:color="auto"/>
              <w:right w:val="single" w:sz="4" w:space="0" w:color="auto"/>
            </w:tcBorders>
            <w:vAlign w:val="center"/>
            <w:hideMark/>
          </w:tcPr>
          <w:p w14:paraId="3450891F" w14:textId="265A184B" w:rsidR="000604B2" w:rsidRPr="009E116E" w:rsidRDefault="000604B2">
            <w:pPr>
              <w:pStyle w:val="ExhibitText"/>
              <w:jc w:val="right"/>
              <w:rPr>
                <w:sz w:val="18"/>
                <w:szCs w:val="18"/>
              </w:rPr>
            </w:pPr>
            <w:r w:rsidRPr="005630DE">
              <w:rPr>
                <w:sz w:val="18"/>
                <w:szCs w:val="18"/>
              </w:rPr>
              <w:t>4</w:t>
            </w:r>
            <w:r w:rsidR="00DF0D07">
              <w:rPr>
                <w:sz w:val="18"/>
                <w:szCs w:val="18"/>
              </w:rPr>
              <w:t>9</w:t>
            </w:r>
          </w:p>
        </w:tc>
        <w:tc>
          <w:tcPr>
            <w:tcW w:w="900" w:type="dxa"/>
            <w:tcBorders>
              <w:top w:val="single" w:sz="4" w:space="0" w:color="auto"/>
              <w:left w:val="single" w:sz="4" w:space="0" w:color="auto"/>
              <w:bottom w:val="single" w:sz="4" w:space="0" w:color="auto"/>
              <w:right w:val="single" w:sz="4" w:space="0" w:color="auto"/>
            </w:tcBorders>
            <w:vAlign w:val="center"/>
            <w:hideMark/>
          </w:tcPr>
          <w:p w14:paraId="10A944B4" w14:textId="264AD4C5" w:rsidR="000604B2" w:rsidRPr="009E116E" w:rsidRDefault="000604B2" w:rsidP="000604B2">
            <w:pPr>
              <w:pStyle w:val="ExhibitText"/>
              <w:jc w:val="right"/>
              <w:rPr>
                <w:sz w:val="18"/>
                <w:szCs w:val="18"/>
              </w:rPr>
            </w:pPr>
            <w:r w:rsidRPr="005630DE">
              <w:rPr>
                <w:sz w:val="18"/>
                <w:szCs w:val="18"/>
              </w:rPr>
              <w:t>356</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8BD6A15" w14:textId="3C86997C" w:rsidR="000604B2" w:rsidRPr="009E116E" w:rsidRDefault="000604B2" w:rsidP="00542316">
            <w:pPr>
              <w:pStyle w:val="ExhibitText"/>
              <w:jc w:val="right"/>
              <w:rPr>
                <w:sz w:val="18"/>
                <w:szCs w:val="18"/>
              </w:rPr>
            </w:pPr>
            <w:r w:rsidRPr="005630DE">
              <w:rPr>
                <w:sz w:val="18"/>
                <w:szCs w:val="18"/>
              </w:rPr>
              <w:t>-</w:t>
            </w:r>
          </w:p>
        </w:tc>
        <w:tc>
          <w:tcPr>
            <w:tcW w:w="720" w:type="dxa"/>
            <w:tcBorders>
              <w:top w:val="single" w:sz="4" w:space="0" w:color="auto"/>
              <w:left w:val="single" w:sz="4" w:space="0" w:color="auto"/>
              <w:bottom w:val="single" w:sz="4" w:space="0" w:color="auto"/>
              <w:right w:val="single" w:sz="4" w:space="0" w:color="auto"/>
            </w:tcBorders>
            <w:vAlign w:val="center"/>
            <w:hideMark/>
          </w:tcPr>
          <w:p w14:paraId="259B866A" w14:textId="2857F241" w:rsidR="000604B2" w:rsidRPr="009E116E" w:rsidRDefault="000604B2" w:rsidP="000604B2">
            <w:pPr>
              <w:pStyle w:val="ExhibitText"/>
              <w:jc w:val="right"/>
              <w:rPr>
                <w:sz w:val="18"/>
                <w:szCs w:val="18"/>
              </w:rPr>
            </w:pPr>
            <w:r w:rsidRPr="005630DE">
              <w:rPr>
                <w:sz w:val="18"/>
                <w:szCs w:val="18"/>
              </w:rPr>
              <w:t>-</w:t>
            </w:r>
          </w:p>
        </w:tc>
        <w:tc>
          <w:tcPr>
            <w:tcW w:w="777" w:type="dxa"/>
            <w:tcBorders>
              <w:top w:val="single" w:sz="4" w:space="0" w:color="auto"/>
              <w:left w:val="single" w:sz="4" w:space="0" w:color="auto"/>
              <w:bottom w:val="single" w:sz="4" w:space="0" w:color="auto"/>
              <w:right w:val="single" w:sz="4" w:space="0" w:color="auto"/>
            </w:tcBorders>
            <w:vAlign w:val="center"/>
            <w:hideMark/>
          </w:tcPr>
          <w:p w14:paraId="5A8061BB" w14:textId="7468BCD6" w:rsidR="000604B2" w:rsidRPr="009E116E"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A3218E1" w14:textId="27FE4003" w:rsidR="000604B2" w:rsidRPr="009E116E" w:rsidRDefault="000604B2" w:rsidP="000604B2">
            <w:pPr>
              <w:pStyle w:val="ExhibitText"/>
              <w:jc w:val="right"/>
              <w:rPr>
                <w:sz w:val="18"/>
                <w:szCs w:val="18"/>
              </w:rPr>
            </w:pPr>
            <w:r w:rsidRPr="005630DE">
              <w:rPr>
                <w:sz w:val="18"/>
                <w:szCs w:val="18"/>
              </w:rPr>
              <w:t>-</w:t>
            </w:r>
          </w:p>
        </w:tc>
        <w:tc>
          <w:tcPr>
            <w:tcW w:w="928" w:type="dxa"/>
            <w:tcBorders>
              <w:top w:val="single" w:sz="4" w:space="0" w:color="auto"/>
              <w:left w:val="single" w:sz="4" w:space="0" w:color="auto"/>
              <w:bottom w:val="single" w:sz="4" w:space="0" w:color="auto"/>
              <w:right w:val="single" w:sz="4" w:space="0" w:color="auto"/>
            </w:tcBorders>
            <w:vAlign w:val="center"/>
            <w:hideMark/>
          </w:tcPr>
          <w:p w14:paraId="3EF13054" w14:textId="3F6A8EF8" w:rsidR="000604B2" w:rsidRPr="009E116E"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45D7D005" w14:textId="4DA11646" w:rsidR="000604B2" w:rsidRPr="009E116E" w:rsidRDefault="000604B2" w:rsidP="000604B2">
            <w:pPr>
              <w:pStyle w:val="ExhibitText"/>
              <w:jc w:val="right"/>
              <w:rPr>
                <w:sz w:val="18"/>
                <w:szCs w:val="18"/>
              </w:rPr>
            </w:pPr>
            <w:r w:rsidRPr="005630DE">
              <w:rPr>
                <w:sz w:val="18"/>
                <w:szCs w:val="18"/>
              </w:rPr>
              <w:t>-</w:t>
            </w:r>
          </w:p>
        </w:tc>
        <w:tc>
          <w:tcPr>
            <w:tcW w:w="929" w:type="dxa"/>
            <w:tcBorders>
              <w:top w:val="single" w:sz="4" w:space="0" w:color="auto"/>
              <w:left w:val="single" w:sz="4" w:space="0" w:color="auto"/>
              <w:bottom w:val="single" w:sz="4" w:space="0" w:color="auto"/>
              <w:right w:val="single" w:sz="4" w:space="0" w:color="auto"/>
            </w:tcBorders>
            <w:vAlign w:val="center"/>
            <w:hideMark/>
          </w:tcPr>
          <w:p w14:paraId="035430ED" w14:textId="37646503" w:rsidR="000604B2" w:rsidRPr="009E116E" w:rsidRDefault="000604B2" w:rsidP="000604B2">
            <w:pPr>
              <w:pStyle w:val="ExhibitText"/>
              <w:jc w:val="right"/>
              <w:rPr>
                <w:sz w:val="18"/>
                <w:szCs w:val="18"/>
              </w:rPr>
            </w:pPr>
            <w:r w:rsidRPr="005630DE">
              <w:rPr>
                <w:sz w:val="18"/>
                <w:szCs w:val="18"/>
              </w:rPr>
              <w:t>-</w:t>
            </w:r>
          </w:p>
        </w:tc>
      </w:tr>
    </w:tbl>
    <w:p w14:paraId="3AB0692D" w14:textId="77777777" w:rsidR="000604B2" w:rsidRPr="005630DE" w:rsidRDefault="000604B2" w:rsidP="000604B2"/>
    <w:p w14:paraId="0CE4C311" w14:textId="0C8AEF73" w:rsidR="00153EB4" w:rsidRDefault="00E965D8" w:rsidP="00153EB4">
      <w:pPr>
        <w:pStyle w:val="Footnote"/>
      </w:pPr>
      <w:r>
        <w:t xml:space="preserve">Note: EDH = </w:t>
      </w:r>
      <w:proofErr w:type="spellStart"/>
      <w:r>
        <w:t>Électricité</w:t>
      </w:r>
      <w:proofErr w:type="spellEnd"/>
      <w:r>
        <w:t xml:space="preserve"> </w:t>
      </w:r>
      <w:proofErr w:type="spellStart"/>
      <w:r>
        <w:t>d’Haïti</w:t>
      </w:r>
      <w:proofErr w:type="spellEnd"/>
      <w:r>
        <w:t xml:space="preserve">; </w:t>
      </w:r>
      <w:proofErr w:type="gramStart"/>
      <w:r>
        <w:t>gal</w:t>
      </w:r>
      <w:proofErr w:type="gramEnd"/>
      <w:r>
        <w:t>. = U.S. liquid gallons; km</w:t>
      </w:r>
      <w:r w:rsidRPr="00542316">
        <w:rPr>
          <w:vertAlign w:val="superscript"/>
        </w:rPr>
        <w:t>2</w:t>
      </w:r>
      <w:r>
        <w:t xml:space="preserve"> = square kilometre; MWh = megawatt-hour; </w:t>
      </w:r>
      <w:proofErr w:type="spellStart"/>
      <w:r w:rsidR="00153EB4">
        <w:t>Thermo</w:t>
      </w:r>
      <w:proofErr w:type="spellEnd"/>
      <w:r w:rsidR="00153EB4">
        <w:t xml:space="preserve"> </w:t>
      </w:r>
      <w:r w:rsidR="00D75FCD">
        <w:t xml:space="preserve">G </w:t>
      </w:r>
      <w:r w:rsidR="00153EB4">
        <w:t xml:space="preserve">= Gasoline, </w:t>
      </w:r>
      <w:proofErr w:type="spellStart"/>
      <w:r w:rsidR="00153EB4">
        <w:t>Thermo</w:t>
      </w:r>
      <w:proofErr w:type="spellEnd"/>
      <w:r w:rsidR="00153EB4">
        <w:t xml:space="preserve"> H = Heavy Fuel Oil, </w:t>
      </w:r>
      <w:proofErr w:type="spellStart"/>
      <w:r w:rsidR="00153EB4">
        <w:t>Thermo</w:t>
      </w:r>
      <w:proofErr w:type="spellEnd"/>
      <w:r w:rsidR="00153EB4">
        <w:t xml:space="preserve"> D = Diesel, </w:t>
      </w:r>
      <w:proofErr w:type="spellStart"/>
      <w:r w:rsidR="00153EB4">
        <w:t>Thermo</w:t>
      </w:r>
      <w:proofErr w:type="spellEnd"/>
      <w:r w:rsidR="00153EB4">
        <w:t xml:space="preserve"> M = Mixed.</w:t>
      </w:r>
    </w:p>
    <w:p w14:paraId="0430FBF3" w14:textId="475C8DAB" w:rsidR="000604B2" w:rsidRDefault="000604B2" w:rsidP="000604B2">
      <w:pPr>
        <w:pStyle w:val="Footnote"/>
      </w:pPr>
      <w:r w:rsidRPr="005630DE">
        <w:t>Source:</w:t>
      </w:r>
      <w:r>
        <w:t xml:space="preserve"> </w:t>
      </w:r>
      <w:r w:rsidRPr="005630DE">
        <w:t>Government</w:t>
      </w:r>
      <w:r>
        <w:t xml:space="preserve"> </w:t>
      </w:r>
      <w:r w:rsidRPr="005630DE">
        <w:t>of</w:t>
      </w:r>
      <w:r>
        <w:t xml:space="preserve"> </w:t>
      </w:r>
      <w:r w:rsidRPr="005630DE">
        <w:t>Haiti</w:t>
      </w:r>
      <w:r w:rsidR="00D4624F">
        <w:t>, Department of Energy Security.</w:t>
      </w:r>
    </w:p>
    <w:p w14:paraId="3F021110" w14:textId="2183EA00" w:rsidR="00027FDB" w:rsidRPr="005630DE" w:rsidRDefault="00027FDB" w:rsidP="000604B2">
      <w:pPr>
        <w:pStyle w:val="ExhibitText"/>
      </w:pPr>
    </w:p>
    <w:p w14:paraId="6D675DAC" w14:textId="77777777" w:rsidR="00027FDB" w:rsidRPr="005630DE" w:rsidRDefault="00027FDB" w:rsidP="00A970A4">
      <w:pPr>
        <w:pStyle w:val="Footnote"/>
        <w:sectPr w:rsidR="00027FDB" w:rsidRPr="005630DE" w:rsidSect="00507015">
          <w:endnotePr>
            <w:numFmt w:val="decimal"/>
          </w:endnotePr>
          <w:type w:val="continuous"/>
          <w:pgSz w:w="15840" w:h="12240" w:orient="landscape"/>
          <w:pgMar w:top="1440" w:right="1440" w:bottom="1440" w:left="1440" w:header="1080" w:footer="720" w:gutter="0"/>
          <w:cols w:space="720"/>
          <w:docGrid w:linePitch="360"/>
        </w:sectPr>
      </w:pPr>
    </w:p>
    <w:p w14:paraId="4A675701" w14:textId="498A6541" w:rsidR="00027FDB" w:rsidRPr="005630DE" w:rsidRDefault="00027FDB" w:rsidP="00A85BD3">
      <w:pPr>
        <w:pStyle w:val="ExhibitHeading"/>
        <w:outlineLvl w:val="0"/>
      </w:pPr>
      <w:bookmarkStart w:id="1" w:name="_Ref390521760"/>
      <w:bookmarkStart w:id="2" w:name="_Ref390521753"/>
      <w:r w:rsidRPr="005630DE">
        <w:lastRenderedPageBreak/>
        <w:t>Exhibit</w:t>
      </w:r>
      <w:r w:rsidR="00DF0D07">
        <w:t xml:space="preserve"> </w:t>
      </w:r>
      <w:r w:rsidRPr="005630DE">
        <w:fldChar w:fldCharType="begin"/>
      </w:r>
      <w:r w:rsidRPr="005630DE">
        <w:instrText xml:space="preserve"> SEQ Exhibit \* ARABIC </w:instrText>
      </w:r>
      <w:r w:rsidRPr="005630DE">
        <w:fldChar w:fldCharType="separate"/>
      </w:r>
      <w:r w:rsidR="00BB6432">
        <w:rPr>
          <w:noProof/>
        </w:rPr>
        <w:t>6</w:t>
      </w:r>
      <w:r w:rsidRPr="005630DE">
        <w:fldChar w:fldCharType="end"/>
      </w:r>
      <w:bookmarkEnd w:id="1"/>
      <w:r w:rsidRPr="005630DE">
        <w:t>:</w:t>
      </w:r>
      <w:r w:rsidR="00DF0D07">
        <w:t xml:space="preserve"> </w:t>
      </w:r>
      <w:r w:rsidRPr="005630DE">
        <w:t>Energy</w:t>
      </w:r>
      <w:r w:rsidR="00DF0D07">
        <w:t xml:space="preserve"> </w:t>
      </w:r>
      <w:r w:rsidRPr="005630DE">
        <w:t>Consumption</w:t>
      </w:r>
      <w:r w:rsidR="00DF0D07">
        <w:t xml:space="preserve"> </w:t>
      </w:r>
      <w:r w:rsidRPr="005630DE">
        <w:t>in</w:t>
      </w:r>
      <w:r w:rsidR="00DF0D07">
        <w:t xml:space="preserve"> </w:t>
      </w:r>
      <w:r w:rsidRPr="005630DE">
        <w:t>Haiti</w:t>
      </w:r>
      <w:r w:rsidR="00DF0D07">
        <w:t xml:space="preserve"> </w:t>
      </w:r>
      <w:r w:rsidRPr="005630DE">
        <w:t>(2013)</w:t>
      </w:r>
      <w:bookmarkEnd w:id="2"/>
    </w:p>
    <w:p w14:paraId="15996363" w14:textId="77777777" w:rsidR="00027FDB" w:rsidRPr="005630DE" w:rsidRDefault="00027FDB" w:rsidP="00542316">
      <w:pPr>
        <w:pStyle w:val="ExhibitText"/>
      </w:pPr>
    </w:p>
    <w:tbl>
      <w:tblPr>
        <w:tblW w:w="5000" w:type="pct"/>
        <w:jc w:val="center"/>
        <w:tblBorders>
          <w:insideH w:val="dotted" w:sz="4" w:space="0" w:color="auto"/>
        </w:tblBorders>
        <w:tblLayout w:type="fixed"/>
        <w:tblLook w:val="04A0" w:firstRow="1" w:lastRow="0" w:firstColumn="1" w:lastColumn="0" w:noHBand="0" w:noVBand="1"/>
      </w:tblPr>
      <w:tblGrid>
        <w:gridCol w:w="1530"/>
        <w:gridCol w:w="1620"/>
        <w:gridCol w:w="1552"/>
        <w:gridCol w:w="1553"/>
        <w:gridCol w:w="1552"/>
        <w:gridCol w:w="1553"/>
      </w:tblGrid>
      <w:tr w:rsidR="009C5424" w:rsidRPr="0028381A" w14:paraId="2C8699E5" w14:textId="77777777" w:rsidTr="00174436">
        <w:trPr>
          <w:trHeight w:val="45"/>
          <w:jc w:val="center"/>
        </w:trPr>
        <w:tc>
          <w:tcPr>
            <w:tcW w:w="1530" w:type="dxa"/>
            <w:tcBorders>
              <w:top w:val="single" w:sz="4" w:space="0" w:color="auto"/>
              <w:bottom w:val="single" w:sz="4" w:space="0" w:color="auto"/>
            </w:tcBorders>
            <w:shd w:val="clear" w:color="auto" w:fill="auto"/>
            <w:vAlign w:val="center"/>
            <w:hideMark/>
          </w:tcPr>
          <w:p w14:paraId="7981AFE1" w14:textId="6524D3D6" w:rsidR="00027FDB" w:rsidRPr="00542316" w:rsidRDefault="00027FDB" w:rsidP="00DF0D07">
            <w:pPr>
              <w:pStyle w:val="ExhibitText"/>
              <w:jc w:val="left"/>
              <w:rPr>
                <w:b/>
                <w:sz w:val="18"/>
                <w:szCs w:val="18"/>
                <w:lang w:eastAsia="en-CA"/>
              </w:rPr>
            </w:pPr>
            <w:r w:rsidRPr="00542316">
              <w:rPr>
                <w:b/>
                <w:sz w:val="18"/>
                <w:szCs w:val="18"/>
                <w:lang w:eastAsia="en-CA"/>
              </w:rPr>
              <w:t>Sector</w:t>
            </w:r>
          </w:p>
        </w:tc>
        <w:tc>
          <w:tcPr>
            <w:tcW w:w="1620" w:type="dxa"/>
            <w:tcBorders>
              <w:top w:val="single" w:sz="4" w:space="0" w:color="auto"/>
              <w:bottom w:val="single" w:sz="4" w:space="0" w:color="auto"/>
            </w:tcBorders>
            <w:shd w:val="clear" w:color="auto" w:fill="auto"/>
            <w:noWrap/>
            <w:vAlign w:val="center"/>
            <w:hideMark/>
          </w:tcPr>
          <w:p w14:paraId="7F4547DD" w14:textId="307C7376" w:rsidR="00027FDB" w:rsidRPr="00542316" w:rsidRDefault="00027FDB" w:rsidP="009C5424">
            <w:pPr>
              <w:pStyle w:val="ExhibitText"/>
              <w:jc w:val="right"/>
              <w:rPr>
                <w:b/>
                <w:sz w:val="18"/>
                <w:szCs w:val="18"/>
                <w:lang w:eastAsia="en-CA"/>
              </w:rPr>
            </w:pPr>
            <w:r w:rsidRPr="00542316">
              <w:rPr>
                <w:b/>
                <w:sz w:val="18"/>
                <w:szCs w:val="18"/>
                <w:lang w:eastAsia="en-CA"/>
              </w:rPr>
              <w:t>Oil</w:t>
            </w:r>
            <w:r w:rsidR="00DF0D07" w:rsidRPr="00542316">
              <w:rPr>
                <w:b/>
                <w:sz w:val="18"/>
                <w:szCs w:val="18"/>
                <w:lang w:eastAsia="en-CA"/>
              </w:rPr>
              <w:t xml:space="preserve"> </w:t>
            </w:r>
            <w:r w:rsidR="009C5424">
              <w:rPr>
                <w:b/>
                <w:sz w:val="18"/>
                <w:szCs w:val="18"/>
                <w:lang w:eastAsia="en-CA"/>
              </w:rPr>
              <w:t>P</w:t>
            </w:r>
            <w:r w:rsidRPr="00542316">
              <w:rPr>
                <w:b/>
                <w:sz w:val="18"/>
                <w:szCs w:val="18"/>
                <w:lang w:eastAsia="en-CA"/>
              </w:rPr>
              <w:t>roducts</w:t>
            </w:r>
            <w:r w:rsidR="009C5424">
              <w:rPr>
                <w:b/>
                <w:sz w:val="18"/>
                <w:szCs w:val="18"/>
                <w:lang w:eastAsia="en-CA"/>
              </w:rPr>
              <w:t xml:space="preserve"> (%)</w:t>
            </w:r>
          </w:p>
        </w:tc>
        <w:tc>
          <w:tcPr>
            <w:tcW w:w="1552" w:type="dxa"/>
            <w:tcBorders>
              <w:top w:val="single" w:sz="4" w:space="0" w:color="auto"/>
              <w:bottom w:val="single" w:sz="4" w:space="0" w:color="auto"/>
            </w:tcBorders>
            <w:shd w:val="clear" w:color="auto" w:fill="auto"/>
            <w:noWrap/>
            <w:vAlign w:val="center"/>
            <w:hideMark/>
          </w:tcPr>
          <w:p w14:paraId="1FE2F6AD" w14:textId="193A6C3D" w:rsidR="00027FDB" w:rsidRPr="00542316" w:rsidRDefault="00027FDB" w:rsidP="009C5424">
            <w:pPr>
              <w:pStyle w:val="ExhibitText"/>
              <w:jc w:val="right"/>
              <w:rPr>
                <w:b/>
                <w:sz w:val="18"/>
                <w:szCs w:val="18"/>
                <w:lang w:eastAsia="en-CA"/>
              </w:rPr>
            </w:pPr>
            <w:r w:rsidRPr="00542316">
              <w:rPr>
                <w:b/>
                <w:sz w:val="18"/>
                <w:szCs w:val="18"/>
                <w:lang w:eastAsia="en-CA"/>
              </w:rPr>
              <w:t>Biomass</w:t>
            </w:r>
            <w:r w:rsidR="009C5424">
              <w:rPr>
                <w:b/>
                <w:sz w:val="18"/>
                <w:szCs w:val="18"/>
                <w:lang w:eastAsia="en-CA"/>
              </w:rPr>
              <w:t xml:space="preserve"> (%)</w:t>
            </w:r>
          </w:p>
        </w:tc>
        <w:tc>
          <w:tcPr>
            <w:tcW w:w="1553" w:type="dxa"/>
            <w:tcBorders>
              <w:top w:val="single" w:sz="4" w:space="0" w:color="auto"/>
              <w:bottom w:val="single" w:sz="4" w:space="0" w:color="auto"/>
            </w:tcBorders>
            <w:shd w:val="clear" w:color="auto" w:fill="auto"/>
            <w:noWrap/>
            <w:vAlign w:val="center"/>
            <w:hideMark/>
          </w:tcPr>
          <w:p w14:paraId="611E1B65" w14:textId="36BE2D30" w:rsidR="00027FDB" w:rsidRPr="00542316" w:rsidRDefault="00027FDB" w:rsidP="009C5424">
            <w:pPr>
              <w:pStyle w:val="ExhibitText"/>
              <w:jc w:val="right"/>
              <w:rPr>
                <w:b/>
                <w:sz w:val="18"/>
                <w:szCs w:val="18"/>
                <w:lang w:eastAsia="en-CA"/>
              </w:rPr>
            </w:pPr>
            <w:r w:rsidRPr="00542316">
              <w:rPr>
                <w:b/>
                <w:sz w:val="18"/>
                <w:szCs w:val="18"/>
                <w:lang w:eastAsia="en-CA"/>
              </w:rPr>
              <w:t>Electricity</w:t>
            </w:r>
            <w:r w:rsidR="009C5424">
              <w:rPr>
                <w:b/>
                <w:sz w:val="18"/>
                <w:szCs w:val="18"/>
                <w:lang w:eastAsia="en-CA"/>
              </w:rPr>
              <w:t xml:space="preserve"> (%)</w:t>
            </w:r>
          </w:p>
        </w:tc>
        <w:tc>
          <w:tcPr>
            <w:tcW w:w="1552" w:type="dxa"/>
            <w:tcBorders>
              <w:top w:val="single" w:sz="4" w:space="0" w:color="auto"/>
              <w:bottom w:val="single" w:sz="4" w:space="0" w:color="auto"/>
            </w:tcBorders>
            <w:shd w:val="clear" w:color="auto" w:fill="auto"/>
            <w:vAlign w:val="center"/>
            <w:hideMark/>
          </w:tcPr>
          <w:p w14:paraId="5B0DD5A5" w14:textId="44B3AA0B" w:rsidR="00027FDB" w:rsidRPr="00542316" w:rsidRDefault="009C5424" w:rsidP="00542316">
            <w:pPr>
              <w:pStyle w:val="ExhibitText"/>
              <w:jc w:val="right"/>
              <w:rPr>
                <w:b/>
                <w:sz w:val="18"/>
                <w:szCs w:val="18"/>
                <w:lang w:eastAsia="en-CA"/>
              </w:rPr>
            </w:pPr>
            <w:r>
              <w:rPr>
                <w:b/>
                <w:sz w:val="18"/>
                <w:szCs w:val="18"/>
                <w:lang w:eastAsia="en-CA"/>
              </w:rPr>
              <w:t>TOEs</w:t>
            </w:r>
            <w:r w:rsidR="00DF0D07" w:rsidRPr="00542316">
              <w:rPr>
                <w:b/>
                <w:sz w:val="18"/>
                <w:szCs w:val="18"/>
                <w:lang w:eastAsia="en-CA"/>
              </w:rPr>
              <w:t xml:space="preserve"> </w:t>
            </w:r>
            <w:r w:rsidR="00D4624F">
              <w:rPr>
                <w:b/>
                <w:sz w:val="18"/>
                <w:szCs w:val="18"/>
                <w:lang w:eastAsia="en-CA"/>
              </w:rPr>
              <w:t>'</w:t>
            </w:r>
            <w:r w:rsidR="00DF0D07" w:rsidRPr="00542316">
              <w:rPr>
                <w:b/>
                <w:sz w:val="18"/>
                <w:szCs w:val="18"/>
                <w:lang w:eastAsia="en-CA"/>
              </w:rPr>
              <w:t>000s</w:t>
            </w:r>
          </w:p>
        </w:tc>
        <w:tc>
          <w:tcPr>
            <w:tcW w:w="1553" w:type="dxa"/>
            <w:tcBorders>
              <w:top w:val="single" w:sz="4" w:space="0" w:color="auto"/>
              <w:bottom w:val="single" w:sz="4" w:space="0" w:color="auto"/>
            </w:tcBorders>
            <w:shd w:val="clear" w:color="auto" w:fill="auto"/>
            <w:vAlign w:val="center"/>
            <w:hideMark/>
          </w:tcPr>
          <w:p w14:paraId="3CCA009F" w14:textId="40FC2A58" w:rsidR="00027FDB" w:rsidRPr="00542316" w:rsidRDefault="00027FDB" w:rsidP="009C5424">
            <w:pPr>
              <w:pStyle w:val="ExhibitText"/>
              <w:jc w:val="right"/>
              <w:rPr>
                <w:b/>
                <w:sz w:val="18"/>
                <w:szCs w:val="18"/>
                <w:lang w:eastAsia="en-CA"/>
              </w:rPr>
            </w:pPr>
            <w:r w:rsidRPr="00542316">
              <w:rPr>
                <w:b/>
                <w:sz w:val="18"/>
                <w:szCs w:val="18"/>
                <w:lang w:eastAsia="en-CA"/>
              </w:rPr>
              <w:t>Consumption</w:t>
            </w:r>
            <w:r w:rsidR="00DF0D07" w:rsidRPr="00542316">
              <w:rPr>
                <w:b/>
                <w:sz w:val="18"/>
                <w:szCs w:val="18"/>
                <w:lang w:eastAsia="en-CA"/>
              </w:rPr>
              <w:t xml:space="preserve"> (% </w:t>
            </w:r>
            <w:r w:rsidRPr="00542316">
              <w:rPr>
                <w:b/>
                <w:sz w:val="18"/>
                <w:szCs w:val="18"/>
                <w:lang w:eastAsia="en-CA"/>
              </w:rPr>
              <w:t>of</w:t>
            </w:r>
            <w:r w:rsidR="00DF0D07" w:rsidRPr="00542316">
              <w:rPr>
                <w:b/>
                <w:sz w:val="18"/>
                <w:szCs w:val="18"/>
                <w:lang w:eastAsia="en-CA"/>
              </w:rPr>
              <w:t> </w:t>
            </w:r>
            <w:r w:rsidRPr="00542316">
              <w:rPr>
                <w:b/>
                <w:sz w:val="18"/>
                <w:szCs w:val="18"/>
                <w:lang w:eastAsia="en-CA"/>
              </w:rPr>
              <w:t>total</w:t>
            </w:r>
            <w:r w:rsidR="00DF0D07" w:rsidRPr="00542316">
              <w:rPr>
                <w:b/>
                <w:sz w:val="18"/>
                <w:szCs w:val="18"/>
                <w:lang w:eastAsia="en-CA"/>
              </w:rPr>
              <w:t>)</w:t>
            </w:r>
          </w:p>
        </w:tc>
      </w:tr>
      <w:tr w:rsidR="009C5424" w:rsidRPr="0028381A" w14:paraId="6DC09A76" w14:textId="77777777" w:rsidTr="00174436">
        <w:trPr>
          <w:trHeight w:val="103"/>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AC0A1" w14:textId="77777777" w:rsidR="00027FDB" w:rsidRPr="00542316" w:rsidRDefault="00027FDB" w:rsidP="00DF0D07">
            <w:pPr>
              <w:pStyle w:val="ExhibitText"/>
              <w:jc w:val="left"/>
              <w:rPr>
                <w:sz w:val="18"/>
                <w:szCs w:val="18"/>
                <w:lang w:eastAsia="en-CA"/>
              </w:rPr>
            </w:pPr>
            <w:r w:rsidRPr="00542316">
              <w:rPr>
                <w:sz w:val="18"/>
                <w:szCs w:val="18"/>
                <w:lang w:eastAsia="en-CA"/>
              </w:rPr>
              <w:t>Industry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CC38A" w14:textId="24F13ED9" w:rsidR="00027FDB" w:rsidRPr="00542316" w:rsidRDefault="00027FDB" w:rsidP="00DF0D07">
            <w:pPr>
              <w:pStyle w:val="ExhibitText"/>
              <w:jc w:val="right"/>
              <w:rPr>
                <w:sz w:val="18"/>
                <w:szCs w:val="18"/>
                <w:lang w:eastAsia="en-CA"/>
              </w:rPr>
            </w:pPr>
            <w:r w:rsidRPr="00542316">
              <w:rPr>
                <w:sz w:val="18"/>
                <w:szCs w:val="18"/>
                <w:lang w:eastAsia="en-CA"/>
              </w:rPr>
              <w:t>32.9</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68A48" w14:textId="5604CC3E" w:rsidR="00027FDB" w:rsidRPr="00542316" w:rsidRDefault="00027FDB" w:rsidP="00DF0D07">
            <w:pPr>
              <w:pStyle w:val="ExhibitText"/>
              <w:jc w:val="right"/>
              <w:rPr>
                <w:sz w:val="18"/>
                <w:szCs w:val="18"/>
                <w:lang w:eastAsia="en-CA"/>
              </w:rPr>
            </w:pPr>
            <w:r w:rsidRPr="00542316">
              <w:rPr>
                <w:sz w:val="18"/>
                <w:szCs w:val="18"/>
                <w:lang w:eastAsia="en-CA"/>
              </w:rPr>
              <w:t>65.9</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3BD74" w14:textId="111C5652" w:rsidR="00027FDB" w:rsidRPr="00542316" w:rsidRDefault="00027FDB" w:rsidP="00DF0D07">
            <w:pPr>
              <w:pStyle w:val="ExhibitText"/>
              <w:jc w:val="right"/>
              <w:rPr>
                <w:sz w:val="18"/>
                <w:szCs w:val="18"/>
                <w:lang w:eastAsia="en-CA"/>
              </w:rPr>
            </w:pPr>
            <w:r w:rsidRPr="00542316">
              <w:rPr>
                <w:sz w:val="18"/>
                <w:szCs w:val="18"/>
                <w:lang w:eastAsia="en-CA"/>
              </w:rPr>
              <w:t>1.2</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7E80D" w14:textId="77777777" w:rsidR="00027FDB" w:rsidRPr="00542316" w:rsidRDefault="00027FDB" w:rsidP="00DF0D07">
            <w:pPr>
              <w:pStyle w:val="ExhibitText"/>
              <w:jc w:val="right"/>
              <w:rPr>
                <w:sz w:val="18"/>
                <w:szCs w:val="18"/>
                <w:lang w:eastAsia="en-CA"/>
              </w:rPr>
            </w:pPr>
            <w:r w:rsidRPr="00542316">
              <w:rPr>
                <w:sz w:val="18"/>
                <w:szCs w:val="18"/>
                <w:lang w:eastAsia="en-CA"/>
              </w:rPr>
              <w:t>504</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E1D8D" w14:textId="07283B91" w:rsidR="00027FDB" w:rsidRPr="00542316" w:rsidRDefault="00027FDB" w:rsidP="00DF0D07">
            <w:pPr>
              <w:pStyle w:val="ExhibitText"/>
              <w:jc w:val="right"/>
              <w:rPr>
                <w:sz w:val="18"/>
                <w:szCs w:val="18"/>
                <w:lang w:eastAsia="en-CA"/>
              </w:rPr>
            </w:pPr>
            <w:r w:rsidRPr="00542316">
              <w:rPr>
                <w:sz w:val="18"/>
                <w:szCs w:val="18"/>
                <w:lang w:eastAsia="en-CA"/>
              </w:rPr>
              <w:t>20</w:t>
            </w:r>
            <w:r w:rsidR="009C5424">
              <w:rPr>
                <w:sz w:val="18"/>
                <w:szCs w:val="18"/>
                <w:lang w:eastAsia="en-CA"/>
              </w:rPr>
              <w:t>.0</w:t>
            </w:r>
          </w:p>
        </w:tc>
      </w:tr>
      <w:tr w:rsidR="009C5424" w:rsidRPr="0028381A" w14:paraId="4F312DA2" w14:textId="77777777" w:rsidTr="00174436">
        <w:trPr>
          <w:trHeight w:val="162"/>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2A4D2" w14:textId="77777777" w:rsidR="00027FDB" w:rsidRPr="00542316" w:rsidRDefault="00027FDB" w:rsidP="00DF0D07">
            <w:pPr>
              <w:pStyle w:val="ExhibitText"/>
              <w:jc w:val="left"/>
              <w:rPr>
                <w:sz w:val="18"/>
                <w:szCs w:val="18"/>
                <w:lang w:eastAsia="en-CA"/>
              </w:rPr>
            </w:pPr>
            <w:r w:rsidRPr="00542316">
              <w:rPr>
                <w:sz w:val="18"/>
                <w:szCs w:val="18"/>
                <w:lang w:eastAsia="en-CA"/>
              </w:rPr>
              <w:t>Transport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9BAD2" w14:textId="2D81F0DC" w:rsidR="00027FDB" w:rsidRPr="00542316" w:rsidRDefault="00027FDB" w:rsidP="00DF0D07">
            <w:pPr>
              <w:pStyle w:val="ExhibitText"/>
              <w:jc w:val="right"/>
              <w:rPr>
                <w:sz w:val="18"/>
                <w:szCs w:val="18"/>
                <w:lang w:eastAsia="en-CA"/>
              </w:rPr>
            </w:pPr>
            <w:r w:rsidRPr="00542316">
              <w:rPr>
                <w:sz w:val="18"/>
                <w:szCs w:val="18"/>
                <w:lang w:eastAsia="en-CA"/>
              </w:rPr>
              <w:t>100</w:t>
            </w:r>
            <w:r w:rsidR="009C5424">
              <w:rPr>
                <w:sz w:val="18"/>
                <w:szCs w:val="18"/>
                <w:lang w:eastAsia="en-CA"/>
              </w:rPr>
              <w:t>.0</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0DC69" w14:textId="6D01F0D3" w:rsidR="00027FDB" w:rsidRPr="00542316" w:rsidRDefault="00027FDB" w:rsidP="00DF0D07">
            <w:pPr>
              <w:pStyle w:val="ExhibitText"/>
              <w:jc w:val="right"/>
              <w:rPr>
                <w:sz w:val="18"/>
                <w:szCs w:val="18"/>
                <w:lang w:eastAsia="en-CA"/>
              </w:rPr>
            </w:pPr>
            <w:r w:rsidRPr="00542316">
              <w:rPr>
                <w:sz w:val="18"/>
                <w:szCs w:val="18"/>
                <w:lang w:eastAsia="en-CA"/>
              </w:rPr>
              <w:t>0</w:t>
            </w:r>
            <w:r w:rsidR="009C5424">
              <w:rPr>
                <w:sz w:val="18"/>
                <w:szCs w:val="18"/>
                <w:lang w:eastAsia="en-CA"/>
              </w:rPr>
              <w:t>.0</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C484FB" w14:textId="7E80C4BC" w:rsidR="00027FDB" w:rsidRPr="00542316" w:rsidRDefault="00027FDB" w:rsidP="00DF0D07">
            <w:pPr>
              <w:pStyle w:val="ExhibitText"/>
              <w:jc w:val="right"/>
              <w:rPr>
                <w:sz w:val="18"/>
                <w:szCs w:val="18"/>
                <w:lang w:eastAsia="en-CA"/>
              </w:rPr>
            </w:pPr>
            <w:r w:rsidRPr="00542316">
              <w:rPr>
                <w:sz w:val="18"/>
                <w:szCs w:val="18"/>
                <w:lang w:eastAsia="en-CA"/>
              </w:rPr>
              <w:t>0</w:t>
            </w:r>
            <w:r w:rsidR="009C5424">
              <w:rPr>
                <w:sz w:val="18"/>
                <w:szCs w:val="18"/>
                <w:lang w:eastAsia="en-CA"/>
              </w:rPr>
              <w:t>.0</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E6D0C" w14:textId="77777777" w:rsidR="00027FDB" w:rsidRPr="00542316" w:rsidRDefault="00027FDB" w:rsidP="00DF0D07">
            <w:pPr>
              <w:pStyle w:val="ExhibitText"/>
              <w:jc w:val="right"/>
              <w:rPr>
                <w:sz w:val="18"/>
                <w:szCs w:val="18"/>
                <w:lang w:eastAsia="en-CA"/>
              </w:rPr>
            </w:pPr>
            <w:r w:rsidRPr="00542316">
              <w:rPr>
                <w:sz w:val="18"/>
                <w:szCs w:val="18"/>
                <w:lang w:eastAsia="en-CA"/>
              </w:rPr>
              <w:t>451</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A335B" w14:textId="2D086AB1" w:rsidR="00027FDB" w:rsidRPr="00542316" w:rsidRDefault="00027FDB" w:rsidP="00DF0D07">
            <w:pPr>
              <w:pStyle w:val="ExhibitText"/>
              <w:jc w:val="right"/>
              <w:rPr>
                <w:sz w:val="18"/>
                <w:szCs w:val="18"/>
                <w:lang w:eastAsia="en-CA"/>
              </w:rPr>
            </w:pPr>
            <w:r w:rsidRPr="00542316">
              <w:rPr>
                <w:sz w:val="18"/>
                <w:szCs w:val="18"/>
                <w:lang w:eastAsia="en-CA"/>
              </w:rPr>
              <w:t>18</w:t>
            </w:r>
            <w:r w:rsidR="009C5424">
              <w:rPr>
                <w:sz w:val="18"/>
                <w:szCs w:val="18"/>
                <w:lang w:eastAsia="en-CA"/>
              </w:rPr>
              <w:t>.0</w:t>
            </w:r>
          </w:p>
        </w:tc>
      </w:tr>
      <w:tr w:rsidR="009C5424" w:rsidRPr="0028381A" w14:paraId="13479751" w14:textId="77777777" w:rsidTr="00174436">
        <w:trPr>
          <w:trHeight w:val="94"/>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07832" w14:textId="77777777" w:rsidR="00027FDB" w:rsidRPr="00542316" w:rsidRDefault="00027FDB" w:rsidP="00DF0D07">
            <w:pPr>
              <w:pStyle w:val="ExhibitText"/>
              <w:jc w:val="left"/>
              <w:rPr>
                <w:sz w:val="18"/>
                <w:szCs w:val="18"/>
                <w:lang w:eastAsia="en-CA"/>
              </w:rPr>
            </w:pPr>
            <w:r w:rsidRPr="00542316">
              <w:rPr>
                <w:sz w:val="18"/>
                <w:szCs w:val="18"/>
                <w:lang w:eastAsia="en-CA"/>
              </w:rPr>
              <w:t>Residential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FCF90" w14:textId="36F1CEA9" w:rsidR="00027FDB" w:rsidRPr="00542316" w:rsidRDefault="00027FDB" w:rsidP="00DF0D07">
            <w:pPr>
              <w:pStyle w:val="ExhibitText"/>
              <w:jc w:val="right"/>
              <w:rPr>
                <w:sz w:val="18"/>
                <w:szCs w:val="18"/>
                <w:lang w:eastAsia="en-CA"/>
              </w:rPr>
            </w:pPr>
            <w:r w:rsidRPr="00542316">
              <w:rPr>
                <w:sz w:val="18"/>
                <w:szCs w:val="18"/>
                <w:lang w:eastAsia="en-CA"/>
              </w:rPr>
              <w:t>5.5</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A8008" w14:textId="7591F25F" w:rsidR="00027FDB" w:rsidRPr="00542316" w:rsidRDefault="00027FDB" w:rsidP="00DF0D07">
            <w:pPr>
              <w:pStyle w:val="ExhibitText"/>
              <w:jc w:val="right"/>
              <w:rPr>
                <w:sz w:val="18"/>
                <w:szCs w:val="18"/>
                <w:lang w:eastAsia="en-CA"/>
              </w:rPr>
            </w:pPr>
            <w:r w:rsidRPr="00542316">
              <w:rPr>
                <w:sz w:val="18"/>
                <w:szCs w:val="18"/>
                <w:lang w:eastAsia="en-CA"/>
              </w:rPr>
              <w:t>94.1</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EA000" w14:textId="7B0C2390" w:rsidR="00027FDB" w:rsidRPr="00542316" w:rsidRDefault="00027FDB" w:rsidP="00DF0D07">
            <w:pPr>
              <w:pStyle w:val="ExhibitText"/>
              <w:jc w:val="right"/>
              <w:rPr>
                <w:sz w:val="18"/>
                <w:szCs w:val="18"/>
                <w:lang w:eastAsia="en-CA"/>
              </w:rPr>
            </w:pPr>
            <w:r w:rsidRPr="00542316">
              <w:rPr>
                <w:sz w:val="18"/>
                <w:szCs w:val="18"/>
                <w:lang w:eastAsia="en-CA"/>
              </w:rPr>
              <w:t>0.5</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D0BD2" w14:textId="5D83AC62" w:rsidR="00027FDB" w:rsidRPr="00542316" w:rsidRDefault="00027FDB" w:rsidP="00DF0D07">
            <w:pPr>
              <w:pStyle w:val="ExhibitText"/>
              <w:jc w:val="right"/>
              <w:rPr>
                <w:sz w:val="18"/>
                <w:szCs w:val="18"/>
                <w:lang w:eastAsia="en-CA"/>
              </w:rPr>
            </w:pPr>
            <w:r w:rsidRPr="00542316">
              <w:rPr>
                <w:sz w:val="18"/>
                <w:szCs w:val="18"/>
                <w:lang w:eastAsia="en-CA"/>
              </w:rPr>
              <w:t>1</w:t>
            </w:r>
            <w:r w:rsidR="009C5424">
              <w:rPr>
                <w:sz w:val="18"/>
                <w:szCs w:val="18"/>
                <w:lang w:eastAsia="en-CA"/>
              </w:rPr>
              <w:t>,</w:t>
            </w:r>
            <w:r w:rsidRPr="00542316">
              <w:rPr>
                <w:sz w:val="18"/>
                <w:szCs w:val="18"/>
                <w:lang w:eastAsia="en-CA"/>
              </w:rPr>
              <w:t>480</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B5FD0" w14:textId="1BBD51A9" w:rsidR="00027FDB" w:rsidRPr="00542316" w:rsidRDefault="00027FDB" w:rsidP="00DF0D07">
            <w:pPr>
              <w:pStyle w:val="ExhibitText"/>
              <w:jc w:val="right"/>
              <w:rPr>
                <w:sz w:val="18"/>
                <w:szCs w:val="18"/>
                <w:lang w:eastAsia="en-CA"/>
              </w:rPr>
            </w:pPr>
            <w:r w:rsidRPr="00542316">
              <w:rPr>
                <w:sz w:val="18"/>
                <w:szCs w:val="18"/>
                <w:lang w:eastAsia="en-CA"/>
              </w:rPr>
              <w:t>50</w:t>
            </w:r>
            <w:r w:rsidR="009C5424">
              <w:rPr>
                <w:sz w:val="18"/>
                <w:szCs w:val="18"/>
                <w:lang w:eastAsia="en-CA"/>
              </w:rPr>
              <w:t>.0</w:t>
            </w:r>
          </w:p>
        </w:tc>
      </w:tr>
      <w:tr w:rsidR="009C5424" w:rsidRPr="0028381A" w14:paraId="0D95928E" w14:textId="77777777" w:rsidTr="00174436">
        <w:trPr>
          <w:trHeight w:val="153"/>
          <w:jc w:val="center"/>
        </w:trPr>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4AF5B" w14:textId="77777777" w:rsidR="00027FDB" w:rsidRPr="00542316" w:rsidRDefault="00027FDB" w:rsidP="00DF0D07">
            <w:pPr>
              <w:pStyle w:val="ExhibitText"/>
              <w:jc w:val="left"/>
              <w:rPr>
                <w:sz w:val="18"/>
                <w:szCs w:val="18"/>
                <w:lang w:eastAsia="en-CA"/>
              </w:rPr>
            </w:pPr>
            <w:r w:rsidRPr="00542316">
              <w:rPr>
                <w:sz w:val="18"/>
                <w:szCs w:val="18"/>
                <w:lang w:eastAsia="en-CA"/>
              </w:rPr>
              <w:t>Other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4800FD" w14:textId="37E9A3B7" w:rsidR="00027FDB" w:rsidRPr="00542316" w:rsidRDefault="00027FDB" w:rsidP="00DF0D07">
            <w:pPr>
              <w:pStyle w:val="ExhibitText"/>
              <w:jc w:val="right"/>
              <w:rPr>
                <w:sz w:val="18"/>
                <w:szCs w:val="18"/>
                <w:lang w:eastAsia="en-CA"/>
              </w:rPr>
            </w:pPr>
            <w:r w:rsidRPr="00542316">
              <w:rPr>
                <w:sz w:val="18"/>
                <w:szCs w:val="18"/>
                <w:lang w:eastAsia="en-CA"/>
              </w:rPr>
              <w:t>0</w:t>
            </w:r>
            <w:r w:rsidR="009C5424">
              <w:rPr>
                <w:sz w:val="18"/>
                <w:szCs w:val="18"/>
                <w:lang w:eastAsia="en-CA"/>
              </w:rPr>
              <w:t>.0</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AB5F6" w14:textId="48F28E18" w:rsidR="00027FDB" w:rsidRPr="00542316" w:rsidRDefault="00027FDB" w:rsidP="00DF0D07">
            <w:pPr>
              <w:pStyle w:val="ExhibitText"/>
              <w:jc w:val="right"/>
              <w:rPr>
                <w:sz w:val="18"/>
                <w:szCs w:val="18"/>
                <w:lang w:eastAsia="en-CA"/>
              </w:rPr>
            </w:pPr>
            <w:r w:rsidRPr="00542316">
              <w:rPr>
                <w:sz w:val="18"/>
                <w:szCs w:val="18"/>
                <w:lang w:eastAsia="en-CA"/>
              </w:rPr>
              <w:t>85.4</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8638" w14:textId="77777777" w:rsidR="00027FDB" w:rsidRPr="00542316" w:rsidRDefault="00027FDB" w:rsidP="00DF0D07">
            <w:pPr>
              <w:pStyle w:val="ExhibitText"/>
              <w:jc w:val="right"/>
              <w:rPr>
                <w:sz w:val="18"/>
                <w:szCs w:val="18"/>
                <w:lang w:eastAsia="en-CA"/>
              </w:rPr>
            </w:pPr>
            <w:r w:rsidRPr="00542316">
              <w:rPr>
                <w:sz w:val="18"/>
                <w:szCs w:val="18"/>
                <w:lang w:eastAsia="en-CA"/>
              </w:rPr>
              <w:t>14.6</w:t>
            </w:r>
          </w:p>
        </w:tc>
        <w:tc>
          <w:tcPr>
            <w:tcW w:w="1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0E2BD" w14:textId="77777777" w:rsidR="00027FDB" w:rsidRPr="00542316" w:rsidRDefault="00027FDB" w:rsidP="00DF0D07">
            <w:pPr>
              <w:pStyle w:val="ExhibitText"/>
              <w:jc w:val="right"/>
              <w:rPr>
                <w:sz w:val="18"/>
                <w:szCs w:val="18"/>
                <w:lang w:eastAsia="en-CA"/>
              </w:rPr>
            </w:pPr>
            <w:r w:rsidRPr="00542316">
              <w:rPr>
                <w:sz w:val="18"/>
                <w:szCs w:val="18"/>
                <w:lang w:eastAsia="en-CA"/>
              </w:rPr>
              <w:t>41</w:t>
            </w:r>
          </w:p>
        </w:tc>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7690A" w14:textId="1C42166C" w:rsidR="00027FDB" w:rsidRPr="00542316" w:rsidRDefault="00027FDB" w:rsidP="00DF0D07">
            <w:pPr>
              <w:pStyle w:val="ExhibitText"/>
              <w:jc w:val="right"/>
              <w:rPr>
                <w:sz w:val="18"/>
                <w:szCs w:val="18"/>
                <w:lang w:eastAsia="en-CA"/>
              </w:rPr>
            </w:pPr>
            <w:r w:rsidRPr="00542316">
              <w:rPr>
                <w:sz w:val="18"/>
                <w:szCs w:val="18"/>
                <w:lang w:eastAsia="en-CA"/>
              </w:rPr>
              <w:t>2</w:t>
            </w:r>
            <w:r w:rsidR="009C5424">
              <w:rPr>
                <w:sz w:val="18"/>
                <w:szCs w:val="18"/>
                <w:lang w:eastAsia="en-CA"/>
              </w:rPr>
              <w:t>.0</w:t>
            </w:r>
          </w:p>
        </w:tc>
      </w:tr>
    </w:tbl>
    <w:p w14:paraId="0C3858A3" w14:textId="77777777" w:rsidR="00027FDB" w:rsidRPr="005630DE" w:rsidRDefault="00027FDB" w:rsidP="00542316">
      <w:pPr>
        <w:pStyle w:val="ExhibitText"/>
      </w:pPr>
    </w:p>
    <w:p w14:paraId="5648820D" w14:textId="0A2D6FBC" w:rsidR="00027FDB" w:rsidRPr="005630DE" w:rsidRDefault="00027FDB" w:rsidP="00027FDB">
      <w:pPr>
        <w:pStyle w:val="Footnote"/>
      </w:pPr>
      <w:r w:rsidRPr="005630DE">
        <w:t>Notes:</w:t>
      </w:r>
      <w:r w:rsidR="00DF0D07">
        <w:t xml:space="preserve"> </w:t>
      </w:r>
      <w:r w:rsidR="009C5424">
        <w:t xml:space="preserve">TOEs </w:t>
      </w:r>
      <w:r w:rsidR="00DF0D07">
        <w:t xml:space="preserve">= </w:t>
      </w:r>
      <w:r w:rsidRPr="00DF0D07">
        <w:t>tons</w:t>
      </w:r>
      <w:r w:rsidR="00DF0D07" w:rsidRPr="00DF0D07">
        <w:t xml:space="preserve"> </w:t>
      </w:r>
      <w:r w:rsidRPr="00DF0D07">
        <w:t>of</w:t>
      </w:r>
      <w:r w:rsidR="00DF0D07" w:rsidRPr="00DF0D07">
        <w:t xml:space="preserve"> </w:t>
      </w:r>
      <w:r w:rsidRPr="00DF0D07">
        <w:t>oil</w:t>
      </w:r>
      <w:r w:rsidR="009C5424">
        <w:t xml:space="preserve">; </w:t>
      </w:r>
      <w:proofErr w:type="gramStart"/>
      <w:r w:rsidR="009C5424">
        <w:t>1</w:t>
      </w:r>
      <w:proofErr w:type="gramEnd"/>
      <w:r w:rsidR="00DF0D07">
        <w:t xml:space="preserve"> </w:t>
      </w:r>
      <w:r w:rsidRPr="005630DE">
        <w:t>MWh</w:t>
      </w:r>
      <w:r w:rsidR="00DF0D07">
        <w:t xml:space="preserve"> </w:t>
      </w:r>
      <w:r w:rsidR="009C5424">
        <w:t>=</w:t>
      </w:r>
      <w:r w:rsidR="00DF0D07">
        <w:t xml:space="preserve"> </w:t>
      </w:r>
      <w:r w:rsidRPr="005630DE">
        <w:t>0.086</w:t>
      </w:r>
      <w:r w:rsidR="00DF0D07">
        <w:t xml:space="preserve"> </w:t>
      </w:r>
      <w:r w:rsidRPr="005630DE">
        <w:t>toe</w:t>
      </w:r>
      <w:r w:rsidR="009C5424">
        <w:t>; 1</w:t>
      </w:r>
      <w:r w:rsidR="00DF0D07">
        <w:t xml:space="preserve"> </w:t>
      </w:r>
      <w:r w:rsidRPr="005630DE">
        <w:t>toe</w:t>
      </w:r>
      <w:r w:rsidR="00DF0D07">
        <w:t xml:space="preserve"> </w:t>
      </w:r>
      <w:r w:rsidR="009C5424">
        <w:t>=</w:t>
      </w:r>
      <w:r w:rsidR="00DF0D07">
        <w:t xml:space="preserve"> </w:t>
      </w:r>
      <w:r w:rsidRPr="005630DE">
        <w:t>11</w:t>
      </w:r>
      <w:r w:rsidR="009C5424">
        <w:t>,</w:t>
      </w:r>
      <w:r w:rsidRPr="005630DE">
        <w:t>630</w:t>
      </w:r>
      <w:r w:rsidR="00DF0D07">
        <w:t xml:space="preserve"> </w:t>
      </w:r>
      <w:r w:rsidRPr="005630DE">
        <w:t>kWh</w:t>
      </w:r>
      <w:r w:rsidR="009C5424">
        <w:t>.</w:t>
      </w:r>
    </w:p>
    <w:p w14:paraId="3E2416F8" w14:textId="525139EC" w:rsidR="00027FDB" w:rsidRPr="005630DE" w:rsidRDefault="00027FDB" w:rsidP="00027FDB">
      <w:pPr>
        <w:pStyle w:val="Footnote"/>
      </w:pPr>
      <w:r w:rsidRPr="005630DE">
        <w:t>Source:</w:t>
      </w:r>
      <w:r w:rsidR="00DF0D07">
        <w:t xml:space="preserve"> </w:t>
      </w:r>
      <w:r w:rsidRPr="005630DE">
        <w:t>Government</w:t>
      </w:r>
      <w:r w:rsidR="00DF0D07">
        <w:t xml:space="preserve"> </w:t>
      </w:r>
      <w:r w:rsidRPr="005630DE">
        <w:t>of</w:t>
      </w:r>
      <w:r w:rsidR="00DF0D07">
        <w:t xml:space="preserve"> </w:t>
      </w:r>
      <w:r w:rsidR="00E524BD">
        <w:t xml:space="preserve">Haiti, Department of Energy Security. </w:t>
      </w:r>
    </w:p>
    <w:p w14:paraId="33EEF1F4" w14:textId="77777777" w:rsidR="00027FDB" w:rsidRPr="00174436" w:rsidRDefault="00027FDB" w:rsidP="00542316">
      <w:pPr>
        <w:pStyle w:val="ExhibitText"/>
        <w:rPr>
          <w:sz w:val="14"/>
        </w:rPr>
      </w:pPr>
      <w:bookmarkStart w:id="3" w:name="_Ref390523179"/>
    </w:p>
    <w:p w14:paraId="73E4C468" w14:textId="77777777" w:rsidR="00454377" w:rsidRPr="005630DE" w:rsidRDefault="00454377" w:rsidP="00542316">
      <w:pPr>
        <w:pStyle w:val="ExhibitText"/>
      </w:pPr>
    </w:p>
    <w:p w14:paraId="2C7F27C5" w14:textId="51E55C82" w:rsidR="003F722E" w:rsidRDefault="00027FDB" w:rsidP="00A85BD3">
      <w:pPr>
        <w:pStyle w:val="ExhibitHeading"/>
        <w:outlineLvl w:val="0"/>
        <w:rPr>
          <w:szCs w:val="22"/>
        </w:rPr>
      </w:pPr>
      <w:bookmarkStart w:id="4" w:name="_Ref390524156"/>
      <w:bookmarkEnd w:id="3"/>
      <w:r w:rsidRPr="005630DE">
        <w:rPr>
          <w:szCs w:val="22"/>
        </w:rPr>
        <w:t>Exhibit</w:t>
      </w:r>
      <w:r w:rsidR="00DF0D07">
        <w:rPr>
          <w:szCs w:val="22"/>
        </w:rPr>
        <w:t xml:space="preserve"> </w:t>
      </w:r>
      <w:r w:rsidRPr="005630DE">
        <w:rPr>
          <w:szCs w:val="22"/>
        </w:rPr>
        <w:fldChar w:fldCharType="begin"/>
      </w:r>
      <w:r w:rsidRPr="005630DE">
        <w:rPr>
          <w:szCs w:val="22"/>
        </w:rPr>
        <w:instrText xml:space="preserve"> SEQ Exhibit \* ARABIC </w:instrText>
      </w:r>
      <w:r w:rsidRPr="005630DE">
        <w:rPr>
          <w:szCs w:val="22"/>
        </w:rPr>
        <w:fldChar w:fldCharType="separate"/>
      </w:r>
      <w:r w:rsidR="00BB6432">
        <w:rPr>
          <w:noProof/>
          <w:szCs w:val="22"/>
        </w:rPr>
        <w:t>7</w:t>
      </w:r>
      <w:r w:rsidRPr="005630DE">
        <w:rPr>
          <w:szCs w:val="22"/>
        </w:rPr>
        <w:fldChar w:fldCharType="end"/>
      </w:r>
      <w:bookmarkEnd w:id="4"/>
      <w:r w:rsidRPr="005630DE">
        <w:rPr>
          <w:szCs w:val="22"/>
        </w:rPr>
        <w:t>:</w:t>
      </w:r>
      <w:r w:rsidR="00DF0D07">
        <w:rPr>
          <w:szCs w:val="22"/>
        </w:rPr>
        <w:t xml:space="preserve"> </w:t>
      </w:r>
      <w:r w:rsidRPr="005630DE">
        <w:rPr>
          <w:szCs w:val="22"/>
        </w:rPr>
        <w:t>Government</w:t>
      </w:r>
      <w:r w:rsidR="00DF0D07">
        <w:rPr>
          <w:szCs w:val="22"/>
        </w:rPr>
        <w:t xml:space="preserve"> </w:t>
      </w:r>
      <w:r w:rsidRPr="005630DE">
        <w:rPr>
          <w:szCs w:val="22"/>
        </w:rPr>
        <w:t>of</w:t>
      </w:r>
      <w:r w:rsidR="00DF0D07">
        <w:rPr>
          <w:szCs w:val="22"/>
        </w:rPr>
        <w:t xml:space="preserve"> </w:t>
      </w:r>
      <w:r w:rsidRPr="005630DE">
        <w:rPr>
          <w:szCs w:val="22"/>
        </w:rPr>
        <w:t>Haiti</w:t>
      </w:r>
      <w:r w:rsidR="00DF0D07">
        <w:rPr>
          <w:szCs w:val="22"/>
        </w:rPr>
        <w:t xml:space="preserve"> </w:t>
      </w:r>
      <w:r w:rsidRPr="005630DE">
        <w:rPr>
          <w:szCs w:val="22"/>
        </w:rPr>
        <w:t>Ministries</w:t>
      </w:r>
      <w:r w:rsidR="00DF0D07">
        <w:rPr>
          <w:szCs w:val="22"/>
        </w:rPr>
        <w:t xml:space="preserve"> </w:t>
      </w:r>
      <w:r w:rsidRPr="005630DE">
        <w:rPr>
          <w:szCs w:val="22"/>
        </w:rPr>
        <w:t>associated</w:t>
      </w:r>
      <w:r w:rsidR="00DF0D07">
        <w:rPr>
          <w:szCs w:val="22"/>
        </w:rPr>
        <w:t xml:space="preserve"> </w:t>
      </w:r>
      <w:r w:rsidR="009C5424">
        <w:rPr>
          <w:szCs w:val="22"/>
        </w:rPr>
        <w:t>with</w:t>
      </w:r>
      <w:r w:rsidR="00DF0D07">
        <w:rPr>
          <w:szCs w:val="22"/>
        </w:rPr>
        <w:t xml:space="preserve"> </w:t>
      </w:r>
      <w:r w:rsidRPr="005630DE">
        <w:rPr>
          <w:szCs w:val="22"/>
        </w:rPr>
        <w:t>Energy</w:t>
      </w:r>
    </w:p>
    <w:p w14:paraId="47FF5667" w14:textId="77777777" w:rsidR="009C5424" w:rsidRPr="005630DE" w:rsidRDefault="009C5424" w:rsidP="0095345A">
      <w:pPr>
        <w:pStyle w:val="ExhibitText"/>
      </w:pPr>
    </w:p>
    <w:p w14:paraId="207069FC" w14:textId="77777777" w:rsidR="009C5424" w:rsidRDefault="00027FDB" w:rsidP="00542316">
      <w:pPr>
        <w:pStyle w:val="ExhibitText"/>
        <w:rPr>
          <w:noProof/>
          <w:lang w:eastAsia="en-CA"/>
        </w:rPr>
      </w:pPr>
      <w:r w:rsidRPr="005630DE">
        <w:rPr>
          <w:noProof/>
          <w:lang w:eastAsia="en-GB"/>
        </w:rPr>
        <w:drawing>
          <wp:inline distT="0" distB="0" distL="0" distR="0" wp14:anchorId="4E5C62F4" wp14:editId="02602AED">
            <wp:extent cx="5986780" cy="3282071"/>
            <wp:effectExtent l="0" t="0" r="0" b="139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69A331C" w14:textId="671AB8AC" w:rsidR="00027FDB" w:rsidRPr="005630DE" w:rsidRDefault="00027FDB" w:rsidP="00542316">
      <w:pPr>
        <w:pStyle w:val="ExhibitText"/>
        <w:rPr>
          <w:sz w:val="22"/>
          <w:szCs w:val="22"/>
        </w:rPr>
      </w:pPr>
    </w:p>
    <w:p w14:paraId="1A9E7BE9" w14:textId="54985AEB" w:rsidR="00FC18FA" w:rsidRDefault="00FC18FA" w:rsidP="00A81CD8">
      <w:pPr>
        <w:pStyle w:val="Footnote"/>
      </w:pPr>
      <w:r>
        <w:t xml:space="preserve">Note: EDH = </w:t>
      </w:r>
      <w:proofErr w:type="spellStart"/>
      <w:r>
        <w:t>Électricité</w:t>
      </w:r>
      <w:proofErr w:type="spellEnd"/>
      <w:r>
        <w:t xml:space="preserve"> </w:t>
      </w:r>
      <w:proofErr w:type="spellStart"/>
      <w:r>
        <w:t>d’Haïti</w:t>
      </w:r>
      <w:proofErr w:type="spellEnd"/>
      <w:r>
        <w:t xml:space="preserve">; BMSE = </w:t>
      </w:r>
      <w:r w:rsidRPr="00FC18FA">
        <w:rPr>
          <w:lang w:val="en-US"/>
        </w:rPr>
        <w:t xml:space="preserve">Bureau du </w:t>
      </w:r>
      <w:proofErr w:type="spellStart"/>
      <w:r w:rsidRPr="00FC18FA">
        <w:rPr>
          <w:lang w:val="en-US"/>
        </w:rPr>
        <w:t>Ministre</w:t>
      </w:r>
      <w:proofErr w:type="spellEnd"/>
      <w:r w:rsidRPr="00FC18FA">
        <w:rPr>
          <w:lang w:val="en-US"/>
        </w:rPr>
        <w:t xml:space="preserve"> à la </w:t>
      </w:r>
      <w:proofErr w:type="spellStart"/>
      <w:r w:rsidRPr="00FC18FA">
        <w:rPr>
          <w:lang w:val="en-US"/>
        </w:rPr>
        <w:t>Sécurité</w:t>
      </w:r>
      <w:proofErr w:type="spellEnd"/>
      <w:r w:rsidRPr="00FC18FA">
        <w:rPr>
          <w:lang w:val="en-US"/>
        </w:rPr>
        <w:t xml:space="preserve"> </w:t>
      </w:r>
      <w:proofErr w:type="spellStart"/>
      <w:r w:rsidRPr="00FC18FA">
        <w:rPr>
          <w:lang w:val="en-US"/>
        </w:rPr>
        <w:t>Énergétique</w:t>
      </w:r>
      <w:proofErr w:type="spellEnd"/>
      <w:r w:rsidR="0027130E">
        <w:rPr>
          <w:lang w:val="en-US"/>
        </w:rPr>
        <w:t xml:space="preserve"> [Department of Energy Security]</w:t>
      </w:r>
      <w:r w:rsidR="00454377">
        <w:rPr>
          <w:lang w:val="en-US"/>
        </w:rPr>
        <w:t>.</w:t>
      </w:r>
    </w:p>
    <w:p w14:paraId="14A7A6DF" w14:textId="3C48BF2F" w:rsidR="00D861C8" w:rsidRPr="005630DE" w:rsidRDefault="00027FDB" w:rsidP="00A81CD8">
      <w:pPr>
        <w:pStyle w:val="Footnote"/>
      </w:pPr>
      <w:r w:rsidRPr="005630DE">
        <w:t>Source:</w:t>
      </w:r>
      <w:r w:rsidR="00DF0D07">
        <w:t xml:space="preserve"> </w:t>
      </w:r>
      <w:r w:rsidRPr="005630DE">
        <w:t>Government</w:t>
      </w:r>
      <w:r w:rsidR="00DF0D07">
        <w:t xml:space="preserve"> </w:t>
      </w:r>
      <w:r w:rsidRPr="005630DE">
        <w:t>of</w:t>
      </w:r>
      <w:r w:rsidR="00DF0D07">
        <w:t xml:space="preserve"> </w:t>
      </w:r>
      <w:r w:rsidRPr="005630DE">
        <w:t>Haiti</w:t>
      </w:r>
      <w:r w:rsidR="00E524BD">
        <w:t xml:space="preserve">, Department of Energy. </w:t>
      </w:r>
    </w:p>
    <w:p w14:paraId="5074A302" w14:textId="77777777" w:rsidR="00174436" w:rsidRDefault="00174436" w:rsidP="00A85BD3">
      <w:pPr>
        <w:pStyle w:val="ExhibitHeading"/>
        <w:outlineLvl w:val="0"/>
      </w:pPr>
      <w:bookmarkStart w:id="5" w:name="_Ref456468134"/>
    </w:p>
    <w:p w14:paraId="0CB1DC53" w14:textId="77777777" w:rsidR="00174436" w:rsidRDefault="00174436" w:rsidP="00A85BD3">
      <w:pPr>
        <w:pStyle w:val="ExhibitHeading"/>
        <w:outlineLvl w:val="0"/>
      </w:pPr>
    </w:p>
    <w:p w14:paraId="747D8416" w14:textId="12456EA1" w:rsidR="003311AC" w:rsidRPr="005630DE" w:rsidRDefault="003311AC" w:rsidP="00A85BD3">
      <w:pPr>
        <w:pStyle w:val="ExhibitHeading"/>
        <w:outlineLvl w:val="0"/>
      </w:pPr>
      <w:r w:rsidRPr="005630DE">
        <w:t>Exhibit</w:t>
      </w:r>
      <w:r w:rsidR="00DF0D07">
        <w:t xml:space="preserve"> </w:t>
      </w:r>
      <w:r>
        <w:t>8</w:t>
      </w:r>
      <w:r w:rsidRPr="005630DE">
        <w:t>:</w:t>
      </w:r>
      <w:r w:rsidR="00DF0D07">
        <w:t xml:space="preserve"> </w:t>
      </w:r>
      <w:r w:rsidRPr="005630DE">
        <w:t>Estimated</w:t>
      </w:r>
      <w:r w:rsidR="00DF0D07">
        <w:t xml:space="preserve"> </w:t>
      </w:r>
      <w:r w:rsidRPr="005630DE">
        <w:t>Electricity</w:t>
      </w:r>
      <w:r w:rsidR="00DF0D07">
        <w:t xml:space="preserve"> </w:t>
      </w:r>
      <w:r w:rsidRPr="005630DE">
        <w:t>Costs</w:t>
      </w:r>
      <w:r w:rsidR="00DF0D07">
        <w:t xml:space="preserve"> </w:t>
      </w:r>
      <w:r w:rsidRPr="005630DE">
        <w:t>in</w:t>
      </w:r>
      <w:r w:rsidR="00DF0D07">
        <w:t xml:space="preserve"> </w:t>
      </w:r>
      <w:r w:rsidRPr="005630DE">
        <w:t>Haiti</w:t>
      </w:r>
    </w:p>
    <w:p w14:paraId="0E4122FA" w14:textId="77777777" w:rsidR="003311AC" w:rsidRPr="005630DE" w:rsidRDefault="003311AC" w:rsidP="00542316">
      <w:pPr>
        <w:pStyle w:val="ExhibitText"/>
      </w:pPr>
    </w:p>
    <w:tbl>
      <w:tblPr>
        <w:tblW w:w="3750" w:type="pct"/>
        <w:jc w:val="center"/>
        <w:tblLook w:val="04A0" w:firstRow="1" w:lastRow="0" w:firstColumn="1" w:lastColumn="0" w:noHBand="0" w:noVBand="1"/>
      </w:tblPr>
      <w:tblGrid>
        <w:gridCol w:w="2022"/>
        <w:gridCol w:w="2716"/>
        <w:gridCol w:w="2275"/>
      </w:tblGrid>
      <w:tr w:rsidR="003311AC" w:rsidRPr="00CB59A4" w14:paraId="3DF20BD0" w14:textId="77777777" w:rsidTr="00174436">
        <w:trPr>
          <w:trHeight w:val="97"/>
          <w:jc w:val="center"/>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78258" w14:textId="58A63495" w:rsidR="003311AC" w:rsidRPr="00CB59A4" w:rsidRDefault="003311AC" w:rsidP="00CB59A4">
            <w:pPr>
              <w:pStyle w:val="ExhibitText"/>
              <w:jc w:val="left"/>
              <w:rPr>
                <w:b/>
                <w:lang w:eastAsia="en-CA"/>
              </w:rPr>
            </w:pPr>
            <w:r w:rsidRPr="00CB59A4">
              <w:rPr>
                <w:b/>
                <w:lang w:eastAsia="en-CA"/>
              </w:rPr>
              <w:t>Type</w:t>
            </w:r>
            <w:r w:rsidR="00DF0D07" w:rsidRPr="00CB59A4">
              <w:rPr>
                <w:b/>
                <w:lang w:eastAsia="en-CA"/>
              </w:rPr>
              <w:t xml:space="preserve"> </w:t>
            </w:r>
            <w:r w:rsidRPr="00CB59A4">
              <w:rPr>
                <w:b/>
                <w:lang w:eastAsia="en-CA"/>
              </w:rPr>
              <w:t>of</w:t>
            </w:r>
            <w:r w:rsidR="00DF0D07" w:rsidRPr="00CB59A4">
              <w:rPr>
                <w:b/>
                <w:lang w:eastAsia="en-CA"/>
              </w:rPr>
              <w:t xml:space="preserve"> </w:t>
            </w:r>
            <w:r w:rsidR="009079B1">
              <w:rPr>
                <w:b/>
                <w:lang w:eastAsia="en-CA"/>
              </w:rPr>
              <w:t>C</w:t>
            </w:r>
            <w:r w:rsidRPr="00CB59A4">
              <w:rPr>
                <w:b/>
                <w:lang w:eastAsia="en-CA"/>
              </w:rPr>
              <w:t>lient</w:t>
            </w:r>
          </w:p>
        </w:tc>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06CA6" w14:textId="7B3C0E85" w:rsidR="003311AC" w:rsidRPr="00CB59A4" w:rsidRDefault="003311AC" w:rsidP="00CB59A4">
            <w:pPr>
              <w:pStyle w:val="ExhibitText"/>
              <w:jc w:val="center"/>
              <w:rPr>
                <w:b/>
                <w:lang w:eastAsia="en-CA"/>
              </w:rPr>
            </w:pPr>
            <w:r w:rsidRPr="00CB59A4">
              <w:rPr>
                <w:b/>
                <w:lang w:eastAsia="en-CA"/>
              </w:rPr>
              <w:t>Consumption</w:t>
            </w:r>
            <w:r w:rsidR="00DF0D07" w:rsidRPr="00CB59A4">
              <w:rPr>
                <w:b/>
                <w:lang w:eastAsia="en-CA"/>
              </w:rPr>
              <w:t xml:space="preserve"> </w:t>
            </w:r>
            <w:r w:rsidRPr="00CB59A4">
              <w:rPr>
                <w:b/>
                <w:lang w:eastAsia="en-CA"/>
              </w:rPr>
              <w:t>(kWh)</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4C764" w14:textId="60A3B99F" w:rsidR="003311AC" w:rsidRPr="00CB59A4" w:rsidRDefault="003311AC">
            <w:pPr>
              <w:pStyle w:val="ExhibitText"/>
              <w:jc w:val="center"/>
              <w:rPr>
                <w:b/>
                <w:lang w:eastAsia="en-CA"/>
              </w:rPr>
            </w:pPr>
            <w:r w:rsidRPr="00CB59A4">
              <w:rPr>
                <w:b/>
                <w:lang w:eastAsia="en-CA"/>
              </w:rPr>
              <w:t>Cost</w:t>
            </w:r>
            <w:r w:rsidR="00DF0D07" w:rsidRPr="00CB59A4">
              <w:rPr>
                <w:b/>
                <w:lang w:eastAsia="en-CA"/>
              </w:rPr>
              <w:t xml:space="preserve"> </w:t>
            </w:r>
            <w:r w:rsidRPr="00CB59A4">
              <w:rPr>
                <w:b/>
                <w:lang w:eastAsia="en-CA"/>
              </w:rPr>
              <w:t>(</w:t>
            </w:r>
            <w:r w:rsidR="0095345A">
              <w:rPr>
                <w:b/>
                <w:lang w:eastAsia="en-CA"/>
              </w:rPr>
              <w:t>US$</w:t>
            </w:r>
            <w:r w:rsidRPr="00CB59A4">
              <w:rPr>
                <w:b/>
                <w:lang w:eastAsia="en-CA"/>
              </w:rPr>
              <w:t>/kWh)</w:t>
            </w:r>
          </w:p>
        </w:tc>
      </w:tr>
      <w:tr w:rsidR="003311AC" w:rsidRPr="005630DE" w14:paraId="0029EBA5" w14:textId="77777777" w:rsidTr="00174436">
        <w:trPr>
          <w:trHeight w:val="158"/>
          <w:jc w:val="center"/>
        </w:trPr>
        <w:tc>
          <w:tcPr>
            <w:tcW w:w="1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C0528" w14:textId="77777777" w:rsidR="003311AC" w:rsidRPr="005630DE" w:rsidRDefault="003311AC" w:rsidP="00CB59A4">
            <w:pPr>
              <w:pStyle w:val="ExhibitText"/>
              <w:jc w:val="left"/>
              <w:rPr>
                <w:lang w:eastAsia="en-CA"/>
              </w:rPr>
            </w:pPr>
            <w:r w:rsidRPr="005630DE">
              <w:rPr>
                <w:lang w:eastAsia="en-CA"/>
              </w:rPr>
              <w:t>Residential</w:t>
            </w:r>
          </w:p>
        </w:tc>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E73CD" w14:textId="0414EC1F" w:rsidR="003311AC" w:rsidRPr="005630DE" w:rsidRDefault="003311AC" w:rsidP="00CB59A4">
            <w:pPr>
              <w:pStyle w:val="ExhibitText"/>
              <w:jc w:val="center"/>
              <w:rPr>
                <w:lang w:eastAsia="en-CA"/>
              </w:rPr>
            </w:pPr>
            <w:r w:rsidRPr="005630DE">
              <w:rPr>
                <w:lang w:eastAsia="en-CA"/>
              </w:rPr>
              <w:t>0</w:t>
            </w:r>
            <w:r w:rsidR="009079B1">
              <w:rPr>
                <w:lang w:eastAsia="en-CA"/>
              </w:rPr>
              <w:t>–</w:t>
            </w:r>
            <w:r w:rsidRPr="005630DE">
              <w:rPr>
                <w:lang w:eastAsia="en-CA"/>
              </w:rPr>
              <w:t>200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D2FA6" w14:textId="3933389F" w:rsidR="003311AC" w:rsidRPr="005630DE" w:rsidRDefault="0095345A" w:rsidP="00CB59A4">
            <w:pPr>
              <w:pStyle w:val="ExhibitText"/>
              <w:jc w:val="center"/>
              <w:rPr>
                <w:lang w:eastAsia="en-CA"/>
              </w:rPr>
            </w:pPr>
            <w:r>
              <w:rPr>
                <w:lang w:eastAsia="en-CA"/>
              </w:rPr>
              <w:t>0.</w:t>
            </w:r>
            <w:r w:rsidR="003311AC" w:rsidRPr="005630DE">
              <w:rPr>
                <w:lang w:eastAsia="en-CA"/>
              </w:rPr>
              <w:t>11</w:t>
            </w:r>
          </w:p>
        </w:tc>
      </w:tr>
      <w:tr w:rsidR="003311AC" w:rsidRPr="005630DE" w14:paraId="4EFCFB54" w14:textId="77777777" w:rsidTr="00174436">
        <w:trPr>
          <w:trHeight w:val="206"/>
          <w:jc w:val="center"/>
        </w:trPr>
        <w:tc>
          <w:tcPr>
            <w:tcW w:w="18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41C17A" w14:textId="77777777" w:rsidR="003311AC" w:rsidRPr="005630DE" w:rsidRDefault="003311AC" w:rsidP="00CB59A4">
            <w:pPr>
              <w:pStyle w:val="ExhibitText"/>
              <w:jc w:val="left"/>
              <w:rPr>
                <w:lang w:eastAsia="en-CA"/>
              </w:rPr>
            </w:pPr>
          </w:p>
        </w:tc>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8496C" w14:textId="31B30F32" w:rsidR="003311AC" w:rsidRPr="005630DE" w:rsidRDefault="003311AC" w:rsidP="00CB59A4">
            <w:pPr>
              <w:pStyle w:val="ExhibitText"/>
              <w:jc w:val="center"/>
              <w:rPr>
                <w:lang w:eastAsia="en-CA"/>
              </w:rPr>
            </w:pPr>
            <w:r w:rsidRPr="005630DE">
              <w:rPr>
                <w:lang w:eastAsia="en-CA"/>
              </w:rPr>
              <w:t>Above</w:t>
            </w:r>
            <w:r w:rsidR="00DF0D07">
              <w:rPr>
                <w:lang w:eastAsia="en-CA"/>
              </w:rPr>
              <w:t xml:space="preserve"> </w:t>
            </w:r>
            <w:r w:rsidRPr="005630DE">
              <w:rPr>
                <w:lang w:eastAsia="en-CA"/>
              </w:rPr>
              <w:t>200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5B63D" w14:textId="7D100DB1" w:rsidR="003311AC" w:rsidRPr="005630DE" w:rsidRDefault="0095345A" w:rsidP="00CB59A4">
            <w:pPr>
              <w:pStyle w:val="ExhibitText"/>
              <w:jc w:val="center"/>
              <w:rPr>
                <w:lang w:eastAsia="en-CA"/>
              </w:rPr>
            </w:pPr>
            <w:r>
              <w:rPr>
                <w:lang w:eastAsia="en-CA"/>
              </w:rPr>
              <w:t>0.</w:t>
            </w:r>
            <w:r w:rsidR="003311AC" w:rsidRPr="005630DE">
              <w:rPr>
                <w:lang w:eastAsia="en-CA"/>
              </w:rPr>
              <w:t>29</w:t>
            </w:r>
          </w:p>
        </w:tc>
      </w:tr>
      <w:tr w:rsidR="003311AC" w:rsidRPr="005630DE" w14:paraId="294D5DD1" w14:textId="77777777" w:rsidTr="00174436">
        <w:trPr>
          <w:trHeight w:val="108"/>
          <w:jc w:val="center"/>
        </w:trPr>
        <w:tc>
          <w:tcPr>
            <w:tcW w:w="1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2B60E" w14:textId="77777777" w:rsidR="003311AC" w:rsidRPr="005630DE" w:rsidRDefault="003311AC" w:rsidP="00CB59A4">
            <w:pPr>
              <w:pStyle w:val="ExhibitText"/>
              <w:jc w:val="left"/>
              <w:rPr>
                <w:lang w:eastAsia="en-CA"/>
              </w:rPr>
            </w:pPr>
            <w:r w:rsidRPr="005630DE">
              <w:rPr>
                <w:lang w:eastAsia="en-CA"/>
              </w:rPr>
              <w:t>Commercial</w:t>
            </w:r>
          </w:p>
        </w:tc>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F308B" w14:textId="3D5AB1E7" w:rsidR="003311AC" w:rsidRPr="005630DE" w:rsidRDefault="003311AC" w:rsidP="00CB59A4">
            <w:pPr>
              <w:pStyle w:val="ExhibitText"/>
              <w:jc w:val="center"/>
              <w:rPr>
                <w:lang w:eastAsia="en-CA"/>
              </w:rPr>
            </w:pPr>
            <w:r w:rsidRPr="005630DE">
              <w:rPr>
                <w:lang w:eastAsia="en-CA"/>
              </w:rPr>
              <w:t>0</w:t>
            </w:r>
            <w:r w:rsidR="009079B1">
              <w:rPr>
                <w:lang w:eastAsia="en-CA"/>
              </w:rPr>
              <w:t>–</w:t>
            </w:r>
            <w:r w:rsidRPr="005630DE">
              <w:rPr>
                <w:lang w:eastAsia="en-CA"/>
              </w:rPr>
              <w:t>30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62F32" w14:textId="6BEA28A6" w:rsidR="003311AC" w:rsidRPr="005630DE" w:rsidRDefault="0095345A" w:rsidP="00CB59A4">
            <w:pPr>
              <w:pStyle w:val="ExhibitText"/>
              <w:jc w:val="center"/>
              <w:rPr>
                <w:lang w:eastAsia="en-CA"/>
              </w:rPr>
            </w:pPr>
            <w:r>
              <w:rPr>
                <w:lang w:eastAsia="en-CA"/>
              </w:rPr>
              <w:t>0.</w:t>
            </w:r>
            <w:r w:rsidR="003311AC" w:rsidRPr="005630DE">
              <w:rPr>
                <w:lang w:eastAsia="en-CA"/>
              </w:rPr>
              <w:t>26</w:t>
            </w:r>
          </w:p>
        </w:tc>
      </w:tr>
      <w:tr w:rsidR="003311AC" w:rsidRPr="005630DE" w14:paraId="68A20092" w14:textId="77777777" w:rsidTr="00174436">
        <w:trPr>
          <w:trHeight w:val="45"/>
          <w:jc w:val="center"/>
        </w:trPr>
        <w:tc>
          <w:tcPr>
            <w:tcW w:w="18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814EDCD" w14:textId="77777777" w:rsidR="003311AC" w:rsidRPr="005630DE" w:rsidRDefault="003311AC" w:rsidP="00CB59A4">
            <w:pPr>
              <w:pStyle w:val="ExhibitText"/>
              <w:jc w:val="left"/>
              <w:rPr>
                <w:lang w:eastAsia="en-CA"/>
              </w:rPr>
            </w:pPr>
          </w:p>
        </w:tc>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380E6" w14:textId="5B67C25C" w:rsidR="003311AC" w:rsidRPr="005630DE" w:rsidRDefault="003311AC" w:rsidP="00CB59A4">
            <w:pPr>
              <w:pStyle w:val="ExhibitText"/>
              <w:jc w:val="center"/>
              <w:rPr>
                <w:lang w:eastAsia="en-CA"/>
              </w:rPr>
            </w:pPr>
            <w:r w:rsidRPr="005630DE">
              <w:rPr>
                <w:lang w:eastAsia="en-CA"/>
              </w:rPr>
              <w:t>31</w:t>
            </w:r>
            <w:r w:rsidR="009079B1">
              <w:rPr>
                <w:lang w:eastAsia="en-CA"/>
              </w:rPr>
              <w:t>–</w:t>
            </w:r>
            <w:r w:rsidRPr="005630DE">
              <w:rPr>
                <w:lang w:eastAsia="en-CA"/>
              </w:rPr>
              <w:t>200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4F6EF" w14:textId="11265122" w:rsidR="003311AC" w:rsidRPr="005630DE" w:rsidRDefault="0095345A" w:rsidP="00CB59A4">
            <w:pPr>
              <w:pStyle w:val="ExhibitText"/>
              <w:jc w:val="center"/>
              <w:rPr>
                <w:lang w:eastAsia="en-CA"/>
              </w:rPr>
            </w:pPr>
            <w:r>
              <w:rPr>
                <w:lang w:eastAsia="en-CA"/>
              </w:rPr>
              <w:t>0.</w:t>
            </w:r>
            <w:r w:rsidR="003311AC" w:rsidRPr="005630DE">
              <w:rPr>
                <w:lang w:eastAsia="en-CA"/>
              </w:rPr>
              <w:t>30</w:t>
            </w:r>
          </w:p>
        </w:tc>
      </w:tr>
      <w:tr w:rsidR="003311AC" w:rsidRPr="005630DE" w14:paraId="4C7EEBA3" w14:textId="77777777" w:rsidTr="00174436">
        <w:trPr>
          <w:trHeight w:val="45"/>
          <w:jc w:val="center"/>
        </w:trPr>
        <w:tc>
          <w:tcPr>
            <w:tcW w:w="183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FCC166" w14:textId="77777777" w:rsidR="003311AC" w:rsidRPr="005630DE" w:rsidRDefault="003311AC" w:rsidP="00CB59A4">
            <w:pPr>
              <w:pStyle w:val="ExhibitText"/>
              <w:jc w:val="left"/>
              <w:rPr>
                <w:lang w:eastAsia="en-CA"/>
              </w:rPr>
            </w:pPr>
          </w:p>
        </w:tc>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43028" w14:textId="36981C4A" w:rsidR="003311AC" w:rsidRPr="005630DE" w:rsidRDefault="003311AC" w:rsidP="00CB59A4">
            <w:pPr>
              <w:pStyle w:val="ExhibitText"/>
              <w:jc w:val="center"/>
              <w:rPr>
                <w:lang w:eastAsia="en-CA"/>
              </w:rPr>
            </w:pPr>
            <w:r w:rsidRPr="005630DE">
              <w:rPr>
                <w:lang w:eastAsia="en-CA"/>
              </w:rPr>
              <w:t>Above</w:t>
            </w:r>
            <w:r w:rsidR="00DF0D07">
              <w:rPr>
                <w:lang w:eastAsia="en-CA"/>
              </w:rPr>
              <w:t xml:space="preserve"> </w:t>
            </w:r>
            <w:r w:rsidRPr="005630DE">
              <w:rPr>
                <w:lang w:eastAsia="en-CA"/>
              </w:rPr>
              <w:t>200</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86106" w14:textId="06033D54" w:rsidR="003311AC" w:rsidRPr="005630DE" w:rsidRDefault="0095345A" w:rsidP="00CB59A4">
            <w:pPr>
              <w:pStyle w:val="ExhibitText"/>
              <w:jc w:val="center"/>
              <w:rPr>
                <w:lang w:eastAsia="en-CA"/>
              </w:rPr>
            </w:pPr>
            <w:r>
              <w:rPr>
                <w:lang w:eastAsia="en-CA"/>
              </w:rPr>
              <w:t>0.</w:t>
            </w:r>
            <w:r w:rsidR="003311AC" w:rsidRPr="005630DE">
              <w:rPr>
                <w:lang w:eastAsia="en-CA"/>
              </w:rPr>
              <w:t>32</w:t>
            </w:r>
          </w:p>
        </w:tc>
      </w:tr>
      <w:tr w:rsidR="003311AC" w:rsidRPr="005630DE" w14:paraId="452AB52C" w14:textId="77777777" w:rsidTr="00174436">
        <w:trPr>
          <w:trHeight w:val="45"/>
          <w:jc w:val="center"/>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2987E" w14:textId="4289194E" w:rsidR="003311AC" w:rsidRPr="005630DE" w:rsidRDefault="003311AC" w:rsidP="00CB59A4">
            <w:pPr>
              <w:pStyle w:val="ExhibitText"/>
              <w:jc w:val="left"/>
              <w:rPr>
                <w:lang w:eastAsia="en-CA"/>
              </w:rPr>
            </w:pPr>
            <w:r w:rsidRPr="005630DE">
              <w:rPr>
                <w:lang w:eastAsia="en-CA"/>
              </w:rPr>
              <w:t>Industrial</w:t>
            </w:r>
          </w:p>
        </w:tc>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0F02B" w14:textId="209CA386" w:rsidR="003311AC" w:rsidRPr="005630DE" w:rsidRDefault="003311AC" w:rsidP="00CB59A4">
            <w:pPr>
              <w:pStyle w:val="ExhibitText"/>
              <w:jc w:val="center"/>
              <w:rPr>
                <w:lang w:eastAsia="en-CA"/>
              </w:rPr>
            </w:pP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A65A8" w14:textId="455466EE" w:rsidR="003311AC" w:rsidRPr="005630DE" w:rsidRDefault="0095345A" w:rsidP="00CB59A4">
            <w:pPr>
              <w:pStyle w:val="ExhibitText"/>
              <w:jc w:val="center"/>
              <w:rPr>
                <w:lang w:eastAsia="en-CA"/>
              </w:rPr>
            </w:pPr>
            <w:r>
              <w:rPr>
                <w:lang w:eastAsia="en-CA"/>
              </w:rPr>
              <w:t>0.</w:t>
            </w:r>
            <w:r w:rsidR="003311AC" w:rsidRPr="005630DE">
              <w:rPr>
                <w:lang w:eastAsia="en-CA"/>
              </w:rPr>
              <w:t>31</w:t>
            </w:r>
          </w:p>
        </w:tc>
      </w:tr>
      <w:tr w:rsidR="003311AC" w:rsidRPr="005630DE" w14:paraId="2CF0DB79" w14:textId="77777777" w:rsidTr="00174436">
        <w:trPr>
          <w:trHeight w:val="45"/>
          <w:jc w:val="center"/>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53C58" w14:textId="048206B2" w:rsidR="003311AC" w:rsidRPr="005630DE" w:rsidRDefault="003311AC" w:rsidP="00CB59A4">
            <w:pPr>
              <w:pStyle w:val="ExhibitText"/>
              <w:jc w:val="left"/>
              <w:rPr>
                <w:lang w:eastAsia="en-CA"/>
              </w:rPr>
            </w:pPr>
            <w:r w:rsidRPr="005630DE">
              <w:rPr>
                <w:lang w:eastAsia="en-CA"/>
              </w:rPr>
              <w:t>Public</w:t>
            </w:r>
            <w:r w:rsidR="00DF0D07">
              <w:rPr>
                <w:lang w:eastAsia="en-CA"/>
              </w:rPr>
              <w:t xml:space="preserve"> </w:t>
            </w:r>
            <w:r w:rsidRPr="005630DE">
              <w:rPr>
                <w:lang w:eastAsia="en-CA"/>
              </w:rPr>
              <w:t>Institution</w:t>
            </w:r>
          </w:p>
        </w:tc>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98A9E7" w14:textId="343A0B85" w:rsidR="003311AC" w:rsidRPr="005630DE" w:rsidRDefault="003311AC" w:rsidP="00CB59A4">
            <w:pPr>
              <w:pStyle w:val="ExhibitText"/>
              <w:jc w:val="center"/>
              <w:rPr>
                <w:lang w:eastAsia="en-CA"/>
              </w:rPr>
            </w:pP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AC3A9" w14:textId="51FD80C4" w:rsidR="003311AC" w:rsidRPr="005630DE" w:rsidRDefault="0095345A" w:rsidP="00CB59A4">
            <w:pPr>
              <w:pStyle w:val="ExhibitText"/>
              <w:jc w:val="center"/>
              <w:rPr>
                <w:lang w:eastAsia="en-CA"/>
              </w:rPr>
            </w:pPr>
            <w:r>
              <w:rPr>
                <w:lang w:eastAsia="en-CA"/>
              </w:rPr>
              <w:t>0.</w:t>
            </w:r>
            <w:r w:rsidR="003311AC" w:rsidRPr="005630DE">
              <w:rPr>
                <w:lang w:eastAsia="en-CA"/>
              </w:rPr>
              <w:t>32</w:t>
            </w:r>
          </w:p>
        </w:tc>
      </w:tr>
    </w:tbl>
    <w:p w14:paraId="2F2089D3" w14:textId="77777777" w:rsidR="003311AC" w:rsidRPr="005630DE" w:rsidRDefault="003311AC" w:rsidP="00542316">
      <w:pPr>
        <w:pStyle w:val="ExhibitText"/>
      </w:pPr>
    </w:p>
    <w:p w14:paraId="4D7AC277" w14:textId="7AFDE28C" w:rsidR="003311AC" w:rsidRDefault="003311AC" w:rsidP="00A85BD3">
      <w:pPr>
        <w:pStyle w:val="Footnote"/>
        <w:outlineLvl w:val="0"/>
      </w:pPr>
      <w:r w:rsidRPr="005630DE">
        <w:t>Source:</w:t>
      </w:r>
      <w:r w:rsidR="00DF0D07">
        <w:t xml:space="preserve"> </w:t>
      </w:r>
      <w:r w:rsidRPr="005630DE">
        <w:t>Government</w:t>
      </w:r>
      <w:r w:rsidR="00DF0D07">
        <w:t xml:space="preserve"> </w:t>
      </w:r>
      <w:r w:rsidRPr="005630DE">
        <w:t>of</w:t>
      </w:r>
      <w:r w:rsidR="00DF0D07">
        <w:t xml:space="preserve"> </w:t>
      </w:r>
      <w:r w:rsidR="00E524BD">
        <w:t xml:space="preserve">Haiti, Department of Energy Security. </w:t>
      </w:r>
    </w:p>
    <w:p w14:paraId="61318FEB" w14:textId="69BFC974" w:rsidR="003311AC" w:rsidRDefault="003311AC" w:rsidP="00542316">
      <w:pPr>
        <w:pStyle w:val="ExhibitText"/>
      </w:pPr>
    </w:p>
    <w:p w14:paraId="1BF3C43C" w14:textId="77777777" w:rsidR="00B949FE" w:rsidRDefault="00B949FE" w:rsidP="00542316">
      <w:pPr>
        <w:pStyle w:val="ExhibitText"/>
        <w:sectPr w:rsidR="00B949FE" w:rsidSect="00E524BD">
          <w:headerReference w:type="default" r:id="rId21"/>
          <w:endnotePr>
            <w:numFmt w:val="decimal"/>
          </w:endnotePr>
          <w:pgSz w:w="12240" w:h="15840" w:code="1"/>
          <w:pgMar w:top="1440" w:right="1440" w:bottom="1440" w:left="1440" w:header="720" w:footer="864" w:gutter="0"/>
          <w:cols w:space="720"/>
          <w:docGrid w:linePitch="326"/>
        </w:sectPr>
      </w:pPr>
    </w:p>
    <w:p w14:paraId="68E3F4B3" w14:textId="01AF0D84" w:rsidR="00F5125D" w:rsidRPr="005630DE" w:rsidRDefault="00F5125D" w:rsidP="00A85BD3">
      <w:pPr>
        <w:pStyle w:val="ExhibitHeading"/>
        <w:outlineLvl w:val="0"/>
      </w:pPr>
      <w:bookmarkStart w:id="6" w:name="_Ref390602858"/>
      <w:bookmarkStart w:id="7" w:name="_GoBack"/>
      <w:bookmarkEnd w:id="5"/>
      <w:bookmarkEnd w:id="7"/>
      <w:r w:rsidRPr="005630DE">
        <w:lastRenderedPageBreak/>
        <w:t>Exhibit</w:t>
      </w:r>
      <w:r w:rsidR="00DF0D07">
        <w:t xml:space="preserve"> </w:t>
      </w:r>
      <w:bookmarkEnd w:id="6"/>
      <w:r w:rsidR="00E74F52">
        <w:t>9</w:t>
      </w:r>
      <w:r w:rsidRPr="005630DE">
        <w:t>:</w:t>
      </w:r>
      <w:r w:rsidR="00DF0D07">
        <w:t xml:space="preserve"> </w:t>
      </w:r>
      <w:r w:rsidRPr="005630DE">
        <w:t>Cost</w:t>
      </w:r>
      <w:r w:rsidR="00DF0D07">
        <w:t xml:space="preserve"> </w:t>
      </w:r>
      <w:r w:rsidRPr="005630DE">
        <w:t>Comparison</w:t>
      </w:r>
      <w:r w:rsidR="00DF0D07">
        <w:t xml:space="preserve"> </w:t>
      </w:r>
      <w:r w:rsidRPr="005630DE">
        <w:t>Matrix</w:t>
      </w:r>
    </w:p>
    <w:p w14:paraId="7F2FC857" w14:textId="77777777" w:rsidR="00F5125D" w:rsidRPr="005630DE" w:rsidRDefault="00F5125D" w:rsidP="00542316">
      <w:pPr>
        <w:pStyle w:val="ExhibitText"/>
      </w:pPr>
    </w:p>
    <w:tbl>
      <w:tblPr>
        <w:tblW w:w="4813" w:type="pct"/>
        <w:jc w:val="center"/>
        <w:tblLayout w:type="fixed"/>
        <w:tblLook w:val="04A0" w:firstRow="1" w:lastRow="0" w:firstColumn="1" w:lastColumn="0" w:noHBand="0" w:noVBand="1"/>
      </w:tblPr>
      <w:tblGrid>
        <w:gridCol w:w="1367"/>
        <w:gridCol w:w="1746"/>
        <w:gridCol w:w="1424"/>
        <w:gridCol w:w="851"/>
        <w:gridCol w:w="1134"/>
        <w:gridCol w:w="850"/>
        <w:gridCol w:w="851"/>
        <w:gridCol w:w="850"/>
        <w:gridCol w:w="993"/>
        <w:gridCol w:w="141"/>
        <w:gridCol w:w="993"/>
        <w:gridCol w:w="283"/>
        <w:gridCol w:w="851"/>
        <w:gridCol w:w="141"/>
      </w:tblGrid>
      <w:tr w:rsidR="00227529" w:rsidRPr="0028381A" w14:paraId="13884267" w14:textId="77777777" w:rsidTr="008E0D9D">
        <w:trPr>
          <w:trHeight w:val="360"/>
          <w:jc w:val="center"/>
        </w:trPr>
        <w:tc>
          <w:tcPr>
            <w:tcW w:w="1366" w:type="dxa"/>
            <w:tcBorders>
              <w:top w:val="single" w:sz="4" w:space="0" w:color="auto"/>
              <w:bottom w:val="single" w:sz="12" w:space="0" w:color="auto"/>
            </w:tcBorders>
            <w:shd w:val="clear" w:color="auto" w:fill="auto"/>
            <w:vAlign w:val="center"/>
            <w:hideMark/>
          </w:tcPr>
          <w:p w14:paraId="0C2F7416" w14:textId="0BB56A57" w:rsidR="00F5125D" w:rsidRPr="0028381A" w:rsidRDefault="00F5125D" w:rsidP="00CB59A4">
            <w:pPr>
              <w:pStyle w:val="ExhibitText"/>
              <w:jc w:val="left"/>
              <w:rPr>
                <w:rFonts w:ascii="Arial Bold" w:hAnsi="Arial Bold"/>
                <w:b/>
                <w:sz w:val="17"/>
                <w:szCs w:val="18"/>
                <w:lang w:eastAsia="en-CA"/>
              </w:rPr>
            </w:pPr>
            <w:r w:rsidRPr="0028381A">
              <w:rPr>
                <w:rFonts w:ascii="Arial Bold" w:hAnsi="Arial Bold"/>
                <w:b/>
                <w:sz w:val="17"/>
                <w:szCs w:val="18"/>
                <w:lang w:eastAsia="en-CA"/>
              </w:rPr>
              <w:t>Cost</w:t>
            </w:r>
            <w:r w:rsidR="00DF0D07" w:rsidRPr="0028381A">
              <w:rPr>
                <w:rFonts w:ascii="Arial Bold" w:hAnsi="Arial Bold"/>
                <w:b/>
                <w:sz w:val="17"/>
                <w:szCs w:val="18"/>
                <w:lang w:eastAsia="en-CA"/>
              </w:rPr>
              <w:t xml:space="preserve"> </w:t>
            </w:r>
            <w:r w:rsidRPr="0028381A">
              <w:rPr>
                <w:rFonts w:ascii="Arial Bold" w:hAnsi="Arial Bold"/>
                <w:b/>
                <w:sz w:val="17"/>
                <w:szCs w:val="18"/>
                <w:lang w:eastAsia="en-CA"/>
              </w:rPr>
              <w:t>Category</w:t>
            </w:r>
          </w:p>
        </w:tc>
        <w:tc>
          <w:tcPr>
            <w:tcW w:w="1746" w:type="dxa"/>
            <w:tcBorders>
              <w:top w:val="single" w:sz="4" w:space="0" w:color="auto"/>
              <w:bottom w:val="single" w:sz="12" w:space="0" w:color="auto"/>
            </w:tcBorders>
            <w:shd w:val="clear" w:color="auto" w:fill="auto"/>
            <w:vAlign w:val="center"/>
            <w:hideMark/>
          </w:tcPr>
          <w:p w14:paraId="1385298A" w14:textId="77777777" w:rsidR="00F5125D" w:rsidRPr="0028381A" w:rsidRDefault="00F5125D" w:rsidP="00CB59A4">
            <w:pPr>
              <w:pStyle w:val="ExhibitText"/>
              <w:jc w:val="left"/>
              <w:rPr>
                <w:rFonts w:ascii="Arial Bold" w:hAnsi="Arial Bold"/>
                <w:b/>
                <w:sz w:val="17"/>
                <w:szCs w:val="18"/>
                <w:lang w:eastAsia="en-CA"/>
              </w:rPr>
            </w:pPr>
            <w:r w:rsidRPr="0028381A">
              <w:rPr>
                <w:rFonts w:ascii="Arial Bold" w:hAnsi="Arial Bold"/>
                <w:b/>
                <w:sz w:val="17"/>
                <w:szCs w:val="18"/>
                <w:lang w:eastAsia="en-CA"/>
              </w:rPr>
              <w:t>Notes</w:t>
            </w:r>
          </w:p>
        </w:tc>
        <w:tc>
          <w:tcPr>
            <w:tcW w:w="1424" w:type="dxa"/>
            <w:tcBorders>
              <w:top w:val="single" w:sz="4" w:space="0" w:color="auto"/>
              <w:bottom w:val="single" w:sz="12" w:space="0" w:color="auto"/>
            </w:tcBorders>
            <w:shd w:val="clear" w:color="auto" w:fill="auto"/>
            <w:vAlign w:val="center"/>
            <w:hideMark/>
          </w:tcPr>
          <w:p w14:paraId="769759CA" w14:textId="77777777" w:rsidR="00F5125D" w:rsidRPr="0028381A" w:rsidRDefault="00F5125D" w:rsidP="00227529">
            <w:pPr>
              <w:pStyle w:val="ExhibitText"/>
              <w:ind w:right="-108"/>
              <w:jc w:val="left"/>
              <w:rPr>
                <w:rFonts w:ascii="Arial Bold" w:hAnsi="Arial Bold"/>
                <w:b/>
                <w:sz w:val="17"/>
                <w:szCs w:val="18"/>
                <w:lang w:eastAsia="en-CA"/>
              </w:rPr>
            </w:pPr>
            <w:r w:rsidRPr="0028381A">
              <w:rPr>
                <w:rFonts w:ascii="Arial Bold" w:hAnsi="Arial Bold"/>
                <w:b/>
                <w:sz w:val="17"/>
                <w:szCs w:val="18"/>
                <w:lang w:eastAsia="en-CA"/>
              </w:rPr>
              <w:t>Unit</w:t>
            </w:r>
          </w:p>
        </w:tc>
        <w:tc>
          <w:tcPr>
            <w:tcW w:w="851" w:type="dxa"/>
            <w:tcBorders>
              <w:top w:val="single" w:sz="4" w:space="0" w:color="auto"/>
              <w:bottom w:val="single" w:sz="12" w:space="0" w:color="auto"/>
            </w:tcBorders>
            <w:shd w:val="clear" w:color="auto" w:fill="auto"/>
            <w:vAlign w:val="center"/>
            <w:hideMark/>
          </w:tcPr>
          <w:p w14:paraId="275C7F3D" w14:textId="77777777" w:rsidR="00F5125D" w:rsidRPr="0028381A" w:rsidRDefault="00F5125D" w:rsidP="00B949FE">
            <w:pPr>
              <w:pStyle w:val="ExhibitText"/>
              <w:jc w:val="center"/>
              <w:rPr>
                <w:rFonts w:ascii="Arial Bold" w:hAnsi="Arial Bold"/>
                <w:b/>
                <w:sz w:val="17"/>
                <w:szCs w:val="18"/>
                <w:lang w:eastAsia="en-CA"/>
              </w:rPr>
            </w:pPr>
            <w:r w:rsidRPr="0028381A">
              <w:rPr>
                <w:rFonts w:ascii="Arial Bold" w:hAnsi="Arial Bold"/>
                <w:b/>
                <w:sz w:val="17"/>
                <w:szCs w:val="18"/>
                <w:lang w:eastAsia="en-CA"/>
              </w:rPr>
              <w:t>Haiti</w:t>
            </w:r>
          </w:p>
        </w:tc>
        <w:tc>
          <w:tcPr>
            <w:tcW w:w="1134" w:type="dxa"/>
            <w:tcBorders>
              <w:top w:val="single" w:sz="4" w:space="0" w:color="auto"/>
              <w:bottom w:val="single" w:sz="12" w:space="0" w:color="auto"/>
            </w:tcBorders>
            <w:shd w:val="clear" w:color="auto" w:fill="auto"/>
            <w:vAlign w:val="center"/>
            <w:hideMark/>
          </w:tcPr>
          <w:p w14:paraId="228A0D85" w14:textId="7A308797" w:rsidR="00F5125D" w:rsidRPr="0028381A" w:rsidRDefault="00F5125D" w:rsidP="00B949FE">
            <w:pPr>
              <w:pStyle w:val="ExhibitText"/>
              <w:tabs>
                <w:tab w:val="left" w:pos="791"/>
              </w:tabs>
              <w:ind w:left="-108" w:right="64"/>
              <w:jc w:val="center"/>
              <w:rPr>
                <w:rFonts w:ascii="Arial Bold" w:hAnsi="Arial Bold"/>
                <w:b/>
                <w:sz w:val="17"/>
                <w:szCs w:val="18"/>
                <w:lang w:eastAsia="en-CA"/>
              </w:rPr>
            </w:pPr>
            <w:r w:rsidRPr="0028381A">
              <w:rPr>
                <w:rFonts w:ascii="Arial Bold" w:hAnsi="Arial Bold"/>
                <w:b/>
                <w:sz w:val="17"/>
                <w:szCs w:val="18"/>
                <w:lang w:eastAsia="en-CA"/>
              </w:rPr>
              <w:t>Dominican</w:t>
            </w:r>
            <w:r w:rsidR="00DF0D07" w:rsidRPr="0028381A">
              <w:rPr>
                <w:rFonts w:ascii="Arial Bold" w:hAnsi="Arial Bold"/>
                <w:b/>
                <w:sz w:val="17"/>
                <w:szCs w:val="18"/>
                <w:lang w:eastAsia="en-CA"/>
              </w:rPr>
              <w:t xml:space="preserve"> </w:t>
            </w:r>
            <w:r w:rsidRPr="0028381A">
              <w:rPr>
                <w:rFonts w:ascii="Arial Bold" w:hAnsi="Arial Bold"/>
                <w:b/>
                <w:sz w:val="17"/>
                <w:szCs w:val="18"/>
                <w:lang w:eastAsia="en-CA"/>
              </w:rPr>
              <w:t>Republic</w:t>
            </w:r>
          </w:p>
        </w:tc>
        <w:tc>
          <w:tcPr>
            <w:tcW w:w="850" w:type="dxa"/>
            <w:tcBorders>
              <w:top w:val="single" w:sz="4" w:space="0" w:color="auto"/>
              <w:bottom w:val="single" w:sz="12" w:space="0" w:color="auto"/>
            </w:tcBorders>
            <w:shd w:val="clear" w:color="auto" w:fill="auto"/>
            <w:vAlign w:val="center"/>
            <w:hideMark/>
          </w:tcPr>
          <w:p w14:paraId="2535704C" w14:textId="77777777" w:rsidR="00F5125D" w:rsidRPr="0028381A" w:rsidRDefault="00F5125D" w:rsidP="003146ED">
            <w:pPr>
              <w:pStyle w:val="ExhibitText"/>
              <w:jc w:val="right"/>
              <w:rPr>
                <w:rFonts w:ascii="Arial Bold" w:hAnsi="Arial Bold"/>
                <w:b/>
                <w:sz w:val="17"/>
                <w:szCs w:val="18"/>
                <w:lang w:eastAsia="en-CA"/>
              </w:rPr>
            </w:pPr>
            <w:r w:rsidRPr="0028381A">
              <w:rPr>
                <w:rFonts w:ascii="Arial Bold" w:hAnsi="Arial Bold"/>
                <w:b/>
                <w:sz w:val="17"/>
                <w:szCs w:val="18"/>
                <w:lang w:eastAsia="en-CA"/>
              </w:rPr>
              <w:t>Mexico</w:t>
            </w:r>
          </w:p>
        </w:tc>
        <w:tc>
          <w:tcPr>
            <w:tcW w:w="851" w:type="dxa"/>
            <w:tcBorders>
              <w:top w:val="single" w:sz="4" w:space="0" w:color="auto"/>
              <w:bottom w:val="single" w:sz="12" w:space="0" w:color="auto"/>
            </w:tcBorders>
            <w:shd w:val="clear" w:color="auto" w:fill="auto"/>
            <w:vAlign w:val="center"/>
            <w:hideMark/>
          </w:tcPr>
          <w:p w14:paraId="0E21EA4E" w14:textId="77777777" w:rsidR="00F5125D" w:rsidRPr="0028381A" w:rsidRDefault="00F5125D" w:rsidP="003146ED">
            <w:pPr>
              <w:pStyle w:val="ExhibitText"/>
              <w:jc w:val="right"/>
              <w:rPr>
                <w:rFonts w:ascii="Arial Bold" w:hAnsi="Arial Bold"/>
                <w:b/>
                <w:sz w:val="17"/>
                <w:szCs w:val="18"/>
                <w:lang w:eastAsia="en-CA"/>
              </w:rPr>
            </w:pPr>
            <w:r w:rsidRPr="0028381A">
              <w:rPr>
                <w:rFonts w:ascii="Arial Bold" w:hAnsi="Arial Bold"/>
                <w:b/>
                <w:sz w:val="17"/>
                <w:szCs w:val="18"/>
                <w:lang w:eastAsia="en-CA"/>
              </w:rPr>
              <w:t>India</w:t>
            </w:r>
          </w:p>
        </w:tc>
        <w:tc>
          <w:tcPr>
            <w:tcW w:w="850" w:type="dxa"/>
            <w:tcBorders>
              <w:top w:val="single" w:sz="4" w:space="0" w:color="auto"/>
              <w:bottom w:val="single" w:sz="12" w:space="0" w:color="auto"/>
            </w:tcBorders>
            <w:shd w:val="clear" w:color="auto" w:fill="auto"/>
            <w:vAlign w:val="center"/>
            <w:hideMark/>
          </w:tcPr>
          <w:p w14:paraId="46266BE1" w14:textId="77777777" w:rsidR="00F5125D" w:rsidRPr="0028381A" w:rsidRDefault="00F5125D" w:rsidP="003146ED">
            <w:pPr>
              <w:pStyle w:val="ExhibitText"/>
              <w:jc w:val="right"/>
              <w:rPr>
                <w:rFonts w:ascii="Arial Bold" w:hAnsi="Arial Bold"/>
                <w:b/>
                <w:sz w:val="17"/>
                <w:szCs w:val="18"/>
                <w:lang w:eastAsia="en-CA"/>
              </w:rPr>
            </w:pPr>
            <w:r w:rsidRPr="0028381A">
              <w:rPr>
                <w:rFonts w:ascii="Arial Bold" w:hAnsi="Arial Bold"/>
                <w:b/>
                <w:sz w:val="17"/>
                <w:szCs w:val="18"/>
                <w:lang w:eastAsia="en-CA"/>
              </w:rPr>
              <w:t>China</w:t>
            </w:r>
          </w:p>
        </w:tc>
        <w:tc>
          <w:tcPr>
            <w:tcW w:w="1134" w:type="dxa"/>
            <w:gridSpan w:val="2"/>
            <w:tcBorders>
              <w:top w:val="single" w:sz="4" w:space="0" w:color="auto"/>
              <w:bottom w:val="single" w:sz="12" w:space="0" w:color="auto"/>
            </w:tcBorders>
            <w:shd w:val="clear" w:color="auto" w:fill="auto"/>
            <w:vAlign w:val="center"/>
            <w:hideMark/>
          </w:tcPr>
          <w:p w14:paraId="4B0583C2" w14:textId="77777777" w:rsidR="00F5125D" w:rsidRPr="0028381A" w:rsidRDefault="00F5125D" w:rsidP="00B949FE">
            <w:pPr>
              <w:pStyle w:val="ExhibitText"/>
              <w:jc w:val="left"/>
              <w:rPr>
                <w:rFonts w:ascii="Arial Bold" w:hAnsi="Arial Bold"/>
                <w:b/>
                <w:sz w:val="17"/>
                <w:szCs w:val="18"/>
                <w:lang w:eastAsia="en-CA"/>
              </w:rPr>
            </w:pPr>
            <w:r w:rsidRPr="0028381A">
              <w:rPr>
                <w:rFonts w:ascii="Arial Bold" w:hAnsi="Arial Bold"/>
                <w:b/>
                <w:sz w:val="17"/>
                <w:szCs w:val="18"/>
                <w:lang w:eastAsia="en-CA"/>
              </w:rPr>
              <w:t>Pakistan</w:t>
            </w:r>
          </w:p>
        </w:tc>
        <w:tc>
          <w:tcPr>
            <w:tcW w:w="1276" w:type="dxa"/>
            <w:gridSpan w:val="2"/>
            <w:tcBorders>
              <w:top w:val="single" w:sz="4" w:space="0" w:color="auto"/>
              <w:bottom w:val="single" w:sz="12" w:space="0" w:color="auto"/>
            </w:tcBorders>
            <w:shd w:val="clear" w:color="auto" w:fill="auto"/>
            <w:vAlign w:val="center"/>
            <w:hideMark/>
          </w:tcPr>
          <w:p w14:paraId="2D9C8E55" w14:textId="77777777" w:rsidR="00F5125D" w:rsidRPr="0028381A" w:rsidRDefault="00F5125D" w:rsidP="00B949FE">
            <w:pPr>
              <w:pStyle w:val="ExhibitText"/>
              <w:ind w:hanging="108"/>
              <w:jc w:val="left"/>
              <w:rPr>
                <w:rFonts w:ascii="Arial Bold" w:hAnsi="Arial Bold"/>
                <w:b/>
                <w:sz w:val="17"/>
                <w:szCs w:val="18"/>
                <w:lang w:eastAsia="en-CA"/>
              </w:rPr>
            </w:pPr>
            <w:r w:rsidRPr="0028381A">
              <w:rPr>
                <w:rFonts w:ascii="Arial Bold" w:hAnsi="Arial Bold"/>
                <w:b/>
                <w:sz w:val="17"/>
                <w:szCs w:val="18"/>
                <w:lang w:eastAsia="en-CA"/>
              </w:rPr>
              <w:t>Bangladesh</w:t>
            </w:r>
          </w:p>
        </w:tc>
        <w:tc>
          <w:tcPr>
            <w:tcW w:w="992" w:type="dxa"/>
            <w:gridSpan w:val="2"/>
            <w:tcBorders>
              <w:top w:val="single" w:sz="4" w:space="0" w:color="auto"/>
              <w:bottom w:val="single" w:sz="12" w:space="0" w:color="auto"/>
            </w:tcBorders>
            <w:shd w:val="clear" w:color="auto" w:fill="auto"/>
            <w:vAlign w:val="center"/>
            <w:hideMark/>
          </w:tcPr>
          <w:p w14:paraId="6A0D1916" w14:textId="77777777" w:rsidR="00F5125D" w:rsidRPr="0028381A" w:rsidRDefault="00F5125D" w:rsidP="00B949FE">
            <w:pPr>
              <w:pStyle w:val="ExhibitText"/>
              <w:ind w:left="-107"/>
              <w:rPr>
                <w:rFonts w:ascii="Arial Bold" w:hAnsi="Arial Bold"/>
                <w:b/>
                <w:sz w:val="17"/>
                <w:szCs w:val="18"/>
                <w:lang w:eastAsia="en-CA"/>
              </w:rPr>
            </w:pPr>
            <w:r w:rsidRPr="0028381A">
              <w:rPr>
                <w:rFonts w:ascii="Arial Bold" w:hAnsi="Arial Bold"/>
                <w:b/>
                <w:sz w:val="17"/>
                <w:szCs w:val="18"/>
                <w:lang w:eastAsia="en-CA"/>
              </w:rPr>
              <w:t>Cambodia</w:t>
            </w:r>
          </w:p>
        </w:tc>
      </w:tr>
      <w:tr w:rsidR="00227529" w:rsidRPr="00CB59A4" w14:paraId="7695C1A1" w14:textId="77777777" w:rsidTr="00174436">
        <w:trPr>
          <w:gridAfter w:val="1"/>
          <w:wAfter w:w="141" w:type="dxa"/>
          <w:trHeight w:val="360"/>
          <w:jc w:val="center"/>
        </w:trPr>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6821FD" w14:textId="7EADBD54" w:rsidR="00F5125D" w:rsidRPr="00CB59A4" w:rsidRDefault="00F5125D" w:rsidP="00CB59A4">
            <w:pPr>
              <w:pStyle w:val="ExhibitText"/>
              <w:jc w:val="left"/>
              <w:rPr>
                <w:sz w:val="18"/>
                <w:szCs w:val="18"/>
                <w:lang w:eastAsia="en-CA"/>
              </w:rPr>
            </w:pPr>
            <w:r w:rsidRPr="00CB59A4">
              <w:rPr>
                <w:sz w:val="18"/>
                <w:szCs w:val="18"/>
                <w:lang w:eastAsia="en-CA"/>
              </w:rPr>
              <w:t>Labour</w:t>
            </w:r>
            <w:r w:rsidR="00DF0D07" w:rsidRPr="00CB59A4">
              <w:rPr>
                <w:sz w:val="18"/>
                <w:szCs w:val="18"/>
                <w:lang w:eastAsia="en-CA"/>
              </w:rPr>
              <w:t xml:space="preserve"> </w:t>
            </w:r>
            <w:r w:rsidRPr="00CB59A4">
              <w:rPr>
                <w:sz w:val="18"/>
                <w:szCs w:val="18"/>
                <w:lang w:eastAsia="en-CA"/>
              </w:rPr>
              <w:t>costs</w:t>
            </w: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ECC612" w14:textId="6A453CDE" w:rsidR="00F5125D" w:rsidRPr="00CB59A4" w:rsidRDefault="00DF0D07" w:rsidP="00CB59A4">
            <w:pPr>
              <w:pStyle w:val="ExhibitText"/>
              <w:jc w:val="left"/>
              <w:rPr>
                <w:sz w:val="18"/>
                <w:szCs w:val="18"/>
                <w:lang w:eastAsia="en-CA"/>
              </w:rPr>
            </w:pPr>
            <w:r w:rsidRPr="00CB59A4">
              <w:rPr>
                <w:sz w:val="18"/>
                <w:szCs w:val="18"/>
                <w:lang w:eastAsia="en-CA"/>
              </w:rPr>
              <w:t xml:space="preserve"> </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76E63" w14:textId="3B8F486E" w:rsidR="00F5125D" w:rsidRPr="00CB59A4" w:rsidRDefault="00F5125D" w:rsidP="00CB59A4">
            <w:pPr>
              <w:pStyle w:val="ExhibitText"/>
              <w:jc w:val="left"/>
              <w:rPr>
                <w:sz w:val="18"/>
                <w:szCs w:val="18"/>
                <w:lang w:eastAsia="en-CA"/>
              </w:rPr>
            </w:pPr>
            <w:r w:rsidRPr="00CB59A4">
              <w:rPr>
                <w:sz w:val="18"/>
                <w:szCs w:val="18"/>
                <w:lang w:eastAsia="en-CA"/>
              </w:rPr>
              <w:t>US$/hour</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2C19A" w14:textId="77777777" w:rsidR="00F5125D" w:rsidRPr="00CB59A4" w:rsidRDefault="00F5125D" w:rsidP="003146ED">
            <w:pPr>
              <w:pStyle w:val="ExhibitText"/>
              <w:jc w:val="right"/>
              <w:rPr>
                <w:sz w:val="18"/>
                <w:szCs w:val="18"/>
                <w:lang w:eastAsia="en-CA"/>
              </w:rPr>
            </w:pPr>
            <w:r w:rsidRPr="00CB59A4">
              <w:rPr>
                <w:sz w:val="18"/>
                <w:szCs w:val="18"/>
                <w:lang w:eastAsia="en-CA"/>
              </w:rPr>
              <w:t>0.48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A11AD" w14:textId="18EE5202" w:rsidR="00F5125D" w:rsidRPr="00CB59A4" w:rsidRDefault="00F5125D" w:rsidP="00B949FE">
            <w:pPr>
              <w:pStyle w:val="ExhibitText"/>
              <w:ind w:right="44" w:hanging="18"/>
              <w:jc w:val="right"/>
              <w:rPr>
                <w:sz w:val="18"/>
                <w:szCs w:val="18"/>
                <w:lang w:eastAsia="en-CA"/>
              </w:rPr>
            </w:pPr>
            <w:r w:rsidRPr="00CB59A4">
              <w:rPr>
                <w:sz w:val="18"/>
                <w:szCs w:val="18"/>
                <w:lang w:eastAsia="en-CA"/>
              </w:rPr>
              <w:t>0.9</w:t>
            </w:r>
            <w:r w:rsidR="003146ED">
              <w:rPr>
                <w:sz w:val="18"/>
                <w:szCs w:val="18"/>
                <w:lang w:eastAsia="en-CA"/>
              </w:rPr>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506CC" w14:textId="77777777" w:rsidR="00F5125D" w:rsidRPr="00CB59A4" w:rsidRDefault="00F5125D" w:rsidP="003146ED">
            <w:pPr>
              <w:pStyle w:val="ExhibitText"/>
              <w:jc w:val="right"/>
              <w:rPr>
                <w:sz w:val="18"/>
                <w:szCs w:val="18"/>
                <w:lang w:eastAsia="en-CA"/>
              </w:rPr>
            </w:pPr>
            <w:r w:rsidRPr="00CB59A4">
              <w:rPr>
                <w:sz w:val="18"/>
                <w:szCs w:val="18"/>
                <w:lang w:eastAsia="en-CA"/>
              </w:rPr>
              <w:t>1.86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277C9" w14:textId="77777777" w:rsidR="00F5125D" w:rsidRPr="00CB59A4" w:rsidRDefault="00F5125D" w:rsidP="003146ED">
            <w:pPr>
              <w:pStyle w:val="ExhibitText"/>
              <w:jc w:val="right"/>
              <w:rPr>
                <w:sz w:val="18"/>
                <w:szCs w:val="18"/>
                <w:lang w:eastAsia="en-CA"/>
              </w:rPr>
            </w:pPr>
            <w:r w:rsidRPr="00CB59A4">
              <w:rPr>
                <w:sz w:val="18"/>
                <w:szCs w:val="18"/>
                <w:lang w:eastAsia="en-CA"/>
              </w:rPr>
              <w:t>0.83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A0BED" w14:textId="77777777" w:rsidR="00F5125D" w:rsidRPr="00CB59A4" w:rsidRDefault="00F5125D" w:rsidP="003146ED">
            <w:pPr>
              <w:pStyle w:val="ExhibitText"/>
              <w:jc w:val="right"/>
              <w:rPr>
                <w:sz w:val="18"/>
                <w:szCs w:val="18"/>
                <w:lang w:eastAsia="en-CA"/>
              </w:rPr>
            </w:pPr>
            <w:r w:rsidRPr="00CB59A4">
              <w:rPr>
                <w:sz w:val="18"/>
                <w:szCs w:val="18"/>
                <w:lang w:eastAsia="en-CA"/>
              </w:rPr>
              <w:t>1.44</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283587" w14:textId="77777777" w:rsidR="00F5125D" w:rsidRPr="00CB59A4" w:rsidRDefault="00F5125D" w:rsidP="00DE6648">
            <w:pPr>
              <w:pStyle w:val="ExhibitText"/>
              <w:jc w:val="right"/>
              <w:rPr>
                <w:sz w:val="18"/>
                <w:szCs w:val="18"/>
                <w:lang w:eastAsia="en-CA"/>
              </w:rPr>
            </w:pPr>
            <w:r w:rsidRPr="00CB59A4">
              <w:rPr>
                <w:sz w:val="18"/>
                <w:szCs w:val="18"/>
                <w:lang w:eastAsia="en-CA"/>
              </w:rPr>
              <w:t>0.55</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59A38E3" w14:textId="77777777" w:rsidR="00F5125D" w:rsidRPr="00CB59A4" w:rsidRDefault="00F5125D" w:rsidP="003146ED">
            <w:pPr>
              <w:pStyle w:val="ExhibitText"/>
              <w:jc w:val="right"/>
              <w:rPr>
                <w:sz w:val="18"/>
                <w:szCs w:val="18"/>
                <w:lang w:eastAsia="en-CA"/>
              </w:rPr>
            </w:pPr>
            <w:r w:rsidRPr="00CB59A4">
              <w:rPr>
                <w:sz w:val="18"/>
                <w:szCs w:val="18"/>
                <w:lang w:eastAsia="en-CA"/>
              </w:rPr>
              <w:t>0.32</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8522D4" w14:textId="77777777" w:rsidR="00F5125D" w:rsidRPr="00CB59A4" w:rsidRDefault="00F5125D" w:rsidP="003146ED">
            <w:pPr>
              <w:pStyle w:val="ExhibitText"/>
              <w:jc w:val="right"/>
              <w:rPr>
                <w:sz w:val="18"/>
                <w:szCs w:val="18"/>
                <w:lang w:eastAsia="en-CA"/>
              </w:rPr>
            </w:pPr>
            <w:r w:rsidRPr="00CB59A4">
              <w:rPr>
                <w:sz w:val="18"/>
                <w:szCs w:val="18"/>
                <w:lang w:eastAsia="en-CA"/>
              </w:rPr>
              <w:t>0.33</w:t>
            </w:r>
          </w:p>
        </w:tc>
      </w:tr>
      <w:tr w:rsidR="00227529" w:rsidRPr="00CB59A4" w14:paraId="21EF2666" w14:textId="77777777" w:rsidTr="00174436">
        <w:trPr>
          <w:gridAfter w:val="1"/>
          <w:wAfter w:w="141" w:type="dxa"/>
          <w:trHeight w:val="360"/>
          <w:jc w:val="center"/>
        </w:trPr>
        <w:tc>
          <w:tcPr>
            <w:tcW w:w="13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323A8B" w14:textId="2A15945F" w:rsidR="00F5125D" w:rsidRPr="00CB59A4" w:rsidRDefault="00F5125D" w:rsidP="00CB59A4">
            <w:pPr>
              <w:pStyle w:val="ExhibitText"/>
              <w:jc w:val="left"/>
              <w:rPr>
                <w:sz w:val="18"/>
                <w:szCs w:val="18"/>
                <w:lang w:eastAsia="en-CA"/>
              </w:rPr>
            </w:pPr>
            <w:r w:rsidRPr="00CB59A4">
              <w:rPr>
                <w:sz w:val="18"/>
                <w:szCs w:val="18"/>
                <w:lang w:eastAsia="en-CA"/>
              </w:rPr>
              <w:t>Hours</w:t>
            </w:r>
            <w:r w:rsidR="00DF0D07" w:rsidRPr="00CB59A4">
              <w:rPr>
                <w:sz w:val="18"/>
                <w:szCs w:val="18"/>
                <w:lang w:eastAsia="en-CA"/>
              </w:rPr>
              <w:t xml:space="preserve"> </w:t>
            </w:r>
            <w:r w:rsidRPr="00CB59A4">
              <w:rPr>
                <w:sz w:val="18"/>
                <w:szCs w:val="18"/>
                <w:lang w:eastAsia="en-CA"/>
              </w:rPr>
              <w:t>worked</w:t>
            </w: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FCC67B" w14:textId="18E9BC62" w:rsidR="00F5125D" w:rsidRPr="00CB59A4" w:rsidRDefault="00F5125D" w:rsidP="00CB59A4">
            <w:pPr>
              <w:pStyle w:val="ExhibitText"/>
              <w:jc w:val="left"/>
              <w:rPr>
                <w:sz w:val="18"/>
                <w:szCs w:val="18"/>
                <w:lang w:eastAsia="en-CA"/>
              </w:rPr>
            </w:pPr>
            <w:r w:rsidRPr="00CB59A4">
              <w:rPr>
                <w:sz w:val="18"/>
                <w:szCs w:val="18"/>
                <w:lang w:eastAsia="en-CA"/>
              </w:rPr>
              <w:t>Without</w:t>
            </w:r>
            <w:r w:rsidR="00DF0D07" w:rsidRPr="00CB59A4">
              <w:rPr>
                <w:sz w:val="18"/>
                <w:szCs w:val="18"/>
                <w:lang w:eastAsia="en-CA"/>
              </w:rPr>
              <w:t xml:space="preserve"> </w:t>
            </w:r>
            <w:r w:rsidRPr="00CB59A4">
              <w:rPr>
                <w:sz w:val="18"/>
                <w:szCs w:val="18"/>
                <w:lang w:eastAsia="en-CA"/>
              </w:rPr>
              <w:t>overtime</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72A4F" w14:textId="59ECB419" w:rsidR="00F5125D" w:rsidRPr="00CB59A4" w:rsidRDefault="00F5125D">
            <w:pPr>
              <w:pStyle w:val="ExhibitText"/>
              <w:jc w:val="left"/>
              <w:rPr>
                <w:sz w:val="18"/>
                <w:szCs w:val="18"/>
                <w:lang w:eastAsia="en-CA"/>
              </w:rPr>
            </w:pPr>
            <w:r w:rsidRPr="00CB59A4">
              <w:rPr>
                <w:sz w:val="18"/>
                <w:szCs w:val="18"/>
                <w:lang w:eastAsia="en-CA"/>
              </w:rPr>
              <w:t>Normal</w:t>
            </w:r>
            <w:r w:rsidR="00DF0D07" w:rsidRPr="00CB59A4">
              <w:rPr>
                <w:sz w:val="18"/>
                <w:szCs w:val="18"/>
                <w:lang w:eastAsia="en-CA"/>
              </w:rPr>
              <w:t xml:space="preserve"> </w:t>
            </w:r>
            <w:r w:rsidRPr="00CB59A4">
              <w:rPr>
                <w:sz w:val="18"/>
                <w:szCs w:val="18"/>
                <w:lang w:eastAsia="en-CA"/>
              </w:rPr>
              <w:t>h</w:t>
            </w:r>
            <w:r w:rsidR="003146ED">
              <w:rPr>
                <w:sz w:val="18"/>
                <w:szCs w:val="18"/>
                <w:lang w:eastAsia="en-CA"/>
              </w:rPr>
              <w:t>ou</w:t>
            </w:r>
            <w:r w:rsidRPr="00CB59A4">
              <w:rPr>
                <w:sz w:val="18"/>
                <w:szCs w:val="18"/>
                <w:lang w:eastAsia="en-CA"/>
              </w:rPr>
              <w:t>rs/</w:t>
            </w:r>
            <w:r w:rsidR="003146ED">
              <w:rPr>
                <w:sz w:val="18"/>
                <w:szCs w:val="18"/>
                <w:lang w:eastAsia="en-CA"/>
              </w:rPr>
              <w:br/>
            </w:r>
            <w:r w:rsidRPr="00CB59A4">
              <w:rPr>
                <w:sz w:val="18"/>
                <w:szCs w:val="18"/>
                <w:lang w:eastAsia="en-CA"/>
              </w:rPr>
              <w:t>operator/day</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EF96F" w14:textId="77777777" w:rsidR="00F5125D" w:rsidRPr="00CB59A4" w:rsidRDefault="00F5125D" w:rsidP="003146ED">
            <w:pPr>
              <w:pStyle w:val="ExhibitText"/>
              <w:jc w:val="right"/>
              <w:rPr>
                <w:sz w:val="18"/>
                <w:szCs w:val="18"/>
                <w:lang w:eastAsia="en-CA"/>
              </w:rPr>
            </w:pPr>
            <w:r w:rsidRPr="00CB59A4">
              <w:rPr>
                <w:sz w:val="18"/>
                <w:szCs w:val="18"/>
                <w:lang w:eastAsia="en-CA"/>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3DDE9" w14:textId="02DA750A" w:rsidR="00F5125D" w:rsidRPr="00CB59A4" w:rsidRDefault="00430AD7" w:rsidP="00B949FE">
            <w:pPr>
              <w:pStyle w:val="ExhibitText"/>
              <w:ind w:right="44" w:hanging="18"/>
              <w:jc w:val="right"/>
              <w:rPr>
                <w:sz w:val="18"/>
                <w:szCs w:val="18"/>
                <w:lang w:eastAsia="en-CA"/>
              </w:rPr>
            </w:pPr>
            <w:r>
              <w:rPr>
                <w:sz w:val="18"/>
                <w:szCs w:val="18"/>
                <w:lang w:eastAsia="en-CA"/>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54EB2B" w14:textId="77777777" w:rsidR="00F5125D" w:rsidRPr="00CB59A4" w:rsidRDefault="00F5125D" w:rsidP="003146ED">
            <w:pPr>
              <w:pStyle w:val="ExhibitText"/>
              <w:jc w:val="right"/>
              <w:rPr>
                <w:sz w:val="18"/>
                <w:szCs w:val="18"/>
                <w:lang w:eastAsia="en-CA"/>
              </w:rPr>
            </w:pPr>
            <w:r w:rsidRPr="00CB59A4">
              <w:rPr>
                <w:sz w:val="18"/>
                <w:szCs w:val="18"/>
                <w:lang w:eastAsia="en-CA"/>
              </w:rPr>
              <w:t>8</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E9AF4" w14:textId="77777777" w:rsidR="00F5125D" w:rsidRPr="00CB59A4" w:rsidRDefault="00F5125D" w:rsidP="003146ED">
            <w:pPr>
              <w:pStyle w:val="ExhibitText"/>
              <w:jc w:val="right"/>
              <w:rPr>
                <w:sz w:val="18"/>
                <w:szCs w:val="18"/>
                <w:lang w:eastAsia="en-CA"/>
              </w:rPr>
            </w:pPr>
            <w:r w:rsidRPr="00CB59A4">
              <w:rPr>
                <w:sz w:val="18"/>
                <w:szCs w:val="18"/>
                <w:lang w:eastAsia="en-CA"/>
              </w:rPr>
              <w:t>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B3D4F" w14:textId="77777777" w:rsidR="00F5125D" w:rsidRPr="00CB59A4" w:rsidRDefault="00F5125D" w:rsidP="003146ED">
            <w:pPr>
              <w:pStyle w:val="ExhibitText"/>
              <w:jc w:val="right"/>
              <w:rPr>
                <w:sz w:val="18"/>
                <w:szCs w:val="18"/>
                <w:lang w:eastAsia="en-CA"/>
              </w:rPr>
            </w:pPr>
            <w:r w:rsidRPr="00CB59A4">
              <w:rPr>
                <w:sz w:val="18"/>
                <w:szCs w:val="18"/>
                <w:lang w:eastAsia="en-CA"/>
              </w:rPr>
              <w:t>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BE228" w14:textId="77777777" w:rsidR="00F5125D" w:rsidRPr="00CB59A4" w:rsidRDefault="00F5125D" w:rsidP="00DE6648">
            <w:pPr>
              <w:pStyle w:val="ExhibitText"/>
              <w:jc w:val="right"/>
              <w:rPr>
                <w:sz w:val="18"/>
                <w:szCs w:val="18"/>
                <w:lang w:eastAsia="en-CA"/>
              </w:rPr>
            </w:pPr>
            <w:r w:rsidRPr="00CB59A4">
              <w:rPr>
                <w:sz w:val="18"/>
                <w:szCs w:val="18"/>
                <w:lang w:eastAsia="en-CA"/>
              </w:rPr>
              <w:t>8</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7EFE614" w14:textId="77777777" w:rsidR="00F5125D" w:rsidRPr="00CB59A4" w:rsidRDefault="00F5125D" w:rsidP="003146ED">
            <w:pPr>
              <w:pStyle w:val="ExhibitText"/>
              <w:jc w:val="right"/>
              <w:rPr>
                <w:sz w:val="18"/>
                <w:szCs w:val="18"/>
                <w:lang w:eastAsia="en-CA"/>
              </w:rPr>
            </w:pPr>
            <w:r w:rsidRPr="00CB59A4">
              <w:rPr>
                <w:sz w:val="18"/>
                <w:szCs w:val="18"/>
                <w:lang w:eastAsia="en-CA"/>
              </w:rPr>
              <w:t>8</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95A8D64" w14:textId="77777777" w:rsidR="00F5125D" w:rsidRPr="00CB59A4" w:rsidRDefault="00F5125D" w:rsidP="003146ED">
            <w:pPr>
              <w:pStyle w:val="ExhibitText"/>
              <w:jc w:val="right"/>
              <w:rPr>
                <w:sz w:val="18"/>
                <w:szCs w:val="18"/>
                <w:lang w:eastAsia="en-CA"/>
              </w:rPr>
            </w:pPr>
            <w:r w:rsidRPr="00CB59A4">
              <w:rPr>
                <w:sz w:val="18"/>
                <w:szCs w:val="18"/>
                <w:lang w:eastAsia="en-CA"/>
              </w:rPr>
              <w:t>8</w:t>
            </w:r>
          </w:p>
        </w:tc>
      </w:tr>
      <w:tr w:rsidR="00227529" w:rsidRPr="00CB59A4" w14:paraId="04EE12E0" w14:textId="77777777" w:rsidTr="00174436">
        <w:trPr>
          <w:gridAfter w:val="1"/>
          <w:wAfter w:w="141" w:type="dxa"/>
          <w:trHeight w:val="360"/>
          <w:jc w:val="center"/>
        </w:trPr>
        <w:tc>
          <w:tcPr>
            <w:tcW w:w="136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EA0CE46" w14:textId="77777777" w:rsidR="00F5125D" w:rsidRPr="00CB59A4" w:rsidRDefault="00F5125D" w:rsidP="00CB59A4">
            <w:pPr>
              <w:pStyle w:val="ExhibitText"/>
              <w:jc w:val="left"/>
              <w:rPr>
                <w:sz w:val="18"/>
                <w:szCs w:val="18"/>
                <w:lang w:eastAsia="en-CA"/>
              </w:rPr>
            </w:pP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164E9D" w14:textId="0E457E41" w:rsidR="00F5125D" w:rsidRPr="00CB59A4" w:rsidRDefault="00F5125D" w:rsidP="00CB59A4">
            <w:pPr>
              <w:pStyle w:val="ExhibitText"/>
              <w:jc w:val="left"/>
              <w:rPr>
                <w:sz w:val="18"/>
                <w:szCs w:val="18"/>
                <w:lang w:eastAsia="en-CA"/>
              </w:rPr>
            </w:pPr>
            <w:r w:rsidRPr="00CB59A4">
              <w:rPr>
                <w:sz w:val="18"/>
                <w:szCs w:val="18"/>
                <w:lang w:eastAsia="en-CA"/>
              </w:rPr>
              <w:t>Without</w:t>
            </w:r>
            <w:r w:rsidR="00DF0D07" w:rsidRPr="00CB59A4">
              <w:rPr>
                <w:sz w:val="18"/>
                <w:szCs w:val="18"/>
                <w:lang w:eastAsia="en-CA"/>
              </w:rPr>
              <w:t xml:space="preserve"> </w:t>
            </w:r>
            <w:r w:rsidRPr="00CB59A4">
              <w:rPr>
                <w:sz w:val="18"/>
                <w:szCs w:val="18"/>
                <w:lang w:eastAsia="en-CA"/>
              </w:rPr>
              <w:t>overtime</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D2A830" w14:textId="09E89521" w:rsidR="00F5125D" w:rsidRPr="00CB59A4" w:rsidRDefault="00F5125D">
            <w:pPr>
              <w:pStyle w:val="ExhibitText"/>
              <w:jc w:val="left"/>
              <w:rPr>
                <w:sz w:val="18"/>
                <w:szCs w:val="18"/>
                <w:lang w:eastAsia="en-CA"/>
              </w:rPr>
            </w:pPr>
            <w:r w:rsidRPr="00CB59A4">
              <w:rPr>
                <w:sz w:val="18"/>
                <w:szCs w:val="18"/>
                <w:lang w:eastAsia="en-CA"/>
              </w:rPr>
              <w:t>Normal</w:t>
            </w:r>
            <w:r w:rsidR="00DF0D07" w:rsidRPr="00CB59A4">
              <w:rPr>
                <w:sz w:val="18"/>
                <w:szCs w:val="18"/>
                <w:lang w:eastAsia="en-CA"/>
              </w:rPr>
              <w:t xml:space="preserve"> </w:t>
            </w:r>
            <w:r w:rsidRPr="00CB59A4">
              <w:rPr>
                <w:sz w:val="18"/>
                <w:szCs w:val="18"/>
                <w:lang w:eastAsia="en-CA"/>
              </w:rPr>
              <w:t>h</w:t>
            </w:r>
            <w:r w:rsidR="003146ED">
              <w:rPr>
                <w:sz w:val="18"/>
                <w:szCs w:val="18"/>
                <w:lang w:eastAsia="en-CA"/>
              </w:rPr>
              <w:t>ou</w:t>
            </w:r>
            <w:r w:rsidRPr="00CB59A4">
              <w:rPr>
                <w:sz w:val="18"/>
                <w:szCs w:val="18"/>
                <w:lang w:eastAsia="en-CA"/>
              </w:rPr>
              <w:t>rs/</w:t>
            </w:r>
            <w:r w:rsidR="003146ED">
              <w:rPr>
                <w:sz w:val="18"/>
                <w:szCs w:val="18"/>
                <w:lang w:eastAsia="en-CA"/>
              </w:rPr>
              <w:br/>
            </w:r>
            <w:r w:rsidRPr="00CB59A4">
              <w:rPr>
                <w:sz w:val="18"/>
                <w:szCs w:val="18"/>
                <w:lang w:eastAsia="en-CA"/>
              </w:rPr>
              <w:t>operator/</w:t>
            </w:r>
            <w:r w:rsidR="00D63FD2">
              <w:rPr>
                <w:sz w:val="18"/>
                <w:szCs w:val="18"/>
                <w:lang w:eastAsia="en-CA"/>
              </w:rPr>
              <w:t>week</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B1A66" w14:textId="77777777" w:rsidR="00F5125D" w:rsidRPr="00CB59A4" w:rsidRDefault="00F5125D" w:rsidP="003146ED">
            <w:pPr>
              <w:pStyle w:val="ExhibitText"/>
              <w:jc w:val="right"/>
              <w:rPr>
                <w:sz w:val="18"/>
                <w:szCs w:val="18"/>
                <w:lang w:eastAsia="en-CA"/>
              </w:rPr>
            </w:pPr>
            <w:r w:rsidRPr="00CB59A4">
              <w:rPr>
                <w:sz w:val="18"/>
                <w:szCs w:val="18"/>
                <w:lang w:eastAsia="en-CA"/>
              </w:rPr>
              <w:t>48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80702E" w14:textId="77777777" w:rsidR="00F5125D" w:rsidRPr="00CB59A4" w:rsidRDefault="00F5125D" w:rsidP="00B949FE">
            <w:pPr>
              <w:pStyle w:val="ExhibitText"/>
              <w:ind w:right="44" w:hanging="18"/>
              <w:jc w:val="right"/>
              <w:rPr>
                <w:sz w:val="18"/>
                <w:szCs w:val="18"/>
                <w:lang w:eastAsia="en-CA"/>
              </w:rPr>
            </w:pPr>
            <w:r w:rsidRPr="00CB59A4">
              <w:rPr>
                <w:sz w:val="18"/>
                <w:szCs w:val="18"/>
                <w:lang w:eastAsia="en-CA"/>
              </w:rPr>
              <w:t>44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C663C" w14:textId="77777777" w:rsidR="00F5125D" w:rsidRPr="00CB59A4" w:rsidRDefault="00F5125D" w:rsidP="003146ED">
            <w:pPr>
              <w:pStyle w:val="ExhibitText"/>
              <w:jc w:val="right"/>
              <w:rPr>
                <w:sz w:val="18"/>
                <w:szCs w:val="18"/>
                <w:lang w:eastAsia="en-CA"/>
              </w:rPr>
            </w:pPr>
            <w:r w:rsidRPr="00CB59A4">
              <w:rPr>
                <w:sz w:val="18"/>
                <w:szCs w:val="18"/>
                <w:lang w:eastAsia="en-CA"/>
              </w:rPr>
              <w:t>44</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AD740" w14:textId="77777777" w:rsidR="00F5125D" w:rsidRPr="00CB59A4" w:rsidRDefault="00F5125D" w:rsidP="003146ED">
            <w:pPr>
              <w:pStyle w:val="ExhibitText"/>
              <w:jc w:val="right"/>
              <w:rPr>
                <w:sz w:val="18"/>
                <w:szCs w:val="18"/>
                <w:lang w:eastAsia="en-CA"/>
              </w:rPr>
            </w:pPr>
            <w:r w:rsidRPr="00CB59A4">
              <w:rPr>
                <w:sz w:val="18"/>
                <w:szCs w:val="18"/>
                <w:lang w:eastAsia="en-CA"/>
              </w:rPr>
              <w:t>48</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B088B8" w14:textId="77777777" w:rsidR="00F5125D" w:rsidRPr="00CB59A4" w:rsidRDefault="00F5125D" w:rsidP="003146ED">
            <w:pPr>
              <w:pStyle w:val="ExhibitText"/>
              <w:jc w:val="right"/>
              <w:rPr>
                <w:sz w:val="18"/>
                <w:szCs w:val="18"/>
                <w:lang w:eastAsia="en-CA"/>
              </w:rPr>
            </w:pPr>
            <w:r w:rsidRPr="00CB59A4">
              <w:rPr>
                <w:sz w:val="18"/>
                <w:szCs w:val="18"/>
                <w:lang w:eastAsia="en-CA"/>
              </w:rPr>
              <w:t>48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9C5D9" w14:textId="77777777" w:rsidR="00F5125D" w:rsidRPr="00CB59A4" w:rsidRDefault="00F5125D" w:rsidP="00DE6648">
            <w:pPr>
              <w:pStyle w:val="ExhibitText"/>
              <w:jc w:val="right"/>
              <w:rPr>
                <w:sz w:val="18"/>
                <w:szCs w:val="18"/>
                <w:lang w:eastAsia="en-CA"/>
              </w:rPr>
            </w:pPr>
            <w:r w:rsidRPr="00CB59A4">
              <w:rPr>
                <w:sz w:val="18"/>
                <w:szCs w:val="18"/>
                <w:lang w:eastAsia="en-CA"/>
              </w:rPr>
              <w:t>49</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A7E8DB" w14:textId="77777777" w:rsidR="00F5125D" w:rsidRPr="00CB59A4" w:rsidRDefault="00F5125D" w:rsidP="003146ED">
            <w:pPr>
              <w:pStyle w:val="ExhibitText"/>
              <w:jc w:val="right"/>
              <w:rPr>
                <w:sz w:val="18"/>
                <w:szCs w:val="18"/>
                <w:lang w:eastAsia="en-CA"/>
              </w:rPr>
            </w:pPr>
            <w:r w:rsidRPr="00CB59A4">
              <w:rPr>
                <w:sz w:val="18"/>
                <w:szCs w:val="18"/>
                <w:lang w:eastAsia="en-CA"/>
              </w:rPr>
              <w:t>48</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9CD6EC" w14:textId="77777777" w:rsidR="00F5125D" w:rsidRPr="00CB59A4" w:rsidRDefault="00F5125D" w:rsidP="003146ED">
            <w:pPr>
              <w:pStyle w:val="ExhibitText"/>
              <w:jc w:val="right"/>
              <w:rPr>
                <w:sz w:val="18"/>
                <w:szCs w:val="18"/>
                <w:lang w:eastAsia="en-CA"/>
              </w:rPr>
            </w:pPr>
            <w:r w:rsidRPr="00CB59A4">
              <w:rPr>
                <w:sz w:val="18"/>
                <w:szCs w:val="18"/>
                <w:lang w:eastAsia="en-CA"/>
              </w:rPr>
              <w:t>42</w:t>
            </w:r>
          </w:p>
        </w:tc>
      </w:tr>
      <w:tr w:rsidR="00227529" w:rsidRPr="00CB59A4" w14:paraId="18F0C867" w14:textId="77777777" w:rsidTr="00174436">
        <w:trPr>
          <w:gridAfter w:val="1"/>
          <w:wAfter w:w="141" w:type="dxa"/>
          <w:trHeight w:val="360"/>
          <w:jc w:val="center"/>
        </w:trPr>
        <w:tc>
          <w:tcPr>
            <w:tcW w:w="136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C56C7A8" w14:textId="77777777" w:rsidR="00F5125D" w:rsidRPr="00CB59A4" w:rsidRDefault="00F5125D" w:rsidP="00CB59A4">
            <w:pPr>
              <w:pStyle w:val="ExhibitText"/>
              <w:jc w:val="left"/>
              <w:rPr>
                <w:sz w:val="18"/>
                <w:szCs w:val="18"/>
                <w:lang w:eastAsia="en-CA"/>
              </w:rPr>
            </w:pP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365F48" w14:textId="4D98A7C0" w:rsidR="00F5125D" w:rsidRPr="00CB59A4" w:rsidRDefault="00F5125D" w:rsidP="00CB59A4">
            <w:pPr>
              <w:pStyle w:val="ExhibitText"/>
              <w:jc w:val="left"/>
              <w:rPr>
                <w:sz w:val="18"/>
                <w:szCs w:val="18"/>
                <w:lang w:eastAsia="en-CA"/>
              </w:rPr>
            </w:pPr>
            <w:r w:rsidRPr="00CB59A4">
              <w:rPr>
                <w:sz w:val="18"/>
                <w:szCs w:val="18"/>
                <w:lang w:eastAsia="en-CA"/>
              </w:rPr>
              <w:t>National</w:t>
            </w:r>
            <w:r w:rsidR="00DF0D07" w:rsidRPr="00CB59A4">
              <w:rPr>
                <w:sz w:val="18"/>
                <w:szCs w:val="18"/>
                <w:lang w:eastAsia="en-CA"/>
              </w:rPr>
              <w:t xml:space="preserve"> </w:t>
            </w:r>
            <w:r w:rsidRPr="00CB59A4">
              <w:rPr>
                <w:sz w:val="18"/>
                <w:szCs w:val="18"/>
                <w:lang w:eastAsia="en-CA"/>
              </w:rPr>
              <w:t>holidays</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2328A" w14:textId="77777777" w:rsidR="00F5125D" w:rsidRPr="00CB59A4" w:rsidRDefault="00F5125D" w:rsidP="00CB59A4">
            <w:pPr>
              <w:pStyle w:val="ExhibitText"/>
              <w:jc w:val="left"/>
              <w:rPr>
                <w:sz w:val="18"/>
                <w:szCs w:val="18"/>
                <w:lang w:eastAsia="en-CA"/>
              </w:rPr>
            </w:pPr>
            <w:r w:rsidRPr="00CB59A4">
              <w:rPr>
                <w:sz w:val="18"/>
                <w:szCs w:val="18"/>
                <w:lang w:eastAsia="en-CA"/>
              </w:rPr>
              <w:t>Days/year</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98264" w14:textId="77777777" w:rsidR="00F5125D" w:rsidRPr="00CB59A4" w:rsidRDefault="00F5125D" w:rsidP="003146ED">
            <w:pPr>
              <w:pStyle w:val="ExhibitText"/>
              <w:jc w:val="right"/>
              <w:rPr>
                <w:sz w:val="18"/>
                <w:szCs w:val="18"/>
                <w:lang w:eastAsia="en-CA"/>
              </w:rPr>
            </w:pPr>
            <w:r w:rsidRPr="00CB59A4">
              <w:rPr>
                <w:sz w:val="18"/>
                <w:szCs w:val="18"/>
                <w:lang w:eastAsia="en-CA"/>
              </w:rPr>
              <w:t>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5C2141" w14:textId="77777777" w:rsidR="00F5125D" w:rsidRPr="00CB59A4" w:rsidRDefault="00F5125D" w:rsidP="00B949FE">
            <w:pPr>
              <w:pStyle w:val="ExhibitText"/>
              <w:ind w:right="44" w:hanging="18"/>
              <w:jc w:val="right"/>
              <w:rPr>
                <w:sz w:val="18"/>
                <w:szCs w:val="18"/>
                <w:lang w:eastAsia="en-CA"/>
              </w:rPr>
            </w:pPr>
            <w:r w:rsidRPr="00CB59A4">
              <w:rPr>
                <w:sz w:val="18"/>
                <w:szCs w:val="18"/>
                <w:lang w:eastAsia="en-CA"/>
              </w:rPr>
              <w:t>13</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475CE" w14:textId="77777777" w:rsidR="00F5125D" w:rsidRPr="00CB59A4" w:rsidRDefault="00F5125D" w:rsidP="003146ED">
            <w:pPr>
              <w:pStyle w:val="ExhibitText"/>
              <w:jc w:val="right"/>
              <w:rPr>
                <w:sz w:val="18"/>
                <w:szCs w:val="18"/>
                <w:lang w:eastAsia="en-CA"/>
              </w:rPr>
            </w:pPr>
            <w:r w:rsidRPr="00CB59A4">
              <w:rPr>
                <w:sz w:val="18"/>
                <w:szCs w:val="18"/>
                <w:lang w:eastAsia="en-CA"/>
              </w:rPr>
              <w:t>14</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84CB6" w14:textId="77777777" w:rsidR="00F5125D" w:rsidRPr="00CB59A4" w:rsidRDefault="00F5125D" w:rsidP="003146ED">
            <w:pPr>
              <w:pStyle w:val="ExhibitText"/>
              <w:jc w:val="right"/>
              <w:rPr>
                <w:sz w:val="18"/>
                <w:szCs w:val="18"/>
                <w:lang w:eastAsia="en-CA"/>
              </w:rPr>
            </w:pPr>
            <w:r w:rsidRPr="00CB59A4">
              <w:rPr>
                <w:sz w:val="18"/>
                <w:szCs w:val="18"/>
                <w:lang w:eastAsia="en-CA"/>
              </w:rPr>
              <w:t>17</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0392AC" w14:textId="77777777" w:rsidR="00F5125D" w:rsidRPr="00CB59A4" w:rsidRDefault="00F5125D" w:rsidP="003146ED">
            <w:pPr>
              <w:pStyle w:val="ExhibitText"/>
              <w:jc w:val="right"/>
              <w:rPr>
                <w:sz w:val="18"/>
                <w:szCs w:val="18"/>
                <w:lang w:eastAsia="en-CA"/>
              </w:rPr>
            </w:pPr>
            <w:r w:rsidRPr="00CB59A4">
              <w:rPr>
                <w:sz w:val="18"/>
                <w:szCs w:val="18"/>
                <w:lang w:eastAsia="en-CA"/>
              </w:rPr>
              <w:t>11</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E9EEF" w14:textId="77777777" w:rsidR="00F5125D" w:rsidRPr="00CB59A4" w:rsidRDefault="00F5125D" w:rsidP="00DE6648">
            <w:pPr>
              <w:pStyle w:val="ExhibitText"/>
              <w:jc w:val="right"/>
              <w:rPr>
                <w:sz w:val="18"/>
                <w:szCs w:val="18"/>
                <w:lang w:eastAsia="en-CA"/>
              </w:rPr>
            </w:pPr>
            <w:r w:rsidRPr="00CB59A4">
              <w:rPr>
                <w:sz w:val="18"/>
                <w:szCs w:val="18"/>
                <w:lang w:eastAsia="en-CA"/>
              </w:rPr>
              <w:t>18</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C4177B" w14:textId="77777777" w:rsidR="00F5125D" w:rsidRPr="00CB59A4" w:rsidRDefault="00F5125D" w:rsidP="003146ED">
            <w:pPr>
              <w:pStyle w:val="ExhibitText"/>
              <w:jc w:val="right"/>
              <w:rPr>
                <w:sz w:val="18"/>
                <w:szCs w:val="18"/>
                <w:lang w:eastAsia="en-CA"/>
              </w:rPr>
            </w:pPr>
            <w:r w:rsidRPr="00CB59A4">
              <w:rPr>
                <w:sz w:val="18"/>
                <w:szCs w:val="18"/>
                <w:lang w:eastAsia="en-CA"/>
              </w:rPr>
              <w:t>10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C5AFA8" w14:textId="77777777" w:rsidR="00F5125D" w:rsidRPr="00CB59A4" w:rsidRDefault="00F5125D" w:rsidP="003146ED">
            <w:pPr>
              <w:pStyle w:val="ExhibitText"/>
              <w:jc w:val="right"/>
              <w:rPr>
                <w:sz w:val="18"/>
                <w:szCs w:val="18"/>
                <w:lang w:eastAsia="en-CA"/>
              </w:rPr>
            </w:pPr>
            <w:r w:rsidRPr="00CB59A4">
              <w:rPr>
                <w:sz w:val="18"/>
                <w:szCs w:val="18"/>
                <w:lang w:eastAsia="en-CA"/>
              </w:rPr>
              <w:t>25</w:t>
            </w:r>
          </w:p>
        </w:tc>
      </w:tr>
      <w:tr w:rsidR="00227529" w:rsidRPr="00CB59A4" w14:paraId="482823B1" w14:textId="77777777" w:rsidTr="00174436">
        <w:trPr>
          <w:gridAfter w:val="1"/>
          <w:wAfter w:w="141" w:type="dxa"/>
          <w:trHeight w:val="360"/>
          <w:jc w:val="center"/>
        </w:trPr>
        <w:tc>
          <w:tcPr>
            <w:tcW w:w="136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844E15F" w14:textId="77777777" w:rsidR="00F5125D" w:rsidRPr="00CB59A4" w:rsidRDefault="00F5125D" w:rsidP="00CB59A4">
            <w:pPr>
              <w:pStyle w:val="ExhibitText"/>
              <w:jc w:val="left"/>
              <w:rPr>
                <w:sz w:val="18"/>
                <w:szCs w:val="18"/>
                <w:lang w:eastAsia="en-CA"/>
              </w:rPr>
            </w:pP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86DE11" w14:textId="1677A4E2" w:rsidR="00F5125D" w:rsidRPr="00CB59A4" w:rsidRDefault="00F5125D" w:rsidP="00CB59A4">
            <w:pPr>
              <w:pStyle w:val="ExhibitText"/>
              <w:jc w:val="left"/>
              <w:rPr>
                <w:sz w:val="18"/>
                <w:szCs w:val="18"/>
                <w:lang w:eastAsia="en-CA"/>
              </w:rPr>
            </w:pPr>
            <w:r w:rsidRPr="00CB59A4">
              <w:rPr>
                <w:sz w:val="18"/>
                <w:szCs w:val="18"/>
                <w:lang w:eastAsia="en-CA"/>
              </w:rPr>
              <w:t>Without</w:t>
            </w:r>
            <w:r w:rsidR="00DF0D07" w:rsidRPr="00CB59A4">
              <w:rPr>
                <w:sz w:val="18"/>
                <w:szCs w:val="18"/>
                <w:lang w:eastAsia="en-CA"/>
              </w:rPr>
              <w:t xml:space="preserve"> </w:t>
            </w:r>
            <w:r w:rsidRPr="00CB59A4">
              <w:rPr>
                <w:sz w:val="18"/>
                <w:szCs w:val="18"/>
                <w:lang w:eastAsia="en-CA"/>
              </w:rPr>
              <w:t>overtime,</w:t>
            </w:r>
            <w:r w:rsidR="00DF0D07" w:rsidRPr="00CB59A4">
              <w:rPr>
                <w:sz w:val="18"/>
                <w:szCs w:val="18"/>
                <w:lang w:eastAsia="en-CA"/>
              </w:rPr>
              <w:t xml:space="preserve"> </w:t>
            </w:r>
            <w:r w:rsidRPr="00CB59A4">
              <w:rPr>
                <w:sz w:val="18"/>
                <w:szCs w:val="18"/>
                <w:lang w:eastAsia="en-CA"/>
              </w:rPr>
              <w:t>per</w:t>
            </w:r>
            <w:r w:rsidR="00DF0D07" w:rsidRPr="00CB59A4">
              <w:rPr>
                <w:sz w:val="18"/>
                <w:szCs w:val="18"/>
                <w:lang w:eastAsia="en-CA"/>
              </w:rPr>
              <w:t xml:space="preserve"> </w:t>
            </w:r>
            <w:r w:rsidRPr="00CB59A4">
              <w:rPr>
                <w:sz w:val="18"/>
                <w:szCs w:val="18"/>
                <w:lang w:eastAsia="en-CA"/>
              </w:rPr>
              <w:t>year</w:t>
            </w:r>
            <w:r w:rsidR="00DF0D07" w:rsidRPr="00CB59A4">
              <w:rPr>
                <w:sz w:val="18"/>
                <w:szCs w:val="18"/>
                <w:lang w:eastAsia="en-CA"/>
              </w:rPr>
              <w:t xml:space="preserve"> </w:t>
            </w:r>
            <w:r w:rsidRPr="00CB59A4">
              <w:rPr>
                <w:sz w:val="18"/>
                <w:szCs w:val="18"/>
                <w:lang w:eastAsia="en-CA"/>
              </w:rPr>
              <w:t>(less</w:t>
            </w:r>
            <w:r w:rsidR="00DF0D07" w:rsidRPr="00CB59A4">
              <w:rPr>
                <w:sz w:val="18"/>
                <w:szCs w:val="18"/>
                <w:lang w:eastAsia="en-CA"/>
              </w:rPr>
              <w:t xml:space="preserve"> </w:t>
            </w:r>
            <w:r w:rsidRPr="00CB59A4">
              <w:rPr>
                <w:sz w:val="18"/>
                <w:szCs w:val="18"/>
                <w:lang w:eastAsia="en-CA"/>
              </w:rPr>
              <w:t>holidays</w:t>
            </w:r>
            <w:r w:rsidR="00DF0D07" w:rsidRPr="00CB59A4">
              <w:rPr>
                <w:sz w:val="18"/>
                <w:szCs w:val="18"/>
                <w:lang w:eastAsia="en-CA"/>
              </w:rPr>
              <w:t xml:space="preserve"> </w:t>
            </w:r>
            <w:r w:rsidRPr="00CB59A4">
              <w:rPr>
                <w:sz w:val="18"/>
                <w:szCs w:val="18"/>
                <w:lang w:eastAsia="en-CA"/>
              </w:rPr>
              <w:t>and</w:t>
            </w:r>
            <w:r w:rsidR="00DF0D07" w:rsidRPr="00CB59A4">
              <w:rPr>
                <w:sz w:val="18"/>
                <w:szCs w:val="18"/>
                <w:lang w:eastAsia="en-CA"/>
              </w:rPr>
              <w:t xml:space="preserve"> </w:t>
            </w:r>
            <w:r w:rsidRPr="00CB59A4">
              <w:rPr>
                <w:sz w:val="18"/>
                <w:szCs w:val="18"/>
                <w:lang w:eastAsia="en-CA"/>
              </w:rPr>
              <w:t>assumed</w:t>
            </w:r>
            <w:r w:rsidR="00DF0D07" w:rsidRPr="00CB59A4">
              <w:rPr>
                <w:sz w:val="18"/>
                <w:szCs w:val="18"/>
                <w:lang w:eastAsia="en-CA"/>
              </w:rPr>
              <w:t xml:space="preserve"> </w:t>
            </w:r>
            <w:r w:rsidRPr="00CB59A4">
              <w:rPr>
                <w:sz w:val="18"/>
                <w:szCs w:val="18"/>
                <w:lang w:eastAsia="en-CA"/>
              </w:rPr>
              <w:t>10</w:t>
            </w:r>
            <w:r w:rsidR="00DF0D07" w:rsidRPr="00CB59A4">
              <w:rPr>
                <w:sz w:val="18"/>
                <w:szCs w:val="18"/>
                <w:lang w:eastAsia="en-CA"/>
              </w:rPr>
              <w:t xml:space="preserve"> </w:t>
            </w:r>
            <w:r w:rsidRPr="00CB59A4">
              <w:rPr>
                <w:sz w:val="18"/>
                <w:szCs w:val="18"/>
                <w:lang w:eastAsia="en-CA"/>
              </w:rPr>
              <w:t>days</w:t>
            </w:r>
            <w:r w:rsidR="00DF0D07" w:rsidRPr="00CB59A4">
              <w:rPr>
                <w:sz w:val="18"/>
                <w:szCs w:val="18"/>
                <w:lang w:eastAsia="en-CA"/>
              </w:rPr>
              <w:t xml:space="preserve"> </w:t>
            </w:r>
            <w:r w:rsidR="004E5F35" w:rsidRPr="00CB59A4">
              <w:rPr>
                <w:sz w:val="18"/>
                <w:szCs w:val="18"/>
                <w:lang w:eastAsia="en-CA"/>
              </w:rPr>
              <w:t>of</w:t>
            </w:r>
            <w:r w:rsidR="00DF0D07" w:rsidRPr="00CB59A4">
              <w:rPr>
                <w:sz w:val="18"/>
                <w:szCs w:val="18"/>
                <w:lang w:eastAsia="en-CA"/>
              </w:rPr>
              <w:t xml:space="preserve"> </w:t>
            </w:r>
            <w:r w:rsidRPr="00CB59A4">
              <w:rPr>
                <w:sz w:val="18"/>
                <w:szCs w:val="18"/>
                <w:lang w:eastAsia="en-CA"/>
              </w:rPr>
              <w:t>vacation)</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0202E0" w14:textId="4FDFCAD4" w:rsidR="00F5125D" w:rsidRPr="00CB59A4" w:rsidRDefault="00F5125D" w:rsidP="00CB59A4">
            <w:pPr>
              <w:pStyle w:val="ExhibitText"/>
              <w:jc w:val="left"/>
              <w:rPr>
                <w:sz w:val="18"/>
                <w:szCs w:val="18"/>
                <w:lang w:eastAsia="en-CA"/>
              </w:rPr>
            </w:pPr>
            <w:r w:rsidRPr="00CB59A4">
              <w:rPr>
                <w:sz w:val="18"/>
                <w:szCs w:val="18"/>
                <w:lang w:eastAsia="en-CA"/>
              </w:rPr>
              <w:t>Hours/year/</w:t>
            </w:r>
            <w:r w:rsidR="003146ED">
              <w:rPr>
                <w:sz w:val="18"/>
                <w:szCs w:val="18"/>
                <w:lang w:eastAsia="en-CA"/>
              </w:rPr>
              <w:br/>
            </w:r>
            <w:r w:rsidRPr="00CB59A4">
              <w:rPr>
                <w:sz w:val="18"/>
                <w:szCs w:val="18"/>
                <w:lang w:eastAsia="en-CA"/>
              </w:rPr>
              <w:t>worker</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3516E6" w14:textId="7120CB28" w:rsidR="00F5125D" w:rsidRPr="00CB59A4" w:rsidRDefault="00F5125D" w:rsidP="003146ED">
            <w:pPr>
              <w:pStyle w:val="ExhibitText"/>
              <w:jc w:val="right"/>
              <w:rPr>
                <w:sz w:val="18"/>
                <w:szCs w:val="18"/>
                <w:lang w:eastAsia="en-CA"/>
              </w:rPr>
            </w:pPr>
            <w:r w:rsidRPr="00CB59A4">
              <w:rPr>
                <w:sz w:val="18"/>
                <w:szCs w:val="18"/>
                <w:lang w:eastAsia="en-CA"/>
              </w:rPr>
              <w:t>2</w:t>
            </w:r>
            <w:r w:rsidR="006D5595">
              <w:rPr>
                <w:sz w:val="18"/>
                <w:szCs w:val="18"/>
                <w:lang w:eastAsia="en-CA"/>
              </w:rPr>
              <w:t>,</w:t>
            </w:r>
            <w:r w:rsidRPr="00CB59A4">
              <w:rPr>
                <w:sz w:val="18"/>
                <w:szCs w:val="18"/>
                <w:lang w:eastAsia="en-CA"/>
              </w:rPr>
              <w:t>288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C795A" w14:textId="121EB2DF" w:rsidR="00F5125D" w:rsidRPr="00CB59A4" w:rsidRDefault="00F5125D" w:rsidP="00B949FE">
            <w:pPr>
              <w:pStyle w:val="ExhibitText"/>
              <w:ind w:right="44" w:hanging="18"/>
              <w:jc w:val="right"/>
              <w:rPr>
                <w:sz w:val="18"/>
                <w:szCs w:val="18"/>
                <w:lang w:eastAsia="en-CA"/>
              </w:rPr>
            </w:pPr>
            <w:r w:rsidRPr="00CB59A4">
              <w:rPr>
                <w:sz w:val="18"/>
                <w:szCs w:val="18"/>
                <w:lang w:eastAsia="en-CA"/>
              </w:rPr>
              <w:t>2</w:t>
            </w:r>
            <w:r w:rsidR="006D5595">
              <w:rPr>
                <w:sz w:val="18"/>
                <w:szCs w:val="18"/>
                <w:lang w:eastAsia="en-CA"/>
              </w:rPr>
              <w:t>,</w:t>
            </w:r>
            <w:r w:rsidRPr="00CB59A4">
              <w:rPr>
                <w:sz w:val="18"/>
                <w:szCs w:val="18"/>
                <w:lang w:eastAsia="en-CA"/>
              </w:rPr>
              <w:t>104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85F04" w14:textId="3EC0D9DF" w:rsidR="00F5125D" w:rsidRPr="00CB59A4" w:rsidRDefault="00F5125D" w:rsidP="003146ED">
            <w:pPr>
              <w:pStyle w:val="ExhibitText"/>
              <w:jc w:val="right"/>
              <w:rPr>
                <w:sz w:val="18"/>
                <w:szCs w:val="18"/>
                <w:lang w:eastAsia="en-CA"/>
              </w:rPr>
            </w:pPr>
            <w:r w:rsidRPr="00CB59A4">
              <w:rPr>
                <w:sz w:val="18"/>
                <w:szCs w:val="18"/>
                <w:lang w:eastAsia="en-CA"/>
              </w:rPr>
              <w:t>2</w:t>
            </w:r>
            <w:r w:rsidR="006D5595">
              <w:rPr>
                <w:sz w:val="18"/>
                <w:szCs w:val="18"/>
                <w:lang w:eastAsia="en-CA"/>
              </w:rPr>
              <w:t>,</w:t>
            </w:r>
            <w:r w:rsidRPr="00CB59A4">
              <w:rPr>
                <w:sz w:val="18"/>
                <w:szCs w:val="18"/>
                <w:lang w:eastAsia="en-CA"/>
              </w:rPr>
              <w:t>096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1F6E4" w14:textId="07731715" w:rsidR="00F5125D" w:rsidRPr="00CB59A4" w:rsidRDefault="00F5125D" w:rsidP="003146ED">
            <w:pPr>
              <w:pStyle w:val="ExhibitText"/>
              <w:jc w:val="right"/>
              <w:rPr>
                <w:sz w:val="18"/>
                <w:szCs w:val="18"/>
                <w:lang w:eastAsia="en-CA"/>
              </w:rPr>
            </w:pPr>
            <w:r w:rsidRPr="00CB59A4">
              <w:rPr>
                <w:sz w:val="18"/>
                <w:szCs w:val="18"/>
                <w:lang w:eastAsia="en-CA"/>
              </w:rPr>
              <w:t>2</w:t>
            </w:r>
            <w:r w:rsidR="006D5595">
              <w:rPr>
                <w:sz w:val="18"/>
                <w:szCs w:val="18"/>
                <w:lang w:eastAsia="en-CA"/>
              </w:rPr>
              <w:t>,</w:t>
            </w:r>
            <w:r w:rsidRPr="00CB59A4">
              <w:rPr>
                <w:sz w:val="18"/>
                <w:szCs w:val="18"/>
                <w:lang w:eastAsia="en-CA"/>
              </w:rPr>
              <w:t>280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596BE3" w14:textId="654936A6" w:rsidR="00F5125D" w:rsidRPr="00CB59A4" w:rsidRDefault="00F5125D" w:rsidP="003146ED">
            <w:pPr>
              <w:pStyle w:val="ExhibitText"/>
              <w:jc w:val="right"/>
              <w:rPr>
                <w:sz w:val="18"/>
                <w:szCs w:val="18"/>
                <w:lang w:eastAsia="en-CA"/>
              </w:rPr>
            </w:pPr>
            <w:r w:rsidRPr="00CB59A4">
              <w:rPr>
                <w:sz w:val="18"/>
                <w:szCs w:val="18"/>
                <w:lang w:eastAsia="en-CA"/>
              </w:rPr>
              <w:t>2</w:t>
            </w:r>
            <w:r w:rsidR="006D5595">
              <w:rPr>
                <w:sz w:val="18"/>
                <w:szCs w:val="18"/>
                <w:lang w:eastAsia="en-CA"/>
              </w:rPr>
              <w:t>,</w:t>
            </w:r>
            <w:r w:rsidRPr="00CB59A4">
              <w:rPr>
                <w:sz w:val="18"/>
                <w:szCs w:val="18"/>
                <w:lang w:eastAsia="en-CA"/>
              </w:rPr>
              <w:t>328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C9BE3" w14:textId="44C27D15" w:rsidR="00F5125D" w:rsidRPr="00CB59A4" w:rsidRDefault="00F5125D" w:rsidP="00DE6648">
            <w:pPr>
              <w:pStyle w:val="ExhibitText"/>
              <w:jc w:val="right"/>
              <w:rPr>
                <w:sz w:val="18"/>
                <w:szCs w:val="18"/>
                <w:lang w:eastAsia="en-CA"/>
              </w:rPr>
            </w:pPr>
            <w:r w:rsidRPr="00CB59A4">
              <w:rPr>
                <w:sz w:val="18"/>
                <w:szCs w:val="18"/>
                <w:lang w:eastAsia="en-CA"/>
              </w:rPr>
              <w:t>2</w:t>
            </w:r>
            <w:r w:rsidR="006D5595">
              <w:rPr>
                <w:sz w:val="18"/>
                <w:szCs w:val="18"/>
                <w:lang w:eastAsia="en-CA"/>
              </w:rPr>
              <w:t>,</w:t>
            </w:r>
            <w:r w:rsidRPr="00CB59A4">
              <w:rPr>
                <w:sz w:val="18"/>
                <w:szCs w:val="18"/>
                <w:lang w:eastAsia="en-CA"/>
              </w:rPr>
              <w:t>324</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04524AF" w14:textId="7445755A" w:rsidR="00F5125D" w:rsidRPr="00CB59A4" w:rsidRDefault="00F5125D" w:rsidP="003146ED">
            <w:pPr>
              <w:pStyle w:val="ExhibitText"/>
              <w:jc w:val="right"/>
              <w:rPr>
                <w:sz w:val="18"/>
                <w:szCs w:val="18"/>
                <w:lang w:eastAsia="en-CA"/>
              </w:rPr>
            </w:pPr>
            <w:r w:rsidRPr="00CB59A4">
              <w:rPr>
                <w:sz w:val="18"/>
                <w:szCs w:val="18"/>
                <w:lang w:eastAsia="en-CA"/>
              </w:rPr>
              <w:t>2</w:t>
            </w:r>
            <w:r w:rsidR="006D5595">
              <w:rPr>
                <w:sz w:val="18"/>
                <w:szCs w:val="18"/>
                <w:lang w:eastAsia="en-CA"/>
              </w:rPr>
              <w:t>,</w:t>
            </w:r>
            <w:r w:rsidRPr="00CB59A4">
              <w:rPr>
                <w:sz w:val="18"/>
                <w:szCs w:val="18"/>
                <w:lang w:eastAsia="en-CA"/>
              </w:rPr>
              <w:t>336</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9D49E1" w14:textId="27B3FF06" w:rsidR="00F5125D" w:rsidRPr="00CB59A4" w:rsidRDefault="00F5125D" w:rsidP="003146ED">
            <w:pPr>
              <w:pStyle w:val="ExhibitText"/>
              <w:jc w:val="right"/>
              <w:rPr>
                <w:sz w:val="18"/>
                <w:szCs w:val="18"/>
                <w:lang w:eastAsia="en-CA"/>
              </w:rPr>
            </w:pPr>
            <w:r w:rsidRPr="00CB59A4">
              <w:rPr>
                <w:sz w:val="18"/>
                <w:szCs w:val="18"/>
                <w:lang w:eastAsia="en-CA"/>
              </w:rPr>
              <w:t>1</w:t>
            </w:r>
            <w:r w:rsidR="006D5595">
              <w:rPr>
                <w:sz w:val="18"/>
                <w:szCs w:val="18"/>
                <w:lang w:eastAsia="en-CA"/>
              </w:rPr>
              <w:t>,</w:t>
            </w:r>
            <w:r w:rsidRPr="00CB59A4">
              <w:rPr>
                <w:sz w:val="18"/>
                <w:szCs w:val="18"/>
                <w:lang w:eastAsia="en-CA"/>
              </w:rPr>
              <w:t>960</w:t>
            </w:r>
          </w:p>
        </w:tc>
      </w:tr>
      <w:tr w:rsidR="00227529" w:rsidRPr="00CB59A4" w14:paraId="6B1C78CB" w14:textId="77777777" w:rsidTr="00174436">
        <w:trPr>
          <w:gridAfter w:val="1"/>
          <w:wAfter w:w="141" w:type="dxa"/>
          <w:trHeight w:val="360"/>
          <w:jc w:val="center"/>
        </w:trPr>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E06CE" w14:textId="77777777" w:rsidR="00F5125D" w:rsidRPr="00CB59A4" w:rsidRDefault="00F5125D" w:rsidP="00CB59A4">
            <w:pPr>
              <w:pStyle w:val="ExhibitText"/>
              <w:jc w:val="left"/>
              <w:rPr>
                <w:sz w:val="18"/>
                <w:szCs w:val="18"/>
                <w:lang w:eastAsia="en-CA"/>
              </w:rPr>
            </w:pPr>
            <w:r w:rsidRPr="00CB59A4">
              <w:rPr>
                <w:sz w:val="18"/>
                <w:szCs w:val="18"/>
                <w:lang w:eastAsia="en-CA"/>
              </w:rPr>
              <w:t>Electricity</w:t>
            </w: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87EDF2" w14:textId="39B6E381" w:rsidR="00F5125D" w:rsidRPr="00CB59A4" w:rsidRDefault="00F5125D" w:rsidP="00CB59A4">
            <w:pPr>
              <w:pStyle w:val="ExhibitText"/>
              <w:jc w:val="left"/>
              <w:rPr>
                <w:sz w:val="18"/>
                <w:szCs w:val="18"/>
                <w:lang w:eastAsia="en-CA"/>
              </w:rPr>
            </w:pPr>
            <w:r w:rsidRPr="00CB59A4">
              <w:rPr>
                <w:sz w:val="18"/>
                <w:szCs w:val="18"/>
                <w:lang w:eastAsia="en-CA"/>
              </w:rPr>
              <w:t>Cost</w:t>
            </w:r>
            <w:r w:rsidR="00DF0D07" w:rsidRPr="00CB59A4">
              <w:rPr>
                <w:sz w:val="18"/>
                <w:szCs w:val="18"/>
                <w:lang w:eastAsia="en-CA"/>
              </w:rPr>
              <w:t xml:space="preserve"> </w:t>
            </w:r>
            <w:r w:rsidRPr="00CB59A4">
              <w:rPr>
                <w:sz w:val="18"/>
                <w:szCs w:val="18"/>
                <w:lang w:eastAsia="en-CA"/>
              </w:rPr>
              <w:t>to</w:t>
            </w:r>
            <w:r w:rsidR="00DF0D07" w:rsidRPr="00CB59A4">
              <w:rPr>
                <w:sz w:val="18"/>
                <w:szCs w:val="18"/>
                <w:lang w:eastAsia="en-CA"/>
              </w:rPr>
              <w:t xml:space="preserve"> </w:t>
            </w:r>
            <w:r w:rsidRPr="00CB59A4">
              <w:rPr>
                <w:sz w:val="18"/>
                <w:szCs w:val="18"/>
                <w:lang w:eastAsia="en-CA"/>
              </w:rPr>
              <w:t>industry</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C01FF9" w14:textId="7145EBC4" w:rsidR="00F5125D" w:rsidRPr="00CB59A4" w:rsidRDefault="00F5125D" w:rsidP="00CB59A4">
            <w:pPr>
              <w:pStyle w:val="ExhibitText"/>
              <w:jc w:val="left"/>
              <w:rPr>
                <w:sz w:val="18"/>
                <w:szCs w:val="18"/>
                <w:lang w:eastAsia="en-CA"/>
              </w:rPr>
            </w:pPr>
            <w:r w:rsidRPr="00CB59A4">
              <w:rPr>
                <w:sz w:val="18"/>
                <w:szCs w:val="18"/>
                <w:lang w:eastAsia="en-CA"/>
              </w:rPr>
              <w:t>US$/k</w:t>
            </w:r>
            <w:r w:rsidR="00133ED6" w:rsidRPr="00CB59A4">
              <w:rPr>
                <w:sz w:val="18"/>
                <w:szCs w:val="18"/>
                <w:lang w:eastAsia="en-CA"/>
              </w:rPr>
              <w:t>W</w:t>
            </w:r>
            <w:r w:rsidRPr="00CB59A4">
              <w:rPr>
                <w:sz w:val="18"/>
                <w:szCs w:val="18"/>
                <w:lang w:eastAsia="en-CA"/>
              </w:rPr>
              <w:t>h</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7831A" w14:textId="3F4B5070" w:rsidR="00F5125D" w:rsidRPr="00CB59A4" w:rsidRDefault="00F5125D" w:rsidP="003146ED">
            <w:pPr>
              <w:pStyle w:val="ExhibitText"/>
              <w:jc w:val="right"/>
              <w:rPr>
                <w:sz w:val="18"/>
                <w:szCs w:val="18"/>
                <w:lang w:eastAsia="en-CA"/>
              </w:rPr>
            </w:pPr>
            <w:r w:rsidRPr="00CB59A4">
              <w:rPr>
                <w:sz w:val="18"/>
                <w:szCs w:val="18"/>
                <w:lang w:eastAsia="en-CA"/>
              </w:rPr>
              <w:t>0.96</w:t>
            </w:r>
            <w:r w:rsidR="006D5595">
              <w:rPr>
                <w:sz w:val="18"/>
                <w:szCs w:val="18"/>
                <w:lang w:eastAsia="en-CA"/>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D48A7" w14:textId="4759A890" w:rsidR="00F5125D" w:rsidRPr="00CB59A4" w:rsidRDefault="00F5125D" w:rsidP="00B949FE">
            <w:pPr>
              <w:pStyle w:val="ExhibitText"/>
              <w:ind w:right="44" w:hanging="18"/>
              <w:jc w:val="right"/>
              <w:rPr>
                <w:sz w:val="18"/>
                <w:szCs w:val="18"/>
                <w:lang w:eastAsia="en-CA"/>
              </w:rPr>
            </w:pPr>
            <w:r w:rsidRPr="00CB59A4">
              <w:rPr>
                <w:sz w:val="18"/>
                <w:szCs w:val="18"/>
                <w:lang w:eastAsia="en-CA"/>
              </w:rPr>
              <w:t>0.14</w:t>
            </w:r>
            <w:r w:rsidR="006D5595">
              <w:rPr>
                <w:sz w:val="18"/>
                <w:szCs w:val="18"/>
                <w:lang w:eastAsia="en-CA"/>
              </w:rPr>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8D7BB" w14:textId="55A467EA" w:rsidR="00F5125D" w:rsidRPr="00CB59A4" w:rsidRDefault="00F5125D" w:rsidP="003146ED">
            <w:pPr>
              <w:pStyle w:val="ExhibitText"/>
              <w:jc w:val="right"/>
              <w:rPr>
                <w:sz w:val="18"/>
                <w:szCs w:val="18"/>
                <w:lang w:eastAsia="en-CA"/>
              </w:rPr>
            </w:pPr>
            <w:r w:rsidRPr="00CB59A4">
              <w:rPr>
                <w:sz w:val="18"/>
                <w:szCs w:val="18"/>
                <w:lang w:eastAsia="en-CA"/>
              </w:rPr>
              <w:t>0.15</w:t>
            </w:r>
            <w:r w:rsidR="006D5595">
              <w:rPr>
                <w:sz w:val="18"/>
                <w:szCs w:val="18"/>
                <w:lang w:eastAsia="en-CA"/>
              </w:rPr>
              <w:t>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8E916" w14:textId="77777777" w:rsidR="00F5125D" w:rsidRPr="00CB59A4" w:rsidRDefault="00F5125D" w:rsidP="003146ED">
            <w:pPr>
              <w:pStyle w:val="ExhibitText"/>
              <w:jc w:val="right"/>
              <w:rPr>
                <w:sz w:val="18"/>
                <w:szCs w:val="18"/>
                <w:lang w:eastAsia="en-CA"/>
              </w:rPr>
            </w:pPr>
            <w:r w:rsidRPr="00CB59A4">
              <w:rPr>
                <w:sz w:val="18"/>
                <w:szCs w:val="18"/>
                <w:lang w:eastAsia="en-CA"/>
              </w:rPr>
              <w:t>0.086</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2EE20" w14:textId="77777777" w:rsidR="00F5125D" w:rsidRPr="00CB59A4" w:rsidRDefault="00F5125D" w:rsidP="003146ED">
            <w:pPr>
              <w:pStyle w:val="ExhibitText"/>
              <w:jc w:val="right"/>
              <w:rPr>
                <w:sz w:val="18"/>
                <w:szCs w:val="18"/>
                <w:lang w:eastAsia="en-CA"/>
              </w:rPr>
            </w:pPr>
            <w:r w:rsidRPr="00CB59A4">
              <w:rPr>
                <w:sz w:val="18"/>
                <w:szCs w:val="18"/>
                <w:lang w:eastAsia="en-CA"/>
              </w:rPr>
              <w:t>0.065</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6024B" w14:textId="77777777" w:rsidR="00F5125D" w:rsidRPr="00CB59A4" w:rsidRDefault="00F5125D" w:rsidP="00DE6648">
            <w:pPr>
              <w:pStyle w:val="ExhibitText"/>
              <w:jc w:val="right"/>
              <w:rPr>
                <w:sz w:val="18"/>
                <w:szCs w:val="18"/>
                <w:lang w:eastAsia="en-CA"/>
              </w:rPr>
            </w:pPr>
            <w:r w:rsidRPr="00CB59A4">
              <w:rPr>
                <w:sz w:val="18"/>
                <w:szCs w:val="18"/>
                <w:lang w:eastAsia="en-CA"/>
              </w:rPr>
              <w:t>0.071</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282A15C" w14:textId="77777777" w:rsidR="00F5125D" w:rsidRPr="00CB59A4" w:rsidRDefault="00F5125D" w:rsidP="003146ED">
            <w:pPr>
              <w:pStyle w:val="ExhibitText"/>
              <w:jc w:val="right"/>
              <w:rPr>
                <w:sz w:val="18"/>
                <w:szCs w:val="18"/>
                <w:lang w:eastAsia="en-CA"/>
              </w:rPr>
            </w:pPr>
            <w:r w:rsidRPr="00CB59A4">
              <w:rPr>
                <w:sz w:val="18"/>
                <w:szCs w:val="18"/>
                <w:lang w:eastAsia="en-CA"/>
              </w:rPr>
              <w:t>0.053</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874FD0B" w14:textId="1F33606A" w:rsidR="00F5125D" w:rsidRPr="00CB59A4" w:rsidRDefault="00F5125D" w:rsidP="003146ED">
            <w:pPr>
              <w:pStyle w:val="ExhibitText"/>
              <w:jc w:val="right"/>
              <w:rPr>
                <w:sz w:val="18"/>
                <w:szCs w:val="18"/>
                <w:lang w:eastAsia="en-CA"/>
              </w:rPr>
            </w:pPr>
            <w:r w:rsidRPr="00CB59A4">
              <w:rPr>
                <w:sz w:val="18"/>
                <w:szCs w:val="18"/>
                <w:lang w:eastAsia="en-CA"/>
              </w:rPr>
              <w:t>0.17</w:t>
            </w:r>
            <w:r w:rsidR="006D5595">
              <w:rPr>
                <w:sz w:val="18"/>
                <w:szCs w:val="18"/>
                <w:lang w:eastAsia="en-CA"/>
              </w:rPr>
              <w:t>0</w:t>
            </w:r>
          </w:p>
        </w:tc>
      </w:tr>
      <w:tr w:rsidR="00227529" w:rsidRPr="00CB59A4" w14:paraId="0CE5C299" w14:textId="77777777" w:rsidTr="00174436">
        <w:trPr>
          <w:gridAfter w:val="1"/>
          <w:wAfter w:w="141" w:type="dxa"/>
          <w:trHeight w:val="360"/>
          <w:jc w:val="center"/>
        </w:trPr>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306DF" w14:textId="77777777" w:rsidR="00F5125D" w:rsidRPr="00CB59A4" w:rsidRDefault="00F5125D" w:rsidP="00CB59A4">
            <w:pPr>
              <w:pStyle w:val="ExhibitText"/>
              <w:jc w:val="left"/>
              <w:rPr>
                <w:sz w:val="18"/>
                <w:szCs w:val="18"/>
                <w:lang w:eastAsia="en-CA"/>
              </w:rPr>
            </w:pPr>
            <w:r w:rsidRPr="00CB59A4">
              <w:rPr>
                <w:sz w:val="18"/>
                <w:szCs w:val="18"/>
                <w:lang w:eastAsia="en-CA"/>
              </w:rPr>
              <w:t>Building</w:t>
            </w: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3B6E0F" w14:textId="49B2E4BF" w:rsidR="00F5125D" w:rsidRPr="00CB59A4" w:rsidRDefault="00F5125D" w:rsidP="00CB59A4">
            <w:pPr>
              <w:pStyle w:val="ExhibitText"/>
              <w:jc w:val="left"/>
              <w:rPr>
                <w:sz w:val="18"/>
                <w:szCs w:val="18"/>
                <w:lang w:eastAsia="en-CA"/>
              </w:rPr>
            </w:pPr>
            <w:r w:rsidRPr="00CB59A4">
              <w:rPr>
                <w:sz w:val="18"/>
                <w:szCs w:val="18"/>
                <w:lang w:eastAsia="en-CA"/>
              </w:rPr>
              <w:t>Cost</w:t>
            </w:r>
            <w:r w:rsidR="00DF0D07" w:rsidRPr="00CB59A4">
              <w:rPr>
                <w:sz w:val="18"/>
                <w:szCs w:val="18"/>
                <w:lang w:eastAsia="en-CA"/>
              </w:rPr>
              <w:t xml:space="preserve"> </w:t>
            </w:r>
            <w:r w:rsidRPr="00CB59A4">
              <w:rPr>
                <w:sz w:val="18"/>
                <w:szCs w:val="18"/>
                <w:lang w:eastAsia="en-CA"/>
              </w:rPr>
              <w:t>of</w:t>
            </w:r>
            <w:r w:rsidR="00DF0D07" w:rsidRPr="00CB59A4">
              <w:rPr>
                <w:sz w:val="18"/>
                <w:szCs w:val="18"/>
                <w:lang w:eastAsia="en-CA"/>
              </w:rPr>
              <w:t xml:space="preserve"> </w:t>
            </w:r>
            <w:r w:rsidRPr="00CB59A4">
              <w:rPr>
                <w:sz w:val="18"/>
                <w:szCs w:val="18"/>
                <w:lang w:eastAsia="en-CA"/>
              </w:rPr>
              <w:t>industrial</w:t>
            </w:r>
            <w:r w:rsidR="00DF0D07" w:rsidRPr="00CB59A4">
              <w:rPr>
                <w:sz w:val="18"/>
                <w:szCs w:val="18"/>
                <w:lang w:eastAsia="en-CA"/>
              </w:rPr>
              <w:t xml:space="preserve"> </w:t>
            </w:r>
            <w:r w:rsidRPr="00CB59A4">
              <w:rPr>
                <w:sz w:val="18"/>
                <w:szCs w:val="18"/>
                <w:lang w:eastAsia="en-CA"/>
              </w:rPr>
              <w:t>space</w:t>
            </w:r>
            <w:r w:rsidR="00DF0D07" w:rsidRPr="00CB59A4">
              <w:rPr>
                <w:sz w:val="18"/>
                <w:szCs w:val="18"/>
                <w:lang w:eastAsia="en-CA"/>
              </w:rPr>
              <w:t xml:space="preserve"> </w:t>
            </w:r>
            <w:r w:rsidRPr="00CB59A4">
              <w:rPr>
                <w:sz w:val="18"/>
                <w:szCs w:val="18"/>
                <w:lang w:eastAsia="en-CA"/>
              </w:rPr>
              <w:t>construction</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F9EF26" w14:textId="540E617E" w:rsidR="00F5125D" w:rsidRPr="00CB59A4" w:rsidRDefault="00F5125D">
            <w:pPr>
              <w:pStyle w:val="ExhibitText"/>
              <w:jc w:val="left"/>
              <w:rPr>
                <w:sz w:val="18"/>
                <w:szCs w:val="18"/>
                <w:lang w:eastAsia="en-CA"/>
              </w:rPr>
            </w:pPr>
            <w:r w:rsidRPr="00CB59A4">
              <w:rPr>
                <w:sz w:val="18"/>
                <w:szCs w:val="18"/>
                <w:lang w:eastAsia="en-CA"/>
              </w:rPr>
              <w:t>US$/square</w:t>
            </w:r>
            <w:r w:rsidR="00DF0D07" w:rsidRPr="00CB59A4">
              <w:rPr>
                <w:sz w:val="18"/>
                <w:szCs w:val="18"/>
                <w:lang w:eastAsia="en-CA"/>
              </w:rPr>
              <w:t xml:space="preserve"> </w:t>
            </w:r>
            <w:r w:rsidRPr="00CB59A4">
              <w:rPr>
                <w:sz w:val="18"/>
                <w:szCs w:val="18"/>
                <w:lang w:eastAsia="en-CA"/>
              </w:rPr>
              <w:t>met</w:t>
            </w:r>
            <w:r w:rsidR="003146ED">
              <w:rPr>
                <w:sz w:val="18"/>
                <w:szCs w:val="18"/>
                <w:lang w:eastAsia="en-CA"/>
              </w:rPr>
              <w:t>r</w:t>
            </w:r>
            <w:r w:rsidRPr="00CB59A4">
              <w:rPr>
                <w:sz w:val="18"/>
                <w:szCs w:val="18"/>
                <w:lang w:eastAsia="en-CA"/>
              </w:rPr>
              <w:t>e</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83308" w14:textId="77777777" w:rsidR="00F5125D" w:rsidRPr="00CB59A4" w:rsidRDefault="00F5125D" w:rsidP="003146ED">
            <w:pPr>
              <w:pStyle w:val="ExhibitText"/>
              <w:jc w:val="right"/>
              <w:rPr>
                <w:sz w:val="18"/>
                <w:szCs w:val="18"/>
                <w:lang w:eastAsia="en-CA"/>
              </w:rPr>
            </w:pPr>
            <w:r w:rsidRPr="00CB59A4">
              <w:rPr>
                <w:sz w:val="18"/>
                <w:szCs w:val="18"/>
                <w:lang w:eastAsia="en-CA"/>
              </w:rPr>
              <w:t>160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ABCE2" w14:textId="77777777" w:rsidR="00F5125D" w:rsidRPr="00CB59A4" w:rsidRDefault="00F5125D" w:rsidP="00B949FE">
            <w:pPr>
              <w:pStyle w:val="ExhibitText"/>
              <w:ind w:right="44" w:hanging="18"/>
              <w:jc w:val="right"/>
              <w:rPr>
                <w:sz w:val="18"/>
                <w:szCs w:val="18"/>
                <w:lang w:eastAsia="en-CA"/>
              </w:rPr>
            </w:pPr>
            <w:r w:rsidRPr="00CB59A4">
              <w:rPr>
                <w:sz w:val="18"/>
                <w:szCs w:val="18"/>
                <w:lang w:eastAsia="en-CA"/>
              </w:rPr>
              <w:t>220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CF10E" w14:textId="77777777" w:rsidR="00F5125D" w:rsidRPr="00CB59A4" w:rsidRDefault="00F5125D" w:rsidP="003146ED">
            <w:pPr>
              <w:pStyle w:val="ExhibitText"/>
              <w:jc w:val="right"/>
              <w:rPr>
                <w:sz w:val="18"/>
                <w:szCs w:val="18"/>
                <w:lang w:eastAsia="en-CA"/>
              </w:rPr>
            </w:pPr>
            <w:r w:rsidRPr="00CB59A4">
              <w:rPr>
                <w:sz w:val="18"/>
                <w:szCs w:val="18"/>
                <w:lang w:eastAsia="en-CA"/>
              </w:rPr>
              <w:t>250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8A6D0" w14:textId="77777777" w:rsidR="00F5125D" w:rsidRPr="00CB59A4" w:rsidRDefault="00F5125D" w:rsidP="003146ED">
            <w:pPr>
              <w:pStyle w:val="ExhibitText"/>
              <w:jc w:val="right"/>
              <w:rPr>
                <w:sz w:val="18"/>
                <w:szCs w:val="18"/>
                <w:lang w:eastAsia="en-CA"/>
              </w:rPr>
            </w:pPr>
            <w:r w:rsidRPr="00CB59A4">
              <w:rPr>
                <w:sz w:val="18"/>
                <w:szCs w:val="18"/>
                <w:lang w:eastAsia="en-CA"/>
              </w:rPr>
              <w:t>140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0455CC" w14:textId="77777777" w:rsidR="00F5125D" w:rsidRPr="00CB59A4" w:rsidRDefault="00F5125D" w:rsidP="003146ED">
            <w:pPr>
              <w:pStyle w:val="ExhibitText"/>
              <w:jc w:val="right"/>
              <w:rPr>
                <w:sz w:val="18"/>
                <w:szCs w:val="18"/>
                <w:lang w:eastAsia="en-CA"/>
              </w:rPr>
            </w:pPr>
            <w:r w:rsidRPr="00CB59A4">
              <w:rPr>
                <w:sz w:val="18"/>
                <w:szCs w:val="18"/>
                <w:lang w:eastAsia="en-CA"/>
              </w:rPr>
              <w:t>97</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C63F4" w14:textId="77777777" w:rsidR="00F5125D" w:rsidRPr="00CB59A4" w:rsidRDefault="00F5125D" w:rsidP="00DE6648">
            <w:pPr>
              <w:pStyle w:val="ExhibitText"/>
              <w:jc w:val="right"/>
              <w:rPr>
                <w:sz w:val="18"/>
                <w:szCs w:val="18"/>
                <w:lang w:eastAsia="en-CA"/>
              </w:rPr>
            </w:pPr>
            <w:r w:rsidRPr="00CB59A4">
              <w:rPr>
                <w:sz w:val="18"/>
                <w:szCs w:val="18"/>
                <w:lang w:eastAsia="en-CA"/>
              </w:rPr>
              <w:t>150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773503F" w14:textId="77777777" w:rsidR="00F5125D" w:rsidRPr="00CB59A4" w:rsidRDefault="00F5125D" w:rsidP="003146ED">
            <w:pPr>
              <w:pStyle w:val="ExhibitText"/>
              <w:jc w:val="right"/>
              <w:rPr>
                <w:sz w:val="18"/>
                <w:szCs w:val="18"/>
                <w:lang w:eastAsia="en-CA"/>
              </w:rPr>
            </w:pPr>
            <w:r w:rsidRPr="00CB59A4">
              <w:rPr>
                <w:sz w:val="18"/>
                <w:szCs w:val="18"/>
                <w:lang w:eastAsia="en-CA"/>
              </w:rPr>
              <w:t>120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DDA5B1B" w14:textId="77777777" w:rsidR="00F5125D" w:rsidRPr="00CB59A4" w:rsidRDefault="00F5125D" w:rsidP="003146ED">
            <w:pPr>
              <w:pStyle w:val="ExhibitText"/>
              <w:jc w:val="right"/>
              <w:rPr>
                <w:sz w:val="18"/>
                <w:szCs w:val="18"/>
                <w:lang w:eastAsia="en-CA"/>
              </w:rPr>
            </w:pPr>
            <w:r w:rsidRPr="00CB59A4">
              <w:rPr>
                <w:sz w:val="18"/>
                <w:szCs w:val="18"/>
                <w:lang w:eastAsia="en-CA"/>
              </w:rPr>
              <w:t>130</w:t>
            </w:r>
          </w:p>
        </w:tc>
      </w:tr>
      <w:tr w:rsidR="00227529" w:rsidRPr="00CB59A4" w14:paraId="765B5A02" w14:textId="77777777" w:rsidTr="00174436">
        <w:trPr>
          <w:gridAfter w:val="1"/>
          <w:wAfter w:w="141" w:type="dxa"/>
          <w:trHeight w:val="360"/>
          <w:jc w:val="center"/>
        </w:trPr>
        <w:tc>
          <w:tcPr>
            <w:tcW w:w="13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72C5D" w14:textId="77777777" w:rsidR="00F5125D" w:rsidRPr="00CB59A4" w:rsidRDefault="00F5125D" w:rsidP="00CB59A4">
            <w:pPr>
              <w:pStyle w:val="ExhibitText"/>
              <w:jc w:val="left"/>
              <w:rPr>
                <w:sz w:val="18"/>
                <w:szCs w:val="18"/>
                <w:lang w:eastAsia="en-CA"/>
              </w:rPr>
            </w:pPr>
            <w:r w:rsidRPr="00CB59A4">
              <w:rPr>
                <w:sz w:val="18"/>
                <w:szCs w:val="18"/>
                <w:lang w:eastAsia="en-CA"/>
              </w:rPr>
              <w:t>Transport</w:t>
            </w:r>
          </w:p>
        </w:tc>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DE23F" w14:textId="03DE3B77" w:rsidR="00F5125D" w:rsidRPr="00CB59A4" w:rsidRDefault="00F5125D" w:rsidP="00CB59A4">
            <w:pPr>
              <w:pStyle w:val="ExhibitText"/>
              <w:jc w:val="left"/>
              <w:rPr>
                <w:sz w:val="18"/>
                <w:szCs w:val="18"/>
                <w:lang w:eastAsia="en-CA"/>
              </w:rPr>
            </w:pPr>
            <w:r w:rsidRPr="00CB59A4">
              <w:rPr>
                <w:sz w:val="18"/>
                <w:szCs w:val="18"/>
                <w:lang w:eastAsia="en-CA"/>
              </w:rPr>
              <w:t>From</w:t>
            </w:r>
            <w:r w:rsidR="00DF0D07" w:rsidRPr="00CB59A4">
              <w:rPr>
                <w:sz w:val="18"/>
                <w:szCs w:val="18"/>
                <w:lang w:eastAsia="en-CA"/>
              </w:rPr>
              <w:t xml:space="preserve"> </w:t>
            </w:r>
            <w:r w:rsidRPr="00CB59A4">
              <w:rPr>
                <w:sz w:val="18"/>
                <w:szCs w:val="18"/>
                <w:lang w:eastAsia="en-CA"/>
              </w:rPr>
              <w:t>factory</w:t>
            </w:r>
            <w:r w:rsidR="00DF0D07" w:rsidRPr="00CB59A4">
              <w:rPr>
                <w:sz w:val="18"/>
                <w:szCs w:val="18"/>
                <w:lang w:eastAsia="en-CA"/>
              </w:rPr>
              <w:t xml:space="preserve"> </w:t>
            </w:r>
            <w:r w:rsidRPr="00CB59A4">
              <w:rPr>
                <w:sz w:val="18"/>
                <w:szCs w:val="18"/>
                <w:lang w:eastAsia="en-CA"/>
              </w:rPr>
              <w:t>to</w:t>
            </w:r>
            <w:r w:rsidR="00DF0D07" w:rsidRPr="00CB59A4">
              <w:rPr>
                <w:sz w:val="18"/>
                <w:szCs w:val="18"/>
                <w:lang w:eastAsia="en-CA"/>
              </w:rPr>
              <w:t xml:space="preserve"> </w:t>
            </w:r>
            <w:r w:rsidRPr="00CB59A4">
              <w:rPr>
                <w:sz w:val="18"/>
                <w:szCs w:val="18"/>
                <w:lang w:eastAsia="en-CA"/>
              </w:rPr>
              <w:t>source</w:t>
            </w:r>
            <w:r w:rsidR="00DF0D07" w:rsidRPr="00CB59A4">
              <w:rPr>
                <w:sz w:val="18"/>
                <w:szCs w:val="18"/>
                <w:lang w:eastAsia="en-CA"/>
              </w:rPr>
              <w:t xml:space="preserve"> </w:t>
            </w:r>
            <w:r w:rsidRPr="00CB59A4">
              <w:rPr>
                <w:sz w:val="18"/>
                <w:szCs w:val="18"/>
                <w:lang w:eastAsia="en-CA"/>
              </w:rPr>
              <w:t>port</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D6B66" w14:textId="1A655CD9" w:rsidR="00F5125D" w:rsidRPr="00CB59A4" w:rsidRDefault="00F5125D">
            <w:pPr>
              <w:pStyle w:val="ExhibitText"/>
              <w:jc w:val="left"/>
              <w:rPr>
                <w:sz w:val="18"/>
                <w:szCs w:val="18"/>
                <w:lang w:eastAsia="en-CA"/>
              </w:rPr>
            </w:pPr>
            <w:r w:rsidRPr="00CB59A4">
              <w:rPr>
                <w:sz w:val="18"/>
                <w:szCs w:val="18"/>
                <w:lang w:eastAsia="en-CA"/>
              </w:rPr>
              <w:t>US$/40</w:t>
            </w:r>
            <w:r w:rsidR="003146ED">
              <w:rPr>
                <w:sz w:val="18"/>
                <w:szCs w:val="18"/>
                <w:lang w:eastAsia="en-CA"/>
              </w:rPr>
              <w:t>-foot</w:t>
            </w:r>
            <w:r w:rsidR="00DF0D07" w:rsidRPr="00CB59A4">
              <w:rPr>
                <w:sz w:val="18"/>
                <w:szCs w:val="18"/>
                <w:lang w:eastAsia="en-CA"/>
              </w:rPr>
              <w:t xml:space="preserve"> </w:t>
            </w:r>
            <w:r w:rsidRPr="00CB59A4">
              <w:rPr>
                <w:sz w:val="18"/>
                <w:szCs w:val="18"/>
                <w:lang w:eastAsia="en-CA"/>
              </w:rPr>
              <w:t>container</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DD9BB" w14:textId="77777777" w:rsidR="00F5125D" w:rsidRPr="00CB59A4" w:rsidRDefault="00F5125D" w:rsidP="003146ED">
            <w:pPr>
              <w:pStyle w:val="ExhibitText"/>
              <w:jc w:val="right"/>
              <w:rPr>
                <w:sz w:val="18"/>
                <w:szCs w:val="18"/>
                <w:lang w:eastAsia="en-CA"/>
              </w:rPr>
            </w:pPr>
            <w:r w:rsidRPr="00CB59A4">
              <w:rPr>
                <w:sz w:val="18"/>
                <w:szCs w:val="18"/>
                <w:lang w:eastAsia="en-CA"/>
              </w:rPr>
              <w:t>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6C52F" w14:textId="77777777" w:rsidR="00F5125D" w:rsidRPr="00CB59A4" w:rsidRDefault="00F5125D" w:rsidP="00B949FE">
            <w:pPr>
              <w:pStyle w:val="ExhibitText"/>
              <w:ind w:right="44" w:hanging="18"/>
              <w:jc w:val="right"/>
              <w:rPr>
                <w:sz w:val="18"/>
                <w:szCs w:val="18"/>
                <w:lang w:eastAsia="en-CA"/>
              </w:rPr>
            </w:pPr>
            <w:r w:rsidRPr="00CB59A4">
              <w:rPr>
                <w:sz w:val="18"/>
                <w:szCs w:val="18"/>
                <w:lang w:eastAsia="en-CA"/>
              </w:rPr>
              <w:t>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76547" w14:textId="77777777" w:rsidR="00F5125D" w:rsidRPr="00CB59A4" w:rsidRDefault="00F5125D" w:rsidP="003146ED">
            <w:pPr>
              <w:pStyle w:val="ExhibitText"/>
              <w:jc w:val="right"/>
              <w:rPr>
                <w:sz w:val="18"/>
                <w:szCs w:val="18"/>
                <w:lang w:eastAsia="en-CA"/>
              </w:rPr>
            </w:pPr>
            <w:r w:rsidRPr="00CB59A4">
              <w:rPr>
                <w:sz w:val="18"/>
                <w:szCs w:val="18"/>
                <w:lang w:eastAsia="en-CA"/>
              </w:rPr>
              <w:t>800</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54063" w14:textId="77777777" w:rsidR="00F5125D" w:rsidRPr="00CB59A4" w:rsidRDefault="00F5125D" w:rsidP="003146ED">
            <w:pPr>
              <w:pStyle w:val="ExhibitText"/>
              <w:jc w:val="right"/>
              <w:rPr>
                <w:sz w:val="18"/>
                <w:szCs w:val="18"/>
                <w:lang w:eastAsia="en-CA"/>
              </w:rPr>
            </w:pPr>
            <w:r w:rsidRPr="00CB59A4">
              <w:rPr>
                <w:sz w:val="18"/>
                <w:szCs w:val="18"/>
                <w:lang w:eastAsia="en-CA"/>
              </w:rPr>
              <w:t>400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40FE0" w14:textId="77777777" w:rsidR="00F5125D" w:rsidRPr="00CB59A4" w:rsidRDefault="00F5125D" w:rsidP="003146ED">
            <w:pPr>
              <w:pStyle w:val="ExhibitText"/>
              <w:jc w:val="right"/>
              <w:rPr>
                <w:sz w:val="18"/>
                <w:szCs w:val="18"/>
                <w:lang w:eastAsia="en-CA"/>
              </w:rPr>
            </w:pPr>
            <w:r w:rsidRPr="00CB59A4">
              <w:rPr>
                <w:sz w:val="18"/>
                <w:szCs w:val="18"/>
                <w:lang w:eastAsia="en-CA"/>
              </w:rPr>
              <w:t>470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1CC3B" w14:textId="77777777" w:rsidR="00F5125D" w:rsidRPr="00CB59A4" w:rsidRDefault="00F5125D" w:rsidP="00DE6648">
            <w:pPr>
              <w:pStyle w:val="ExhibitText"/>
              <w:jc w:val="right"/>
              <w:rPr>
                <w:sz w:val="18"/>
                <w:szCs w:val="18"/>
                <w:lang w:eastAsia="en-CA"/>
              </w:rPr>
            </w:pPr>
            <w:r w:rsidRPr="00CB59A4">
              <w:rPr>
                <w:sz w:val="18"/>
                <w:szCs w:val="18"/>
                <w:lang w:eastAsia="en-CA"/>
              </w:rPr>
              <w:t>300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0C4D4B2" w14:textId="77777777" w:rsidR="00F5125D" w:rsidRPr="00CB59A4" w:rsidRDefault="00F5125D" w:rsidP="003146ED">
            <w:pPr>
              <w:pStyle w:val="ExhibitText"/>
              <w:jc w:val="right"/>
              <w:rPr>
                <w:sz w:val="18"/>
                <w:szCs w:val="18"/>
                <w:lang w:eastAsia="en-CA"/>
              </w:rPr>
            </w:pPr>
            <w:r w:rsidRPr="00CB59A4">
              <w:rPr>
                <w:sz w:val="18"/>
                <w:szCs w:val="18"/>
                <w:lang w:eastAsia="en-CA"/>
              </w:rPr>
              <w:t>250</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205B4C" w14:textId="77777777" w:rsidR="00F5125D" w:rsidRPr="00CB59A4" w:rsidRDefault="00F5125D" w:rsidP="003146ED">
            <w:pPr>
              <w:pStyle w:val="ExhibitText"/>
              <w:jc w:val="right"/>
              <w:rPr>
                <w:sz w:val="18"/>
                <w:szCs w:val="18"/>
                <w:lang w:eastAsia="en-CA"/>
              </w:rPr>
            </w:pPr>
            <w:r w:rsidRPr="00CB59A4">
              <w:rPr>
                <w:sz w:val="18"/>
                <w:szCs w:val="18"/>
                <w:lang w:eastAsia="en-CA"/>
              </w:rPr>
              <w:t>600</w:t>
            </w:r>
          </w:p>
        </w:tc>
      </w:tr>
    </w:tbl>
    <w:p w14:paraId="3B1F5763" w14:textId="77777777" w:rsidR="00A12759" w:rsidRPr="005630DE" w:rsidRDefault="00A12759" w:rsidP="00542316">
      <w:pPr>
        <w:pStyle w:val="ExhibitText"/>
      </w:pPr>
    </w:p>
    <w:p w14:paraId="3935AF63" w14:textId="1306DD2C" w:rsidR="00D1107F" w:rsidRPr="005630DE" w:rsidRDefault="00F5125D" w:rsidP="00E524BD">
      <w:pPr>
        <w:pStyle w:val="Footnote"/>
      </w:pPr>
      <w:r w:rsidRPr="005630DE">
        <w:t>Source:</w:t>
      </w:r>
      <w:r w:rsidR="00DF0D07">
        <w:t xml:space="preserve"> </w:t>
      </w:r>
      <w:r w:rsidRPr="005630DE">
        <w:t>Government</w:t>
      </w:r>
      <w:r w:rsidR="00DF0D07">
        <w:t xml:space="preserve"> </w:t>
      </w:r>
      <w:r w:rsidRPr="005630DE">
        <w:t>of</w:t>
      </w:r>
      <w:r w:rsidR="00DF0D07">
        <w:t xml:space="preserve"> </w:t>
      </w:r>
      <w:r w:rsidRPr="005630DE">
        <w:t>Haiti</w:t>
      </w:r>
      <w:r w:rsidR="00E524BD">
        <w:t xml:space="preserve">, Department of Energy Security. </w:t>
      </w:r>
    </w:p>
    <w:sectPr w:rsidR="00D1107F" w:rsidRPr="005630DE" w:rsidSect="00B949FE">
      <w:headerReference w:type="default" r:id="rId22"/>
      <w:endnotePr>
        <w:numFmt w:val="decimal"/>
      </w:endnotePr>
      <w:pgSz w:w="15840" w:h="12240" w:orient="landscape" w:code="1"/>
      <w:pgMar w:top="1440" w:right="1440" w:bottom="1440" w:left="1440" w:header="108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BD771" w14:textId="77777777" w:rsidR="00B949FE" w:rsidRDefault="00B949FE" w:rsidP="00D75295">
      <w:r>
        <w:separator/>
      </w:r>
    </w:p>
  </w:endnote>
  <w:endnote w:type="continuationSeparator" w:id="0">
    <w:p w14:paraId="1CE8A22C" w14:textId="77777777" w:rsidR="00B949FE" w:rsidRDefault="00B949F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old">
    <w:altName w:val="Arial"/>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F6BF2" w14:textId="77777777" w:rsidR="00B949FE" w:rsidRDefault="00B949FE" w:rsidP="00D75295">
      <w:r>
        <w:separator/>
      </w:r>
    </w:p>
  </w:footnote>
  <w:footnote w:type="continuationSeparator" w:id="0">
    <w:p w14:paraId="4F60AE6D" w14:textId="77777777" w:rsidR="00B949FE" w:rsidRDefault="00B949FE" w:rsidP="00D75295">
      <w:r>
        <w:continuationSeparator/>
      </w:r>
    </w:p>
  </w:footnote>
  <w:footnote w:id="1">
    <w:p w14:paraId="5A823EB8" w14:textId="3573328E" w:rsidR="00B949FE" w:rsidRDefault="00B949FE" w:rsidP="00D1107F">
      <w:pPr>
        <w:pStyle w:val="Footnote"/>
      </w:pPr>
      <w:r>
        <w:rPr>
          <w:rStyle w:val="FootnoteReference"/>
        </w:rPr>
        <w:footnoteRef/>
      </w:r>
      <w:r>
        <w:t xml:space="preserve"> All dollar amounts are in US$ </w:t>
      </w:r>
      <w:r w:rsidRPr="00457211">
        <w:t>unless ot</w:t>
      </w:r>
      <w:r>
        <w:t xml:space="preserve">herwise </w:t>
      </w:r>
      <w:r w:rsidDel="00933797">
        <w:t>specified</w:t>
      </w:r>
      <w:r>
        <w:t>.</w:t>
      </w:r>
    </w:p>
  </w:footnote>
  <w:footnote w:id="2">
    <w:p w14:paraId="2DD0EB2D" w14:textId="77777777" w:rsidR="00174436" w:rsidRDefault="00B949FE" w:rsidP="00542316">
      <w:pPr>
        <w:pStyle w:val="Footnote"/>
        <w:rPr>
          <w:spacing w:val="-2"/>
          <w:kern w:val="17"/>
        </w:rPr>
      </w:pPr>
      <w:r w:rsidRPr="00B949FE">
        <w:rPr>
          <w:rStyle w:val="FootnoteReference"/>
          <w:spacing w:val="-2"/>
          <w:kern w:val="17"/>
        </w:rPr>
        <w:footnoteRef/>
      </w:r>
      <w:r w:rsidRPr="00B949FE">
        <w:rPr>
          <w:spacing w:val="-2"/>
          <w:kern w:val="17"/>
        </w:rPr>
        <w:t xml:space="preserve"> “Trade Preference Programs for Haitian Textiles and Apparel,” Office of Textiles and Apparel (OTEXA), International Trade Administration, U.S. Department of Commerce, accessed February 3, 2017, web.ita.doc.gov/</w:t>
      </w:r>
      <w:proofErr w:type="spellStart"/>
      <w:r w:rsidRPr="00B949FE">
        <w:rPr>
          <w:spacing w:val="-2"/>
          <w:kern w:val="17"/>
        </w:rPr>
        <w:t>tacgi</w:t>
      </w:r>
      <w:proofErr w:type="spellEnd"/>
      <w:r w:rsidRPr="00B949FE">
        <w:rPr>
          <w:spacing w:val="-2"/>
          <w:kern w:val="17"/>
        </w:rPr>
        <w:t>/</w:t>
      </w:r>
      <w:proofErr w:type="spellStart"/>
      <w:r w:rsidRPr="00B949FE">
        <w:rPr>
          <w:spacing w:val="-2"/>
          <w:kern w:val="17"/>
        </w:rPr>
        <w:t>eamain.nsf</w:t>
      </w:r>
      <w:proofErr w:type="spellEnd"/>
      <w:r w:rsidRPr="00B949FE">
        <w:rPr>
          <w:spacing w:val="-2"/>
          <w:kern w:val="17"/>
        </w:rPr>
        <w:t>/6e1600e397213</w:t>
      </w:r>
    </w:p>
    <w:p w14:paraId="4D8887FA" w14:textId="49005BDC" w:rsidR="00B949FE" w:rsidRPr="00B949FE" w:rsidRDefault="00B949FE" w:rsidP="00542316">
      <w:pPr>
        <w:pStyle w:val="Footnote"/>
        <w:rPr>
          <w:spacing w:val="-2"/>
          <w:kern w:val="17"/>
          <w:lang w:val="en-US"/>
        </w:rPr>
      </w:pPr>
      <w:r w:rsidRPr="00B949FE">
        <w:rPr>
          <w:spacing w:val="-2"/>
          <w:kern w:val="17"/>
        </w:rPr>
        <w:t xml:space="preserve">16c852570ab0056f719/abf187b4c9ffc0f9852574d00058ff56. </w:t>
      </w:r>
      <w:r w:rsidRPr="00B949FE">
        <w:rPr>
          <w:spacing w:val="-2"/>
          <w:kern w:val="17"/>
          <w:lang w:val="en-US"/>
        </w:rPr>
        <w:t xml:space="preserve">The </w:t>
      </w:r>
      <w:r w:rsidRPr="00B949FE">
        <w:rPr>
          <w:i/>
          <w:spacing w:val="-2"/>
          <w:kern w:val="17"/>
          <w:lang w:val="en-US"/>
        </w:rPr>
        <w:t>Haitian Hemispheric Opportunity through Partnership Encouragement (HOPE) Act of 2006</w:t>
      </w:r>
      <w:r w:rsidRPr="00B949FE">
        <w:rPr>
          <w:spacing w:val="-2"/>
          <w:kern w:val="17"/>
          <w:lang w:val="en-US"/>
        </w:rPr>
        <w:t xml:space="preserve">, implemented by the U.S. Congress in 2007, provided duty-free entry of Haitian-manufactured garments to the United States. In 2008, the U.S. Congress passed legislation that extended HOPE in breadth and duration, and added requirements for </w:t>
      </w:r>
      <w:r w:rsidRPr="00B949FE">
        <w:rPr>
          <w:spacing w:val="-2"/>
          <w:kern w:val="17"/>
        </w:rPr>
        <w:t>labour</w:t>
      </w:r>
      <w:r w:rsidRPr="00B949FE">
        <w:rPr>
          <w:spacing w:val="-2"/>
          <w:kern w:val="17"/>
          <w:lang w:val="en-US"/>
        </w:rPr>
        <w:t xml:space="preserve"> reform (HOPE II). After the earthquake in 2010, the U.S. Congress enacted the </w:t>
      </w:r>
      <w:r w:rsidRPr="00B949FE">
        <w:rPr>
          <w:i/>
          <w:spacing w:val="-2"/>
          <w:kern w:val="17"/>
          <w:lang w:val="en-US"/>
        </w:rPr>
        <w:t>Haiti Economic Lift Program (HELP) Act of 2010</w:t>
      </w:r>
      <w:r w:rsidRPr="00B949FE">
        <w:rPr>
          <w:spacing w:val="-2"/>
          <w:kern w:val="17"/>
          <w:lang w:val="en-US"/>
        </w:rPr>
        <w:t>, which extended further the support originally provided under the HOPE programs and balanced U.S. and Haitian policy interests in the apparel sector.</w:t>
      </w:r>
    </w:p>
  </w:footnote>
  <w:footnote w:id="3">
    <w:p w14:paraId="6F68F2A3" w14:textId="0191C0E0" w:rsidR="00B949FE" w:rsidRDefault="00B949FE" w:rsidP="00542316">
      <w:pPr>
        <w:pStyle w:val="Footnote"/>
      </w:pPr>
      <w:r>
        <w:rPr>
          <w:rStyle w:val="FootnoteReference"/>
        </w:rPr>
        <w:footnoteRef/>
      </w:r>
      <w:r>
        <w:t xml:space="preserve"> “</w:t>
      </w:r>
      <w:proofErr w:type="spellStart"/>
      <w:r>
        <w:t>Bienvenue</w:t>
      </w:r>
      <w:proofErr w:type="spellEnd"/>
      <w:r>
        <w:t xml:space="preserve">,” </w:t>
      </w:r>
      <w:proofErr w:type="spellStart"/>
      <w:r>
        <w:t>Électricité</w:t>
      </w:r>
      <w:proofErr w:type="spellEnd"/>
      <w:r>
        <w:t xml:space="preserve"> </w:t>
      </w:r>
      <w:proofErr w:type="spellStart"/>
      <w:r>
        <w:t>d’Haïti</w:t>
      </w:r>
      <w:proofErr w:type="spellEnd"/>
      <w:r>
        <w:t xml:space="preserve">, accessed February 3, 2017, </w:t>
      </w:r>
      <w:r w:rsidRPr="00542316">
        <w:t>www.edh.ht</w:t>
      </w:r>
      <w:r>
        <w:t xml:space="preserve"> [in French].</w:t>
      </w:r>
    </w:p>
  </w:footnote>
  <w:footnote w:id="4">
    <w:p w14:paraId="37093197" w14:textId="463A7C1B" w:rsidR="00B949FE" w:rsidRDefault="00B949FE" w:rsidP="00542316">
      <w:pPr>
        <w:pStyle w:val="Footnote"/>
      </w:pPr>
      <w:r>
        <w:rPr>
          <w:rStyle w:val="FootnoteReference"/>
        </w:rPr>
        <w:footnoteRef/>
      </w:r>
      <w:r>
        <w:t xml:space="preserve"> Solar energy radiation or “solar insolation” was a measure of the amount of sunlight falling on a specific location at a specific time, indicating the potential solar energy available in that location over a period of time (usually reported per day). An average of </w:t>
      </w:r>
      <w:proofErr w:type="gramStart"/>
      <w:r>
        <w:t>5</w:t>
      </w:r>
      <w:proofErr w:type="gramEnd"/>
      <w:r>
        <w:t xml:space="preserve"> kWh/m</w:t>
      </w:r>
      <w:r w:rsidRPr="00542316">
        <w:rPr>
          <w:vertAlign w:val="superscript"/>
        </w:rPr>
        <w:t>2</w:t>
      </w:r>
      <w:r>
        <w:t>/day was considered to be high to very high. Source: “Solar Insolation, What is It</w:t>
      </w:r>
      <w:proofErr w:type="gramStart"/>
      <w:r>
        <w:t>?,</w:t>
      </w:r>
      <w:proofErr w:type="gramEnd"/>
      <w:r>
        <w:t xml:space="preserve">” Solar Insolation, January 15, 2012, accessed February 6, 2017, </w:t>
      </w:r>
      <w:r w:rsidRPr="00EB2634">
        <w:t>http://solarinsolation.org</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9145" w14:textId="42D3A44C" w:rsidR="00B949FE" w:rsidRDefault="00B949F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2A46">
      <w:rPr>
        <w:rFonts w:ascii="Arial" w:hAnsi="Arial"/>
        <w:b/>
        <w:noProof/>
      </w:rPr>
      <w:t>6</w:t>
    </w:r>
    <w:r>
      <w:rPr>
        <w:rFonts w:ascii="Arial" w:hAnsi="Arial"/>
        <w:b/>
      </w:rPr>
      <w:fldChar w:fldCharType="end"/>
    </w:r>
    <w:r>
      <w:rPr>
        <w:rFonts w:ascii="Arial" w:hAnsi="Arial"/>
        <w:b/>
      </w:rPr>
      <w:tab/>
      <w:t>9B17M046</w:t>
    </w:r>
  </w:p>
  <w:p w14:paraId="6E8ECB9F" w14:textId="77777777" w:rsidR="00B949FE" w:rsidRPr="00C92CC4" w:rsidRDefault="00B949FE">
    <w:pPr>
      <w:pStyle w:val="Header"/>
      <w:rPr>
        <w:sz w:val="18"/>
        <w:szCs w:val="18"/>
      </w:rPr>
    </w:pPr>
  </w:p>
  <w:p w14:paraId="77267E81" w14:textId="77777777" w:rsidR="00B949FE" w:rsidRPr="00C92CC4" w:rsidRDefault="00B949FE">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66A0" w14:textId="3234EA9A" w:rsidR="00B949FE" w:rsidRDefault="00B949FE" w:rsidP="005D0BA3">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2A46">
      <w:rPr>
        <w:rFonts w:ascii="Arial" w:hAnsi="Arial"/>
        <w:b/>
        <w:noProof/>
      </w:rPr>
      <w:t>7</w:t>
    </w:r>
    <w:r>
      <w:rPr>
        <w:rFonts w:ascii="Arial" w:hAnsi="Arial"/>
        <w:b/>
      </w:rPr>
      <w:fldChar w:fldCharType="end"/>
    </w:r>
    <w:r>
      <w:rPr>
        <w:rFonts w:ascii="Arial" w:hAnsi="Arial"/>
        <w:b/>
      </w:rPr>
      <w:tab/>
      <w:t>9B17M046</w:t>
    </w:r>
  </w:p>
  <w:p w14:paraId="7B3203E7" w14:textId="77777777" w:rsidR="00B949FE" w:rsidRPr="00C92CC4" w:rsidRDefault="00B949FE" w:rsidP="005D0BA3">
    <w:pPr>
      <w:pStyle w:val="Header"/>
      <w:tabs>
        <w:tab w:val="clear" w:pos="4680"/>
        <w:tab w:val="clear" w:pos="9360"/>
        <w:tab w:val="right" w:pos="12960"/>
      </w:tabs>
      <w:rPr>
        <w:sz w:val="18"/>
        <w:szCs w:val="18"/>
      </w:rPr>
    </w:pPr>
  </w:p>
  <w:p w14:paraId="48CCB7D1" w14:textId="77777777" w:rsidR="00B949FE" w:rsidRPr="00C92CC4" w:rsidRDefault="00B949FE" w:rsidP="005D0BA3">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6505C" w14:textId="746D2776" w:rsidR="00B949FE" w:rsidRDefault="00B949FE" w:rsidP="005D0BA3">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2A46">
      <w:rPr>
        <w:rFonts w:ascii="Arial" w:hAnsi="Arial"/>
        <w:b/>
        <w:noProof/>
      </w:rPr>
      <w:t>8</w:t>
    </w:r>
    <w:r>
      <w:rPr>
        <w:rFonts w:ascii="Arial" w:hAnsi="Arial"/>
        <w:b/>
      </w:rPr>
      <w:fldChar w:fldCharType="end"/>
    </w:r>
    <w:r>
      <w:rPr>
        <w:rFonts w:ascii="Arial" w:hAnsi="Arial"/>
        <w:b/>
      </w:rPr>
      <w:tab/>
      <w:t>9B17M046</w:t>
    </w:r>
  </w:p>
  <w:p w14:paraId="5D35ADB7" w14:textId="77777777" w:rsidR="00B949FE" w:rsidRPr="00C92CC4" w:rsidRDefault="00B949FE" w:rsidP="005D0BA3">
    <w:pPr>
      <w:pStyle w:val="Header"/>
      <w:tabs>
        <w:tab w:val="clear" w:pos="4680"/>
        <w:tab w:val="clear" w:pos="9360"/>
        <w:tab w:val="right" w:pos="12960"/>
      </w:tabs>
      <w:rPr>
        <w:sz w:val="18"/>
        <w:szCs w:val="18"/>
      </w:rPr>
    </w:pPr>
  </w:p>
  <w:p w14:paraId="6F562C94" w14:textId="77777777" w:rsidR="00B949FE" w:rsidRPr="00C92CC4" w:rsidRDefault="00B949FE" w:rsidP="005D0BA3">
    <w:pPr>
      <w:pStyle w:val="Header"/>
      <w:tabs>
        <w:tab w:val="clear" w:pos="4680"/>
        <w:tab w:val="clear" w:pos="9360"/>
        <w:tab w:val="right" w:pos="1296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A0297" w14:textId="02773FF8" w:rsidR="00B949FE" w:rsidRDefault="00B949FE" w:rsidP="005D0BA3">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2A46">
      <w:rPr>
        <w:rFonts w:ascii="Arial" w:hAnsi="Arial"/>
        <w:b/>
        <w:noProof/>
      </w:rPr>
      <w:t>9</w:t>
    </w:r>
    <w:r>
      <w:rPr>
        <w:rFonts w:ascii="Arial" w:hAnsi="Arial"/>
        <w:b/>
      </w:rPr>
      <w:fldChar w:fldCharType="end"/>
    </w:r>
    <w:r>
      <w:rPr>
        <w:rFonts w:ascii="Arial" w:hAnsi="Arial"/>
        <w:b/>
      </w:rPr>
      <w:tab/>
      <w:t>9B17M046</w:t>
    </w:r>
  </w:p>
  <w:p w14:paraId="41E220C4" w14:textId="77777777" w:rsidR="00B949FE" w:rsidRPr="00C92CC4" w:rsidRDefault="00B949FE" w:rsidP="005D0BA3">
    <w:pPr>
      <w:pStyle w:val="Header"/>
      <w:tabs>
        <w:tab w:val="clear" w:pos="4680"/>
        <w:tab w:val="clear" w:pos="9360"/>
        <w:tab w:val="right" w:pos="12960"/>
      </w:tabs>
      <w:rPr>
        <w:sz w:val="18"/>
        <w:szCs w:val="18"/>
      </w:rPr>
    </w:pPr>
  </w:p>
  <w:p w14:paraId="1B0FC4BD" w14:textId="77777777" w:rsidR="00B949FE" w:rsidRPr="00C92CC4" w:rsidRDefault="00B949FE" w:rsidP="005D0BA3">
    <w:pPr>
      <w:pStyle w:val="Header"/>
      <w:tabs>
        <w:tab w:val="clear" w:pos="4680"/>
        <w:tab w:val="clear" w:pos="9360"/>
        <w:tab w:val="right" w:pos="12960"/>
      </w:tabs>
      <w:rPr>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C05BF" w14:textId="08315157" w:rsidR="00B949FE" w:rsidRDefault="00B949FE" w:rsidP="005D0BA3">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2A46">
      <w:rPr>
        <w:rFonts w:ascii="Arial" w:hAnsi="Arial"/>
        <w:b/>
        <w:noProof/>
      </w:rPr>
      <w:t>10</w:t>
    </w:r>
    <w:r>
      <w:rPr>
        <w:rFonts w:ascii="Arial" w:hAnsi="Arial"/>
        <w:b/>
      </w:rPr>
      <w:fldChar w:fldCharType="end"/>
    </w:r>
    <w:r>
      <w:rPr>
        <w:rFonts w:ascii="Arial" w:hAnsi="Arial"/>
        <w:b/>
      </w:rPr>
      <w:tab/>
      <w:t>9B17M046</w:t>
    </w:r>
  </w:p>
  <w:p w14:paraId="6755553D" w14:textId="77777777" w:rsidR="00B949FE" w:rsidRPr="00C92CC4" w:rsidRDefault="00B949FE" w:rsidP="005D0BA3">
    <w:pPr>
      <w:pStyle w:val="Header"/>
      <w:tabs>
        <w:tab w:val="clear" w:pos="4680"/>
        <w:tab w:val="clear" w:pos="9360"/>
        <w:tab w:val="right" w:pos="12960"/>
      </w:tabs>
      <w:rPr>
        <w:sz w:val="18"/>
        <w:szCs w:val="18"/>
      </w:rPr>
    </w:pPr>
  </w:p>
  <w:p w14:paraId="4FB3F1BB" w14:textId="77777777" w:rsidR="00B949FE" w:rsidRPr="00C92CC4" w:rsidRDefault="00B949FE" w:rsidP="005D0BA3">
    <w:pPr>
      <w:pStyle w:val="Header"/>
      <w:tabs>
        <w:tab w:val="clear" w:pos="4680"/>
        <w:tab w:val="clear" w:pos="9360"/>
        <w:tab w:val="right" w:pos="12960"/>
      </w:tabs>
      <w:rPr>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12E06" w14:textId="61B1535C" w:rsidR="00B949FE" w:rsidRDefault="00B949FE" w:rsidP="00027FDB">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2A46">
      <w:rPr>
        <w:rFonts w:ascii="Arial" w:hAnsi="Arial"/>
        <w:b/>
        <w:noProof/>
      </w:rPr>
      <w:t>11</w:t>
    </w:r>
    <w:r>
      <w:rPr>
        <w:rFonts w:ascii="Arial" w:hAnsi="Arial"/>
        <w:b/>
      </w:rPr>
      <w:fldChar w:fldCharType="end"/>
    </w:r>
    <w:r>
      <w:rPr>
        <w:rFonts w:ascii="Arial" w:hAnsi="Arial"/>
        <w:b/>
      </w:rPr>
      <w:tab/>
      <w:t>9B17M046</w:t>
    </w:r>
  </w:p>
  <w:p w14:paraId="6EFF95A3" w14:textId="77777777" w:rsidR="00B949FE" w:rsidRPr="00C92CC4" w:rsidRDefault="00B949FE" w:rsidP="00027FDB">
    <w:pPr>
      <w:pStyle w:val="Header"/>
      <w:tabs>
        <w:tab w:val="clear" w:pos="4680"/>
      </w:tabs>
      <w:rPr>
        <w:sz w:val="18"/>
        <w:szCs w:val="18"/>
      </w:rPr>
    </w:pPr>
  </w:p>
  <w:p w14:paraId="5E1C78FC" w14:textId="77777777" w:rsidR="00B949FE" w:rsidRPr="00C92CC4" w:rsidRDefault="00B949FE" w:rsidP="00027FDB">
    <w:pPr>
      <w:pStyle w:val="Header"/>
      <w:tabs>
        <w:tab w:val="clear" w:pos="4680"/>
      </w:tabs>
      <w:rPr>
        <w:sz w:val="18"/>
        <w:szCs w:val="18"/>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AE7EE" w14:textId="77A373E3" w:rsidR="00B949FE" w:rsidRDefault="00B949FE" w:rsidP="00B949FE">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2A46">
      <w:rPr>
        <w:rFonts w:ascii="Arial" w:hAnsi="Arial"/>
        <w:b/>
        <w:noProof/>
      </w:rPr>
      <w:t>12</w:t>
    </w:r>
    <w:r>
      <w:rPr>
        <w:rFonts w:ascii="Arial" w:hAnsi="Arial"/>
        <w:b/>
      </w:rPr>
      <w:fldChar w:fldCharType="end"/>
    </w:r>
    <w:r>
      <w:rPr>
        <w:rFonts w:ascii="Arial" w:hAnsi="Arial"/>
        <w:b/>
      </w:rPr>
      <w:tab/>
      <w:t>9B17M046</w:t>
    </w:r>
  </w:p>
  <w:p w14:paraId="518059DF" w14:textId="77777777" w:rsidR="00B949FE" w:rsidRPr="00C92CC4" w:rsidRDefault="00B949FE" w:rsidP="00B949FE">
    <w:pPr>
      <w:pStyle w:val="Header"/>
      <w:tabs>
        <w:tab w:val="clear" w:pos="4680"/>
        <w:tab w:val="clear" w:pos="9360"/>
        <w:tab w:val="right" w:pos="12960"/>
      </w:tabs>
      <w:rPr>
        <w:sz w:val="18"/>
        <w:szCs w:val="18"/>
      </w:rPr>
    </w:pPr>
  </w:p>
  <w:p w14:paraId="440493A2" w14:textId="77777777" w:rsidR="00B949FE" w:rsidRPr="00C92CC4" w:rsidRDefault="00B949FE" w:rsidP="00B949FE">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428C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786B3B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91C887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F9A221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82CFF9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F64544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DF2F9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20DA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B54497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3CAF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370EC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C1AFF"/>
    <w:multiLevelType w:val="hybridMultilevel"/>
    <w:tmpl w:val="9EC0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54172"/>
    <w:multiLevelType w:val="hybridMultilevel"/>
    <w:tmpl w:val="F4806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1416F2B"/>
    <w:multiLevelType w:val="multilevel"/>
    <w:tmpl w:val="36B8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5B48BD"/>
    <w:multiLevelType w:val="hybridMultilevel"/>
    <w:tmpl w:val="7AA0AB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1"/>
  </w:num>
  <w:num w:numId="13">
    <w:abstractNumId w:val="14"/>
  </w:num>
  <w:num w:numId="14">
    <w:abstractNumId w:val="23"/>
  </w:num>
  <w:num w:numId="15">
    <w:abstractNumId w:val="24"/>
  </w:num>
  <w:num w:numId="16">
    <w:abstractNumId w:val="26"/>
  </w:num>
  <w:num w:numId="17">
    <w:abstractNumId w:val="17"/>
  </w:num>
  <w:num w:numId="18">
    <w:abstractNumId w:val="27"/>
  </w:num>
  <w:num w:numId="19">
    <w:abstractNumId w:val="13"/>
  </w:num>
  <w:num w:numId="20">
    <w:abstractNumId w:val="12"/>
  </w:num>
  <w:num w:numId="21">
    <w:abstractNumId w:val="28"/>
  </w:num>
  <w:num w:numId="22">
    <w:abstractNumId w:val="20"/>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25"/>
  </w:num>
  <w:num w:numId="29">
    <w:abstractNumId w:val="18"/>
  </w:num>
  <w:num w:numId="30">
    <w:abstractNumId w:val="11"/>
  </w:num>
  <w:num w:numId="31">
    <w:abstractNumId w:val="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396A"/>
    <w:rsid w:val="000216CE"/>
    <w:rsid w:val="00025BF4"/>
    <w:rsid w:val="00025DC7"/>
    <w:rsid w:val="00026486"/>
    <w:rsid w:val="00027FDB"/>
    <w:rsid w:val="000334F5"/>
    <w:rsid w:val="00035E57"/>
    <w:rsid w:val="0004389F"/>
    <w:rsid w:val="00044ECC"/>
    <w:rsid w:val="00045B85"/>
    <w:rsid w:val="00046EB8"/>
    <w:rsid w:val="000531D3"/>
    <w:rsid w:val="0005646B"/>
    <w:rsid w:val="000604B2"/>
    <w:rsid w:val="00062922"/>
    <w:rsid w:val="000648F4"/>
    <w:rsid w:val="00065E25"/>
    <w:rsid w:val="00070F0B"/>
    <w:rsid w:val="0008102D"/>
    <w:rsid w:val="00092380"/>
    <w:rsid w:val="00094C0E"/>
    <w:rsid w:val="000F0C22"/>
    <w:rsid w:val="000F6B09"/>
    <w:rsid w:val="000F6FDC"/>
    <w:rsid w:val="00103215"/>
    <w:rsid w:val="00104567"/>
    <w:rsid w:val="00116C88"/>
    <w:rsid w:val="001262D1"/>
    <w:rsid w:val="0012732D"/>
    <w:rsid w:val="00133ED6"/>
    <w:rsid w:val="001456A2"/>
    <w:rsid w:val="001515D8"/>
    <w:rsid w:val="0015351F"/>
    <w:rsid w:val="00153EB4"/>
    <w:rsid w:val="00154FC9"/>
    <w:rsid w:val="00163DD9"/>
    <w:rsid w:val="00171EB7"/>
    <w:rsid w:val="00174436"/>
    <w:rsid w:val="001907C2"/>
    <w:rsid w:val="0019241A"/>
    <w:rsid w:val="001A5335"/>
    <w:rsid w:val="001A752D"/>
    <w:rsid w:val="001B160C"/>
    <w:rsid w:val="001B6692"/>
    <w:rsid w:val="001C6607"/>
    <w:rsid w:val="001D2BC2"/>
    <w:rsid w:val="001E03CE"/>
    <w:rsid w:val="001E797F"/>
    <w:rsid w:val="001F516F"/>
    <w:rsid w:val="00202FC2"/>
    <w:rsid w:val="00203AA1"/>
    <w:rsid w:val="00213E98"/>
    <w:rsid w:val="00220875"/>
    <w:rsid w:val="00227529"/>
    <w:rsid w:val="00250A0E"/>
    <w:rsid w:val="0025204E"/>
    <w:rsid w:val="00255DBB"/>
    <w:rsid w:val="0027130E"/>
    <w:rsid w:val="002724F5"/>
    <w:rsid w:val="0028381A"/>
    <w:rsid w:val="0028770F"/>
    <w:rsid w:val="00291BAC"/>
    <w:rsid w:val="002C5996"/>
    <w:rsid w:val="002D0FEC"/>
    <w:rsid w:val="002D75FE"/>
    <w:rsid w:val="002E117C"/>
    <w:rsid w:val="002E32F0"/>
    <w:rsid w:val="002F460C"/>
    <w:rsid w:val="002F48D6"/>
    <w:rsid w:val="002F789A"/>
    <w:rsid w:val="003001CD"/>
    <w:rsid w:val="003005AA"/>
    <w:rsid w:val="003146ED"/>
    <w:rsid w:val="003307BA"/>
    <w:rsid w:val="003311AC"/>
    <w:rsid w:val="003334B8"/>
    <w:rsid w:val="00342762"/>
    <w:rsid w:val="0034646C"/>
    <w:rsid w:val="00354899"/>
    <w:rsid w:val="00355FD6"/>
    <w:rsid w:val="00361C8E"/>
    <w:rsid w:val="00364A5C"/>
    <w:rsid w:val="00373FB1"/>
    <w:rsid w:val="0038055D"/>
    <w:rsid w:val="00382A46"/>
    <w:rsid w:val="00391476"/>
    <w:rsid w:val="00394818"/>
    <w:rsid w:val="00395028"/>
    <w:rsid w:val="003A0F79"/>
    <w:rsid w:val="003B21B3"/>
    <w:rsid w:val="003B21DA"/>
    <w:rsid w:val="003B30D8"/>
    <w:rsid w:val="003B31FF"/>
    <w:rsid w:val="003B3D71"/>
    <w:rsid w:val="003B7EB3"/>
    <w:rsid w:val="003B7EF2"/>
    <w:rsid w:val="003C3FA4"/>
    <w:rsid w:val="003D03ED"/>
    <w:rsid w:val="003D49F1"/>
    <w:rsid w:val="003E20F7"/>
    <w:rsid w:val="003E7C35"/>
    <w:rsid w:val="003F0760"/>
    <w:rsid w:val="003F2B0C"/>
    <w:rsid w:val="003F47A9"/>
    <w:rsid w:val="003F722E"/>
    <w:rsid w:val="00420C49"/>
    <w:rsid w:val="004221E4"/>
    <w:rsid w:val="004227E0"/>
    <w:rsid w:val="004264D2"/>
    <w:rsid w:val="00430AD7"/>
    <w:rsid w:val="00446D44"/>
    <w:rsid w:val="00454377"/>
    <w:rsid w:val="00471088"/>
    <w:rsid w:val="00483AF9"/>
    <w:rsid w:val="00490F22"/>
    <w:rsid w:val="004A6595"/>
    <w:rsid w:val="004B1CCB"/>
    <w:rsid w:val="004C09F8"/>
    <w:rsid w:val="004C1550"/>
    <w:rsid w:val="004C731B"/>
    <w:rsid w:val="004D1B7C"/>
    <w:rsid w:val="004D73A5"/>
    <w:rsid w:val="004E5F35"/>
    <w:rsid w:val="00502C5C"/>
    <w:rsid w:val="00504735"/>
    <w:rsid w:val="0050512D"/>
    <w:rsid w:val="00507015"/>
    <w:rsid w:val="00511024"/>
    <w:rsid w:val="005233EE"/>
    <w:rsid w:val="00532CF5"/>
    <w:rsid w:val="00542316"/>
    <w:rsid w:val="005438C6"/>
    <w:rsid w:val="0054522B"/>
    <w:rsid w:val="005528CB"/>
    <w:rsid w:val="0056231D"/>
    <w:rsid w:val="005630DE"/>
    <w:rsid w:val="005652B1"/>
    <w:rsid w:val="0056612B"/>
    <w:rsid w:val="00566771"/>
    <w:rsid w:val="00570D04"/>
    <w:rsid w:val="00581E2E"/>
    <w:rsid w:val="00584F15"/>
    <w:rsid w:val="00585D94"/>
    <w:rsid w:val="00587E65"/>
    <w:rsid w:val="005B1B68"/>
    <w:rsid w:val="005B7194"/>
    <w:rsid w:val="005D0638"/>
    <w:rsid w:val="005D0BA3"/>
    <w:rsid w:val="005D7F40"/>
    <w:rsid w:val="005E34AA"/>
    <w:rsid w:val="005F4458"/>
    <w:rsid w:val="00601BE1"/>
    <w:rsid w:val="00603B0C"/>
    <w:rsid w:val="006163F7"/>
    <w:rsid w:val="00631AD3"/>
    <w:rsid w:val="006350CE"/>
    <w:rsid w:val="00651C5C"/>
    <w:rsid w:val="00652606"/>
    <w:rsid w:val="00660C17"/>
    <w:rsid w:val="00670C8B"/>
    <w:rsid w:val="00680CE0"/>
    <w:rsid w:val="00682754"/>
    <w:rsid w:val="00683E55"/>
    <w:rsid w:val="006A20AF"/>
    <w:rsid w:val="006A58A9"/>
    <w:rsid w:val="006A606D"/>
    <w:rsid w:val="006B7F7A"/>
    <w:rsid w:val="006C0371"/>
    <w:rsid w:val="006C08B6"/>
    <w:rsid w:val="006C0B1A"/>
    <w:rsid w:val="006C1C7E"/>
    <w:rsid w:val="006C20D3"/>
    <w:rsid w:val="006C4384"/>
    <w:rsid w:val="006C6065"/>
    <w:rsid w:val="006C7F9F"/>
    <w:rsid w:val="006D5595"/>
    <w:rsid w:val="006D7E5E"/>
    <w:rsid w:val="006E191E"/>
    <w:rsid w:val="006E2655"/>
    <w:rsid w:val="006E2F6D"/>
    <w:rsid w:val="006E58F6"/>
    <w:rsid w:val="006E77E1"/>
    <w:rsid w:val="006F131D"/>
    <w:rsid w:val="006F1D9E"/>
    <w:rsid w:val="006F2CAB"/>
    <w:rsid w:val="00701ECF"/>
    <w:rsid w:val="00705E6C"/>
    <w:rsid w:val="00710188"/>
    <w:rsid w:val="007113D5"/>
    <w:rsid w:val="00711D15"/>
    <w:rsid w:val="00712B0D"/>
    <w:rsid w:val="007305DC"/>
    <w:rsid w:val="00732011"/>
    <w:rsid w:val="007402A9"/>
    <w:rsid w:val="0074375A"/>
    <w:rsid w:val="00752539"/>
    <w:rsid w:val="00752BCD"/>
    <w:rsid w:val="007536A4"/>
    <w:rsid w:val="00766DA1"/>
    <w:rsid w:val="00767A59"/>
    <w:rsid w:val="00783BD6"/>
    <w:rsid w:val="007866A6"/>
    <w:rsid w:val="0078727A"/>
    <w:rsid w:val="007A130D"/>
    <w:rsid w:val="007A7A5C"/>
    <w:rsid w:val="007B7D08"/>
    <w:rsid w:val="007C2853"/>
    <w:rsid w:val="007D4102"/>
    <w:rsid w:val="007E1A6F"/>
    <w:rsid w:val="007E5921"/>
    <w:rsid w:val="007F2C48"/>
    <w:rsid w:val="008001DE"/>
    <w:rsid w:val="00805823"/>
    <w:rsid w:val="00821EB8"/>
    <w:rsid w:val="00821FFC"/>
    <w:rsid w:val="008271CA"/>
    <w:rsid w:val="0083561E"/>
    <w:rsid w:val="008428F3"/>
    <w:rsid w:val="008467D5"/>
    <w:rsid w:val="00847E7F"/>
    <w:rsid w:val="00851327"/>
    <w:rsid w:val="0085148B"/>
    <w:rsid w:val="00854A8F"/>
    <w:rsid w:val="00856D9F"/>
    <w:rsid w:val="008613AA"/>
    <w:rsid w:val="00866F6D"/>
    <w:rsid w:val="00875458"/>
    <w:rsid w:val="0088579B"/>
    <w:rsid w:val="00892AF2"/>
    <w:rsid w:val="008A4DC4"/>
    <w:rsid w:val="008B480F"/>
    <w:rsid w:val="008B5E60"/>
    <w:rsid w:val="008C40C1"/>
    <w:rsid w:val="008D0D60"/>
    <w:rsid w:val="008D641C"/>
    <w:rsid w:val="008E04E5"/>
    <w:rsid w:val="008E0D9D"/>
    <w:rsid w:val="008E5983"/>
    <w:rsid w:val="009067A4"/>
    <w:rsid w:val="0090722E"/>
    <w:rsid w:val="009079B1"/>
    <w:rsid w:val="00911E19"/>
    <w:rsid w:val="009122B9"/>
    <w:rsid w:val="009136A9"/>
    <w:rsid w:val="00916C35"/>
    <w:rsid w:val="009340DB"/>
    <w:rsid w:val="00943CAD"/>
    <w:rsid w:val="00945F9E"/>
    <w:rsid w:val="0095345A"/>
    <w:rsid w:val="00954B73"/>
    <w:rsid w:val="00964673"/>
    <w:rsid w:val="00972498"/>
    <w:rsid w:val="00974CC6"/>
    <w:rsid w:val="00976AD4"/>
    <w:rsid w:val="0098791C"/>
    <w:rsid w:val="00992CCD"/>
    <w:rsid w:val="009A2BFD"/>
    <w:rsid w:val="009A312F"/>
    <w:rsid w:val="009A5348"/>
    <w:rsid w:val="009A67BB"/>
    <w:rsid w:val="009C5424"/>
    <w:rsid w:val="009C76D5"/>
    <w:rsid w:val="009D7903"/>
    <w:rsid w:val="009E116E"/>
    <w:rsid w:val="009E26EE"/>
    <w:rsid w:val="009F7AA4"/>
    <w:rsid w:val="00A048BE"/>
    <w:rsid w:val="00A11448"/>
    <w:rsid w:val="00A12759"/>
    <w:rsid w:val="00A135BF"/>
    <w:rsid w:val="00A4472A"/>
    <w:rsid w:val="00A45876"/>
    <w:rsid w:val="00A554E2"/>
    <w:rsid w:val="00A559DB"/>
    <w:rsid w:val="00A60C13"/>
    <w:rsid w:val="00A61A8B"/>
    <w:rsid w:val="00A81CD8"/>
    <w:rsid w:val="00A839A1"/>
    <w:rsid w:val="00A85BD3"/>
    <w:rsid w:val="00A8691C"/>
    <w:rsid w:val="00A905B5"/>
    <w:rsid w:val="00A90A69"/>
    <w:rsid w:val="00A970A4"/>
    <w:rsid w:val="00AB3C5A"/>
    <w:rsid w:val="00AB74A4"/>
    <w:rsid w:val="00AC3D8B"/>
    <w:rsid w:val="00AD0CCF"/>
    <w:rsid w:val="00AD10F8"/>
    <w:rsid w:val="00AE2077"/>
    <w:rsid w:val="00AE7205"/>
    <w:rsid w:val="00AF07C8"/>
    <w:rsid w:val="00AF29ED"/>
    <w:rsid w:val="00AF35FC"/>
    <w:rsid w:val="00B02EFF"/>
    <w:rsid w:val="00B03639"/>
    <w:rsid w:val="00B0652A"/>
    <w:rsid w:val="00B07DD4"/>
    <w:rsid w:val="00B1075D"/>
    <w:rsid w:val="00B226AF"/>
    <w:rsid w:val="00B34290"/>
    <w:rsid w:val="00B34A1A"/>
    <w:rsid w:val="00B3757D"/>
    <w:rsid w:val="00B40937"/>
    <w:rsid w:val="00B41EAD"/>
    <w:rsid w:val="00B423EF"/>
    <w:rsid w:val="00B453DE"/>
    <w:rsid w:val="00B4742F"/>
    <w:rsid w:val="00B60DEE"/>
    <w:rsid w:val="00B61DAB"/>
    <w:rsid w:val="00B639F0"/>
    <w:rsid w:val="00B71A15"/>
    <w:rsid w:val="00B901F9"/>
    <w:rsid w:val="00B949FE"/>
    <w:rsid w:val="00B97234"/>
    <w:rsid w:val="00BB3DE6"/>
    <w:rsid w:val="00BB6432"/>
    <w:rsid w:val="00BC41F1"/>
    <w:rsid w:val="00BD6EFB"/>
    <w:rsid w:val="00BE1153"/>
    <w:rsid w:val="00BE5FD9"/>
    <w:rsid w:val="00BE645A"/>
    <w:rsid w:val="00BF13EE"/>
    <w:rsid w:val="00C10E62"/>
    <w:rsid w:val="00C11EC6"/>
    <w:rsid w:val="00C15BE2"/>
    <w:rsid w:val="00C22219"/>
    <w:rsid w:val="00C2658A"/>
    <w:rsid w:val="00C3447F"/>
    <w:rsid w:val="00C42219"/>
    <w:rsid w:val="00C50F07"/>
    <w:rsid w:val="00C607AB"/>
    <w:rsid w:val="00C81491"/>
    <w:rsid w:val="00C81676"/>
    <w:rsid w:val="00C842CA"/>
    <w:rsid w:val="00C87EBB"/>
    <w:rsid w:val="00C92CC4"/>
    <w:rsid w:val="00CA0AFB"/>
    <w:rsid w:val="00CA2CE1"/>
    <w:rsid w:val="00CA3976"/>
    <w:rsid w:val="00CA42D4"/>
    <w:rsid w:val="00CA757B"/>
    <w:rsid w:val="00CB3B9E"/>
    <w:rsid w:val="00CB59A4"/>
    <w:rsid w:val="00CB6B09"/>
    <w:rsid w:val="00CC09FD"/>
    <w:rsid w:val="00CC1787"/>
    <w:rsid w:val="00CC182C"/>
    <w:rsid w:val="00CD0824"/>
    <w:rsid w:val="00CD2908"/>
    <w:rsid w:val="00CF059A"/>
    <w:rsid w:val="00D034B2"/>
    <w:rsid w:val="00D03A82"/>
    <w:rsid w:val="00D07522"/>
    <w:rsid w:val="00D1107F"/>
    <w:rsid w:val="00D13D57"/>
    <w:rsid w:val="00D15344"/>
    <w:rsid w:val="00D23C7B"/>
    <w:rsid w:val="00D24226"/>
    <w:rsid w:val="00D2611A"/>
    <w:rsid w:val="00D31BEC"/>
    <w:rsid w:val="00D41469"/>
    <w:rsid w:val="00D4257A"/>
    <w:rsid w:val="00D4624F"/>
    <w:rsid w:val="00D51752"/>
    <w:rsid w:val="00D63150"/>
    <w:rsid w:val="00D63FD2"/>
    <w:rsid w:val="00D64A32"/>
    <w:rsid w:val="00D64EFC"/>
    <w:rsid w:val="00D72BF9"/>
    <w:rsid w:val="00D75295"/>
    <w:rsid w:val="00D75FCD"/>
    <w:rsid w:val="00D76CE9"/>
    <w:rsid w:val="00D81F12"/>
    <w:rsid w:val="00D861C8"/>
    <w:rsid w:val="00D97F12"/>
    <w:rsid w:val="00DB42E7"/>
    <w:rsid w:val="00DB5A0C"/>
    <w:rsid w:val="00DC72EB"/>
    <w:rsid w:val="00DD14E0"/>
    <w:rsid w:val="00DE105F"/>
    <w:rsid w:val="00DE6648"/>
    <w:rsid w:val="00DF0D07"/>
    <w:rsid w:val="00DF2DE3"/>
    <w:rsid w:val="00DF32C2"/>
    <w:rsid w:val="00E05DF1"/>
    <w:rsid w:val="00E31345"/>
    <w:rsid w:val="00E34B0B"/>
    <w:rsid w:val="00E4402A"/>
    <w:rsid w:val="00E471A7"/>
    <w:rsid w:val="00E524BD"/>
    <w:rsid w:val="00E635CF"/>
    <w:rsid w:val="00E72DD3"/>
    <w:rsid w:val="00E733D1"/>
    <w:rsid w:val="00E74F52"/>
    <w:rsid w:val="00E81122"/>
    <w:rsid w:val="00E83CE1"/>
    <w:rsid w:val="00E900AD"/>
    <w:rsid w:val="00E965D8"/>
    <w:rsid w:val="00EB10BF"/>
    <w:rsid w:val="00EB2634"/>
    <w:rsid w:val="00EB5410"/>
    <w:rsid w:val="00EC6E0A"/>
    <w:rsid w:val="00ED4E18"/>
    <w:rsid w:val="00EE1F37"/>
    <w:rsid w:val="00EF1388"/>
    <w:rsid w:val="00F0159C"/>
    <w:rsid w:val="00F02E4B"/>
    <w:rsid w:val="00F105B7"/>
    <w:rsid w:val="00F13F1E"/>
    <w:rsid w:val="00F17A21"/>
    <w:rsid w:val="00F25AE4"/>
    <w:rsid w:val="00F305A4"/>
    <w:rsid w:val="00F32519"/>
    <w:rsid w:val="00F32B17"/>
    <w:rsid w:val="00F37088"/>
    <w:rsid w:val="00F50E91"/>
    <w:rsid w:val="00F5125D"/>
    <w:rsid w:val="00F54027"/>
    <w:rsid w:val="00F55615"/>
    <w:rsid w:val="00F57D29"/>
    <w:rsid w:val="00F7215E"/>
    <w:rsid w:val="00F7766A"/>
    <w:rsid w:val="00F81326"/>
    <w:rsid w:val="00F81AEB"/>
    <w:rsid w:val="00F86A63"/>
    <w:rsid w:val="00F92A99"/>
    <w:rsid w:val="00F96201"/>
    <w:rsid w:val="00FC18FA"/>
    <w:rsid w:val="00FC30E9"/>
    <w:rsid w:val="00FD0B18"/>
    <w:rsid w:val="00FD0F82"/>
    <w:rsid w:val="00FE714F"/>
    <w:rsid w:val="00FF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7CDB9F"/>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5BD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D1107F"/>
    <w:pPr>
      <w:widowControl w:val="0"/>
      <w:pBdr>
        <w:bottom w:val="single" w:sz="6" w:space="1" w:color="auto"/>
      </w:pBdr>
      <w:spacing w:before="360" w:after="240"/>
      <w:outlineLvl w:val="0"/>
    </w:pPr>
    <w:rPr>
      <w:b/>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712B0D"/>
    <w:rPr>
      <w:vertAlign w:val="superscript"/>
    </w:rPr>
  </w:style>
  <w:style w:type="paragraph" w:customStyle="1" w:styleId="Footnote">
    <w:name w:val="Footnote"/>
    <w:basedOn w:val="FootnoteText"/>
    <w:link w:val="FootnoteChar"/>
    <w:qFormat/>
    <w:rsid w:val="00712B0D"/>
    <w:pPr>
      <w:jc w:val="both"/>
    </w:pPr>
    <w:rPr>
      <w:rFonts w:ascii="Arial" w:hAnsi="Arial" w:cs="Arial"/>
      <w:sz w:val="17"/>
      <w:szCs w:val="17"/>
    </w:rPr>
  </w:style>
  <w:style w:type="character" w:customStyle="1" w:styleId="FootnoteChar">
    <w:name w:val="Footnote Char"/>
    <w:basedOn w:val="FootnoteTextChar"/>
    <w:link w:val="Footnote"/>
    <w:rsid w:val="00712B0D"/>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DocumentMap">
    <w:name w:val="Document Map"/>
    <w:basedOn w:val="Normal"/>
    <w:link w:val="DocumentMapChar"/>
    <w:uiPriority w:val="99"/>
    <w:semiHidden/>
    <w:unhideWhenUsed/>
    <w:rsid w:val="00A85BD3"/>
    <w:rPr>
      <w:sz w:val="24"/>
      <w:szCs w:val="24"/>
    </w:rPr>
  </w:style>
  <w:style w:type="character" w:customStyle="1" w:styleId="DocumentMapChar">
    <w:name w:val="Document Map Char"/>
    <w:basedOn w:val="DefaultParagraphFont"/>
    <w:link w:val="DocumentMap"/>
    <w:uiPriority w:val="99"/>
    <w:semiHidden/>
    <w:rsid w:val="00A85BD3"/>
    <w:rPr>
      <w:rFonts w:ascii="Times New Roman" w:eastAsia="Times New Roman" w:hAnsi="Times New Roman" w:cs="Times New Roman"/>
      <w:sz w:val="24"/>
      <w:szCs w:val="24"/>
      <w:lang w:val="en-GB"/>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rsid w:val="00D1107F"/>
    <w:rPr>
      <w:rFonts w:ascii="Times New Roman" w:eastAsia="Times New Roman" w:hAnsi="Times New Roman" w:cs="Times New Roman"/>
      <w:b/>
      <w:lang w:val="en-CA"/>
    </w:rPr>
  </w:style>
  <w:style w:type="paragraph" w:styleId="Caption">
    <w:name w:val="caption"/>
    <w:basedOn w:val="Normal"/>
    <w:next w:val="Normal"/>
    <w:rsid w:val="00D1107F"/>
    <w:pPr>
      <w:keepNext/>
      <w:widowControl w:val="0"/>
      <w:spacing w:after="120"/>
    </w:pPr>
    <w:rPr>
      <w:b/>
      <w:bCs/>
      <w:sz w:val="22"/>
      <w:szCs w:val="18"/>
      <w:lang w:val="en-CA"/>
    </w:rPr>
  </w:style>
  <w:style w:type="paragraph" w:customStyle="1" w:styleId="Default">
    <w:name w:val="Default"/>
    <w:rsid w:val="00D1107F"/>
    <w:pPr>
      <w:autoSpaceDE w:val="0"/>
      <w:autoSpaceDN w:val="0"/>
      <w:adjustRightInd w:val="0"/>
      <w:spacing w:after="0" w:line="240" w:lineRule="auto"/>
    </w:pPr>
    <w:rPr>
      <w:rFonts w:ascii="Times New Roman" w:eastAsia="Times New Roman" w:hAnsi="Times New Roman" w:cs="Times New Roman"/>
      <w:color w:val="000000"/>
      <w:sz w:val="24"/>
      <w:szCs w:val="24"/>
      <w:lang w:val="en-CA" w:eastAsia="en-CA"/>
    </w:rPr>
  </w:style>
  <w:style w:type="paragraph" w:styleId="NoSpacing">
    <w:name w:val="No Spacing"/>
    <w:uiPriority w:val="1"/>
    <w:rsid w:val="00D1107F"/>
    <w:pPr>
      <w:spacing w:after="0" w:line="240" w:lineRule="auto"/>
    </w:pPr>
  </w:style>
  <w:style w:type="paragraph" w:customStyle="1" w:styleId="Style11pt">
    <w:name w:val="Style 11 pt"/>
    <w:basedOn w:val="Normal"/>
    <w:link w:val="Style11ptChar"/>
    <w:rsid w:val="00B97234"/>
    <w:pPr>
      <w:widowControl w:val="0"/>
      <w:ind w:firstLine="720"/>
    </w:pPr>
    <w:rPr>
      <w:rFonts w:eastAsia="MS Mincho"/>
      <w:sz w:val="22"/>
      <w:szCs w:val="24"/>
      <w:lang w:val="en-CA" w:eastAsia="ja-JP"/>
    </w:rPr>
  </w:style>
  <w:style w:type="character" w:customStyle="1" w:styleId="Style11ptChar">
    <w:name w:val="Style 11 pt Char"/>
    <w:basedOn w:val="DefaultParagraphFont"/>
    <w:link w:val="Style11pt"/>
    <w:rsid w:val="00B97234"/>
    <w:rPr>
      <w:rFonts w:ascii="Times New Roman" w:eastAsia="MS Mincho" w:hAnsi="Times New Roman" w:cs="Times New Roman"/>
      <w:szCs w:val="24"/>
      <w:lang w:val="en-CA" w:eastAsia="ja-JP"/>
    </w:rPr>
  </w:style>
  <w:style w:type="character" w:styleId="FollowedHyperlink">
    <w:name w:val="FollowedHyperlink"/>
    <w:basedOn w:val="DefaultParagraphFont"/>
    <w:uiPriority w:val="99"/>
    <w:semiHidden/>
    <w:unhideWhenUsed/>
    <w:rsid w:val="00A135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98635">
      <w:bodyDiv w:val="1"/>
      <w:marLeft w:val="0"/>
      <w:marRight w:val="0"/>
      <w:marTop w:val="0"/>
      <w:marBottom w:val="0"/>
      <w:divBdr>
        <w:top w:val="none" w:sz="0" w:space="0" w:color="auto"/>
        <w:left w:val="none" w:sz="0" w:space="0" w:color="auto"/>
        <w:bottom w:val="none" w:sz="0" w:space="0" w:color="auto"/>
        <w:right w:val="none" w:sz="0" w:space="0" w:color="auto"/>
      </w:divBdr>
      <w:divsChild>
        <w:div w:id="1207719479">
          <w:marLeft w:val="0"/>
          <w:marRight w:val="0"/>
          <w:marTop w:val="0"/>
          <w:marBottom w:val="0"/>
          <w:divBdr>
            <w:top w:val="none" w:sz="0" w:space="0" w:color="auto"/>
            <w:left w:val="none" w:sz="0" w:space="0" w:color="auto"/>
            <w:bottom w:val="none" w:sz="0" w:space="0" w:color="auto"/>
            <w:right w:val="none" w:sz="0" w:space="0" w:color="auto"/>
          </w:divBdr>
          <w:divsChild>
            <w:div w:id="391470852">
              <w:marLeft w:val="0"/>
              <w:marRight w:val="0"/>
              <w:marTop w:val="0"/>
              <w:marBottom w:val="0"/>
              <w:divBdr>
                <w:top w:val="none" w:sz="0" w:space="0" w:color="auto"/>
                <w:left w:val="none" w:sz="0" w:space="0" w:color="auto"/>
                <w:bottom w:val="none" w:sz="0" w:space="0" w:color="auto"/>
                <w:right w:val="none" w:sz="0" w:space="0" w:color="auto"/>
              </w:divBdr>
              <w:divsChild>
                <w:div w:id="18579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6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yperlink" Target="http://www.iveycases.com"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4.xml"/><Relationship Id="rId22" Type="http://schemas.openxmlformats.org/officeDocument/2006/relationships/header" Target="header7.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A25CC3-E8C8-4E23-A893-E2F077747DF6}" type="doc">
      <dgm:prSet loTypeId="urn:microsoft.com/office/officeart/2005/8/layout/hierarchy3" loCatId="hierarchy" qsTypeId="urn:microsoft.com/office/officeart/2005/8/quickstyle/simple1" qsCatId="simple" csTypeId="urn:microsoft.com/office/officeart/2005/8/colors/accent0_1" csCatId="mainScheme" phldr="1"/>
      <dgm:spPr/>
      <dgm:t>
        <a:bodyPr/>
        <a:lstStyle/>
        <a:p>
          <a:endParaRPr lang="en-US"/>
        </a:p>
      </dgm:t>
    </dgm:pt>
    <dgm:pt modelId="{A4813B0E-8777-4196-8AB4-FEE2E55F2579}">
      <dgm:prSet phldrT="[Text]"/>
      <dgm:spPr>
        <a:xfrm>
          <a:off x="933549" y="734425"/>
          <a:ext cx="726416" cy="838268"/>
        </a:xfrm>
      </dgm:spPr>
      <dgm:t>
        <a:bodyPr/>
        <a:lstStyle/>
        <a:p>
          <a:r>
            <a:rPr lang="en-US" b="1" dirty="0" smtClean="0">
              <a:latin typeface="Arial" panose="020B0604020202020204" pitchFamily="34" charset="0"/>
              <a:cs typeface="Arial" panose="020B0604020202020204" pitchFamily="34" charset="0"/>
            </a:rPr>
            <a:t>Ministry of Public Works and Transport (MTPTC)</a:t>
          </a:r>
        </a:p>
        <a:p>
          <a:r>
            <a:rPr lang="en-US" dirty="0" smtClean="0">
              <a:latin typeface="Arial" panose="020B0604020202020204" pitchFamily="34" charset="0"/>
              <a:cs typeface="Arial" panose="020B0604020202020204" pitchFamily="34" charset="0"/>
            </a:rPr>
            <a:t>Energy policy and regulation</a:t>
          </a:r>
          <a:endParaRPr lang="en-US" dirty="0">
            <a:latin typeface="Arial" panose="020B0604020202020204" pitchFamily="34" charset="0"/>
            <a:cs typeface="Arial" panose="020B0604020202020204" pitchFamily="34" charset="0"/>
          </a:endParaRPr>
        </a:p>
      </dgm:t>
    </dgm:pt>
    <dgm:pt modelId="{64D3EDC1-1EE9-49EB-B9F0-382643F7CA23}" type="parTrans" cxnId="{A6B4BB7A-26DA-493B-A827-CA23806C3048}">
      <dgm:prSet/>
      <dgm:spPr/>
      <dgm:t>
        <a:bodyPr/>
        <a:lstStyle/>
        <a:p>
          <a:endParaRPr lang="en-US"/>
        </a:p>
      </dgm:t>
    </dgm:pt>
    <dgm:pt modelId="{98381CBA-69B7-42F9-A661-E059098E1E09}" type="sibTrans" cxnId="{A6B4BB7A-26DA-493B-A827-CA23806C3048}">
      <dgm:prSet/>
      <dgm:spPr/>
      <dgm:t>
        <a:bodyPr/>
        <a:lstStyle/>
        <a:p>
          <a:endParaRPr lang="en-US"/>
        </a:p>
      </dgm:t>
    </dgm:pt>
    <dgm:pt modelId="{D1928B4C-C9F9-410A-A255-8A6C69A038DD}">
      <dgm:prSet phldrT="[Text]"/>
      <dgm:spPr>
        <a:xfrm>
          <a:off x="1796830" y="734425"/>
          <a:ext cx="726416" cy="838186"/>
        </a:xfrm>
      </dgm:spPr>
      <dgm:t>
        <a:bodyPr/>
        <a:lstStyle/>
        <a:p>
          <a:r>
            <a:rPr lang="en-US" b="1" dirty="0" smtClean="0">
              <a:latin typeface="Arial" panose="020B0604020202020204" pitchFamily="34" charset="0"/>
              <a:cs typeface="Arial" panose="020B0604020202020204" pitchFamily="34" charset="0"/>
            </a:rPr>
            <a:t>Ministry of Commerce and Industry</a:t>
          </a:r>
        </a:p>
        <a:p>
          <a:r>
            <a:rPr lang="en-US" dirty="0" smtClean="0">
              <a:latin typeface="Arial" panose="020B0604020202020204" pitchFamily="34" charset="0"/>
              <a:cs typeface="Arial" panose="020B0604020202020204" pitchFamily="34" charset="0"/>
            </a:rPr>
            <a:t>Petroleum products</a:t>
          </a:r>
          <a:endParaRPr lang="en-US" dirty="0">
            <a:latin typeface="Arial" panose="020B0604020202020204" pitchFamily="34" charset="0"/>
            <a:cs typeface="Arial" panose="020B0604020202020204" pitchFamily="34" charset="0"/>
          </a:endParaRPr>
        </a:p>
      </dgm:t>
    </dgm:pt>
    <dgm:pt modelId="{114877FE-4F40-4F26-87B7-AE3BEB0BB3F0}" type="parTrans" cxnId="{C1101252-75F5-4AE3-BDCD-C1BDE1C64283}">
      <dgm:prSet/>
      <dgm:spPr/>
      <dgm:t>
        <a:bodyPr/>
        <a:lstStyle/>
        <a:p>
          <a:endParaRPr lang="en-US"/>
        </a:p>
      </dgm:t>
    </dgm:pt>
    <dgm:pt modelId="{3C08306E-41F9-4D7D-BFB0-D7527CC0EAC9}" type="sibTrans" cxnId="{C1101252-75F5-4AE3-BDCD-C1BDE1C64283}">
      <dgm:prSet/>
      <dgm:spPr/>
      <dgm:t>
        <a:bodyPr/>
        <a:lstStyle/>
        <a:p>
          <a:endParaRPr lang="en-US"/>
        </a:p>
      </dgm:t>
    </dgm:pt>
    <dgm:pt modelId="{76EBDE8F-7A30-416A-9486-9CB348A5EF9B}">
      <dgm:prSet phldrT="[Text]">
        <dgm:style>
          <a:lnRef idx="2">
            <a:schemeClr val="dk1"/>
          </a:lnRef>
          <a:fillRef idx="1">
            <a:schemeClr val="lt1"/>
          </a:fillRef>
          <a:effectRef idx="0">
            <a:schemeClr val="dk1"/>
          </a:effectRef>
          <a:fontRef idx="minor">
            <a:schemeClr val="dk1"/>
          </a:fontRef>
        </dgm:style>
      </dgm:prSet>
      <dgm:spPr>
        <a:xfrm>
          <a:off x="190860" y="1821879"/>
          <a:ext cx="726416" cy="838186"/>
        </a:xfrm>
      </dgm:spPr>
      <dgm:t>
        <a:bodyPr/>
        <a:lstStyle/>
        <a:p>
          <a:r>
            <a:rPr lang="en-US" b="1" dirty="0" smtClean="0">
              <a:latin typeface="Arial" charset="0"/>
              <a:ea typeface="Arial" charset="0"/>
              <a:cs typeface="Arial" charset="0"/>
            </a:rPr>
            <a:t>Minister Jean-Jumeau</a:t>
          </a:r>
        </a:p>
        <a:p>
          <a:r>
            <a:rPr lang="en-US" b="1" dirty="0" smtClean="0">
              <a:latin typeface="Arial" charset="0"/>
              <a:ea typeface="Arial" charset="0"/>
              <a:cs typeface="Arial" charset="0"/>
            </a:rPr>
            <a:t>Minister Delegate, Department of Energy Security (BMSE)</a:t>
          </a:r>
        </a:p>
        <a:p>
          <a:r>
            <a:rPr lang="en-US" dirty="0" smtClean="0">
              <a:latin typeface="Arial" charset="0"/>
              <a:ea typeface="Arial" charset="0"/>
              <a:cs typeface="Arial" charset="0"/>
            </a:rPr>
            <a:t>Energy policy and regulation</a:t>
          </a:r>
          <a:endParaRPr lang="en-US" dirty="0">
            <a:latin typeface="Arial" charset="0"/>
            <a:ea typeface="Arial" charset="0"/>
            <a:cs typeface="Arial" charset="0"/>
          </a:endParaRPr>
        </a:p>
      </dgm:t>
    </dgm:pt>
    <dgm:pt modelId="{C89E9A6B-013E-4BBC-9443-2AECAC28E9BD}" type="parTrans" cxnId="{E54D8A81-2886-47E3-85EE-0D16C23CB2DC}">
      <dgm:prSet/>
      <dgm:spPr>
        <a:xfrm>
          <a:off x="485636" y="1507683"/>
          <a:ext cx="742689" cy="249184"/>
        </a:xfrm>
      </dgm:spPr>
      <dgm:t>
        <a:bodyPr/>
        <a:lstStyle/>
        <a:p>
          <a:endParaRPr lang="en-US"/>
        </a:p>
      </dgm:t>
    </dgm:pt>
    <dgm:pt modelId="{7C0E6BC2-7C27-4CC8-9460-03E1B2FA86E2}" type="sibTrans" cxnId="{E54D8A81-2886-47E3-85EE-0D16C23CB2DC}">
      <dgm:prSet/>
      <dgm:spPr/>
      <dgm:t>
        <a:bodyPr/>
        <a:lstStyle/>
        <a:p>
          <a:endParaRPr lang="en-US"/>
        </a:p>
      </dgm:t>
    </dgm:pt>
    <dgm:pt modelId="{6D230A4F-EEF3-47F5-843A-48128B6F6818}">
      <dgm:prSet phldrT="[Text]"/>
      <dgm:spPr>
        <a:xfrm>
          <a:off x="3523391" y="734425"/>
          <a:ext cx="726416" cy="838186"/>
        </a:xfrm>
      </dgm:spPr>
      <dgm:t>
        <a:bodyPr/>
        <a:lstStyle/>
        <a:p>
          <a:r>
            <a:rPr lang="en-US" b="1" dirty="0" smtClean="0">
              <a:latin typeface="Arial" panose="020B0604020202020204" pitchFamily="34" charset="0"/>
              <a:cs typeface="Arial" panose="020B0604020202020204" pitchFamily="34" charset="0"/>
            </a:rPr>
            <a:t>Ministry of the Environment</a:t>
          </a:r>
        </a:p>
        <a:p>
          <a:r>
            <a:rPr lang="en-US" dirty="0" smtClean="0">
              <a:latin typeface="Arial" panose="020B0604020202020204" pitchFamily="34" charset="0"/>
              <a:cs typeface="Arial" panose="020B0604020202020204" pitchFamily="34" charset="0"/>
            </a:rPr>
            <a:t>Protected areas</a:t>
          </a:r>
          <a:endParaRPr lang="en-US" dirty="0">
            <a:latin typeface="Arial" panose="020B0604020202020204" pitchFamily="34" charset="0"/>
            <a:cs typeface="Arial" panose="020B0604020202020204" pitchFamily="34" charset="0"/>
          </a:endParaRPr>
        </a:p>
      </dgm:t>
    </dgm:pt>
    <dgm:pt modelId="{4D90334E-D073-4A0D-B9D5-B685A839DDEB}" type="parTrans" cxnId="{612A085E-81E7-42DF-AD00-CFB514794CFC}">
      <dgm:prSet/>
      <dgm:spPr/>
      <dgm:t>
        <a:bodyPr/>
        <a:lstStyle/>
        <a:p>
          <a:endParaRPr lang="en-US"/>
        </a:p>
      </dgm:t>
    </dgm:pt>
    <dgm:pt modelId="{CF1A863B-F269-4534-80B4-5B6020129DFA}" type="sibTrans" cxnId="{612A085E-81E7-42DF-AD00-CFB514794CFC}">
      <dgm:prSet/>
      <dgm:spPr/>
      <dgm:t>
        <a:bodyPr/>
        <a:lstStyle/>
        <a:p>
          <a:endParaRPr lang="en-US"/>
        </a:p>
      </dgm:t>
    </dgm:pt>
    <dgm:pt modelId="{3380E5F6-F289-4103-8F8A-373DEC30EA47}">
      <dgm:prSet phldrT="[Text]"/>
      <dgm:spPr>
        <a:xfrm>
          <a:off x="4386671" y="734425"/>
          <a:ext cx="726416" cy="838186"/>
        </a:xfrm>
      </dgm:spPr>
      <dgm:t>
        <a:bodyPr/>
        <a:lstStyle/>
        <a:p>
          <a:r>
            <a:rPr lang="en-US" b="1" dirty="0" smtClean="0">
              <a:latin typeface="Arial" panose="020B0604020202020204" pitchFamily="34" charset="0"/>
              <a:cs typeface="Arial" panose="020B0604020202020204" pitchFamily="34" charset="0"/>
            </a:rPr>
            <a:t>Ministry of Economy   and Finance</a:t>
          </a:r>
        </a:p>
        <a:p>
          <a:r>
            <a:rPr lang="en-US" dirty="0" smtClean="0">
              <a:latin typeface="Arial" panose="020B0604020202020204" pitchFamily="34" charset="0"/>
              <a:cs typeface="Arial" panose="020B0604020202020204" pitchFamily="34" charset="0"/>
            </a:rPr>
            <a:t>Funding for the energy sector and covered payments that EDH could not make (i.e., $200M subsidy)</a:t>
          </a:r>
          <a:endParaRPr lang="en-US" dirty="0">
            <a:latin typeface="Arial" panose="020B0604020202020204" pitchFamily="34" charset="0"/>
            <a:cs typeface="Arial" panose="020B0604020202020204" pitchFamily="34" charset="0"/>
          </a:endParaRPr>
        </a:p>
      </dgm:t>
    </dgm:pt>
    <dgm:pt modelId="{5FD46266-ADD4-40AF-81AA-B99070D79B5E}" type="parTrans" cxnId="{EA17AC05-35C4-43A1-87E9-F4C574BAF634}">
      <dgm:prSet/>
      <dgm:spPr/>
      <dgm:t>
        <a:bodyPr/>
        <a:lstStyle/>
        <a:p>
          <a:endParaRPr lang="en-US"/>
        </a:p>
      </dgm:t>
    </dgm:pt>
    <dgm:pt modelId="{5BD72929-B64F-4F91-9CA0-4238DFF89D64}" type="sibTrans" cxnId="{EA17AC05-35C4-43A1-87E9-F4C574BAF634}">
      <dgm:prSet/>
      <dgm:spPr/>
      <dgm:t>
        <a:bodyPr/>
        <a:lstStyle/>
        <a:p>
          <a:endParaRPr lang="en-US"/>
        </a:p>
      </dgm:t>
    </dgm:pt>
    <dgm:pt modelId="{C9F0FD34-4CA0-4C9D-9064-B57B4BE6A6F3}">
      <dgm:prSet phldrT="[Text]">
        <dgm:style>
          <a:lnRef idx="2">
            <a:schemeClr val="dk1"/>
          </a:lnRef>
          <a:fillRef idx="1">
            <a:schemeClr val="lt1"/>
          </a:fillRef>
          <a:effectRef idx="0">
            <a:schemeClr val="dk1"/>
          </a:effectRef>
          <a:fontRef idx="minor">
            <a:schemeClr val="dk1"/>
          </a:fontRef>
        </dgm:style>
      </dgm:prSet>
      <dgm:spPr>
        <a:xfrm>
          <a:off x="2446937" y="1821879"/>
          <a:ext cx="726416" cy="838186"/>
        </a:xfrm>
      </dgm:spPr>
      <dgm:t>
        <a:bodyPr/>
        <a:lstStyle/>
        <a:p>
          <a:r>
            <a:rPr lang="en-US" b="1" dirty="0" err="1" smtClean="0">
              <a:latin typeface="Arial" charset="0"/>
              <a:ea typeface="Arial" charset="0"/>
              <a:cs typeface="Arial" charset="0"/>
            </a:rPr>
            <a:t>Électricité</a:t>
          </a:r>
          <a:r>
            <a:rPr lang="en-US" b="1" dirty="0" smtClean="0">
              <a:latin typeface="Arial" charset="0"/>
              <a:ea typeface="Arial" charset="0"/>
              <a:cs typeface="Arial" charset="0"/>
            </a:rPr>
            <a:t> </a:t>
          </a:r>
          <a:r>
            <a:rPr lang="en-US" b="1" dirty="0" err="1" smtClean="0">
              <a:latin typeface="Arial" charset="0"/>
              <a:ea typeface="Arial" charset="0"/>
              <a:cs typeface="Arial" charset="0"/>
            </a:rPr>
            <a:t>d’Haïti</a:t>
          </a:r>
          <a:endParaRPr lang="en-US" b="1" dirty="0" smtClean="0">
            <a:latin typeface="Arial" charset="0"/>
            <a:ea typeface="Arial" charset="0"/>
            <a:cs typeface="Arial" charset="0"/>
          </a:endParaRPr>
        </a:p>
        <a:p>
          <a:r>
            <a:rPr lang="en-US" dirty="0" smtClean="0">
              <a:latin typeface="Arial" charset="0"/>
              <a:ea typeface="Arial" charset="0"/>
              <a:cs typeface="Arial" charset="0"/>
            </a:rPr>
            <a:t>State-owned electric monopoly. Minister of MTPTC was chairman of EDH's board of directors.</a:t>
          </a:r>
          <a:endParaRPr lang="en-US" dirty="0">
            <a:latin typeface="Arial" charset="0"/>
            <a:ea typeface="Arial" charset="0"/>
            <a:cs typeface="Arial" charset="0"/>
          </a:endParaRPr>
        </a:p>
      </dgm:t>
    </dgm:pt>
    <dgm:pt modelId="{23B78FA4-02F9-4242-A5EC-E02ADBC27929}" type="parTrans" cxnId="{8FA90B67-1896-4866-B1C1-48D926D53C85}">
      <dgm:prSet/>
      <dgm:spPr/>
      <dgm:t>
        <a:bodyPr/>
        <a:lstStyle/>
        <a:p>
          <a:endParaRPr lang="en-US"/>
        </a:p>
      </dgm:t>
    </dgm:pt>
    <dgm:pt modelId="{9CE2A460-8AC1-4C91-82E7-A1A08C5BA8AA}" type="sibTrans" cxnId="{8FA90B67-1896-4866-B1C1-48D926D53C85}">
      <dgm:prSet/>
      <dgm:spPr/>
      <dgm:t>
        <a:bodyPr/>
        <a:lstStyle/>
        <a:p>
          <a:endParaRPr lang="en-US"/>
        </a:p>
      </dgm:t>
    </dgm:pt>
    <dgm:pt modelId="{691FB8BF-9DDD-4205-81DF-8F5B8F76183E}">
      <dgm:prSet phldrT="[Text]">
        <dgm:style>
          <a:lnRef idx="2">
            <a:schemeClr val="dk1"/>
          </a:lnRef>
          <a:fillRef idx="1">
            <a:schemeClr val="lt1"/>
          </a:fillRef>
          <a:effectRef idx="0">
            <a:schemeClr val="dk1"/>
          </a:effectRef>
          <a:fontRef idx="minor">
            <a:schemeClr val="dk1"/>
          </a:fontRef>
        </dgm:style>
      </dgm:prSet>
      <dgm:spPr>
        <a:xfrm>
          <a:off x="1415889" y="1821879"/>
          <a:ext cx="726416" cy="838186"/>
        </a:xfrm>
      </dgm:spPr>
      <dgm:t>
        <a:bodyPr/>
        <a:lstStyle/>
        <a:p>
          <a:r>
            <a:rPr lang="en-US" b="1" dirty="0" smtClean="0">
              <a:latin typeface="Arial" charset="0"/>
              <a:ea typeface="Arial" charset="0"/>
              <a:cs typeface="Arial" charset="0"/>
            </a:rPr>
            <a:t>Bureau of Mines and Energy</a:t>
          </a:r>
        </a:p>
        <a:p>
          <a:r>
            <a:rPr lang="en-US" dirty="0" smtClean="0">
              <a:latin typeface="Arial" charset="0"/>
              <a:ea typeface="Arial" charset="0"/>
              <a:cs typeface="Arial" charset="0"/>
            </a:rPr>
            <a:t>Formerly energy policy and regulation; continued limited involvement after establishment of BMSE</a:t>
          </a:r>
          <a:endParaRPr lang="en-US" dirty="0">
            <a:latin typeface="Arial" charset="0"/>
            <a:ea typeface="Arial" charset="0"/>
            <a:cs typeface="Arial" charset="0"/>
          </a:endParaRPr>
        </a:p>
      </dgm:t>
    </dgm:pt>
    <dgm:pt modelId="{A3AE6B9E-A173-4564-A648-059C4C621016}" type="parTrans" cxnId="{99F7EBDE-35CB-42BC-AC1E-BECAD6AC76E8}">
      <dgm:prSet/>
      <dgm:spPr/>
      <dgm:t>
        <a:bodyPr/>
        <a:lstStyle/>
        <a:p>
          <a:endParaRPr lang="en-US"/>
        </a:p>
      </dgm:t>
    </dgm:pt>
    <dgm:pt modelId="{E18CAC28-93B7-4D58-AFFB-DE2CF0CF9664}" type="sibTrans" cxnId="{99F7EBDE-35CB-42BC-AC1E-BECAD6AC76E8}">
      <dgm:prSet/>
      <dgm:spPr/>
      <dgm:t>
        <a:bodyPr/>
        <a:lstStyle/>
        <a:p>
          <a:endParaRPr lang="en-US"/>
        </a:p>
      </dgm:t>
    </dgm:pt>
    <dgm:pt modelId="{948A83F6-25A9-43B5-9F39-5B042AEB2D11}" type="pres">
      <dgm:prSet presAssocID="{52A25CC3-E8C8-4E23-A893-E2F077747DF6}" presName="diagram" presStyleCnt="0">
        <dgm:presLayoutVars>
          <dgm:chPref val="1"/>
          <dgm:dir/>
          <dgm:animOne val="branch"/>
          <dgm:animLvl val="lvl"/>
          <dgm:resizeHandles/>
        </dgm:presLayoutVars>
      </dgm:prSet>
      <dgm:spPr/>
      <dgm:t>
        <a:bodyPr/>
        <a:lstStyle/>
        <a:p>
          <a:endParaRPr lang="en-US"/>
        </a:p>
      </dgm:t>
    </dgm:pt>
    <dgm:pt modelId="{E076A4B2-F541-4E7A-AF48-C67710F91912}" type="pres">
      <dgm:prSet presAssocID="{A4813B0E-8777-4196-8AB4-FEE2E55F2579}" presName="root" presStyleCnt="0"/>
      <dgm:spPr/>
      <dgm:t>
        <a:bodyPr/>
        <a:lstStyle/>
        <a:p>
          <a:endParaRPr lang="en-CA"/>
        </a:p>
      </dgm:t>
    </dgm:pt>
    <dgm:pt modelId="{DD9902A3-0CD2-4EDC-BA06-3F0BB2143B31}" type="pres">
      <dgm:prSet presAssocID="{A4813B0E-8777-4196-8AB4-FEE2E55F2579}" presName="rootComposite" presStyleCnt="0"/>
      <dgm:spPr/>
      <dgm:t>
        <a:bodyPr/>
        <a:lstStyle/>
        <a:p>
          <a:endParaRPr lang="en-CA"/>
        </a:p>
      </dgm:t>
    </dgm:pt>
    <dgm:pt modelId="{09BD0F1A-2AF6-4B48-B0AD-598E4F1E07BC}" type="pres">
      <dgm:prSet presAssocID="{A4813B0E-8777-4196-8AB4-FEE2E55F2579}" presName="rootText" presStyleLbl="node1" presStyleIdx="0" presStyleCnt="4" custScaleX="177156" custScaleY="280011"/>
      <dgm:spPr/>
      <dgm:t>
        <a:bodyPr/>
        <a:lstStyle/>
        <a:p>
          <a:endParaRPr lang="en-US"/>
        </a:p>
      </dgm:t>
    </dgm:pt>
    <dgm:pt modelId="{790863A6-FC97-45D9-85CE-1807B71F24BF}" type="pres">
      <dgm:prSet presAssocID="{A4813B0E-8777-4196-8AB4-FEE2E55F2579}" presName="rootConnector" presStyleLbl="node1" presStyleIdx="0" presStyleCnt="4"/>
      <dgm:spPr/>
      <dgm:t>
        <a:bodyPr/>
        <a:lstStyle/>
        <a:p>
          <a:endParaRPr lang="en-US"/>
        </a:p>
      </dgm:t>
    </dgm:pt>
    <dgm:pt modelId="{1FE73303-F32B-4277-9E5A-F779D700789A}" type="pres">
      <dgm:prSet presAssocID="{A4813B0E-8777-4196-8AB4-FEE2E55F2579}" presName="childShape" presStyleCnt="0"/>
      <dgm:spPr/>
      <dgm:t>
        <a:bodyPr/>
        <a:lstStyle/>
        <a:p>
          <a:endParaRPr lang="en-CA"/>
        </a:p>
      </dgm:t>
    </dgm:pt>
    <dgm:pt modelId="{53D2F01C-0421-488C-B6AD-B51AE88E1F54}" type="pres">
      <dgm:prSet presAssocID="{C89E9A6B-013E-4BBC-9443-2AECAC28E9BD}" presName="Name13" presStyleLbl="parChTrans1D2" presStyleIdx="0" presStyleCnt="3"/>
      <dgm:spPr/>
      <dgm:t>
        <a:bodyPr/>
        <a:lstStyle/>
        <a:p>
          <a:endParaRPr lang="en-US"/>
        </a:p>
      </dgm:t>
    </dgm:pt>
    <dgm:pt modelId="{A7237845-16E0-4D73-93B5-3E5A6B31F5D7}" type="pres">
      <dgm:prSet presAssocID="{76EBDE8F-7A30-416A-9486-9CB348A5EF9B}" presName="childText" presStyleLbl="bgAcc1" presStyleIdx="0" presStyleCnt="3" custScaleX="566562" custScaleY="177156">
        <dgm:presLayoutVars>
          <dgm:bulletEnabled val="1"/>
        </dgm:presLayoutVars>
      </dgm:prSet>
      <dgm:spPr/>
      <dgm:t>
        <a:bodyPr/>
        <a:lstStyle/>
        <a:p>
          <a:endParaRPr lang="en-US"/>
        </a:p>
      </dgm:t>
    </dgm:pt>
    <dgm:pt modelId="{F7F191DA-49BC-42F3-A27E-96347424A44A}" type="pres">
      <dgm:prSet presAssocID="{23B78FA4-02F9-4242-A5EC-E02ADBC27929}" presName="Name13" presStyleLbl="parChTrans1D2" presStyleIdx="1" presStyleCnt="3"/>
      <dgm:spPr/>
      <dgm:t>
        <a:bodyPr/>
        <a:lstStyle/>
        <a:p>
          <a:endParaRPr lang="en-US"/>
        </a:p>
      </dgm:t>
    </dgm:pt>
    <dgm:pt modelId="{4D15AC45-015C-42B2-920B-73FE9452C87D}" type="pres">
      <dgm:prSet presAssocID="{C9F0FD34-4CA0-4C9D-9064-B57B4BE6A6F3}" presName="childText" presStyleLbl="bgAcc1" presStyleIdx="1" presStyleCnt="3" custScaleX="566562" custScaleY="177156">
        <dgm:presLayoutVars>
          <dgm:bulletEnabled val="1"/>
        </dgm:presLayoutVars>
      </dgm:prSet>
      <dgm:spPr/>
      <dgm:t>
        <a:bodyPr/>
        <a:lstStyle/>
        <a:p>
          <a:endParaRPr lang="en-US"/>
        </a:p>
      </dgm:t>
    </dgm:pt>
    <dgm:pt modelId="{7E6A1960-CEAD-4427-A456-4126F6068EB1}" type="pres">
      <dgm:prSet presAssocID="{A3AE6B9E-A173-4564-A648-059C4C621016}" presName="Name13" presStyleLbl="parChTrans1D2" presStyleIdx="2" presStyleCnt="3"/>
      <dgm:spPr/>
      <dgm:t>
        <a:bodyPr/>
        <a:lstStyle/>
        <a:p>
          <a:endParaRPr lang="en-US"/>
        </a:p>
      </dgm:t>
    </dgm:pt>
    <dgm:pt modelId="{5EC6EAC6-643F-45FB-A732-8D4F4B4FF2BC}" type="pres">
      <dgm:prSet presAssocID="{691FB8BF-9DDD-4205-81DF-8F5B8F76183E}" presName="childText" presStyleLbl="bgAcc1" presStyleIdx="2" presStyleCnt="3" custScaleX="566562" custScaleY="177156">
        <dgm:presLayoutVars>
          <dgm:bulletEnabled val="1"/>
        </dgm:presLayoutVars>
      </dgm:prSet>
      <dgm:spPr/>
      <dgm:t>
        <a:bodyPr/>
        <a:lstStyle/>
        <a:p>
          <a:endParaRPr lang="en-US"/>
        </a:p>
      </dgm:t>
    </dgm:pt>
    <dgm:pt modelId="{E1E7CD97-27C7-47E7-BF53-3B56C9DBD071}" type="pres">
      <dgm:prSet presAssocID="{D1928B4C-C9F9-410A-A255-8A6C69A038DD}" presName="root" presStyleCnt="0"/>
      <dgm:spPr/>
      <dgm:t>
        <a:bodyPr/>
        <a:lstStyle/>
        <a:p>
          <a:endParaRPr lang="en-CA"/>
        </a:p>
      </dgm:t>
    </dgm:pt>
    <dgm:pt modelId="{42E5343E-E226-4559-B879-F83E287332D1}" type="pres">
      <dgm:prSet presAssocID="{D1928B4C-C9F9-410A-A255-8A6C69A038DD}" presName="rootComposite" presStyleCnt="0"/>
      <dgm:spPr/>
      <dgm:t>
        <a:bodyPr/>
        <a:lstStyle/>
        <a:p>
          <a:endParaRPr lang="en-CA"/>
        </a:p>
      </dgm:t>
    </dgm:pt>
    <dgm:pt modelId="{B30E3BE0-35F2-416F-B108-EB792A780D40}" type="pres">
      <dgm:prSet presAssocID="{D1928B4C-C9F9-410A-A255-8A6C69A038DD}" presName="rootText" presStyleLbl="node1" presStyleIdx="1" presStyleCnt="4" custScaleX="177156" custScaleY="280011"/>
      <dgm:spPr/>
      <dgm:t>
        <a:bodyPr/>
        <a:lstStyle/>
        <a:p>
          <a:endParaRPr lang="en-US"/>
        </a:p>
      </dgm:t>
    </dgm:pt>
    <dgm:pt modelId="{BF31A360-E9D7-437A-B3A1-F60E60BAF67C}" type="pres">
      <dgm:prSet presAssocID="{D1928B4C-C9F9-410A-A255-8A6C69A038DD}" presName="rootConnector" presStyleLbl="node1" presStyleIdx="1" presStyleCnt="4"/>
      <dgm:spPr/>
      <dgm:t>
        <a:bodyPr/>
        <a:lstStyle/>
        <a:p>
          <a:endParaRPr lang="en-US"/>
        </a:p>
      </dgm:t>
    </dgm:pt>
    <dgm:pt modelId="{4647B812-BB3D-451D-A47D-604F594BE7E8}" type="pres">
      <dgm:prSet presAssocID="{D1928B4C-C9F9-410A-A255-8A6C69A038DD}" presName="childShape" presStyleCnt="0"/>
      <dgm:spPr/>
      <dgm:t>
        <a:bodyPr/>
        <a:lstStyle/>
        <a:p>
          <a:endParaRPr lang="en-CA"/>
        </a:p>
      </dgm:t>
    </dgm:pt>
    <dgm:pt modelId="{2C49293C-36BF-4C61-9E31-BADFAF2676BD}" type="pres">
      <dgm:prSet presAssocID="{6D230A4F-EEF3-47F5-843A-48128B6F6818}" presName="root" presStyleCnt="0"/>
      <dgm:spPr/>
      <dgm:t>
        <a:bodyPr/>
        <a:lstStyle/>
        <a:p>
          <a:endParaRPr lang="en-CA"/>
        </a:p>
      </dgm:t>
    </dgm:pt>
    <dgm:pt modelId="{7BAEF48B-35EC-4FD5-8594-43EA80B300C5}" type="pres">
      <dgm:prSet presAssocID="{6D230A4F-EEF3-47F5-843A-48128B6F6818}" presName="rootComposite" presStyleCnt="0"/>
      <dgm:spPr/>
      <dgm:t>
        <a:bodyPr/>
        <a:lstStyle/>
        <a:p>
          <a:endParaRPr lang="en-CA"/>
        </a:p>
      </dgm:t>
    </dgm:pt>
    <dgm:pt modelId="{D5255237-14E8-42A0-8FA2-BFE4AF184D0E}" type="pres">
      <dgm:prSet presAssocID="{6D230A4F-EEF3-47F5-843A-48128B6F6818}" presName="rootText" presStyleLbl="node1" presStyleIdx="2" presStyleCnt="4" custScaleX="177156" custScaleY="280011"/>
      <dgm:spPr/>
      <dgm:t>
        <a:bodyPr/>
        <a:lstStyle/>
        <a:p>
          <a:endParaRPr lang="en-US"/>
        </a:p>
      </dgm:t>
    </dgm:pt>
    <dgm:pt modelId="{D1460E3E-CD7D-4283-A3F8-FB6B318A90DF}" type="pres">
      <dgm:prSet presAssocID="{6D230A4F-EEF3-47F5-843A-48128B6F6818}" presName="rootConnector" presStyleLbl="node1" presStyleIdx="2" presStyleCnt="4"/>
      <dgm:spPr/>
      <dgm:t>
        <a:bodyPr/>
        <a:lstStyle/>
        <a:p>
          <a:endParaRPr lang="en-US"/>
        </a:p>
      </dgm:t>
    </dgm:pt>
    <dgm:pt modelId="{1023A6E0-4DD8-4029-B1BF-F6E472B73E13}" type="pres">
      <dgm:prSet presAssocID="{6D230A4F-EEF3-47F5-843A-48128B6F6818}" presName="childShape" presStyleCnt="0"/>
      <dgm:spPr/>
      <dgm:t>
        <a:bodyPr/>
        <a:lstStyle/>
        <a:p>
          <a:endParaRPr lang="en-CA"/>
        </a:p>
      </dgm:t>
    </dgm:pt>
    <dgm:pt modelId="{F11246A5-8C28-4177-B8AB-F5DDCF631BD0}" type="pres">
      <dgm:prSet presAssocID="{3380E5F6-F289-4103-8F8A-373DEC30EA47}" presName="root" presStyleCnt="0"/>
      <dgm:spPr/>
      <dgm:t>
        <a:bodyPr/>
        <a:lstStyle/>
        <a:p>
          <a:endParaRPr lang="en-CA"/>
        </a:p>
      </dgm:t>
    </dgm:pt>
    <dgm:pt modelId="{6D4951AF-317C-4C37-B3DA-889ADFC3F225}" type="pres">
      <dgm:prSet presAssocID="{3380E5F6-F289-4103-8F8A-373DEC30EA47}" presName="rootComposite" presStyleCnt="0"/>
      <dgm:spPr/>
      <dgm:t>
        <a:bodyPr/>
        <a:lstStyle/>
        <a:p>
          <a:endParaRPr lang="en-CA"/>
        </a:p>
      </dgm:t>
    </dgm:pt>
    <dgm:pt modelId="{B3471D8E-ADC3-4BAB-BB14-BAFF2C85473D}" type="pres">
      <dgm:prSet presAssocID="{3380E5F6-F289-4103-8F8A-373DEC30EA47}" presName="rootText" presStyleLbl="node1" presStyleIdx="3" presStyleCnt="4" custScaleX="177156" custScaleY="280011"/>
      <dgm:spPr/>
      <dgm:t>
        <a:bodyPr/>
        <a:lstStyle/>
        <a:p>
          <a:endParaRPr lang="en-US"/>
        </a:p>
      </dgm:t>
    </dgm:pt>
    <dgm:pt modelId="{D69FEA72-D499-4B36-A75A-2C7F1A19FC5A}" type="pres">
      <dgm:prSet presAssocID="{3380E5F6-F289-4103-8F8A-373DEC30EA47}" presName="rootConnector" presStyleLbl="node1" presStyleIdx="3" presStyleCnt="4"/>
      <dgm:spPr/>
      <dgm:t>
        <a:bodyPr/>
        <a:lstStyle/>
        <a:p>
          <a:endParaRPr lang="en-US"/>
        </a:p>
      </dgm:t>
    </dgm:pt>
    <dgm:pt modelId="{2F622D06-A2BC-4852-83EC-F3A2D341B52C}" type="pres">
      <dgm:prSet presAssocID="{3380E5F6-F289-4103-8F8A-373DEC30EA47}" presName="childShape" presStyleCnt="0"/>
      <dgm:spPr/>
      <dgm:t>
        <a:bodyPr/>
        <a:lstStyle/>
        <a:p>
          <a:endParaRPr lang="en-CA"/>
        </a:p>
      </dgm:t>
    </dgm:pt>
  </dgm:ptLst>
  <dgm:cxnLst>
    <dgm:cxn modelId="{2CF9FB7E-3578-489A-B4A1-77DC6BFC2181}" type="presOf" srcId="{23B78FA4-02F9-4242-A5EC-E02ADBC27929}" destId="{F7F191DA-49BC-42F3-A27E-96347424A44A}" srcOrd="0" destOrd="0" presId="urn:microsoft.com/office/officeart/2005/8/layout/hierarchy3"/>
    <dgm:cxn modelId="{A2F82F0F-FE0B-4B1B-B9D5-244B3AD85216}" type="presOf" srcId="{52A25CC3-E8C8-4E23-A893-E2F077747DF6}" destId="{948A83F6-25A9-43B5-9F39-5B042AEB2D11}" srcOrd="0" destOrd="0" presId="urn:microsoft.com/office/officeart/2005/8/layout/hierarchy3"/>
    <dgm:cxn modelId="{19D0B036-3725-4E82-8034-DCAF9C4CC218}" type="presOf" srcId="{6D230A4F-EEF3-47F5-843A-48128B6F6818}" destId="{D1460E3E-CD7D-4283-A3F8-FB6B318A90DF}" srcOrd="1" destOrd="0" presId="urn:microsoft.com/office/officeart/2005/8/layout/hierarchy3"/>
    <dgm:cxn modelId="{EA17AC05-35C4-43A1-87E9-F4C574BAF634}" srcId="{52A25CC3-E8C8-4E23-A893-E2F077747DF6}" destId="{3380E5F6-F289-4103-8F8A-373DEC30EA47}" srcOrd="3" destOrd="0" parTransId="{5FD46266-ADD4-40AF-81AA-B99070D79B5E}" sibTransId="{5BD72929-B64F-4F91-9CA0-4238DFF89D64}"/>
    <dgm:cxn modelId="{E54D8A81-2886-47E3-85EE-0D16C23CB2DC}" srcId="{A4813B0E-8777-4196-8AB4-FEE2E55F2579}" destId="{76EBDE8F-7A30-416A-9486-9CB348A5EF9B}" srcOrd="0" destOrd="0" parTransId="{C89E9A6B-013E-4BBC-9443-2AECAC28E9BD}" sibTransId="{7C0E6BC2-7C27-4CC8-9460-03E1B2FA86E2}"/>
    <dgm:cxn modelId="{AFE7EF5D-BB3D-4F8D-8BB2-31F89074D5BD}" type="presOf" srcId="{3380E5F6-F289-4103-8F8A-373DEC30EA47}" destId="{D69FEA72-D499-4B36-A75A-2C7F1A19FC5A}" srcOrd="1" destOrd="0" presId="urn:microsoft.com/office/officeart/2005/8/layout/hierarchy3"/>
    <dgm:cxn modelId="{C1101252-75F5-4AE3-BDCD-C1BDE1C64283}" srcId="{52A25CC3-E8C8-4E23-A893-E2F077747DF6}" destId="{D1928B4C-C9F9-410A-A255-8A6C69A038DD}" srcOrd="1" destOrd="0" parTransId="{114877FE-4F40-4F26-87B7-AE3BEB0BB3F0}" sibTransId="{3C08306E-41F9-4D7D-BFB0-D7527CC0EAC9}"/>
    <dgm:cxn modelId="{AFC2ED54-D247-435F-9985-2BAD9525BA83}" type="presOf" srcId="{A3AE6B9E-A173-4564-A648-059C4C621016}" destId="{7E6A1960-CEAD-4427-A456-4126F6068EB1}" srcOrd="0" destOrd="0" presId="urn:microsoft.com/office/officeart/2005/8/layout/hierarchy3"/>
    <dgm:cxn modelId="{27C8F89A-EC7A-4A58-9C53-0AEACFFAE271}" type="presOf" srcId="{691FB8BF-9DDD-4205-81DF-8F5B8F76183E}" destId="{5EC6EAC6-643F-45FB-A732-8D4F4B4FF2BC}" srcOrd="0" destOrd="0" presId="urn:microsoft.com/office/officeart/2005/8/layout/hierarchy3"/>
    <dgm:cxn modelId="{191B564F-9C6C-4D79-BC06-CF8A772A1889}" type="presOf" srcId="{76EBDE8F-7A30-416A-9486-9CB348A5EF9B}" destId="{A7237845-16E0-4D73-93B5-3E5A6B31F5D7}" srcOrd="0" destOrd="0" presId="urn:microsoft.com/office/officeart/2005/8/layout/hierarchy3"/>
    <dgm:cxn modelId="{A6B4BB7A-26DA-493B-A827-CA23806C3048}" srcId="{52A25CC3-E8C8-4E23-A893-E2F077747DF6}" destId="{A4813B0E-8777-4196-8AB4-FEE2E55F2579}" srcOrd="0" destOrd="0" parTransId="{64D3EDC1-1EE9-49EB-B9F0-382643F7CA23}" sibTransId="{98381CBA-69B7-42F9-A661-E059098E1E09}"/>
    <dgm:cxn modelId="{987CBE14-0325-496E-BAAE-FAAEDB8AC671}" type="presOf" srcId="{A4813B0E-8777-4196-8AB4-FEE2E55F2579}" destId="{790863A6-FC97-45D9-85CE-1807B71F24BF}" srcOrd="1" destOrd="0" presId="urn:microsoft.com/office/officeart/2005/8/layout/hierarchy3"/>
    <dgm:cxn modelId="{478BD2CA-31E7-4829-BC21-40282356D9AB}" type="presOf" srcId="{6D230A4F-EEF3-47F5-843A-48128B6F6818}" destId="{D5255237-14E8-42A0-8FA2-BFE4AF184D0E}" srcOrd="0" destOrd="0" presId="urn:microsoft.com/office/officeart/2005/8/layout/hierarchy3"/>
    <dgm:cxn modelId="{B9CAD01F-DBFA-4E39-9A9F-9EE6CA54EAD9}" type="presOf" srcId="{D1928B4C-C9F9-410A-A255-8A6C69A038DD}" destId="{B30E3BE0-35F2-416F-B108-EB792A780D40}" srcOrd="0" destOrd="0" presId="urn:microsoft.com/office/officeart/2005/8/layout/hierarchy3"/>
    <dgm:cxn modelId="{E2C2E384-C294-453B-B3CE-CC04A0F39B61}" type="presOf" srcId="{C89E9A6B-013E-4BBC-9443-2AECAC28E9BD}" destId="{53D2F01C-0421-488C-B6AD-B51AE88E1F54}" srcOrd="0" destOrd="0" presId="urn:microsoft.com/office/officeart/2005/8/layout/hierarchy3"/>
    <dgm:cxn modelId="{C69D0A4F-CB49-4A94-ACD5-A2F3972E407E}" type="presOf" srcId="{C9F0FD34-4CA0-4C9D-9064-B57B4BE6A6F3}" destId="{4D15AC45-015C-42B2-920B-73FE9452C87D}" srcOrd="0" destOrd="0" presId="urn:microsoft.com/office/officeart/2005/8/layout/hierarchy3"/>
    <dgm:cxn modelId="{389A7E84-8A74-4B27-832E-D8F888878246}" type="presOf" srcId="{A4813B0E-8777-4196-8AB4-FEE2E55F2579}" destId="{09BD0F1A-2AF6-4B48-B0AD-598E4F1E07BC}" srcOrd="0" destOrd="0" presId="urn:microsoft.com/office/officeart/2005/8/layout/hierarchy3"/>
    <dgm:cxn modelId="{612A085E-81E7-42DF-AD00-CFB514794CFC}" srcId="{52A25CC3-E8C8-4E23-A893-E2F077747DF6}" destId="{6D230A4F-EEF3-47F5-843A-48128B6F6818}" srcOrd="2" destOrd="0" parTransId="{4D90334E-D073-4A0D-B9D5-B685A839DDEB}" sibTransId="{CF1A863B-F269-4534-80B4-5B6020129DFA}"/>
    <dgm:cxn modelId="{0150FA6B-94EF-42D3-8FA0-D0C1515DBFBF}" type="presOf" srcId="{3380E5F6-F289-4103-8F8A-373DEC30EA47}" destId="{B3471D8E-ADC3-4BAB-BB14-BAFF2C85473D}" srcOrd="0" destOrd="0" presId="urn:microsoft.com/office/officeart/2005/8/layout/hierarchy3"/>
    <dgm:cxn modelId="{8FA90B67-1896-4866-B1C1-48D926D53C85}" srcId="{A4813B0E-8777-4196-8AB4-FEE2E55F2579}" destId="{C9F0FD34-4CA0-4C9D-9064-B57B4BE6A6F3}" srcOrd="1" destOrd="0" parTransId="{23B78FA4-02F9-4242-A5EC-E02ADBC27929}" sibTransId="{9CE2A460-8AC1-4C91-82E7-A1A08C5BA8AA}"/>
    <dgm:cxn modelId="{99F7EBDE-35CB-42BC-AC1E-BECAD6AC76E8}" srcId="{A4813B0E-8777-4196-8AB4-FEE2E55F2579}" destId="{691FB8BF-9DDD-4205-81DF-8F5B8F76183E}" srcOrd="2" destOrd="0" parTransId="{A3AE6B9E-A173-4564-A648-059C4C621016}" sibTransId="{E18CAC28-93B7-4D58-AFFB-DE2CF0CF9664}"/>
    <dgm:cxn modelId="{82FC79B8-958A-4628-9B40-48AF5F6A7430}" type="presOf" srcId="{D1928B4C-C9F9-410A-A255-8A6C69A038DD}" destId="{BF31A360-E9D7-437A-B3A1-F60E60BAF67C}" srcOrd="1" destOrd="0" presId="urn:microsoft.com/office/officeart/2005/8/layout/hierarchy3"/>
    <dgm:cxn modelId="{8FB4FBB9-B59D-449F-9679-E42E3DE386E1}" type="presParOf" srcId="{948A83F6-25A9-43B5-9F39-5B042AEB2D11}" destId="{E076A4B2-F541-4E7A-AF48-C67710F91912}" srcOrd="0" destOrd="0" presId="urn:microsoft.com/office/officeart/2005/8/layout/hierarchy3"/>
    <dgm:cxn modelId="{61BCB6AC-80F3-442F-BCA7-04B894C0DEA1}" type="presParOf" srcId="{E076A4B2-F541-4E7A-AF48-C67710F91912}" destId="{DD9902A3-0CD2-4EDC-BA06-3F0BB2143B31}" srcOrd="0" destOrd="0" presId="urn:microsoft.com/office/officeart/2005/8/layout/hierarchy3"/>
    <dgm:cxn modelId="{42777C29-67F6-49B9-AEDC-59293CAE26BC}" type="presParOf" srcId="{DD9902A3-0CD2-4EDC-BA06-3F0BB2143B31}" destId="{09BD0F1A-2AF6-4B48-B0AD-598E4F1E07BC}" srcOrd="0" destOrd="0" presId="urn:microsoft.com/office/officeart/2005/8/layout/hierarchy3"/>
    <dgm:cxn modelId="{4950D841-AA60-44B1-8424-27747961D754}" type="presParOf" srcId="{DD9902A3-0CD2-4EDC-BA06-3F0BB2143B31}" destId="{790863A6-FC97-45D9-85CE-1807B71F24BF}" srcOrd="1" destOrd="0" presId="urn:microsoft.com/office/officeart/2005/8/layout/hierarchy3"/>
    <dgm:cxn modelId="{89B0E3B0-0044-4A2C-AEFF-B3442245FCD9}" type="presParOf" srcId="{E076A4B2-F541-4E7A-AF48-C67710F91912}" destId="{1FE73303-F32B-4277-9E5A-F779D700789A}" srcOrd="1" destOrd="0" presId="urn:microsoft.com/office/officeart/2005/8/layout/hierarchy3"/>
    <dgm:cxn modelId="{0B138512-D7B6-47E2-BA7F-A6C7EA876A23}" type="presParOf" srcId="{1FE73303-F32B-4277-9E5A-F779D700789A}" destId="{53D2F01C-0421-488C-B6AD-B51AE88E1F54}" srcOrd="0" destOrd="0" presId="urn:microsoft.com/office/officeart/2005/8/layout/hierarchy3"/>
    <dgm:cxn modelId="{4CA8C4D9-3E10-4A9B-9263-339746FAE818}" type="presParOf" srcId="{1FE73303-F32B-4277-9E5A-F779D700789A}" destId="{A7237845-16E0-4D73-93B5-3E5A6B31F5D7}" srcOrd="1" destOrd="0" presId="urn:microsoft.com/office/officeart/2005/8/layout/hierarchy3"/>
    <dgm:cxn modelId="{035D7F36-46E6-4097-AA85-0E93D13CDB58}" type="presParOf" srcId="{1FE73303-F32B-4277-9E5A-F779D700789A}" destId="{F7F191DA-49BC-42F3-A27E-96347424A44A}" srcOrd="2" destOrd="0" presId="urn:microsoft.com/office/officeart/2005/8/layout/hierarchy3"/>
    <dgm:cxn modelId="{1F9E1A19-327D-40A4-87FF-572EFEC88168}" type="presParOf" srcId="{1FE73303-F32B-4277-9E5A-F779D700789A}" destId="{4D15AC45-015C-42B2-920B-73FE9452C87D}" srcOrd="3" destOrd="0" presId="urn:microsoft.com/office/officeart/2005/8/layout/hierarchy3"/>
    <dgm:cxn modelId="{5ADD1FA7-4342-42E9-8A9F-8CFF9D70EA50}" type="presParOf" srcId="{1FE73303-F32B-4277-9E5A-F779D700789A}" destId="{7E6A1960-CEAD-4427-A456-4126F6068EB1}" srcOrd="4" destOrd="0" presId="urn:microsoft.com/office/officeart/2005/8/layout/hierarchy3"/>
    <dgm:cxn modelId="{D4D9116D-90C4-4DD4-9F6E-12A41938952F}" type="presParOf" srcId="{1FE73303-F32B-4277-9E5A-F779D700789A}" destId="{5EC6EAC6-643F-45FB-A732-8D4F4B4FF2BC}" srcOrd="5" destOrd="0" presId="urn:microsoft.com/office/officeart/2005/8/layout/hierarchy3"/>
    <dgm:cxn modelId="{89BC3727-3A7C-4EEE-B7ED-A58ECCE03A0A}" type="presParOf" srcId="{948A83F6-25A9-43B5-9F39-5B042AEB2D11}" destId="{E1E7CD97-27C7-47E7-BF53-3B56C9DBD071}" srcOrd="1" destOrd="0" presId="urn:microsoft.com/office/officeart/2005/8/layout/hierarchy3"/>
    <dgm:cxn modelId="{E420873F-316A-4673-9A03-E4E2E529B800}" type="presParOf" srcId="{E1E7CD97-27C7-47E7-BF53-3B56C9DBD071}" destId="{42E5343E-E226-4559-B879-F83E287332D1}" srcOrd="0" destOrd="0" presId="urn:microsoft.com/office/officeart/2005/8/layout/hierarchy3"/>
    <dgm:cxn modelId="{3053869A-1B9D-4D82-9028-68F567AC4C82}" type="presParOf" srcId="{42E5343E-E226-4559-B879-F83E287332D1}" destId="{B30E3BE0-35F2-416F-B108-EB792A780D40}" srcOrd="0" destOrd="0" presId="urn:microsoft.com/office/officeart/2005/8/layout/hierarchy3"/>
    <dgm:cxn modelId="{688CC039-ABD2-4C15-938E-425AD1041C5E}" type="presParOf" srcId="{42E5343E-E226-4559-B879-F83E287332D1}" destId="{BF31A360-E9D7-437A-B3A1-F60E60BAF67C}" srcOrd="1" destOrd="0" presId="urn:microsoft.com/office/officeart/2005/8/layout/hierarchy3"/>
    <dgm:cxn modelId="{04A9987A-2765-4796-82FA-6E83C5E57C76}" type="presParOf" srcId="{E1E7CD97-27C7-47E7-BF53-3B56C9DBD071}" destId="{4647B812-BB3D-451D-A47D-604F594BE7E8}" srcOrd="1" destOrd="0" presId="urn:microsoft.com/office/officeart/2005/8/layout/hierarchy3"/>
    <dgm:cxn modelId="{135EC70E-B991-4C9A-AA1C-46325555769C}" type="presParOf" srcId="{948A83F6-25A9-43B5-9F39-5B042AEB2D11}" destId="{2C49293C-36BF-4C61-9E31-BADFAF2676BD}" srcOrd="2" destOrd="0" presId="urn:microsoft.com/office/officeart/2005/8/layout/hierarchy3"/>
    <dgm:cxn modelId="{F484E8F5-85AE-4ECC-B681-E1A73BBC25AA}" type="presParOf" srcId="{2C49293C-36BF-4C61-9E31-BADFAF2676BD}" destId="{7BAEF48B-35EC-4FD5-8594-43EA80B300C5}" srcOrd="0" destOrd="0" presId="urn:microsoft.com/office/officeart/2005/8/layout/hierarchy3"/>
    <dgm:cxn modelId="{DF96F687-8879-488B-943B-BD550DBC8339}" type="presParOf" srcId="{7BAEF48B-35EC-4FD5-8594-43EA80B300C5}" destId="{D5255237-14E8-42A0-8FA2-BFE4AF184D0E}" srcOrd="0" destOrd="0" presId="urn:microsoft.com/office/officeart/2005/8/layout/hierarchy3"/>
    <dgm:cxn modelId="{F0AC33C4-4516-4F9A-8549-CB28EF19342D}" type="presParOf" srcId="{7BAEF48B-35EC-4FD5-8594-43EA80B300C5}" destId="{D1460E3E-CD7D-4283-A3F8-FB6B318A90DF}" srcOrd="1" destOrd="0" presId="urn:microsoft.com/office/officeart/2005/8/layout/hierarchy3"/>
    <dgm:cxn modelId="{BD13BC0C-49C2-48C9-825D-3A5CF68A45E3}" type="presParOf" srcId="{2C49293C-36BF-4C61-9E31-BADFAF2676BD}" destId="{1023A6E0-4DD8-4029-B1BF-F6E472B73E13}" srcOrd="1" destOrd="0" presId="urn:microsoft.com/office/officeart/2005/8/layout/hierarchy3"/>
    <dgm:cxn modelId="{333E5CBB-88CB-4A0E-9F96-088970F2F2D4}" type="presParOf" srcId="{948A83F6-25A9-43B5-9F39-5B042AEB2D11}" destId="{F11246A5-8C28-4177-B8AB-F5DDCF631BD0}" srcOrd="3" destOrd="0" presId="urn:microsoft.com/office/officeart/2005/8/layout/hierarchy3"/>
    <dgm:cxn modelId="{621B3CFD-332B-4272-BC9B-7695B7F087BC}" type="presParOf" srcId="{F11246A5-8C28-4177-B8AB-F5DDCF631BD0}" destId="{6D4951AF-317C-4C37-B3DA-889ADFC3F225}" srcOrd="0" destOrd="0" presId="urn:microsoft.com/office/officeart/2005/8/layout/hierarchy3"/>
    <dgm:cxn modelId="{EE2BE9BF-3A59-4F71-B8DC-F561C6B2E1E2}" type="presParOf" srcId="{6D4951AF-317C-4C37-B3DA-889ADFC3F225}" destId="{B3471D8E-ADC3-4BAB-BB14-BAFF2C85473D}" srcOrd="0" destOrd="0" presId="urn:microsoft.com/office/officeart/2005/8/layout/hierarchy3"/>
    <dgm:cxn modelId="{70376B52-36E7-45A0-9294-5DD1E7B4BAA5}" type="presParOf" srcId="{6D4951AF-317C-4C37-B3DA-889ADFC3F225}" destId="{D69FEA72-D499-4B36-A75A-2C7F1A19FC5A}" srcOrd="1" destOrd="0" presId="urn:microsoft.com/office/officeart/2005/8/layout/hierarchy3"/>
    <dgm:cxn modelId="{BF60C9AC-626C-4B3B-9E47-A8105FF04977}" type="presParOf" srcId="{F11246A5-8C28-4177-B8AB-F5DDCF631BD0}" destId="{2F622D06-A2BC-4852-83EC-F3A2D341B52C}" srcOrd="1"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BD0F1A-2AF6-4B48-B0AD-598E4F1E07BC}">
      <dsp:nvSpPr>
        <dsp:cNvPr id="0" name=""/>
        <dsp:cNvSpPr/>
      </dsp:nvSpPr>
      <dsp:spPr>
        <a:xfrm>
          <a:off x="92772" y="365"/>
          <a:ext cx="1311501" cy="10364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b="1" kern="1200" dirty="0" smtClean="0">
              <a:latin typeface="Arial" panose="020B0604020202020204" pitchFamily="34" charset="0"/>
              <a:cs typeface="Arial" panose="020B0604020202020204" pitchFamily="34" charset="0"/>
            </a:rPr>
            <a:t>Ministry of Public Works and Transport (MTPTC)</a:t>
          </a:r>
        </a:p>
        <a:p>
          <a:pPr lvl="0" algn="ctr" defTabSz="400050">
            <a:lnSpc>
              <a:spcPct val="90000"/>
            </a:lnSpc>
            <a:spcBef>
              <a:spcPct val="0"/>
            </a:spcBef>
            <a:spcAft>
              <a:spcPct val="35000"/>
            </a:spcAft>
          </a:pPr>
          <a:r>
            <a:rPr lang="en-US" sz="900" kern="1200" dirty="0" smtClean="0">
              <a:latin typeface="Arial" panose="020B0604020202020204" pitchFamily="34" charset="0"/>
              <a:cs typeface="Arial" panose="020B0604020202020204" pitchFamily="34" charset="0"/>
            </a:rPr>
            <a:t>Energy policy and regulation</a:t>
          </a:r>
          <a:endParaRPr lang="en-US" sz="900" kern="1200" dirty="0">
            <a:latin typeface="Arial" panose="020B0604020202020204" pitchFamily="34" charset="0"/>
            <a:cs typeface="Arial" panose="020B0604020202020204" pitchFamily="34" charset="0"/>
          </a:endParaRPr>
        </a:p>
      </dsp:txBody>
      <dsp:txXfrm>
        <a:off x="123129" y="30722"/>
        <a:ext cx="1250787" cy="975758"/>
      </dsp:txXfrm>
    </dsp:sp>
    <dsp:sp modelId="{53D2F01C-0421-488C-B6AD-B51AE88E1F54}">
      <dsp:nvSpPr>
        <dsp:cNvPr id="0" name=""/>
        <dsp:cNvSpPr/>
      </dsp:nvSpPr>
      <dsp:spPr>
        <a:xfrm>
          <a:off x="223922" y="1036838"/>
          <a:ext cx="131150" cy="420413"/>
        </a:xfrm>
        <a:custGeom>
          <a:avLst/>
          <a:gdLst/>
          <a:ahLst/>
          <a:cxnLst/>
          <a:rect l="0" t="0" r="0" b="0"/>
          <a:pathLst>
            <a:path>
              <a:moveTo>
                <a:pt x="0" y="0"/>
              </a:moveTo>
              <a:lnTo>
                <a:pt x="0" y="420413"/>
              </a:lnTo>
              <a:lnTo>
                <a:pt x="131150" y="42041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37845-16E0-4D73-93B5-3E5A6B31F5D7}">
      <dsp:nvSpPr>
        <dsp:cNvPr id="0" name=""/>
        <dsp:cNvSpPr/>
      </dsp:nvSpPr>
      <dsp:spPr>
        <a:xfrm>
          <a:off x="355072" y="1129376"/>
          <a:ext cx="3355445" cy="65575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b="1" kern="1200" dirty="0" smtClean="0">
              <a:latin typeface="Arial" charset="0"/>
              <a:ea typeface="Arial" charset="0"/>
              <a:cs typeface="Arial" charset="0"/>
            </a:rPr>
            <a:t>Minister Jean-Jumeau</a:t>
          </a:r>
        </a:p>
        <a:p>
          <a:pPr lvl="0" algn="ctr" defTabSz="400050">
            <a:lnSpc>
              <a:spcPct val="90000"/>
            </a:lnSpc>
            <a:spcBef>
              <a:spcPct val="0"/>
            </a:spcBef>
            <a:spcAft>
              <a:spcPct val="35000"/>
            </a:spcAft>
          </a:pPr>
          <a:r>
            <a:rPr lang="en-US" sz="900" b="1" kern="1200" dirty="0" smtClean="0">
              <a:latin typeface="Arial" charset="0"/>
              <a:ea typeface="Arial" charset="0"/>
              <a:cs typeface="Arial" charset="0"/>
            </a:rPr>
            <a:t>Minister Delegate, Department of Energy Security (BMSE)</a:t>
          </a:r>
        </a:p>
        <a:p>
          <a:pPr lvl="0" algn="ctr" defTabSz="400050">
            <a:lnSpc>
              <a:spcPct val="90000"/>
            </a:lnSpc>
            <a:spcBef>
              <a:spcPct val="0"/>
            </a:spcBef>
            <a:spcAft>
              <a:spcPct val="35000"/>
            </a:spcAft>
          </a:pPr>
          <a:r>
            <a:rPr lang="en-US" sz="900" kern="1200" dirty="0" smtClean="0">
              <a:latin typeface="Arial" charset="0"/>
              <a:ea typeface="Arial" charset="0"/>
              <a:cs typeface="Arial" charset="0"/>
            </a:rPr>
            <a:t>Energy policy and regulation</a:t>
          </a:r>
          <a:endParaRPr lang="en-US" sz="900" kern="1200" dirty="0">
            <a:latin typeface="Arial" charset="0"/>
            <a:ea typeface="Arial" charset="0"/>
            <a:cs typeface="Arial" charset="0"/>
          </a:endParaRPr>
        </a:p>
      </dsp:txBody>
      <dsp:txXfrm>
        <a:off x="374278" y="1148582"/>
        <a:ext cx="3317033" cy="617338"/>
      </dsp:txXfrm>
    </dsp:sp>
    <dsp:sp modelId="{F7F191DA-49BC-42F3-A27E-96347424A44A}">
      <dsp:nvSpPr>
        <dsp:cNvPr id="0" name=""/>
        <dsp:cNvSpPr/>
      </dsp:nvSpPr>
      <dsp:spPr>
        <a:xfrm>
          <a:off x="223922" y="1036838"/>
          <a:ext cx="131150" cy="1168702"/>
        </a:xfrm>
        <a:custGeom>
          <a:avLst/>
          <a:gdLst/>
          <a:ahLst/>
          <a:cxnLst/>
          <a:rect l="0" t="0" r="0" b="0"/>
          <a:pathLst>
            <a:path>
              <a:moveTo>
                <a:pt x="0" y="0"/>
              </a:moveTo>
              <a:lnTo>
                <a:pt x="0" y="1168702"/>
              </a:lnTo>
              <a:lnTo>
                <a:pt x="131150" y="116870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5AC45-015C-42B2-920B-73FE9452C87D}">
      <dsp:nvSpPr>
        <dsp:cNvPr id="0" name=""/>
        <dsp:cNvSpPr/>
      </dsp:nvSpPr>
      <dsp:spPr>
        <a:xfrm>
          <a:off x="355072" y="1877665"/>
          <a:ext cx="3355445" cy="65575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b="1" kern="1200" dirty="0" err="1" smtClean="0">
              <a:latin typeface="Arial" charset="0"/>
              <a:ea typeface="Arial" charset="0"/>
              <a:cs typeface="Arial" charset="0"/>
            </a:rPr>
            <a:t>Électricité</a:t>
          </a:r>
          <a:r>
            <a:rPr lang="en-US" sz="900" b="1" kern="1200" dirty="0" smtClean="0">
              <a:latin typeface="Arial" charset="0"/>
              <a:ea typeface="Arial" charset="0"/>
              <a:cs typeface="Arial" charset="0"/>
            </a:rPr>
            <a:t> </a:t>
          </a:r>
          <a:r>
            <a:rPr lang="en-US" sz="900" b="1" kern="1200" dirty="0" err="1" smtClean="0">
              <a:latin typeface="Arial" charset="0"/>
              <a:ea typeface="Arial" charset="0"/>
              <a:cs typeface="Arial" charset="0"/>
            </a:rPr>
            <a:t>d’Haïti</a:t>
          </a:r>
          <a:endParaRPr lang="en-US" sz="900" b="1" kern="1200" dirty="0" smtClean="0">
            <a:latin typeface="Arial" charset="0"/>
            <a:ea typeface="Arial" charset="0"/>
            <a:cs typeface="Arial" charset="0"/>
          </a:endParaRPr>
        </a:p>
        <a:p>
          <a:pPr lvl="0" algn="ctr" defTabSz="400050">
            <a:lnSpc>
              <a:spcPct val="90000"/>
            </a:lnSpc>
            <a:spcBef>
              <a:spcPct val="0"/>
            </a:spcBef>
            <a:spcAft>
              <a:spcPct val="35000"/>
            </a:spcAft>
          </a:pPr>
          <a:r>
            <a:rPr lang="en-US" sz="900" kern="1200" dirty="0" smtClean="0">
              <a:latin typeface="Arial" charset="0"/>
              <a:ea typeface="Arial" charset="0"/>
              <a:cs typeface="Arial" charset="0"/>
            </a:rPr>
            <a:t>State-owned electric monopoly. Minister of MTPTC was chairman of EDH's board of directors.</a:t>
          </a:r>
          <a:endParaRPr lang="en-US" sz="900" kern="1200" dirty="0">
            <a:latin typeface="Arial" charset="0"/>
            <a:ea typeface="Arial" charset="0"/>
            <a:cs typeface="Arial" charset="0"/>
          </a:endParaRPr>
        </a:p>
      </dsp:txBody>
      <dsp:txXfrm>
        <a:off x="374278" y="1896871"/>
        <a:ext cx="3317033" cy="617338"/>
      </dsp:txXfrm>
    </dsp:sp>
    <dsp:sp modelId="{7E6A1960-CEAD-4427-A456-4126F6068EB1}">
      <dsp:nvSpPr>
        <dsp:cNvPr id="0" name=""/>
        <dsp:cNvSpPr/>
      </dsp:nvSpPr>
      <dsp:spPr>
        <a:xfrm>
          <a:off x="223922" y="1036838"/>
          <a:ext cx="131150" cy="1916992"/>
        </a:xfrm>
        <a:custGeom>
          <a:avLst/>
          <a:gdLst/>
          <a:ahLst/>
          <a:cxnLst/>
          <a:rect l="0" t="0" r="0" b="0"/>
          <a:pathLst>
            <a:path>
              <a:moveTo>
                <a:pt x="0" y="0"/>
              </a:moveTo>
              <a:lnTo>
                <a:pt x="0" y="1916992"/>
              </a:lnTo>
              <a:lnTo>
                <a:pt x="131150" y="191699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6EAC6-643F-45FB-A732-8D4F4B4FF2BC}">
      <dsp:nvSpPr>
        <dsp:cNvPr id="0" name=""/>
        <dsp:cNvSpPr/>
      </dsp:nvSpPr>
      <dsp:spPr>
        <a:xfrm>
          <a:off x="355072" y="2625955"/>
          <a:ext cx="3355445" cy="65575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b="1" kern="1200" dirty="0" smtClean="0">
              <a:latin typeface="Arial" charset="0"/>
              <a:ea typeface="Arial" charset="0"/>
              <a:cs typeface="Arial" charset="0"/>
            </a:rPr>
            <a:t>Bureau of Mines and Energy</a:t>
          </a:r>
        </a:p>
        <a:p>
          <a:pPr lvl="0" algn="ctr" defTabSz="400050">
            <a:lnSpc>
              <a:spcPct val="90000"/>
            </a:lnSpc>
            <a:spcBef>
              <a:spcPct val="0"/>
            </a:spcBef>
            <a:spcAft>
              <a:spcPct val="35000"/>
            </a:spcAft>
          </a:pPr>
          <a:r>
            <a:rPr lang="en-US" sz="900" kern="1200" dirty="0" smtClean="0">
              <a:latin typeface="Arial" charset="0"/>
              <a:ea typeface="Arial" charset="0"/>
              <a:cs typeface="Arial" charset="0"/>
            </a:rPr>
            <a:t>Formerly energy policy and regulation; continued limited involvement after establishment of BMSE</a:t>
          </a:r>
          <a:endParaRPr lang="en-US" sz="900" kern="1200" dirty="0">
            <a:latin typeface="Arial" charset="0"/>
            <a:ea typeface="Arial" charset="0"/>
            <a:cs typeface="Arial" charset="0"/>
          </a:endParaRPr>
        </a:p>
      </dsp:txBody>
      <dsp:txXfrm>
        <a:off x="374278" y="2645161"/>
        <a:ext cx="3317033" cy="617338"/>
      </dsp:txXfrm>
    </dsp:sp>
    <dsp:sp modelId="{B30E3BE0-35F2-416F-B108-EB792A780D40}">
      <dsp:nvSpPr>
        <dsp:cNvPr id="0" name=""/>
        <dsp:cNvSpPr/>
      </dsp:nvSpPr>
      <dsp:spPr>
        <a:xfrm>
          <a:off x="1589350" y="365"/>
          <a:ext cx="1311501" cy="10364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b="1" kern="1200" dirty="0" smtClean="0">
              <a:latin typeface="Arial" panose="020B0604020202020204" pitchFamily="34" charset="0"/>
              <a:cs typeface="Arial" panose="020B0604020202020204" pitchFamily="34" charset="0"/>
            </a:rPr>
            <a:t>Ministry of Commerce and Industry</a:t>
          </a:r>
        </a:p>
        <a:p>
          <a:pPr lvl="0" algn="ctr" defTabSz="400050">
            <a:lnSpc>
              <a:spcPct val="90000"/>
            </a:lnSpc>
            <a:spcBef>
              <a:spcPct val="0"/>
            </a:spcBef>
            <a:spcAft>
              <a:spcPct val="35000"/>
            </a:spcAft>
          </a:pPr>
          <a:r>
            <a:rPr lang="en-US" sz="900" kern="1200" dirty="0" smtClean="0">
              <a:latin typeface="Arial" panose="020B0604020202020204" pitchFamily="34" charset="0"/>
              <a:cs typeface="Arial" panose="020B0604020202020204" pitchFamily="34" charset="0"/>
            </a:rPr>
            <a:t>Petroleum products</a:t>
          </a:r>
          <a:endParaRPr lang="en-US" sz="900" kern="1200" dirty="0">
            <a:latin typeface="Arial" panose="020B0604020202020204" pitchFamily="34" charset="0"/>
            <a:cs typeface="Arial" panose="020B0604020202020204" pitchFamily="34" charset="0"/>
          </a:endParaRPr>
        </a:p>
      </dsp:txBody>
      <dsp:txXfrm>
        <a:off x="1619707" y="30722"/>
        <a:ext cx="1250787" cy="975758"/>
      </dsp:txXfrm>
    </dsp:sp>
    <dsp:sp modelId="{D5255237-14E8-42A0-8FA2-BFE4AF184D0E}">
      <dsp:nvSpPr>
        <dsp:cNvPr id="0" name=""/>
        <dsp:cNvSpPr/>
      </dsp:nvSpPr>
      <dsp:spPr>
        <a:xfrm>
          <a:off x="3085928" y="365"/>
          <a:ext cx="1311501" cy="10364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b="1" kern="1200" dirty="0" smtClean="0">
              <a:latin typeface="Arial" panose="020B0604020202020204" pitchFamily="34" charset="0"/>
              <a:cs typeface="Arial" panose="020B0604020202020204" pitchFamily="34" charset="0"/>
            </a:rPr>
            <a:t>Ministry of the Environment</a:t>
          </a:r>
        </a:p>
        <a:p>
          <a:pPr lvl="0" algn="ctr" defTabSz="400050">
            <a:lnSpc>
              <a:spcPct val="90000"/>
            </a:lnSpc>
            <a:spcBef>
              <a:spcPct val="0"/>
            </a:spcBef>
            <a:spcAft>
              <a:spcPct val="35000"/>
            </a:spcAft>
          </a:pPr>
          <a:r>
            <a:rPr lang="en-US" sz="900" kern="1200" dirty="0" smtClean="0">
              <a:latin typeface="Arial" panose="020B0604020202020204" pitchFamily="34" charset="0"/>
              <a:cs typeface="Arial" panose="020B0604020202020204" pitchFamily="34" charset="0"/>
            </a:rPr>
            <a:t>Protected areas</a:t>
          </a:r>
          <a:endParaRPr lang="en-US" sz="900" kern="1200" dirty="0">
            <a:latin typeface="Arial" panose="020B0604020202020204" pitchFamily="34" charset="0"/>
            <a:cs typeface="Arial" panose="020B0604020202020204" pitchFamily="34" charset="0"/>
          </a:endParaRPr>
        </a:p>
      </dsp:txBody>
      <dsp:txXfrm>
        <a:off x="3116285" y="30722"/>
        <a:ext cx="1250787" cy="975758"/>
      </dsp:txXfrm>
    </dsp:sp>
    <dsp:sp modelId="{B3471D8E-ADC3-4BAB-BB14-BAFF2C85473D}">
      <dsp:nvSpPr>
        <dsp:cNvPr id="0" name=""/>
        <dsp:cNvSpPr/>
      </dsp:nvSpPr>
      <dsp:spPr>
        <a:xfrm>
          <a:off x="4582506" y="365"/>
          <a:ext cx="1311501" cy="103647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b="1" kern="1200" dirty="0" smtClean="0">
              <a:latin typeface="Arial" panose="020B0604020202020204" pitchFamily="34" charset="0"/>
              <a:cs typeface="Arial" panose="020B0604020202020204" pitchFamily="34" charset="0"/>
            </a:rPr>
            <a:t>Ministry of Economy   and Finance</a:t>
          </a:r>
        </a:p>
        <a:p>
          <a:pPr lvl="0" algn="ctr" defTabSz="400050">
            <a:lnSpc>
              <a:spcPct val="90000"/>
            </a:lnSpc>
            <a:spcBef>
              <a:spcPct val="0"/>
            </a:spcBef>
            <a:spcAft>
              <a:spcPct val="35000"/>
            </a:spcAft>
          </a:pPr>
          <a:r>
            <a:rPr lang="en-US" sz="900" kern="1200" dirty="0" smtClean="0">
              <a:latin typeface="Arial" panose="020B0604020202020204" pitchFamily="34" charset="0"/>
              <a:cs typeface="Arial" panose="020B0604020202020204" pitchFamily="34" charset="0"/>
            </a:rPr>
            <a:t>Funding for the energy sector and covered payments that EDH could not make (i.e., $200M subsidy)</a:t>
          </a:r>
          <a:endParaRPr lang="en-US" sz="900" kern="1200" dirty="0">
            <a:latin typeface="Arial" panose="020B0604020202020204" pitchFamily="34" charset="0"/>
            <a:cs typeface="Arial" panose="020B0604020202020204" pitchFamily="34" charset="0"/>
          </a:endParaRPr>
        </a:p>
      </dsp:txBody>
      <dsp:txXfrm>
        <a:off x="4612863" y="30722"/>
        <a:ext cx="1250787" cy="9757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8882A-1A4D-4C98-9646-996B4D324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2017-03-03T23:58:00Z</cp:lastPrinted>
  <dcterms:created xsi:type="dcterms:W3CDTF">2017-03-16T14:16:00Z</dcterms:created>
  <dcterms:modified xsi:type="dcterms:W3CDTF">2017-03-21T16:21:00Z</dcterms:modified>
</cp:coreProperties>
</file>