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7D5" w:rsidRPr="00940647" w:rsidRDefault="00312A56" w:rsidP="00013360">
      <w:pPr>
        <w:tabs>
          <w:tab w:val="left" w:pos="-1440"/>
          <w:tab w:val="left" w:pos="-720"/>
          <w:tab w:val="left" w:pos="1"/>
          <w:tab w:val="right" w:pos="9360"/>
        </w:tabs>
        <w:jc w:val="both"/>
        <w:rPr>
          <w:rFonts w:ascii="Arial" w:hAnsi="Arial"/>
          <w:sz w:val="24"/>
          <w:lang w:val="en-GB"/>
        </w:rPr>
      </w:pPr>
      <w:r w:rsidRPr="00940647">
        <w:rPr>
          <w:rFonts w:ascii="Arial" w:hAnsi="Arial"/>
          <w:b/>
          <w:noProof/>
          <w:sz w:val="24"/>
          <w:lang w:val="en-GB" w:eastAsia="en-GB"/>
        </w:rPr>
        <w:drawing>
          <wp:inline distT="0" distB="0" distL="0" distR="0">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856D9F" w:rsidRPr="00940647" w:rsidRDefault="00856D9F" w:rsidP="008467D5">
      <w:pPr>
        <w:pBdr>
          <w:bottom w:val="single" w:sz="18" w:space="1" w:color="auto"/>
        </w:pBdr>
        <w:tabs>
          <w:tab w:val="left" w:pos="-1440"/>
          <w:tab w:val="left" w:pos="-720"/>
          <w:tab w:val="left" w:pos="1"/>
        </w:tabs>
        <w:jc w:val="both"/>
        <w:rPr>
          <w:rFonts w:ascii="Arial" w:hAnsi="Arial"/>
          <w:b/>
          <w:sz w:val="24"/>
          <w:lang w:val="en-GB"/>
        </w:rPr>
      </w:pPr>
    </w:p>
    <w:p w:rsidR="00D75295" w:rsidRPr="00940647" w:rsidRDefault="006E1B60" w:rsidP="00F105B7">
      <w:pPr>
        <w:pStyle w:val="ProductNumber"/>
        <w:rPr>
          <w:lang w:val="en-GB"/>
        </w:rPr>
      </w:pPr>
      <w:r w:rsidRPr="00940647">
        <w:rPr>
          <w:lang w:val="en-GB"/>
        </w:rPr>
        <w:t>9B17M049</w:t>
      </w:r>
    </w:p>
    <w:p w:rsidR="00D75295" w:rsidRPr="00940647" w:rsidRDefault="00D75295" w:rsidP="00D75295">
      <w:pPr>
        <w:jc w:val="right"/>
        <w:rPr>
          <w:rFonts w:ascii="Arial" w:hAnsi="Arial"/>
          <w:b/>
          <w:sz w:val="28"/>
          <w:szCs w:val="28"/>
          <w:lang w:val="en-GB"/>
        </w:rPr>
      </w:pPr>
    </w:p>
    <w:p w:rsidR="00866F6D" w:rsidRPr="00940647" w:rsidRDefault="00866F6D" w:rsidP="00D75295">
      <w:pPr>
        <w:jc w:val="right"/>
        <w:rPr>
          <w:rFonts w:ascii="Arial" w:hAnsi="Arial"/>
          <w:b/>
          <w:sz w:val="28"/>
          <w:szCs w:val="28"/>
          <w:lang w:val="en-GB"/>
        </w:rPr>
      </w:pPr>
    </w:p>
    <w:p w:rsidR="00013360" w:rsidRPr="00940647" w:rsidRDefault="00C42FB8" w:rsidP="00013360">
      <w:pPr>
        <w:pStyle w:val="CaseTitle"/>
        <w:spacing w:after="0" w:line="240" w:lineRule="auto"/>
        <w:rPr>
          <w:lang w:val="en-GB"/>
        </w:rPr>
      </w:pPr>
      <w:r w:rsidRPr="00940647">
        <w:rPr>
          <w:lang w:val="en-GB"/>
        </w:rPr>
        <w:t>Molto Delizioso: Pricing and Profits Following Brexit</w:t>
      </w:r>
      <w:r w:rsidR="00C02F99" w:rsidRPr="00940647">
        <w:rPr>
          <w:lang w:val="en-GB"/>
        </w:rPr>
        <w:t xml:space="preserve"> D</w:t>
      </w:r>
      <w:r w:rsidRPr="00940647">
        <w:rPr>
          <w:lang w:val="en-GB"/>
        </w:rPr>
        <w:t>evaluation</w:t>
      </w:r>
    </w:p>
    <w:p w:rsidR="00013360" w:rsidRPr="00940647" w:rsidRDefault="00013360" w:rsidP="00013360">
      <w:pPr>
        <w:pStyle w:val="CaseTitle"/>
        <w:spacing w:after="0" w:line="240" w:lineRule="auto"/>
        <w:rPr>
          <w:sz w:val="20"/>
          <w:szCs w:val="20"/>
          <w:lang w:val="en-GB"/>
        </w:rPr>
      </w:pPr>
    </w:p>
    <w:p w:rsidR="00CA3976" w:rsidRPr="00940647" w:rsidRDefault="00CA3976" w:rsidP="00013360">
      <w:pPr>
        <w:pStyle w:val="CaseTitle"/>
        <w:spacing w:after="0" w:line="240" w:lineRule="auto"/>
        <w:rPr>
          <w:sz w:val="20"/>
          <w:szCs w:val="20"/>
          <w:lang w:val="en-GB"/>
        </w:rPr>
      </w:pPr>
    </w:p>
    <w:p w:rsidR="00013360" w:rsidRPr="00940647" w:rsidRDefault="00013360" w:rsidP="00013360">
      <w:pPr>
        <w:pStyle w:val="CaseTitle"/>
        <w:spacing w:after="0" w:line="240" w:lineRule="auto"/>
        <w:rPr>
          <w:sz w:val="20"/>
          <w:szCs w:val="20"/>
          <w:lang w:val="en-GB"/>
        </w:rPr>
      </w:pPr>
    </w:p>
    <w:p w:rsidR="00013360" w:rsidRPr="00940647" w:rsidRDefault="00C02F99" w:rsidP="00104567">
      <w:pPr>
        <w:pStyle w:val="StyleCopyrightStatementAfter0ptBottomSinglesolidline1"/>
        <w:rPr>
          <w:lang w:val="en-GB"/>
        </w:rPr>
      </w:pPr>
      <w:r w:rsidRPr="00940647">
        <w:rPr>
          <w:lang w:val="en-GB"/>
        </w:rPr>
        <w:t>Farok J. Contractor</w:t>
      </w:r>
      <w:r w:rsidR="007E5921" w:rsidRPr="00940647">
        <w:rPr>
          <w:lang w:val="en-GB"/>
        </w:rPr>
        <w:t xml:space="preserve"> wrote this case sol</w:t>
      </w:r>
      <w:r w:rsidR="00D75295" w:rsidRPr="00940647">
        <w:rPr>
          <w:lang w:val="en-GB"/>
        </w:rPr>
        <w:t>ely to provide material f</w:t>
      </w:r>
      <w:r w:rsidRPr="00940647">
        <w:rPr>
          <w:lang w:val="en-GB"/>
        </w:rPr>
        <w:t>or class discussion. The author</w:t>
      </w:r>
      <w:r w:rsidR="00D75295" w:rsidRPr="00940647">
        <w:rPr>
          <w:lang w:val="en-GB"/>
        </w:rPr>
        <w:t xml:space="preserve"> do</w:t>
      </w:r>
      <w:r w:rsidRPr="00940647">
        <w:rPr>
          <w:lang w:val="en-GB"/>
        </w:rPr>
        <w:t>es</w:t>
      </w:r>
      <w:r w:rsidR="00D75295" w:rsidRPr="00940647">
        <w:rPr>
          <w:lang w:val="en-GB"/>
        </w:rPr>
        <w:t xml:space="preserve"> not intend to illustrate either effective or ineffective handling of a managerial situation. The author may have disguised certain names and other identifying information to protect confidentiality.</w:t>
      </w:r>
    </w:p>
    <w:p w:rsidR="00013360" w:rsidRPr="00940647" w:rsidRDefault="00013360" w:rsidP="00104567">
      <w:pPr>
        <w:pStyle w:val="StyleCopyrightStatementAfter0ptBottomSinglesolidline1"/>
        <w:rPr>
          <w:lang w:val="en-GB"/>
        </w:rPr>
      </w:pPr>
    </w:p>
    <w:p w:rsidR="00F2228A" w:rsidRPr="00940647" w:rsidRDefault="00F2228A" w:rsidP="003C25FF">
      <w:pPr>
        <w:jc w:val="both"/>
        <w:rPr>
          <w:rFonts w:ascii="Arial" w:hAnsi="Arial" w:cs="Arial"/>
          <w:i/>
          <w:iCs/>
          <w:sz w:val="16"/>
          <w:szCs w:val="16"/>
          <w:lang w:val="en-CA"/>
        </w:rPr>
      </w:pPr>
      <w:r w:rsidRPr="00940647">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940647">
          <w:rPr>
            <w:rFonts w:ascii="Arial" w:hAnsi="Arial" w:cs="Arial"/>
            <w:i/>
            <w:iCs/>
            <w:sz w:val="16"/>
            <w:szCs w:val="16"/>
            <w:lang w:val="en-CA"/>
          </w:rPr>
          <w:t>cases@ivey.ca</w:t>
        </w:r>
      </w:hyperlink>
      <w:r w:rsidRPr="00940647">
        <w:rPr>
          <w:rFonts w:ascii="Arial" w:hAnsi="Arial" w:cs="Arial"/>
          <w:i/>
          <w:iCs/>
          <w:sz w:val="16"/>
          <w:szCs w:val="16"/>
          <w:lang w:val="en-CA"/>
        </w:rPr>
        <w:t xml:space="preserve">; </w:t>
      </w:r>
      <w:hyperlink r:id="rId10" w:history="1">
        <w:r w:rsidRPr="00940647">
          <w:rPr>
            <w:rFonts w:ascii="Arial" w:hAnsi="Arial" w:cs="Arial"/>
            <w:i/>
            <w:iCs/>
            <w:sz w:val="16"/>
            <w:szCs w:val="16"/>
            <w:lang w:val="en-CA"/>
          </w:rPr>
          <w:t>www.iveycases.com</w:t>
        </w:r>
      </w:hyperlink>
      <w:r w:rsidRPr="00940647">
        <w:rPr>
          <w:rFonts w:ascii="Arial" w:hAnsi="Arial" w:cs="Arial"/>
          <w:i/>
          <w:iCs/>
          <w:sz w:val="16"/>
          <w:szCs w:val="16"/>
          <w:lang w:val="en-CA"/>
        </w:rPr>
        <w:t>.</w:t>
      </w:r>
    </w:p>
    <w:p w:rsidR="00F2228A" w:rsidRPr="00940647" w:rsidRDefault="00F2228A" w:rsidP="003C25FF">
      <w:pPr>
        <w:pStyle w:val="StyleCopyrightStatementAfter0ptBottomSinglesolidline1"/>
        <w:pBdr>
          <w:top w:val="none" w:sz="0" w:space="0" w:color="auto"/>
        </w:pBdr>
      </w:pPr>
    </w:p>
    <w:p w:rsidR="003B7EF2" w:rsidRPr="00940647" w:rsidRDefault="00F2228A" w:rsidP="003B7EF2">
      <w:pPr>
        <w:pStyle w:val="StyleStyleCopyrightStatementAfter0ptBottomSinglesolid"/>
        <w:rPr>
          <w:lang w:val="en-GB"/>
        </w:rPr>
      </w:pPr>
      <w:r w:rsidRPr="00940647">
        <w:t>Copyright © 2017, Richard Ivey School of Business Foundation</w:t>
      </w:r>
      <w:r w:rsidR="003B7EF2" w:rsidRPr="00940647">
        <w:rPr>
          <w:lang w:val="en-GB"/>
        </w:rPr>
        <w:tab/>
        <w:t xml:space="preserve">Version: </w:t>
      </w:r>
      <w:r w:rsidR="00361C8E" w:rsidRPr="00940647">
        <w:rPr>
          <w:lang w:val="en-GB"/>
        </w:rPr>
        <w:t>201</w:t>
      </w:r>
      <w:r w:rsidR="00DC15D4" w:rsidRPr="00940647">
        <w:rPr>
          <w:lang w:val="en-GB"/>
        </w:rPr>
        <w:t>7</w:t>
      </w:r>
      <w:r w:rsidR="00361C8E" w:rsidRPr="00940647">
        <w:rPr>
          <w:lang w:val="en-GB"/>
        </w:rPr>
        <w:t>-</w:t>
      </w:r>
      <w:r w:rsidR="00312A56" w:rsidRPr="00940647">
        <w:rPr>
          <w:lang w:val="en-GB"/>
        </w:rPr>
        <w:t>03</w:t>
      </w:r>
      <w:r w:rsidR="00C42FB8" w:rsidRPr="00940647">
        <w:rPr>
          <w:lang w:val="en-GB"/>
        </w:rPr>
        <w:t>-</w:t>
      </w:r>
      <w:r w:rsidR="00D02CAF">
        <w:rPr>
          <w:lang w:val="en-GB"/>
        </w:rPr>
        <w:t>30</w:t>
      </w:r>
    </w:p>
    <w:p w:rsidR="003B7EF2" w:rsidRPr="00940647" w:rsidRDefault="003B7EF2" w:rsidP="00104567">
      <w:pPr>
        <w:pStyle w:val="StyleCopyrightStatementAfter0ptBottomSinglesolidline1"/>
        <w:rPr>
          <w:rFonts w:ascii="Times New Roman" w:hAnsi="Times New Roman"/>
          <w:sz w:val="20"/>
          <w:lang w:val="en-GB"/>
        </w:rPr>
      </w:pPr>
    </w:p>
    <w:p w:rsidR="00C65107" w:rsidRPr="00940647" w:rsidRDefault="00C65107" w:rsidP="00C65107">
      <w:pPr>
        <w:pStyle w:val="BodyTextMain"/>
        <w:rPr>
          <w:lang w:val="en-GB"/>
        </w:rPr>
      </w:pPr>
    </w:p>
    <w:p w:rsidR="00C65107" w:rsidRPr="00940647" w:rsidRDefault="00C65107" w:rsidP="00C65107">
      <w:pPr>
        <w:pStyle w:val="BodyTextMain"/>
        <w:rPr>
          <w:spacing w:val="-2"/>
          <w:kern w:val="22"/>
          <w:lang w:val="en-GB"/>
        </w:rPr>
      </w:pPr>
      <w:r w:rsidRPr="00940647">
        <w:rPr>
          <w:spacing w:val="-2"/>
          <w:kern w:val="22"/>
          <w:lang w:val="en-GB"/>
        </w:rPr>
        <w:t xml:space="preserve">Sitting in his office overlooking St. Paul’s Cathedral in January 2016, Nigel Montague appeared the picture of contentment. Montague was the </w:t>
      </w:r>
      <w:r w:rsidR="00EF7D0B" w:rsidRPr="00940647">
        <w:rPr>
          <w:spacing w:val="-2"/>
          <w:kern w:val="22"/>
          <w:lang w:val="en-GB"/>
        </w:rPr>
        <w:t>m</w:t>
      </w:r>
      <w:r w:rsidRPr="00940647">
        <w:rPr>
          <w:spacing w:val="-2"/>
          <w:kern w:val="22"/>
          <w:lang w:val="en-GB"/>
        </w:rPr>
        <w:t xml:space="preserve">anaging </w:t>
      </w:r>
      <w:r w:rsidR="00EF7D0B" w:rsidRPr="00940647">
        <w:rPr>
          <w:spacing w:val="-2"/>
          <w:kern w:val="22"/>
          <w:lang w:val="en-GB"/>
        </w:rPr>
        <w:t>d</w:t>
      </w:r>
      <w:r w:rsidRPr="00940647">
        <w:rPr>
          <w:spacing w:val="-2"/>
          <w:kern w:val="22"/>
          <w:lang w:val="en-GB"/>
        </w:rPr>
        <w:t>irector of the U</w:t>
      </w:r>
      <w:r w:rsidR="00312A56" w:rsidRPr="00940647">
        <w:rPr>
          <w:spacing w:val="-2"/>
          <w:kern w:val="22"/>
          <w:lang w:val="en-GB"/>
        </w:rPr>
        <w:t>.</w:t>
      </w:r>
      <w:r w:rsidRPr="00940647">
        <w:rPr>
          <w:spacing w:val="-2"/>
          <w:kern w:val="22"/>
          <w:lang w:val="en-GB"/>
        </w:rPr>
        <w:t>K</w:t>
      </w:r>
      <w:r w:rsidR="00312A56" w:rsidRPr="00940647">
        <w:rPr>
          <w:spacing w:val="-2"/>
          <w:kern w:val="22"/>
          <w:lang w:val="en-GB"/>
        </w:rPr>
        <w:t>.</w:t>
      </w:r>
      <w:r w:rsidRPr="00940647">
        <w:rPr>
          <w:spacing w:val="-2"/>
          <w:kern w:val="22"/>
          <w:lang w:val="en-GB"/>
        </w:rPr>
        <w:t xml:space="preserve"> subsidiary of a parent company</w:t>
      </w:r>
      <w:r w:rsidR="00EF7D0B" w:rsidRPr="00940647">
        <w:rPr>
          <w:spacing w:val="-2"/>
          <w:kern w:val="22"/>
          <w:lang w:val="en-GB"/>
        </w:rPr>
        <w:t>,</w:t>
      </w:r>
      <w:r w:rsidRPr="00940647">
        <w:rPr>
          <w:spacing w:val="-2"/>
          <w:kern w:val="22"/>
          <w:lang w:val="en-GB"/>
        </w:rPr>
        <w:t xml:space="preserve"> </w:t>
      </w:r>
      <w:proofErr w:type="spellStart"/>
      <w:r w:rsidRPr="00940647">
        <w:rPr>
          <w:spacing w:val="-2"/>
          <w:kern w:val="22"/>
          <w:lang w:val="en-GB"/>
        </w:rPr>
        <w:t>Molto</w:t>
      </w:r>
      <w:proofErr w:type="spellEnd"/>
      <w:r w:rsidRPr="00940647">
        <w:rPr>
          <w:spacing w:val="-2"/>
          <w:kern w:val="22"/>
          <w:lang w:val="en-GB"/>
        </w:rPr>
        <w:t xml:space="preserve"> </w:t>
      </w:r>
      <w:proofErr w:type="spellStart"/>
      <w:r w:rsidRPr="00940647">
        <w:rPr>
          <w:spacing w:val="-2"/>
          <w:kern w:val="22"/>
          <w:lang w:val="en-GB"/>
        </w:rPr>
        <w:t>Delizioso</w:t>
      </w:r>
      <w:proofErr w:type="spellEnd"/>
      <w:r w:rsidRPr="00940647">
        <w:rPr>
          <w:spacing w:val="-2"/>
          <w:kern w:val="22"/>
          <w:lang w:val="en-GB"/>
        </w:rPr>
        <w:t xml:space="preserve">, SRL, an Italian maker of coffee machines. </w:t>
      </w:r>
      <w:proofErr w:type="spellStart"/>
      <w:r w:rsidRPr="00940647">
        <w:rPr>
          <w:spacing w:val="-2"/>
          <w:kern w:val="22"/>
          <w:lang w:val="en-GB"/>
        </w:rPr>
        <w:t>Molto</w:t>
      </w:r>
      <w:proofErr w:type="spellEnd"/>
      <w:r w:rsidRPr="00940647">
        <w:rPr>
          <w:spacing w:val="-2"/>
          <w:kern w:val="22"/>
          <w:lang w:val="en-GB"/>
        </w:rPr>
        <w:t xml:space="preserve"> </w:t>
      </w:r>
      <w:proofErr w:type="spellStart"/>
      <w:r w:rsidRPr="00940647">
        <w:rPr>
          <w:spacing w:val="-2"/>
          <w:kern w:val="22"/>
          <w:lang w:val="en-GB"/>
        </w:rPr>
        <w:t>Delizioso</w:t>
      </w:r>
      <w:proofErr w:type="spellEnd"/>
      <w:r w:rsidRPr="00940647">
        <w:rPr>
          <w:spacing w:val="-2"/>
          <w:kern w:val="22"/>
          <w:lang w:val="en-GB"/>
        </w:rPr>
        <w:t xml:space="preserve"> coffee machines carried a cachet </w:t>
      </w:r>
      <w:r w:rsidR="00CD0B80" w:rsidRPr="00940647">
        <w:rPr>
          <w:spacing w:val="-2"/>
          <w:kern w:val="22"/>
          <w:lang w:val="en-GB"/>
        </w:rPr>
        <w:t>that</w:t>
      </w:r>
      <w:r w:rsidRPr="00940647">
        <w:rPr>
          <w:spacing w:val="-2"/>
          <w:kern w:val="22"/>
          <w:lang w:val="en-GB"/>
        </w:rPr>
        <w:t xml:space="preserve"> </w:t>
      </w:r>
      <w:r w:rsidR="00570DA6" w:rsidRPr="00940647">
        <w:rPr>
          <w:spacing w:val="-2"/>
          <w:kern w:val="22"/>
          <w:lang w:val="en-GB"/>
        </w:rPr>
        <w:t>coffee enthusiasts</w:t>
      </w:r>
      <w:r w:rsidRPr="00940647">
        <w:rPr>
          <w:spacing w:val="-2"/>
          <w:kern w:val="22"/>
          <w:lang w:val="en-GB"/>
        </w:rPr>
        <w:t xml:space="preserve"> in London and </w:t>
      </w:r>
      <w:r w:rsidR="00570DA6" w:rsidRPr="00940647">
        <w:rPr>
          <w:spacing w:val="-2"/>
          <w:kern w:val="22"/>
          <w:lang w:val="en-GB"/>
        </w:rPr>
        <w:t xml:space="preserve">other </w:t>
      </w:r>
      <w:r w:rsidRPr="00940647">
        <w:rPr>
          <w:spacing w:val="-2"/>
          <w:kern w:val="22"/>
          <w:lang w:val="en-GB"/>
        </w:rPr>
        <w:t>major British cities</w:t>
      </w:r>
      <w:r w:rsidR="00CD0B80" w:rsidRPr="00940647">
        <w:rPr>
          <w:spacing w:val="-2"/>
          <w:kern w:val="22"/>
          <w:lang w:val="en-GB"/>
        </w:rPr>
        <w:t xml:space="preserve"> </w:t>
      </w:r>
      <w:r w:rsidRPr="00940647">
        <w:rPr>
          <w:spacing w:val="-2"/>
          <w:kern w:val="22"/>
          <w:lang w:val="en-GB"/>
        </w:rPr>
        <w:t>were willing to pay £200</w:t>
      </w:r>
      <w:r w:rsidR="00570DA6" w:rsidRPr="00940647">
        <w:rPr>
          <w:rStyle w:val="FootnoteReference"/>
          <w:spacing w:val="-2"/>
          <w:kern w:val="22"/>
          <w:lang w:val="en-GB"/>
        </w:rPr>
        <w:footnoteReference w:id="1"/>
      </w:r>
      <w:r w:rsidR="00CD0B80" w:rsidRPr="00940647">
        <w:rPr>
          <w:spacing w:val="-2"/>
          <w:kern w:val="22"/>
          <w:lang w:val="en-GB"/>
        </w:rPr>
        <w:t xml:space="preserve"> for. </w:t>
      </w:r>
      <w:proofErr w:type="spellStart"/>
      <w:r w:rsidR="00A5477C" w:rsidRPr="00940647">
        <w:rPr>
          <w:spacing w:val="-2"/>
          <w:kern w:val="22"/>
          <w:lang w:val="en-GB"/>
        </w:rPr>
        <w:t>Molto</w:t>
      </w:r>
      <w:proofErr w:type="spellEnd"/>
      <w:r w:rsidR="00A5477C" w:rsidRPr="00940647">
        <w:rPr>
          <w:spacing w:val="-2"/>
          <w:kern w:val="22"/>
          <w:lang w:val="en-GB"/>
        </w:rPr>
        <w:t xml:space="preserve"> </w:t>
      </w:r>
      <w:proofErr w:type="spellStart"/>
      <w:r w:rsidR="00A5477C" w:rsidRPr="00940647">
        <w:rPr>
          <w:spacing w:val="-2"/>
          <w:kern w:val="22"/>
          <w:lang w:val="en-GB"/>
        </w:rPr>
        <w:t>Delizioso</w:t>
      </w:r>
      <w:proofErr w:type="spellEnd"/>
      <w:r w:rsidR="00A5477C" w:rsidRPr="00940647">
        <w:rPr>
          <w:spacing w:val="-2"/>
          <w:kern w:val="22"/>
          <w:lang w:val="en-GB"/>
        </w:rPr>
        <w:t xml:space="preserve"> faced </w:t>
      </w:r>
      <w:r w:rsidRPr="00940647">
        <w:rPr>
          <w:spacing w:val="-2"/>
          <w:kern w:val="22"/>
          <w:lang w:val="en-GB"/>
        </w:rPr>
        <w:t xml:space="preserve">fierce competition from other </w:t>
      </w:r>
      <w:r w:rsidR="00A5477C" w:rsidRPr="00940647">
        <w:rPr>
          <w:spacing w:val="-2"/>
          <w:kern w:val="22"/>
          <w:lang w:val="en-GB"/>
        </w:rPr>
        <w:t xml:space="preserve">coffee </w:t>
      </w:r>
      <w:r w:rsidRPr="00940647">
        <w:rPr>
          <w:spacing w:val="-2"/>
          <w:kern w:val="22"/>
          <w:lang w:val="en-GB"/>
        </w:rPr>
        <w:t>makers</w:t>
      </w:r>
      <w:r w:rsidR="00570DA6" w:rsidRPr="00940647">
        <w:rPr>
          <w:spacing w:val="-2"/>
          <w:kern w:val="22"/>
          <w:lang w:val="en-GB"/>
        </w:rPr>
        <w:t>,</w:t>
      </w:r>
      <w:r w:rsidRPr="00940647">
        <w:rPr>
          <w:spacing w:val="-2"/>
          <w:kern w:val="22"/>
          <w:lang w:val="en-GB"/>
        </w:rPr>
        <w:t xml:space="preserve"> such as </w:t>
      </w:r>
      <w:r w:rsidR="00A5477C" w:rsidRPr="00940647">
        <w:rPr>
          <w:spacing w:val="-2"/>
          <w:kern w:val="22"/>
          <w:lang w:val="en-GB"/>
        </w:rPr>
        <w:t xml:space="preserve">those produced by </w:t>
      </w:r>
      <w:proofErr w:type="spellStart"/>
      <w:r w:rsidRPr="00940647">
        <w:rPr>
          <w:spacing w:val="-2"/>
          <w:kern w:val="22"/>
          <w:lang w:val="en-GB"/>
        </w:rPr>
        <w:t>De</w:t>
      </w:r>
      <w:r w:rsidR="00570DA6" w:rsidRPr="00940647">
        <w:rPr>
          <w:spacing w:val="-2"/>
          <w:kern w:val="22"/>
          <w:lang w:val="en-GB"/>
        </w:rPr>
        <w:t>’</w:t>
      </w:r>
      <w:r w:rsidRPr="00940647">
        <w:rPr>
          <w:spacing w:val="-2"/>
          <w:kern w:val="22"/>
          <w:lang w:val="en-GB"/>
        </w:rPr>
        <w:t>Longhi</w:t>
      </w:r>
      <w:proofErr w:type="spellEnd"/>
      <w:r w:rsidRPr="00940647">
        <w:rPr>
          <w:spacing w:val="-2"/>
          <w:kern w:val="22"/>
          <w:lang w:val="en-GB"/>
        </w:rPr>
        <w:t xml:space="preserve">, Cuisinart, Philips, </w:t>
      </w:r>
      <w:r w:rsidR="00570DA6" w:rsidRPr="00940647">
        <w:rPr>
          <w:spacing w:val="-2"/>
          <w:kern w:val="22"/>
          <w:lang w:val="en-GB"/>
        </w:rPr>
        <w:t xml:space="preserve">and </w:t>
      </w:r>
      <w:proofErr w:type="spellStart"/>
      <w:r w:rsidRPr="00940647">
        <w:rPr>
          <w:spacing w:val="-2"/>
          <w:kern w:val="22"/>
          <w:lang w:val="en-GB"/>
        </w:rPr>
        <w:t>Fracino</w:t>
      </w:r>
      <w:proofErr w:type="spellEnd"/>
      <w:r w:rsidR="00570DA6" w:rsidRPr="00940647">
        <w:rPr>
          <w:spacing w:val="-2"/>
          <w:kern w:val="22"/>
          <w:lang w:val="en-GB"/>
        </w:rPr>
        <w:t>,</w:t>
      </w:r>
      <w:r w:rsidRPr="00940647">
        <w:rPr>
          <w:spacing w:val="-2"/>
          <w:kern w:val="22"/>
          <w:lang w:val="en-GB"/>
        </w:rPr>
        <w:t xml:space="preserve"> </w:t>
      </w:r>
      <w:r w:rsidR="00570DA6" w:rsidRPr="00940647">
        <w:rPr>
          <w:spacing w:val="-2"/>
          <w:kern w:val="22"/>
          <w:lang w:val="en-GB"/>
        </w:rPr>
        <w:t xml:space="preserve">and </w:t>
      </w:r>
      <w:r w:rsidR="00A5477C" w:rsidRPr="00940647">
        <w:rPr>
          <w:spacing w:val="-2"/>
          <w:kern w:val="22"/>
          <w:lang w:val="en-GB"/>
        </w:rPr>
        <w:t xml:space="preserve">Montague </w:t>
      </w:r>
      <w:r w:rsidR="00570DA6" w:rsidRPr="00940647">
        <w:rPr>
          <w:spacing w:val="-2"/>
          <w:kern w:val="22"/>
          <w:lang w:val="en-GB"/>
        </w:rPr>
        <w:t>was</w:t>
      </w:r>
      <w:r w:rsidRPr="00940647">
        <w:rPr>
          <w:spacing w:val="-2"/>
          <w:kern w:val="22"/>
          <w:lang w:val="en-GB"/>
        </w:rPr>
        <w:t xml:space="preserve"> concerned about the price sensitivity of consumers in the U</w:t>
      </w:r>
      <w:r w:rsidR="00312A56" w:rsidRPr="00940647">
        <w:rPr>
          <w:spacing w:val="-2"/>
          <w:kern w:val="22"/>
          <w:lang w:val="en-GB"/>
        </w:rPr>
        <w:t>.</w:t>
      </w:r>
      <w:r w:rsidRPr="00940647">
        <w:rPr>
          <w:spacing w:val="-2"/>
          <w:kern w:val="22"/>
          <w:lang w:val="en-GB"/>
        </w:rPr>
        <w:t>K</w:t>
      </w:r>
      <w:r w:rsidR="00312A56" w:rsidRPr="00940647">
        <w:rPr>
          <w:spacing w:val="-2"/>
          <w:kern w:val="22"/>
          <w:lang w:val="en-GB"/>
        </w:rPr>
        <w:t>.</w:t>
      </w:r>
      <w:r w:rsidRPr="00940647">
        <w:rPr>
          <w:spacing w:val="-2"/>
          <w:kern w:val="22"/>
          <w:lang w:val="en-GB"/>
        </w:rPr>
        <w:t xml:space="preserve"> market. </w:t>
      </w:r>
      <w:r w:rsidR="00570DA6" w:rsidRPr="00940647">
        <w:rPr>
          <w:spacing w:val="-2"/>
          <w:kern w:val="22"/>
          <w:lang w:val="en-GB"/>
        </w:rPr>
        <w:t xml:space="preserve">However, </w:t>
      </w:r>
      <w:r w:rsidR="00A5477C" w:rsidRPr="00940647">
        <w:rPr>
          <w:spacing w:val="-2"/>
          <w:kern w:val="22"/>
          <w:lang w:val="en-GB"/>
        </w:rPr>
        <w:t>while the exchange rate favoured the pound</w:t>
      </w:r>
      <w:r w:rsidR="00CD0B80" w:rsidRPr="00940647">
        <w:rPr>
          <w:spacing w:val="-2"/>
          <w:kern w:val="22"/>
          <w:lang w:val="en-GB"/>
        </w:rPr>
        <w:t xml:space="preserve"> over the euro, </w:t>
      </w:r>
      <w:r w:rsidR="00BF315B" w:rsidRPr="00940647">
        <w:rPr>
          <w:spacing w:val="-2"/>
          <w:kern w:val="22"/>
          <w:lang w:val="en-GB"/>
        </w:rPr>
        <w:t>Montague</w:t>
      </w:r>
      <w:r w:rsidRPr="00940647">
        <w:rPr>
          <w:spacing w:val="-2"/>
          <w:kern w:val="22"/>
          <w:lang w:val="en-GB"/>
        </w:rPr>
        <w:t xml:space="preserve"> was content to see </w:t>
      </w:r>
      <w:r w:rsidR="00A5477C" w:rsidRPr="00940647">
        <w:rPr>
          <w:spacing w:val="-2"/>
          <w:kern w:val="22"/>
          <w:lang w:val="en-GB"/>
        </w:rPr>
        <w:t>his U</w:t>
      </w:r>
      <w:r w:rsidR="00312A56" w:rsidRPr="00940647">
        <w:rPr>
          <w:spacing w:val="-2"/>
          <w:kern w:val="22"/>
          <w:lang w:val="en-GB"/>
        </w:rPr>
        <w:t>.</w:t>
      </w:r>
      <w:r w:rsidR="00A5477C" w:rsidRPr="00940647">
        <w:rPr>
          <w:spacing w:val="-2"/>
          <w:kern w:val="22"/>
          <w:lang w:val="en-GB"/>
        </w:rPr>
        <w:t>K</w:t>
      </w:r>
      <w:r w:rsidR="00312A56" w:rsidRPr="00940647">
        <w:rPr>
          <w:spacing w:val="-2"/>
          <w:kern w:val="22"/>
          <w:lang w:val="en-GB"/>
        </w:rPr>
        <w:t>.</w:t>
      </w:r>
      <w:r w:rsidR="00A5477C" w:rsidRPr="00940647">
        <w:rPr>
          <w:spacing w:val="-2"/>
          <w:kern w:val="22"/>
          <w:lang w:val="en-GB"/>
        </w:rPr>
        <w:t xml:space="preserve"> subsidiary reporting good-</w:t>
      </w:r>
      <w:r w:rsidRPr="00940647">
        <w:rPr>
          <w:spacing w:val="-2"/>
          <w:kern w:val="22"/>
          <w:lang w:val="en-GB"/>
        </w:rPr>
        <w:t xml:space="preserve">enough profits to the Milan headquarters of </w:t>
      </w:r>
      <w:proofErr w:type="spellStart"/>
      <w:r w:rsidRPr="00940647">
        <w:rPr>
          <w:spacing w:val="-2"/>
          <w:kern w:val="22"/>
          <w:lang w:val="en-GB"/>
        </w:rPr>
        <w:t>Molto</w:t>
      </w:r>
      <w:proofErr w:type="spellEnd"/>
      <w:r w:rsidRPr="00940647">
        <w:rPr>
          <w:spacing w:val="-2"/>
          <w:kern w:val="22"/>
          <w:lang w:val="en-GB"/>
        </w:rPr>
        <w:t xml:space="preserve"> </w:t>
      </w:r>
      <w:proofErr w:type="spellStart"/>
      <w:r w:rsidRPr="00940647">
        <w:rPr>
          <w:spacing w:val="-2"/>
          <w:kern w:val="22"/>
          <w:lang w:val="en-GB"/>
        </w:rPr>
        <w:t>Delizioso</w:t>
      </w:r>
      <w:proofErr w:type="spellEnd"/>
      <w:r w:rsidR="00A5477C" w:rsidRPr="00940647">
        <w:rPr>
          <w:spacing w:val="-2"/>
          <w:kern w:val="22"/>
          <w:lang w:val="en-GB"/>
        </w:rPr>
        <w:t xml:space="preserve"> (s</w:t>
      </w:r>
      <w:r w:rsidRPr="00940647">
        <w:rPr>
          <w:spacing w:val="-2"/>
          <w:kern w:val="22"/>
          <w:lang w:val="en-GB"/>
        </w:rPr>
        <w:t>ee Exhibit 1</w:t>
      </w:r>
      <w:r w:rsidR="00A5477C" w:rsidRPr="00940647">
        <w:rPr>
          <w:spacing w:val="-2"/>
          <w:kern w:val="22"/>
          <w:lang w:val="en-GB"/>
        </w:rPr>
        <w:t>)</w:t>
      </w:r>
      <w:r w:rsidRPr="00940647">
        <w:rPr>
          <w:spacing w:val="-2"/>
          <w:kern w:val="22"/>
          <w:lang w:val="en-GB"/>
        </w:rPr>
        <w:t>.</w:t>
      </w:r>
    </w:p>
    <w:p w:rsidR="00C65107" w:rsidRPr="00940647" w:rsidRDefault="00C65107" w:rsidP="00C65107">
      <w:pPr>
        <w:pStyle w:val="BodyTextMain"/>
        <w:rPr>
          <w:lang w:val="en-GB"/>
        </w:rPr>
      </w:pPr>
    </w:p>
    <w:p w:rsidR="00C65107" w:rsidRPr="00940647" w:rsidRDefault="00EF7D0B" w:rsidP="00C65107">
      <w:pPr>
        <w:pStyle w:val="BodyTextMain"/>
        <w:rPr>
          <w:spacing w:val="-2"/>
          <w:kern w:val="22"/>
          <w:lang w:val="en-GB"/>
        </w:rPr>
      </w:pPr>
      <w:r w:rsidRPr="00940647">
        <w:rPr>
          <w:spacing w:val="-2"/>
          <w:kern w:val="22"/>
          <w:lang w:val="en-GB"/>
        </w:rPr>
        <w:t xml:space="preserve">Montague’s contact in the Conservative (Tory) Party had assured him that the upcoming referendum on </w:t>
      </w:r>
      <w:r w:rsidR="00E36D32" w:rsidRPr="00940647">
        <w:rPr>
          <w:spacing w:val="-2"/>
          <w:kern w:val="22"/>
          <w:lang w:val="en-GB"/>
        </w:rPr>
        <w:t xml:space="preserve">the United Kingdom’s withdrawal from the European Union (EU), or </w:t>
      </w:r>
      <w:r w:rsidRPr="00940647">
        <w:rPr>
          <w:spacing w:val="-2"/>
          <w:kern w:val="22"/>
          <w:lang w:val="en-GB"/>
        </w:rPr>
        <w:t>Brexit</w:t>
      </w:r>
      <w:r w:rsidR="00E36D32" w:rsidRPr="00940647">
        <w:rPr>
          <w:spacing w:val="-2"/>
          <w:kern w:val="22"/>
          <w:lang w:val="en-GB"/>
        </w:rPr>
        <w:t>,</w:t>
      </w:r>
      <w:r w:rsidRPr="00940647">
        <w:rPr>
          <w:spacing w:val="-2"/>
          <w:kern w:val="22"/>
          <w:lang w:val="en-GB"/>
        </w:rPr>
        <w:t xml:space="preserve"> would surely result in a vote to remain. </w:t>
      </w:r>
      <w:r w:rsidR="00C65107" w:rsidRPr="00940647">
        <w:rPr>
          <w:spacing w:val="-2"/>
          <w:kern w:val="22"/>
          <w:lang w:val="en-GB"/>
        </w:rPr>
        <w:t>By early June 2016</w:t>
      </w:r>
      <w:r w:rsidR="00E36D32" w:rsidRPr="00940647">
        <w:rPr>
          <w:spacing w:val="-2"/>
          <w:kern w:val="22"/>
          <w:lang w:val="en-GB"/>
        </w:rPr>
        <w:t>,</w:t>
      </w:r>
      <w:r w:rsidR="00C65107" w:rsidRPr="00940647">
        <w:rPr>
          <w:spacing w:val="-2"/>
          <w:kern w:val="22"/>
          <w:lang w:val="en-GB"/>
        </w:rPr>
        <w:t xml:space="preserve"> however, Montague’s earlier confidence had evaporated and </w:t>
      </w:r>
      <w:r w:rsidR="002A0BCC" w:rsidRPr="00940647">
        <w:rPr>
          <w:spacing w:val="-2"/>
          <w:kern w:val="22"/>
          <w:lang w:val="en-GB"/>
        </w:rPr>
        <w:t xml:space="preserve">he had become </w:t>
      </w:r>
      <w:r w:rsidR="00C65107" w:rsidRPr="00940647">
        <w:rPr>
          <w:spacing w:val="-2"/>
          <w:kern w:val="22"/>
          <w:lang w:val="en-GB"/>
        </w:rPr>
        <w:t>anxious. What if the Brexit vote resulted in a decision</w:t>
      </w:r>
      <w:r w:rsidR="002A0BCC" w:rsidRPr="00940647">
        <w:rPr>
          <w:spacing w:val="-2"/>
          <w:kern w:val="22"/>
          <w:lang w:val="en-GB"/>
        </w:rPr>
        <w:t xml:space="preserve"> for the United Kingdom to leave</w:t>
      </w:r>
      <w:r w:rsidR="00A631F1" w:rsidRPr="00940647">
        <w:rPr>
          <w:spacing w:val="-2"/>
          <w:kern w:val="22"/>
          <w:lang w:val="en-GB"/>
        </w:rPr>
        <w:t>,</w:t>
      </w:r>
      <w:r w:rsidR="00C65107" w:rsidRPr="00940647">
        <w:rPr>
          <w:spacing w:val="-2"/>
          <w:kern w:val="22"/>
          <w:lang w:val="en-GB"/>
        </w:rPr>
        <w:t xml:space="preserve"> and the </w:t>
      </w:r>
      <w:r w:rsidR="002A0BCC" w:rsidRPr="00940647">
        <w:rPr>
          <w:spacing w:val="-2"/>
          <w:kern w:val="22"/>
          <w:lang w:val="en-GB"/>
        </w:rPr>
        <w:t>p</w:t>
      </w:r>
      <w:r w:rsidR="00C65107" w:rsidRPr="00940647">
        <w:rPr>
          <w:spacing w:val="-2"/>
          <w:kern w:val="22"/>
          <w:lang w:val="en-GB"/>
        </w:rPr>
        <w:t xml:space="preserve">ound </w:t>
      </w:r>
      <w:r w:rsidR="002A0BCC" w:rsidRPr="00940647">
        <w:rPr>
          <w:spacing w:val="-2"/>
          <w:kern w:val="22"/>
          <w:lang w:val="en-GB"/>
        </w:rPr>
        <w:t xml:space="preserve">were </w:t>
      </w:r>
      <w:r w:rsidR="00C65107" w:rsidRPr="00940647">
        <w:rPr>
          <w:spacing w:val="-2"/>
          <w:kern w:val="22"/>
          <w:lang w:val="en-GB"/>
        </w:rPr>
        <w:t xml:space="preserve">devalued? “We have to pay for the machines in </w:t>
      </w:r>
      <w:r w:rsidR="002A0BCC" w:rsidRPr="00940647">
        <w:rPr>
          <w:spacing w:val="-2"/>
          <w:kern w:val="22"/>
          <w:lang w:val="en-GB"/>
        </w:rPr>
        <w:t>e</w:t>
      </w:r>
      <w:r w:rsidR="00C65107" w:rsidRPr="00940647">
        <w:rPr>
          <w:spacing w:val="-2"/>
          <w:kern w:val="22"/>
          <w:lang w:val="en-GB"/>
        </w:rPr>
        <w:t>uros,” he told himself, “but sell in the U</w:t>
      </w:r>
      <w:r w:rsidR="00CD0B80" w:rsidRPr="00940647">
        <w:rPr>
          <w:spacing w:val="-2"/>
          <w:kern w:val="22"/>
          <w:lang w:val="en-GB"/>
        </w:rPr>
        <w:t>.</w:t>
      </w:r>
      <w:r w:rsidR="00C65107" w:rsidRPr="00940647">
        <w:rPr>
          <w:spacing w:val="-2"/>
          <w:kern w:val="22"/>
          <w:lang w:val="en-GB"/>
        </w:rPr>
        <w:t>K</w:t>
      </w:r>
      <w:r w:rsidR="00CD0B80" w:rsidRPr="00940647">
        <w:rPr>
          <w:spacing w:val="-2"/>
          <w:kern w:val="22"/>
          <w:lang w:val="en-GB"/>
        </w:rPr>
        <w:t>.</w:t>
      </w:r>
      <w:r w:rsidR="00C65107" w:rsidRPr="00940647">
        <w:rPr>
          <w:spacing w:val="-2"/>
          <w:kern w:val="22"/>
          <w:lang w:val="en-GB"/>
        </w:rPr>
        <w:t xml:space="preserve"> market in </w:t>
      </w:r>
      <w:r w:rsidR="002A0BCC" w:rsidRPr="00940647">
        <w:rPr>
          <w:spacing w:val="-2"/>
          <w:kern w:val="22"/>
          <w:lang w:val="en-GB"/>
        </w:rPr>
        <w:t>p</w:t>
      </w:r>
      <w:r w:rsidR="00C65107" w:rsidRPr="00940647">
        <w:rPr>
          <w:spacing w:val="-2"/>
          <w:kern w:val="22"/>
          <w:lang w:val="en-GB"/>
        </w:rPr>
        <w:t>ounds.”</w:t>
      </w:r>
    </w:p>
    <w:p w:rsidR="00C65107" w:rsidRPr="00940647" w:rsidRDefault="00C65107" w:rsidP="00C65107">
      <w:pPr>
        <w:pStyle w:val="BodyTextMain"/>
        <w:rPr>
          <w:lang w:val="en-GB"/>
        </w:rPr>
      </w:pPr>
    </w:p>
    <w:p w:rsidR="00C65107" w:rsidRPr="00940647" w:rsidRDefault="00C65107" w:rsidP="00C65107">
      <w:pPr>
        <w:pStyle w:val="BodyTextMain"/>
        <w:rPr>
          <w:lang w:val="en-GB"/>
        </w:rPr>
      </w:pPr>
    </w:p>
    <w:p w:rsidR="00C65107" w:rsidRPr="00940647" w:rsidRDefault="00C65107" w:rsidP="00C65107">
      <w:pPr>
        <w:pStyle w:val="Casehead1"/>
        <w:rPr>
          <w:lang w:val="en-GB"/>
        </w:rPr>
      </w:pPr>
      <w:r w:rsidRPr="00940647">
        <w:rPr>
          <w:lang w:val="en-GB"/>
        </w:rPr>
        <w:t>The Context</w:t>
      </w:r>
    </w:p>
    <w:p w:rsidR="00C65107" w:rsidRPr="00940647" w:rsidRDefault="00C65107" w:rsidP="00C65107">
      <w:pPr>
        <w:pStyle w:val="BodyTextMain"/>
        <w:rPr>
          <w:lang w:val="en-GB"/>
        </w:rPr>
      </w:pPr>
    </w:p>
    <w:p w:rsidR="00C65107" w:rsidRPr="00940647" w:rsidRDefault="009C1094" w:rsidP="00C65107">
      <w:pPr>
        <w:pStyle w:val="BodyTextMain"/>
        <w:rPr>
          <w:lang w:val="en-GB"/>
        </w:rPr>
      </w:pPr>
      <w:r w:rsidRPr="00940647">
        <w:rPr>
          <w:lang w:val="en-GB"/>
        </w:rPr>
        <w:t>Many items sold in the U</w:t>
      </w:r>
      <w:r w:rsidR="00CD0B80" w:rsidRPr="00940647">
        <w:rPr>
          <w:lang w:val="en-GB"/>
        </w:rPr>
        <w:t>.</w:t>
      </w:r>
      <w:r w:rsidRPr="00940647">
        <w:rPr>
          <w:lang w:val="en-GB"/>
        </w:rPr>
        <w:t>K</w:t>
      </w:r>
      <w:r w:rsidR="004F1889" w:rsidRPr="00940647">
        <w:rPr>
          <w:lang w:val="en-GB"/>
        </w:rPr>
        <w:t>.</w:t>
      </w:r>
      <w:r w:rsidRPr="00940647">
        <w:rPr>
          <w:lang w:val="en-GB"/>
        </w:rPr>
        <w:t xml:space="preserve"> market, such as the </w:t>
      </w:r>
      <w:proofErr w:type="spellStart"/>
      <w:r w:rsidRPr="00940647">
        <w:rPr>
          <w:lang w:val="en-GB"/>
        </w:rPr>
        <w:t>Molto</w:t>
      </w:r>
      <w:proofErr w:type="spellEnd"/>
      <w:r w:rsidRPr="00940647">
        <w:rPr>
          <w:lang w:val="en-GB"/>
        </w:rPr>
        <w:t xml:space="preserve"> </w:t>
      </w:r>
      <w:proofErr w:type="spellStart"/>
      <w:r w:rsidRPr="00940647">
        <w:rPr>
          <w:lang w:val="en-GB"/>
        </w:rPr>
        <w:t>Delizioso</w:t>
      </w:r>
      <w:proofErr w:type="spellEnd"/>
      <w:r w:rsidRPr="00940647">
        <w:rPr>
          <w:lang w:val="en-GB"/>
        </w:rPr>
        <w:t xml:space="preserve"> coffee machines, were imported and paid </w:t>
      </w:r>
      <w:r w:rsidR="00CD0B80" w:rsidRPr="00940647">
        <w:rPr>
          <w:lang w:val="en-GB"/>
        </w:rPr>
        <w:t>for in euros</w:t>
      </w:r>
      <w:r w:rsidR="004F1889" w:rsidRPr="00940647">
        <w:rPr>
          <w:lang w:val="en-GB"/>
        </w:rPr>
        <w:t>,</w:t>
      </w:r>
      <w:r w:rsidRPr="00940647">
        <w:rPr>
          <w:lang w:val="en-GB"/>
        </w:rPr>
        <w:t xml:space="preserve"> but when these items were sold by the U</w:t>
      </w:r>
      <w:r w:rsidR="00CD0B80" w:rsidRPr="00940647">
        <w:rPr>
          <w:lang w:val="en-GB"/>
        </w:rPr>
        <w:t>.</w:t>
      </w:r>
      <w:r w:rsidRPr="00940647">
        <w:rPr>
          <w:lang w:val="en-GB"/>
        </w:rPr>
        <w:t>K</w:t>
      </w:r>
      <w:r w:rsidR="00CD0B80" w:rsidRPr="00940647">
        <w:rPr>
          <w:lang w:val="en-GB"/>
        </w:rPr>
        <w:t>.</w:t>
      </w:r>
      <w:r w:rsidRPr="00940647">
        <w:rPr>
          <w:lang w:val="en-GB"/>
        </w:rPr>
        <w:t xml:space="preserve"> subsidiary, the </w:t>
      </w:r>
      <w:r w:rsidR="00CD0B80" w:rsidRPr="00940647">
        <w:rPr>
          <w:lang w:val="en-GB"/>
        </w:rPr>
        <w:t>revenue earned was in pounds</w:t>
      </w:r>
      <w:r w:rsidRPr="00940647">
        <w:rPr>
          <w:lang w:val="en-GB"/>
        </w:rPr>
        <w:t xml:space="preserve">. </w:t>
      </w:r>
      <w:r w:rsidR="00C65107" w:rsidRPr="00940647">
        <w:rPr>
          <w:lang w:val="en-GB"/>
        </w:rPr>
        <w:t>Foreign subsidiaries of multinational firms often purchase</w:t>
      </w:r>
      <w:r w:rsidR="00C42FB8" w:rsidRPr="00940647">
        <w:rPr>
          <w:lang w:val="en-GB"/>
        </w:rPr>
        <w:t>d</w:t>
      </w:r>
      <w:r w:rsidR="00C65107" w:rsidRPr="00940647">
        <w:rPr>
          <w:lang w:val="en-GB"/>
        </w:rPr>
        <w:t xml:space="preserve"> products or components f</w:t>
      </w:r>
      <w:r w:rsidR="00C42FB8" w:rsidRPr="00940647">
        <w:rPr>
          <w:lang w:val="en-GB"/>
        </w:rPr>
        <w:t xml:space="preserve">rom their parent </w:t>
      </w:r>
      <w:r w:rsidR="002A0BCC" w:rsidRPr="00940647">
        <w:rPr>
          <w:lang w:val="en-GB"/>
        </w:rPr>
        <w:t xml:space="preserve">companies </w:t>
      </w:r>
      <w:r w:rsidR="00C42FB8" w:rsidRPr="00940647">
        <w:rPr>
          <w:lang w:val="en-GB"/>
        </w:rPr>
        <w:t>and paid</w:t>
      </w:r>
      <w:r w:rsidR="00C65107" w:rsidRPr="00940647">
        <w:rPr>
          <w:lang w:val="en-GB"/>
        </w:rPr>
        <w:t xml:space="preserve"> for the import</w:t>
      </w:r>
      <w:r w:rsidR="002A0BCC" w:rsidRPr="00940647">
        <w:rPr>
          <w:lang w:val="en-GB"/>
        </w:rPr>
        <w:t>s</w:t>
      </w:r>
      <w:r w:rsidR="00C65107" w:rsidRPr="00940647">
        <w:rPr>
          <w:lang w:val="en-GB"/>
        </w:rPr>
        <w:t xml:space="preserve"> in the parent’s currency, but then s</w:t>
      </w:r>
      <w:r w:rsidR="00C42FB8" w:rsidRPr="00940647">
        <w:rPr>
          <w:lang w:val="en-GB"/>
        </w:rPr>
        <w:t>old</w:t>
      </w:r>
      <w:r w:rsidR="00C65107" w:rsidRPr="00940647">
        <w:rPr>
          <w:lang w:val="en-GB"/>
        </w:rPr>
        <w:t xml:space="preserve"> the item</w:t>
      </w:r>
      <w:r w:rsidR="002A0BCC" w:rsidRPr="00940647">
        <w:rPr>
          <w:lang w:val="en-GB"/>
        </w:rPr>
        <w:t>s</w:t>
      </w:r>
      <w:r w:rsidR="00C65107" w:rsidRPr="00940647">
        <w:rPr>
          <w:lang w:val="en-GB"/>
        </w:rPr>
        <w:t xml:space="preserve"> in the </w:t>
      </w:r>
      <w:r w:rsidR="002A0BCC" w:rsidRPr="00940647">
        <w:rPr>
          <w:lang w:val="en-GB"/>
        </w:rPr>
        <w:t xml:space="preserve">subsidiaries’ </w:t>
      </w:r>
      <w:r w:rsidR="00C65107" w:rsidRPr="00940647">
        <w:rPr>
          <w:lang w:val="en-GB"/>
        </w:rPr>
        <w:t xml:space="preserve">local </w:t>
      </w:r>
      <w:r w:rsidR="002A0BCC" w:rsidRPr="00940647">
        <w:rPr>
          <w:lang w:val="en-GB"/>
        </w:rPr>
        <w:t>currencies</w:t>
      </w:r>
      <w:r w:rsidR="00C42FB8" w:rsidRPr="00940647">
        <w:rPr>
          <w:lang w:val="en-GB"/>
        </w:rPr>
        <w:t>. Such intrafirm trade wa</w:t>
      </w:r>
      <w:r w:rsidR="00C65107" w:rsidRPr="00940647">
        <w:rPr>
          <w:lang w:val="en-GB"/>
        </w:rPr>
        <w:t>s very common</w:t>
      </w:r>
      <w:r w:rsidR="002A0BCC" w:rsidRPr="00940647">
        <w:rPr>
          <w:lang w:val="en-GB"/>
        </w:rPr>
        <w:t>.</w:t>
      </w:r>
      <w:r w:rsidR="00C65107" w:rsidRPr="00940647">
        <w:rPr>
          <w:rStyle w:val="FootnoteReference"/>
          <w:lang w:val="en-GB"/>
        </w:rPr>
        <w:footnoteReference w:id="2"/>
      </w:r>
      <w:r w:rsidR="00C65107" w:rsidRPr="00940647">
        <w:rPr>
          <w:lang w:val="en-GB"/>
        </w:rPr>
        <w:t xml:space="preserve"> According to </w:t>
      </w:r>
      <w:r w:rsidR="002A0BCC" w:rsidRPr="00940647">
        <w:rPr>
          <w:lang w:val="en-GB"/>
        </w:rPr>
        <w:t>the United Nations Conf</w:t>
      </w:r>
      <w:r w:rsidR="00CD0B80" w:rsidRPr="00940647">
        <w:rPr>
          <w:lang w:val="en-GB"/>
        </w:rPr>
        <w:t xml:space="preserve">erence on Trade and Development, </w:t>
      </w:r>
      <w:r w:rsidR="00C42FB8" w:rsidRPr="00940647">
        <w:rPr>
          <w:lang w:val="en-GB"/>
        </w:rPr>
        <w:t>a multinational company wa</w:t>
      </w:r>
      <w:r w:rsidR="00C65107" w:rsidRPr="00940647">
        <w:rPr>
          <w:lang w:val="en-GB"/>
        </w:rPr>
        <w:t xml:space="preserve">s </w:t>
      </w:r>
      <w:r w:rsidR="002A0BCC" w:rsidRPr="00940647">
        <w:rPr>
          <w:lang w:val="en-GB"/>
        </w:rPr>
        <w:t xml:space="preserve">involved as either the </w:t>
      </w:r>
      <w:r w:rsidR="00C65107" w:rsidRPr="00940647">
        <w:rPr>
          <w:lang w:val="en-GB"/>
        </w:rPr>
        <w:t xml:space="preserve">importer or </w:t>
      </w:r>
      <w:r w:rsidR="002A0BCC" w:rsidRPr="00940647">
        <w:rPr>
          <w:lang w:val="en-GB"/>
        </w:rPr>
        <w:t>the</w:t>
      </w:r>
      <w:r w:rsidR="00C65107" w:rsidRPr="00940647">
        <w:rPr>
          <w:lang w:val="en-GB"/>
        </w:rPr>
        <w:t xml:space="preserve"> exporter in 80 </w:t>
      </w:r>
      <w:r w:rsidR="00C65107" w:rsidRPr="00940647">
        <w:rPr>
          <w:lang w:val="en-GB"/>
        </w:rPr>
        <w:lastRenderedPageBreak/>
        <w:t>per</w:t>
      </w:r>
      <w:r w:rsidR="00C42FB8" w:rsidRPr="00940647">
        <w:rPr>
          <w:lang w:val="en-GB"/>
        </w:rPr>
        <w:t xml:space="preserve"> </w:t>
      </w:r>
      <w:r w:rsidR="00C65107" w:rsidRPr="00940647">
        <w:rPr>
          <w:lang w:val="en-GB"/>
        </w:rPr>
        <w:t>cent of world trade</w:t>
      </w:r>
      <w:r w:rsidR="002A0BCC" w:rsidRPr="00940647">
        <w:rPr>
          <w:lang w:val="en-GB"/>
        </w:rPr>
        <w:t>.</w:t>
      </w:r>
      <w:r w:rsidR="00C65107" w:rsidRPr="00940647">
        <w:rPr>
          <w:rStyle w:val="FootnoteReference"/>
          <w:lang w:val="en-GB"/>
        </w:rPr>
        <w:footnoteReference w:id="3"/>
      </w:r>
      <w:r w:rsidR="00C42FB8" w:rsidRPr="00940647">
        <w:rPr>
          <w:lang w:val="en-GB"/>
        </w:rPr>
        <w:t xml:space="preserve"> In general, when costs we</w:t>
      </w:r>
      <w:r w:rsidR="00C65107" w:rsidRPr="00940647">
        <w:rPr>
          <w:lang w:val="en-GB"/>
        </w:rPr>
        <w:t xml:space="preserve">re in </w:t>
      </w:r>
      <w:r w:rsidR="00C42FB8" w:rsidRPr="00940647">
        <w:rPr>
          <w:lang w:val="en-GB"/>
        </w:rPr>
        <w:t>one currency</w:t>
      </w:r>
      <w:r w:rsidR="002A0BCC" w:rsidRPr="00940647">
        <w:rPr>
          <w:lang w:val="en-GB"/>
        </w:rPr>
        <w:t xml:space="preserve"> but</w:t>
      </w:r>
      <w:r w:rsidR="00C42FB8" w:rsidRPr="00940647">
        <w:rPr>
          <w:lang w:val="en-GB"/>
        </w:rPr>
        <w:t xml:space="preserve"> revenues we</w:t>
      </w:r>
      <w:r w:rsidR="00C65107" w:rsidRPr="00940647">
        <w:rPr>
          <w:lang w:val="en-GB"/>
        </w:rPr>
        <w:t>re in another, any change in the exchange rate c</w:t>
      </w:r>
      <w:r w:rsidR="00C42FB8" w:rsidRPr="00940647">
        <w:rPr>
          <w:lang w:val="en-GB"/>
        </w:rPr>
        <w:t>ould</w:t>
      </w:r>
      <w:r w:rsidR="00C65107" w:rsidRPr="00940647">
        <w:rPr>
          <w:lang w:val="en-GB"/>
        </w:rPr>
        <w:t xml:space="preserve"> affect both</w:t>
      </w:r>
      <w:r w:rsidR="002A0BCC" w:rsidRPr="00940647">
        <w:rPr>
          <w:lang w:val="en-GB"/>
        </w:rPr>
        <w:t xml:space="preserve"> parties</w:t>
      </w:r>
      <w:r w:rsidR="00C65107" w:rsidRPr="00940647">
        <w:rPr>
          <w:lang w:val="en-GB"/>
        </w:rPr>
        <w:t xml:space="preserve"> and therefore alter the</w:t>
      </w:r>
      <w:r w:rsidR="00C42FB8" w:rsidRPr="00940647">
        <w:rPr>
          <w:lang w:val="en-GB"/>
        </w:rPr>
        <w:t xml:space="preserve"> profit of the operation. This </w:t>
      </w:r>
      <w:r w:rsidR="002A0BCC" w:rsidRPr="00940647">
        <w:rPr>
          <w:lang w:val="en-GB"/>
        </w:rPr>
        <w:t xml:space="preserve">situation </w:t>
      </w:r>
      <w:r w:rsidR="00C42FB8" w:rsidRPr="00940647">
        <w:rPr>
          <w:lang w:val="en-GB"/>
        </w:rPr>
        <w:t>wa</w:t>
      </w:r>
      <w:r w:rsidR="00C65107" w:rsidRPr="00940647">
        <w:rPr>
          <w:lang w:val="en-GB"/>
        </w:rPr>
        <w:t>s faced by hundreds of thousands of firms worldwide.</w:t>
      </w:r>
    </w:p>
    <w:p w:rsidR="00C65107" w:rsidRPr="00940647" w:rsidRDefault="00C65107" w:rsidP="00C65107">
      <w:pPr>
        <w:pStyle w:val="BodyTextMain"/>
        <w:rPr>
          <w:lang w:val="en-GB"/>
        </w:rPr>
      </w:pPr>
    </w:p>
    <w:p w:rsidR="00F92FC1" w:rsidRPr="00940647" w:rsidRDefault="00F92FC1" w:rsidP="00C65107">
      <w:pPr>
        <w:pStyle w:val="BodyTextMain"/>
        <w:rPr>
          <w:lang w:val="en-GB"/>
        </w:rPr>
      </w:pPr>
    </w:p>
    <w:p w:rsidR="00C65107" w:rsidRPr="00940647" w:rsidRDefault="00C65107" w:rsidP="007B702D">
      <w:pPr>
        <w:pStyle w:val="Casehead1"/>
        <w:rPr>
          <w:lang w:val="en-GB"/>
        </w:rPr>
      </w:pPr>
      <w:r w:rsidRPr="00940647">
        <w:rPr>
          <w:lang w:val="en-GB"/>
        </w:rPr>
        <w:t>June 2016:</w:t>
      </w:r>
      <w:r w:rsidR="00C42FB8" w:rsidRPr="00940647">
        <w:rPr>
          <w:lang w:val="en-GB"/>
        </w:rPr>
        <w:t xml:space="preserve"> Brexit and Devaluation of the Pound sterling</w:t>
      </w:r>
    </w:p>
    <w:p w:rsidR="00F92FC1" w:rsidRPr="00D02CAF" w:rsidRDefault="00F92FC1" w:rsidP="00C65107">
      <w:pPr>
        <w:pStyle w:val="BodyTextMain"/>
        <w:rPr>
          <w:kern w:val="22"/>
          <w:lang w:val="en-GB"/>
        </w:rPr>
      </w:pPr>
    </w:p>
    <w:p w:rsidR="004F1889" w:rsidRPr="00D02CAF" w:rsidRDefault="00C65107" w:rsidP="00F92FC1">
      <w:pPr>
        <w:pStyle w:val="BodyTextMain"/>
        <w:rPr>
          <w:kern w:val="22"/>
          <w:lang w:val="en-GB"/>
        </w:rPr>
      </w:pPr>
      <w:r w:rsidRPr="00D02CAF">
        <w:rPr>
          <w:kern w:val="22"/>
          <w:lang w:val="en-GB"/>
        </w:rPr>
        <w:t xml:space="preserve">The </w:t>
      </w:r>
      <w:r w:rsidR="007361F9" w:rsidRPr="00D02CAF">
        <w:rPr>
          <w:kern w:val="22"/>
          <w:lang w:val="en-GB"/>
        </w:rPr>
        <w:t>June 23, 2016, referendum and the decision of U</w:t>
      </w:r>
      <w:r w:rsidR="00312A56" w:rsidRPr="00D02CAF">
        <w:rPr>
          <w:kern w:val="22"/>
          <w:lang w:val="en-GB"/>
        </w:rPr>
        <w:t>.</w:t>
      </w:r>
      <w:r w:rsidR="007361F9" w:rsidRPr="00D02CAF">
        <w:rPr>
          <w:kern w:val="22"/>
          <w:lang w:val="en-GB"/>
        </w:rPr>
        <w:t>K</w:t>
      </w:r>
      <w:r w:rsidR="00312A56" w:rsidRPr="00D02CAF">
        <w:rPr>
          <w:kern w:val="22"/>
          <w:lang w:val="en-GB"/>
        </w:rPr>
        <w:t>.</w:t>
      </w:r>
      <w:r w:rsidR="007361F9" w:rsidRPr="00D02CAF">
        <w:rPr>
          <w:kern w:val="22"/>
          <w:lang w:val="en-GB"/>
        </w:rPr>
        <w:t xml:space="preserve"> voters </w:t>
      </w:r>
      <w:r w:rsidRPr="00D02CAF">
        <w:rPr>
          <w:kern w:val="22"/>
          <w:lang w:val="en-GB"/>
        </w:rPr>
        <w:t xml:space="preserve">to leave the European Union precipitated a devaluation of the </w:t>
      </w:r>
      <w:r w:rsidR="009C1094" w:rsidRPr="00D02CAF">
        <w:rPr>
          <w:kern w:val="22"/>
          <w:lang w:val="en-GB"/>
        </w:rPr>
        <w:t>p</w:t>
      </w:r>
      <w:r w:rsidRPr="00D02CAF">
        <w:rPr>
          <w:kern w:val="22"/>
          <w:lang w:val="en-GB"/>
        </w:rPr>
        <w:t xml:space="preserve">ound </w:t>
      </w:r>
      <w:r w:rsidR="009C1094" w:rsidRPr="00D02CAF">
        <w:rPr>
          <w:kern w:val="22"/>
          <w:lang w:val="en-GB"/>
        </w:rPr>
        <w:t>s</w:t>
      </w:r>
      <w:r w:rsidRPr="00D02CAF">
        <w:rPr>
          <w:kern w:val="22"/>
          <w:lang w:val="en-GB"/>
        </w:rPr>
        <w:t xml:space="preserve">terling. On June 24, the day after the Brexit vote, the </w:t>
      </w:r>
      <w:r w:rsidR="009C1094" w:rsidRPr="00D02CAF">
        <w:rPr>
          <w:kern w:val="22"/>
          <w:lang w:val="en-GB"/>
        </w:rPr>
        <w:t>p</w:t>
      </w:r>
      <w:r w:rsidRPr="00D02CAF">
        <w:rPr>
          <w:kern w:val="22"/>
          <w:lang w:val="en-GB"/>
        </w:rPr>
        <w:t>ound fell by almost 8 per</w:t>
      </w:r>
      <w:r w:rsidR="009C1094" w:rsidRPr="00D02CAF">
        <w:rPr>
          <w:kern w:val="22"/>
          <w:lang w:val="en-GB"/>
        </w:rPr>
        <w:t xml:space="preserve"> </w:t>
      </w:r>
      <w:r w:rsidRPr="00D02CAF">
        <w:rPr>
          <w:kern w:val="22"/>
          <w:lang w:val="en-GB"/>
        </w:rPr>
        <w:t>cent, and by July 6</w:t>
      </w:r>
      <w:r w:rsidR="009C1094" w:rsidRPr="00D02CAF">
        <w:rPr>
          <w:kern w:val="22"/>
          <w:lang w:val="en-GB"/>
        </w:rPr>
        <w:t xml:space="preserve">, it </w:t>
      </w:r>
      <w:r w:rsidRPr="00D02CAF">
        <w:rPr>
          <w:kern w:val="22"/>
          <w:lang w:val="en-GB"/>
        </w:rPr>
        <w:t>had dropped further</w:t>
      </w:r>
      <w:r w:rsidR="009C1094" w:rsidRPr="00D02CAF">
        <w:rPr>
          <w:kern w:val="22"/>
          <w:lang w:val="en-GB"/>
        </w:rPr>
        <w:t>,</w:t>
      </w:r>
      <w:r w:rsidRPr="00D02CAF">
        <w:rPr>
          <w:kern w:val="22"/>
          <w:lang w:val="en-GB"/>
        </w:rPr>
        <w:t xml:space="preserve"> to €1.16. That afternoon</w:t>
      </w:r>
      <w:r w:rsidR="009C1094" w:rsidRPr="00D02CAF">
        <w:rPr>
          <w:kern w:val="22"/>
          <w:lang w:val="en-GB"/>
        </w:rPr>
        <w:t>,</w:t>
      </w:r>
      <w:r w:rsidRPr="00D02CAF">
        <w:rPr>
          <w:kern w:val="22"/>
          <w:lang w:val="en-GB"/>
        </w:rPr>
        <w:t xml:space="preserve"> </w:t>
      </w:r>
      <w:r w:rsidR="009C1094" w:rsidRPr="00D02CAF">
        <w:rPr>
          <w:kern w:val="22"/>
          <w:lang w:val="en-GB"/>
        </w:rPr>
        <w:t xml:space="preserve">Montague received </w:t>
      </w:r>
      <w:r w:rsidRPr="00D02CAF">
        <w:rPr>
          <w:kern w:val="22"/>
          <w:lang w:val="en-GB"/>
        </w:rPr>
        <w:t xml:space="preserve">a frantic phone call from Umberto </w:t>
      </w:r>
      <w:proofErr w:type="spellStart"/>
      <w:r w:rsidRPr="00D02CAF">
        <w:rPr>
          <w:kern w:val="22"/>
          <w:lang w:val="en-GB"/>
        </w:rPr>
        <w:t>Galeazzi</w:t>
      </w:r>
      <w:proofErr w:type="spellEnd"/>
      <w:r w:rsidRPr="00D02CAF">
        <w:rPr>
          <w:kern w:val="22"/>
          <w:lang w:val="en-GB"/>
        </w:rPr>
        <w:t xml:space="preserve"> in </w:t>
      </w:r>
      <w:proofErr w:type="spellStart"/>
      <w:r w:rsidR="009C1094" w:rsidRPr="00D02CAF">
        <w:rPr>
          <w:kern w:val="22"/>
          <w:lang w:val="en-GB"/>
        </w:rPr>
        <w:t>Molto</w:t>
      </w:r>
      <w:proofErr w:type="spellEnd"/>
      <w:r w:rsidR="009C1094" w:rsidRPr="00D02CAF">
        <w:rPr>
          <w:kern w:val="22"/>
          <w:lang w:val="en-GB"/>
        </w:rPr>
        <w:t xml:space="preserve"> </w:t>
      </w:r>
      <w:proofErr w:type="spellStart"/>
      <w:r w:rsidR="009C1094" w:rsidRPr="00D02CAF">
        <w:rPr>
          <w:kern w:val="22"/>
          <w:lang w:val="en-GB"/>
        </w:rPr>
        <w:t>Delizioso’s</w:t>
      </w:r>
      <w:proofErr w:type="spellEnd"/>
      <w:r w:rsidR="009C1094" w:rsidRPr="00D02CAF">
        <w:rPr>
          <w:kern w:val="22"/>
          <w:lang w:val="en-GB"/>
        </w:rPr>
        <w:t xml:space="preserve"> </w:t>
      </w:r>
      <w:r w:rsidRPr="00D02CAF">
        <w:rPr>
          <w:kern w:val="22"/>
          <w:lang w:val="en-GB"/>
        </w:rPr>
        <w:t>Milan headquarters</w:t>
      </w:r>
      <w:r w:rsidR="009C1094" w:rsidRPr="00D02CAF">
        <w:rPr>
          <w:kern w:val="22"/>
          <w:lang w:val="en-GB"/>
        </w:rPr>
        <w:t>:</w:t>
      </w:r>
      <w:r w:rsidRPr="00D02CAF">
        <w:rPr>
          <w:kern w:val="22"/>
          <w:lang w:val="en-GB"/>
        </w:rPr>
        <w:t xml:space="preserve"> “Nigel, what are you going to do about our declining profits from your U</w:t>
      </w:r>
      <w:r w:rsidR="004F1889" w:rsidRPr="00D02CAF">
        <w:rPr>
          <w:kern w:val="22"/>
          <w:lang w:val="en-GB"/>
        </w:rPr>
        <w:t>.</w:t>
      </w:r>
      <w:r w:rsidRPr="00D02CAF">
        <w:rPr>
          <w:kern w:val="22"/>
          <w:lang w:val="en-GB"/>
        </w:rPr>
        <w:t>K</w:t>
      </w:r>
      <w:r w:rsidR="004F1889" w:rsidRPr="00D02CAF">
        <w:rPr>
          <w:kern w:val="22"/>
          <w:lang w:val="en-GB"/>
        </w:rPr>
        <w:t>.</w:t>
      </w:r>
      <w:r w:rsidRPr="00D02CAF">
        <w:rPr>
          <w:kern w:val="22"/>
          <w:lang w:val="en-GB"/>
        </w:rPr>
        <w:t xml:space="preserve"> subsidiary? We need a strong answer, with your plans</w:t>
      </w:r>
      <w:r w:rsidR="004F1889" w:rsidRPr="00D02CAF">
        <w:rPr>
          <w:kern w:val="22"/>
          <w:lang w:val="en-GB"/>
        </w:rPr>
        <w:t>,</w:t>
      </w:r>
      <w:r w:rsidRPr="00D02CAF">
        <w:rPr>
          <w:kern w:val="22"/>
          <w:lang w:val="en-GB"/>
        </w:rPr>
        <w:t xml:space="preserve"> by the beginning of the next fiscal quarter!” </w:t>
      </w:r>
    </w:p>
    <w:p w:rsidR="004F1889" w:rsidRPr="00940647" w:rsidRDefault="004F1889" w:rsidP="00F92FC1">
      <w:pPr>
        <w:pStyle w:val="BodyTextMain"/>
        <w:rPr>
          <w:spacing w:val="-4"/>
          <w:kern w:val="22"/>
          <w:lang w:val="en-GB"/>
        </w:rPr>
      </w:pPr>
    </w:p>
    <w:p w:rsidR="00C65107" w:rsidRPr="00940647" w:rsidRDefault="00C65107" w:rsidP="00F92FC1">
      <w:pPr>
        <w:pStyle w:val="BodyTextMain"/>
        <w:rPr>
          <w:spacing w:val="-4"/>
          <w:kern w:val="22"/>
          <w:lang w:val="en-GB"/>
        </w:rPr>
      </w:pPr>
      <w:r w:rsidRPr="00940647">
        <w:rPr>
          <w:spacing w:val="-4"/>
          <w:kern w:val="22"/>
          <w:lang w:val="en-GB"/>
        </w:rPr>
        <w:t xml:space="preserve">Dabbing his forehead, Montague could </w:t>
      </w:r>
      <w:r w:rsidR="009C1094" w:rsidRPr="00940647">
        <w:rPr>
          <w:spacing w:val="-4"/>
          <w:kern w:val="22"/>
          <w:lang w:val="en-GB"/>
        </w:rPr>
        <w:t xml:space="preserve">offer </w:t>
      </w:r>
      <w:r w:rsidR="004F1889" w:rsidRPr="00940647">
        <w:rPr>
          <w:spacing w:val="-4"/>
          <w:kern w:val="22"/>
          <w:lang w:val="en-GB"/>
        </w:rPr>
        <w:t xml:space="preserve">only </w:t>
      </w:r>
      <w:r w:rsidRPr="00940647">
        <w:rPr>
          <w:spacing w:val="-4"/>
          <w:kern w:val="22"/>
          <w:lang w:val="en-GB"/>
        </w:rPr>
        <w:t>a weak promise to commission additional market research over the next two months and get an answer to his Italian headquarters by September 2016.</w:t>
      </w:r>
    </w:p>
    <w:p w:rsidR="00C65107" w:rsidRPr="00940647" w:rsidRDefault="00C65107" w:rsidP="00F92FC1">
      <w:pPr>
        <w:pStyle w:val="BodyTextMain"/>
        <w:rPr>
          <w:sz w:val="16"/>
          <w:lang w:val="en-GB"/>
        </w:rPr>
      </w:pPr>
    </w:p>
    <w:p w:rsidR="007B702D" w:rsidRPr="00940647" w:rsidRDefault="00C65107" w:rsidP="00F92FC1">
      <w:pPr>
        <w:pStyle w:val="BodyTextMain"/>
        <w:rPr>
          <w:spacing w:val="-4"/>
          <w:lang w:val="en-GB"/>
        </w:rPr>
      </w:pPr>
      <w:r w:rsidRPr="00940647">
        <w:rPr>
          <w:spacing w:val="-4"/>
          <w:kern w:val="22"/>
          <w:lang w:val="en-GB"/>
        </w:rPr>
        <w:t>After the post-Brexit devaluation</w:t>
      </w:r>
      <w:r w:rsidR="009C1094" w:rsidRPr="00940647">
        <w:rPr>
          <w:spacing w:val="-4"/>
          <w:kern w:val="22"/>
          <w:lang w:val="en-GB"/>
        </w:rPr>
        <w:t xml:space="preserve"> of the pound</w:t>
      </w:r>
      <w:r w:rsidRPr="00940647">
        <w:rPr>
          <w:spacing w:val="-4"/>
          <w:kern w:val="22"/>
          <w:lang w:val="en-GB"/>
        </w:rPr>
        <w:t xml:space="preserve">, one option for British importers was to leave the local selling price in </w:t>
      </w:r>
      <w:r w:rsidR="009C1094" w:rsidRPr="00940647">
        <w:rPr>
          <w:spacing w:val="-4"/>
          <w:kern w:val="22"/>
          <w:lang w:val="en-GB"/>
        </w:rPr>
        <w:t xml:space="preserve">pounds </w:t>
      </w:r>
      <w:r w:rsidRPr="00940647">
        <w:rPr>
          <w:spacing w:val="-4"/>
          <w:kern w:val="22"/>
          <w:lang w:val="en-GB"/>
        </w:rPr>
        <w:t>unchanged</w:t>
      </w:r>
      <w:r w:rsidR="004F1889" w:rsidRPr="00940647">
        <w:rPr>
          <w:spacing w:val="-4"/>
          <w:kern w:val="22"/>
          <w:lang w:val="en-GB"/>
        </w:rPr>
        <w:t>;</w:t>
      </w:r>
      <w:r w:rsidRPr="00940647">
        <w:rPr>
          <w:spacing w:val="-4"/>
          <w:kern w:val="22"/>
          <w:lang w:val="en-GB"/>
        </w:rPr>
        <w:t xml:space="preserve"> </w:t>
      </w:r>
      <w:r w:rsidR="004F1889" w:rsidRPr="00940647">
        <w:rPr>
          <w:spacing w:val="-4"/>
          <w:kern w:val="22"/>
          <w:lang w:val="en-GB"/>
        </w:rPr>
        <w:t>h</w:t>
      </w:r>
      <w:r w:rsidR="009C1094" w:rsidRPr="00940647">
        <w:rPr>
          <w:spacing w:val="-4"/>
          <w:kern w:val="22"/>
          <w:lang w:val="en-GB"/>
        </w:rPr>
        <w:t xml:space="preserve">owever, </w:t>
      </w:r>
      <w:r w:rsidR="00A349DD" w:rsidRPr="00940647">
        <w:rPr>
          <w:spacing w:val="-4"/>
          <w:kern w:val="22"/>
          <w:lang w:val="en-GB"/>
        </w:rPr>
        <w:t>that decision</w:t>
      </w:r>
      <w:r w:rsidR="004F1889" w:rsidRPr="00940647">
        <w:rPr>
          <w:spacing w:val="-4"/>
          <w:kern w:val="22"/>
          <w:lang w:val="en-GB"/>
        </w:rPr>
        <w:t xml:space="preserve"> </w:t>
      </w:r>
      <w:r w:rsidRPr="00940647">
        <w:rPr>
          <w:spacing w:val="-4"/>
          <w:kern w:val="22"/>
          <w:lang w:val="en-GB"/>
        </w:rPr>
        <w:t xml:space="preserve">would reduce profits because </w:t>
      </w:r>
      <w:r w:rsidR="009C1094" w:rsidRPr="00940647">
        <w:rPr>
          <w:spacing w:val="-4"/>
          <w:kern w:val="22"/>
          <w:lang w:val="en-GB"/>
        </w:rPr>
        <w:t xml:space="preserve">the </w:t>
      </w:r>
      <w:r w:rsidRPr="00940647">
        <w:rPr>
          <w:spacing w:val="-4"/>
          <w:kern w:val="22"/>
          <w:lang w:val="en-GB"/>
        </w:rPr>
        <w:t xml:space="preserve">import costs in </w:t>
      </w:r>
      <w:r w:rsidR="00577BBA" w:rsidRPr="00940647">
        <w:rPr>
          <w:spacing w:val="-4"/>
          <w:kern w:val="22"/>
          <w:lang w:val="en-GB"/>
        </w:rPr>
        <w:t xml:space="preserve">pounds </w:t>
      </w:r>
      <w:r w:rsidR="009C1094" w:rsidRPr="00940647">
        <w:rPr>
          <w:spacing w:val="-4"/>
          <w:kern w:val="22"/>
          <w:lang w:val="en-GB"/>
        </w:rPr>
        <w:t>w</w:t>
      </w:r>
      <w:r w:rsidR="00577BBA" w:rsidRPr="00940647">
        <w:rPr>
          <w:spacing w:val="-4"/>
          <w:kern w:val="22"/>
          <w:lang w:val="en-GB"/>
        </w:rPr>
        <w:t>ere</w:t>
      </w:r>
      <w:r w:rsidR="009C1094" w:rsidRPr="00940647">
        <w:rPr>
          <w:spacing w:val="-4"/>
          <w:kern w:val="22"/>
          <w:lang w:val="en-GB"/>
        </w:rPr>
        <w:t xml:space="preserve"> going </w:t>
      </w:r>
      <w:r w:rsidRPr="00940647">
        <w:rPr>
          <w:spacing w:val="-4"/>
          <w:kern w:val="22"/>
          <w:lang w:val="en-GB"/>
        </w:rPr>
        <w:t>up. An alternative strategy used by many major importers</w:t>
      </w:r>
      <w:r w:rsidR="009C1094" w:rsidRPr="00940647">
        <w:rPr>
          <w:spacing w:val="-4"/>
          <w:kern w:val="22"/>
          <w:lang w:val="en-GB"/>
        </w:rPr>
        <w:t xml:space="preserve"> was</w:t>
      </w:r>
      <w:r w:rsidRPr="00940647">
        <w:rPr>
          <w:spacing w:val="-4"/>
          <w:kern w:val="22"/>
          <w:lang w:val="en-GB"/>
        </w:rPr>
        <w:t xml:space="preserve"> to increase prices in </w:t>
      </w:r>
      <w:r w:rsidR="009C1094" w:rsidRPr="00940647">
        <w:rPr>
          <w:spacing w:val="-4"/>
          <w:kern w:val="22"/>
          <w:lang w:val="en-GB"/>
        </w:rPr>
        <w:t xml:space="preserve">pounds </w:t>
      </w:r>
      <w:r w:rsidRPr="00940647">
        <w:rPr>
          <w:spacing w:val="-4"/>
          <w:kern w:val="22"/>
          <w:lang w:val="en-GB"/>
        </w:rPr>
        <w:t>per unit in the U</w:t>
      </w:r>
      <w:r w:rsidR="00CD0B80" w:rsidRPr="00940647">
        <w:rPr>
          <w:spacing w:val="-4"/>
          <w:kern w:val="22"/>
          <w:lang w:val="en-GB"/>
        </w:rPr>
        <w:t>.</w:t>
      </w:r>
      <w:r w:rsidRPr="00940647">
        <w:rPr>
          <w:spacing w:val="-4"/>
          <w:kern w:val="22"/>
          <w:lang w:val="en-GB"/>
        </w:rPr>
        <w:t>K</w:t>
      </w:r>
      <w:r w:rsidR="00CD0B80" w:rsidRPr="00940647">
        <w:rPr>
          <w:spacing w:val="-4"/>
          <w:kern w:val="22"/>
          <w:lang w:val="en-GB"/>
        </w:rPr>
        <w:t>.</w:t>
      </w:r>
      <w:r w:rsidRPr="00940647">
        <w:rPr>
          <w:spacing w:val="-4"/>
          <w:kern w:val="22"/>
          <w:lang w:val="en-GB"/>
        </w:rPr>
        <w:t xml:space="preserve"> market to make up for the higher </w:t>
      </w:r>
      <w:r w:rsidR="009C1094" w:rsidRPr="00940647">
        <w:rPr>
          <w:spacing w:val="-4"/>
          <w:kern w:val="22"/>
          <w:lang w:val="en-GB"/>
        </w:rPr>
        <w:t xml:space="preserve">post-devaluation </w:t>
      </w:r>
      <w:r w:rsidRPr="00940647">
        <w:rPr>
          <w:spacing w:val="-4"/>
          <w:kern w:val="22"/>
          <w:lang w:val="en-GB"/>
        </w:rPr>
        <w:t>costs</w:t>
      </w:r>
      <w:r w:rsidR="009C1094" w:rsidRPr="00940647">
        <w:rPr>
          <w:spacing w:val="-4"/>
          <w:kern w:val="22"/>
          <w:lang w:val="en-GB"/>
        </w:rPr>
        <w:t>.</w:t>
      </w:r>
      <w:r w:rsidRPr="00940647">
        <w:rPr>
          <w:rStyle w:val="FootnoteReference"/>
          <w:spacing w:val="-4"/>
          <w:kern w:val="22"/>
          <w:lang w:val="en-GB"/>
        </w:rPr>
        <w:footnoteReference w:id="4"/>
      </w:r>
      <w:r w:rsidRPr="00940647">
        <w:rPr>
          <w:spacing w:val="-4"/>
          <w:kern w:val="22"/>
          <w:lang w:val="en-GB"/>
        </w:rPr>
        <w:t xml:space="preserve"> </w:t>
      </w:r>
      <w:r w:rsidR="00CB1BA6" w:rsidRPr="00940647">
        <w:rPr>
          <w:spacing w:val="-4"/>
          <w:kern w:val="22"/>
          <w:lang w:val="en-GB"/>
        </w:rPr>
        <w:t xml:space="preserve">This </w:t>
      </w:r>
      <w:r w:rsidRPr="00940647">
        <w:rPr>
          <w:spacing w:val="-4"/>
          <w:kern w:val="22"/>
          <w:lang w:val="en-GB"/>
        </w:rPr>
        <w:t>alternative strategy could be better for profits</w:t>
      </w:r>
      <w:r w:rsidR="007E58F3" w:rsidRPr="00940647">
        <w:rPr>
          <w:spacing w:val="-4"/>
          <w:kern w:val="22"/>
          <w:lang w:val="en-GB"/>
        </w:rPr>
        <w:t>,</w:t>
      </w:r>
      <w:r w:rsidRPr="00940647">
        <w:rPr>
          <w:spacing w:val="-4"/>
          <w:kern w:val="22"/>
          <w:lang w:val="en-GB"/>
        </w:rPr>
        <w:t xml:space="preserve"> or not</w:t>
      </w:r>
      <w:r w:rsidR="007E58F3" w:rsidRPr="00940647">
        <w:rPr>
          <w:spacing w:val="-4"/>
          <w:kern w:val="22"/>
          <w:lang w:val="en-GB"/>
        </w:rPr>
        <w:t>,</w:t>
      </w:r>
      <w:r w:rsidRPr="00940647">
        <w:rPr>
          <w:spacing w:val="-4"/>
          <w:kern w:val="22"/>
          <w:lang w:val="en-GB"/>
        </w:rPr>
        <w:t xml:space="preserve"> depending on the reaction of U</w:t>
      </w:r>
      <w:r w:rsidR="002B705E" w:rsidRPr="00940647">
        <w:rPr>
          <w:spacing w:val="-4"/>
          <w:kern w:val="22"/>
          <w:lang w:val="en-GB"/>
        </w:rPr>
        <w:t>.</w:t>
      </w:r>
      <w:r w:rsidRPr="00940647">
        <w:rPr>
          <w:spacing w:val="-4"/>
          <w:kern w:val="22"/>
          <w:lang w:val="en-GB"/>
        </w:rPr>
        <w:t>K</w:t>
      </w:r>
      <w:r w:rsidR="002B705E" w:rsidRPr="00940647">
        <w:rPr>
          <w:spacing w:val="-4"/>
          <w:kern w:val="22"/>
          <w:lang w:val="en-GB"/>
        </w:rPr>
        <w:t>.</w:t>
      </w:r>
      <w:r w:rsidRPr="00940647">
        <w:rPr>
          <w:spacing w:val="-4"/>
          <w:kern w:val="22"/>
          <w:lang w:val="en-GB"/>
        </w:rPr>
        <w:t xml:space="preserve"> customers to price increases</w:t>
      </w:r>
      <w:r w:rsidR="009C1094" w:rsidRPr="00940647">
        <w:rPr>
          <w:spacing w:val="-4"/>
          <w:kern w:val="22"/>
          <w:lang w:val="en-GB"/>
        </w:rPr>
        <w:t>—</w:t>
      </w:r>
      <w:r w:rsidRPr="00940647">
        <w:rPr>
          <w:spacing w:val="-4"/>
          <w:kern w:val="22"/>
          <w:lang w:val="en-GB"/>
        </w:rPr>
        <w:t>or their price elasticity of demand</w:t>
      </w:r>
      <w:r w:rsidR="009C1094" w:rsidRPr="00940647">
        <w:rPr>
          <w:spacing w:val="-4"/>
          <w:kern w:val="22"/>
          <w:lang w:val="en-GB"/>
        </w:rPr>
        <w:t>.</w:t>
      </w:r>
      <w:r w:rsidRPr="00940647">
        <w:rPr>
          <w:rStyle w:val="FootnoteReference"/>
          <w:spacing w:val="-4"/>
          <w:kern w:val="22"/>
          <w:lang w:val="en-GB"/>
        </w:rPr>
        <w:footnoteReference w:id="5"/>
      </w:r>
      <w:r w:rsidRPr="00940647">
        <w:rPr>
          <w:spacing w:val="-4"/>
          <w:kern w:val="22"/>
          <w:lang w:val="en-GB"/>
        </w:rPr>
        <w:t xml:space="preserve"> </w:t>
      </w:r>
      <w:r w:rsidR="00A349DD" w:rsidRPr="00940647">
        <w:rPr>
          <w:spacing w:val="-4"/>
          <w:kern w:val="22"/>
          <w:lang w:val="en-GB"/>
        </w:rPr>
        <w:t>This reaction</w:t>
      </w:r>
      <w:r w:rsidR="009C1094" w:rsidRPr="00940647">
        <w:rPr>
          <w:spacing w:val="-4"/>
          <w:kern w:val="22"/>
          <w:lang w:val="en-GB"/>
        </w:rPr>
        <w:t xml:space="preserve"> </w:t>
      </w:r>
      <w:r w:rsidRPr="00940647">
        <w:rPr>
          <w:spacing w:val="-4"/>
          <w:kern w:val="22"/>
          <w:lang w:val="en-GB"/>
        </w:rPr>
        <w:t xml:space="preserve">in turn </w:t>
      </w:r>
      <w:r w:rsidR="009C1094" w:rsidRPr="00940647">
        <w:rPr>
          <w:spacing w:val="-4"/>
          <w:kern w:val="22"/>
          <w:lang w:val="en-GB"/>
        </w:rPr>
        <w:t xml:space="preserve">depended </w:t>
      </w:r>
      <w:r w:rsidRPr="00940647">
        <w:rPr>
          <w:spacing w:val="-4"/>
          <w:kern w:val="22"/>
          <w:lang w:val="en-GB"/>
        </w:rPr>
        <w:t>on the intensity of competition in the market for similar products.</w:t>
      </w:r>
      <w:r w:rsidR="00577BBA" w:rsidRPr="00940647">
        <w:rPr>
          <w:spacing w:val="-4"/>
          <w:kern w:val="22"/>
          <w:lang w:val="en-GB"/>
        </w:rPr>
        <w:t xml:space="preserve"> </w:t>
      </w:r>
      <w:r w:rsidRPr="00940647">
        <w:rPr>
          <w:spacing w:val="-4"/>
          <w:kern w:val="22"/>
          <w:lang w:val="en-GB"/>
        </w:rPr>
        <w:t xml:space="preserve">Turning to his spreadsheets, Montague saw what the numbers </w:t>
      </w:r>
      <w:r w:rsidR="00577BBA" w:rsidRPr="00940647">
        <w:rPr>
          <w:spacing w:val="-4"/>
          <w:kern w:val="22"/>
          <w:lang w:val="en-GB"/>
        </w:rPr>
        <w:t xml:space="preserve">had </w:t>
      </w:r>
      <w:r w:rsidRPr="00940647">
        <w:rPr>
          <w:spacing w:val="-4"/>
          <w:kern w:val="22"/>
          <w:lang w:val="en-GB"/>
        </w:rPr>
        <w:t>looked like in happier days</w:t>
      </w:r>
      <w:r w:rsidR="00577BBA" w:rsidRPr="00940647">
        <w:rPr>
          <w:spacing w:val="-4"/>
          <w:kern w:val="22"/>
          <w:lang w:val="en-GB"/>
        </w:rPr>
        <w:t xml:space="preserve"> (s</w:t>
      </w:r>
      <w:r w:rsidRPr="00940647">
        <w:rPr>
          <w:spacing w:val="-4"/>
          <w:kern w:val="22"/>
          <w:lang w:val="en-GB"/>
        </w:rPr>
        <w:t>ee Exhibit 1</w:t>
      </w:r>
      <w:r w:rsidR="00577BBA" w:rsidRPr="00940647">
        <w:rPr>
          <w:spacing w:val="-4"/>
          <w:kern w:val="22"/>
          <w:lang w:val="en-GB"/>
        </w:rPr>
        <w:t>)</w:t>
      </w:r>
      <w:r w:rsidRPr="00940647">
        <w:rPr>
          <w:spacing w:val="-4"/>
          <w:kern w:val="22"/>
          <w:lang w:val="en-GB"/>
        </w:rPr>
        <w:t xml:space="preserve">. </w:t>
      </w:r>
    </w:p>
    <w:p w:rsidR="00AB3072" w:rsidRPr="00940647" w:rsidRDefault="00AB3072" w:rsidP="007B702D">
      <w:pPr>
        <w:pStyle w:val="Casehead1"/>
        <w:rPr>
          <w:lang w:val="en-GB"/>
        </w:rPr>
      </w:pPr>
    </w:p>
    <w:p w:rsidR="00AB3072" w:rsidRPr="00940647" w:rsidRDefault="00AB3072" w:rsidP="007B702D">
      <w:pPr>
        <w:pStyle w:val="Casehead1"/>
        <w:rPr>
          <w:lang w:val="en-GB"/>
        </w:rPr>
      </w:pPr>
    </w:p>
    <w:p w:rsidR="00C65107" w:rsidRPr="00940647" w:rsidRDefault="00C65107" w:rsidP="007B702D">
      <w:pPr>
        <w:pStyle w:val="Casehead1"/>
        <w:rPr>
          <w:lang w:val="en-GB"/>
        </w:rPr>
      </w:pPr>
      <w:r w:rsidRPr="00940647">
        <w:rPr>
          <w:lang w:val="en-GB"/>
        </w:rPr>
        <w:t>Montague’s Dilemma: Keep Price Per Coffee Machine the Same, or Increase It?</w:t>
      </w:r>
    </w:p>
    <w:p w:rsidR="007B702D" w:rsidRPr="00940647" w:rsidRDefault="007B702D" w:rsidP="00F92FC1">
      <w:pPr>
        <w:pStyle w:val="BodyTextMain"/>
        <w:rPr>
          <w:sz w:val="16"/>
          <w:lang w:val="en-GB"/>
        </w:rPr>
      </w:pPr>
    </w:p>
    <w:p w:rsidR="00463AD2" w:rsidRPr="00940647" w:rsidRDefault="00C65107" w:rsidP="00F92FC1">
      <w:pPr>
        <w:pStyle w:val="BodyTextMain"/>
        <w:rPr>
          <w:lang w:val="en-GB"/>
        </w:rPr>
      </w:pPr>
      <w:r w:rsidRPr="00940647">
        <w:rPr>
          <w:lang w:val="en-GB"/>
        </w:rPr>
        <w:t xml:space="preserve">Montague learned from fellow members at his Argyll &amp; Cummerbund Club, who faced a similar import situation, that their </w:t>
      </w:r>
      <w:r w:rsidR="00577BBA" w:rsidRPr="00940647">
        <w:rPr>
          <w:lang w:val="en-GB"/>
        </w:rPr>
        <w:t>post</w:t>
      </w:r>
      <w:r w:rsidRPr="00940647">
        <w:rPr>
          <w:lang w:val="en-GB"/>
        </w:rPr>
        <w:t xml:space="preserve">-Brexit numbers ranged somewhere between sobering and </w:t>
      </w:r>
      <w:r w:rsidR="00577BBA" w:rsidRPr="00940647">
        <w:rPr>
          <w:lang w:val="en-GB"/>
        </w:rPr>
        <w:t>horrifying</w:t>
      </w:r>
      <w:r w:rsidRPr="00940647">
        <w:rPr>
          <w:lang w:val="en-GB"/>
        </w:rPr>
        <w:t>. “It all depends on how the damned buyer reacts,” opined Sir Colin Chelmsford, who headed a U</w:t>
      </w:r>
      <w:r w:rsidR="00312A56" w:rsidRPr="00940647">
        <w:rPr>
          <w:lang w:val="en-GB"/>
        </w:rPr>
        <w:t>.</w:t>
      </w:r>
      <w:r w:rsidRPr="00940647">
        <w:rPr>
          <w:lang w:val="en-GB"/>
        </w:rPr>
        <w:t>K</w:t>
      </w:r>
      <w:r w:rsidR="00312A56" w:rsidRPr="00940647">
        <w:rPr>
          <w:lang w:val="en-GB"/>
        </w:rPr>
        <w:t>.</w:t>
      </w:r>
      <w:r w:rsidRPr="00940647">
        <w:rPr>
          <w:lang w:val="en-GB"/>
        </w:rPr>
        <w:t xml:space="preserve"> company that imported German wines. “If I keep my price per bottle the same in </w:t>
      </w:r>
      <w:r w:rsidR="00577BBA" w:rsidRPr="00940647">
        <w:rPr>
          <w:lang w:val="en-GB"/>
        </w:rPr>
        <w:t>p</w:t>
      </w:r>
      <w:r w:rsidRPr="00940647">
        <w:rPr>
          <w:lang w:val="en-GB"/>
        </w:rPr>
        <w:t xml:space="preserve">ounds while my costs go up because the </w:t>
      </w:r>
      <w:r w:rsidR="00577BBA" w:rsidRPr="00940647">
        <w:rPr>
          <w:lang w:val="en-GB"/>
        </w:rPr>
        <w:t xml:space="preserve">pound has been </w:t>
      </w:r>
      <w:r w:rsidRPr="00940647">
        <w:rPr>
          <w:lang w:val="en-GB"/>
        </w:rPr>
        <w:t xml:space="preserve">devalued against the </w:t>
      </w:r>
      <w:r w:rsidR="00577BBA" w:rsidRPr="00940647">
        <w:rPr>
          <w:lang w:val="en-GB"/>
        </w:rPr>
        <w:t xml:space="preserve">euro, </w:t>
      </w:r>
      <w:r w:rsidRPr="00940647">
        <w:rPr>
          <w:lang w:val="en-GB"/>
        </w:rPr>
        <w:t xml:space="preserve">my profits shrink. But if I raise my price, volume will suffer.” </w:t>
      </w:r>
    </w:p>
    <w:p w:rsidR="00463AD2" w:rsidRPr="00940647" w:rsidRDefault="00463AD2" w:rsidP="00F92FC1">
      <w:pPr>
        <w:pStyle w:val="BodyTextMain"/>
        <w:rPr>
          <w:lang w:val="en-GB"/>
        </w:rPr>
      </w:pPr>
    </w:p>
    <w:p w:rsidR="00C65107" w:rsidRPr="00940647" w:rsidRDefault="00C65107" w:rsidP="00F92FC1">
      <w:pPr>
        <w:pStyle w:val="BodyTextMain"/>
        <w:rPr>
          <w:lang w:val="en-GB"/>
        </w:rPr>
      </w:pPr>
      <w:r w:rsidRPr="00940647">
        <w:rPr>
          <w:lang w:val="en-GB"/>
        </w:rPr>
        <w:t>Chelmsford then quickly added, “But who knows</w:t>
      </w:r>
      <w:r w:rsidR="00577BBA" w:rsidRPr="00940647">
        <w:rPr>
          <w:lang w:val="en-GB"/>
        </w:rPr>
        <w:t>?</w:t>
      </w:r>
      <w:r w:rsidRPr="00940647">
        <w:rPr>
          <w:lang w:val="en-GB"/>
        </w:rPr>
        <w:t xml:space="preserve"> </w:t>
      </w:r>
      <w:r w:rsidR="007E58F3" w:rsidRPr="00940647">
        <w:rPr>
          <w:lang w:val="en-GB"/>
        </w:rPr>
        <w:t xml:space="preserve">Raising prices </w:t>
      </w:r>
      <w:r w:rsidRPr="00940647">
        <w:rPr>
          <w:lang w:val="en-GB"/>
        </w:rPr>
        <w:t xml:space="preserve">may improve profits over keeping prices the same.” </w:t>
      </w:r>
    </w:p>
    <w:p w:rsidR="00C65107" w:rsidRPr="00940647" w:rsidRDefault="00C65107" w:rsidP="00F92FC1">
      <w:pPr>
        <w:pStyle w:val="BodyTextMain"/>
        <w:rPr>
          <w:spacing w:val="-2"/>
          <w:kern w:val="22"/>
          <w:sz w:val="16"/>
          <w:lang w:val="en-GB"/>
        </w:rPr>
      </w:pPr>
    </w:p>
    <w:p w:rsidR="00463AD2" w:rsidRPr="00940647" w:rsidRDefault="00C65107" w:rsidP="00312A56">
      <w:pPr>
        <w:pStyle w:val="BodyTextMain"/>
        <w:rPr>
          <w:spacing w:val="-2"/>
          <w:kern w:val="22"/>
          <w:lang w:val="en-GB"/>
        </w:rPr>
      </w:pPr>
      <w:r w:rsidRPr="00940647">
        <w:rPr>
          <w:spacing w:val="-2"/>
          <w:kern w:val="22"/>
          <w:lang w:val="en-GB"/>
        </w:rPr>
        <w:t>“In my situation,” Montague interjected, “there is an added complication.</w:t>
      </w:r>
      <w:r w:rsidR="00577BBA" w:rsidRPr="00940647">
        <w:rPr>
          <w:spacing w:val="-2"/>
          <w:kern w:val="22"/>
          <w:lang w:val="en-GB"/>
        </w:rPr>
        <w:t xml:space="preserve"> </w:t>
      </w:r>
      <w:r w:rsidRPr="00940647">
        <w:rPr>
          <w:spacing w:val="-2"/>
          <w:kern w:val="22"/>
          <w:lang w:val="en-GB"/>
        </w:rPr>
        <w:t xml:space="preserve">The </w:t>
      </w:r>
      <w:r w:rsidR="00577BBA" w:rsidRPr="00940647">
        <w:rPr>
          <w:spacing w:val="-2"/>
          <w:kern w:val="22"/>
          <w:lang w:val="en-GB"/>
        </w:rPr>
        <w:t>p</w:t>
      </w:r>
      <w:r w:rsidRPr="00940647">
        <w:rPr>
          <w:spacing w:val="-2"/>
          <w:kern w:val="22"/>
          <w:lang w:val="en-GB"/>
        </w:rPr>
        <w:t xml:space="preserve">ound </w:t>
      </w:r>
      <w:r w:rsidR="00577BBA" w:rsidRPr="00940647">
        <w:rPr>
          <w:spacing w:val="-2"/>
          <w:kern w:val="22"/>
          <w:lang w:val="en-GB"/>
        </w:rPr>
        <w:t>s</w:t>
      </w:r>
      <w:r w:rsidRPr="00940647">
        <w:rPr>
          <w:spacing w:val="-2"/>
          <w:kern w:val="22"/>
          <w:lang w:val="en-GB"/>
        </w:rPr>
        <w:t xml:space="preserve">terling profits of my subsidiary have to </w:t>
      </w:r>
      <w:r w:rsidR="00577BBA" w:rsidRPr="00940647">
        <w:rPr>
          <w:spacing w:val="-2"/>
          <w:kern w:val="22"/>
          <w:lang w:val="en-GB"/>
        </w:rPr>
        <w:t xml:space="preserve">then </w:t>
      </w:r>
      <w:r w:rsidRPr="00940647">
        <w:rPr>
          <w:spacing w:val="-2"/>
          <w:kern w:val="22"/>
          <w:lang w:val="en-GB"/>
        </w:rPr>
        <w:t xml:space="preserve">be converted back into </w:t>
      </w:r>
      <w:r w:rsidR="00577BBA" w:rsidRPr="00940647">
        <w:rPr>
          <w:spacing w:val="-2"/>
          <w:kern w:val="22"/>
          <w:lang w:val="en-GB"/>
        </w:rPr>
        <w:t>e</w:t>
      </w:r>
      <w:r w:rsidRPr="00940647">
        <w:rPr>
          <w:spacing w:val="-2"/>
          <w:kern w:val="22"/>
          <w:lang w:val="en-GB"/>
        </w:rPr>
        <w:t>uros</w:t>
      </w:r>
      <w:r w:rsidR="00577BBA" w:rsidRPr="00940647">
        <w:rPr>
          <w:spacing w:val="-2"/>
          <w:kern w:val="22"/>
          <w:lang w:val="en-GB"/>
        </w:rPr>
        <w:t>,</w:t>
      </w:r>
      <w:r w:rsidRPr="00940647">
        <w:rPr>
          <w:spacing w:val="-2"/>
          <w:kern w:val="22"/>
          <w:lang w:val="en-GB"/>
        </w:rPr>
        <w:t xml:space="preserve"> and that’s the picture that Milan headquarters really cares about.”</w:t>
      </w:r>
      <w:r w:rsidR="002B705E" w:rsidRPr="00940647">
        <w:rPr>
          <w:spacing w:val="-2"/>
          <w:kern w:val="22"/>
          <w:lang w:val="en-GB"/>
        </w:rPr>
        <w:t xml:space="preserve"> </w:t>
      </w:r>
    </w:p>
    <w:p w:rsidR="00463AD2" w:rsidRPr="00940647" w:rsidRDefault="00463AD2" w:rsidP="00312A56">
      <w:pPr>
        <w:pStyle w:val="BodyTextMain"/>
        <w:rPr>
          <w:spacing w:val="-2"/>
          <w:kern w:val="22"/>
          <w:lang w:val="en-GB"/>
        </w:rPr>
      </w:pPr>
    </w:p>
    <w:p w:rsidR="002B705E" w:rsidRPr="00940647" w:rsidRDefault="00C65107" w:rsidP="00312A56">
      <w:pPr>
        <w:pStyle w:val="BodyTextMain"/>
        <w:rPr>
          <w:lang w:val="en-GB"/>
        </w:rPr>
      </w:pPr>
      <w:r w:rsidRPr="00940647">
        <w:rPr>
          <w:lang w:val="en-GB"/>
        </w:rPr>
        <w:t>On his way home from a somb</w:t>
      </w:r>
      <w:r w:rsidR="00577BBA" w:rsidRPr="00940647">
        <w:rPr>
          <w:lang w:val="en-GB"/>
        </w:rPr>
        <w:t>re</w:t>
      </w:r>
      <w:r w:rsidRPr="00940647">
        <w:rPr>
          <w:lang w:val="en-GB"/>
        </w:rPr>
        <w:t xml:space="preserve"> dinner at </w:t>
      </w:r>
      <w:r w:rsidR="00577BBA" w:rsidRPr="00940647">
        <w:rPr>
          <w:lang w:val="en-GB"/>
        </w:rPr>
        <w:t xml:space="preserve">the </w:t>
      </w:r>
      <w:r w:rsidRPr="00940647">
        <w:rPr>
          <w:lang w:val="en-GB"/>
        </w:rPr>
        <w:t xml:space="preserve">club, Montague </w:t>
      </w:r>
      <w:r w:rsidR="00CB1BA6" w:rsidRPr="00940647">
        <w:rPr>
          <w:lang w:val="en-GB"/>
        </w:rPr>
        <w:t xml:space="preserve">reviewed </w:t>
      </w:r>
      <w:r w:rsidRPr="00940647">
        <w:rPr>
          <w:lang w:val="en-GB"/>
        </w:rPr>
        <w:t xml:space="preserve">his options. </w:t>
      </w:r>
      <w:r w:rsidR="00463AD2" w:rsidRPr="00940647">
        <w:rPr>
          <w:lang w:val="en-GB"/>
        </w:rPr>
        <w:t xml:space="preserve">Should he keep the price per coffee machine the same, or should he increase it? </w:t>
      </w:r>
      <w:r w:rsidRPr="00940647">
        <w:rPr>
          <w:lang w:val="en-GB"/>
        </w:rPr>
        <w:t>“I had better commission a quick market study and get a report from a marketing consultancy</w:t>
      </w:r>
      <w:r w:rsidR="00CB1BA6" w:rsidRPr="00940647">
        <w:rPr>
          <w:lang w:val="en-GB"/>
        </w:rPr>
        <w:t>,” he decided.</w:t>
      </w:r>
    </w:p>
    <w:p w:rsidR="002B705E" w:rsidRPr="00940647" w:rsidRDefault="002B705E" w:rsidP="00312A56">
      <w:pPr>
        <w:pStyle w:val="BodyTextMain"/>
        <w:rPr>
          <w:sz w:val="16"/>
          <w:lang w:val="en-GB"/>
        </w:rPr>
      </w:pPr>
    </w:p>
    <w:p w:rsidR="002B705E" w:rsidRPr="00940647" w:rsidRDefault="002B705E" w:rsidP="00312A56">
      <w:pPr>
        <w:pStyle w:val="BodyTextMain"/>
        <w:rPr>
          <w:sz w:val="16"/>
          <w:lang w:val="en-GB"/>
        </w:rPr>
      </w:pPr>
    </w:p>
    <w:p w:rsidR="00C65107" w:rsidRPr="00940647" w:rsidRDefault="00C65107" w:rsidP="00312A56">
      <w:pPr>
        <w:pStyle w:val="Casehead1"/>
        <w:keepNext/>
        <w:keepLines/>
        <w:rPr>
          <w:lang w:val="en-GB"/>
        </w:rPr>
      </w:pPr>
      <w:r w:rsidRPr="00940647">
        <w:rPr>
          <w:lang w:val="en-GB"/>
        </w:rPr>
        <w:lastRenderedPageBreak/>
        <w:t>The Consultant’s Report: Two Months Later</w:t>
      </w:r>
    </w:p>
    <w:p w:rsidR="007B702D" w:rsidRPr="00940647" w:rsidRDefault="007B702D" w:rsidP="00312A56">
      <w:pPr>
        <w:pStyle w:val="BodyTextMain"/>
        <w:keepNext/>
        <w:keepLines/>
        <w:rPr>
          <w:lang w:val="en-GB"/>
        </w:rPr>
      </w:pPr>
    </w:p>
    <w:p w:rsidR="00C65107" w:rsidRPr="00D02CAF" w:rsidRDefault="00C65107" w:rsidP="00312A56">
      <w:pPr>
        <w:pStyle w:val="BodyTextMain"/>
        <w:keepNext/>
        <w:keepLines/>
        <w:rPr>
          <w:spacing w:val="-2"/>
          <w:kern w:val="22"/>
          <w:lang w:val="en-GB"/>
        </w:rPr>
      </w:pPr>
      <w:r w:rsidRPr="00D02CAF">
        <w:rPr>
          <w:spacing w:val="-2"/>
          <w:kern w:val="22"/>
          <w:lang w:val="en-GB"/>
        </w:rPr>
        <w:t xml:space="preserve">Montague </w:t>
      </w:r>
      <w:r w:rsidR="00894476" w:rsidRPr="00D02CAF">
        <w:rPr>
          <w:spacing w:val="-2"/>
          <w:kern w:val="22"/>
          <w:lang w:val="en-GB"/>
        </w:rPr>
        <w:t xml:space="preserve">saw </w:t>
      </w:r>
      <w:r w:rsidRPr="00D02CAF">
        <w:rPr>
          <w:spacing w:val="-2"/>
          <w:kern w:val="22"/>
          <w:lang w:val="en-GB"/>
        </w:rPr>
        <w:t xml:space="preserve">that he </w:t>
      </w:r>
      <w:r w:rsidR="00894476" w:rsidRPr="00D02CAF">
        <w:rPr>
          <w:spacing w:val="-2"/>
          <w:kern w:val="22"/>
          <w:lang w:val="en-GB"/>
        </w:rPr>
        <w:t xml:space="preserve">might </w:t>
      </w:r>
      <w:r w:rsidRPr="00D02CAF">
        <w:rPr>
          <w:spacing w:val="-2"/>
          <w:kern w:val="22"/>
          <w:lang w:val="en-GB"/>
        </w:rPr>
        <w:t>be forced to raise prices for the coffee machines in the U</w:t>
      </w:r>
      <w:r w:rsidR="00312A56" w:rsidRPr="00D02CAF">
        <w:rPr>
          <w:spacing w:val="-2"/>
          <w:kern w:val="22"/>
          <w:lang w:val="en-GB"/>
        </w:rPr>
        <w:t>.</w:t>
      </w:r>
      <w:r w:rsidRPr="00D02CAF">
        <w:rPr>
          <w:spacing w:val="-2"/>
          <w:kern w:val="22"/>
          <w:lang w:val="en-GB"/>
        </w:rPr>
        <w:t>K</w:t>
      </w:r>
      <w:r w:rsidR="00312A56" w:rsidRPr="00D02CAF">
        <w:rPr>
          <w:spacing w:val="-2"/>
          <w:kern w:val="22"/>
          <w:lang w:val="en-GB"/>
        </w:rPr>
        <w:t>.</w:t>
      </w:r>
      <w:r w:rsidRPr="00D02CAF">
        <w:rPr>
          <w:spacing w:val="-2"/>
          <w:kern w:val="22"/>
          <w:lang w:val="en-GB"/>
        </w:rPr>
        <w:t xml:space="preserve"> market. He </w:t>
      </w:r>
      <w:r w:rsidR="00894476" w:rsidRPr="00D02CAF">
        <w:rPr>
          <w:spacing w:val="-2"/>
          <w:kern w:val="22"/>
          <w:lang w:val="en-GB"/>
        </w:rPr>
        <w:t>decided to</w:t>
      </w:r>
      <w:r w:rsidRPr="00D02CAF">
        <w:rPr>
          <w:spacing w:val="-2"/>
          <w:kern w:val="22"/>
          <w:lang w:val="en-GB"/>
        </w:rPr>
        <w:t xml:space="preserve"> try </w:t>
      </w:r>
      <w:r w:rsidR="00894476" w:rsidRPr="00D02CAF">
        <w:rPr>
          <w:spacing w:val="-2"/>
          <w:kern w:val="22"/>
          <w:lang w:val="en-GB"/>
        </w:rPr>
        <w:t>increasing the</w:t>
      </w:r>
      <w:r w:rsidRPr="00D02CAF">
        <w:rPr>
          <w:spacing w:val="-2"/>
          <w:kern w:val="22"/>
          <w:lang w:val="en-GB"/>
        </w:rPr>
        <w:t xml:space="preserve"> price from the current £200 to £235 per unit</w:t>
      </w:r>
      <w:r w:rsidR="00894476" w:rsidRPr="00D02CAF">
        <w:rPr>
          <w:spacing w:val="-2"/>
          <w:kern w:val="22"/>
          <w:lang w:val="en-GB"/>
        </w:rPr>
        <w:t xml:space="preserve">. </w:t>
      </w:r>
      <w:r w:rsidR="00A349DD" w:rsidRPr="00D02CAF">
        <w:rPr>
          <w:spacing w:val="-2"/>
          <w:kern w:val="22"/>
          <w:lang w:val="en-GB"/>
        </w:rPr>
        <w:t>This change</w:t>
      </w:r>
      <w:r w:rsidR="00333B79" w:rsidRPr="00D02CAF">
        <w:rPr>
          <w:spacing w:val="-2"/>
          <w:kern w:val="22"/>
          <w:lang w:val="en-GB"/>
        </w:rPr>
        <w:t xml:space="preserve"> </w:t>
      </w:r>
      <w:r w:rsidR="00894476" w:rsidRPr="00D02CAF">
        <w:rPr>
          <w:spacing w:val="-2"/>
          <w:kern w:val="22"/>
          <w:lang w:val="en-GB"/>
        </w:rPr>
        <w:t xml:space="preserve">would be a </w:t>
      </w:r>
      <w:r w:rsidRPr="00D02CAF">
        <w:rPr>
          <w:spacing w:val="-2"/>
          <w:kern w:val="22"/>
          <w:lang w:val="en-GB"/>
        </w:rPr>
        <w:t>17.5</w:t>
      </w:r>
      <w:r w:rsidR="00894476" w:rsidRPr="00D02CAF">
        <w:rPr>
          <w:spacing w:val="-2"/>
          <w:kern w:val="22"/>
          <w:lang w:val="en-GB"/>
        </w:rPr>
        <w:t xml:space="preserve"> per cent increase—</w:t>
      </w:r>
      <w:r w:rsidRPr="00D02CAF">
        <w:rPr>
          <w:spacing w:val="-2"/>
          <w:kern w:val="22"/>
          <w:lang w:val="en-GB"/>
        </w:rPr>
        <w:t xml:space="preserve">roughly the same percentage </w:t>
      </w:r>
      <w:r w:rsidR="00894476" w:rsidRPr="00D02CAF">
        <w:rPr>
          <w:spacing w:val="-2"/>
          <w:kern w:val="22"/>
          <w:lang w:val="en-GB"/>
        </w:rPr>
        <w:t xml:space="preserve">as </w:t>
      </w:r>
      <w:r w:rsidRPr="00D02CAF">
        <w:rPr>
          <w:spacing w:val="-2"/>
          <w:kern w:val="22"/>
          <w:lang w:val="en-GB"/>
        </w:rPr>
        <w:t xml:space="preserve">the </w:t>
      </w:r>
      <w:r w:rsidR="00894476" w:rsidRPr="00D02CAF">
        <w:rPr>
          <w:spacing w:val="-2"/>
          <w:kern w:val="22"/>
          <w:lang w:val="en-GB"/>
        </w:rPr>
        <w:t xml:space="preserve">pound’s </w:t>
      </w:r>
      <w:r w:rsidRPr="00D02CAF">
        <w:rPr>
          <w:spacing w:val="-2"/>
          <w:kern w:val="22"/>
          <w:lang w:val="en-GB"/>
        </w:rPr>
        <w:t>devalu</w:t>
      </w:r>
      <w:r w:rsidR="00894476" w:rsidRPr="00D02CAF">
        <w:rPr>
          <w:spacing w:val="-2"/>
          <w:kern w:val="22"/>
          <w:lang w:val="en-GB"/>
        </w:rPr>
        <w:t>ation</w:t>
      </w:r>
      <w:r w:rsidRPr="00D02CAF">
        <w:rPr>
          <w:spacing w:val="-2"/>
          <w:kern w:val="22"/>
          <w:lang w:val="en-GB"/>
        </w:rPr>
        <w:t xml:space="preserve"> against the </w:t>
      </w:r>
      <w:r w:rsidR="00894476" w:rsidRPr="00D02CAF">
        <w:rPr>
          <w:spacing w:val="-2"/>
          <w:kern w:val="22"/>
          <w:lang w:val="en-GB"/>
        </w:rPr>
        <w:t xml:space="preserve">euro. </w:t>
      </w:r>
      <w:r w:rsidRPr="00D02CAF">
        <w:rPr>
          <w:spacing w:val="-2"/>
          <w:kern w:val="22"/>
          <w:lang w:val="en-GB"/>
        </w:rPr>
        <w:t>“</w:t>
      </w:r>
      <w:r w:rsidR="00894476" w:rsidRPr="00D02CAF">
        <w:rPr>
          <w:spacing w:val="-2"/>
          <w:kern w:val="22"/>
          <w:lang w:val="en-GB"/>
        </w:rPr>
        <w:t>It’s n</w:t>
      </w:r>
      <w:r w:rsidRPr="00D02CAF">
        <w:rPr>
          <w:spacing w:val="-2"/>
          <w:kern w:val="22"/>
          <w:lang w:val="en-GB"/>
        </w:rPr>
        <w:t>ot very scientific,” Montague thought to himself, “</w:t>
      </w:r>
      <w:r w:rsidR="00894476" w:rsidRPr="00D02CAF">
        <w:rPr>
          <w:spacing w:val="-2"/>
          <w:kern w:val="22"/>
          <w:lang w:val="en-GB"/>
        </w:rPr>
        <w:t>b</w:t>
      </w:r>
      <w:r w:rsidRPr="00D02CAF">
        <w:rPr>
          <w:spacing w:val="-2"/>
          <w:kern w:val="22"/>
          <w:lang w:val="en-GB"/>
        </w:rPr>
        <w:t>ut at least it will show Milan headquarters that I am taking some action</w:t>
      </w:r>
      <w:r w:rsidR="00894476" w:rsidRPr="00D02CAF">
        <w:rPr>
          <w:spacing w:val="-2"/>
          <w:kern w:val="22"/>
          <w:lang w:val="en-GB"/>
        </w:rPr>
        <w:t>.</w:t>
      </w:r>
      <w:r w:rsidRPr="00D02CAF">
        <w:rPr>
          <w:spacing w:val="-2"/>
          <w:kern w:val="22"/>
          <w:lang w:val="en-GB"/>
        </w:rPr>
        <w:t xml:space="preserve">” </w:t>
      </w:r>
    </w:p>
    <w:p w:rsidR="00C65107" w:rsidRPr="00940647" w:rsidRDefault="00C65107" w:rsidP="00F92FC1">
      <w:pPr>
        <w:pStyle w:val="BodyTextMain"/>
        <w:rPr>
          <w:lang w:val="en-GB"/>
        </w:rPr>
      </w:pPr>
    </w:p>
    <w:p w:rsidR="00DA61C6" w:rsidRPr="00940647" w:rsidRDefault="00C65107" w:rsidP="00F92FC1">
      <w:pPr>
        <w:pStyle w:val="BodyTextMain"/>
        <w:rPr>
          <w:lang w:val="en-GB"/>
        </w:rPr>
      </w:pPr>
      <w:r w:rsidRPr="00940647">
        <w:rPr>
          <w:lang w:val="en-GB"/>
        </w:rPr>
        <w:t xml:space="preserve">In late September 2016, the consultants </w:t>
      </w:r>
      <w:r w:rsidR="00DA61C6" w:rsidRPr="00940647">
        <w:rPr>
          <w:lang w:val="en-GB"/>
        </w:rPr>
        <w:t xml:space="preserve">at </w:t>
      </w:r>
      <w:proofErr w:type="spellStart"/>
      <w:r w:rsidRPr="00940647">
        <w:rPr>
          <w:lang w:val="en-GB"/>
        </w:rPr>
        <w:t>Veraccurate</w:t>
      </w:r>
      <w:proofErr w:type="spellEnd"/>
      <w:r w:rsidRPr="00940647">
        <w:rPr>
          <w:lang w:val="en-GB"/>
        </w:rPr>
        <w:t xml:space="preserve"> Research Associates (VRA), </w:t>
      </w:r>
      <w:proofErr w:type="spellStart"/>
      <w:r w:rsidRPr="00940647">
        <w:rPr>
          <w:lang w:val="en-GB"/>
        </w:rPr>
        <w:t>Pvt.</w:t>
      </w:r>
      <w:proofErr w:type="spellEnd"/>
      <w:r w:rsidRPr="00940647">
        <w:rPr>
          <w:lang w:val="en-GB"/>
        </w:rPr>
        <w:t xml:space="preserve"> Ltd. submitted their opinion to Montague, saying, “We find that your profit picture varies significantly</w:t>
      </w:r>
      <w:r w:rsidR="00DA61C6" w:rsidRPr="00940647">
        <w:rPr>
          <w:lang w:val="en-GB"/>
        </w:rPr>
        <w:t>,</w:t>
      </w:r>
      <w:r w:rsidRPr="00940647">
        <w:rPr>
          <w:lang w:val="en-GB"/>
        </w:rPr>
        <w:t xml:space="preserve"> depending on the price elasticity of your customers.” </w:t>
      </w:r>
    </w:p>
    <w:p w:rsidR="00DA61C6" w:rsidRPr="00940647" w:rsidRDefault="00DA61C6" w:rsidP="00F92FC1">
      <w:pPr>
        <w:pStyle w:val="BodyTextMain"/>
        <w:rPr>
          <w:lang w:val="en-GB"/>
        </w:rPr>
      </w:pPr>
    </w:p>
    <w:p w:rsidR="00DA61C6" w:rsidRPr="00940647" w:rsidRDefault="00894476" w:rsidP="00F92FC1">
      <w:pPr>
        <w:pStyle w:val="BodyTextMain"/>
        <w:rPr>
          <w:lang w:val="en-GB"/>
        </w:rPr>
      </w:pPr>
      <w:r w:rsidRPr="00940647">
        <w:rPr>
          <w:lang w:val="en-GB"/>
        </w:rPr>
        <w:t xml:space="preserve">Grumbling </w:t>
      </w:r>
      <w:r w:rsidR="00C65107" w:rsidRPr="00940647">
        <w:rPr>
          <w:lang w:val="en-GB"/>
        </w:rPr>
        <w:t xml:space="preserve">under his breath, Montague told himself he knew that already, but then </w:t>
      </w:r>
      <w:r w:rsidRPr="00940647">
        <w:rPr>
          <w:lang w:val="en-GB"/>
        </w:rPr>
        <w:t>he replied:</w:t>
      </w:r>
      <w:r w:rsidR="00C65107" w:rsidRPr="00940647">
        <w:rPr>
          <w:lang w:val="en-GB"/>
        </w:rPr>
        <w:t xml:space="preserve"> “All</w:t>
      </w:r>
      <w:r w:rsidR="00520CF7" w:rsidRPr="00940647">
        <w:rPr>
          <w:lang w:val="en-GB"/>
        </w:rPr>
        <w:t xml:space="preserve"> </w:t>
      </w:r>
      <w:r w:rsidR="00C65107" w:rsidRPr="00940647">
        <w:rPr>
          <w:lang w:val="en-GB"/>
        </w:rPr>
        <w:t xml:space="preserve">right. </w:t>
      </w:r>
      <w:r w:rsidR="00520CF7" w:rsidRPr="00940647">
        <w:rPr>
          <w:lang w:val="en-GB"/>
        </w:rPr>
        <w:t>W</w:t>
      </w:r>
      <w:r w:rsidR="00C65107" w:rsidRPr="00940647">
        <w:rPr>
          <w:lang w:val="en-GB"/>
        </w:rPr>
        <w:t>hat does your market survey say about custo</w:t>
      </w:r>
      <w:bookmarkStart w:id="0" w:name="_GoBack"/>
      <w:bookmarkEnd w:id="0"/>
      <w:r w:rsidR="00C65107" w:rsidRPr="00940647">
        <w:rPr>
          <w:lang w:val="en-GB"/>
        </w:rPr>
        <w:t>mers’ elasticity?”</w:t>
      </w:r>
      <w:r w:rsidR="00A30F52" w:rsidRPr="00940647">
        <w:rPr>
          <w:lang w:val="en-GB"/>
        </w:rPr>
        <w:t xml:space="preserve"> </w:t>
      </w:r>
    </w:p>
    <w:p w:rsidR="00DA61C6" w:rsidRPr="00940647" w:rsidRDefault="00DA61C6" w:rsidP="00F92FC1">
      <w:pPr>
        <w:pStyle w:val="BodyTextMain"/>
        <w:rPr>
          <w:lang w:val="en-GB"/>
        </w:rPr>
      </w:pPr>
    </w:p>
    <w:p w:rsidR="00A30F52" w:rsidRPr="00940647" w:rsidRDefault="00894476" w:rsidP="00F92FC1">
      <w:pPr>
        <w:pStyle w:val="BodyTextMain"/>
        <w:rPr>
          <w:lang w:val="en-GB"/>
        </w:rPr>
      </w:pPr>
      <w:r w:rsidRPr="00940647">
        <w:rPr>
          <w:lang w:val="en-GB"/>
        </w:rPr>
        <w:t>T</w:t>
      </w:r>
      <w:r w:rsidR="00C65107" w:rsidRPr="00940647">
        <w:rPr>
          <w:lang w:val="en-GB"/>
        </w:rPr>
        <w:t xml:space="preserve">he VRA consultant </w:t>
      </w:r>
      <w:r w:rsidR="00A30F52" w:rsidRPr="00940647">
        <w:rPr>
          <w:lang w:val="en-GB"/>
        </w:rPr>
        <w:t>explained in reply:</w:t>
      </w:r>
    </w:p>
    <w:p w:rsidR="00A30F52" w:rsidRPr="00940647" w:rsidRDefault="00A30F52" w:rsidP="00F92FC1">
      <w:pPr>
        <w:pStyle w:val="BodyTextMain"/>
        <w:rPr>
          <w:lang w:val="en-GB"/>
        </w:rPr>
      </w:pPr>
    </w:p>
    <w:p w:rsidR="00C65107" w:rsidRPr="00940647" w:rsidRDefault="00C65107" w:rsidP="00A30F52">
      <w:pPr>
        <w:pStyle w:val="BodyTextMain"/>
        <w:ind w:left="720"/>
        <w:rPr>
          <w:lang w:val="en-GB"/>
        </w:rPr>
      </w:pPr>
      <w:r w:rsidRPr="00940647">
        <w:rPr>
          <w:lang w:val="en-GB"/>
        </w:rPr>
        <w:t>The elasticity number is only 0.8 if we assume that all importers of Continental Europe-made coffee machines will also raise their prices.</w:t>
      </w:r>
      <w:r w:rsidR="00A30F52" w:rsidRPr="00940647">
        <w:rPr>
          <w:lang w:val="en-GB"/>
        </w:rPr>
        <w:t xml:space="preserve"> </w:t>
      </w:r>
      <w:r w:rsidRPr="00940647">
        <w:rPr>
          <w:lang w:val="en-GB"/>
        </w:rPr>
        <w:t xml:space="preserve">But if we assume that some importers will not raise their unit price in </w:t>
      </w:r>
      <w:r w:rsidR="00A30F52" w:rsidRPr="00940647">
        <w:rPr>
          <w:lang w:val="en-GB"/>
        </w:rPr>
        <w:t>pounds—</w:t>
      </w:r>
      <w:r w:rsidRPr="00940647">
        <w:rPr>
          <w:lang w:val="en-GB"/>
        </w:rPr>
        <w:t xml:space="preserve">and this may also be true of </w:t>
      </w:r>
      <w:proofErr w:type="spellStart"/>
      <w:r w:rsidRPr="00940647">
        <w:rPr>
          <w:lang w:val="en-GB"/>
        </w:rPr>
        <w:t>Fracino</w:t>
      </w:r>
      <w:proofErr w:type="spellEnd"/>
      <w:r w:rsidRPr="00940647">
        <w:rPr>
          <w:lang w:val="en-GB"/>
        </w:rPr>
        <w:t>, a U</w:t>
      </w:r>
      <w:r w:rsidR="00312A56" w:rsidRPr="00940647">
        <w:rPr>
          <w:lang w:val="en-GB"/>
        </w:rPr>
        <w:t>.</w:t>
      </w:r>
      <w:r w:rsidRPr="00940647">
        <w:rPr>
          <w:lang w:val="en-GB"/>
        </w:rPr>
        <w:t>K</w:t>
      </w:r>
      <w:r w:rsidR="00312A56" w:rsidRPr="00940647">
        <w:rPr>
          <w:lang w:val="en-GB"/>
        </w:rPr>
        <w:t>.</w:t>
      </w:r>
      <w:r w:rsidRPr="00940647">
        <w:rPr>
          <w:lang w:val="en-GB"/>
        </w:rPr>
        <w:t xml:space="preserve"> producer despite its </w:t>
      </w:r>
      <w:r w:rsidR="00A30F52" w:rsidRPr="00940647">
        <w:rPr>
          <w:lang w:val="en-GB"/>
        </w:rPr>
        <w:t>Italian-</w:t>
      </w:r>
      <w:r w:rsidRPr="00940647">
        <w:rPr>
          <w:lang w:val="en-GB"/>
        </w:rPr>
        <w:t>sounding name</w:t>
      </w:r>
      <w:r w:rsidR="00A30F52" w:rsidRPr="00940647">
        <w:rPr>
          <w:lang w:val="en-GB"/>
        </w:rPr>
        <w:t>—</w:t>
      </w:r>
      <w:r w:rsidRPr="00940647">
        <w:rPr>
          <w:lang w:val="en-GB"/>
        </w:rPr>
        <w:t>then our research suggests that the elasticity number would be 1.1 for your machines</w:t>
      </w:r>
      <w:r w:rsidR="00A30F52" w:rsidRPr="00940647">
        <w:rPr>
          <w:lang w:val="en-GB"/>
        </w:rPr>
        <w:t>.</w:t>
      </w:r>
    </w:p>
    <w:p w:rsidR="00C65107" w:rsidRPr="00940647" w:rsidRDefault="00C65107" w:rsidP="00F92FC1">
      <w:pPr>
        <w:pStyle w:val="BodyTextMain"/>
        <w:rPr>
          <w:lang w:val="en-GB"/>
        </w:rPr>
      </w:pPr>
    </w:p>
    <w:p w:rsidR="00C65107" w:rsidRPr="00940647" w:rsidRDefault="00C65107" w:rsidP="00F92FC1">
      <w:pPr>
        <w:pStyle w:val="BodyTextMain"/>
        <w:rPr>
          <w:rStyle w:val="apple-converted-space"/>
          <w:lang w:val="en-GB"/>
        </w:rPr>
      </w:pPr>
      <w:r w:rsidRPr="00940647">
        <w:rPr>
          <w:rStyle w:val="apple-converted-space"/>
          <w:lang w:val="en-GB"/>
        </w:rPr>
        <w:t>As a reminder, the VRA consultant display</w:t>
      </w:r>
      <w:r w:rsidR="00A30F52" w:rsidRPr="00940647">
        <w:rPr>
          <w:rStyle w:val="apple-converted-space"/>
          <w:lang w:val="en-GB"/>
        </w:rPr>
        <w:t xml:space="preserve">ed </w:t>
      </w:r>
      <w:r w:rsidRPr="00940647">
        <w:rPr>
          <w:rStyle w:val="apple-converted-space"/>
          <w:lang w:val="en-GB"/>
        </w:rPr>
        <w:t xml:space="preserve">on his screen the simple formula for </w:t>
      </w:r>
      <w:r w:rsidR="00A30F52" w:rsidRPr="00940647">
        <w:rPr>
          <w:rStyle w:val="apple-converted-space"/>
          <w:lang w:val="en-GB"/>
        </w:rPr>
        <w:t>p</w:t>
      </w:r>
      <w:r w:rsidRPr="00940647">
        <w:rPr>
          <w:rStyle w:val="apple-converted-space"/>
          <w:lang w:val="en-GB"/>
        </w:rPr>
        <w:t xml:space="preserve">rice </w:t>
      </w:r>
      <w:r w:rsidR="00A30F52" w:rsidRPr="00940647">
        <w:rPr>
          <w:rStyle w:val="apple-converted-space"/>
          <w:lang w:val="en-GB"/>
        </w:rPr>
        <w:t>e</w:t>
      </w:r>
      <w:r w:rsidRPr="00940647">
        <w:rPr>
          <w:rStyle w:val="apple-converted-space"/>
          <w:lang w:val="en-GB"/>
        </w:rPr>
        <w:t xml:space="preserve">lasticity that </w:t>
      </w:r>
      <w:r w:rsidR="00AF7BF8" w:rsidRPr="00940647">
        <w:rPr>
          <w:rStyle w:val="apple-converted-space"/>
          <w:lang w:val="en-GB"/>
        </w:rPr>
        <w:t xml:space="preserve">had been </w:t>
      </w:r>
      <w:r w:rsidRPr="00940647">
        <w:rPr>
          <w:rStyle w:val="apple-converted-space"/>
          <w:lang w:val="en-GB"/>
        </w:rPr>
        <w:t xml:space="preserve">used in recalculating the </w:t>
      </w:r>
      <w:r w:rsidR="00A30F52" w:rsidRPr="00940647">
        <w:rPr>
          <w:rStyle w:val="apple-converted-space"/>
          <w:lang w:val="en-GB"/>
        </w:rPr>
        <w:t>i</w:t>
      </w:r>
      <w:r w:rsidRPr="00940647">
        <w:rPr>
          <w:rStyle w:val="apple-converted-space"/>
          <w:lang w:val="en-GB"/>
        </w:rPr>
        <w:t xml:space="preserve">ncome </w:t>
      </w:r>
      <w:r w:rsidR="00A30F52" w:rsidRPr="00940647">
        <w:rPr>
          <w:rStyle w:val="apple-converted-space"/>
          <w:lang w:val="en-GB"/>
        </w:rPr>
        <w:t>s</w:t>
      </w:r>
      <w:r w:rsidRPr="00940647">
        <w:rPr>
          <w:rStyle w:val="apple-converted-space"/>
          <w:lang w:val="en-GB"/>
        </w:rPr>
        <w:t>tatement</w:t>
      </w:r>
      <w:r w:rsidR="00A30F52" w:rsidRPr="00940647">
        <w:rPr>
          <w:rStyle w:val="apple-converted-space"/>
          <w:lang w:val="en-GB"/>
        </w:rPr>
        <w:t>:</w:t>
      </w:r>
    </w:p>
    <w:p w:rsidR="00C65107" w:rsidRPr="00940647" w:rsidRDefault="00C65107" w:rsidP="00C42FB8">
      <w:pPr>
        <w:pStyle w:val="BodyTextMain"/>
        <w:jc w:val="center"/>
        <w:rPr>
          <w:rStyle w:val="apple-converted-space"/>
          <w:lang w:val="en-GB"/>
        </w:rPr>
      </w:pPr>
    </w:p>
    <w:p w:rsidR="00CD0B80" w:rsidRPr="00940647" w:rsidRDefault="00CD0B80" w:rsidP="00CD0B80">
      <w:pPr>
        <w:pStyle w:val="BodyTextMain"/>
        <w:jc w:val="left"/>
        <w:rPr>
          <w:rStyle w:val="apple-converted-space"/>
          <w:lang w:val="en-GB"/>
        </w:rPr>
      </w:pPr>
    </w:p>
    <w:p w:rsidR="00CD0B80" w:rsidRPr="00940647" w:rsidRDefault="00CD0B80" w:rsidP="00CD0B80">
      <w:pPr>
        <w:pStyle w:val="BodyTextMain"/>
        <w:jc w:val="left"/>
        <w:rPr>
          <w:lang w:val="en-GB"/>
        </w:rPr>
      </w:pPr>
      <m:oMathPara>
        <m:oMath>
          <m:r>
            <w:rPr>
              <w:rFonts w:ascii="Cambria Math" w:hAnsi="Cambria Math"/>
              <w:lang w:val="en-GB"/>
            </w:rPr>
            <m:t>Price Elasticity=</m:t>
          </m:r>
          <m:f>
            <m:fPr>
              <m:ctrlPr>
                <w:rPr>
                  <w:rFonts w:ascii="Cambria Math" w:hAnsi="Cambria Math"/>
                  <w:i/>
                  <w:lang w:val="en-GB"/>
                </w:rPr>
              </m:ctrlPr>
            </m:fPr>
            <m:num>
              <m:r>
                <w:rPr>
                  <w:rFonts w:ascii="Cambria Math" w:hAnsi="Cambria Math"/>
                  <w:lang w:val="en-GB"/>
                </w:rPr>
                <m:t>% Change in Quantity Demanded</m:t>
              </m:r>
            </m:num>
            <m:den>
              <m:r>
                <w:rPr>
                  <w:rFonts w:ascii="Cambria Math" w:hAnsi="Cambria Math"/>
                  <w:lang w:val="en-GB"/>
                </w:rPr>
                <m:t>% Change in Price per Unit</m:t>
              </m:r>
            </m:den>
          </m:f>
        </m:oMath>
      </m:oMathPara>
    </w:p>
    <w:p w:rsidR="00C65107" w:rsidRPr="00940647" w:rsidRDefault="00C65107" w:rsidP="00F92FC1">
      <w:pPr>
        <w:pStyle w:val="BodyTextMain"/>
        <w:rPr>
          <w:lang w:val="en-GB"/>
        </w:rPr>
      </w:pPr>
    </w:p>
    <w:p w:rsidR="00CD0B80" w:rsidRPr="00940647" w:rsidRDefault="00CD0B80" w:rsidP="00F92FC1">
      <w:pPr>
        <w:pStyle w:val="BodyTextMain"/>
        <w:rPr>
          <w:lang w:val="en-GB"/>
        </w:rPr>
      </w:pPr>
    </w:p>
    <w:p w:rsidR="00C65107" w:rsidRPr="00940647" w:rsidRDefault="00AF7BF8" w:rsidP="00F92FC1">
      <w:pPr>
        <w:pStyle w:val="BodyTextMain"/>
        <w:rPr>
          <w:lang w:val="en-GB"/>
        </w:rPr>
      </w:pPr>
      <w:r w:rsidRPr="00940647">
        <w:rPr>
          <w:lang w:val="en-GB"/>
        </w:rPr>
        <w:t xml:space="preserve">Montague and the consultant </w:t>
      </w:r>
      <w:r w:rsidR="00C65107" w:rsidRPr="00940647">
        <w:rPr>
          <w:lang w:val="en-GB"/>
        </w:rPr>
        <w:t xml:space="preserve">then </w:t>
      </w:r>
      <w:r w:rsidRPr="00940647">
        <w:rPr>
          <w:lang w:val="en-GB"/>
        </w:rPr>
        <w:t>reviewed</w:t>
      </w:r>
      <w:r w:rsidR="00C65107" w:rsidRPr="00940647">
        <w:rPr>
          <w:lang w:val="en-GB"/>
        </w:rPr>
        <w:t xml:space="preserve"> spreadsheets showing the </w:t>
      </w:r>
      <w:r w:rsidRPr="00940647">
        <w:rPr>
          <w:lang w:val="en-GB"/>
        </w:rPr>
        <w:t>i</w:t>
      </w:r>
      <w:r w:rsidR="00C65107" w:rsidRPr="00940647">
        <w:rPr>
          <w:lang w:val="en-GB"/>
        </w:rPr>
        <w:t xml:space="preserve">ncome </w:t>
      </w:r>
      <w:r w:rsidRPr="00940647">
        <w:rPr>
          <w:lang w:val="en-GB"/>
        </w:rPr>
        <w:t>s</w:t>
      </w:r>
      <w:r w:rsidR="00C65107" w:rsidRPr="00940647">
        <w:rPr>
          <w:lang w:val="en-GB"/>
        </w:rPr>
        <w:t xml:space="preserve">tatements of </w:t>
      </w:r>
      <w:proofErr w:type="spellStart"/>
      <w:r w:rsidR="00C65107" w:rsidRPr="00940647">
        <w:rPr>
          <w:lang w:val="en-GB"/>
        </w:rPr>
        <w:t>Molto</w:t>
      </w:r>
      <w:proofErr w:type="spellEnd"/>
      <w:r w:rsidR="00C65107" w:rsidRPr="00940647">
        <w:rPr>
          <w:lang w:val="en-GB"/>
        </w:rPr>
        <w:t xml:space="preserve"> </w:t>
      </w:r>
      <w:proofErr w:type="spellStart"/>
      <w:r w:rsidR="00C65107" w:rsidRPr="00940647">
        <w:rPr>
          <w:lang w:val="en-GB"/>
        </w:rPr>
        <w:t>Delizioso</w:t>
      </w:r>
      <w:proofErr w:type="spellEnd"/>
      <w:r w:rsidR="00C65107" w:rsidRPr="00940647">
        <w:rPr>
          <w:lang w:val="en-GB"/>
        </w:rPr>
        <w:t xml:space="preserve"> (U</w:t>
      </w:r>
      <w:r w:rsidR="00C53769" w:rsidRPr="00940647">
        <w:rPr>
          <w:lang w:val="en-GB"/>
        </w:rPr>
        <w:t>.</w:t>
      </w:r>
      <w:r w:rsidR="00C65107" w:rsidRPr="00940647">
        <w:rPr>
          <w:lang w:val="en-GB"/>
        </w:rPr>
        <w:t>K</w:t>
      </w:r>
      <w:r w:rsidR="00C53769" w:rsidRPr="00940647">
        <w:rPr>
          <w:lang w:val="en-GB"/>
        </w:rPr>
        <w:t>.</w:t>
      </w:r>
      <w:r w:rsidR="00C65107" w:rsidRPr="00940647">
        <w:rPr>
          <w:lang w:val="en-GB"/>
        </w:rPr>
        <w:t>) under three alternative assumptions:</w:t>
      </w:r>
    </w:p>
    <w:p w:rsidR="007B702D" w:rsidRPr="00940647" w:rsidRDefault="007B702D" w:rsidP="00F92FC1">
      <w:pPr>
        <w:pStyle w:val="BodyTextMain"/>
        <w:rPr>
          <w:lang w:val="en-GB"/>
        </w:rPr>
      </w:pPr>
    </w:p>
    <w:p w:rsidR="00C65107" w:rsidRPr="00940647" w:rsidRDefault="00C65107" w:rsidP="007B702D">
      <w:pPr>
        <w:pStyle w:val="BodyTextMain"/>
        <w:numPr>
          <w:ilvl w:val="0"/>
          <w:numId w:val="29"/>
        </w:numPr>
        <w:rPr>
          <w:lang w:val="en-GB"/>
        </w:rPr>
      </w:pPr>
      <w:r w:rsidRPr="00940647">
        <w:rPr>
          <w:lang w:val="en-GB"/>
        </w:rPr>
        <w:t>Keep the price the same: £200</w:t>
      </w:r>
    </w:p>
    <w:p w:rsidR="00C65107" w:rsidRPr="00940647" w:rsidRDefault="00C65107" w:rsidP="007B702D">
      <w:pPr>
        <w:pStyle w:val="BodyTextMain"/>
        <w:numPr>
          <w:ilvl w:val="0"/>
          <w:numId w:val="29"/>
        </w:numPr>
        <w:rPr>
          <w:rStyle w:val="apple-converted-space"/>
          <w:lang w:val="en-GB"/>
        </w:rPr>
      </w:pPr>
      <w:r w:rsidRPr="00940647">
        <w:rPr>
          <w:lang w:val="en-GB"/>
        </w:rPr>
        <w:t>Increase the price to £235</w:t>
      </w:r>
      <w:r w:rsidR="00AF7BF8" w:rsidRPr="00940647">
        <w:rPr>
          <w:lang w:val="en-GB"/>
        </w:rPr>
        <w:t>,</w:t>
      </w:r>
      <w:r w:rsidRPr="00940647">
        <w:rPr>
          <w:lang w:val="en-GB"/>
        </w:rPr>
        <w:t xml:space="preserve"> assuming </w:t>
      </w:r>
      <w:r w:rsidR="00AF7BF8" w:rsidRPr="00940647">
        <w:rPr>
          <w:lang w:val="en-GB"/>
        </w:rPr>
        <w:t>p</w:t>
      </w:r>
      <w:r w:rsidRPr="00940647">
        <w:rPr>
          <w:lang w:val="en-GB"/>
        </w:rPr>
        <w:t xml:space="preserve">rice </w:t>
      </w:r>
      <w:r w:rsidR="00AF7BF8" w:rsidRPr="00940647">
        <w:rPr>
          <w:lang w:val="en-GB"/>
        </w:rPr>
        <w:t>e</w:t>
      </w:r>
      <w:r w:rsidRPr="00940647">
        <w:rPr>
          <w:lang w:val="en-GB"/>
        </w:rPr>
        <w:t xml:space="preserve">lasticity </w:t>
      </w:r>
      <w:r w:rsidR="00AF7BF8" w:rsidRPr="00940647">
        <w:rPr>
          <w:lang w:val="en-GB"/>
        </w:rPr>
        <w:t>ε</w:t>
      </w:r>
      <w:r w:rsidR="00AF7BF8" w:rsidRPr="00940647">
        <w:rPr>
          <w:rStyle w:val="apple-converted-space"/>
          <w:lang w:val="en-GB"/>
        </w:rPr>
        <w:t xml:space="preserve"> </w:t>
      </w:r>
      <w:r w:rsidRPr="00940647">
        <w:rPr>
          <w:rStyle w:val="apple-converted-space"/>
          <w:lang w:val="en-GB"/>
        </w:rPr>
        <w:t>= 0.8</w:t>
      </w:r>
    </w:p>
    <w:p w:rsidR="00C65107" w:rsidRPr="00940647" w:rsidRDefault="00C65107" w:rsidP="007B702D">
      <w:pPr>
        <w:pStyle w:val="BodyTextMain"/>
        <w:numPr>
          <w:ilvl w:val="0"/>
          <w:numId w:val="29"/>
        </w:numPr>
        <w:rPr>
          <w:rStyle w:val="apple-converted-space"/>
          <w:lang w:val="en-GB"/>
        </w:rPr>
      </w:pPr>
      <w:r w:rsidRPr="00940647">
        <w:rPr>
          <w:lang w:val="en-GB"/>
        </w:rPr>
        <w:t>Increase the price to £235</w:t>
      </w:r>
      <w:r w:rsidR="00AF7BF8" w:rsidRPr="00940647">
        <w:rPr>
          <w:lang w:val="en-GB"/>
        </w:rPr>
        <w:t>,</w:t>
      </w:r>
      <w:r w:rsidRPr="00940647">
        <w:rPr>
          <w:lang w:val="en-GB"/>
        </w:rPr>
        <w:t xml:space="preserve"> assuming </w:t>
      </w:r>
      <w:r w:rsidR="00AF7BF8" w:rsidRPr="00940647">
        <w:rPr>
          <w:lang w:val="en-GB"/>
        </w:rPr>
        <w:t>p</w:t>
      </w:r>
      <w:r w:rsidRPr="00940647">
        <w:rPr>
          <w:lang w:val="en-GB"/>
        </w:rPr>
        <w:t xml:space="preserve">rice </w:t>
      </w:r>
      <w:r w:rsidR="00AF7BF8" w:rsidRPr="00940647">
        <w:rPr>
          <w:lang w:val="en-GB"/>
        </w:rPr>
        <w:t>e</w:t>
      </w:r>
      <w:r w:rsidRPr="00940647">
        <w:rPr>
          <w:lang w:val="en-GB"/>
        </w:rPr>
        <w:t>lasticity</w:t>
      </w:r>
      <w:r w:rsidRPr="00940647">
        <w:rPr>
          <w:rStyle w:val="apple-converted-space"/>
          <w:lang w:val="en-GB"/>
        </w:rPr>
        <w:t xml:space="preserve"> </w:t>
      </w:r>
      <w:r w:rsidR="00AF7BF8" w:rsidRPr="00940647">
        <w:rPr>
          <w:lang w:val="en-GB"/>
        </w:rPr>
        <w:t>ε</w:t>
      </w:r>
      <w:r w:rsidR="00AF7BF8" w:rsidRPr="00940647">
        <w:rPr>
          <w:rStyle w:val="apple-converted-space"/>
          <w:lang w:val="en-GB"/>
        </w:rPr>
        <w:t xml:space="preserve"> </w:t>
      </w:r>
      <w:r w:rsidRPr="00940647">
        <w:rPr>
          <w:rStyle w:val="apple-converted-space"/>
          <w:lang w:val="en-GB"/>
        </w:rPr>
        <w:t>= 1.1</w:t>
      </w:r>
    </w:p>
    <w:p w:rsidR="00C65107" w:rsidRPr="00940647" w:rsidRDefault="00C65107" w:rsidP="00F92FC1">
      <w:pPr>
        <w:pStyle w:val="BodyTextMain"/>
        <w:rPr>
          <w:lang w:val="en-GB"/>
        </w:rPr>
      </w:pPr>
    </w:p>
    <w:p w:rsidR="007A1475" w:rsidRPr="00940647" w:rsidRDefault="00C65107" w:rsidP="00F92FC1">
      <w:pPr>
        <w:pStyle w:val="BodyTextMain"/>
        <w:rPr>
          <w:lang w:val="en-GB"/>
        </w:rPr>
      </w:pPr>
      <w:r w:rsidRPr="00940647">
        <w:rPr>
          <w:lang w:val="en-GB"/>
        </w:rPr>
        <w:t>Squinting at the screen, Montague anxiously awaited the results for his subsidiary’s profits under the three alternate assumptions the consultants had come up with.</w:t>
      </w:r>
    </w:p>
    <w:p w:rsidR="007B702D" w:rsidRPr="00940647" w:rsidRDefault="007B702D">
      <w:pPr>
        <w:spacing w:after="200" w:line="276" w:lineRule="auto"/>
        <w:rPr>
          <w:sz w:val="22"/>
          <w:szCs w:val="22"/>
          <w:lang w:val="en-GB"/>
        </w:rPr>
      </w:pPr>
      <w:r w:rsidRPr="00940647">
        <w:rPr>
          <w:lang w:val="en-GB"/>
        </w:rPr>
        <w:br w:type="page"/>
      </w:r>
    </w:p>
    <w:p w:rsidR="007B702D" w:rsidRPr="00940647" w:rsidRDefault="007B702D" w:rsidP="007B702D">
      <w:pPr>
        <w:pStyle w:val="ExhibitHeading"/>
        <w:rPr>
          <w:lang w:val="en-GB"/>
        </w:rPr>
      </w:pPr>
      <w:r w:rsidRPr="00940647">
        <w:rPr>
          <w:lang w:val="en-GB"/>
        </w:rPr>
        <w:lastRenderedPageBreak/>
        <w:t>EXHIBIT 1: Pre-Brexit Income Statement (Annualized)</w:t>
      </w:r>
      <w:r w:rsidR="00AF7BF8" w:rsidRPr="00940647">
        <w:rPr>
          <w:lang w:val="en-GB"/>
        </w:rPr>
        <w:t>,</w:t>
      </w:r>
      <w:r w:rsidRPr="00940647">
        <w:rPr>
          <w:lang w:val="en-GB"/>
        </w:rPr>
        <w:t xml:space="preserve"> Assuming £1</w:t>
      </w:r>
      <w:r w:rsidR="006D4ADC" w:rsidRPr="00940647">
        <w:rPr>
          <w:lang w:val="en-GB"/>
        </w:rPr>
        <w:t>.00</w:t>
      </w:r>
      <w:r w:rsidRPr="00940647">
        <w:rPr>
          <w:lang w:val="en-GB"/>
        </w:rPr>
        <w:t xml:space="preserve"> = €1.36</w:t>
      </w:r>
    </w:p>
    <w:p w:rsidR="007B702D" w:rsidRPr="00940647" w:rsidRDefault="007B702D" w:rsidP="007B702D">
      <w:pPr>
        <w:jc w:val="center"/>
        <w:rPr>
          <w:rFonts w:ascii="Arial" w:hAnsi="Arial" w:cs="Arial"/>
          <w:b/>
          <w:bCs/>
          <w:color w:val="222222"/>
          <w:shd w:val="clear" w:color="auto" w:fill="FFFFFF"/>
          <w:lang w:val="en-GB"/>
        </w:rPr>
      </w:pPr>
    </w:p>
    <w:tbl>
      <w:tblPr>
        <w:tblStyle w:val="TableGrid"/>
        <w:tblW w:w="8500" w:type="dxa"/>
        <w:jc w:val="center"/>
        <w:tblLook w:val="04A0" w:firstRow="1" w:lastRow="0" w:firstColumn="1" w:lastColumn="0" w:noHBand="0" w:noVBand="1"/>
      </w:tblPr>
      <w:tblGrid>
        <w:gridCol w:w="3989"/>
        <w:gridCol w:w="691"/>
        <w:gridCol w:w="1247"/>
        <w:gridCol w:w="1167"/>
        <w:gridCol w:w="1406"/>
      </w:tblGrid>
      <w:tr w:rsidR="007B702D" w:rsidRPr="00940647" w:rsidTr="00CD0B80">
        <w:trPr>
          <w:jc w:val="center"/>
        </w:trPr>
        <w:tc>
          <w:tcPr>
            <w:tcW w:w="3989" w:type="dxa"/>
          </w:tcPr>
          <w:p w:rsidR="007B702D" w:rsidRPr="00940647" w:rsidRDefault="007B702D" w:rsidP="00D51541">
            <w:pPr>
              <w:rPr>
                <w:rFonts w:ascii="Arial" w:hAnsi="Arial" w:cs="Arial"/>
                <w:sz w:val="19"/>
                <w:szCs w:val="19"/>
                <w:lang w:val="en-GB"/>
              </w:rPr>
            </w:pPr>
          </w:p>
        </w:tc>
        <w:tc>
          <w:tcPr>
            <w:tcW w:w="691" w:type="dxa"/>
          </w:tcPr>
          <w:p w:rsidR="007B702D" w:rsidRPr="00940647" w:rsidRDefault="007B702D" w:rsidP="00D51541">
            <w:pPr>
              <w:jc w:val="center"/>
              <w:rPr>
                <w:rFonts w:ascii="Arial" w:hAnsi="Arial" w:cs="Arial"/>
                <w:b/>
                <w:sz w:val="19"/>
                <w:szCs w:val="19"/>
                <w:lang w:val="en-GB"/>
              </w:rPr>
            </w:pPr>
            <w:r w:rsidRPr="00940647">
              <w:rPr>
                <w:rFonts w:ascii="Arial" w:hAnsi="Arial" w:cs="Arial"/>
                <w:b/>
                <w:sz w:val="19"/>
                <w:szCs w:val="19"/>
                <w:lang w:val="en-GB"/>
              </w:rPr>
              <w:t>Per Unit</w:t>
            </w:r>
          </w:p>
        </w:tc>
        <w:tc>
          <w:tcPr>
            <w:tcW w:w="1247" w:type="dxa"/>
          </w:tcPr>
          <w:p w:rsidR="007B702D" w:rsidRPr="00940647" w:rsidRDefault="007B702D">
            <w:pPr>
              <w:jc w:val="center"/>
              <w:rPr>
                <w:rFonts w:ascii="Arial" w:hAnsi="Arial" w:cs="Arial"/>
                <w:b/>
                <w:sz w:val="19"/>
                <w:szCs w:val="19"/>
                <w:lang w:val="en-GB"/>
              </w:rPr>
            </w:pPr>
            <w:r w:rsidRPr="00940647">
              <w:rPr>
                <w:rFonts w:ascii="Arial" w:hAnsi="Arial" w:cs="Arial"/>
                <w:b/>
                <w:sz w:val="19"/>
                <w:szCs w:val="19"/>
                <w:lang w:val="en-GB"/>
              </w:rPr>
              <w:t>Quantity (</w:t>
            </w:r>
            <w:r w:rsidR="00744962" w:rsidRPr="00940647">
              <w:rPr>
                <w:rFonts w:ascii="Arial" w:hAnsi="Arial" w:cs="Arial"/>
                <w:b/>
                <w:sz w:val="19"/>
                <w:szCs w:val="19"/>
                <w:lang w:val="en-GB"/>
              </w:rPr>
              <w:t>Units</w:t>
            </w:r>
            <w:r w:rsidRPr="00940647">
              <w:rPr>
                <w:rFonts w:ascii="Arial" w:hAnsi="Arial" w:cs="Arial"/>
                <w:b/>
                <w:sz w:val="19"/>
                <w:szCs w:val="19"/>
                <w:lang w:val="en-GB"/>
              </w:rPr>
              <w:t>)</w:t>
            </w:r>
          </w:p>
        </w:tc>
        <w:tc>
          <w:tcPr>
            <w:tcW w:w="1167" w:type="dxa"/>
          </w:tcPr>
          <w:p w:rsidR="007B702D" w:rsidRPr="00940647" w:rsidRDefault="007B702D" w:rsidP="00D51541">
            <w:pPr>
              <w:jc w:val="center"/>
              <w:rPr>
                <w:rFonts w:ascii="Arial" w:hAnsi="Arial" w:cs="Arial"/>
                <w:b/>
                <w:sz w:val="19"/>
                <w:szCs w:val="19"/>
                <w:lang w:val="en-GB"/>
              </w:rPr>
            </w:pPr>
            <w:r w:rsidRPr="00940647">
              <w:rPr>
                <w:rFonts w:ascii="Arial" w:hAnsi="Arial" w:cs="Arial"/>
                <w:b/>
                <w:bCs/>
                <w:color w:val="222222"/>
                <w:sz w:val="19"/>
                <w:szCs w:val="19"/>
                <w:shd w:val="clear" w:color="auto" w:fill="FFFFFF"/>
                <w:lang w:val="en-GB"/>
              </w:rPr>
              <w:t>€</w:t>
            </w:r>
          </w:p>
        </w:tc>
        <w:tc>
          <w:tcPr>
            <w:tcW w:w="1406" w:type="dxa"/>
          </w:tcPr>
          <w:p w:rsidR="007B702D" w:rsidRPr="00940647" w:rsidRDefault="007B702D" w:rsidP="00D51541">
            <w:pPr>
              <w:jc w:val="center"/>
              <w:rPr>
                <w:rFonts w:ascii="Arial" w:hAnsi="Arial" w:cs="Arial"/>
                <w:b/>
                <w:sz w:val="19"/>
                <w:szCs w:val="19"/>
                <w:lang w:val="en-GB"/>
              </w:rPr>
            </w:pPr>
            <w:r w:rsidRPr="00940647">
              <w:rPr>
                <w:rFonts w:ascii="Arial" w:hAnsi="Arial" w:cs="Arial"/>
                <w:b/>
                <w:bCs/>
                <w:color w:val="222222"/>
                <w:sz w:val="19"/>
                <w:szCs w:val="19"/>
                <w:shd w:val="clear" w:color="auto" w:fill="FFFFFF"/>
                <w:lang w:val="en-GB"/>
              </w:rPr>
              <w:t>£</w:t>
            </w:r>
          </w:p>
        </w:tc>
      </w:tr>
      <w:tr w:rsidR="007B702D" w:rsidRPr="00940647" w:rsidTr="006E1B60">
        <w:trPr>
          <w:jc w:val="center"/>
        </w:trPr>
        <w:tc>
          <w:tcPr>
            <w:tcW w:w="3989" w:type="dxa"/>
            <w:vAlign w:val="center"/>
          </w:tcPr>
          <w:p w:rsidR="007B702D" w:rsidRPr="00940647" w:rsidRDefault="007B702D" w:rsidP="006E1B60">
            <w:pPr>
              <w:rPr>
                <w:rFonts w:ascii="Arial" w:hAnsi="Arial" w:cs="Arial"/>
                <w:b/>
                <w:sz w:val="19"/>
                <w:szCs w:val="19"/>
                <w:lang w:val="en-GB"/>
              </w:rPr>
            </w:pPr>
            <w:r w:rsidRPr="00940647">
              <w:rPr>
                <w:rFonts w:ascii="Arial" w:hAnsi="Arial" w:cs="Arial"/>
                <w:b/>
                <w:sz w:val="19"/>
                <w:szCs w:val="19"/>
                <w:lang w:val="en-GB"/>
              </w:rPr>
              <w:t>Sales in U</w:t>
            </w:r>
            <w:r w:rsidR="00456D25" w:rsidRPr="00940647">
              <w:rPr>
                <w:rFonts w:ascii="Arial" w:hAnsi="Arial" w:cs="Arial"/>
                <w:b/>
                <w:sz w:val="19"/>
                <w:szCs w:val="19"/>
                <w:lang w:val="en-GB"/>
              </w:rPr>
              <w:t>.</w:t>
            </w:r>
            <w:r w:rsidRPr="00940647">
              <w:rPr>
                <w:rFonts w:ascii="Arial" w:hAnsi="Arial" w:cs="Arial"/>
                <w:b/>
                <w:sz w:val="19"/>
                <w:szCs w:val="19"/>
                <w:lang w:val="en-GB"/>
              </w:rPr>
              <w:t>K</w:t>
            </w:r>
            <w:r w:rsidR="00456D25" w:rsidRPr="00940647">
              <w:rPr>
                <w:rFonts w:ascii="Arial" w:hAnsi="Arial" w:cs="Arial"/>
                <w:b/>
                <w:sz w:val="19"/>
                <w:szCs w:val="19"/>
                <w:lang w:val="en-GB"/>
              </w:rPr>
              <w:t>.</w:t>
            </w:r>
          </w:p>
        </w:tc>
        <w:tc>
          <w:tcPr>
            <w:tcW w:w="691" w:type="dxa"/>
            <w:vAlign w:val="center"/>
          </w:tcPr>
          <w:p w:rsidR="007B702D" w:rsidRPr="00940647" w:rsidRDefault="007B702D" w:rsidP="006E1B60">
            <w:pPr>
              <w:jc w:val="right"/>
              <w:rPr>
                <w:rFonts w:ascii="Arial" w:hAnsi="Arial" w:cs="Arial"/>
                <w:sz w:val="19"/>
                <w:szCs w:val="19"/>
                <w:lang w:val="en-GB"/>
              </w:rPr>
            </w:pPr>
            <w:r w:rsidRPr="00940647">
              <w:rPr>
                <w:rFonts w:ascii="Arial" w:hAnsi="Arial" w:cs="Arial"/>
                <w:bCs/>
                <w:color w:val="222222"/>
                <w:sz w:val="19"/>
                <w:szCs w:val="19"/>
                <w:shd w:val="clear" w:color="auto" w:fill="FFFFFF"/>
                <w:lang w:val="en-GB"/>
              </w:rPr>
              <w:t>£200</w:t>
            </w:r>
          </w:p>
        </w:tc>
        <w:tc>
          <w:tcPr>
            <w:tcW w:w="1247" w:type="dxa"/>
            <w:vAlign w:val="center"/>
          </w:tcPr>
          <w:p w:rsidR="007B702D" w:rsidRPr="00940647" w:rsidRDefault="007B702D" w:rsidP="006E1B60">
            <w:pPr>
              <w:jc w:val="right"/>
              <w:rPr>
                <w:rFonts w:ascii="Arial" w:hAnsi="Arial" w:cs="Arial"/>
                <w:sz w:val="19"/>
                <w:szCs w:val="19"/>
                <w:lang w:val="en-GB"/>
              </w:rPr>
            </w:pPr>
            <w:r w:rsidRPr="00940647">
              <w:rPr>
                <w:rFonts w:ascii="Arial" w:hAnsi="Arial" w:cs="Arial"/>
                <w:sz w:val="19"/>
                <w:szCs w:val="19"/>
                <w:lang w:val="en-GB"/>
              </w:rPr>
              <w:t>40,000</w:t>
            </w:r>
          </w:p>
        </w:tc>
        <w:tc>
          <w:tcPr>
            <w:tcW w:w="1167" w:type="dxa"/>
            <w:vAlign w:val="center"/>
          </w:tcPr>
          <w:p w:rsidR="007B702D" w:rsidRPr="00940647" w:rsidRDefault="007B702D" w:rsidP="006E1B60">
            <w:pPr>
              <w:jc w:val="right"/>
              <w:rPr>
                <w:rFonts w:ascii="Arial" w:hAnsi="Arial" w:cs="Arial"/>
                <w:bCs/>
                <w:color w:val="222222"/>
                <w:sz w:val="19"/>
                <w:szCs w:val="19"/>
                <w:shd w:val="clear" w:color="auto" w:fill="FFFFFF"/>
                <w:lang w:val="en-GB"/>
              </w:rPr>
            </w:pPr>
          </w:p>
        </w:tc>
        <w:tc>
          <w:tcPr>
            <w:tcW w:w="1406" w:type="dxa"/>
            <w:vAlign w:val="center"/>
          </w:tcPr>
          <w:p w:rsidR="007B702D" w:rsidRPr="00940647" w:rsidRDefault="007B702D" w:rsidP="006E1B60">
            <w:pPr>
              <w:jc w:val="right"/>
              <w:rPr>
                <w:rFonts w:ascii="Arial" w:hAnsi="Arial" w:cs="Arial"/>
                <w:sz w:val="19"/>
                <w:szCs w:val="19"/>
                <w:lang w:val="en-GB"/>
              </w:rPr>
            </w:pPr>
            <w:r w:rsidRPr="00940647">
              <w:rPr>
                <w:rFonts w:ascii="Arial" w:hAnsi="Arial" w:cs="Arial"/>
                <w:bCs/>
                <w:color w:val="222222"/>
                <w:sz w:val="19"/>
                <w:szCs w:val="19"/>
                <w:shd w:val="clear" w:color="auto" w:fill="FFFFFF"/>
                <w:lang w:val="en-GB"/>
              </w:rPr>
              <w:t xml:space="preserve"> 8</w:t>
            </w:r>
            <w:r w:rsidRPr="00940647">
              <w:rPr>
                <w:rFonts w:ascii="Arial" w:hAnsi="Arial" w:cs="Arial"/>
                <w:sz w:val="19"/>
                <w:szCs w:val="19"/>
                <w:lang w:val="en-GB"/>
              </w:rPr>
              <w:t>,000,000</w:t>
            </w:r>
          </w:p>
        </w:tc>
      </w:tr>
      <w:tr w:rsidR="007B702D" w:rsidRPr="00940647" w:rsidTr="006E1B60">
        <w:trPr>
          <w:jc w:val="center"/>
        </w:trPr>
        <w:tc>
          <w:tcPr>
            <w:tcW w:w="8500" w:type="dxa"/>
            <w:gridSpan w:val="5"/>
            <w:vAlign w:val="center"/>
          </w:tcPr>
          <w:p w:rsidR="007B702D" w:rsidRPr="00940647" w:rsidRDefault="007B702D" w:rsidP="006E1B60">
            <w:pPr>
              <w:rPr>
                <w:rFonts w:ascii="Arial" w:hAnsi="Arial" w:cs="Arial"/>
                <w:sz w:val="19"/>
                <w:szCs w:val="19"/>
                <w:lang w:val="en-GB"/>
              </w:rPr>
            </w:pPr>
            <w:r w:rsidRPr="00940647">
              <w:rPr>
                <w:rFonts w:ascii="Arial" w:hAnsi="Arial" w:cs="Arial"/>
                <w:b/>
                <w:sz w:val="19"/>
                <w:szCs w:val="19"/>
                <w:lang w:val="en-GB"/>
              </w:rPr>
              <w:t>U</w:t>
            </w:r>
            <w:r w:rsidR="00456D25" w:rsidRPr="00940647">
              <w:rPr>
                <w:rFonts w:ascii="Arial" w:hAnsi="Arial" w:cs="Arial"/>
                <w:b/>
                <w:sz w:val="19"/>
                <w:szCs w:val="19"/>
                <w:lang w:val="en-GB"/>
              </w:rPr>
              <w:t>.</w:t>
            </w:r>
            <w:r w:rsidRPr="00940647">
              <w:rPr>
                <w:rFonts w:ascii="Arial" w:hAnsi="Arial" w:cs="Arial"/>
                <w:b/>
                <w:sz w:val="19"/>
                <w:szCs w:val="19"/>
                <w:lang w:val="en-GB"/>
              </w:rPr>
              <w:t>K</w:t>
            </w:r>
            <w:r w:rsidR="00456D25" w:rsidRPr="00940647">
              <w:rPr>
                <w:rFonts w:ascii="Arial" w:hAnsi="Arial" w:cs="Arial"/>
                <w:b/>
                <w:sz w:val="19"/>
                <w:szCs w:val="19"/>
                <w:lang w:val="en-GB"/>
              </w:rPr>
              <w:t>.</w:t>
            </w:r>
            <w:r w:rsidRPr="00940647">
              <w:rPr>
                <w:rFonts w:ascii="Arial" w:hAnsi="Arial" w:cs="Arial"/>
                <w:b/>
                <w:sz w:val="19"/>
                <w:szCs w:val="19"/>
                <w:lang w:val="en-GB"/>
              </w:rPr>
              <w:t xml:space="preserve"> Costs</w:t>
            </w:r>
          </w:p>
        </w:tc>
      </w:tr>
      <w:tr w:rsidR="007B702D" w:rsidRPr="00940647" w:rsidTr="006E1B60">
        <w:trPr>
          <w:jc w:val="center"/>
        </w:trPr>
        <w:tc>
          <w:tcPr>
            <w:tcW w:w="3989" w:type="dxa"/>
            <w:vAlign w:val="center"/>
          </w:tcPr>
          <w:p w:rsidR="007B702D" w:rsidRPr="00940647" w:rsidRDefault="007B702D" w:rsidP="006E1B60">
            <w:pPr>
              <w:pStyle w:val="ListParagraph"/>
              <w:numPr>
                <w:ilvl w:val="0"/>
                <w:numId w:val="28"/>
              </w:numPr>
              <w:ind w:left="427"/>
              <w:jc w:val="left"/>
              <w:rPr>
                <w:rFonts w:ascii="Arial" w:hAnsi="Arial" w:cs="Arial"/>
                <w:sz w:val="19"/>
                <w:szCs w:val="19"/>
                <w:lang w:val="en-GB"/>
              </w:rPr>
            </w:pPr>
            <w:r w:rsidRPr="00940647">
              <w:rPr>
                <w:rFonts w:ascii="Arial" w:hAnsi="Arial" w:cs="Arial"/>
                <w:sz w:val="19"/>
                <w:szCs w:val="19"/>
                <w:lang w:val="en-GB"/>
              </w:rPr>
              <w:t>Contract Labo</w:t>
            </w:r>
            <w:r w:rsidR="00744962" w:rsidRPr="00940647">
              <w:rPr>
                <w:rFonts w:ascii="Arial" w:hAnsi="Arial" w:cs="Arial"/>
                <w:sz w:val="19"/>
                <w:szCs w:val="19"/>
                <w:lang w:val="en-GB"/>
              </w:rPr>
              <w:t>u</w:t>
            </w:r>
            <w:r w:rsidRPr="00940647">
              <w:rPr>
                <w:rFonts w:ascii="Arial" w:hAnsi="Arial" w:cs="Arial"/>
                <w:sz w:val="19"/>
                <w:szCs w:val="19"/>
                <w:lang w:val="en-GB"/>
              </w:rPr>
              <w:t>r (variable cost)</w:t>
            </w:r>
          </w:p>
        </w:tc>
        <w:tc>
          <w:tcPr>
            <w:tcW w:w="691" w:type="dxa"/>
            <w:vAlign w:val="center"/>
          </w:tcPr>
          <w:p w:rsidR="007B702D" w:rsidRPr="00940647" w:rsidRDefault="007B702D" w:rsidP="006E1B60">
            <w:pPr>
              <w:jc w:val="right"/>
              <w:rPr>
                <w:rFonts w:ascii="Arial" w:hAnsi="Arial" w:cs="Arial"/>
                <w:sz w:val="19"/>
                <w:szCs w:val="19"/>
                <w:lang w:val="en-GB"/>
              </w:rPr>
            </w:pPr>
          </w:p>
        </w:tc>
        <w:tc>
          <w:tcPr>
            <w:tcW w:w="1247" w:type="dxa"/>
            <w:vAlign w:val="center"/>
          </w:tcPr>
          <w:p w:rsidR="007B702D" w:rsidRPr="00940647" w:rsidRDefault="007B702D" w:rsidP="006E1B60">
            <w:pPr>
              <w:jc w:val="right"/>
              <w:rPr>
                <w:rFonts w:ascii="Arial" w:hAnsi="Arial" w:cs="Arial"/>
                <w:sz w:val="19"/>
                <w:szCs w:val="19"/>
                <w:lang w:val="en-GB"/>
              </w:rPr>
            </w:pPr>
          </w:p>
        </w:tc>
        <w:tc>
          <w:tcPr>
            <w:tcW w:w="1167" w:type="dxa"/>
            <w:vAlign w:val="center"/>
          </w:tcPr>
          <w:p w:rsidR="007B702D" w:rsidRPr="00940647" w:rsidRDefault="007B702D" w:rsidP="006E1B60">
            <w:pPr>
              <w:jc w:val="right"/>
              <w:rPr>
                <w:rFonts w:ascii="Arial" w:hAnsi="Arial" w:cs="Arial"/>
                <w:bCs/>
                <w:color w:val="222222"/>
                <w:sz w:val="19"/>
                <w:szCs w:val="19"/>
                <w:shd w:val="clear" w:color="auto" w:fill="FFFFFF"/>
                <w:lang w:val="en-GB"/>
              </w:rPr>
            </w:pPr>
          </w:p>
        </w:tc>
        <w:tc>
          <w:tcPr>
            <w:tcW w:w="1406" w:type="dxa"/>
            <w:vAlign w:val="center"/>
          </w:tcPr>
          <w:p w:rsidR="007B702D" w:rsidRPr="00940647" w:rsidRDefault="007B702D" w:rsidP="006E1B60">
            <w:pPr>
              <w:jc w:val="right"/>
              <w:rPr>
                <w:rFonts w:ascii="Arial" w:hAnsi="Arial" w:cs="Arial"/>
                <w:sz w:val="19"/>
                <w:szCs w:val="19"/>
                <w:lang w:val="en-GB"/>
              </w:rPr>
            </w:pPr>
            <w:r w:rsidRPr="00940647">
              <w:rPr>
                <w:rFonts w:ascii="Arial" w:hAnsi="Arial" w:cs="Arial"/>
                <w:bCs/>
                <w:color w:val="222222"/>
                <w:sz w:val="19"/>
                <w:szCs w:val="19"/>
                <w:shd w:val="clear" w:color="auto" w:fill="FFFFFF"/>
                <w:lang w:val="en-GB"/>
              </w:rPr>
              <w:t xml:space="preserve"> </w:t>
            </w:r>
            <w:r w:rsidRPr="00940647">
              <w:rPr>
                <w:rFonts w:ascii="Arial" w:hAnsi="Arial" w:cs="Arial"/>
                <w:sz w:val="19"/>
                <w:szCs w:val="19"/>
                <w:lang w:val="en-GB"/>
              </w:rPr>
              <w:t>200,000</w:t>
            </w:r>
          </w:p>
        </w:tc>
      </w:tr>
      <w:tr w:rsidR="007B702D" w:rsidRPr="00940647" w:rsidTr="006E1B60">
        <w:trPr>
          <w:jc w:val="center"/>
        </w:trPr>
        <w:tc>
          <w:tcPr>
            <w:tcW w:w="3989" w:type="dxa"/>
            <w:vAlign w:val="center"/>
          </w:tcPr>
          <w:p w:rsidR="007B702D" w:rsidRPr="00940647" w:rsidRDefault="007B702D" w:rsidP="006E1B60">
            <w:pPr>
              <w:pStyle w:val="ListParagraph"/>
              <w:numPr>
                <w:ilvl w:val="0"/>
                <w:numId w:val="28"/>
              </w:numPr>
              <w:ind w:left="427"/>
              <w:jc w:val="left"/>
              <w:rPr>
                <w:rFonts w:ascii="Arial" w:hAnsi="Arial" w:cs="Arial"/>
                <w:sz w:val="19"/>
                <w:szCs w:val="19"/>
                <w:lang w:val="en-GB"/>
              </w:rPr>
            </w:pPr>
            <w:r w:rsidRPr="00940647">
              <w:rPr>
                <w:rFonts w:ascii="Arial" w:hAnsi="Arial" w:cs="Arial"/>
                <w:sz w:val="19"/>
                <w:szCs w:val="19"/>
                <w:lang w:val="en-GB"/>
              </w:rPr>
              <w:t xml:space="preserve">Import of </w:t>
            </w:r>
            <w:r w:rsidR="00D145C0" w:rsidRPr="00940647">
              <w:rPr>
                <w:rFonts w:ascii="Arial" w:hAnsi="Arial" w:cs="Arial"/>
                <w:sz w:val="19"/>
                <w:szCs w:val="19"/>
                <w:lang w:val="en-GB"/>
              </w:rPr>
              <w:t>C</w:t>
            </w:r>
            <w:r w:rsidRPr="00940647">
              <w:rPr>
                <w:rFonts w:ascii="Arial" w:hAnsi="Arial" w:cs="Arial"/>
                <w:sz w:val="19"/>
                <w:szCs w:val="19"/>
                <w:lang w:val="en-GB"/>
              </w:rPr>
              <w:t xml:space="preserve">offee </w:t>
            </w:r>
            <w:r w:rsidR="00D145C0" w:rsidRPr="00940647">
              <w:rPr>
                <w:rFonts w:ascii="Arial" w:hAnsi="Arial" w:cs="Arial"/>
                <w:sz w:val="19"/>
                <w:szCs w:val="19"/>
                <w:lang w:val="en-GB"/>
              </w:rPr>
              <w:t>M</w:t>
            </w:r>
            <w:r w:rsidRPr="00940647">
              <w:rPr>
                <w:rFonts w:ascii="Arial" w:hAnsi="Arial" w:cs="Arial"/>
                <w:sz w:val="19"/>
                <w:szCs w:val="19"/>
                <w:lang w:val="en-GB"/>
              </w:rPr>
              <w:t xml:space="preserve">achines </w:t>
            </w:r>
            <w:r w:rsidRPr="00940647">
              <w:rPr>
                <w:rFonts w:ascii="Arial" w:hAnsi="Arial" w:cs="Arial"/>
                <w:sz w:val="19"/>
                <w:szCs w:val="19"/>
                <w:lang w:val="en-GB"/>
              </w:rPr>
              <w:br/>
              <w:t xml:space="preserve">(invoiced at </w:t>
            </w:r>
            <w:r w:rsidRPr="00940647">
              <w:rPr>
                <w:rFonts w:ascii="Arial" w:hAnsi="Arial" w:cs="Arial"/>
                <w:bCs/>
                <w:color w:val="222222"/>
                <w:sz w:val="19"/>
                <w:szCs w:val="19"/>
                <w:shd w:val="clear" w:color="auto" w:fill="FFFFFF"/>
                <w:lang w:val="en-GB"/>
              </w:rPr>
              <w:t>€90 each)</w:t>
            </w:r>
          </w:p>
        </w:tc>
        <w:tc>
          <w:tcPr>
            <w:tcW w:w="691" w:type="dxa"/>
            <w:vAlign w:val="center"/>
          </w:tcPr>
          <w:p w:rsidR="007B702D" w:rsidRPr="00940647" w:rsidRDefault="007B702D" w:rsidP="006E1B60">
            <w:pPr>
              <w:jc w:val="right"/>
              <w:rPr>
                <w:rFonts w:ascii="Arial" w:hAnsi="Arial" w:cs="Arial"/>
                <w:sz w:val="19"/>
                <w:szCs w:val="19"/>
                <w:lang w:val="en-GB"/>
              </w:rPr>
            </w:pPr>
            <w:r w:rsidRPr="00940647">
              <w:rPr>
                <w:rFonts w:ascii="Arial" w:hAnsi="Arial" w:cs="Arial"/>
                <w:bCs/>
                <w:color w:val="222222"/>
                <w:sz w:val="19"/>
                <w:szCs w:val="19"/>
                <w:shd w:val="clear" w:color="auto" w:fill="FFFFFF"/>
                <w:lang w:val="en-GB"/>
              </w:rPr>
              <w:t>€90</w:t>
            </w:r>
          </w:p>
        </w:tc>
        <w:tc>
          <w:tcPr>
            <w:tcW w:w="1247" w:type="dxa"/>
            <w:vAlign w:val="center"/>
          </w:tcPr>
          <w:p w:rsidR="007B702D" w:rsidRPr="00940647" w:rsidRDefault="007B702D" w:rsidP="006E1B60">
            <w:pPr>
              <w:jc w:val="right"/>
              <w:rPr>
                <w:rFonts w:ascii="Arial" w:hAnsi="Arial" w:cs="Arial"/>
                <w:sz w:val="19"/>
                <w:szCs w:val="19"/>
                <w:lang w:val="en-GB"/>
              </w:rPr>
            </w:pPr>
            <w:r w:rsidRPr="00940647">
              <w:rPr>
                <w:rFonts w:ascii="Arial" w:hAnsi="Arial" w:cs="Arial"/>
                <w:sz w:val="19"/>
                <w:szCs w:val="19"/>
                <w:lang w:val="en-GB"/>
              </w:rPr>
              <w:t>40,000</w:t>
            </w:r>
          </w:p>
        </w:tc>
        <w:tc>
          <w:tcPr>
            <w:tcW w:w="1167" w:type="dxa"/>
            <w:vAlign w:val="center"/>
          </w:tcPr>
          <w:p w:rsidR="007B702D" w:rsidRPr="00940647" w:rsidRDefault="007B702D" w:rsidP="006E1B60">
            <w:pPr>
              <w:jc w:val="right"/>
              <w:rPr>
                <w:rFonts w:ascii="Arial" w:hAnsi="Arial" w:cs="Arial"/>
                <w:bCs/>
                <w:color w:val="222222"/>
                <w:sz w:val="19"/>
                <w:szCs w:val="19"/>
                <w:shd w:val="clear" w:color="auto" w:fill="FFFFFF"/>
                <w:lang w:val="en-GB"/>
              </w:rPr>
            </w:pPr>
            <w:r w:rsidRPr="00940647">
              <w:rPr>
                <w:rFonts w:ascii="Arial" w:hAnsi="Arial" w:cs="Arial"/>
                <w:bCs/>
                <w:color w:val="222222"/>
                <w:sz w:val="19"/>
                <w:szCs w:val="19"/>
                <w:shd w:val="clear" w:color="auto" w:fill="FFFFFF"/>
                <w:lang w:val="en-GB"/>
              </w:rPr>
              <w:t>€3,600,000</w:t>
            </w:r>
          </w:p>
        </w:tc>
        <w:tc>
          <w:tcPr>
            <w:tcW w:w="1406" w:type="dxa"/>
            <w:vAlign w:val="center"/>
          </w:tcPr>
          <w:p w:rsidR="007B702D" w:rsidRPr="00940647" w:rsidRDefault="007B702D" w:rsidP="006E1B60">
            <w:pPr>
              <w:jc w:val="right"/>
              <w:rPr>
                <w:rFonts w:ascii="Arial" w:hAnsi="Arial" w:cs="Arial"/>
                <w:sz w:val="19"/>
                <w:szCs w:val="19"/>
                <w:lang w:val="en-GB"/>
              </w:rPr>
            </w:pPr>
            <w:r w:rsidRPr="00940647">
              <w:rPr>
                <w:rFonts w:ascii="Arial" w:hAnsi="Arial" w:cs="Arial"/>
                <w:bCs/>
                <w:color w:val="222222"/>
                <w:sz w:val="19"/>
                <w:szCs w:val="19"/>
                <w:shd w:val="clear" w:color="auto" w:fill="FFFFFF"/>
                <w:lang w:val="en-GB"/>
              </w:rPr>
              <w:t xml:space="preserve"> 2,647,059</w:t>
            </w:r>
          </w:p>
        </w:tc>
      </w:tr>
      <w:tr w:rsidR="007B702D" w:rsidRPr="00940647" w:rsidTr="006E1B60">
        <w:trPr>
          <w:jc w:val="center"/>
        </w:trPr>
        <w:tc>
          <w:tcPr>
            <w:tcW w:w="3989" w:type="dxa"/>
            <w:vAlign w:val="center"/>
          </w:tcPr>
          <w:p w:rsidR="007B702D" w:rsidRPr="00940647" w:rsidRDefault="007B702D" w:rsidP="006E1B60">
            <w:pPr>
              <w:pStyle w:val="ListParagraph"/>
              <w:numPr>
                <w:ilvl w:val="0"/>
                <w:numId w:val="28"/>
              </w:numPr>
              <w:ind w:left="427"/>
              <w:jc w:val="left"/>
              <w:rPr>
                <w:rFonts w:ascii="Arial" w:hAnsi="Arial" w:cs="Arial"/>
                <w:sz w:val="19"/>
                <w:szCs w:val="19"/>
                <w:lang w:val="en-GB"/>
              </w:rPr>
            </w:pPr>
            <w:r w:rsidRPr="00940647">
              <w:rPr>
                <w:rFonts w:ascii="Arial" w:hAnsi="Arial" w:cs="Arial"/>
                <w:sz w:val="19"/>
                <w:szCs w:val="19"/>
                <w:lang w:val="en-GB"/>
              </w:rPr>
              <w:t xml:space="preserve">Marketing and Distribution Costs (assumed to be </w:t>
            </w:r>
            <w:r w:rsidR="00D6580C" w:rsidRPr="00940647">
              <w:rPr>
                <w:rFonts w:ascii="Arial" w:hAnsi="Arial" w:cs="Arial"/>
                <w:sz w:val="19"/>
                <w:szCs w:val="19"/>
                <w:lang w:val="en-GB"/>
              </w:rPr>
              <w:t>f</w:t>
            </w:r>
            <w:r w:rsidRPr="00940647">
              <w:rPr>
                <w:rFonts w:ascii="Arial" w:hAnsi="Arial" w:cs="Arial"/>
                <w:sz w:val="19"/>
                <w:szCs w:val="19"/>
                <w:lang w:val="en-GB"/>
              </w:rPr>
              <w:t xml:space="preserve">ixed </w:t>
            </w:r>
            <w:r w:rsidR="00D6580C" w:rsidRPr="00940647">
              <w:rPr>
                <w:rFonts w:ascii="Arial" w:hAnsi="Arial" w:cs="Arial"/>
                <w:sz w:val="19"/>
                <w:szCs w:val="19"/>
                <w:lang w:val="en-GB"/>
              </w:rPr>
              <w:t>c</w:t>
            </w:r>
            <w:r w:rsidRPr="00940647">
              <w:rPr>
                <w:rFonts w:ascii="Arial" w:hAnsi="Arial" w:cs="Arial"/>
                <w:sz w:val="19"/>
                <w:szCs w:val="19"/>
                <w:lang w:val="en-GB"/>
              </w:rPr>
              <w:t>osts)</w:t>
            </w:r>
          </w:p>
        </w:tc>
        <w:tc>
          <w:tcPr>
            <w:tcW w:w="691" w:type="dxa"/>
            <w:vAlign w:val="center"/>
          </w:tcPr>
          <w:p w:rsidR="007B702D" w:rsidRPr="00940647" w:rsidRDefault="007B702D" w:rsidP="006E1B60">
            <w:pPr>
              <w:jc w:val="right"/>
              <w:rPr>
                <w:rFonts w:ascii="Arial" w:hAnsi="Arial" w:cs="Arial"/>
                <w:sz w:val="19"/>
                <w:szCs w:val="19"/>
                <w:lang w:val="en-GB"/>
              </w:rPr>
            </w:pPr>
          </w:p>
        </w:tc>
        <w:tc>
          <w:tcPr>
            <w:tcW w:w="1247" w:type="dxa"/>
            <w:vAlign w:val="center"/>
          </w:tcPr>
          <w:p w:rsidR="007B702D" w:rsidRPr="00940647" w:rsidRDefault="007B702D" w:rsidP="006E1B60">
            <w:pPr>
              <w:jc w:val="right"/>
              <w:rPr>
                <w:rFonts w:ascii="Arial" w:hAnsi="Arial" w:cs="Arial"/>
                <w:sz w:val="19"/>
                <w:szCs w:val="19"/>
                <w:lang w:val="en-GB"/>
              </w:rPr>
            </w:pPr>
          </w:p>
        </w:tc>
        <w:tc>
          <w:tcPr>
            <w:tcW w:w="1167" w:type="dxa"/>
            <w:vAlign w:val="center"/>
          </w:tcPr>
          <w:p w:rsidR="007B702D" w:rsidRPr="00940647" w:rsidRDefault="007B702D" w:rsidP="006E1B60">
            <w:pPr>
              <w:jc w:val="right"/>
              <w:rPr>
                <w:rFonts w:ascii="Arial" w:hAnsi="Arial" w:cs="Arial"/>
                <w:bCs/>
                <w:color w:val="222222"/>
                <w:sz w:val="19"/>
                <w:szCs w:val="19"/>
                <w:shd w:val="clear" w:color="auto" w:fill="FFFFFF"/>
                <w:lang w:val="en-GB"/>
              </w:rPr>
            </w:pPr>
          </w:p>
        </w:tc>
        <w:tc>
          <w:tcPr>
            <w:tcW w:w="1406" w:type="dxa"/>
            <w:vAlign w:val="center"/>
          </w:tcPr>
          <w:p w:rsidR="007B702D" w:rsidRPr="00940647" w:rsidRDefault="007B702D" w:rsidP="006E1B60">
            <w:pPr>
              <w:jc w:val="right"/>
              <w:rPr>
                <w:rFonts w:ascii="Arial" w:hAnsi="Arial" w:cs="Arial"/>
                <w:sz w:val="19"/>
                <w:szCs w:val="19"/>
                <w:lang w:val="en-GB"/>
              </w:rPr>
            </w:pPr>
            <w:r w:rsidRPr="00940647">
              <w:rPr>
                <w:rFonts w:ascii="Arial" w:hAnsi="Arial" w:cs="Arial"/>
                <w:bCs/>
                <w:color w:val="222222"/>
                <w:sz w:val="19"/>
                <w:szCs w:val="19"/>
                <w:shd w:val="clear" w:color="auto" w:fill="FFFFFF"/>
                <w:lang w:val="en-GB"/>
              </w:rPr>
              <w:t xml:space="preserve"> 400,000</w:t>
            </w:r>
          </w:p>
        </w:tc>
      </w:tr>
      <w:tr w:rsidR="007B702D" w:rsidRPr="00940647" w:rsidTr="006E1B60">
        <w:trPr>
          <w:jc w:val="center"/>
        </w:trPr>
        <w:tc>
          <w:tcPr>
            <w:tcW w:w="3989" w:type="dxa"/>
            <w:vAlign w:val="center"/>
          </w:tcPr>
          <w:p w:rsidR="007B702D" w:rsidRPr="00940647" w:rsidRDefault="007B702D" w:rsidP="006E1B60">
            <w:pPr>
              <w:pStyle w:val="ListParagraph"/>
              <w:numPr>
                <w:ilvl w:val="0"/>
                <w:numId w:val="28"/>
              </w:numPr>
              <w:ind w:left="427"/>
              <w:jc w:val="left"/>
              <w:rPr>
                <w:rFonts w:ascii="Arial" w:hAnsi="Arial" w:cs="Arial"/>
                <w:sz w:val="19"/>
                <w:szCs w:val="19"/>
                <w:lang w:val="en-GB"/>
              </w:rPr>
            </w:pPr>
            <w:r w:rsidRPr="00940647">
              <w:rPr>
                <w:rFonts w:ascii="Arial" w:hAnsi="Arial" w:cs="Arial"/>
                <w:sz w:val="19"/>
                <w:szCs w:val="19"/>
                <w:lang w:val="en-GB"/>
              </w:rPr>
              <w:t>Other Fixed Costs: Overheads, Interest, Depreciation, Rent, Salaries, etc.</w:t>
            </w:r>
          </w:p>
        </w:tc>
        <w:tc>
          <w:tcPr>
            <w:tcW w:w="691" w:type="dxa"/>
            <w:vAlign w:val="center"/>
          </w:tcPr>
          <w:p w:rsidR="007B702D" w:rsidRPr="00940647" w:rsidRDefault="007B702D" w:rsidP="006E1B60">
            <w:pPr>
              <w:jc w:val="right"/>
              <w:rPr>
                <w:rFonts w:ascii="Arial" w:hAnsi="Arial" w:cs="Arial"/>
                <w:sz w:val="19"/>
                <w:szCs w:val="19"/>
                <w:lang w:val="en-GB"/>
              </w:rPr>
            </w:pPr>
          </w:p>
        </w:tc>
        <w:tc>
          <w:tcPr>
            <w:tcW w:w="1247" w:type="dxa"/>
            <w:vAlign w:val="center"/>
          </w:tcPr>
          <w:p w:rsidR="007B702D" w:rsidRPr="00940647" w:rsidRDefault="007B702D" w:rsidP="006E1B60">
            <w:pPr>
              <w:jc w:val="right"/>
              <w:rPr>
                <w:rFonts w:ascii="Arial" w:hAnsi="Arial" w:cs="Arial"/>
                <w:sz w:val="19"/>
                <w:szCs w:val="19"/>
                <w:lang w:val="en-GB"/>
              </w:rPr>
            </w:pPr>
          </w:p>
        </w:tc>
        <w:tc>
          <w:tcPr>
            <w:tcW w:w="1167" w:type="dxa"/>
            <w:vAlign w:val="center"/>
          </w:tcPr>
          <w:p w:rsidR="007B702D" w:rsidRPr="00940647" w:rsidRDefault="007B702D" w:rsidP="006E1B60">
            <w:pPr>
              <w:jc w:val="right"/>
              <w:rPr>
                <w:rFonts w:ascii="Arial" w:hAnsi="Arial" w:cs="Arial"/>
                <w:bCs/>
                <w:color w:val="222222"/>
                <w:sz w:val="19"/>
                <w:szCs w:val="19"/>
                <w:shd w:val="clear" w:color="auto" w:fill="FFFFFF"/>
                <w:lang w:val="en-GB"/>
              </w:rPr>
            </w:pPr>
          </w:p>
        </w:tc>
        <w:tc>
          <w:tcPr>
            <w:tcW w:w="1406" w:type="dxa"/>
            <w:vAlign w:val="center"/>
          </w:tcPr>
          <w:p w:rsidR="007B702D" w:rsidRPr="00940647" w:rsidRDefault="007B702D" w:rsidP="006E1B60">
            <w:pPr>
              <w:jc w:val="right"/>
              <w:rPr>
                <w:rFonts w:ascii="Arial" w:hAnsi="Arial" w:cs="Arial"/>
                <w:sz w:val="19"/>
                <w:szCs w:val="19"/>
                <w:lang w:val="en-GB"/>
              </w:rPr>
            </w:pPr>
            <w:r w:rsidRPr="00940647">
              <w:rPr>
                <w:rFonts w:ascii="Arial" w:hAnsi="Arial" w:cs="Arial"/>
                <w:bCs/>
                <w:color w:val="222222"/>
                <w:sz w:val="19"/>
                <w:szCs w:val="19"/>
                <w:shd w:val="clear" w:color="auto" w:fill="FFFFFF"/>
                <w:lang w:val="en-GB"/>
              </w:rPr>
              <w:t xml:space="preserve"> 500,000</w:t>
            </w:r>
          </w:p>
        </w:tc>
      </w:tr>
      <w:tr w:rsidR="007B702D" w:rsidRPr="00940647" w:rsidTr="006E1B60">
        <w:trPr>
          <w:jc w:val="center"/>
        </w:trPr>
        <w:tc>
          <w:tcPr>
            <w:tcW w:w="3989" w:type="dxa"/>
            <w:vAlign w:val="center"/>
          </w:tcPr>
          <w:p w:rsidR="007B702D" w:rsidRPr="00940647" w:rsidRDefault="007B702D" w:rsidP="006E1B60">
            <w:pPr>
              <w:rPr>
                <w:rFonts w:ascii="Arial" w:hAnsi="Arial" w:cs="Arial"/>
                <w:sz w:val="19"/>
                <w:szCs w:val="19"/>
                <w:lang w:val="en-GB"/>
              </w:rPr>
            </w:pPr>
            <w:r w:rsidRPr="00940647">
              <w:rPr>
                <w:rFonts w:ascii="Arial" w:hAnsi="Arial" w:cs="Arial"/>
                <w:b/>
                <w:sz w:val="19"/>
                <w:szCs w:val="19"/>
                <w:lang w:val="en-GB"/>
              </w:rPr>
              <w:t>Profit</w:t>
            </w:r>
            <w:r w:rsidRPr="00940647">
              <w:rPr>
                <w:rFonts w:ascii="Arial" w:hAnsi="Arial" w:cs="Arial"/>
                <w:sz w:val="19"/>
                <w:szCs w:val="19"/>
                <w:lang w:val="en-GB"/>
              </w:rPr>
              <w:t xml:space="preserve"> (U</w:t>
            </w:r>
            <w:r w:rsidR="00456D25" w:rsidRPr="00940647">
              <w:rPr>
                <w:rFonts w:ascii="Arial" w:hAnsi="Arial" w:cs="Arial"/>
                <w:sz w:val="19"/>
                <w:szCs w:val="19"/>
                <w:lang w:val="en-GB"/>
              </w:rPr>
              <w:t>.</w:t>
            </w:r>
            <w:r w:rsidRPr="00940647">
              <w:rPr>
                <w:rFonts w:ascii="Arial" w:hAnsi="Arial" w:cs="Arial"/>
                <w:sz w:val="19"/>
                <w:szCs w:val="19"/>
                <w:lang w:val="en-GB"/>
              </w:rPr>
              <w:t>K</w:t>
            </w:r>
            <w:r w:rsidR="00456D25" w:rsidRPr="00940647">
              <w:rPr>
                <w:rFonts w:ascii="Arial" w:hAnsi="Arial" w:cs="Arial"/>
                <w:sz w:val="19"/>
                <w:szCs w:val="19"/>
                <w:lang w:val="en-GB"/>
              </w:rPr>
              <w:t>.</w:t>
            </w:r>
            <w:r w:rsidRPr="00940647">
              <w:rPr>
                <w:rFonts w:ascii="Arial" w:hAnsi="Arial" w:cs="Arial"/>
                <w:sz w:val="19"/>
                <w:szCs w:val="19"/>
                <w:lang w:val="en-GB"/>
              </w:rPr>
              <w:t xml:space="preserve"> Subsidiary)</w:t>
            </w:r>
          </w:p>
        </w:tc>
        <w:tc>
          <w:tcPr>
            <w:tcW w:w="691" w:type="dxa"/>
            <w:vAlign w:val="center"/>
          </w:tcPr>
          <w:p w:rsidR="007B702D" w:rsidRPr="00940647" w:rsidRDefault="007B702D" w:rsidP="006E1B60">
            <w:pPr>
              <w:jc w:val="right"/>
              <w:rPr>
                <w:rFonts w:ascii="Arial" w:hAnsi="Arial" w:cs="Arial"/>
                <w:sz w:val="19"/>
                <w:szCs w:val="19"/>
                <w:lang w:val="en-GB"/>
              </w:rPr>
            </w:pPr>
          </w:p>
        </w:tc>
        <w:tc>
          <w:tcPr>
            <w:tcW w:w="1247" w:type="dxa"/>
            <w:vAlign w:val="center"/>
          </w:tcPr>
          <w:p w:rsidR="007B702D" w:rsidRPr="00940647" w:rsidRDefault="007B702D" w:rsidP="006E1B60">
            <w:pPr>
              <w:jc w:val="right"/>
              <w:rPr>
                <w:rFonts w:ascii="Arial" w:hAnsi="Arial" w:cs="Arial"/>
                <w:sz w:val="19"/>
                <w:szCs w:val="19"/>
                <w:lang w:val="en-GB"/>
              </w:rPr>
            </w:pPr>
          </w:p>
        </w:tc>
        <w:tc>
          <w:tcPr>
            <w:tcW w:w="1167" w:type="dxa"/>
            <w:vAlign w:val="center"/>
          </w:tcPr>
          <w:p w:rsidR="007B702D" w:rsidRPr="00940647" w:rsidRDefault="007B702D" w:rsidP="006E1B60">
            <w:pPr>
              <w:jc w:val="right"/>
              <w:rPr>
                <w:rFonts w:ascii="Arial" w:hAnsi="Arial" w:cs="Arial"/>
                <w:bCs/>
                <w:color w:val="222222"/>
                <w:sz w:val="19"/>
                <w:szCs w:val="19"/>
                <w:shd w:val="clear" w:color="auto" w:fill="FFFFFF"/>
                <w:lang w:val="en-GB"/>
              </w:rPr>
            </w:pPr>
          </w:p>
        </w:tc>
        <w:tc>
          <w:tcPr>
            <w:tcW w:w="1406" w:type="dxa"/>
            <w:vAlign w:val="center"/>
          </w:tcPr>
          <w:p w:rsidR="007B702D" w:rsidRPr="00940647" w:rsidRDefault="007B702D" w:rsidP="006E1B60">
            <w:pPr>
              <w:jc w:val="right"/>
              <w:rPr>
                <w:rFonts w:ascii="Arial" w:hAnsi="Arial" w:cs="Arial"/>
                <w:bCs/>
                <w:color w:val="222222"/>
                <w:sz w:val="19"/>
                <w:szCs w:val="19"/>
                <w:shd w:val="clear" w:color="auto" w:fill="FFFFFF"/>
                <w:lang w:val="en-GB"/>
              </w:rPr>
            </w:pPr>
            <w:r w:rsidRPr="00940647">
              <w:rPr>
                <w:rFonts w:ascii="Arial" w:hAnsi="Arial" w:cs="Arial"/>
                <w:bCs/>
                <w:color w:val="222222"/>
                <w:sz w:val="19"/>
                <w:szCs w:val="19"/>
                <w:shd w:val="clear" w:color="auto" w:fill="FFFFFF"/>
                <w:lang w:val="en-GB"/>
              </w:rPr>
              <w:t>£4,252,941</w:t>
            </w:r>
          </w:p>
          <w:p w:rsidR="007B702D" w:rsidRPr="00940647" w:rsidRDefault="00CD0B80" w:rsidP="006E1B60">
            <w:pPr>
              <w:jc w:val="right"/>
              <w:rPr>
                <w:rFonts w:ascii="Arial" w:hAnsi="Arial" w:cs="Arial"/>
                <w:bCs/>
                <w:color w:val="222222"/>
                <w:sz w:val="19"/>
                <w:szCs w:val="19"/>
                <w:shd w:val="clear" w:color="auto" w:fill="FFFFFF"/>
                <w:lang w:val="en-GB"/>
              </w:rPr>
            </w:pPr>
            <w:r w:rsidRPr="00940647">
              <w:rPr>
                <w:rFonts w:ascii="Arial" w:hAnsi="Arial" w:cs="Arial"/>
                <w:bCs/>
                <w:color w:val="222222"/>
                <w:sz w:val="19"/>
                <w:szCs w:val="19"/>
                <w:shd w:val="clear" w:color="auto" w:fill="FFFFFF"/>
                <w:lang w:val="en-GB"/>
              </w:rPr>
              <w:t xml:space="preserve">Or </w:t>
            </w:r>
            <w:r w:rsidR="007B702D" w:rsidRPr="00940647">
              <w:rPr>
                <w:rFonts w:ascii="Arial" w:hAnsi="Arial" w:cs="Arial"/>
                <w:bCs/>
                <w:color w:val="222222"/>
                <w:sz w:val="19"/>
                <w:szCs w:val="19"/>
                <w:shd w:val="clear" w:color="auto" w:fill="FFFFFF"/>
                <w:lang w:val="en-GB"/>
              </w:rPr>
              <w:t>€5,784,000</w:t>
            </w:r>
          </w:p>
        </w:tc>
      </w:tr>
    </w:tbl>
    <w:p w:rsidR="00312A56" w:rsidRPr="00940647" w:rsidRDefault="00312A56" w:rsidP="00C42FB8">
      <w:pPr>
        <w:pStyle w:val="Footnote"/>
        <w:rPr>
          <w:shd w:val="clear" w:color="auto" w:fill="FFFFFF"/>
          <w:lang w:val="en-GB"/>
        </w:rPr>
      </w:pPr>
    </w:p>
    <w:p w:rsidR="00C42FB8" w:rsidRPr="007361F9" w:rsidRDefault="00C42FB8" w:rsidP="00C42FB8">
      <w:pPr>
        <w:pStyle w:val="Footnote"/>
        <w:rPr>
          <w:shd w:val="clear" w:color="auto" w:fill="FFFFFF"/>
          <w:lang w:val="en-GB"/>
        </w:rPr>
      </w:pPr>
      <w:r w:rsidRPr="00940647">
        <w:rPr>
          <w:shd w:val="clear" w:color="auto" w:fill="FFFFFF"/>
          <w:lang w:val="en-GB"/>
        </w:rPr>
        <w:t>Source: Company documents.</w:t>
      </w:r>
      <w:r w:rsidRPr="007361F9">
        <w:rPr>
          <w:shd w:val="clear" w:color="auto" w:fill="FFFFFF"/>
          <w:lang w:val="en-GB"/>
        </w:rPr>
        <w:t xml:space="preserve"> </w:t>
      </w:r>
    </w:p>
    <w:p w:rsidR="007B702D" w:rsidRPr="007361F9" w:rsidRDefault="007B702D" w:rsidP="00F92FC1">
      <w:pPr>
        <w:pStyle w:val="BodyTextMain"/>
        <w:rPr>
          <w:lang w:val="en-GB"/>
        </w:rPr>
      </w:pPr>
    </w:p>
    <w:sectPr w:rsidR="007B702D" w:rsidRPr="007361F9"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A03" w:rsidRDefault="00014A03" w:rsidP="00D75295">
      <w:r>
        <w:separator/>
      </w:r>
    </w:p>
  </w:endnote>
  <w:endnote w:type="continuationSeparator" w:id="0">
    <w:p w:rsidR="00014A03" w:rsidRDefault="00014A0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A03" w:rsidRDefault="00014A03" w:rsidP="00D75295">
      <w:r>
        <w:separator/>
      </w:r>
    </w:p>
  </w:footnote>
  <w:footnote w:type="continuationSeparator" w:id="0">
    <w:p w:rsidR="00014A03" w:rsidRDefault="00014A03" w:rsidP="00D75295">
      <w:r>
        <w:continuationSeparator/>
      </w:r>
    </w:p>
  </w:footnote>
  <w:footnote w:id="1">
    <w:p w:rsidR="00570DA6" w:rsidRPr="00CD0B80" w:rsidRDefault="00570DA6" w:rsidP="00312A56">
      <w:pPr>
        <w:pStyle w:val="Footnote"/>
        <w:rPr>
          <w:spacing w:val="-6"/>
          <w:kern w:val="17"/>
          <w:lang w:val="en-CA"/>
        </w:rPr>
      </w:pPr>
      <w:r>
        <w:rPr>
          <w:rStyle w:val="FootnoteReference"/>
        </w:rPr>
        <w:footnoteRef/>
      </w:r>
      <w:r>
        <w:t xml:space="preserve"> </w:t>
      </w:r>
      <w:r w:rsidR="00A5477C" w:rsidRPr="00A5477C">
        <w:t>£</w:t>
      </w:r>
      <w:r w:rsidR="00A5477C">
        <w:t xml:space="preserve"> = GBP = United Kingdom pound; </w:t>
      </w:r>
      <w:r w:rsidR="00477138" w:rsidRPr="00477138">
        <w:t xml:space="preserve">€ = euro; </w:t>
      </w:r>
      <w:r w:rsidR="00A5477C">
        <w:t xml:space="preserve">currency amounts are in </w:t>
      </w:r>
      <w:r w:rsidR="00A5477C" w:rsidRPr="00A5477C">
        <w:t>£</w:t>
      </w:r>
      <w:r w:rsidR="00A5477C">
        <w:t xml:space="preserve"> unless otherwise specifi</w:t>
      </w:r>
      <w:r w:rsidR="005F199E">
        <w:t>ed</w:t>
      </w:r>
      <w:r w:rsidR="00A5477C">
        <w:t xml:space="preserve">; US$1.00 = </w:t>
      </w:r>
      <w:r w:rsidR="00A5477C" w:rsidRPr="00A5477C">
        <w:t>£</w:t>
      </w:r>
      <w:r w:rsidR="00A5477C">
        <w:t>0.</w:t>
      </w:r>
      <w:r w:rsidR="00E36D32">
        <w:t>7</w:t>
      </w:r>
      <w:r w:rsidR="00CB1BA6">
        <w:t>7</w:t>
      </w:r>
      <w:r w:rsidR="00A5477C">
        <w:t xml:space="preserve"> on </w:t>
      </w:r>
      <w:r w:rsidR="00CB1BA6">
        <w:t xml:space="preserve">July </w:t>
      </w:r>
      <w:r w:rsidR="00CB1BA6" w:rsidRPr="00CD0B80">
        <w:rPr>
          <w:spacing w:val="-6"/>
          <w:kern w:val="17"/>
        </w:rPr>
        <w:t>6</w:t>
      </w:r>
      <w:r w:rsidR="00A5477C" w:rsidRPr="00CD0B80">
        <w:rPr>
          <w:spacing w:val="-6"/>
          <w:kern w:val="17"/>
        </w:rPr>
        <w:t>, 2016</w:t>
      </w:r>
      <w:r w:rsidR="005F199E" w:rsidRPr="00CD0B80">
        <w:rPr>
          <w:spacing w:val="-6"/>
          <w:kern w:val="17"/>
        </w:rPr>
        <w:t>; US$1.00 = €0.</w:t>
      </w:r>
      <w:r w:rsidR="007361F9" w:rsidRPr="00CD0B80">
        <w:rPr>
          <w:spacing w:val="-6"/>
          <w:kern w:val="17"/>
        </w:rPr>
        <w:t>90</w:t>
      </w:r>
      <w:r w:rsidR="005F199E" w:rsidRPr="00CD0B80">
        <w:rPr>
          <w:spacing w:val="-6"/>
          <w:kern w:val="17"/>
        </w:rPr>
        <w:t xml:space="preserve"> on </w:t>
      </w:r>
      <w:r w:rsidR="007361F9" w:rsidRPr="00CD0B80">
        <w:rPr>
          <w:spacing w:val="-6"/>
          <w:kern w:val="17"/>
        </w:rPr>
        <w:t>July 6</w:t>
      </w:r>
      <w:r w:rsidR="005F199E" w:rsidRPr="00CD0B80">
        <w:rPr>
          <w:spacing w:val="-6"/>
          <w:kern w:val="17"/>
        </w:rPr>
        <w:t>, 2016</w:t>
      </w:r>
      <w:r w:rsidR="00A5477C" w:rsidRPr="00CD0B80">
        <w:rPr>
          <w:spacing w:val="-6"/>
          <w:kern w:val="17"/>
        </w:rPr>
        <w:t>.</w:t>
      </w:r>
    </w:p>
  </w:footnote>
  <w:footnote w:id="2">
    <w:p w:rsidR="00C65107" w:rsidRPr="00C65107" w:rsidRDefault="00C65107" w:rsidP="00C65107">
      <w:pPr>
        <w:pStyle w:val="Footnote"/>
      </w:pPr>
      <w:r w:rsidRPr="00CD0B80">
        <w:rPr>
          <w:rStyle w:val="FootnoteReference"/>
          <w:spacing w:val="-6"/>
          <w:kern w:val="17"/>
        </w:rPr>
        <w:footnoteRef/>
      </w:r>
      <w:r w:rsidRPr="00CD0B80">
        <w:rPr>
          <w:spacing w:val="-6"/>
          <w:kern w:val="17"/>
        </w:rPr>
        <w:t xml:space="preserve"> David Turner and Pete Richardson, “The Global Business,” </w:t>
      </w:r>
      <w:proofErr w:type="spellStart"/>
      <w:r w:rsidR="002A0BCC" w:rsidRPr="00CD0B80">
        <w:rPr>
          <w:i/>
          <w:iCs/>
          <w:spacing w:val="-6"/>
          <w:kern w:val="17"/>
        </w:rPr>
        <w:t>Organisation</w:t>
      </w:r>
      <w:proofErr w:type="spellEnd"/>
      <w:r w:rsidR="002A0BCC" w:rsidRPr="00CD0B80">
        <w:rPr>
          <w:i/>
          <w:iCs/>
          <w:spacing w:val="-6"/>
          <w:kern w:val="17"/>
        </w:rPr>
        <w:t xml:space="preserve"> for Economic Cooperation and Development</w:t>
      </w:r>
      <w:r w:rsidR="00B732F4" w:rsidRPr="006E1B60">
        <w:rPr>
          <w:i/>
          <w:iCs/>
          <w:spacing w:val="-6"/>
          <w:kern w:val="17"/>
        </w:rPr>
        <w:t>,</w:t>
      </w:r>
      <w:r w:rsidR="002A0BCC" w:rsidRPr="00B732F4">
        <w:rPr>
          <w:i/>
          <w:iCs/>
          <w:spacing w:val="-6"/>
          <w:kern w:val="17"/>
        </w:rPr>
        <w:t xml:space="preserve"> </w:t>
      </w:r>
      <w:r w:rsidR="002A0BCC" w:rsidRPr="00CD0B80">
        <w:rPr>
          <w:i/>
          <w:iCs/>
          <w:spacing w:val="-6"/>
          <w:kern w:val="17"/>
        </w:rPr>
        <w:t>The OECD Observer</w:t>
      </w:r>
      <w:r w:rsidR="002A0BCC" w:rsidRPr="00CD0B80">
        <w:rPr>
          <w:spacing w:val="-6"/>
          <w:kern w:val="17"/>
        </w:rPr>
        <w:t xml:space="preserve"> 234 (2002): 27</w:t>
      </w:r>
      <w:r w:rsidRPr="00CD0B80">
        <w:rPr>
          <w:spacing w:val="-6"/>
          <w:kern w:val="17"/>
        </w:rPr>
        <w:t>, accessed October 2016, http://oecdobserver.org/news/archivestory.php/aid/850/The_global_business_.html.</w:t>
      </w:r>
    </w:p>
  </w:footnote>
  <w:footnote w:id="3">
    <w:p w:rsidR="00C65107" w:rsidRPr="00F92FC1" w:rsidRDefault="00C65107" w:rsidP="00F92FC1">
      <w:pPr>
        <w:pStyle w:val="Footnote"/>
      </w:pPr>
      <w:r w:rsidRPr="00F7595C">
        <w:rPr>
          <w:vertAlign w:val="superscript"/>
        </w:rPr>
        <w:footnoteRef/>
      </w:r>
      <w:r w:rsidRPr="00F7595C">
        <w:rPr>
          <w:vertAlign w:val="superscript"/>
        </w:rPr>
        <w:t xml:space="preserve"> </w:t>
      </w:r>
      <w:r w:rsidRPr="00F7595C">
        <w:t>U</w:t>
      </w:r>
      <w:r w:rsidR="00577BBA" w:rsidRPr="00F7595C">
        <w:t>nited Nations Conference on Trade and Development (U</w:t>
      </w:r>
      <w:r w:rsidRPr="00F7595C">
        <w:t>NCTAD</w:t>
      </w:r>
      <w:r w:rsidR="00577BBA" w:rsidRPr="00F7595C">
        <w:t>)</w:t>
      </w:r>
      <w:r w:rsidRPr="00F7595C">
        <w:t xml:space="preserve">, “Global Value Chains: Investment and Trade for Development,” </w:t>
      </w:r>
      <w:r w:rsidR="009C1094" w:rsidRPr="00F7595C">
        <w:t xml:space="preserve">chapter IV in </w:t>
      </w:r>
      <w:r w:rsidRPr="00F7595C">
        <w:rPr>
          <w:i/>
        </w:rPr>
        <w:t>World Investment Report</w:t>
      </w:r>
      <w:r w:rsidR="00577BBA" w:rsidRPr="00F7595C">
        <w:rPr>
          <w:i/>
        </w:rPr>
        <w:t xml:space="preserve"> 2013</w:t>
      </w:r>
      <w:r w:rsidRPr="00F7595C">
        <w:t xml:space="preserve">, </w:t>
      </w:r>
      <w:r w:rsidR="00577BBA" w:rsidRPr="00F7595C">
        <w:t xml:space="preserve">June 2013, </w:t>
      </w:r>
      <w:r w:rsidRPr="00F7595C">
        <w:t>accessed October 2016, http://unctad.org/en/PublicationChapters/wir2013ch4_en.pdf.</w:t>
      </w:r>
    </w:p>
  </w:footnote>
  <w:footnote w:id="4">
    <w:p w:rsidR="00C65107" w:rsidRPr="00F92FC1" w:rsidRDefault="00C65107" w:rsidP="00F92FC1">
      <w:pPr>
        <w:pStyle w:val="Footnote"/>
      </w:pPr>
      <w:r w:rsidRPr="00F92FC1">
        <w:rPr>
          <w:rStyle w:val="FootnoteReference"/>
        </w:rPr>
        <w:footnoteRef/>
      </w:r>
      <w:r w:rsidRPr="00F92FC1">
        <w:t xml:space="preserve"> </w:t>
      </w:r>
      <w:proofErr w:type="spellStart"/>
      <w:r w:rsidRPr="00F92FC1">
        <w:t>Saabira</w:t>
      </w:r>
      <w:proofErr w:type="spellEnd"/>
      <w:r w:rsidRPr="00F92FC1">
        <w:t xml:space="preserve"> </w:t>
      </w:r>
      <w:proofErr w:type="spellStart"/>
      <w:r w:rsidRPr="00F92FC1">
        <w:t>Chaudhury</w:t>
      </w:r>
      <w:proofErr w:type="spellEnd"/>
      <w:r w:rsidRPr="00F92FC1">
        <w:t xml:space="preserve">, “Unilever Price Rises Herald Brexit Pain for British Consumers,” </w:t>
      </w:r>
      <w:r w:rsidRPr="00312A56">
        <w:rPr>
          <w:i/>
        </w:rPr>
        <w:t>Wall Street Journal</w:t>
      </w:r>
      <w:r w:rsidRPr="00F92FC1">
        <w:t xml:space="preserve">, </w:t>
      </w:r>
      <w:r w:rsidR="009C1094">
        <w:t xml:space="preserve">October 13, 2016, accessed February 27, 2017, </w:t>
      </w:r>
      <w:r w:rsidR="009C14B2" w:rsidRPr="00F733EA">
        <w:t>www.wsj.com/articles/unilever-raises-prices-to-maintain-sales-1476340026</w:t>
      </w:r>
      <w:r w:rsidRPr="00F92FC1">
        <w:t>.</w:t>
      </w:r>
    </w:p>
  </w:footnote>
  <w:footnote w:id="5">
    <w:p w:rsidR="00C65107" w:rsidRPr="006E1B60" w:rsidRDefault="00C65107" w:rsidP="00F92FC1">
      <w:pPr>
        <w:pStyle w:val="Footnote"/>
        <w:rPr>
          <w:spacing w:val="-4"/>
          <w:kern w:val="17"/>
        </w:rPr>
      </w:pPr>
      <w:r w:rsidRPr="006E1B60">
        <w:rPr>
          <w:rStyle w:val="FootnoteReference"/>
          <w:spacing w:val="-4"/>
          <w:kern w:val="17"/>
        </w:rPr>
        <w:footnoteRef/>
      </w:r>
      <w:r w:rsidRPr="006E1B60">
        <w:rPr>
          <w:spacing w:val="-4"/>
          <w:kern w:val="17"/>
        </w:rPr>
        <w:t xml:space="preserve"> “Price Elasticity of Demand,” </w:t>
      </w:r>
      <w:r w:rsidR="00577BBA" w:rsidRPr="006E1B60">
        <w:rPr>
          <w:spacing w:val="-4"/>
          <w:kern w:val="17"/>
        </w:rPr>
        <w:t xml:space="preserve">Investopedia, accessed February 27, 2017, </w:t>
      </w:r>
      <w:r w:rsidR="00F108D2" w:rsidRPr="006E1B60">
        <w:rPr>
          <w:spacing w:val="-4"/>
          <w:kern w:val="17"/>
        </w:rPr>
        <w:t>www.investopedia.com/terms/p/priceelasticity.asp</w:t>
      </w:r>
      <w:r w:rsidRPr="006E1B60">
        <w:rPr>
          <w:spacing w:val="-4"/>
          <w:kern w:val="17"/>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921" w:rsidRDefault="007E5921"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sidR="00A349DD">
      <w:rPr>
        <w:rFonts w:ascii="Arial" w:hAnsi="Arial"/>
        <w:b/>
      </w:rPr>
      <w:fldChar w:fldCharType="begin"/>
    </w:r>
    <w:r>
      <w:rPr>
        <w:rFonts w:ascii="Arial" w:hAnsi="Arial"/>
        <w:b/>
      </w:rPr>
      <w:instrText>PAGE</w:instrText>
    </w:r>
    <w:r w:rsidR="00A349DD">
      <w:rPr>
        <w:rFonts w:ascii="Arial" w:hAnsi="Arial"/>
        <w:b/>
      </w:rPr>
      <w:fldChar w:fldCharType="separate"/>
    </w:r>
    <w:r w:rsidR="00D02CAF">
      <w:rPr>
        <w:rFonts w:ascii="Arial" w:hAnsi="Arial"/>
        <w:b/>
        <w:noProof/>
      </w:rPr>
      <w:t>4</w:t>
    </w:r>
    <w:r w:rsidR="00A349DD">
      <w:rPr>
        <w:rFonts w:ascii="Arial" w:hAnsi="Arial"/>
        <w:b/>
      </w:rPr>
      <w:fldChar w:fldCharType="end"/>
    </w:r>
    <w:r>
      <w:rPr>
        <w:rFonts w:ascii="Arial" w:hAnsi="Arial"/>
        <w:b/>
      </w:rPr>
      <w:tab/>
    </w:r>
    <w:r w:rsidR="006E1B60">
      <w:rPr>
        <w:rFonts w:ascii="Arial" w:hAnsi="Arial"/>
        <w:b/>
      </w:rPr>
      <w:t>9B17M049</w:t>
    </w:r>
  </w:p>
  <w:p w:rsidR="007E5921" w:rsidRPr="00C92CC4" w:rsidRDefault="007E5921">
    <w:pPr>
      <w:pStyle w:val="Header"/>
      <w:rPr>
        <w:sz w:val="18"/>
        <w:szCs w:val="18"/>
      </w:rPr>
    </w:pPr>
  </w:p>
  <w:p w:rsidR="007E5921" w:rsidRPr="00C92CC4" w:rsidRDefault="007E5921">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F08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B22BE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9A96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01B3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C54DC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990C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FFE9D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3605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C3285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CBC58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A2092B"/>
    <w:multiLevelType w:val="hybridMultilevel"/>
    <w:tmpl w:val="51780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4D48018D"/>
    <w:multiLevelType w:val="hybridMultilevel"/>
    <w:tmpl w:val="53405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9"/>
  </w:num>
  <w:num w:numId="13">
    <w:abstractNumId w:val="13"/>
  </w:num>
  <w:num w:numId="14">
    <w:abstractNumId w:val="21"/>
  </w:num>
  <w:num w:numId="15">
    <w:abstractNumId w:val="22"/>
  </w:num>
  <w:num w:numId="16">
    <w:abstractNumId w:val="23"/>
  </w:num>
  <w:num w:numId="17">
    <w:abstractNumId w:val="16"/>
  </w:num>
  <w:num w:numId="18">
    <w:abstractNumId w:val="24"/>
  </w:num>
  <w:num w:numId="19">
    <w:abstractNumId w:val="12"/>
  </w:num>
  <w:num w:numId="20">
    <w:abstractNumId w:val="11"/>
  </w:num>
  <w:num w:numId="21">
    <w:abstractNumId w:val="25"/>
  </w:num>
  <w:num w:numId="22">
    <w:abstractNumId w:val="18"/>
  </w:num>
  <w:num w:numId="23">
    <w:abstractNumId w:val="2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10"/>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2560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4A03"/>
    <w:rsid w:val="000216CE"/>
    <w:rsid w:val="00025DC7"/>
    <w:rsid w:val="00026486"/>
    <w:rsid w:val="0003509A"/>
    <w:rsid w:val="00044ECC"/>
    <w:rsid w:val="00051E72"/>
    <w:rsid w:val="000531D3"/>
    <w:rsid w:val="0005646B"/>
    <w:rsid w:val="00074043"/>
    <w:rsid w:val="0008102D"/>
    <w:rsid w:val="00087B2E"/>
    <w:rsid w:val="00094C0E"/>
    <w:rsid w:val="000D00E9"/>
    <w:rsid w:val="000E1079"/>
    <w:rsid w:val="000F0C22"/>
    <w:rsid w:val="000F6B09"/>
    <w:rsid w:val="000F6FDC"/>
    <w:rsid w:val="00104567"/>
    <w:rsid w:val="0010692F"/>
    <w:rsid w:val="0012732D"/>
    <w:rsid w:val="00134EFC"/>
    <w:rsid w:val="00151DFE"/>
    <w:rsid w:val="00154FC9"/>
    <w:rsid w:val="0016302E"/>
    <w:rsid w:val="00181E8E"/>
    <w:rsid w:val="00183910"/>
    <w:rsid w:val="0019241A"/>
    <w:rsid w:val="001A5335"/>
    <w:rsid w:val="001A752D"/>
    <w:rsid w:val="001C5540"/>
    <w:rsid w:val="001C77ED"/>
    <w:rsid w:val="00203AA1"/>
    <w:rsid w:val="00213E98"/>
    <w:rsid w:val="00223CA4"/>
    <w:rsid w:val="002812FE"/>
    <w:rsid w:val="00281DB3"/>
    <w:rsid w:val="002A0BCC"/>
    <w:rsid w:val="002B705E"/>
    <w:rsid w:val="002E32F0"/>
    <w:rsid w:val="002F460C"/>
    <w:rsid w:val="002F48D6"/>
    <w:rsid w:val="00312A56"/>
    <w:rsid w:val="00333B79"/>
    <w:rsid w:val="00340EA5"/>
    <w:rsid w:val="00354899"/>
    <w:rsid w:val="00355FD6"/>
    <w:rsid w:val="00361C8E"/>
    <w:rsid w:val="00364A5C"/>
    <w:rsid w:val="00373FB1"/>
    <w:rsid w:val="003A37BE"/>
    <w:rsid w:val="003B0BF7"/>
    <w:rsid w:val="003B30D8"/>
    <w:rsid w:val="003B3D71"/>
    <w:rsid w:val="003B7EF2"/>
    <w:rsid w:val="003C3FA4"/>
    <w:rsid w:val="003D601A"/>
    <w:rsid w:val="003F2B0C"/>
    <w:rsid w:val="004221E4"/>
    <w:rsid w:val="00437218"/>
    <w:rsid w:val="00456D25"/>
    <w:rsid w:val="004619C7"/>
    <w:rsid w:val="00463AD2"/>
    <w:rsid w:val="004643AA"/>
    <w:rsid w:val="00471088"/>
    <w:rsid w:val="00477138"/>
    <w:rsid w:val="00483AF9"/>
    <w:rsid w:val="004B1CCB"/>
    <w:rsid w:val="004C50DA"/>
    <w:rsid w:val="004C67E2"/>
    <w:rsid w:val="004D12F7"/>
    <w:rsid w:val="004D73A5"/>
    <w:rsid w:val="004F1889"/>
    <w:rsid w:val="00520CF7"/>
    <w:rsid w:val="00531624"/>
    <w:rsid w:val="00532CF5"/>
    <w:rsid w:val="005528CB"/>
    <w:rsid w:val="00566771"/>
    <w:rsid w:val="00570DA6"/>
    <w:rsid w:val="00577BBA"/>
    <w:rsid w:val="00581E2E"/>
    <w:rsid w:val="00584F15"/>
    <w:rsid w:val="00587F8F"/>
    <w:rsid w:val="005B38A2"/>
    <w:rsid w:val="005C6000"/>
    <w:rsid w:val="005C7747"/>
    <w:rsid w:val="005F199E"/>
    <w:rsid w:val="006004F0"/>
    <w:rsid w:val="006163F7"/>
    <w:rsid w:val="00652606"/>
    <w:rsid w:val="00682754"/>
    <w:rsid w:val="00690819"/>
    <w:rsid w:val="00695C39"/>
    <w:rsid w:val="006A58A9"/>
    <w:rsid w:val="006A606D"/>
    <w:rsid w:val="006B7F7A"/>
    <w:rsid w:val="006C0371"/>
    <w:rsid w:val="006C08B6"/>
    <w:rsid w:val="006C0B1A"/>
    <w:rsid w:val="006C4384"/>
    <w:rsid w:val="006C6065"/>
    <w:rsid w:val="006C7F9F"/>
    <w:rsid w:val="006D4ADC"/>
    <w:rsid w:val="006E1B60"/>
    <w:rsid w:val="006E2F6D"/>
    <w:rsid w:val="006E58F6"/>
    <w:rsid w:val="006E77E1"/>
    <w:rsid w:val="006F131D"/>
    <w:rsid w:val="006F1D9E"/>
    <w:rsid w:val="00706EAD"/>
    <w:rsid w:val="0071092F"/>
    <w:rsid w:val="007361F9"/>
    <w:rsid w:val="00744962"/>
    <w:rsid w:val="00752BCD"/>
    <w:rsid w:val="00766DA1"/>
    <w:rsid w:val="0077320F"/>
    <w:rsid w:val="00784D7F"/>
    <w:rsid w:val="007866A6"/>
    <w:rsid w:val="007A130D"/>
    <w:rsid w:val="007A1475"/>
    <w:rsid w:val="007B6113"/>
    <w:rsid w:val="007B702D"/>
    <w:rsid w:val="007D315D"/>
    <w:rsid w:val="007D3C2D"/>
    <w:rsid w:val="007D4102"/>
    <w:rsid w:val="007E58F3"/>
    <w:rsid w:val="007E5921"/>
    <w:rsid w:val="007E7E33"/>
    <w:rsid w:val="007F6C1A"/>
    <w:rsid w:val="008140CE"/>
    <w:rsid w:val="00821FFC"/>
    <w:rsid w:val="008271CA"/>
    <w:rsid w:val="00840B38"/>
    <w:rsid w:val="008467D5"/>
    <w:rsid w:val="00856D9F"/>
    <w:rsid w:val="00866F6D"/>
    <w:rsid w:val="008722F9"/>
    <w:rsid w:val="0088676B"/>
    <w:rsid w:val="00894476"/>
    <w:rsid w:val="008947DA"/>
    <w:rsid w:val="00896E90"/>
    <w:rsid w:val="008A3945"/>
    <w:rsid w:val="008A4DC4"/>
    <w:rsid w:val="008E7F98"/>
    <w:rsid w:val="009067A4"/>
    <w:rsid w:val="0090722E"/>
    <w:rsid w:val="00914AFA"/>
    <w:rsid w:val="009340DB"/>
    <w:rsid w:val="00935950"/>
    <w:rsid w:val="00940647"/>
    <w:rsid w:val="00945F9E"/>
    <w:rsid w:val="00963529"/>
    <w:rsid w:val="00972498"/>
    <w:rsid w:val="00974CC6"/>
    <w:rsid w:val="0097549F"/>
    <w:rsid w:val="00976AD4"/>
    <w:rsid w:val="00980A6D"/>
    <w:rsid w:val="009A312F"/>
    <w:rsid w:val="009A5348"/>
    <w:rsid w:val="009A67BB"/>
    <w:rsid w:val="009C1094"/>
    <w:rsid w:val="009C14B2"/>
    <w:rsid w:val="009C76D5"/>
    <w:rsid w:val="009F2B37"/>
    <w:rsid w:val="009F7AA4"/>
    <w:rsid w:val="00A30F52"/>
    <w:rsid w:val="00A349DD"/>
    <w:rsid w:val="00A5477C"/>
    <w:rsid w:val="00A559DB"/>
    <w:rsid w:val="00A631F1"/>
    <w:rsid w:val="00AA3C9D"/>
    <w:rsid w:val="00AB3072"/>
    <w:rsid w:val="00AC58CD"/>
    <w:rsid w:val="00AD166B"/>
    <w:rsid w:val="00AE53B7"/>
    <w:rsid w:val="00AE7395"/>
    <w:rsid w:val="00AE739F"/>
    <w:rsid w:val="00AF35FC"/>
    <w:rsid w:val="00AF7BF8"/>
    <w:rsid w:val="00B03639"/>
    <w:rsid w:val="00B0652A"/>
    <w:rsid w:val="00B207F1"/>
    <w:rsid w:val="00B3757D"/>
    <w:rsid w:val="00B40937"/>
    <w:rsid w:val="00B423EF"/>
    <w:rsid w:val="00B453DE"/>
    <w:rsid w:val="00B4742F"/>
    <w:rsid w:val="00B732F4"/>
    <w:rsid w:val="00B808AC"/>
    <w:rsid w:val="00B900AE"/>
    <w:rsid w:val="00B901F9"/>
    <w:rsid w:val="00B95672"/>
    <w:rsid w:val="00BA143C"/>
    <w:rsid w:val="00BC3D58"/>
    <w:rsid w:val="00BD448D"/>
    <w:rsid w:val="00BD6EFB"/>
    <w:rsid w:val="00BF315B"/>
    <w:rsid w:val="00C026D8"/>
    <w:rsid w:val="00C02F99"/>
    <w:rsid w:val="00C14ADC"/>
    <w:rsid w:val="00C15BE2"/>
    <w:rsid w:val="00C22219"/>
    <w:rsid w:val="00C26764"/>
    <w:rsid w:val="00C3447F"/>
    <w:rsid w:val="00C42FB8"/>
    <w:rsid w:val="00C53769"/>
    <w:rsid w:val="00C65107"/>
    <w:rsid w:val="00C81491"/>
    <w:rsid w:val="00C81676"/>
    <w:rsid w:val="00C92CC4"/>
    <w:rsid w:val="00CA0AFB"/>
    <w:rsid w:val="00CA0FF7"/>
    <w:rsid w:val="00CA2CE1"/>
    <w:rsid w:val="00CA3976"/>
    <w:rsid w:val="00CA757B"/>
    <w:rsid w:val="00CB0CC7"/>
    <w:rsid w:val="00CB1BA6"/>
    <w:rsid w:val="00CB6B09"/>
    <w:rsid w:val="00CC1787"/>
    <w:rsid w:val="00CC182C"/>
    <w:rsid w:val="00CD0824"/>
    <w:rsid w:val="00CD0B80"/>
    <w:rsid w:val="00CD2908"/>
    <w:rsid w:val="00CF7301"/>
    <w:rsid w:val="00D02CAF"/>
    <w:rsid w:val="00D03A82"/>
    <w:rsid w:val="00D145C0"/>
    <w:rsid w:val="00D15344"/>
    <w:rsid w:val="00D31BEC"/>
    <w:rsid w:val="00D56FB6"/>
    <w:rsid w:val="00D63150"/>
    <w:rsid w:val="00D64A32"/>
    <w:rsid w:val="00D64EFC"/>
    <w:rsid w:val="00D6580C"/>
    <w:rsid w:val="00D75295"/>
    <w:rsid w:val="00D76CE9"/>
    <w:rsid w:val="00D97F12"/>
    <w:rsid w:val="00DA61C6"/>
    <w:rsid w:val="00DB42E7"/>
    <w:rsid w:val="00DC15D4"/>
    <w:rsid w:val="00DF32C2"/>
    <w:rsid w:val="00E017E7"/>
    <w:rsid w:val="00E36D32"/>
    <w:rsid w:val="00E40639"/>
    <w:rsid w:val="00E471A7"/>
    <w:rsid w:val="00E635CF"/>
    <w:rsid w:val="00E64E55"/>
    <w:rsid w:val="00E74192"/>
    <w:rsid w:val="00E92F69"/>
    <w:rsid w:val="00EB5410"/>
    <w:rsid w:val="00EC5B82"/>
    <w:rsid w:val="00EC6E0A"/>
    <w:rsid w:val="00ED08FF"/>
    <w:rsid w:val="00ED4E18"/>
    <w:rsid w:val="00EE1F37"/>
    <w:rsid w:val="00EF7D0B"/>
    <w:rsid w:val="00F0100A"/>
    <w:rsid w:val="00F0159C"/>
    <w:rsid w:val="00F03B95"/>
    <w:rsid w:val="00F105B7"/>
    <w:rsid w:val="00F108D2"/>
    <w:rsid w:val="00F17A21"/>
    <w:rsid w:val="00F2228A"/>
    <w:rsid w:val="00F50E91"/>
    <w:rsid w:val="00F56E29"/>
    <w:rsid w:val="00F57D29"/>
    <w:rsid w:val="00F615C2"/>
    <w:rsid w:val="00F733EA"/>
    <w:rsid w:val="00F7595C"/>
    <w:rsid w:val="00F81829"/>
    <w:rsid w:val="00F92A99"/>
    <w:rsid w:val="00F92FC1"/>
    <w:rsid w:val="00F96201"/>
    <w:rsid w:val="00FC30E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shapelayout>
  </w:shapeDefaults>
  <w:decimalSymbol w:val="."/>
  <w:listSeparator w:val=","/>
  <w15:docId w15:val="{2B12C593-CD11-4314-9C39-0084FF7C8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styleId="PlaceholderText">
    <w:name w:val="Placeholder Text"/>
    <w:basedOn w:val="DefaultParagraphFont"/>
    <w:uiPriority w:val="99"/>
    <w:semiHidden/>
    <w:rsid w:val="00CD0B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0F02E62-2F82-4E97-8127-55C9A11F0C15}">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D273678-5925-42D0-8EAA-F6618D8AC121}">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8482E2-433F-42D9-BCC3-CCE4F69B7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8720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Anderson, Cassandra</cp:lastModifiedBy>
  <cp:revision>4</cp:revision>
  <cp:lastPrinted>2017-03-27T17:02:00Z</cp:lastPrinted>
  <dcterms:created xsi:type="dcterms:W3CDTF">2017-03-27T17:00:00Z</dcterms:created>
  <dcterms:modified xsi:type="dcterms:W3CDTF">2017-03-30T16:31:00Z</dcterms:modified>
</cp:coreProperties>
</file>