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593"/>
      </w:tblGrid>
      <w:tr w:rsidR="00083FA4" w:rsidRPr="00A71B1D" w14:paraId="6CA1DB96" w14:textId="77777777" w:rsidTr="00394B67">
        <w:tc>
          <w:tcPr>
            <w:tcW w:w="4753" w:type="dxa"/>
          </w:tcPr>
          <w:p w14:paraId="5722C72D" w14:textId="77777777" w:rsidR="00083FA4" w:rsidRPr="00A71B1D" w:rsidRDefault="00083FA4" w:rsidP="00394B67">
            <w:pPr>
              <w:tabs>
                <w:tab w:val="left" w:pos="-1440"/>
                <w:tab w:val="left" w:pos="-720"/>
                <w:tab w:val="left" w:pos="1"/>
              </w:tabs>
              <w:jc w:val="both"/>
              <w:rPr>
                <w:rFonts w:ascii="Arial" w:hAnsi="Arial"/>
                <w:b/>
                <w:sz w:val="24"/>
              </w:rPr>
            </w:pPr>
            <w:r w:rsidRPr="00A71B1D">
              <w:rPr>
                <w:rFonts w:ascii="Arial" w:hAnsi="Arial"/>
                <w:b/>
                <w:noProof/>
                <w:sz w:val="24"/>
              </w:rPr>
              <w:drawing>
                <wp:inline distT="0" distB="0" distL="0" distR="0" wp14:anchorId="67D9DB34" wp14:editId="2BBB579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593" w:type="dxa"/>
          </w:tcPr>
          <w:p w14:paraId="6C3FF4DE" w14:textId="77777777" w:rsidR="00083FA4" w:rsidRPr="00A71B1D" w:rsidRDefault="00083FA4" w:rsidP="00394B67">
            <w:pPr>
              <w:tabs>
                <w:tab w:val="left" w:pos="-1440"/>
                <w:tab w:val="left" w:pos="-720"/>
                <w:tab w:val="left" w:pos="1"/>
              </w:tabs>
              <w:jc w:val="right"/>
              <w:rPr>
                <w:rFonts w:ascii="Arial" w:hAnsi="Arial"/>
                <w:b/>
                <w:sz w:val="24"/>
              </w:rPr>
            </w:pPr>
            <w:r>
              <w:rPr>
                <w:rFonts w:ascii="Arial" w:hAnsi="Arial"/>
                <w:b/>
                <w:noProof/>
                <w:sz w:val="24"/>
              </w:rPr>
              <w:drawing>
                <wp:inline distT="0" distB="0" distL="0" distR="0" wp14:anchorId="4D1D40A8" wp14:editId="76465B53">
                  <wp:extent cx="1278327"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B_Stacked.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1468335" cy="780442"/>
                          </a:xfrm>
                          <a:prstGeom prst="rect">
                            <a:avLst/>
                          </a:prstGeom>
                        </pic:spPr>
                      </pic:pic>
                    </a:graphicData>
                  </a:graphic>
                </wp:inline>
              </w:drawing>
            </w:r>
          </w:p>
        </w:tc>
      </w:tr>
    </w:tbl>
    <w:p w14:paraId="1871FBE9" w14:textId="77777777" w:rsidR="00083FA4" w:rsidRPr="00A44C9E" w:rsidRDefault="00083FA4" w:rsidP="00083FA4">
      <w:pPr>
        <w:pBdr>
          <w:bottom w:val="single" w:sz="18" w:space="1" w:color="auto"/>
        </w:pBdr>
        <w:tabs>
          <w:tab w:val="left" w:pos="-1440"/>
          <w:tab w:val="left" w:pos="-720"/>
          <w:tab w:val="left" w:pos="1"/>
        </w:tabs>
        <w:jc w:val="both"/>
        <w:rPr>
          <w:rFonts w:ascii="Arial" w:hAnsi="Arial"/>
          <w:b/>
          <w:sz w:val="8"/>
          <w:szCs w:val="24"/>
        </w:rPr>
      </w:pPr>
    </w:p>
    <w:p w14:paraId="5FD5257B" w14:textId="3B0382FA" w:rsidR="00D75295" w:rsidRDefault="00B67D5B" w:rsidP="00F105B7">
      <w:pPr>
        <w:pStyle w:val="ProductNumber"/>
      </w:pPr>
      <w:r>
        <w:t>9B17</w:t>
      </w:r>
      <w:r w:rsidR="00BB2B66">
        <w:t>M055</w:t>
      </w:r>
    </w:p>
    <w:p w14:paraId="0F0BB8ED" w14:textId="77777777" w:rsidR="00D75295" w:rsidRDefault="00D75295" w:rsidP="00D75295">
      <w:pPr>
        <w:jc w:val="right"/>
        <w:rPr>
          <w:rFonts w:ascii="Arial" w:hAnsi="Arial"/>
          <w:b/>
          <w:sz w:val="28"/>
          <w:szCs w:val="28"/>
        </w:rPr>
      </w:pPr>
    </w:p>
    <w:p w14:paraId="4FC21C63" w14:textId="77777777" w:rsidR="00866F6D" w:rsidRDefault="00866F6D" w:rsidP="00D75295">
      <w:pPr>
        <w:jc w:val="right"/>
        <w:rPr>
          <w:rFonts w:ascii="Arial" w:hAnsi="Arial"/>
          <w:b/>
          <w:sz w:val="28"/>
          <w:szCs w:val="28"/>
        </w:rPr>
      </w:pPr>
    </w:p>
    <w:p w14:paraId="64C7D5F5" w14:textId="77777777" w:rsidR="00013360" w:rsidRPr="00361C8E" w:rsidRDefault="003B1BDC" w:rsidP="00013360">
      <w:pPr>
        <w:pStyle w:val="CaseTitle"/>
        <w:spacing w:after="0" w:line="240" w:lineRule="auto"/>
      </w:pPr>
      <w:r>
        <w:t xml:space="preserve">Orchid species preservation foundation: </w:t>
      </w:r>
      <w:r w:rsidR="002D5148">
        <w:t>Choosing a Direction</w:t>
      </w:r>
    </w:p>
    <w:p w14:paraId="61680998" w14:textId="77777777" w:rsidR="00013360" w:rsidRDefault="00013360" w:rsidP="00013360">
      <w:pPr>
        <w:pStyle w:val="CaseTitle"/>
        <w:spacing w:after="0" w:line="240" w:lineRule="auto"/>
        <w:rPr>
          <w:sz w:val="20"/>
          <w:szCs w:val="20"/>
        </w:rPr>
      </w:pPr>
    </w:p>
    <w:p w14:paraId="6F44F424" w14:textId="77777777" w:rsidR="00CA3976" w:rsidRDefault="00CA3976" w:rsidP="00013360">
      <w:pPr>
        <w:pStyle w:val="CaseTitle"/>
        <w:spacing w:after="0" w:line="240" w:lineRule="auto"/>
        <w:rPr>
          <w:sz w:val="20"/>
          <w:szCs w:val="20"/>
        </w:rPr>
      </w:pPr>
    </w:p>
    <w:p w14:paraId="435706CF" w14:textId="77777777" w:rsidR="00013360" w:rsidRPr="00013360" w:rsidRDefault="00013360" w:rsidP="00013360">
      <w:pPr>
        <w:pStyle w:val="CaseTitle"/>
        <w:spacing w:after="0" w:line="240" w:lineRule="auto"/>
        <w:rPr>
          <w:sz w:val="20"/>
          <w:szCs w:val="20"/>
        </w:rPr>
      </w:pPr>
    </w:p>
    <w:p w14:paraId="7CAD053E" w14:textId="77777777" w:rsidR="00013360" w:rsidRDefault="003B1BDC" w:rsidP="00104567">
      <w:pPr>
        <w:pStyle w:val="StyleCopyrightStatementAfter0ptBottomSinglesolidline1"/>
      </w:pPr>
      <w:r>
        <w:t xml:space="preserve">Mark Arnison </w:t>
      </w:r>
      <w:r w:rsidR="007E5921">
        <w:t>wrote this case sol</w:t>
      </w:r>
      <w:r w:rsidR="00D75295" w:rsidRPr="00104567">
        <w:t>ely to provide material for class discussion. The</w:t>
      </w:r>
      <w:r w:rsidR="00D75295">
        <w:t xml:space="preserve"> author do</w:t>
      </w:r>
      <w:r w:rsidR="00536F9C">
        <w:t>es</w:t>
      </w:r>
      <w:r w:rsidR="00D75295">
        <w:t xml:space="preserve"> not intend to illustrate either effective or ineffective handling of a managerial situation. The author may have disguised certain names and other identifying information to protect confidentiality.</w:t>
      </w:r>
    </w:p>
    <w:p w14:paraId="14AF17C2" w14:textId="77777777" w:rsidR="00013360" w:rsidRDefault="00013360" w:rsidP="00104567">
      <w:pPr>
        <w:pStyle w:val="StyleCopyrightStatementAfter0ptBottomSinglesolidline1"/>
      </w:pPr>
    </w:p>
    <w:p w14:paraId="5D425AC8" w14:textId="77777777" w:rsidR="00C53C1F" w:rsidRPr="00E23AB7" w:rsidRDefault="00C53C1F" w:rsidP="00C53C1F">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55A19C79" w14:textId="77777777" w:rsidR="00C53C1F" w:rsidRPr="00E23AB7" w:rsidRDefault="00C53C1F" w:rsidP="00C53C1F">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C969B0A" w14:textId="6F1C3D2E" w:rsidR="003B7EF2" w:rsidRDefault="00C53C1F" w:rsidP="00C53C1F">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t>Version: 2017</w:t>
      </w:r>
      <w:r w:rsidR="00E60F80">
        <w:t>-</w:t>
      </w:r>
      <w:r w:rsidR="00083FA4">
        <w:t>07-27</w:t>
      </w:r>
      <w:bookmarkStart w:id="0" w:name="_GoBack"/>
      <w:bookmarkEnd w:id="0"/>
    </w:p>
    <w:p w14:paraId="28C68D0D" w14:textId="77777777" w:rsidR="003B7EF2" w:rsidRPr="003B7EF2" w:rsidRDefault="003B7EF2" w:rsidP="00104567">
      <w:pPr>
        <w:pStyle w:val="StyleCopyrightStatementAfter0ptBottomSinglesolidline1"/>
        <w:rPr>
          <w:rFonts w:ascii="Times New Roman" w:hAnsi="Times New Roman"/>
          <w:sz w:val="20"/>
        </w:rPr>
      </w:pPr>
    </w:p>
    <w:p w14:paraId="641DEAF6" w14:textId="77777777" w:rsidR="003B7EF2" w:rsidRPr="00AE460F" w:rsidRDefault="003B7EF2" w:rsidP="00AE460F">
      <w:pPr>
        <w:pStyle w:val="BodyTextMain"/>
      </w:pPr>
    </w:p>
    <w:p w14:paraId="6ACBC4E5" w14:textId="0CEAF13A" w:rsidR="003B1BDC" w:rsidRPr="00AE460F" w:rsidRDefault="003B1BDC" w:rsidP="00AE460F">
      <w:pPr>
        <w:pStyle w:val="BodyTextMain"/>
      </w:pPr>
      <w:r w:rsidRPr="00AE460F">
        <w:t xml:space="preserve">Dave Nixon, </w:t>
      </w:r>
      <w:r w:rsidR="00E75254" w:rsidRPr="00AE460F">
        <w:t>p</w:t>
      </w:r>
      <w:r w:rsidRPr="00AE460F">
        <w:t xml:space="preserve">resident of the Orchid Species Preservation Foundation (OSPF), a charitable not-for-profit foundation based in Edmonton, Alberta, Canada, had grand plans for the </w:t>
      </w:r>
      <w:r w:rsidR="00A32D86" w:rsidRPr="00AE460F">
        <w:t>organization</w:t>
      </w:r>
      <w:r w:rsidRPr="00AE460F">
        <w:t xml:space="preserve">. It was </w:t>
      </w:r>
      <w:r w:rsidR="00481914">
        <w:t xml:space="preserve">autumn of </w:t>
      </w:r>
      <w:r w:rsidRPr="00AE460F">
        <w:t>2014</w:t>
      </w:r>
      <w:r w:rsidR="00E75254" w:rsidRPr="00AE460F">
        <w:t>,</w:t>
      </w:r>
      <w:r w:rsidRPr="00AE460F">
        <w:t xml:space="preserve"> and OSPF</w:t>
      </w:r>
      <w:r w:rsidR="00E75254" w:rsidRPr="00AE460F">
        <w:t>’s</w:t>
      </w:r>
      <w:r w:rsidRPr="00AE460F">
        <w:t xml:space="preserve"> </w:t>
      </w:r>
      <w:r w:rsidR="00E75254" w:rsidRPr="00AE460F">
        <w:t xml:space="preserve">board of directors </w:t>
      </w:r>
      <w:r w:rsidRPr="00AE460F">
        <w:t>was considering the idea of building a new and vibrant educational facility</w:t>
      </w:r>
      <w:r w:rsidR="004965C1" w:rsidRPr="00AE460F">
        <w:t xml:space="preserve"> </w:t>
      </w:r>
      <w:r w:rsidR="00A32D86" w:rsidRPr="00AE460F">
        <w:t>that would expand the reach of its program</w:t>
      </w:r>
      <w:r w:rsidRPr="00AE460F">
        <w:t>.</w:t>
      </w:r>
      <w:r w:rsidR="00BB312E" w:rsidRPr="00AE460F">
        <w:t xml:space="preserve"> </w:t>
      </w:r>
      <w:r w:rsidR="00E75254" w:rsidRPr="00AE460F">
        <w:t>To do so</w:t>
      </w:r>
      <w:r w:rsidRPr="00AE460F">
        <w:t xml:space="preserve">, the OSPF would have to generate a tenfold increase in revenues to operate the new facility in the long term. The idea was to take the OSPF’s passion for the conservation of rare and endangered orchids and turn it into something with great impact for the region and the world. The volunteer </w:t>
      </w:r>
      <w:r w:rsidR="00E75254" w:rsidRPr="00AE460F">
        <w:t>b</w:t>
      </w:r>
      <w:r w:rsidRPr="00AE460F">
        <w:t xml:space="preserve">oard, which included Nixon as </w:t>
      </w:r>
      <w:r w:rsidR="003073C9" w:rsidRPr="00AE460F">
        <w:t xml:space="preserve">its </w:t>
      </w:r>
      <w:r w:rsidRPr="00AE460F">
        <w:t>chair</w:t>
      </w:r>
      <w:r w:rsidR="00E75254" w:rsidRPr="00AE460F">
        <w:t>person</w:t>
      </w:r>
      <w:r w:rsidRPr="00AE460F">
        <w:t xml:space="preserve">, had developed a suite of ideas </w:t>
      </w:r>
      <w:r w:rsidR="003073C9" w:rsidRPr="00AE460F">
        <w:t>for</w:t>
      </w:r>
      <w:r w:rsidRPr="00AE460F">
        <w:t xml:space="preserve"> tak</w:t>
      </w:r>
      <w:r w:rsidR="003073C9" w:rsidRPr="00AE460F">
        <w:t>ing</w:t>
      </w:r>
      <w:r w:rsidRPr="00AE460F">
        <w:t xml:space="preserve"> the big leap forward</w:t>
      </w:r>
      <w:r w:rsidR="00E75254" w:rsidRPr="00AE460F">
        <w:t>;</w:t>
      </w:r>
      <w:r w:rsidRPr="00AE460F">
        <w:t xml:space="preserve"> </w:t>
      </w:r>
      <w:r w:rsidR="00E75254" w:rsidRPr="00AE460F">
        <w:t>h</w:t>
      </w:r>
      <w:r w:rsidRPr="00AE460F">
        <w:t>owever, the list was broad and the OSPF could</w:t>
      </w:r>
      <w:r w:rsidR="00E75254" w:rsidRPr="00AE460F">
        <w:t xml:space="preserve"> </w:t>
      </w:r>
      <w:r w:rsidRPr="00AE460F">
        <w:t>n</w:t>
      </w:r>
      <w:r w:rsidR="00E75254" w:rsidRPr="00AE460F">
        <w:t>o</w:t>
      </w:r>
      <w:r w:rsidRPr="00AE460F">
        <w:t xml:space="preserve">t possibly </w:t>
      </w:r>
      <w:r w:rsidR="00A32D86" w:rsidRPr="00AE460F">
        <w:t>undertake all the activities it contained</w:t>
      </w:r>
      <w:r w:rsidRPr="00AE460F">
        <w:t xml:space="preserve">. The board was unsure </w:t>
      </w:r>
      <w:r w:rsidR="00A32D86" w:rsidRPr="00AE460F">
        <w:t>of which</w:t>
      </w:r>
      <w:r w:rsidRPr="00AE460F">
        <w:t xml:space="preserve"> strategy to choose and how to make it all happen. </w:t>
      </w:r>
    </w:p>
    <w:p w14:paraId="264D63C1" w14:textId="77777777" w:rsidR="003B1BDC" w:rsidRPr="00AE460F" w:rsidRDefault="003B1BDC" w:rsidP="00AE460F">
      <w:pPr>
        <w:pStyle w:val="BodyTextMain"/>
      </w:pPr>
    </w:p>
    <w:p w14:paraId="01F89F96" w14:textId="77777777" w:rsidR="003B1BDC" w:rsidRPr="00634EAD" w:rsidRDefault="003B1BDC" w:rsidP="003B1BDC">
      <w:pPr>
        <w:pStyle w:val="BodyTextMain"/>
        <w:rPr>
          <w:lang w:val="en-CA"/>
        </w:rPr>
      </w:pPr>
    </w:p>
    <w:p w14:paraId="3A0EE102" w14:textId="77777777" w:rsidR="003B1BDC" w:rsidRPr="00DE234A" w:rsidRDefault="003B1BDC" w:rsidP="003B1BDC">
      <w:pPr>
        <w:pStyle w:val="Casehead1"/>
        <w:rPr>
          <w:lang w:val="en-CA"/>
        </w:rPr>
      </w:pPr>
      <w:r w:rsidRPr="00DE234A">
        <w:rPr>
          <w:lang w:val="en-CA"/>
        </w:rPr>
        <w:t>The Foundation and its Building Plans</w:t>
      </w:r>
    </w:p>
    <w:p w14:paraId="67DAE750" w14:textId="77777777" w:rsidR="003B1BDC" w:rsidRPr="00634EAD" w:rsidRDefault="003B1BDC" w:rsidP="003B1BDC">
      <w:pPr>
        <w:pStyle w:val="BodyTextMain"/>
        <w:rPr>
          <w:lang w:val="en-CA"/>
        </w:rPr>
      </w:pPr>
    </w:p>
    <w:p w14:paraId="53E8D3E2" w14:textId="3BA5C806" w:rsidR="003B1BDC" w:rsidRPr="00634EAD" w:rsidRDefault="003073C9" w:rsidP="003B1BDC">
      <w:pPr>
        <w:pStyle w:val="BodyTextMain"/>
        <w:rPr>
          <w:lang w:val="en-CA"/>
        </w:rPr>
      </w:pPr>
      <w:r>
        <w:rPr>
          <w:lang w:val="en-CA"/>
        </w:rPr>
        <w:t>Since its inception in 1991, t</w:t>
      </w:r>
      <w:r w:rsidR="003B1BDC" w:rsidRPr="00634EAD">
        <w:rPr>
          <w:lang w:val="en-CA"/>
        </w:rPr>
        <w:t xml:space="preserve">he </w:t>
      </w:r>
      <w:r w:rsidR="00A32D86">
        <w:rPr>
          <w:lang w:val="en-CA"/>
        </w:rPr>
        <w:t>OSPF</w:t>
      </w:r>
      <w:r w:rsidR="003B1BDC" w:rsidRPr="00634EAD">
        <w:rPr>
          <w:lang w:val="en-CA"/>
        </w:rPr>
        <w:t xml:space="preserve"> had dedicated </w:t>
      </w:r>
      <w:r>
        <w:rPr>
          <w:lang w:val="en-CA"/>
        </w:rPr>
        <w:t xml:space="preserve">great effort </w:t>
      </w:r>
      <w:r w:rsidR="003B1BDC" w:rsidRPr="00634EAD">
        <w:rPr>
          <w:lang w:val="en-CA"/>
        </w:rPr>
        <w:t>to</w:t>
      </w:r>
      <w:r>
        <w:rPr>
          <w:lang w:val="en-CA"/>
        </w:rPr>
        <w:t>wards</w:t>
      </w:r>
      <w:r w:rsidR="003B1BDC" w:rsidRPr="00634EAD">
        <w:rPr>
          <w:lang w:val="en-CA"/>
        </w:rPr>
        <w:t xml:space="preserve"> developing a world-renowned orchid species collection</w:t>
      </w:r>
      <w:r>
        <w:rPr>
          <w:lang w:val="en-CA"/>
        </w:rPr>
        <w:t>.</w:t>
      </w:r>
      <w:r w:rsidR="003B1BDC" w:rsidRPr="00634EAD">
        <w:rPr>
          <w:lang w:val="en-CA"/>
        </w:rPr>
        <w:t xml:space="preserve"> </w:t>
      </w:r>
      <w:r w:rsidR="00E75254">
        <w:rPr>
          <w:lang w:val="en-CA"/>
        </w:rPr>
        <w:t>T</w:t>
      </w:r>
      <w:r w:rsidR="003B1BDC" w:rsidRPr="00634EAD">
        <w:rPr>
          <w:lang w:val="en-CA"/>
        </w:rPr>
        <w:t>he OSPF website</w:t>
      </w:r>
      <w:r w:rsidR="00E75254">
        <w:rPr>
          <w:lang w:val="en-CA"/>
        </w:rPr>
        <w:t xml:space="preserve"> clearly described the mission of the organization</w:t>
      </w:r>
      <w:r w:rsidR="003B1BDC" w:rsidRPr="00634EAD">
        <w:rPr>
          <w:lang w:val="en-CA"/>
        </w:rPr>
        <w:t>:</w:t>
      </w:r>
    </w:p>
    <w:p w14:paraId="26156D8E" w14:textId="77777777" w:rsidR="003B1BDC" w:rsidRPr="00634EAD" w:rsidRDefault="003B1BDC" w:rsidP="003B1BDC">
      <w:pPr>
        <w:pStyle w:val="BodyTextMain"/>
        <w:rPr>
          <w:lang w:val="en-CA"/>
        </w:rPr>
      </w:pPr>
    </w:p>
    <w:p w14:paraId="4C1DD568" w14:textId="7CDAD657" w:rsidR="00093E6D" w:rsidRDefault="003B1BDC" w:rsidP="009B0903">
      <w:pPr>
        <w:pStyle w:val="BodyTextMain"/>
        <w:ind w:left="283"/>
        <w:rPr>
          <w:lang w:val="en-CA"/>
        </w:rPr>
      </w:pPr>
      <w:r w:rsidRPr="003B1BDC">
        <w:rPr>
          <w:lang w:val="en-CA"/>
        </w:rPr>
        <w:t>Our protected (ex</w:t>
      </w:r>
      <w:r w:rsidR="002568E1">
        <w:rPr>
          <w:lang w:val="en-CA"/>
        </w:rPr>
        <w:t>-</w:t>
      </w:r>
      <w:r w:rsidRPr="003B1BDC">
        <w:rPr>
          <w:lang w:val="en-CA"/>
        </w:rPr>
        <w:t>situ) orchid collection serves as a vehicle to save rare and endangered</w:t>
      </w:r>
      <w:r w:rsidR="002568E1">
        <w:rPr>
          <w:lang w:val="en-CA"/>
        </w:rPr>
        <w:t xml:space="preserve"> </w:t>
      </w:r>
      <w:r w:rsidRPr="003B1BDC">
        <w:rPr>
          <w:lang w:val="en-CA"/>
        </w:rPr>
        <w:t xml:space="preserve">species orchids from extinction due to many rapid environmental disruptions. The collection is a significant living resource and educational tool to educate people </w:t>
      </w:r>
      <w:r w:rsidR="00A32D86">
        <w:rPr>
          <w:lang w:val="en-CA"/>
        </w:rPr>
        <w:t>[about</w:t>
      </w:r>
      <w:r w:rsidR="00E75254">
        <w:rPr>
          <w:lang w:val="en-CA"/>
        </w:rPr>
        <w:t>]</w:t>
      </w:r>
      <w:r w:rsidRPr="003B1BDC">
        <w:rPr>
          <w:lang w:val="en-CA"/>
        </w:rPr>
        <w:t xml:space="preserve"> important environmental issues. </w:t>
      </w:r>
    </w:p>
    <w:p w14:paraId="0201BF67" w14:textId="77777777" w:rsidR="00AE460F" w:rsidRDefault="00AE460F" w:rsidP="003B1BDC">
      <w:pPr>
        <w:pStyle w:val="BodyTextMain"/>
        <w:rPr>
          <w:lang w:val="en-CA"/>
        </w:rPr>
      </w:pPr>
    </w:p>
    <w:p w14:paraId="2F90CCE0" w14:textId="77777777" w:rsidR="003B1BDC" w:rsidRPr="00634EAD" w:rsidRDefault="003B1BDC" w:rsidP="003B1BDC">
      <w:pPr>
        <w:pStyle w:val="BodyTextMain"/>
        <w:rPr>
          <w:lang w:val="en-CA"/>
        </w:rPr>
      </w:pPr>
      <w:r w:rsidRPr="00634EAD">
        <w:rPr>
          <w:lang w:val="en-CA"/>
        </w:rPr>
        <w:t xml:space="preserve">The </w:t>
      </w:r>
      <w:r w:rsidR="00A32D86">
        <w:rPr>
          <w:lang w:val="en-CA"/>
        </w:rPr>
        <w:t>OSPF’s</w:t>
      </w:r>
      <w:r w:rsidR="00230F08">
        <w:rPr>
          <w:lang w:val="en-CA"/>
        </w:rPr>
        <w:t xml:space="preserve"> </w:t>
      </w:r>
      <w:r w:rsidRPr="00634EAD">
        <w:rPr>
          <w:lang w:val="en-CA"/>
        </w:rPr>
        <w:t>objectives included the broad categories of conservation, education</w:t>
      </w:r>
      <w:r w:rsidR="00230F08">
        <w:rPr>
          <w:lang w:val="en-CA"/>
        </w:rPr>
        <w:t xml:space="preserve"> and </w:t>
      </w:r>
      <w:r w:rsidRPr="00634EAD">
        <w:rPr>
          <w:lang w:val="en-CA"/>
        </w:rPr>
        <w:t>training</w:t>
      </w:r>
      <w:r w:rsidR="00230F08">
        <w:rPr>
          <w:lang w:val="en-CA"/>
        </w:rPr>
        <w:t>,</w:t>
      </w:r>
      <w:r w:rsidRPr="00634EAD">
        <w:rPr>
          <w:lang w:val="en-CA"/>
        </w:rPr>
        <w:t xml:space="preserve"> and community involvement</w:t>
      </w:r>
      <w:r w:rsidR="00230F08">
        <w:rPr>
          <w:lang w:val="en-CA"/>
        </w:rPr>
        <w:t xml:space="preserve"> (see Exhibit 1)</w:t>
      </w:r>
      <w:r w:rsidRPr="00634EAD">
        <w:rPr>
          <w:lang w:val="en-CA"/>
        </w:rPr>
        <w:t>.</w:t>
      </w:r>
      <w:r w:rsidR="003637A4">
        <w:rPr>
          <w:lang w:val="en-CA"/>
        </w:rPr>
        <w:t xml:space="preserve"> </w:t>
      </w:r>
      <w:r w:rsidRPr="00634EAD">
        <w:rPr>
          <w:lang w:val="en-CA"/>
        </w:rPr>
        <w:t xml:space="preserve">The </w:t>
      </w:r>
      <w:r w:rsidR="003637A4">
        <w:rPr>
          <w:lang w:val="en-CA"/>
        </w:rPr>
        <w:t xml:space="preserve">members’ </w:t>
      </w:r>
      <w:r w:rsidRPr="00634EAD">
        <w:rPr>
          <w:lang w:val="en-CA"/>
        </w:rPr>
        <w:t>main efforts focused on conservation objectives</w:t>
      </w:r>
      <w:r w:rsidR="003637A4">
        <w:rPr>
          <w:lang w:val="en-CA"/>
        </w:rPr>
        <w:t xml:space="preserve">, and </w:t>
      </w:r>
      <w:r w:rsidR="00A32D86">
        <w:rPr>
          <w:lang w:val="en-CA"/>
        </w:rPr>
        <w:t xml:space="preserve">all of </w:t>
      </w:r>
      <w:r w:rsidR="003637A4">
        <w:rPr>
          <w:lang w:val="en-CA"/>
        </w:rPr>
        <w:t xml:space="preserve">its </w:t>
      </w:r>
      <w:r w:rsidRPr="00634EAD">
        <w:rPr>
          <w:lang w:val="en-CA"/>
        </w:rPr>
        <w:t>volunteers were adept at propagating and growing orchids.</w:t>
      </w:r>
    </w:p>
    <w:p w14:paraId="61107BE6" w14:textId="77777777" w:rsidR="003B1BDC" w:rsidRPr="00634EAD" w:rsidRDefault="003B1BDC" w:rsidP="003B1BDC">
      <w:pPr>
        <w:pStyle w:val="BodyTextMain"/>
        <w:rPr>
          <w:lang w:val="en-CA"/>
        </w:rPr>
      </w:pPr>
    </w:p>
    <w:p w14:paraId="506E0E2E" w14:textId="725DD49E" w:rsidR="003B1BDC" w:rsidRPr="00634EAD" w:rsidRDefault="003B1BDC" w:rsidP="003B1BDC">
      <w:pPr>
        <w:pStyle w:val="BodyTextMain"/>
        <w:rPr>
          <w:lang w:val="en-CA"/>
        </w:rPr>
      </w:pPr>
      <w:r w:rsidRPr="00634EAD">
        <w:rPr>
          <w:lang w:val="en-CA"/>
        </w:rPr>
        <w:t xml:space="preserve">The </w:t>
      </w:r>
      <w:r w:rsidR="00EE1F6C">
        <w:rPr>
          <w:lang w:val="en-CA"/>
        </w:rPr>
        <w:t>f</w:t>
      </w:r>
      <w:r w:rsidRPr="00634EAD">
        <w:rPr>
          <w:lang w:val="en-CA"/>
        </w:rPr>
        <w:t>oundation was housed at the City of Edmonton</w:t>
      </w:r>
      <w:r w:rsidR="00EE1F6C">
        <w:rPr>
          <w:lang w:val="en-CA"/>
        </w:rPr>
        <w:t>-</w:t>
      </w:r>
      <w:r w:rsidRPr="00634EAD">
        <w:rPr>
          <w:lang w:val="en-CA"/>
        </w:rPr>
        <w:t>owned Muttart Conservatory</w:t>
      </w:r>
      <w:r w:rsidR="00425219">
        <w:rPr>
          <w:lang w:val="en-CA"/>
        </w:rPr>
        <w:t xml:space="preserve"> (the Muttart)</w:t>
      </w:r>
      <w:r w:rsidR="00A32D86">
        <w:rPr>
          <w:lang w:val="en-CA"/>
        </w:rPr>
        <w:t>, where</w:t>
      </w:r>
      <w:r w:rsidRPr="00634EAD">
        <w:rPr>
          <w:lang w:val="en-CA"/>
        </w:rPr>
        <w:t xml:space="preserve"> </w:t>
      </w:r>
      <w:r w:rsidR="00A32D86">
        <w:rPr>
          <w:lang w:val="en-CA"/>
        </w:rPr>
        <w:t>t</w:t>
      </w:r>
      <w:r w:rsidRPr="00634EAD">
        <w:rPr>
          <w:lang w:val="en-CA"/>
        </w:rPr>
        <w:t>he OSPF operated a 5,000</w:t>
      </w:r>
      <w:r w:rsidR="00EE1F6C">
        <w:rPr>
          <w:lang w:val="en-CA"/>
        </w:rPr>
        <w:t>-square-foot</w:t>
      </w:r>
      <w:r w:rsidR="009B0903">
        <w:rPr>
          <w:rStyle w:val="FootnoteReference"/>
          <w:lang w:val="en-CA"/>
        </w:rPr>
        <w:footnoteReference w:id="1"/>
      </w:r>
      <w:r w:rsidR="009B0903">
        <w:rPr>
          <w:lang w:val="en-CA"/>
        </w:rPr>
        <w:t xml:space="preserve"> </w:t>
      </w:r>
      <w:r w:rsidRPr="00634EAD">
        <w:rPr>
          <w:lang w:val="en-CA"/>
        </w:rPr>
        <w:t xml:space="preserve">greenhouse </w:t>
      </w:r>
      <w:r w:rsidR="00A32D86">
        <w:rPr>
          <w:lang w:val="en-CA"/>
        </w:rPr>
        <w:t>that</w:t>
      </w:r>
      <w:r w:rsidRPr="00634EAD">
        <w:rPr>
          <w:lang w:val="en-CA"/>
        </w:rPr>
        <w:t xml:space="preserve"> was used to grow and house </w:t>
      </w:r>
      <w:r w:rsidR="00A7711E">
        <w:rPr>
          <w:lang w:val="en-CA"/>
        </w:rPr>
        <w:t>the foundation’s</w:t>
      </w:r>
      <w:r w:rsidRPr="00634EAD">
        <w:rPr>
          <w:lang w:val="en-CA"/>
        </w:rPr>
        <w:t xml:space="preserve"> </w:t>
      </w:r>
      <w:r w:rsidRPr="00634EAD">
        <w:rPr>
          <w:lang w:val="en-CA"/>
        </w:rPr>
        <w:lastRenderedPageBreak/>
        <w:t xml:space="preserve">collection of 4,500 orchids. The collection, </w:t>
      </w:r>
      <w:r w:rsidR="00A7711E">
        <w:rPr>
          <w:lang w:val="en-CA"/>
        </w:rPr>
        <w:t xml:space="preserve">which </w:t>
      </w:r>
      <w:r w:rsidRPr="00634EAD">
        <w:rPr>
          <w:lang w:val="en-CA"/>
        </w:rPr>
        <w:t xml:space="preserve">focused on tropical orchids, </w:t>
      </w:r>
      <w:r w:rsidR="00A7711E">
        <w:rPr>
          <w:lang w:val="en-CA"/>
        </w:rPr>
        <w:t xml:space="preserve">had </w:t>
      </w:r>
      <w:r w:rsidRPr="00634EAD">
        <w:rPr>
          <w:lang w:val="en-CA"/>
        </w:rPr>
        <w:t>originally started with a donation of 3,000 orchids</w:t>
      </w:r>
      <w:r w:rsidR="00A32D86">
        <w:rPr>
          <w:lang w:val="en-CA"/>
        </w:rPr>
        <w:t>. Over time, the collection</w:t>
      </w:r>
      <w:r w:rsidR="00A7711E">
        <w:rPr>
          <w:lang w:val="en-CA"/>
        </w:rPr>
        <w:t xml:space="preserve"> </w:t>
      </w:r>
      <w:r w:rsidR="00A32D86">
        <w:rPr>
          <w:lang w:val="en-CA"/>
        </w:rPr>
        <w:t>grew to contain</w:t>
      </w:r>
      <w:r w:rsidRPr="00634EAD">
        <w:rPr>
          <w:lang w:val="en-CA"/>
        </w:rPr>
        <w:t xml:space="preserve"> over 1,000 different </w:t>
      </w:r>
      <w:r w:rsidR="003637A4">
        <w:rPr>
          <w:lang w:val="en-CA"/>
        </w:rPr>
        <w:t xml:space="preserve">orchid </w:t>
      </w:r>
      <w:r w:rsidRPr="00634EAD">
        <w:rPr>
          <w:lang w:val="en-CA"/>
        </w:rPr>
        <w:t>species and</w:t>
      </w:r>
      <w:r w:rsidR="00A7711E">
        <w:rPr>
          <w:lang w:val="en-CA"/>
        </w:rPr>
        <w:t xml:space="preserve"> </w:t>
      </w:r>
      <w:r w:rsidR="003637A4">
        <w:rPr>
          <w:lang w:val="en-CA"/>
        </w:rPr>
        <w:t xml:space="preserve">ranked </w:t>
      </w:r>
      <w:r w:rsidR="00A7711E">
        <w:rPr>
          <w:lang w:val="en-CA"/>
        </w:rPr>
        <w:t>as</w:t>
      </w:r>
      <w:r w:rsidRPr="00634EAD">
        <w:rPr>
          <w:lang w:val="en-CA"/>
        </w:rPr>
        <w:t xml:space="preserve"> the 10</w:t>
      </w:r>
      <w:r w:rsidR="000C09BA">
        <w:rPr>
          <w:lang w:val="en-CA"/>
        </w:rPr>
        <w:t>th</w:t>
      </w:r>
      <w:r w:rsidRPr="00634EAD">
        <w:rPr>
          <w:lang w:val="en-CA"/>
        </w:rPr>
        <w:t xml:space="preserve"> largest collection in North America. The OSPF also displayed part of its orchid collection for the public in the main buildings</w:t>
      </w:r>
      <w:r w:rsidR="00A32D86" w:rsidRPr="00A32D86">
        <w:rPr>
          <w:lang w:val="en-CA"/>
        </w:rPr>
        <w:t xml:space="preserve"> </w:t>
      </w:r>
      <w:r w:rsidR="00A32D86">
        <w:rPr>
          <w:lang w:val="en-CA"/>
        </w:rPr>
        <w:t xml:space="preserve">at the </w:t>
      </w:r>
      <w:r w:rsidR="00A32D86" w:rsidRPr="00634EAD">
        <w:rPr>
          <w:lang w:val="en-CA"/>
        </w:rPr>
        <w:t>Muttart</w:t>
      </w:r>
      <w:r w:rsidRPr="00634EAD">
        <w:rPr>
          <w:lang w:val="en-CA"/>
        </w:rPr>
        <w:t>.</w:t>
      </w:r>
    </w:p>
    <w:p w14:paraId="2922DC92" w14:textId="77777777" w:rsidR="003637A4" w:rsidRPr="00634EAD" w:rsidRDefault="003637A4" w:rsidP="003B1BDC">
      <w:pPr>
        <w:pStyle w:val="BodyTextMain"/>
        <w:rPr>
          <w:lang w:val="en-CA"/>
        </w:rPr>
      </w:pPr>
    </w:p>
    <w:p w14:paraId="3974890F" w14:textId="77777777" w:rsidR="003B1BDC" w:rsidRPr="00634EAD" w:rsidRDefault="003637A4" w:rsidP="003B1BDC">
      <w:pPr>
        <w:pStyle w:val="BodyTextMain"/>
        <w:rPr>
          <w:lang w:val="en-CA"/>
        </w:rPr>
      </w:pPr>
      <w:r>
        <w:rPr>
          <w:lang w:val="en-CA"/>
        </w:rPr>
        <w:t>F</w:t>
      </w:r>
      <w:r w:rsidR="003B1BDC" w:rsidRPr="00634EAD">
        <w:rPr>
          <w:lang w:val="en-CA"/>
        </w:rPr>
        <w:t>inished in 2004 at a cost of $700,000,</w:t>
      </w:r>
      <w:r w:rsidR="004B21D9">
        <w:rPr>
          <w:rStyle w:val="FootnoteReference"/>
          <w:lang w:val="en-CA"/>
        </w:rPr>
        <w:footnoteReference w:id="2"/>
      </w:r>
      <w:r w:rsidR="003B1BDC" w:rsidRPr="00634EAD">
        <w:rPr>
          <w:lang w:val="en-CA"/>
        </w:rPr>
        <w:t xml:space="preserve"> </w:t>
      </w:r>
      <w:r>
        <w:rPr>
          <w:lang w:val="en-CA"/>
        </w:rPr>
        <w:t xml:space="preserve">the greenhouse </w:t>
      </w:r>
      <w:r w:rsidR="003B1BDC" w:rsidRPr="00634EAD">
        <w:rPr>
          <w:lang w:val="en-CA"/>
        </w:rPr>
        <w:t xml:space="preserve">was divided into </w:t>
      </w:r>
      <w:r>
        <w:rPr>
          <w:lang w:val="en-CA"/>
        </w:rPr>
        <w:t xml:space="preserve">several </w:t>
      </w:r>
      <w:r w:rsidR="003B1BDC" w:rsidRPr="00634EAD">
        <w:rPr>
          <w:lang w:val="en-CA"/>
        </w:rPr>
        <w:t>sections</w:t>
      </w:r>
      <w:r>
        <w:rPr>
          <w:lang w:val="en-CA"/>
        </w:rPr>
        <w:t>,</w:t>
      </w:r>
      <w:r w:rsidR="003B1BDC" w:rsidRPr="00634EAD">
        <w:rPr>
          <w:lang w:val="en-CA"/>
        </w:rPr>
        <w:t xml:space="preserve"> based on growing temperature. Each section was controlled by state</w:t>
      </w:r>
      <w:r w:rsidR="004D52ED">
        <w:rPr>
          <w:lang w:val="en-CA"/>
        </w:rPr>
        <w:t>-</w:t>
      </w:r>
      <w:r w:rsidR="003B1BDC" w:rsidRPr="00634EAD">
        <w:rPr>
          <w:lang w:val="en-CA"/>
        </w:rPr>
        <w:t>of</w:t>
      </w:r>
      <w:r w:rsidR="004D52ED">
        <w:rPr>
          <w:lang w:val="en-CA"/>
        </w:rPr>
        <w:t>-</w:t>
      </w:r>
      <w:r w:rsidR="003B1BDC" w:rsidRPr="00634EAD">
        <w:rPr>
          <w:lang w:val="en-CA"/>
        </w:rPr>
        <w:t>the</w:t>
      </w:r>
      <w:r w:rsidR="004D52ED">
        <w:rPr>
          <w:lang w:val="en-CA"/>
        </w:rPr>
        <w:t>-</w:t>
      </w:r>
      <w:r w:rsidR="003B1BDC" w:rsidRPr="00634EAD">
        <w:rPr>
          <w:lang w:val="en-CA"/>
        </w:rPr>
        <w:t>art mechanical and computer systems to ensure the survival of the rare and endangered orchids</w:t>
      </w:r>
      <w:r w:rsidR="004D52ED">
        <w:rPr>
          <w:lang w:val="en-CA"/>
        </w:rPr>
        <w:t xml:space="preserve"> (see Exhibit 2)</w:t>
      </w:r>
      <w:r w:rsidR="003B1BDC" w:rsidRPr="00634EAD">
        <w:rPr>
          <w:lang w:val="en-CA"/>
        </w:rPr>
        <w:t xml:space="preserve">. </w:t>
      </w:r>
      <w:r>
        <w:rPr>
          <w:lang w:val="en-CA"/>
        </w:rPr>
        <w:t>F</w:t>
      </w:r>
      <w:r w:rsidR="003B1BDC" w:rsidRPr="00634EAD">
        <w:rPr>
          <w:lang w:val="en-CA"/>
        </w:rPr>
        <w:t xml:space="preserve">unding for the facility </w:t>
      </w:r>
      <w:r w:rsidR="003B1BDC">
        <w:rPr>
          <w:lang w:val="en-CA"/>
        </w:rPr>
        <w:t>c</w:t>
      </w:r>
      <w:r w:rsidR="004D52ED">
        <w:rPr>
          <w:lang w:val="en-CA"/>
        </w:rPr>
        <w:t>a</w:t>
      </w:r>
      <w:r w:rsidR="003B1BDC">
        <w:rPr>
          <w:lang w:val="en-CA"/>
        </w:rPr>
        <w:t xml:space="preserve">me </w:t>
      </w:r>
      <w:r>
        <w:rPr>
          <w:lang w:val="en-CA"/>
        </w:rPr>
        <w:t xml:space="preserve">mainly </w:t>
      </w:r>
      <w:r w:rsidR="003B1BDC" w:rsidRPr="00634EAD">
        <w:rPr>
          <w:lang w:val="en-CA"/>
        </w:rPr>
        <w:t>from grants and donations</w:t>
      </w:r>
      <w:r>
        <w:rPr>
          <w:lang w:val="en-CA"/>
        </w:rPr>
        <w:t>, although t</w:t>
      </w:r>
      <w:r w:rsidR="003B1BDC" w:rsidRPr="00634EAD">
        <w:rPr>
          <w:lang w:val="en-CA"/>
        </w:rPr>
        <w:t xml:space="preserve">he OSPF generated operating revenue through </w:t>
      </w:r>
      <w:r w:rsidR="003B1BDC">
        <w:rPr>
          <w:lang w:val="en-CA"/>
        </w:rPr>
        <w:t>fundraising activities</w:t>
      </w:r>
      <w:r w:rsidR="003B1BDC" w:rsidRPr="00634EAD">
        <w:rPr>
          <w:lang w:val="en-CA"/>
        </w:rPr>
        <w:t>, donations, membership fees</w:t>
      </w:r>
      <w:r w:rsidR="004D52ED">
        <w:rPr>
          <w:lang w:val="en-CA"/>
        </w:rPr>
        <w:t>,</w:t>
      </w:r>
      <w:r w:rsidR="003B1BDC" w:rsidRPr="00634EAD">
        <w:rPr>
          <w:lang w:val="en-CA"/>
        </w:rPr>
        <w:t xml:space="preserve"> and the sale of orchids (see </w:t>
      </w:r>
      <w:r w:rsidR="006203D4">
        <w:rPr>
          <w:lang w:val="en-CA"/>
        </w:rPr>
        <w:t>Exhibit</w:t>
      </w:r>
      <w:r w:rsidR="003B1BDC" w:rsidRPr="00634EAD">
        <w:rPr>
          <w:lang w:val="en-CA"/>
        </w:rPr>
        <w:t xml:space="preserve"> </w:t>
      </w:r>
      <w:r w:rsidR="004D52ED">
        <w:rPr>
          <w:lang w:val="en-CA"/>
        </w:rPr>
        <w:t>3).</w:t>
      </w:r>
    </w:p>
    <w:p w14:paraId="46BACAE2" w14:textId="77777777" w:rsidR="003637A4" w:rsidRDefault="003637A4" w:rsidP="003B1BDC">
      <w:pPr>
        <w:pStyle w:val="BodyTextMain"/>
        <w:rPr>
          <w:lang w:val="en-CA"/>
        </w:rPr>
      </w:pPr>
    </w:p>
    <w:p w14:paraId="0706100E" w14:textId="60B5103D" w:rsidR="003B1BDC" w:rsidRPr="00634EAD" w:rsidRDefault="003B1BDC" w:rsidP="003B1BDC">
      <w:pPr>
        <w:pStyle w:val="BodyTextMain"/>
        <w:rPr>
          <w:lang w:val="en-CA"/>
        </w:rPr>
      </w:pPr>
      <w:r w:rsidRPr="00634EAD">
        <w:rPr>
          <w:lang w:val="en-CA"/>
        </w:rPr>
        <w:t xml:space="preserve">Nixon felt that, based on past experience, the board would likely be able to generate capital funding to build the centre. He </w:t>
      </w:r>
      <w:r w:rsidR="00A32D86">
        <w:rPr>
          <w:lang w:val="en-CA"/>
        </w:rPr>
        <w:t>noted</w:t>
      </w:r>
      <w:r w:rsidR="00460699">
        <w:rPr>
          <w:lang w:val="en-CA"/>
        </w:rPr>
        <w:t>,</w:t>
      </w:r>
      <w:r w:rsidRPr="00634EAD">
        <w:rPr>
          <w:lang w:val="en-CA"/>
        </w:rPr>
        <w:t xml:space="preserve"> “The real issue is operating dollars. Nobody wants to fund the operating costs. The centre needs to generate its own income.”</w:t>
      </w:r>
    </w:p>
    <w:p w14:paraId="0EA2954C" w14:textId="77777777" w:rsidR="003B1BDC" w:rsidRPr="00634EAD" w:rsidRDefault="003B1BDC" w:rsidP="003B1BDC">
      <w:pPr>
        <w:pStyle w:val="BodyTextMain"/>
        <w:rPr>
          <w:lang w:val="en-CA"/>
        </w:rPr>
      </w:pPr>
    </w:p>
    <w:p w14:paraId="0E463E88" w14:textId="3BCE05A2" w:rsidR="003B1BDC" w:rsidRPr="00634EAD" w:rsidRDefault="00E856EE" w:rsidP="003B1BDC">
      <w:pPr>
        <w:pStyle w:val="BodyTextMain"/>
        <w:rPr>
          <w:lang w:val="en-CA"/>
        </w:rPr>
      </w:pPr>
      <w:r>
        <w:rPr>
          <w:lang w:val="en-CA"/>
        </w:rPr>
        <w:t>The OSPF’s</w:t>
      </w:r>
      <w:r w:rsidRPr="00634EAD">
        <w:rPr>
          <w:lang w:val="en-CA"/>
        </w:rPr>
        <w:t xml:space="preserve"> </w:t>
      </w:r>
      <w:r w:rsidR="003B1BDC" w:rsidRPr="00634EAD">
        <w:rPr>
          <w:lang w:val="en-CA"/>
        </w:rPr>
        <w:t xml:space="preserve">plan for developing </w:t>
      </w:r>
      <w:r>
        <w:rPr>
          <w:lang w:val="en-CA"/>
        </w:rPr>
        <w:t>a</w:t>
      </w:r>
      <w:r w:rsidR="003B1BDC" w:rsidRPr="00634EAD">
        <w:rPr>
          <w:lang w:val="en-CA"/>
        </w:rPr>
        <w:t xml:space="preserve"> new </w:t>
      </w:r>
      <w:r w:rsidR="00093E6D" w:rsidRPr="00F0451B">
        <w:rPr>
          <w:lang w:val="en-CA"/>
        </w:rPr>
        <w:t>botanical</w:t>
      </w:r>
      <w:r w:rsidR="003637A4" w:rsidRPr="00F0451B">
        <w:rPr>
          <w:lang w:val="en-CA"/>
        </w:rPr>
        <w:t xml:space="preserve"> </w:t>
      </w:r>
      <w:r w:rsidR="003637A4">
        <w:rPr>
          <w:lang w:val="en-CA"/>
        </w:rPr>
        <w:t xml:space="preserve">education </w:t>
      </w:r>
      <w:r w:rsidR="003B1BDC" w:rsidRPr="00634EAD">
        <w:rPr>
          <w:lang w:val="en-CA"/>
        </w:rPr>
        <w:t xml:space="preserve">centre was broken into three stages, starting with propagation and sales of orchid seedlings, </w:t>
      </w:r>
      <w:r>
        <w:rPr>
          <w:lang w:val="en-CA"/>
        </w:rPr>
        <w:t>followed by</w:t>
      </w:r>
      <w:r w:rsidR="003B1BDC" w:rsidRPr="00634EAD">
        <w:rPr>
          <w:lang w:val="en-CA"/>
        </w:rPr>
        <w:t xml:space="preserve"> growing and selling mature plants, and then building and operating the actual interpretive centre.</w:t>
      </w:r>
    </w:p>
    <w:p w14:paraId="37D9AA8B" w14:textId="77777777" w:rsidR="003B1BDC" w:rsidRPr="00634EAD" w:rsidRDefault="003B1BDC" w:rsidP="003B1BDC">
      <w:pPr>
        <w:pStyle w:val="BodyTextMain"/>
        <w:rPr>
          <w:lang w:val="en-CA"/>
        </w:rPr>
      </w:pPr>
    </w:p>
    <w:p w14:paraId="347066BF" w14:textId="77777777" w:rsidR="003B1BDC" w:rsidRDefault="003B1BDC" w:rsidP="003B1BDC">
      <w:pPr>
        <w:pStyle w:val="BodyTextMain"/>
        <w:rPr>
          <w:lang w:val="en-CA"/>
        </w:rPr>
      </w:pPr>
      <w:r w:rsidRPr="00634EAD">
        <w:rPr>
          <w:lang w:val="en-CA"/>
        </w:rPr>
        <w:t xml:space="preserve">Nixon had generated some preliminary information and assumptions regarding revenues and operating costs for the first two stages of the project. He </w:t>
      </w:r>
      <w:r w:rsidR="006D1257">
        <w:rPr>
          <w:lang w:val="en-CA"/>
        </w:rPr>
        <w:t xml:space="preserve">had </w:t>
      </w:r>
      <w:r w:rsidRPr="00634EAD">
        <w:rPr>
          <w:lang w:val="en-CA"/>
        </w:rPr>
        <w:t xml:space="preserve">also provided </w:t>
      </w:r>
      <w:r w:rsidR="006D1257">
        <w:rPr>
          <w:lang w:val="en-CA"/>
        </w:rPr>
        <w:t xml:space="preserve">the </w:t>
      </w:r>
      <w:r w:rsidR="002E0CBF">
        <w:rPr>
          <w:lang w:val="en-CA"/>
        </w:rPr>
        <w:t xml:space="preserve">rest of the </w:t>
      </w:r>
      <w:r w:rsidR="006D1257">
        <w:rPr>
          <w:lang w:val="en-CA"/>
        </w:rPr>
        <w:t xml:space="preserve">board </w:t>
      </w:r>
      <w:r w:rsidR="002E0CBF">
        <w:rPr>
          <w:lang w:val="en-CA"/>
        </w:rPr>
        <w:t xml:space="preserve">members </w:t>
      </w:r>
      <w:r w:rsidR="006D1257">
        <w:rPr>
          <w:lang w:val="en-CA"/>
        </w:rPr>
        <w:t xml:space="preserve">with </w:t>
      </w:r>
      <w:r w:rsidRPr="00634EAD">
        <w:rPr>
          <w:lang w:val="en-CA"/>
        </w:rPr>
        <w:t>a summary of his research into capital c</w:t>
      </w:r>
      <w:r>
        <w:rPr>
          <w:lang w:val="en-CA"/>
        </w:rPr>
        <w:t xml:space="preserve">osts for building (see </w:t>
      </w:r>
      <w:r w:rsidR="00DA3120">
        <w:rPr>
          <w:lang w:val="en-CA"/>
        </w:rPr>
        <w:t>Exhibits 4 and 5)</w:t>
      </w:r>
      <w:r w:rsidRPr="00634EAD">
        <w:rPr>
          <w:lang w:val="en-CA"/>
        </w:rPr>
        <w:t>.</w:t>
      </w:r>
    </w:p>
    <w:p w14:paraId="57227577" w14:textId="77777777" w:rsidR="009B0903" w:rsidRDefault="009B0903" w:rsidP="003B1BDC">
      <w:pPr>
        <w:pStyle w:val="BodyTextMain"/>
      </w:pPr>
    </w:p>
    <w:p w14:paraId="60014C64" w14:textId="77777777" w:rsidR="003B1BDC" w:rsidRPr="003B1BDC" w:rsidRDefault="003B1BDC" w:rsidP="003B1BDC">
      <w:pPr>
        <w:pStyle w:val="BodyTextMain"/>
      </w:pPr>
    </w:p>
    <w:p w14:paraId="2CDC8354" w14:textId="77777777" w:rsidR="003B1BDC" w:rsidRPr="00DE234A" w:rsidRDefault="003B1BDC" w:rsidP="003B1BDC">
      <w:pPr>
        <w:pStyle w:val="Casehead1"/>
        <w:rPr>
          <w:lang w:val="en-CA"/>
        </w:rPr>
      </w:pPr>
      <w:r w:rsidRPr="00DE234A">
        <w:rPr>
          <w:lang w:val="en-CA"/>
        </w:rPr>
        <w:t>Link to the Muttart Conservatory</w:t>
      </w:r>
    </w:p>
    <w:p w14:paraId="22A6EFAE" w14:textId="77777777" w:rsidR="003B1BDC" w:rsidRPr="00634EAD" w:rsidRDefault="003B1BDC" w:rsidP="003B1BDC">
      <w:pPr>
        <w:pStyle w:val="BodyTextMain"/>
        <w:rPr>
          <w:lang w:val="en-CA"/>
        </w:rPr>
      </w:pPr>
    </w:p>
    <w:p w14:paraId="7945A898" w14:textId="14B2ABE9" w:rsidR="003B1BDC" w:rsidRPr="00634EAD" w:rsidRDefault="003B1BDC" w:rsidP="003B1BDC">
      <w:pPr>
        <w:pStyle w:val="BodyTextMain"/>
        <w:rPr>
          <w:lang w:val="en-CA"/>
        </w:rPr>
      </w:pPr>
      <w:r w:rsidRPr="00634EAD">
        <w:rPr>
          <w:lang w:val="en-CA"/>
        </w:rPr>
        <w:t>The Muttart Conservatory</w:t>
      </w:r>
      <w:r w:rsidR="00DA5F8E">
        <w:rPr>
          <w:lang w:val="en-CA"/>
        </w:rPr>
        <w:t xml:space="preserve"> </w:t>
      </w:r>
      <w:r w:rsidR="00DA5F8E" w:rsidRPr="00634EAD">
        <w:rPr>
          <w:lang w:val="en-CA"/>
        </w:rPr>
        <w:t>was a plant sanctuary and special</w:t>
      </w:r>
      <w:r w:rsidR="00DA5F8E">
        <w:rPr>
          <w:lang w:val="en-CA"/>
        </w:rPr>
        <w:t>-</w:t>
      </w:r>
      <w:r w:rsidR="00DA5F8E" w:rsidRPr="00634EAD">
        <w:rPr>
          <w:lang w:val="en-CA"/>
        </w:rPr>
        <w:t xml:space="preserve">events space run by the City of Edmonton. The iconic facility, </w:t>
      </w:r>
      <w:r w:rsidR="00DA5F8E">
        <w:rPr>
          <w:lang w:val="en-CA"/>
        </w:rPr>
        <w:t xml:space="preserve">which was </w:t>
      </w:r>
      <w:r w:rsidR="00DA5F8E" w:rsidRPr="00634EAD">
        <w:rPr>
          <w:lang w:val="en-CA"/>
        </w:rPr>
        <w:t>composed of four glass pyramids in the centre of Edmonton’s river valley green space, housed collections of plants from all over the world. One of the pyramids, the Feature Pyramid, changed displays five to seven times per year. The other three pyramids were dedicated to plant life from arid, temperate</w:t>
      </w:r>
      <w:r w:rsidR="00DA5F8E">
        <w:rPr>
          <w:lang w:val="en-CA"/>
        </w:rPr>
        <w:t>,</w:t>
      </w:r>
      <w:r w:rsidR="00DA5F8E" w:rsidRPr="00634EAD">
        <w:rPr>
          <w:lang w:val="en-CA"/>
        </w:rPr>
        <w:t xml:space="preserve"> and tropical environments. Guests were attracted to the </w:t>
      </w:r>
      <w:r w:rsidR="00DA5F8E">
        <w:rPr>
          <w:lang w:val="en-CA"/>
        </w:rPr>
        <w:t>c</w:t>
      </w:r>
      <w:r w:rsidR="00DA5F8E" w:rsidRPr="00634EAD">
        <w:rPr>
          <w:lang w:val="en-CA"/>
        </w:rPr>
        <w:t>onservatory to view the plants</w:t>
      </w:r>
      <w:r w:rsidR="00E856EE">
        <w:rPr>
          <w:lang w:val="en-CA"/>
        </w:rPr>
        <w:t>,</w:t>
      </w:r>
      <w:r w:rsidR="00DA5F8E" w:rsidRPr="00634EAD">
        <w:rPr>
          <w:lang w:val="en-CA"/>
        </w:rPr>
        <w:t xml:space="preserve"> but </w:t>
      </w:r>
      <w:r w:rsidR="00E856EE">
        <w:rPr>
          <w:lang w:val="en-CA"/>
        </w:rPr>
        <w:t xml:space="preserve">many people </w:t>
      </w:r>
      <w:r w:rsidR="00DA5F8E" w:rsidRPr="00634EAD">
        <w:rPr>
          <w:lang w:val="en-CA"/>
        </w:rPr>
        <w:t xml:space="preserve">also </w:t>
      </w:r>
      <w:r w:rsidR="00E856EE">
        <w:rPr>
          <w:lang w:val="en-CA"/>
        </w:rPr>
        <w:t xml:space="preserve">came </w:t>
      </w:r>
      <w:r w:rsidR="00DA5F8E" w:rsidRPr="00634EAD">
        <w:rPr>
          <w:lang w:val="en-CA"/>
        </w:rPr>
        <w:t>to spend contemplative time in a quiet, pleasant environment</w:t>
      </w:r>
      <w:r w:rsidR="00DA5F8E">
        <w:rPr>
          <w:lang w:val="en-CA"/>
        </w:rPr>
        <w:t>.</w:t>
      </w:r>
      <w:r w:rsidRPr="00634EAD">
        <w:rPr>
          <w:rStyle w:val="FootnoteReference"/>
          <w:sz w:val="24"/>
          <w:lang w:val="en-CA"/>
        </w:rPr>
        <w:footnoteReference w:id="3"/>
      </w:r>
    </w:p>
    <w:p w14:paraId="0061CCE1" w14:textId="77777777" w:rsidR="003B1BDC" w:rsidRPr="00634EAD" w:rsidRDefault="003B1BDC" w:rsidP="003B1BDC">
      <w:pPr>
        <w:pStyle w:val="BodyTextMain"/>
        <w:rPr>
          <w:lang w:val="en-CA"/>
        </w:rPr>
      </w:pPr>
    </w:p>
    <w:p w14:paraId="42FD7861" w14:textId="0547AC85" w:rsidR="003B1BDC" w:rsidRPr="00634EAD" w:rsidRDefault="003B1BDC" w:rsidP="003B1BDC">
      <w:pPr>
        <w:pStyle w:val="BodyTextMain"/>
        <w:rPr>
          <w:lang w:val="en-CA"/>
        </w:rPr>
      </w:pPr>
      <w:r w:rsidRPr="00634EAD">
        <w:rPr>
          <w:lang w:val="en-CA"/>
        </w:rPr>
        <w:t xml:space="preserve">The </w:t>
      </w:r>
      <w:r w:rsidR="00E856EE">
        <w:rPr>
          <w:lang w:val="en-CA"/>
        </w:rPr>
        <w:t>Muttart</w:t>
      </w:r>
      <w:r w:rsidRPr="00634EAD">
        <w:rPr>
          <w:lang w:val="en-CA"/>
        </w:rPr>
        <w:t xml:space="preserve"> also attracted guests </w:t>
      </w:r>
      <w:r w:rsidR="00E856EE">
        <w:rPr>
          <w:lang w:val="en-CA"/>
        </w:rPr>
        <w:t xml:space="preserve">through ongoing presentations of </w:t>
      </w:r>
      <w:r w:rsidRPr="00634EAD">
        <w:rPr>
          <w:lang w:val="en-CA"/>
        </w:rPr>
        <w:t>art exhibits, musical concerts</w:t>
      </w:r>
      <w:r w:rsidR="002E0CBF">
        <w:rPr>
          <w:lang w:val="en-CA"/>
        </w:rPr>
        <w:t>,</w:t>
      </w:r>
      <w:r w:rsidRPr="00634EAD">
        <w:rPr>
          <w:lang w:val="en-CA"/>
        </w:rPr>
        <w:t xml:space="preserve"> and educational programs. </w:t>
      </w:r>
      <w:r w:rsidR="002E0CBF">
        <w:rPr>
          <w:lang w:val="en-CA"/>
        </w:rPr>
        <w:t xml:space="preserve">Its in-house </w:t>
      </w:r>
      <w:r w:rsidRPr="00634EAD">
        <w:rPr>
          <w:lang w:val="en-CA"/>
        </w:rPr>
        <w:t>café, Culina Muttart, was run by a well-known local restaurant</w:t>
      </w:r>
      <w:r w:rsidR="00E856EE">
        <w:rPr>
          <w:lang w:val="en-CA"/>
        </w:rPr>
        <w:t>,</w:t>
      </w:r>
      <w:r w:rsidR="002E0CBF">
        <w:rPr>
          <w:lang w:val="en-CA"/>
        </w:rPr>
        <w:t xml:space="preserve"> </w:t>
      </w:r>
      <w:r w:rsidR="00E856EE">
        <w:rPr>
          <w:lang w:val="en-CA"/>
        </w:rPr>
        <w:t xml:space="preserve">which </w:t>
      </w:r>
      <w:r w:rsidRPr="00634EAD">
        <w:rPr>
          <w:lang w:val="en-CA"/>
        </w:rPr>
        <w:t xml:space="preserve">catered </w:t>
      </w:r>
      <w:r w:rsidR="002E0CBF">
        <w:rPr>
          <w:lang w:val="en-CA"/>
        </w:rPr>
        <w:t xml:space="preserve">many of the </w:t>
      </w:r>
      <w:r w:rsidRPr="00634EAD">
        <w:rPr>
          <w:lang w:val="en-CA"/>
        </w:rPr>
        <w:t>special events held at the conservatory such as receptions, banquets</w:t>
      </w:r>
      <w:r w:rsidR="002E0CBF">
        <w:rPr>
          <w:lang w:val="en-CA"/>
        </w:rPr>
        <w:t>,</w:t>
      </w:r>
      <w:r w:rsidRPr="00634EAD">
        <w:rPr>
          <w:lang w:val="en-CA"/>
        </w:rPr>
        <w:t xml:space="preserve"> and weddings.</w:t>
      </w:r>
    </w:p>
    <w:p w14:paraId="10FFF443" w14:textId="77777777" w:rsidR="003B1BDC" w:rsidRPr="00634EAD" w:rsidRDefault="003B1BDC" w:rsidP="003B1BDC">
      <w:pPr>
        <w:pStyle w:val="BodyTextMain"/>
        <w:rPr>
          <w:lang w:val="en-CA"/>
        </w:rPr>
      </w:pPr>
    </w:p>
    <w:p w14:paraId="464A7A18" w14:textId="2C34F093" w:rsidR="003B1BDC" w:rsidRPr="00634EAD" w:rsidRDefault="003B1BDC" w:rsidP="003B1BDC">
      <w:pPr>
        <w:pStyle w:val="BodyTextMain"/>
        <w:rPr>
          <w:lang w:val="en-CA"/>
        </w:rPr>
      </w:pPr>
      <w:r w:rsidRPr="00634EAD">
        <w:rPr>
          <w:lang w:val="en-CA"/>
        </w:rPr>
        <w:t xml:space="preserve">The Muttart Conservatory and the OSPF were in the middle of renegotiating </w:t>
      </w:r>
      <w:r w:rsidR="00093E6D" w:rsidRPr="00E856EE">
        <w:rPr>
          <w:lang w:val="en-CA"/>
        </w:rPr>
        <w:t xml:space="preserve">an </w:t>
      </w:r>
      <w:r w:rsidR="00E856EE">
        <w:rPr>
          <w:lang w:val="en-CA"/>
        </w:rPr>
        <w:t xml:space="preserve">operating </w:t>
      </w:r>
      <w:r w:rsidR="00093E6D" w:rsidRPr="00E856EE">
        <w:rPr>
          <w:lang w:val="en-CA"/>
        </w:rPr>
        <w:t>agreement</w:t>
      </w:r>
      <w:r w:rsidR="00E856EE">
        <w:rPr>
          <w:lang w:val="en-CA"/>
        </w:rPr>
        <w:t xml:space="preserve"> that</w:t>
      </w:r>
      <w:r w:rsidRPr="00634EAD">
        <w:rPr>
          <w:lang w:val="en-CA"/>
        </w:rPr>
        <w:t xml:space="preserve"> had expired</w:t>
      </w:r>
      <w:r w:rsidR="002E0CBF">
        <w:rPr>
          <w:lang w:val="en-CA"/>
        </w:rPr>
        <w:t>. This agreement laid out the details of</w:t>
      </w:r>
      <w:r w:rsidR="002E0CBF" w:rsidRPr="00634EAD">
        <w:rPr>
          <w:lang w:val="en-CA"/>
        </w:rPr>
        <w:t xml:space="preserve"> </w:t>
      </w:r>
      <w:r w:rsidRPr="00634EAD">
        <w:rPr>
          <w:lang w:val="en-CA"/>
        </w:rPr>
        <w:t xml:space="preserve">the relationship between the two entities and noted the tasks </w:t>
      </w:r>
      <w:r>
        <w:rPr>
          <w:lang w:val="en-CA"/>
        </w:rPr>
        <w:t>for which</w:t>
      </w:r>
      <w:r w:rsidRPr="00634EAD">
        <w:rPr>
          <w:lang w:val="en-CA"/>
        </w:rPr>
        <w:t xml:space="preserve"> each organization was responsible. </w:t>
      </w:r>
      <w:r w:rsidRPr="004B21D9">
        <w:rPr>
          <w:lang w:val="en-CA"/>
        </w:rPr>
        <w:t xml:space="preserve">The agreement stated that the Muttart would provide </w:t>
      </w:r>
      <w:r w:rsidR="00093E6D" w:rsidRPr="004B21D9">
        <w:rPr>
          <w:lang w:val="en-CA"/>
        </w:rPr>
        <w:t>a</w:t>
      </w:r>
      <w:r w:rsidR="00E856EE" w:rsidRPr="004B21D9">
        <w:rPr>
          <w:lang w:val="en-CA"/>
        </w:rPr>
        <w:t>n annual contribution towards</w:t>
      </w:r>
      <w:r w:rsidRPr="004B21D9">
        <w:rPr>
          <w:lang w:val="en-CA"/>
        </w:rPr>
        <w:t xml:space="preserve"> the care and maintenance of the orchid collection</w:t>
      </w:r>
      <w:r w:rsidR="00E856EE" w:rsidRPr="004B21D9">
        <w:rPr>
          <w:lang w:val="en-CA"/>
        </w:rPr>
        <w:t xml:space="preserve">, and the amount of this contribution </w:t>
      </w:r>
      <w:r w:rsidRPr="004B21D9">
        <w:rPr>
          <w:lang w:val="en-CA"/>
        </w:rPr>
        <w:t>w</w:t>
      </w:r>
      <w:r w:rsidR="00E856EE" w:rsidRPr="004B21D9">
        <w:rPr>
          <w:lang w:val="en-CA"/>
        </w:rPr>
        <w:t>ould be</w:t>
      </w:r>
      <w:r w:rsidRPr="004B21D9">
        <w:rPr>
          <w:lang w:val="en-CA"/>
        </w:rPr>
        <w:t xml:space="preserve"> equal to the money generated by the sale of orchids from the collection in the previous year. </w:t>
      </w:r>
      <w:r w:rsidR="000063D2">
        <w:rPr>
          <w:lang w:val="en-CA"/>
        </w:rPr>
        <w:t xml:space="preserve">This contribution was in kind, and no money changed hands. </w:t>
      </w:r>
      <w:r w:rsidRPr="004B21D9">
        <w:rPr>
          <w:lang w:val="en-CA"/>
        </w:rPr>
        <w:t>The OSPF, at its own discretion, was allowed to donate money to the Muttart</w:t>
      </w:r>
      <w:r w:rsidR="002E0CBF" w:rsidRPr="004B21D9">
        <w:rPr>
          <w:lang w:val="en-CA"/>
        </w:rPr>
        <w:t>, and these funds were to</w:t>
      </w:r>
      <w:r w:rsidRPr="004B21D9">
        <w:rPr>
          <w:lang w:val="en-CA"/>
        </w:rPr>
        <w:t xml:space="preserve"> be used exclusively to support the orchid collection.</w:t>
      </w:r>
    </w:p>
    <w:p w14:paraId="323AB6B2" w14:textId="77777777" w:rsidR="003B1BDC" w:rsidRPr="00634EAD" w:rsidRDefault="003B1BDC" w:rsidP="003B1BDC">
      <w:pPr>
        <w:pStyle w:val="BodyTextMain"/>
        <w:rPr>
          <w:lang w:val="en-CA"/>
        </w:rPr>
      </w:pPr>
    </w:p>
    <w:p w14:paraId="117FAB8D" w14:textId="05FDFB37" w:rsidR="003B1BDC" w:rsidRPr="00634EAD" w:rsidRDefault="003B1BDC" w:rsidP="003B1BDC">
      <w:pPr>
        <w:pStyle w:val="BodyTextMain"/>
        <w:rPr>
          <w:lang w:val="en-CA"/>
        </w:rPr>
      </w:pPr>
      <w:r w:rsidRPr="00634EAD">
        <w:rPr>
          <w:lang w:val="en-CA"/>
        </w:rPr>
        <w:lastRenderedPageBreak/>
        <w:t xml:space="preserve">The partnership between the OSPF and the Muttart Conservatory had been beneficial to both partners, but the Muttart administration had decided it was time to downsize the orchid display. It had also </w:t>
      </w:r>
      <w:r w:rsidR="00E856EE">
        <w:rPr>
          <w:lang w:val="en-CA"/>
        </w:rPr>
        <w:t xml:space="preserve">opted to </w:t>
      </w:r>
      <w:r w:rsidRPr="00634EAD">
        <w:rPr>
          <w:lang w:val="en-CA"/>
        </w:rPr>
        <w:t xml:space="preserve">restrict </w:t>
      </w:r>
      <w:r w:rsidR="00E856EE">
        <w:rPr>
          <w:lang w:val="en-CA"/>
        </w:rPr>
        <w:t xml:space="preserve">the </w:t>
      </w:r>
      <w:r w:rsidRPr="00634EAD">
        <w:rPr>
          <w:lang w:val="en-CA"/>
        </w:rPr>
        <w:t>OSPF</w:t>
      </w:r>
      <w:r w:rsidR="00E856EE">
        <w:rPr>
          <w:lang w:val="en-CA"/>
        </w:rPr>
        <w:t>’s</w:t>
      </w:r>
      <w:r w:rsidRPr="00634EAD">
        <w:rPr>
          <w:lang w:val="en-CA"/>
        </w:rPr>
        <w:t xml:space="preserve"> access to the orchid greenhouse to </w:t>
      </w:r>
      <w:r w:rsidR="00E11704">
        <w:rPr>
          <w:lang w:val="en-CA"/>
        </w:rPr>
        <w:t xml:space="preserve">between </w:t>
      </w:r>
      <w:r w:rsidRPr="00634EAD">
        <w:rPr>
          <w:lang w:val="en-CA"/>
        </w:rPr>
        <w:t>10 a</w:t>
      </w:r>
      <w:r w:rsidR="00425219">
        <w:rPr>
          <w:lang w:val="en-CA"/>
        </w:rPr>
        <w:t>.</w:t>
      </w:r>
      <w:r w:rsidRPr="00634EAD">
        <w:rPr>
          <w:lang w:val="en-CA"/>
        </w:rPr>
        <w:t>m</w:t>
      </w:r>
      <w:r w:rsidR="00425219">
        <w:rPr>
          <w:lang w:val="en-CA"/>
        </w:rPr>
        <w:t>.</w:t>
      </w:r>
      <w:r w:rsidRPr="00634EAD">
        <w:rPr>
          <w:lang w:val="en-CA"/>
        </w:rPr>
        <w:t xml:space="preserve"> </w:t>
      </w:r>
      <w:r w:rsidR="00E30B97">
        <w:rPr>
          <w:lang w:val="en-CA"/>
        </w:rPr>
        <w:t>and</w:t>
      </w:r>
      <w:r w:rsidRPr="00634EAD">
        <w:rPr>
          <w:lang w:val="en-CA"/>
        </w:rPr>
        <w:t xml:space="preserve"> 1 p</w:t>
      </w:r>
      <w:r w:rsidR="00425219">
        <w:rPr>
          <w:lang w:val="en-CA"/>
        </w:rPr>
        <w:t>.</w:t>
      </w:r>
      <w:r w:rsidRPr="00634EAD">
        <w:rPr>
          <w:lang w:val="en-CA"/>
        </w:rPr>
        <w:t>m</w:t>
      </w:r>
      <w:r w:rsidR="00425219">
        <w:rPr>
          <w:lang w:val="en-CA"/>
        </w:rPr>
        <w:t>.</w:t>
      </w:r>
      <w:r w:rsidRPr="00634EAD">
        <w:rPr>
          <w:lang w:val="en-CA"/>
        </w:rPr>
        <w:t xml:space="preserve"> on Wednesdays </w:t>
      </w:r>
      <w:r w:rsidR="00425219">
        <w:rPr>
          <w:lang w:val="en-CA"/>
        </w:rPr>
        <w:t xml:space="preserve">only. </w:t>
      </w:r>
      <w:r w:rsidRPr="00634EAD">
        <w:rPr>
          <w:lang w:val="en-CA"/>
        </w:rPr>
        <w:t>(</w:t>
      </w:r>
      <w:r w:rsidR="00425219">
        <w:rPr>
          <w:lang w:val="en-CA"/>
        </w:rPr>
        <w:t>P</w:t>
      </w:r>
      <w:r w:rsidRPr="00634EAD">
        <w:rPr>
          <w:lang w:val="en-CA"/>
        </w:rPr>
        <w:t>reviously</w:t>
      </w:r>
      <w:r w:rsidR="00425219">
        <w:rPr>
          <w:lang w:val="en-CA"/>
        </w:rPr>
        <w:t>,</w:t>
      </w:r>
      <w:r w:rsidRPr="00634EAD">
        <w:rPr>
          <w:lang w:val="en-CA"/>
        </w:rPr>
        <w:t xml:space="preserve"> the OSPF </w:t>
      </w:r>
      <w:r w:rsidR="00425219">
        <w:rPr>
          <w:lang w:val="en-CA"/>
        </w:rPr>
        <w:t xml:space="preserve">had been given </w:t>
      </w:r>
      <w:r w:rsidRPr="00634EAD">
        <w:rPr>
          <w:lang w:val="en-CA"/>
        </w:rPr>
        <w:t>access on Thursday nights and Saturdays</w:t>
      </w:r>
      <w:r w:rsidR="00425219">
        <w:rPr>
          <w:lang w:val="en-CA"/>
        </w:rPr>
        <w:t xml:space="preserve"> as well.</w:t>
      </w:r>
      <w:r w:rsidRPr="00634EAD">
        <w:rPr>
          <w:lang w:val="en-CA"/>
        </w:rPr>
        <w:t>)</w:t>
      </w:r>
      <w:r w:rsidR="00425219">
        <w:rPr>
          <w:lang w:val="en-CA"/>
        </w:rPr>
        <w:t xml:space="preserve"> </w:t>
      </w:r>
      <w:r w:rsidR="00A36DBC">
        <w:rPr>
          <w:lang w:val="en-CA"/>
        </w:rPr>
        <w:t>T</w:t>
      </w:r>
      <w:r w:rsidR="00425219">
        <w:rPr>
          <w:lang w:val="en-CA"/>
        </w:rPr>
        <w:t>he administrators at the Mu</w:t>
      </w:r>
      <w:r w:rsidR="00701904">
        <w:rPr>
          <w:lang w:val="en-CA"/>
        </w:rPr>
        <w:t>tt</w:t>
      </w:r>
      <w:r w:rsidR="00425219">
        <w:rPr>
          <w:lang w:val="en-CA"/>
        </w:rPr>
        <w:t>art</w:t>
      </w:r>
      <w:r w:rsidRPr="00634EAD">
        <w:rPr>
          <w:lang w:val="en-CA"/>
        </w:rPr>
        <w:t xml:space="preserve"> also required OSPF volunteers to be supervised by one of the</w:t>
      </w:r>
      <w:r w:rsidR="00A36DBC">
        <w:rPr>
          <w:lang w:val="en-CA"/>
        </w:rPr>
        <w:t xml:space="preserve"> foundation’s</w:t>
      </w:r>
      <w:r w:rsidRPr="00634EAD">
        <w:rPr>
          <w:lang w:val="en-CA"/>
        </w:rPr>
        <w:t xml:space="preserve"> growers or, in the grower’s absence, the </w:t>
      </w:r>
      <w:r w:rsidR="00A36DBC">
        <w:rPr>
          <w:lang w:val="en-CA"/>
        </w:rPr>
        <w:t>p</w:t>
      </w:r>
      <w:r w:rsidRPr="00634EAD">
        <w:rPr>
          <w:lang w:val="en-CA"/>
        </w:rPr>
        <w:t>resident of the OSPF. These</w:t>
      </w:r>
      <w:r w:rsidR="00A36DBC">
        <w:rPr>
          <w:lang w:val="en-CA"/>
        </w:rPr>
        <w:t xml:space="preserve"> changes in the agreement</w:t>
      </w:r>
      <w:r w:rsidRPr="00634EAD">
        <w:rPr>
          <w:lang w:val="en-CA"/>
        </w:rPr>
        <w:t xml:space="preserve"> ran contrary to the wishes of the OSPF board and prompted the desire for the foundation to build its own orchid interpretive centre and perhaps expand the </w:t>
      </w:r>
      <w:r w:rsidR="00A36DBC" w:rsidRPr="00634EAD">
        <w:rPr>
          <w:lang w:val="en-CA"/>
        </w:rPr>
        <w:t>organization</w:t>
      </w:r>
      <w:r w:rsidR="00A36DBC">
        <w:rPr>
          <w:lang w:val="en-CA"/>
        </w:rPr>
        <w:t xml:space="preserve">’s </w:t>
      </w:r>
      <w:r w:rsidRPr="00634EAD">
        <w:rPr>
          <w:lang w:val="en-CA"/>
        </w:rPr>
        <w:t>mandate.</w:t>
      </w:r>
    </w:p>
    <w:p w14:paraId="69E4EE60" w14:textId="77777777" w:rsidR="003B1BDC" w:rsidRPr="00634EAD" w:rsidRDefault="003B1BDC" w:rsidP="003B1BDC">
      <w:pPr>
        <w:pStyle w:val="BodyTextMain"/>
        <w:rPr>
          <w:lang w:val="en-CA"/>
        </w:rPr>
      </w:pPr>
    </w:p>
    <w:p w14:paraId="0E99D4E2" w14:textId="750CAE89" w:rsidR="003B1BDC" w:rsidRPr="00634EAD" w:rsidRDefault="003B1BDC" w:rsidP="003B1BDC">
      <w:pPr>
        <w:pStyle w:val="BodyTextMain"/>
        <w:rPr>
          <w:lang w:val="en-CA"/>
        </w:rPr>
      </w:pPr>
      <w:r w:rsidRPr="00634EAD">
        <w:rPr>
          <w:lang w:val="en-CA"/>
        </w:rPr>
        <w:t>The relations</w:t>
      </w:r>
      <w:r w:rsidR="00A36DBC">
        <w:rPr>
          <w:lang w:val="en-CA"/>
        </w:rPr>
        <w:t>hip</w:t>
      </w:r>
      <w:r w:rsidRPr="00634EAD">
        <w:rPr>
          <w:lang w:val="en-CA"/>
        </w:rPr>
        <w:t xml:space="preserve"> between the two groups had been at times warm and at times frosty. Both groups felt they had ownership of the greenhouse although that </w:t>
      </w:r>
      <w:r w:rsidR="00A36DBC">
        <w:rPr>
          <w:lang w:val="en-CA"/>
        </w:rPr>
        <w:t xml:space="preserve">sentiment </w:t>
      </w:r>
      <w:r w:rsidRPr="00634EAD">
        <w:rPr>
          <w:lang w:val="en-CA"/>
        </w:rPr>
        <w:t>sometimes caused conflict between the</w:t>
      </w:r>
      <w:r w:rsidR="00A36DBC">
        <w:rPr>
          <w:lang w:val="en-CA"/>
        </w:rPr>
        <w:t xml:space="preserve"> two groups since </w:t>
      </w:r>
      <w:r w:rsidRPr="00634EAD">
        <w:rPr>
          <w:lang w:val="en-CA"/>
        </w:rPr>
        <w:t xml:space="preserve">their goals </w:t>
      </w:r>
      <w:r w:rsidR="00093E6D" w:rsidRPr="00E856EE">
        <w:rPr>
          <w:lang w:val="en-CA"/>
        </w:rPr>
        <w:t>for the greenhouse</w:t>
      </w:r>
      <w:r w:rsidR="00A36DBC">
        <w:rPr>
          <w:lang w:val="en-CA"/>
        </w:rPr>
        <w:t xml:space="preserve"> </w:t>
      </w:r>
      <w:r w:rsidR="00E856EE">
        <w:rPr>
          <w:lang w:val="en-CA"/>
        </w:rPr>
        <w:t xml:space="preserve">operations </w:t>
      </w:r>
      <w:r w:rsidRPr="00634EAD">
        <w:rPr>
          <w:lang w:val="en-CA"/>
        </w:rPr>
        <w:t>were somewhat different. The Muttart had a mandate to generate customer visits</w:t>
      </w:r>
      <w:r w:rsidR="00E856EE">
        <w:rPr>
          <w:lang w:val="en-CA"/>
        </w:rPr>
        <w:t>,</w:t>
      </w:r>
      <w:r w:rsidRPr="00634EAD">
        <w:rPr>
          <w:lang w:val="en-CA"/>
        </w:rPr>
        <w:t xml:space="preserve"> and </w:t>
      </w:r>
      <w:r w:rsidR="00E856EE">
        <w:rPr>
          <w:lang w:val="en-CA"/>
        </w:rPr>
        <w:t>its board was opposed to spending</w:t>
      </w:r>
      <w:r w:rsidRPr="00634EAD">
        <w:rPr>
          <w:lang w:val="en-CA"/>
        </w:rPr>
        <w:t xml:space="preserve"> resources in areas that did</w:t>
      </w:r>
      <w:r w:rsidR="00A36DBC">
        <w:rPr>
          <w:lang w:val="en-CA"/>
        </w:rPr>
        <w:t xml:space="preserve"> </w:t>
      </w:r>
      <w:r w:rsidRPr="00634EAD">
        <w:rPr>
          <w:lang w:val="en-CA"/>
        </w:rPr>
        <w:t>n</w:t>
      </w:r>
      <w:r w:rsidR="00A36DBC">
        <w:rPr>
          <w:lang w:val="en-CA"/>
        </w:rPr>
        <w:t>o</w:t>
      </w:r>
      <w:r w:rsidRPr="00634EAD">
        <w:rPr>
          <w:lang w:val="en-CA"/>
        </w:rPr>
        <w:t>t support that</w:t>
      </w:r>
      <w:r w:rsidR="00A36DBC">
        <w:rPr>
          <w:lang w:val="en-CA"/>
        </w:rPr>
        <w:t xml:space="preserve"> goal</w:t>
      </w:r>
      <w:r w:rsidR="00E856EE">
        <w:rPr>
          <w:lang w:val="en-CA"/>
        </w:rPr>
        <w:t>. T</w:t>
      </w:r>
      <w:r w:rsidRPr="00634EAD">
        <w:rPr>
          <w:lang w:val="en-CA"/>
        </w:rPr>
        <w:t>he OSPF</w:t>
      </w:r>
      <w:r w:rsidR="00E856EE">
        <w:rPr>
          <w:lang w:val="en-CA"/>
        </w:rPr>
        <w:t>, on the other hand,</w:t>
      </w:r>
      <w:r w:rsidRPr="00634EAD">
        <w:rPr>
          <w:lang w:val="en-CA"/>
        </w:rPr>
        <w:t xml:space="preserve"> was </w:t>
      </w:r>
      <w:r w:rsidR="00E856EE">
        <w:rPr>
          <w:lang w:val="en-CA"/>
        </w:rPr>
        <w:t>largely</w:t>
      </w:r>
      <w:r w:rsidR="00E856EE" w:rsidRPr="00634EAD">
        <w:rPr>
          <w:lang w:val="en-CA"/>
        </w:rPr>
        <w:t xml:space="preserve"> </w:t>
      </w:r>
      <w:r w:rsidRPr="00634EAD">
        <w:rPr>
          <w:lang w:val="en-CA"/>
        </w:rPr>
        <w:t xml:space="preserve">interested in conservation issues. The OSPF members </w:t>
      </w:r>
      <w:r w:rsidR="00A36DBC">
        <w:rPr>
          <w:lang w:val="en-CA"/>
        </w:rPr>
        <w:t xml:space="preserve">who were </w:t>
      </w:r>
      <w:r w:rsidRPr="00634EAD">
        <w:rPr>
          <w:lang w:val="en-CA"/>
        </w:rPr>
        <w:t>involved in growing the orchids had to tread lightly in the greenhouse in order to avoid accusations of taking away jobs from union members employed by the City</w:t>
      </w:r>
      <w:r w:rsidR="00A36DBC">
        <w:rPr>
          <w:lang w:val="en-CA"/>
        </w:rPr>
        <w:t xml:space="preserve"> of Edmonton</w:t>
      </w:r>
      <w:r w:rsidRPr="00634EAD">
        <w:rPr>
          <w:lang w:val="en-CA"/>
        </w:rPr>
        <w:t>.</w:t>
      </w:r>
      <w:r w:rsidR="00A36DBC">
        <w:rPr>
          <w:lang w:val="en-CA"/>
        </w:rPr>
        <w:t xml:space="preserve"> </w:t>
      </w:r>
      <w:r w:rsidRPr="00634EAD">
        <w:rPr>
          <w:lang w:val="en-CA"/>
        </w:rPr>
        <w:t>At times</w:t>
      </w:r>
      <w:r w:rsidR="00E856EE">
        <w:rPr>
          <w:lang w:val="en-CA"/>
        </w:rPr>
        <w:t>,</w:t>
      </w:r>
      <w:r w:rsidRPr="00634EAD">
        <w:rPr>
          <w:lang w:val="en-CA"/>
        </w:rPr>
        <w:t xml:space="preserve"> the </w:t>
      </w:r>
      <w:r w:rsidR="00507E37">
        <w:rPr>
          <w:lang w:val="en-CA"/>
        </w:rPr>
        <w:t xml:space="preserve">greenhouse </w:t>
      </w:r>
      <w:r w:rsidRPr="00634EAD">
        <w:rPr>
          <w:lang w:val="en-CA"/>
        </w:rPr>
        <w:t xml:space="preserve">volunteers felt </w:t>
      </w:r>
      <w:r w:rsidR="00093E6D" w:rsidRPr="00184A12">
        <w:rPr>
          <w:lang w:val="en-CA"/>
        </w:rPr>
        <w:t>untrusted</w:t>
      </w:r>
      <w:r w:rsidRPr="00634EAD">
        <w:rPr>
          <w:lang w:val="en-CA"/>
        </w:rPr>
        <w:t xml:space="preserve"> by the Muttart staff. </w:t>
      </w:r>
      <w:r w:rsidR="00A36DBC">
        <w:rPr>
          <w:lang w:val="en-CA"/>
        </w:rPr>
        <w:t>D</w:t>
      </w:r>
      <w:r w:rsidRPr="00634EAD">
        <w:rPr>
          <w:lang w:val="en-CA"/>
        </w:rPr>
        <w:t>espite the rocky history</w:t>
      </w:r>
      <w:r w:rsidR="00A36DBC">
        <w:rPr>
          <w:lang w:val="en-CA"/>
        </w:rPr>
        <w:t xml:space="preserve"> between the two groups</w:t>
      </w:r>
      <w:r w:rsidRPr="00634EAD">
        <w:rPr>
          <w:lang w:val="en-CA"/>
        </w:rPr>
        <w:t xml:space="preserve">, </w:t>
      </w:r>
      <w:r w:rsidR="00A36DBC">
        <w:rPr>
          <w:lang w:val="en-CA"/>
        </w:rPr>
        <w:t xml:space="preserve">however, </w:t>
      </w:r>
      <w:r w:rsidRPr="00634EAD">
        <w:rPr>
          <w:lang w:val="en-CA"/>
        </w:rPr>
        <w:t>the current relationship between the Muttart’s growers and the OSPF was good.</w:t>
      </w:r>
    </w:p>
    <w:p w14:paraId="3E88AD2E" w14:textId="77777777" w:rsidR="003B1BDC" w:rsidRDefault="003B1BDC" w:rsidP="003B1BDC">
      <w:pPr>
        <w:pStyle w:val="BodyTextMain"/>
        <w:rPr>
          <w:lang w:val="en-CA"/>
        </w:rPr>
      </w:pPr>
    </w:p>
    <w:p w14:paraId="1C6897B4" w14:textId="77777777" w:rsidR="003B1BDC" w:rsidRPr="00634EAD" w:rsidRDefault="003B1BDC" w:rsidP="003B1BDC">
      <w:pPr>
        <w:pStyle w:val="BodyTextMain"/>
        <w:rPr>
          <w:lang w:val="en-CA"/>
        </w:rPr>
      </w:pPr>
    </w:p>
    <w:p w14:paraId="73908DA2" w14:textId="77777777" w:rsidR="003B1BDC" w:rsidRPr="00DE234A" w:rsidRDefault="003B1BDC" w:rsidP="003B1BDC">
      <w:pPr>
        <w:pStyle w:val="Casehead1"/>
        <w:rPr>
          <w:lang w:val="en-CA"/>
        </w:rPr>
      </w:pPr>
      <w:r w:rsidRPr="00DE234A">
        <w:rPr>
          <w:lang w:val="en-CA"/>
        </w:rPr>
        <w:t>The Orchid</w:t>
      </w:r>
    </w:p>
    <w:p w14:paraId="0B96775E" w14:textId="77777777" w:rsidR="003B1BDC" w:rsidRPr="00634EAD" w:rsidRDefault="003B1BDC" w:rsidP="003B1BDC">
      <w:pPr>
        <w:pStyle w:val="BodyTextMain"/>
        <w:rPr>
          <w:lang w:val="en-CA"/>
        </w:rPr>
      </w:pPr>
    </w:p>
    <w:p w14:paraId="266DF9D6" w14:textId="77777777" w:rsidR="003B1BDC" w:rsidRPr="00634EAD" w:rsidRDefault="003B1BDC" w:rsidP="003B1BDC">
      <w:pPr>
        <w:pStyle w:val="BodyTextMain"/>
        <w:rPr>
          <w:lang w:val="en-CA"/>
        </w:rPr>
      </w:pPr>
      <w:r w:rsidRPr="00634EAD">
        <w:rPr>
          <w:lang w:val="en-CA"/>
        </w:rPr>
        <w:t>The International Union for the Conservation of Nature</w:t>
      </w:r>
      <w:r w:rsidR="004D0349" w:rsidRPr="004D0349">
        <w:rPr>
          <w:lang w:val="en-CA"/>
        </w:rPr>
        <w:t xml:space="preserve"> </w:t>
      </w:r>
      <w:r w:rsidR="00121D51">
        <w:rPr>
          <w:lang w:val="en-CA"/>
        </w:rPr>
        <w:t xml:space="preserve">(IUCN) </w:t>
      </w:r>
      <w:r w:rsidR="004D0349" w:rsidRPr="00634EAD">
        <w:rPr>
          <w:lang w:val="en-CA"/>
        </w:rPr>
        <w:t>described plants as having a critical role in the survival of humans and other species</w:t>
      </w:r>
      <w:r w:rsidR="004D0349">
        <w:rPr>
          <w:lang w:val="en-CA"/>
        </w:rPr>
        <w:t xml:space="preserve"> </w:t>
      </w:r>
      <w:r w:rsidR="00D507AD">
        <w:rPr>
          <w:lang w:val="en-CA"/>
        </w:rPr>
        <w:t>due to the fact that plants</w:t>
      </w:r>
      <w:r w:rsidR="004D0349" w:rsidRPr="00634EAD">
        <w:rPr>
          <w:lang w:val="en-CA"/>
        </w:rPr>
        <w:t xml:space="preserve"> provid</w:t>
      </w:r>
      <w:r w:rsidR="004D0349">
        <w:rPr>
          <w:lang w:val="en-CA"/>
        </w:rPr>
        <w:t>e</w:t>
      </w:r>
      <w:r w:rsidR="004D0349" w:rsidRPr="00634EAD">
        <w:rPr>
          <w:lang w:val="en-CA"/>
        </w:rPr>
        <w:t xml:space="preserve"> </w:t>
      </w:r>
      <w:r w:rsidR="004D0349">
        <w:rPr>
          <w:lang w:val="en-CA"/>
        </w:rPr>
        <w:t xml:space="preserve">several basic necessities, such as oxygen, </w:t>
      </w:r>
      <w:r w:rsidR="004D0349" w:rsidRPr="00634EAD">
        <w:rPr>
          <w:lang w:val="en-CA"/>
        </w:rPr>
        <w:t>food, fuel</w:t>
      </w:r>
      <w:r w:rsidR="004D0349">
        <w:rPr>
          <w:lang w:val="en-CA"/>
        </w:rPr>
        <w:t>,</w:t>
      </w:r>
      <w:r w:rsidR="004D0349" w:rsidRPr="00634EAD">
        <w:rPr>
          <w:lang w:val="en-CA"/>
        </w:rPr>
        <w:t xml:space="preserve"> and medicinal products</w:t>
      </w:r>
      <w:r w:rsidR="004D0349">
        <w:rPr>
          <w:lang w:val="en-CA"/>
        </w:rPr>
        <w:t>:</w:t>
      </w:r>
      <w:r w:rsidR="004D0349" w:rsidRPr="00634EAD">
        <w:rPr>
          <w:lang w:val="en-CA"/>
        </w:rPr>
        <w:t xml:space="preserve"> “Life as we know it would not continue without plants and their conservation is essential.”</w:t>
      </w:r>
      <w:r w:rsidRPr="00634EAD">
        <w:rPr>
          <w:rStyle w:val="FootnoteReference"/>
          <w:color w:val="000000"/>
          <w:sz w:val="24"/>
          <w:lang w:val="en-CA"/>
        </w:rPr>
        <w:footnoteReference w:id="4"/>
      </w:r>
      <w:r w:rsidRPr="00634EAD">
        <w:rPr>
          <w:lang w:val="en-CA"/>
        </w:rPr>
        <w:t xml:space="preserve"> </w:t>
      </w:r>
    </w:p>
    <w:p w14:paraId="6416526B" w14:textId="77777777" w:rsidR="003B1BDC" w:rsidRPr="00837313" w:rsidRDefault="003B1BDC" w:rsidP="003B1BDC">
      <w:pPr>
        <w:pStyle w:val="BodyTextMain"/>
        <w:rPr>
          <w:lang w:val="en-CA"/>
        </w:rPr>
      </w:pPr>
    </w:p>
    <w:p w14:paraId="4764BE3E" w14:textId="7B9B2F37" w:rsidR="003B1BDC" w:rsidRPr="00634EAD" w:rsidRDefault="003B1BDC" w:rsidP="003B1BDC">
      <w:pPr>
        <w:pStyle w:val="BodyTextMain"/>
        <w:rPr>
          <w:lang w:val="en-CA"/>
        </w:rPr>
      </w:pPr>
      <w:r w:rsidRPr="00634EAD">
        <w:rPr>
          <w:lang w:val="en-CA"/>
        </w:rPr>
        <w:t>The IUCN website described orchids as the largest family of flow</w:t>
      </w:r>
      <w:r>
        <w:rPr>
          <w:lang w:val="en-CA"/>
        </w:rPr>
        <w:t>er</w:t>
      </w:r>
      <w:r w:rsidRPr="00634EAD">
        <w:rPr>
          <w:lang w:val="en-CA"/>
        </w:rPr>
        <w:t>ing plants (</w:t>
      </w:r>
      <w:r w:rsidR="00121D51">
        <w:rPr>
          <w:lang w:val="en-CA"/>
        </w:rPr>
        <w:t>8</w:t>
      </w:r>
      <w:r w:rsidRPr="00634EAD">
        <w:rPr>
          <w:lang w:val="en-CA"/>
        </w:rPr>
        <w:t xml:space="preserve"> percent of flow</w:t>
      </w:r>
      <w:r>
        <w:rPr>
          <w:lang w:val="en-CA"/>
        </w:rPr>
        <w:t>er</w:t>
      </w:r>
      <w:r w:rsidRPr="00634EAD">
        <w:rPr>
          <w:lang w:val="en-CA"/>
        </w:rPr>
        <w:t xml:space="preserve">ing plants), </w:t>
      </w:r>
      <w:r w:rsidR="00121D51">
        <w:rPr>
          <w:lang w:val="en-CA"/>
        </w:rPr>
        <w:t>encompassing</w:t>
      </w:r>
      <w:r w:rsidRPr="00634EAD">
        <w:rPr>
          <w:lang w:val="en-CA"/>
        </w:rPr>
        <w:t xml:space="preserve"> approximately 25,000 different species. </w:t>
      </w:r>
      <w:r w:rsidR="00121D51">
        <w:rPr>
          <w:lang w:val="en-CA"/>
        </w:rPr>
        <w:t>Orchids</w:t>
      </w:r>
      <w:r w:rsidRPr="00634EAD">
        <w:rPr>
          <w:lang w:val="en-CA"/>
        </w:rPr>
        <w:t xml:space="preserve"> </w:t>
      </w:r>
      <w:r w:rsidR="00121D51">
        <w:rPr>
          <w:lang w:val="en-CA"/>
        </w:rPr>
        <w:t>could be</w:t>
      </w:r>
      <w:r w:rsidR="00121D51" w:rsidRPr="00634EAD">
        <w:rPr>
          <w:lang w:val="en-CA"/>
        </w:rPr>
        <w:t xml:space="preserve"> </w:t>
      </w:r>
      <w:r w:rsidRPr="00634EAD">
        <w:rPr>
          <w:lang w:val="en-CA"/>
        </w:rPr>
        <w:t xml:space="preserve">found </w:t>
      </w:r>
      <w:r w:rsidR="00121D51">
        <w:rPr>
          <w:lang w:val="en-CA"/>
        </w:rPr>
        <w:t xml:space="preserve">all over </w:t>
      </w:r>
      <w:r w:rsidRPr="00634EAD">
        <w:rPr>
          <w:lang w:val="en-CA"/>
        </w:rPr>
        <w:t>the world</w:t>
      </w:r>
      <w:r w:rsidR="00121D51">
        <w:rPr>
          <w:lang w:val="en-CA"/>
        </w:rPr>
        <w:t>,</w:t>
      </w:r>
      <w:r w:rsidRPr="00634EAD">
        <w:rPr>
          <w:lang w:val="en-CA"/>
        </w:rPr>
        <w:t xml:space="preserve"> with the largest concentrations in the tropics and subtropics. The majority of tropical orchid species were epiphytic</w:t>
      </w:r>
      <w:r w:rsidR="00121D51">
        <w:rPr>
          <w:lang w:val="en-CA"/>
        </w:rPr>
        <w:t xml:space="preserve"> (i.e., </w:t>
      </w:r>
      <w:r w:rsidRPr="00634EAD">
        <w:rPr>
          <w:lang w:val="en-CA"/>
        </w:rPr>
        <w:t>they lived non-parasitically on another plant and derive</w:t>
      </w:r>
      <w:r w:rsidR="00121D51">
        <w:rPr>
          <w:lang w:val="en-CA"/>
        </w:rPr>
        <w:t>d</w:t>
      </w:r>
      <w:r w:rsidRPr="00634EAD">
        <w:rPr>
          <w:lang w:val="en-CA"/>
        </w:rPr>
        <w:t xml:space="preserve"> nutrients and moisture from the surrounding environment</w:t>
      </w:r>
      <w:r w:rsidR="00121D51">
        <w:rPr>
          <w:lang w:val="en-CA"/>
        </w:rPr>
        <w:t>); t</w:t>
      </w:r>
      <w:r w:rsidRPr="00634EAD">
        <w:rPr>
          <w:lang w:val="en-CA"/>
        </w:rPr>
        <w:t>he orchids in Alberta were terrestrial orchids</w:t>
      </w:r>
      <w:r w:rsidR="00121D51">
        <w:rPr>
          <w:lang w:val="en-CA"/>
        </w:rPr>
        <w:t xml:space="preserve"> (i.e., they </w:t>
      </w:r>
      <w:r w:rsidRPr="00634EAD">
        <w:rPr>
          <w:lang w:val="en-CA"/>
        </w:rPr>
        <w:t>grew in the ground</w:t>
      </w:r>
      <w:r w:rsidR="00121D51">
        <w:rPr>
          <w:lang w:val="en-CA"/>
        </w:rPr>
        <w:t>)</w:t>
      </w:r>
      <w:r w:rsidRPr="00634EAD">
        <w:rPr>
          <w:lang w:val="en-CA"/>
        </w:rPr>
        <w:t xml:space="preserve">. The lifecycle of orchids was considered complex and </w:t>
      </w:r>
      <w:r w:rsidR="00C96DA1">
        <w:rPr>
          <w:lang w:val="en-CA"/>
        </w:rPr>
        <w:t xml:space="preserve">was </w:t>
      </w:r>
      <w:r w:rsidRPr="00634EAD">
        <w:rPr>
          <w:lang w:val="en-CA"/>
        </w:rPr>
        <w:t xml:space="preserve">often closely linked to fungi and animals in the local area. </w:t>
      </w:r>
      <w:r w:rsidR="00121D51">
        <w:rPr>
          <w:lang w:val="en-CA"/>
        </w:rPr>
        <w:t>O</w:t>
      </w:r>
      <w:r w:rsidRPr="00634EAD">
        <w:rPr>
          <w:lang w:val="en-CA"/>
        </w:rPr>
        <w:t>rchid</w:t>
      </w:r>
      <w:r w:rsidR="00121D51">
        <w:rPr>
          <w:lang w:val="en-CA"/>
        </w:rPr>
        <w:t xml:space="preserve"> </w:t>
      </w:r>
      <w:r w:rsidRPr="00634EAD">
        <w:rPr>
          <w:lang w:val="en-CA"/>
        </w:rPr>
        <w:t>s</w:t>
      </w:r>
      <w:r w:rsidR="00121D51">
        <w:rPr>
          <w:lang w:val="en-CA"/>
        </w:rPr>
        <w:t>eeds</w:t>
      </w:r>
      <w:r w:rsidRPr="00634EAD">
        <w:rPr>
          <w:lang w:val="en-CA"/>
        </w:rPr>
        <w:t xml:space="preserve"> were typically small, about the size of dust</w:t>
      </w:r>
      <w:r w:rsidR="00481914">
        <w:rPr>
          <w:lang w:val="en-CA"/>
        </w:rPr>
        <w:t xml:space="preserve"> particles</w:t>
      </w:r>
      <w:r w:rsidRPr="00634EAD">
        <w:rPr>
          <w:lang w:val="en-CA"/>
        </w:rPr>
        <w:t>.</w:t>
      </w:r>
      <w:r w:rsidR="00AE460F">
        <w:rPr>
          <w:rStyle w:val="FootnoteReference"/>
          <w:lang w:val="en-CA"/>
        </w:rPr>
        <w:footnoteReference w:id="5"/>
      </w:r>
    </w:p>
    <w:p w14:paraId="7EE33586" w14:textId="77777777" w:rsidR="003B1BDC" w:rsidRPr="00634EAD" w:rsidRDefault="003B1BDC" w:rsidP="003B1BDC">
      <w:pPr>
        <w:pStyle w:val="BodyTextMain"/>
        <w:rPr>
          <w:lang w:val="en-CA"/>
        </w:rPr>
      </w:pPr>
    </w:p>
    <w:p w14:paraId="6D89502F" w14:textId="5FA446C2" w:rsidR="003B1BDC" w:rsidRPr="00634EAD" w:rsidRDefault="007B5818" w:rsidP="003B1BDC">
      <w:pPr>
        <w:pStyle w:val="BodyTextMain"/>
        <w:rPr>
          <w:lang w:val="en-CA"/>
        </w:rPr>
      </w:pPr>
      <w:r>
        <w:rPr>
          <w:lang w:val="en-CA"/>
        </w:rPr>
        <w:t>Since orchids were</w:t>
      </w:r>
      <w:r w:rsidR="003B1BDC" w:rsidRPr="00634EAD">
        <w:rPr>
          <w:lang w:val="en-CA"/>
        </w:rPr>
        <w:t xml:space="preserve"> sensitive to changes in the environment</w:t>
      </w:r>
      <w:r>
        <w:rPr>
          <w:lang w:val="en-CA"/>
        </w:rPr>
        <w:t>, they</w:t>
      </w:r>
      <w:r w:rsidRPr="00634EAD">
        <w:rPr>
          <w:lang w:val="en-CA"/>
        </w:rPr>
        <w:t xml:space="preserve"> </w:t>
      </w:r>
      <w:r w:rsidR="00CB05A5">
        <w:rPr>
          <w:lang w:val="en-CA"/>
        </w:rPr>
        <w:t xml:space="preserve">were </w:t>
      </w:r>
      <w:r w:rsidRPr="00634EAD">
        <w:rPr>
          <w:lang w:val="en-CA"/>
        </w:rPr>
        <w:t xml:space="preserve">considered a particularly important indicator of the health of </w:t>
      </w:r>
      <w:r>
        <w:rPr>
          <w:lang w:val="en-CA"/>
        </w:rPr>
        <w:t>a given</w:t>
      </w:r>
      <w:r w:rsidRPr="00634EAD">
        <w:rPr>
          <w:lang w:val="en-CA"/>
        </w:rPr>
        <w:t xml:space="preserve"> eco-system</w:t>
      </w:r>
      <w:r w:rsidR="003B1BDC" w:rsidRPr="00634EAD">
        <w:rPr>
          <w:lang w:val="en-CA"/>
        </w:rPr>
        <w:t xml:space="preserve">. Nixon referred to </w:t>
      </w:r>
      <w:r>
        <w:rPr>
          <w:lang w:val="en-CA"/>
        </w:rPr>
        <w:t>orchids</w:t>
      </w:r>
      <w:r w:rsidRPr="00634EAD">
        <w:rPr>
          <w:lang w:val="en-CA"/>
        </w:rPr>
        <w:t xml:space="preserve"> </w:t>
      </w:r>
      <w:r w:rsidR="003B1BDC" w:rsidRPr="00634EAD">
        <w:rPr>
          <w:lang w:val="en-CA"/>
        </w:rPr>
        <w:t xml:space="preserve">as “the canary in the </w:t>
      </w:r>
      <w:r>
        <w:rPr>
          <w:lang w:val="en-CA"/>
        </w:rPr>
        <w:t xml:space="preserve">[coal] </w:t>
      </w:r>
      <w:r w:rsidR="003B1BDC" w:rsidRPr="00634EAD">
        <w:rPr>
          <w:lang w:val="en-CA"/>
        </w:rPr>
        <w:t>mine</w:t>
      </w:r>
      <w:r>
        <w:rPr>
          <w:lang w:val="en-CA"/>
        </w:rPr>
        <w:t>,</w:t>
      </w:r>
      <w:r w:rsidR="003B1BDC" w:rsidRPr="00634EAD">
        <w:rPr>
          <w:lang w:val="en-CA"/>
        </w:rPr>
        <w:t xml:space="preserve">” which </w:t>
      </w:r>
      <w:proofErr w:type="spellStart"/>
      <w:r w:rsidR="00481914">
        <w:rPr>
          <w:lang w:val="en-CA"/>
        </w:rPr>
        <w:t>ws</w:t>
      </w:r>
      <w:proofErr w:type="spellEnd"/>
      <w:r w:rsidR="003B1BDC" w:rsidRPr="00634EAD">
        <w:rPr>
          <w:lang w:val="en-CA"/>
        </w:rPr>
        <w:t xml:space="preserve"> an analogy to </w:t>
      </w:r>
      <w:r>
        <w:rPr>
          <w:lang w:val="en-CA"/>
        </w:rPr>
        <w:t xml:space="preserve">the </w:t>
      </w:r>
      <w:r w:rsidR="003B1BDC" w:rsidRPr="00634EAD">
        <w:rPr>
          <w:lang w:val="en-CA"/>
        </w:rPr>
        <w:t>us</w:t>
      </w:r>
      <w:r>
        <w:rPr>
          <w:lang w:val="en-CA"/>
        </w:rPr>
        <w:t>e</w:t>
      </w:r>
      <w:r w:rsidR="003B1BDC" w:rsidRPr="00634EAD">
        <w:rPr>
          <w:lang w:val="en-CA"/>
        </w:rPr>
        <w:t xml:space="preserve"> </w:t>
      </w:r>
      <w:r w:rsidR="00CB05A5">
        <w:rPr>
          <w:lang w:val="en-CA"/>
        </w:rPr>
        <w:t xml:space="preserve">of </w:t>
      </w:r>
      <w:r w:rsidR="003B1BDC" w:rsidRPr="00634EAD">
        <w:rPr>
          <w:lang w:val="en-CA"/>
        </w:rPr>
        <w:t xml:space="preserve">small birds to determine when the air in a </w:t>
      </w:r>
      <w:r>
        <w:rPr>
          <w:lang w:val="en-CA"/>
        </w:rPr>
        <w:t xml:space="preserve">coal </w:t>
      </w:r>
      <w:r w:rsidR="003B1BDC" w:rsidRPr="00634EAD">
        <w:rPr>
          <w:lang w:val="en-CA"/>
        </w:rPr>
        <w:t xml:space="preserve">mine </w:t>
      </w:r>
      <w:r>
        <w:rPr>
          <w:lang w:val="en-CA"/>
        </w:rPr>
        <w:t xml:space="preserve">had </w:t>
      </w:r>
      <w:r w:rsidR="003B1BDC" w:rsidRPr="00634EAD">
        <w:rPr>
          <w:lang w:val="en-CA"/>
        </w:rPr>
        <w:t>become unfit for mine workers to breathe (</w:t>
      </w:r>
      <w:r>
        <w:rPr>
          <w:lang w:val="en-CA"/>
        </w:rPr>
        <w:t xml:space="preserve">i.e., </w:t>
      </w:r>
      <w:r w:rsidR="003B1BDC" w:rsidRPr="00634EAD">
        <w:rPr>
          <w:lang w:val="en-CA"/>
        </w:rPr>
        <w:t>the birds suffer</w:t>
      </w:r>
      <w:r w:rsidR="00481914">
        <w:rPr>
          <w:lang w:val="en-CA"/>
        </w:rPr>
        <w:t>ed</w:t>
      </w:r>
      <w:r w:rsidR="003B1BDC" w:rsidRPr="00634EAD">
        <w:rPr>
          <w:lang w:val="en-CA"/>
        </w:rPr>
        <w:t xml:space="preserve"> the effects of </w:t>
      </w:r>
      <w:r>
        <w:rPr>
          <w:lang w:val="en-CA"/>
        </w:rPr>
        <w:t xml:space="preserve">the </w:t>
      </w:r>
      <w:r w:rsidR="003B1BDC" w:rsidRPr="00634EAD">
        <w:rPr>
          <w:lang w:val="en-CA"/>
        </w:rPr>
        <w:t xml:space="preserve">poor air before humans </w:t>
      </w:r>
      <w:r w:rsidR="00481914">
        <w:rPr>
          <w:lang w:val="en-CA"/>
        </w:rPr>
        <w:t>did</w:t>
      </w:r>
      <w:r w:rsidR="003B1BDC" w:rsidRPr="00634EAD">
        <w:rPr>
          <w:lang w:val="en-CA"/>
        </w:rPr>
        <w:t xml:space="preserve">). </w:t>
      </w:r>
      <w:r w:rsidR="00960867">
        <w:rPr>
          <w:lang w:val="en-CA"/>
        </w:rPr>
        <w:t>In the same way, d</w:t>
      </w:r>
      <w:r w:rsidR="003B1BDC" w:rsidRPr="00634EAD">
        <w:rPr>
          <w:lang w:val="en-CA"/>
        </w:rPr>
        <w:t xml:space="preserve">ying orchids were considered an indicator of an ecosystem </w:t>
      </w:r>
      <w:r>
        <w:rPr>
          <w:lang w:val="en-CA"/>
        </w:rPr>
        <w:t xml:space="preserve">that was </w:t>
      </w:r>
      <w:r w:rsidR="003B1BDC" w:rsidRPr="00634EAD">
        <w:rPr>
          <w:lang w:val="en-CA"/>
        </w:rPr>
        <w:t>in trouble.</w:t>
      </w:r>
      <w:r w:rsidR="00AE460F">
        <w:rPr>
          <w:rStyle w:val="FootnoteReference"/>
          <w:lang w:val="en-CA"/>
        </w:rPr>
        <w:footnoteReference w:id="6"/>
      </w:r>
      <w:r w:rsidR="003B1BDC" w:rsidRPr="00634EAD">
        <w:rPr>
          <w:lang w:val="en-CA"/>
        </w:rPr>
        <w:t xml:space="preserve"> </w:t>
      </w:r>
    </w:p>
    <w:p w14:paraId="47D61AAD" w14:textId="77777777" w:rsidR="003B1BDC" w:rsidRPr="00634EAD" w:rsidRDefault="003B1BDC" w:rsidP="003B1BDC">
      <w:pPr>
        <w:pStyle w:val="BodyTextMain"/>
        <w:rPr>
          <w:lang w:val="en-CA"/>
        </w:rPr>
      </w:pPr>
    </w:p>
    <w:p w14:paraId="7BCA4592" w14:textId="4F5C0194" w:rsidR="003B1BDC" w:rsidRPr="00634EAD" w:rsidRDefault="003B1BDC" w:rsidP="003B1BDC">
      <w:pPr>
        <w:pStyle w:val="BodyTextMain"/>
        <w:rPr>
          <w:lang w:val="en-CA"/>
        </w:rPr>
      </w:pPr>
      <w:r w:rsidRPr="00634EAD">
        <w:rPr>
          <w:lang w:val="en-CA"/>
        </w:rPr>
        <w:t xml:space="preserve">Orchids were classified according to their risk of extinction in a process known as </w:t>
      </w:r>
      <w:r w:rsidR="00D7172C">
        <w:rPr>
          <w:lang w:val="en-CA"/>
        </w:rPr>
        <w:t>“</w:t>
      </w:r>
      <w:r w:rsidR="00CB05A5">
        <w:rPr>
          <w:lang w:val="en-CA"/>
        </w:rPr>
        <w:t>r</w:t>
      </w:r>
      <w:r w:rsidRPr="00634EAD">
        <w:rPr>
          <w:lang w:val="en-CA"/>
        </w:rPr>
        <w:t xml:space="preserve">ed </w:t>
      </w:r>
      <w:r w:rsidR="00CB05A5">
        <w:rPr>
          <w:lang w:val="en-CA"/>
        </w:rPr>
        <w:t>l</w:t>
      </w:r>
      <w:r w:rsidRPr="00634EAD">
        <w:rPr>
          <w:lang w:val="en-CA"/>
        </w:rPr>
        <w:t>isting</w:t>
      </w:r>
      <w:r w:rsidR="000A5639">
        <w:rPr>
          <w:lang w:val="en-CA"/>
        </w:rPr>
        <w:t>,</w:t>
      </w:r>
      <w:r w:rsidR="00D7172C">
        <w:rPr>
          <w:lang w:val="en-CA"/>
        </w:rPr>
        <w:t>”</w:t>
      </w:r>
      <w:r w:rsidRPr="00634EAD">
        <w:rPr>
          <w:lang w:val="en-CA"/>
        </w:rPr>
        <w:t xml:space="preserve"> </w:t>
      </w:r>
      <w:r w:rsidR="000A5639">
        <w:rPr>
          <w:lang w:val="en-CA"/>
        </w:rPr>
        <w:t xml:space="preserve">which provided </w:t>
      </w:r>
      <w:r w:rsidR="00D7172C">
        <w:rPr>
          <w:lang w:val="en-CA"/>
        </w:rPr>
        <w:t>a way for regions to</w:t>
      </w:r>
      <w:r w:rsidRPr="00634EAD">
        <w:rPr>
          <w:lang w:val="en-CA"/>
        </w:rPr>
        <w:t xml:space="preserve"> prioritize conservation actions and maintain biodiversity. Canada </w:t>
      </w:r>
      <w:r w:rsidR="00D7172C">
        <w:rPr>
          <w:lang w:val="en-CA"/>
        </w:rPr>
        <w:t xml:space="preserve">was home to </w:t>
      </w:r>
      <w:r w:rsidRPr="00634EAD">
        <w:rPr>
          <w:lang w:val="en-CA"/>
        </w:rPr>
        <w:t>78 native species of orchid</w:t>
      </w:r>
      <w:r w:rsidR="00D7172C">
        <w:rPr>
          <w:lang w:val="en-CA"/>
        </w:rPr>
        <w:t xml:space="preserve">, </w:t>
      </w:r>
      <w:r w:rsidRPr="00634EAD">
        <w:rPr>
          <w:lang w:val="en-CA"/>
        </w:rPr>
        <w:t xml:space="preserve">seven </w:t>
      </w:r>
      <w:r w:rsidR="00D7172C">
        <w:rPr>
          <w:lang w:val="en-CA"/>
        </w:rPr>
        <w:t xml:space="preserve">of which </w:t>
      </w:r>
      <w:r w:rsidRPr="00634EAD">
        <w:rPr>
          <w:lang w:val="en-CA"/>
        </w:rPr>
        <w:t>had been listed as “</w:t>
      </w:r>
      <w:r w:rsidR="00D7172C">
        <w:rPr>
          <w:lang w:val="en-CA"/>
        </w:rPr>
        <w:t>a</w:t>
      </w:r>
      <w:r w:rsidRPr="00634EAD">
        <w:rPr>
          <w:lang w:val="en-CA"/>
        </w:rPr>
        <w:t xml:space="preserve">t </w:t>
      </w:r>
      <w:r w:rsidR="00D7172C">
        <w:rPr>
          <w:lang w:val="en-CA"/>
        </w:rPr>
        <w:t>r</w:t>
      </w:r>
      <w:r w:rsidRPr="00634EAD">
        <w:rPr>
          <w:lang w:val="en-CA"/>
        </w:rPr>
        <w:t xml:space="preserve">isk” and </w:t>
      </w:r>
      <w:r w:rsidR="00D7172C">
        <w:rPr>
          <w:lang w:val="en-CA"/>
        </w:rPr>
        <w:t xml:space="preserve">10 </w:t>
      </w:r>
      <w:r w:rsidR="000A5639">
        <w:rPr>
          <w:lang w:val="en-CA"/>
        </w:rPr>
        <w:t xml:space="preserve">of which </w:t>
      </w:r>
      <w:r w:rsidRPr="00634EAD">
        <w:rPr>
          <w:lang w:val="en-CA"/>
        </w:rPr>
        <w:t xml:space="preserve">had been listed </w:t>
      </w:r>
      <w:r w:rsidRPr="00634EAD">
        <w:rPr>
          <w:lang w:val="en-CA"/>
        </w:rPr>
        <w:lastRenderedPageBreak/>
        <w:t>as “</w:t>
      </w:r>
      <w:r w:rsidR="00D7172C">
        <w:rPr>
          <w:lang w:val="en-CA"/>
        </w:rPr>
        <w:t>m</w:t>
      </w:r>
      <w:r w:rsidRPr="00634EAD">
        <w:rPr>
          <w:lang w:val="en-CA"/>
        </w:rPr>
        <w:t xml:space="preserve">ay </w:t>
      </w:r>
      <w:r w:rsidR="00D7172C">
        <w:rPr>
          <w:lang w:val="en-CA"/>
        </w:rPr>
        <w:t>b</w:t>
      </w:r>
      <w:r w:rsidRPr="00634EAD">
        <w:rPr>
          <w:lang w:val="en-CA"/>
        </w:rPr>
        <w:t xml:space="preserve">e at </w:t>
      </w:r>
      <w:r w:rsidR="00D7172C">
        <w:rPr>
          <w:lang w:val="en-CA"/>
        </w:rPr>
        <w:t>r</w:t>
      </w:r>
      <w:r w:rsidRPr="00634EAD">
        <w:rPr>
          <w:lang w:val="en-CA"/>
        </w:rPr>
        <w:t>isk.”</w:t>
      </w:r>
      <w:r w:rsidRPr="00634EAD">
        <w:rPr>
          <w:rStyle w:val="FootnoteReference"/>
          <w:sz w:val="24"/>
          <w:lang w:val="en-CA"/>
        </w:rPr>
        <w:footnoteReference w:id="7"/>
      </w:r>
      <w:r w:rsidRPr="00634EAD">
        <w:rPr>
          <w:lang w:val="en-CA"/>
        </w:rPr>
        <w:t xml:space="preserve"> The major pressures on orchids included climate change</w:t>
      </w:r>
      <w:r w:rsidR="00D7172C">
        <w:rPr>
          <w:lang w:val="en-CA"/>
        </w:rPr>
        <w:t>,</w:t>
      </w:r>
      <w:r w:rsidRPr="00634EAD">
        <w:rPr>
          <w:lang w:val="en-CA"/>
        </w:rPr>
        <w:t xml:space="preserve"> industrial and urban land use</w:t>
      </w:r>
      <w:r w:rsidR="00D7172C">
        <w:rPr>
          <w:lang w:val="en-CA"/>
        </w:rPr>
        <w:t>, and pollination issues</w:t>
      </w:r>
      <w:r w:rsidR="00D7172C" w:rsidRPr="00634EAD">
        <w:rPr>
          <w:lang w:val="en-CA"/>
        </w:rPr>
        <w:t xml:space="preserve"> (</w:t>
      </w:r>
      <w:r w:rsidR="00D7172C">
        <w:rPr>
          <w:lang w:val="en-CA"/>
        </w:rPr>
        <w:t xml:space="preserve">e.g., </w:t>
      </w:r>
      <w:r w:rsidR="00D7172C" w:rsidRPr="00634EAD">
        <w:rPr>
          <w:lang w:val="en-CA"/>
        </w:rPr>
        <w:t>the collapse of bee colonies)</w:t>
      </w:r>
      <w:r w:rsidRPr="00634EAD">
        <w:rPr>
          <w:lang w:val="en-CA"/>
        </w:rPr>
        <w:t xml:space="preserve">. </w:t>
      </w:r>
    </w:p>
    <w:p w14:paraId="19DBF35E" w14:textId="77777777" w:rsidR="003B1BDC" w:rsidRPr="00634EAD" w:rsidRDefault="003B1BDC" w:rsidP="003B1BDC">
      <w:pPr>
        <w:pStyle w:val="BodyTextMain"/>
        <w:rPr>
          <w:lang w:val="en-CA"/>
        </w:rPr>
      </w:pPr>
    </w:p>
    <w:p w14:paraId="26142468" w14:textId="7A6B0DD4" w:rsidR="003B1BDC" w:rsidRPr="00634EAD" w:rsidRDefault="003B1BDC" w:rsidP="003B1BDC">
      <w:pPr>
        <w:pStyle w:val="BodyTextMain"/>
        <w:rPr>
          <w:lang w:val="en-CA"/>
        </w:rPr>
      </w:pPr>
      <w:r w:rsidRPr="00634EAD">
        <w:rPr>
          <w:lang w:val="en-CA"/>
        </w:rPr>
        <w:t>The evolutionary history of orchids had been heavily studied</w:t>
      </w:r>
      <w:r w:rsidR="00981B18">
        <w:rPr>
          <w:lang w:val="en-CA"/>
        </w:rPr>
        <w:t>,</w:t>
      </w:r>
      <w:r w:rsidRPr="00634EAD">
        <w:rPr>
          <w:lang w:val="en-CA"/>
        </w:rPr>
        <w:t xml:space="preserve"> and much work had been </w:t>
      </w:r>
      <w:r w:rsidR="00981B18">
        <w:rPr>
          <w:lang w:val="en-CA"/>
        </w:rPr>
        <w:t>performed towards the goal of</w:t>
      </w:r>
      <w:r w:rsidR="00981B18" w:rsidRPr="00634EAD">
        <w:rPr>
          <w:lang w:val="en-CA"/>
        </w:rPr>
        <w:t xml:space="preserve"> </w:t>
      </w:r>
      <w:r w:rsidRPr="00634EAD">
        <w:rPr>
          <w:lang w:val="en-CA"/>
        </w:rPr>
        <w:t xml:space="preserve">categorizing the </w:t>
      </w:r>
      <w:r w:rsidR="00CB05A5">
        <w:rPr>
          <w:lang w:val="en-CA"/>
        </w:rPr>
        <w:t>deoxyribonucleic acid (</w:t>
      </w:r>
      <w:r w:rsidRPr="00634EAD">
        <w:rPr>
          <w:lang w:val="en-CA"/>
        </w:rPr>
        <w:t>DNA</w:t>
      </w:r>
      <w:r w:rsidR="00CB05A5">
        <w:rPr>
          <w:lang w:val="en-CA"/>
        </w:rPr>
        <w:t>)</w:t>
      </w:r>
      <w:r w:rsidRPr="00634EAD">
        <w:rPr>
          <w:lang w:val="en-CA"/>
        </w:rPr>
        <w:t xml:space="preserve"> sequences of the plants and developing seed banks to preserve each species. The North American Orchid Conservation Centre</w:t>
      </w:r>
      <w:r w:rsidR="00981B18">
        <w:rPr>
          <w:lang w:val="en-CA"/>
        </w:rPr>
        <w:t>,</w:t>
      </w:r>
      <w:r w:rsidRPr="00634EAD">
        <w:rPr>
          <w:lang w:val="en-CA"/>
        </w:rPr>
        <w:t xml:space="preserve"> a partnership created to ensure the survival of orchids native to North America, developed an orchid seed bank</w:t>
      </w:r>
      <w:r w:rsidR="00981B18">
        <w:rPr>
          <w:lang w:val="en-CA"/>
        </w:rPr>
        <w:t xml:space="preserve"> to function alongside </w:t>
      </w:r>
      <w:r w:rsidRPr="00634EAD">
        <w:rPr>
          <w:lang w:val="en-CA"/>
        </w:rPr>
        <w:t>global seed banks and a Canadian government seed bank</w:t>
      </w:r>
      <w:r w:rsidR="00981B18">
        <w:rPr>
          <w:lang w:val="en-CA"/>
        </w:rPr>
        <w:t>,</w:t>
      </w:r>
      <w:r w:rsidRPr="00634EAD">
        <w:rPr>
          <w:lang w:val="en-CA"/>
        </w:rPr>
        <w:t xml:space="preserve"> </w:t>
      </w:r>
      <w:r w:rsidR="00981B18">
        <w:rPr>
          <w:lang w:val="en-CA"/>
        </w:rPr>
        <w:t>but even with all these resources in place</w:t>
      </w:r>
      <w:r w:rsidRPr="00634EAD">
        <w:rPr>
          <w:lang w:val="en-CA"/>
        </w:rPr>
        <w:t xml:space="preserve">, many questions </w:t>
      </w:r>
      <w:r w:rsidR="00981B18">
        <w:rPr>
          <w:lang w:val="en-CA"/>
        </w:rPr>
        <w:t>remained</w:t>
      </w:r>
      <w:r w:rsidRPr="00634EAD">
        <w:rPr>
          <w:lang w:val="en-CA"/>
        </w:rPr>
        <w:t xml:space="preserve"> unanswered</w:t>
      </w:r>
      <w:r w:rsidR="002033EE">
        <w:rPr>
          <w:lang w:val="en-CA"/>
        </w:rPr>
        <w:t>,</w:t>
      </w:r>
      <w:r w:rsidR="00981B18">
        <w:rPr>
          <w:lang w:val="en-CA"/>
        </w:rPr>
        <w:t xml:space="preserve"> and </w:t>
      </w:r>
      <w:r w:rsidR="002033EE">
        <w:rPr>
          <w:lang w:val="en-CA"/>
        </w:rPr>
        <w:t xml:space="preserve">since </w:t>
      </w:r>
      <w:r w:rsidR="002033EE" w:rsidRPr="00634EAD">
        <w:rPr>
          <w:lang w:val="en-CA"/>
        </w:rPr>
        <w:t>their needs varied greatly</w:t>
      </w:r>
      <w:r w:rsidR="002033EE">
        <w:rPr>
          <w:lang w:val="en-CA"/>
        </w:rPr>
        <w:t xml:space="preserve">, </w:t>
      </w:r>
      <w:r w:rsidR="00981B18">
        <w:rPr>
          <w:lang w:val="en-CA"/>
        </w:rPr>
        <w:t>t</w:t>
      </w:r>
      <w:r w:rsidRPr="00634EAD">
        <w:rPr>
          <w:lang w:val="en-CA"/>
        </w:rPr>
        <w:t xml:space="preserve">here was no single best way to preserve the specimens and then germinate and grow them in the future. </w:t>
      </w:r>
      <w:r w:rsidR="00981B18">
        <w:rPr>
          <w:lang w:val="en-CA"/>
        </w:rPr>
        <w:t xml:space="preserve">Generally, </w:t>
      </w:r>
      <w:r w:rsidR="00920B8B">
        <w:rPr>
          <w:lang w:val="en-CA"/>
        </w:rPr>
        <w:t>compared to terrestrial orchids,</w:t>
      </w:r>
      <w:r w:rsidR="00981B18">
        <w:rPr>
          <w:lang w:val="en-CA"/>
        </w:rPr>
        <w:t xml:space="preserve"> e</w:t>
      </w:r>
      <w:r w:rsidRPr="00634EAD">
        <w:rPr>
          <w:lang w:val="en-CA"/>
        </w:rPr>
        <w:t>piphytic orchids were</w:t>
      </w:r>
      <w:r w:rsidR="00981B18">
        <w:rPr>
          <w:lang w:val="en-CA"/>
        </w:rPr>
        <w:t xml:space="preserve"> </w:t>
      </w:r>
      <w:r w:rsidRPr="00634EAD">
        <w:rPr>
          <w:lang w:val="en-CA"/>
        </w:rPr>
        <w:t>easier to propagate</w:t>
      </w:r>
      <w:r w:rsidR="00920B8B">
        <w:rPr>
          <w:lang w:val="en-CA"/>
        </w:rPr>
        <w:t>.</w:t>
      </w:r>
    </w:p>
    <w:p w14:paraId="6DC579A7" w14:textId="77777777" w:rsidR="003B1BDC" w:rsidRDefault="003B1BDC" w:rsidP="003B1BDC">
      <w:pPr>
        <w:pStyle w:val="BodyTextMain"/>
        <w:rPr>
          <w:lang w:val="en-CA"/>
        </w:rPr>
      </w:pPr>
    </w:p>
    <w:p w14:paraId="4BD8EDA2" w14:textId="77777777" w:rsidR="003B1BDC" w:rsidRPr="00634EAD" w:rsidRDefault="003B1BDC" w:rsidP="003B1BDC">
      <w:pPr>
        <w:pStyle w:val="BodyTextMain"/>
        <w:rPr>
          <w:lang w:val="en-CA"/>
        </w:rPr>
      </w:pPr>
    </w:p>
    <w:p w14:paraId="5C214454" w14:textId="77777777" w:rsidR="003B1BDC" w:rsidRPr="00DE234A" w:rsidRDefault="003B1BDC" w:rsidP="003B1BDC">
      <w:pPr>
        <w:pStyle w:val="Casehead1"/>
        <w:rPr>
          <w:lang w:val="en-CA"/>
        </w:rPr>
      </w:pPr>
      <w:r w:rsidRPr="00DE234A">
        <w:rPr>
          <w:lang w:val="en-CA"/>
        </w:rPr>
        <w:t>The Alberta Economy</w:t>
      </w:r>
    </w:p>
    <w:p w14:paraId="03473A9D" w14:textId="77777777" w:rsidR="003B1BDC" w:rsidRPr="003B1BDC" w:rsidRDefault="003B1BDC" w:rsidP="003B1BDC">
      <w:pPr>
        <w:pStyle w:val="BodyTextMain"/>
      </w:pPr>
    </w:p>
    <w:p w14:paraId="5EA04252" w14:textId="2E7AD373" w:rsidR="003B1BDC" w:rsidRPr="00634EAD" w:rsidRDefault="003B1BDC" w:rsidP="003B1BDC">
      <w:pPr>
        <w:pStyle w:val="BodyTextMain"/>
        <w:rPr>
          <w:lang w:val="en-CA"/>
        </w:rPr>
      </w:pPr>
      <w:r w:rsidRPr="00634EAD">
        <w:rPr>
          <w:lang w:val="en-CA"/>
        </w:rPr>
        <w:t>In the fall of 2014</w:t>
      </w:r>
      <w:r w:rsidR="00075987">
        <w:rPr>
          <w:lang w:val="en-CA"/>
        </w:rPr>
        <w:t>,</w:t>
      </w:r>
      <w:r w:rsidRPr="00634EAD">
        <w:rPr>
          <w:lang w:val="en-CA"/>
        </w:rPr>
        <w:t xml:space="preserve"> the </w:t>
      </w:r>
      <w:r w:rsidR="00075987">
        <w:rPr>
          <w:lang w:val="en-CA"/>
        </w:rPr>
        <w:t xml:space="preserve">provincial </w:t>
      </w:r>
      <w:r w:rsidRPr="00634EAD">
        <w:rPr>
          <w:lang w:val="en-CA"/>
        </w:rPr>
        <w:t>economy in Alberta was strong. It was heavily reliant on the oil and gas industry</w:t>
      </w:r>
      <w:r w:rsidR="00075987">
        <w:rPr>
          <w:lang w:val="en-CA"/>
        </w:rPr>
        <w:t>,</w:t>
      </w:r>
      <w:r w:rsidRPr="00634EAD">
        <w:rPr>
          <w:lang w:val="en-CA"/>
        </w:rPr>
        <w:t xml:space="preserve"> which was doing well. </w:t>
      </w:r>
      <w:r w:rsidR="002033EE">
        <w:rPr>
          <w:lang w:val="en-CA"/>
        </w:rPr>
        <w:t>In its 2014 fourth-</w:t>
      </w:r>
      <w:r w:rsidR="00075987">
        <w:rPr>
          <w:lang w:val="en-CA"/>
        </w:rPr>
        <w:t>quarter outlook report, t</w:t>
      </w:r>
      <w:r w:rsidRPr="00634EAD">
        <w:rPr>
          <w:lang w:val="en-CA"/>
        </w:rPr>
        <w:t>he A</w:t>
      </w:r>
      <w:r>
        <w:rPr>
          <w:lang w:val="en-CA"/>
        </w:rPr>
        <w:t xml:space="preserve">lberta </w:t>
      </w:r>
      <w:r w:rsidRPr="00634EAD">
        <w:rPr>
          <w:lang w:val="en-CA"/>
        </w:rPr>
        <w:t>T</w:t>
      </w:r>
      <w:r>
        <w:rPr>
          <w:lang w:val="en-CA"/>
        </w:rPr>
        <w:t>reasury Branch</w:t>
      </w:r>
      <w:r w:rsidR="003B511D">
        <w:rPr>
          <w:lang w:val="en-CA"/>
        </w:rPr>
        <w:t>es (ATB)</w:t>
      </w:r>
      <w:r>
        <w:rPr>
          <w:lang w:val="en-CA"/>
        </w:rPr>
        <w:t>’s</w:t>
      </w:r>
      <w:r w:rsidRPr="00634EAD">
        <w:rPr>
          <w:lang w:val="en-CA"/>
        </w:rPr>
        <w:t xml:space="preserve"> Financial Economics and Research Group had glowing things to say about the </w:t>
      </w:r>
      <w:r w:rsidR="00075987">
        <w:rPr>
          <w:lang w:val="en-CA"/>
        </w:rPr>
        <w:t xml:space="preserve">province’s </w:t>
      </w:r>
      <w:r w:rsidRPr="00634EAD">
        <w:rPr>
          <w:lang w:val="en-CA"/>
        </w:rPr>
        <w:t>economy</w:t>
      </w:r>
      <w:r w:rsidR="00075987">
        <w:rPr>
          <w:lang w:val="en-CA"/>
        </w:rPr>
        <w:t>.</w:t>
      </w:r>
      <w:r w:rsidR="00F0518F" w:rsidRPr="00F0518F">
        <w:rPr>
          <w:lang w:val="en-CA"/>
        </w:rPr>
        <w:t xml:space="preserve"> </w:t>
      </w:r>
      <w:r w:rsidR="00F0518F" w:rsidRPr="00634EAD">
        <w:rPr>
          <w:lang w:val="en-CA"/>
        </w:rPr>
        <w:t xml:space="preserve">ATB predicted real </w:t>
      </w:r>
      <w:r w:rsidR="00F0518F">
        <w:rPr>
          <w:lang w:val="en-CA"/>
        </w:rPr>
        <w:t>g</w:t>
      </w:r>
      <w:r w:rsidR="00F0518F" w:rsidRPr="00634EAD">
        <w:rPr>
          <w:lang w:val="en-CA"/>
        </w:rPr>
        <w:t xml:space="preserve">ross </w:t>
      </w:r>
      <w:r w:rsidR="00F0518F">
        <w:rPr>
          <w:lang w:val="en-CA"/>
        </w:rPr>
        <w:t>d</w:t>
      </w:r>
      <w:r w:rsidR="00F0518F" w:rsidRPr="00634EAD">
        <w:rPr>
          <w:lang w:val="en-CA"/>
        </w:rPr>
        <w:t xml:space="preserve">omestic </w:t>
      </w:r>
      <w:r w:rsidR="00F0518F">
        <w:rPr>
          <w:lang w:val="en-CA"/>
        </w:rPr>
        <w:t>p</w:t>
      </w:r>
      <w:r w:rsidR="00F0518F" w:rsidRPr="00634EAD">
        <w:rPr>
          <w:lang w:val="en-CA"/>
        </w:rPr>
        <w:t>roduct (GDP) growth increases of 3.6</w:t>
      </w:r>
      <w:r w:rsidR="00F0518F">
        <w:rPr>
          <w:lang w:val="en-CA"/>
        </w:rPr>
        <w:t xml:space="preserve"> per cent</w:t>
      </w:r>
      <w:r w:rsidR="00F0518F" w:rsidRPr="00634EAD">
        <w:rPr>
          <w:lang w:val="en-CA"/>
        </w:rPr>
        <w:t xml:space="preserve"> in 2015 and 3.7</w:t>
      </w:r>
      <w:r w:rsidR="00F0518F">
        <w:rPr>
          <w:lang w:val="en-CA"/>
        </w:rPr>
        <w:t xml:space="preserve"> per cent</w:t>
      </w:r>
      <w:r w:rsidR="00F0518F" w:rsidRPr="00634EAD">
        <w:rPr>
          <w:lang w:val="en-CA"/>
        </w:rPr>
        <w:t xml:space="preserve"> in 2016. It also predicted that in</w:t>
      </w:r>
      <w:r w:rsidR="002033EE">
        <w:rPr>
          <w:lang w:val="en-CA"/>
        </w:rPr>
        <w:t>flation would remain in the mid-2-</w:t>
      </w:r>
      <w:r w:rsidR="00F0518F" w:rsidRPr="00634EAD">
        <w:rPr>
          <w:lang w:val="en-CA"/>
        </w:rPr>
        <w:t>per</w:t>
      </w:r>
      <w:r w:rsidR="002033EE">
        <w:rPr>
          <w:lang w:val="en-CA"/>
        </w:rPr>
        <w:t>-</w:t>
      </w:r>
      <w:r w:rsidR="00F0518F" w:rsidRPr="00634EAD">
        <w:rPr>
          <w:lang w:val="en-CA"/>
        </w:rPr>
        <w:t>cent range and that the unemployment r</w:t>
      </w:r>
      <w:r w:rsidR="002033EE">
        <w:rPr>
          <w:lang w:val="en-CA"/>
        </w:rPr>
        <w:t>ate would remain low in the mid-</w:t>
      </w:r>
      <w:r w:rsidR="00F0518F" w:rsidRPr="00634EAD">
        <w:rPr>
          <w:lang w:val="en-CA"/>
        </w:rPr>
        <w:t>4</w:t>
      </w:r>
      <w:r w:rsidR="002033EE">
        <w:rPr>
          <w:lang w:val="en-CA"/>
        </w:rPr>
        <w:t>-per-</w:t>
      </w:r>
      <w:r w:rsidR="00F0518F">
        <w:rPr>
          <w:lang w:val="en-CA"/>
        </w:rPr>
        <w:t>cent</w:t>
      </w:r>
      <w:r w:rsidR="002033EE">
        <w:rPr>
          <w:lang w:val="en-CA"/>
        </w:rPr>
        <w:t xml:space="preserve"> range. </w:t>
      </w:r>
      <w:r w:rsidR="00F0518F">
        <w:rPr>
          <w:lang w:val="en-CA"/>
        </w:rPr>
        <w:t>The province’s p</w:t>
      </w:r>
      <w:r w:rsidR="00F0518F" w:rsidRPr="00634EAD">
        <w:rPr>
          <w:lang w:val="en-CA"/>
        </w:rPr>
        <w:t xml:space="preserve">opulation was growing due to </w:t>
      </w:r>
      <w:r w:rsidR="00093E6D" w:rsidRPr="004B21D9">
        <w:rPr>
          <w:lang w:val="en-CA"/>
        </w:rPr>
        <w:t>i</w:t>
      </w:r>
      <w:r w:rsidR="003B511D">
        <w:rPr>
          <w:lang w:val="en-CA"/>
        </w:rPr>
        <w:t>m</w:t>
      </w:r>
      <w:r w:rsidR="00093E6D" w:rsidRPr="004B21D9">
        <w:rPr>
          <w:lang w:val="en-CA"/>
        </w:rPr>
        <w:t>migration</w:t>
      </w:r>
      <w:r w:rsidR="00F0518F" w:rsidRPr="00671293">
        <w:rPr>
          <w:lang w:val="en-CA"/>
        </w:rPr>
        <w:t>,</w:t>
      </w:r>
      <w:r w:rsidR="00F0518F" w:rsidRPr="00634EAD">
        <w:rPr>
          <w:lang w:val="en-CA"/>
        </w:rPr>
        <w:t xml:space="preserve"> and this </w:t>
      </w:r>
      <w:r w:rsidR="00F0518F">
        <w:rPr>
          <w:lang w:val="en-CA"/>
        </w:rPr>
        <w:t xml:space="preserve">trend </w:t>
      </w:r>
      <w:r w:rsidR="00014979">
        <w:rPr>
          <w:lang w:val="en-CA"/>
        </w:rPr>
        <w:t xml:space="preserve">was predicted to continue. </w:t>
      </w:r>
      <w:r w:rsidR="00F0518F">
        <w:rPr>
          <w:lang w:val="en-CA"/>
        </w:rPr>
        <w:t>A</w:t>
      </w:r>
      <w:r w:rsidR="00F0518F" w:rsidRPr="00634EAD">
        <w:rPr>
          <w:lang w:val="en-CA"/>
        </w:rPr>
        <w:t xml:space="preserve">s </w:t>
      </w:r>
      <w:r w:rsidR="00014979">
        <w:rPr>
          <w:lang w:val="en-CA"/>
        </w:rPr>
        <w:t>mentioned</w:t>
      </w:r>
      <w:r w:rsidR="00F0518F" w:rsidRPr="00634EAD">
        <w:rPr>
          <w:lang w:val="en-CA"/>
        </w:rPr>
        <w:t xml:space="preserve"> in the ATB report, </w:t>
      </w:r>
      <w:r w:rsidR="00F0518F">
        <w:rPr>
          <w:lang w:val="en-CA"/>
        </w:rPr>
        <w:t>t</w:t>
      </w:r>
      <w:r w:rsidR="00F0518F" w:rsidRPr="00634EAD">
        <w:rPr>
          <w:lang w:val="en-CA"/>
        </w:rPr>
        <w:t>he Canadian Fed</w:t>
      </w:r>
      <w:r w:rsidR="00F0518F">
        <w:rPr>
          <w:lang w:val="en-CA"/>
        </w:rPr>
        <w:t>eration of Independent Business</w:t>
      </w:r>
      <w:r w:rsidR="00F0518F" w:rsidRPr="00634EAD">
        <w:rPr>
          <w:lang w:val="en-CA"/>
        </w:rPr>
        <w:t xml:space="preserve"> </w:t>
      </w:r>
      <w:r w:rsidR="00014979">
        <w:rPr>
          <w:lang w:val="en-CA"/>
        </w:rPr>
        <w:t>noted</w:t>
      </w:r>
      <w:r w:rsidR="00F0518F" w:rsidRPr="00634EAD">
        <w:rPr>
          <w:lang w:val="en-CA"/>
        </w:rPr>
        <w:t xml:space="preserve"> that business owners had a high degree of optimism about future sales. The major risk for the economy was the ever-present potential for a drop in oil prices.</w:t>
      </w:r>
      <w:r w:rsidRPr="00634EAD">
        <w:rPr>
          <w:rStyle w:val="FootnoteReference"/>
          <w:sz w:val="24"/>
          <w:lang w:val="en-CA"/>
        </w:rPr>
        <w:footnoteReference w:id="8"/>
      </w:r>
      <w:r w:rsidRPr="00634EAD">
        <w:rPr>
          <w:lang w:val="en-CA"/>
        </w:rPr>
        <w:t xml:space="preserve"> </w:t>
      </w:r>
    </w:p>
    <w:p w14:paraId="451D20DA" w14:textId="77777777" w:rsidR="003B1BDC" w:rsidRPr="003B1BDC" w:rsidRDefault="003B1BDC" w:rsidP="003B1BDC">
      <w:pPr>
        <w:pStyle w:val="BodyTextMain"/>
      </w:pPr>
    </w:p>
    <w:p w14:paraId="09822C9B" w14:textId="77777777" w:rsidR="003B1BDC" w:rsidRPr="003B1BDC" w:rsidRDefault="003B1BDC" w:rsidP="003B1BDC">
      <w:pPr>
        <w:pStyle w:val="BodyTextMain"/>
      </w:pPr>
    </w:p>
    <w:p w14:paraId="61F5EEE1" w14:textId="77777777" w:rsidR="003B1BDC" w:rsidRPr="00DE234A" w:rsidRDefault="003B1BDC" w:rsidP="003B1BDC">
      <w:pPr>
        <w:pStyle w:val="Casehead1"/>
        <w:rPr>
          <w:lang w:val="en-CA"/>
        </w:rPr>
      </w:pPr>
      <w:r w:rsidRPr="00DE234A">
        <w:rPr>
          <w:lang w:val="en-CA"/>
        </w:rPr>
        <w:t xml:space="preserve">World Trade and Commercial Use </w:t>
      </w:r>
      <w:r w:rsidRPr="001407A8">
        <w:rPr>
          <w:lang w:val="en-CA"/>
        </w:rPr>
        <w:t>of Orchids</w:t>
      </w:r>
    </w:p>
    <w:p w14:paraId="32DA0CE6" w14:textId="77777777" w:rsidR="003B1BDC" w:rsidRPr="00634EAD" w:rsidRDefault="003B1BDC" w:rsidP="003B1BDC">
      <w:pPr>
        <w:pStyle w:val="BodyTextMain"/>
        <w:rPr>
          <w:lang w:val="en-CA"/>
        </w:rPr>
      </w:pPr>
    </w:p>
    <w:p w14:paraId="722DA141" w14:textId="77777777" w:rsidR="003B1BDC" w:rsidRPr="00634EAD" w:rsidRDefault="003B1BDC" w:rsidP="003B1BDC">
      <w:pPr>
        <w:pStyle w:val="BodyTextMain"/>
        <w:rPr>
          <w:lang w:val="en-CA"/>
        </w:rPr>
      </w:pPr>
      <w:r w:rsidRPr="00634EAD">
        <w:rPr>
          <w:lang w:val="en-CA"/>
        </w:rPr>
        <w:t xml:space="preserve">International trade in live orchids was </w:t>
      </w:r>
      <w:r w:rsidR="00A648A3">
        <w:rPr>
          <w:lang w:val="en-CA"/>
        </w:rPr>
        <w:t>big</w:t>
      </w:r>
      <w:r w:rsidRPr="00634EAD">
        <w:rPr>
          <w:lang w:val="en-CA"/>
        </w:rPr>
        <w:t xml:space="preserve"> business. In 2013</w:t>
      </w:r>
      <w:r w:rsidR="00AB410B">
        <w:rPr>
          <w:lang w:val="en-CA"/>
        </w:rPr>
        <w:t>,</w:t>
      </w:r>
      <w:r w:rsidRPr="00634EAD">
        <w:rPr>
          <w:lang w:val="en-CA"/>
        </w:rPr>
        <w:t xml:space="preserve"> </w:t>
      </w:r>
      <w:r w:rsidR="00AB410B">
        <w:rPr>
          <w:lang w:val="en-CA"/>
        </w:rPr>
        <w:t>t</w:t>
      </w:r>
      <w:r w:rsidRPr="00634EAD">
        <w:rPr>
          <w:lang w:val="en-CA"/>
        </w:rPr>
        <w:t xml:space="preserve">he United Nations Commodity Trade Statistics </w:t>
      </w:r>
      <w:r w:rsidRPr="003B511D">
        <w:t>Database</w:t>
      </w:r>
      <w:r w:rsidR="00550BA7" w:rsidRPr="003B511D">
        <w:t xml:space="preserve"> listed total world exports of orchids </w:t>
      </w:r>
      <w:r w:rsidR="003C01B3" w:rsidRPr="003B511D">
        <w:t>at US$208 million, while</w:t>
      </w:r>
      <w:r w:rsidR="00550BA7" w:rsidRPr="003B511D">
        <w:t xml:space="preserve"> Canada imported just under 1.5 per cent of this </w:t>
      </w:r>
      <w:r w:rsidR="003C01B3" w:rsidRPr="003B511D">
        <w:t xml:space="preserve">amount </w:t>
      </w:r>
      <w:r w:rsidR="00550BA7" w:rsidRPr="003B511D">
        <w:t>at US$2.9 million.</w:t>
      </w:r>
      <w:r w:rsidRPr="003B511D">
        <w:rPr>
          <w:vertAlign w:val="superscript"/>
        </w:rPr>
        <w:footnoteReference w:id="9"/>
      </w:r>
      <w:r w:rsidRPr="003B511D">
        <w:t xml:space="preserve"> The </w:t>
      </w:r>
      <w:r w:rsidR="00AB410B" w:rsidRPr="003B511D">
        <w:t xml:space="preserve">top </w:t>
      </w:r>
      <w:r w:rsidRPr="003B511D">
        <w:t>eight import</w:t>
      </w:r>
      <w:r w:rsidR="00AB410B" w:rsidRPr="003B511D">
        <w:t>ers</w:t>
      </w:r>
      <w:r w:rsidRPr="003B511D">
        <w:t xml:space="preserve"> and export</w:t>
      </w:r>
      <w:r w:rsidR="00AB410B" w:rsidRPr="003B511D">
        <w:t>ers</w:t>
      </w:r>
      <w:r w:rsidRPr="003B511D">
        <w:t xml:space="preserve"> </w:t>
      </w:r>
      <w:r w:rsidR="00AB410B" w:rsidRPr="003B511D">
        <w:t xml:space="preserve">of orchids </w:t>
      </w:r>
      <w:r w:rsidRPr="003B511D">
        <w:t>are shown in</w:t>
      </w:r>
      <w:r w:rsidRPr="00634EAD">
        <w:rPr>
          <w:lang w:val="en-CA"/>
        </w:rPr>
        <w:t xml:space="preserve"> </w:t>
      </w:r>
      <w:r w:rsidR="002204DF">
        <w:rPr>
          <w:lang w:val="en-CA"/>
        </w:rPr>
        <w:t>Exhibit</w:t>
      </w:r>
      <w:r w:rsidRPr="00634EAD">
        <w:rPr>
          <w:lang w:val="en-CA"/>
        </w:rPr>
        <w:t xml:space="preserve"> </w:t>
      </w:r>
      <w:r w:rsidR="00DA3120">
        <w:rPr>
          <w:lang w:val="en-CA"/>
        </w:rPr>
        <w:t>6</w:t>
      </w:r>
      <w:r w:rsidRPr="00634EAD">
        <w:rPr>
          <w:lang w:val="en-CA"/>
        </w:rPr>
        <w:t xml:space="preserve">. </w:t>
      </w:r>
    </w:p>
    <w:p w14:paraId="5B902250" w14:textId="77777777" w:rsidR="003B1BDC" w:rsidRPr="00634EAD" w:rsidRDefault="003B1BDC" w:rsidP="003B1BDC">
      <w:pPr>
        <w:pStyle w:val="BodyTextMain"/>
        <w:rPr>
          <w:lang w:val="en-CA"/>
        </w:rPr>
      </w:pPr>
    </w:p>
    <w:p w14:paraId="43813FE3" w14:textId="75334043" w:rsidR="003B1BDC" w:rsidRPr="00634EAD" w:rsidRDefault="003B1BDC" w:rsidP="002D5148">
      <w:pPr>
        <w:pStyle w:val="BodyTextMain"/>
        <w:rPr>
          <w:lang w:val="en-CA"/>
        </w:rPr>
      </w:pPr>
      <w:r w:rsidRPr="00634EAD">
        <w:rPr>
          <w:lang w:val="en-CA"/>
        </w:rPr>
        <w:t>The orchid was sold as a live plant</w:t>
      </w:r>
      <w:r w:rsidR="002B5B0A">
        <w:rPr>
          <w:lang w:val="en-CA"/>
        </w:rPr>
        <w:t xml:space="preserve"> and</w:t>
      </w:r>
      <w:r w:rsidRPr="00634EAD">
        <w:rPr>
          <w:lang w:val="en-CA"/>
        </w:rPr>
        <w:t xml:space="preserve"> used in ornamental floral arrangements</w:t>
      </w:r>
      <w:r w:rsidR="00552013">
        <w:rPr>
          <w:lang w:val="en-CA"/>
        </w:rPr>
        <w:t>; orchids were</w:t>
      </w:r>
      <w:r w:rsidRPr="00634EAD">
        <w:rPr>
          <w:lang w:val="en-CA"/>
        </w:rPr>
        <w:t xml:space="preserve"> also used in the pharmaceutical, food</w:t>
      </w:r>
      <w:r w:rsidR="00552013">
        <w:rPr>
          <w:lang w:val="en-CA"/>
        </w:rPr>
        <w:t>,</w:t>
      </w:r>
      <w:r w:rsidRPr="00634EAD">
        <w:rPr>
          <w:lang w:val="en-CA"/>
        </w:rPr>
        <w:t xml:space="preserve"> and fragrance industries. </w:t>
      </w:r>
      <w:r w:rsidR="00552013">
        <w:rPr>
          <w:lang w:val="en-CA"/>
        </w:rPr>
        <w:t>Growing and selling l</w:t>
      </w:r>
      <w:r w:rsidRPr="00634EAD">
        <w:rPr>
          <w:lang w:val="en-CA"/>
        </w:rPr>
        <w:t>ive orchids w</w:t>
      </w:r>
      <w:r w:rsidR="00552013">
        <w:rPr>
          <w:lang w:val="en-CA"/>
        </w:rPr>
        <w:t>as</w:t>
      </w:r>
      <w:r w:rsidRPr="00634EAD">
        <w:rPr>
          <w:lang w:val="en-CA"/>
        </w:rPr>
        <w:t xml:space="preserve"> a factory business</w:t>
      </w:r>
      <w:r w:rsidR="00552013">
        <w:rPr>
          <w:lang w:val="en-CA"/>
        </w:rPr>
        <w:t>,</w:t>
      </w:r>
      <w:r w:rsidRPr="00634EAD">
        <w:rPr>
          <w:lang w:val="en-CA"/>
        </w:rPr>
        <w:t xml:space="preserve"> </w:t>
      </w:r>
      <w:r w:rsidR="00B85DC9">
        <w:rPr>
          <w:lang w:val="en-CA"/>
        </w:rPr>
        <w:t>and</w:t>
      </w:r>
      <w:r w:rsidR="00B85DC9" w:rsidRPr="00634EAD">
        <w:rPr>
          <w:lang w:val="en-CA"/>
        </w:rPr>
        <w:t xml:space="preserve"> </w:t>
      </w:r>
      <w:r w:rsidRPr="00634EAD">
        <w:rPr>
          <w:lang w:val="en-CA"/>
        </w:rPr>
        <w:t xml:space="preserve">the plants </w:t>
      </w:r>
      <w:r w:rsidR="00B85DC9">
        <w:rPr>
          <w:lang w:val="en-CA"/>
        </w:rPr>
        <w:t>were</w:t>
      </w:r>
      <w:r w:rsidR="00B85DC9" w:rsidRPr="00634EAD">
        <w:rPr>
          <w:lang w:val="en-CA"/>
        </w:rPr>
        <w:t xml:space="preserve"> </w:t>
      </w:r>
      <w:r w:rsidRPr="00634EAD">
        <w:rPr>
          <w:lang w:val="en-CA"/>
        </w:rPr>
        <w:t xml:space="preserve">grown in large greenhouses. </w:t>
      </w:r>
      <w:r w:rsidR="00552013">
        <w:rPr>
          <w:lang w:val="en-CA"/>
        </w:rPr>
        <w:t>Chinese medicine constituted t</w:t>
      </w:r>
      <w:r w:rsidRPr="00634EAD">
        <w:rPr>
          <w:lang w:val="en-CA"/>
        </w:rPr>
        <w:t>he main use</w:t>
      </w:r>
      <w:r w:rsidR="00552013">
        <w:rPr>
          <w:lang w:val="en-CA"/>
        </w:rPr>
        <w:t>r</w:t>
      </w:r>
      <w:r w:rsidRPr="00634EAD">
        <w:rPr>
          <w:lang w:val="en-CA"/>
        </w:rPr>
        <w:t xml:space="preserve"> of orchids as pharmaceuticals</w:t>
      </w:r>
      <w:r w:rsidR="004B0845">
        <w:rPr>
          <w:lang w:val="en-CA"/>
        </w:rPr>
        <w:t xml:space="preserve">, and China grew </w:t>
      </w:r>
      <w:r w:rsidR="004B0845" w:rsidRPr="00634EAD">
        <w:rPr>
          <w:lang w:val="en-CA"/>
        </w:rPr>
        <w:t>three species of orchids</w:t>
      </w:r>
      <w:r w:rsidR="004B0845">
        <w:rPr>
          <w:lang w:val="en-CA"/>
        </w:rPr>
        <w:t xml:space="preserve"> on a commercial basis for use in the herbal medicine industry for treatment of a wide range of health issues.</w:t>
      </w:r>
      <w:r w:rsidRPr="00634EAD">
        <w:rPr>
          <w:rStyle w:val="FootnoteReference"/>
          <w:sz w:val="24"/>
          <w:lang w:val="en-CA"/>
        </w:rPr>
        <w:footnoteReference w:id="10"/>
      </w:r>
      <w:r w:rsidRPr="00634EAD">
        <w:rPr>
          <w:lang w:val="en-CA"/>
        </w:rPr>
        <w:t xml:space="preserve"> </w:t>
      </w:r>
    </w:p>
    <w:p w14:paraId="2FC62426" w14:textId="77777777" w:rsidR="003B1BDC" w:rsidRPr="00634EAD" w:rsidRDefault="003B1BDC" w:rsidP="003B1BDC">
      <w:pPr>
        <w:pStyle w:val="BodyTextMain"/>
        <w:rPr>
          <w:lang w:val="en-CA"/>
        </w:rPr>
      </w:pPr>
      <w:r w:rsidRPr="00634EAD">
        <w:rPr>
          <w:lang w:val="en-CA"/>
        </w:rPr>
        <w:lastRenderedPageBreak/>
        <w:t xml:space="preserve">World trade in orchids was </w:t>
      </w:r>
      <w:r w:rsidR="00B85DC9">
        <w:rPr>
          <w:lang w:val="en-CA"/>
        </w:rPr>
        <w:t xml:space="preserve">a </w:t>
      </w:r>
      <w:r w:rsidRPr="00634EAD">
        <w:rPr>
          <w:lang w:val="en-CA"/>
        </w:rPr>
        <w:t>restricted</w:t>
      </w:r>
      <w:r w:rsidR="00B85DC9">
        <w:rPr>
          <w:lang w:val="en-CA"/>
        </w:rPr>
        <w:t xml:space="preserve"> practice</w:t>
      </w:r>
      <w:r w:rsidRPr="00634EAD">
        <w:rPr>
          <w:lang w:val="en-CA"/>
        </w:rPr>
        <w:t xml:space="preserve">. The plants were subject to </w:t>
      </w:r>
      <w:r w:rsidR="009B5E6D">
        <w:rPr>
          <w:lang w:val="en-CA"/>
        </w:rPr>
        <w:t>the dictates of the Convention on International Trade of Endangered Species of Wild Fauna and Flora (</w:t>
      </w:r>
      <w:r w:rsidRPr="00634EAD">
        <w:rPr>
          <w:lang w:val="en-CA"/>
        </w:rPr>
        <w:t>CIT</w:t>
      </w:r>
      <w:r w:rsidR="009B5E6D">
        <w:rPr>
          <w:lang w:val="en-CA"/>
        </w:rPr>
        <w:t>ES),</w:t>
      </w:r>
      <w:r w:rsidRPr="00634EAD">
        <w:rPr>
          <w:rStyle w:val="FootnoteReference"/>
          <w:color w:val="000000"/>
          <w:sz w:val="24"/>
          <w:lang w:val="en-CA"/>
        </w:rPr>
        <w:footnoteReference w:id="11"/>
      </w:r>
      <w:r w:rsidRPr="00634EAD">
        <w:rPr>
          <w:lang w:val="en-CA"/>
        </w:rPr>
        <w:t xml:space="preserve"> of which Canada and the United States were some of the initial members in 1975. Appendix</w:t>
      </w:r>
      <w:r w:rsidR="009B5E6D">
        <w:rPr>
          <w:lang w:val="en-CA"/>
        </w:rPr>
        <w:t>es</w:t>
      </w:r>
      <w:r w:rsidRPr="00634EAD">
        <w:rPr>
          <w:lang w:val="en-CA"/>
        </w:rPr>
        <w:t xml:space="preserve"> I </w:t>
      </w:r>
      <w:r w:rsidR="009B5E6D">
        <w:rPr>
          <w:lang w:val="en-CA"/>
        </w:rPr>
        <w:t>and</w:t>
      </w:r>
      <w:r w:rsidRPr="00634EAD">
        <w:rPr>
          <w:lang w:val="en-CA"/>
        </w:rPr>
        <w:t xml:space="preserve"> II of th</w:t>
      </w:r>
      <w:r w:rsidR="00A2486C">
        <w:rPr>
          <w:lang w:val="en-CA"/>
        </w:rPr>
        <w:t>at</w:t>
      </w:r>
      <w:r w:rsidRPr="00634EAD">
        <w:rPr>
          <w:lang w:val="en-CA"/>
        </w:rPr>
        <w:t xml:space="preserve"> agreement listed </w:t>
      </w:r>
      <w:r w:rsidR="00DE5890">
        <w:rPr>
          <w:lang w:val="en-CA"/>
        </w:rPr>
        <w:t xml:space="preserve">all </w:t>
      </w:r>
      <w:r w:rsidRPr="00634EAD">
        <w:rPr>
          <w:lang w:val="en-CA"/>
        </w:rPr>
        <w:t>flora and fauna that were considered threatened in some way. All orchids were covered by the agreement</w:t>
      </w:r>
      <w:r w:rsidR="00DE5890">
        <w:rPr>
          <w:lang w:val="en-CA"/>
        </w:rPr>
        <w:t>,</w:t>
      </w:r>
      <w:r w:rsidRPr="00634EAD">
        <w:rPr>
          <w:lang w:val="en-CA"/>
        </w:rPr>
        <w:t xml:space="preserve"> and as such</w:t>
      </w:r>
      <w:r w:rsidR="00DE5890">
        <w:rPr>
          <w:lang w:val="en-CA"/>
        </w:rPr>
        <w:t>,</w:t>
      </w:r>
      <w:r w:rsidRPr="00634EAD">
        <w:rPr>
          <w:lang w:val="en-CA"/>
        </w:rPr>
        <w:t xml:space="preserve"> importers and exporters had to meet </w:t>
      </w:r>
      <w:r w:rsidR="00DE5890">
        <w:rPr>
          <w:lang w:val="en-CA"/>
        </w:rPr>
        <w:t xml:space="preserve">certain </w:t>
      </w:r>
      <w:r w:rsidRPr="00634EAD">
        <w:rPr>
          <w:lang w:val="en-CA"/>
        </w:rPr>
        <w:t>licensing restrictions when selling and transporting the flowers</w:t>
      </w:r>
      <w:r w:rsidR="00DE5890">
        <w:rPr>
          <w:lang w:val="en-CA"/>
        </w:rPr>
        <w:t>; t</w:t>
      </w:r>
      <w:r w:rsidRPr="00634EAD">
        <w:rPr>
          <w:lang w:val="en-CA"/>
        </w:rPr>
        <w:t xml:space="preserve">hese restrictions applied to both commercial and personal use. Nixon described the </w:t>
      </w:r>
      <w:r>
        <w:rPr>
          <w:lang w:val="en-CA"/>
        </w:rPr>
        <w:t xml:space="preserve">complicated and bureaucratic </w:t>
      </w:r>
      <w:r w:rsidRPr="00634EAD">
        <w:rPr>
          <w:lang w:val="en-CA"/>
        </w:rPr>
        <w:t>import and export process as “painful</w:t>
      </w:r>
      <w:r w:rsidR="00DE5890">
        <w:rPr>
          <w:lang w:val="en-CA"/>
        </w:rPr>
        <w:t>.</w:t>
      </w:r>
      <w:r w:rsidRPr="00634EAD">
        <w:rPr>
          <w:lang w:val="en-CA"/>
        </w:rPr>
        <w:t>”</w:t>
      </w:r>
    </w:p>
    <w:p w14:paraId="5F659DB2" w14:textId="77777777" w:rsidR="003B1BDC" w:rsidRDefault="003B1BDC" w:rsidP="003B1BDC">
      <w:pPr>
        <w:pStyle w:val="BodyTextMain"/>
        <w:rPr>
          <w:lang w:val="en-CA"/>
        </w:rPr>
      </w:pPr>
    </w:p>
    <w:p w14:paraId="585F91F9" w14:textId="77777777" w:rsidR="003B1BDC" w:rsidRPr="00634EAD" w:rsidRDefault="003B1BDC" w:rsidP="003B1BDC">
      <w:pPr>
        <w:pStyle w:val="BodyTextMain"/>
        <w:rPr>
          <w:lang w:val="en-CA"/>
        </w:rPr>
      </w:pPr>
    </w:p>
    <w:p w14:paraId="656FF544" w14:textId="77777777" w:rsidR="003B1BDC" w:rsidRPr="00DE234A" w:rsidRDefault="003B1BDC" w:rsidP="003B1BDC">
      <w:pPr>
        <w:pStyle w:val="Casehead1"/>
        <w:rPr>
          <w:lang w:val="en-CA"/>
        </w:rPr>
      </w:pPr>
      <w:r w:rsidRPr="00DE234A">
        <w:rPr>
          <w:lang w:val="en-CA"/>
        </w:rPr>
        <w:t>The Board and Volunteers</w:t>
      </w:r>
    </w:p>
    <w:p w14:paraId="13211C8E" w14:textId="77777777" w:rsidR="003B1BDC" w:rsidRPr="00837313" w:rsidRDefault="003B1BDC" w:rsidP="003B1BDC">
      <w:pPr>
        <w:pStyle w:val="BodyTextMain"/>
        <w:rPr>
          <w:lang w:val="en-CA"/>
        </w:rPr>
      </w:pPr>
    </w:p>
    <w:p w14:paraId="785127CF" w14:textId="2C420DCB" w:rsidR="00AB0729" w:rsidRDefault="003B1BDC" w:rsidP="003B1BDC">
      <w:pPr>
        <w:pStyle w:val="BodyTextMain"/>
        <w:rPr>
          <w:lang w:val="en-CA"/>
        </w:rPr>
      </w:pPr>
      <w:r w:rsidRPr="00634EAD">
        <w:rPr>
          <w:lang w:val="en-CA"/>
        </w:rPr>
        <w:t xml:space="preserve">The </w:t>
      </w:r>
      <w:r w:rsidR="005F39E5">
        <w:rPr>
          <w:lang w:val="en-CA"/>
        </w:rPr>
        <w:t>OSPF</w:t>
      </w:r>
      <w:r w:rsidR="005F39E5" w:rsidRPr="00634EAD">
        <w:rPr>
          <w:lang w:val="en-CA"/>
        </w:rPr>
        <w:t xml:space="preserve"> </w:t>
      </w:r>
      <w:r w:rsidRPr="00634EAD">
        <w:rPr>
          <w:lang w:val="en-CA"/>
        </w:rPr>
        <w:t xml:space="preserve">was a lean operation, run by volunteers </w:t>
      </w:r>
      <w:r w:rsidR="00DC6502">
        <w:rPr>
          <w:lang w:val="en-CA"/>
        </w:rPr>
        <w:t xml:space="preserve">who were </w:t>
      </w:r>
      <w:r w:rsidRPr="00634EAD">
        <w:rPr>
          <w:lang w:val="en-CA"/>
        </w:rPr>
        <w:t>driven by their love of orchids</w:t>
      </w:r>
      <w:r w:rsidR="00DC6502">
        <w:rPr>
          <w:lang w:val="en-CA"/>
        </w:rPr>
        <w:t>; the organization</w:t>
      </w:r>
      <w:r w:rsidRPr="00634EAD">
        <w:rPr>
          <w:lang w:val="en-CA"/>
        </w:rPr>
        <w:t xml:space="preserve"> had no paid employees. The </w:t>
      </w:r>
      <w:r w:rsidR="00DC6502">
        <w:rPr>
          <w:lang w:val="en-CA"/>
        </w:rPr>
        <w:t>b</w:t>
      </w:r>
      <w:r w:rsidRPr="00634EAD">
        <w:rPr>
          <w:lang w:val="en-CA"/>
        </w:rPr>
        <w:t xml:space="preserve">oard of </w:t>
      </w:r>
      <w:r w:rsidR="00DC6502">
        <w:rPr>
          <w:lang w:val="en-CA"/>
        </w:rPr>
        <w:t>d</w:t>
      </w:r>
      <w:r w:rsidRPr="00634EAD">
        <w:rPr>
          <w:lang w:val="en-CA"/>
        </w:rPr>
        <w:t xml:space="preserve">irectors, </w:t>
      </w:r>
      <w:r>
        <w:rPr>
          <w:lang w:val="en-CA"/>
        </w:rPr>
        <w:t>chaired by</w:t>
      </w:r>
      <w:r w:rsidR="00A354D0">
        <w:rPr>
          <w:lang w:val="en-CA"/>
        </w:rPr>
        <w:t xml:space="preserve"> Nixon</w:t>
      </w:r>
      <w:r w:rsidRPr="00634EAD">
        <w:rPr>
          <w:lang w:val="en-CA"/>
        </w:rPr>
        <w:t xml:space="preserve">, was composed of eight people (see </w:t>
      </w:r>
      <w:r w:rsidR="00BF3C2F">
        <w:rPr>
          <w:lang w:val="en-CA"/>
        </w:rPr>
        <w:t>Exhibit</w:t>
      </w:r>
      <w:r w:rsidRPr="00634EAD">
        <w:rPr>
          <w:lang w:val="en-CA"/>
        </w:rPr>
        <w:t xml:space="preserve"> </w:t>
      </w:r>
      <w:r w:rsidR="00DA3120">
        <w:rPr>
          <w:lang w:val="en-CA"/>
        </w:rPr>
        <w:t>7</w:t>
      </w:r>
      <w:r w:rsidRPr="00634EAD">
        <w:rPr>
          <w:lang w:val="en-CA"/>
        </w:rPr>
        <w:t>). Nixon observ</w:t>
      </w:r>
      <w:r w:rsidR="00AB0729">
        <w:rPr>
          <w:lang w:val="en-CA"/>
        </w:rPr>
        <w:t xml:space="preserve">ed </w:t>
      </w:r>
      <w:r w:rsidRPr="00634EAD">
        <w:rPr>
          <w:lang w:val="en-CA"/>
        </w:rPr>
        <w:t>that four people on the board were doing the majority of the work in moving the organization forward. He also noted that in order to take the big steps necessary to make the new centre a reality, the board members would need, at the very least, some board</w:t>
      </w:r>
      <w:r w:rsidR="00714C58">
        <w:rPr>
          <w:lang w:val="en-CA"/>
        </w:rPr>
        <w:t>-</w:t>
      </w:r>
      <w:r w:rsidRPr="00634EAD">
        <w:rPr>
          <w:lang w:val="en-CA"/>
        </w:rPr>
        <w:t xml:space="preserve">development assistance in order to improve their governance skills. </w:t>
      </w:r>
    </w:p>
    <w:p w14:paraId="5C712131" w14:textId="77777777" w:rsidR="00AB0729" w:rsidRDefault="00AB0729" w:rsidP="003B1BDC">
      <w:pPr>
        <w:pStyle w:val="BodyTextMain"/>
        <w:rPr>
          <w:lang w:val="en-CA"/>
        </w:rPr>
      </w:pPr>
    </w:p>
    <w:p w14:paraId="7B132B57" w14:textId="4DB07062" w:rsidR="003B1BDC" w:rsidRPr="00634EAD" w:rsidRDefault="003B1BDC" w:rsidP="003B1BDC">
      <w:pPr>
        <w:pStyle w:val="BodyTextMain"/>
        <w:rPr>
          <w:lang w:val="en-CA"/>
        </w:rPr>
      </w:pPr>
      <w:r w:rsidRPr="00634EAD">
        <w:rPr>
          <w:lang w:val="en-CA"/>
        </w:rPr>
        <w:t xml:space="preserve">Another area that </w:t>
      </w:r>
      <w:r w:rsidR="00AB0729">
        <w:rPr>
          <w:lang w:val="en-CA"/>
        </w:rPr>
        <w:t>Nixon</w:t>
      </w:r>
      <w:r w:rsidRPr="00634EAD">
        <w:rPr>
          <w:lang w:val="en-CA"/>
        </w:rPr>
        <w:t xml:space="preserve"> felt was lacking was </w:t>
      </w:r>
      <w:r w:rsidR="00AB0729">
        <w:rPr>
          <w:lang w:val="en-CA"/>
        </w:rPr>
        <w:t xml:space="preserve">OSPF’s </w:t>
      </w:r>
      <w:r w:rsidRPr="00634EAD">
        <w:rPr>
          <w:lang w:val="en-CA"/>
        </w:rPr>
        <w:t>connection with industry</w:t>
      </w:r>
      <w:r w:rsidR="0054535A">
        <w:rPr>
          <w:lang w:val="en-CA"/>
        </w:rPr>
        <w:t>—</w:t>
      </w:r>
      <w:r w:rsidR="003217F9">
        <w:rPr>
          <w:lang w:val="en-CA"/>
        </w:rPr>
        <w:t>a relationship that</w:t>
      </w:r>
      <w:r w:rsidR="00AB0729">
        <w:rPr>
          <w:lang w:val="en-CA"/>
        </w:rPr>
        <w:t xml:space="preserve"> </w:t>
      </w:r>
      <w:r w:rsidRPr="00634EAD">
        <w:rPr>
          <w:lang w:val="en-CA"/>
        </w:rPr>
        <w:t>would be critical to fundraising and to the operation of the other potential initiatives the board was considering. Nixon indicated that the board was “tied into groups that specialize in linking non-profits to granting agencies” at the federal, provincial, municipal</w:t>
      </w:r>
      <w:r w:rsidR="003217F9">
        <w:rPr>
          <w:lang w:val="en-CA"/>
        </w:rPr>
        <w:t>,</w:t>
      </w:r>
      <w:r w:rsidRPr="00634EAD">
        <w:rPr>
          <w:lang w:val="en-CA"/>
        </w:rPr>
        <w:t xml:space="preserve"> and private foundation levels. He </w:t>
      </w:r>
      <w:r w:rsidR="003217F9">
        <w:rPr>
          <w:lang w:val="en-CA"/>
        </w:rPr>
        <w:t xml:space="preserve">pointed out </w:t>
      </w:r>
      <w:r w:rsidRPr="00634EAD">
        <w:rPr>
          <w:lang w:val="en-CA"/>
        </w:rPr>
        <w:t xml:space="preserve">the fact that the group </w:t>
      </w:r>
      <w:r w:rsidR="003B511D">
        <w:rPr>
          <w:lang w:val="en-CA"/>
        </w:rPr>
        <w:t xml:space="preserve">had </w:t>
      </w:r>
      <w:r w:rsidRPr="00634EAD">
        <w:rPr>
          <w:lang w:val="en-CA"/>
        </w:rPr>
        <w:t>raised $450,000 in two years to fund the extension at the Muttart Conservatory.</w:t>
      </w:r>
    </w:p>
    <w:p w14:paraId="2972A0F1" w14:textId="77777777" w:rsidR="003B1BDC" w:rsidRPr="00634EAD" w:rsidRDefault="003B1BDC" w:rsidP="003B1BDC">
      <w:pPr>
        <w:pStyle w:val="BodyTextMain"/>
        <w:rPr>
          <w:lang w:val="en-CA"/>
        </w:rPr>
      </w:pPr>
    </w:p>
    <w:p w14:paraId="2D950C9A" w14:textId="5B61E498" w:rsidR="003B1BDC" w:rsidRPr="00634EAD" w:rsidRDefault="003B1BDC" w:rsidP="003B1BDC">
      <w:pPr>
        <w:pStyle w:val="BodyTextMain"/>
        <w:rPr>
          <w:lang w:val="en-CA"/>
        </w:rPr>
      </w:pPr>
      <w:r w:rsidRPr="00634EAD">
        <w:rPr>
          <w:lang w:val="en-CA"/>
        </w:rPr>
        <w:t>Nixon described the OSPF general volunteer base as “passionate but eroding</w:t>
      </w:r>
      <w:r w:rsidR="003217F9">
        <w:rPr>
          <w:lang w:val="en-CA"/>
        </w:rPr>
        <w:t>.</w:t>
      </w:r>
      <w:r w:rsidRPr="00634EAD">
        <w:rPr>
          <w:lang w:val="en-CA"/>
        </w:rPr>
        <w:t xml:space="preserve">” The </w:t>
      </w:r>
      <w:r w:rsidR="003217F9">
        <w:rPr>
          <w:lang w:val="en-CA"/>
        </w:rPr>
        <w:t>f</w:t>
      </w:r>
      <w:r w:rsidRPr="00634EAD">
        <w:rPr>
          <w:lang w:val="en-CA"/>
        </w:rPr>
        <w:t>oundation had a list of approximately 250 supporters</w:t>
      </w:r>
      <w:r w:rsidR="003217F9">
        <w:rPr>
          <w:lang w:val="en-CA"/>
        </w:rPr>
        <w:t>, m</w:t>
      </w:r>
      <w:r w:rsidRPr="00634EAD">
        <w:rPr>
          <w:lang w:val="en-CA"/>
        </w:rPr>
        <w:t xml:space="preserve">any of </w:t>
      </w:r>
      <w:r w:rsidR="003217F9">
        <w:rPr>
          <w:lang w:val="en-CA"/>
        </w:rPr>
        <w:t>whom</w:t>
      </w:r>
      <w:r w:rsidRPr="00634EAD">
        <w:rPr>
          <w:lang w:val="en-CA"/>
        </w:rPr>
        <w:t xml:space="preserve"> had become involved in the organization because they could gain hands-on experience working with orchids under the guidance of knowledgeable tutors, rather than just listening to experts talk and watching slide shows of orchids. They could</w:t>
      </w:r>
      <w:r w:rsidR="003217F9">
        <w:rPr>
          <w:lang w:val="en-CA"/>
        </w:rPr>
        <w:t xml:space="preserve"> </w:t>
      </w:r>
      <w:r w:rsidRPr="00634EAD">
        <w:rPr>
          <w:lang w:val="en-CA"/>
        </w:rPr>
        <w:t>literally get their hands dirty growing interesting orchids</w:t>
      </w:r>
      <w:r w:rsidR="003217F9">
        <w:rPr>
          <w:lang w:val="en-CA"/>
        </w:rPr>
        <w:t>,</w:t>
      </w:r>
      <w:r w:rsidRPr="00634EAD">
        <w:rPr>
          <w:lang w:val="en-CA"/>
        </w:rPr>
        <w:t xml:space="preserve"> which, according to Nixon, </w:t>
      </w:r>
      <w:r w:rsidR="003217F9">
        <w:rPr>
          <w:lang w:val="en-CA"/>
        </w:rPr>
        <w:t xml:space="preserve">were </w:t>
      </w:r>
      <w:r w:rsidRPr="00634EAD">
        <w:rPr>
          <w:lang w:val="en-CA"/>
        </w:rPr>
        <w:t>“the really weird ones, the kind you can’t get at Safeway</w:t>
      </w:r>
      <w:r w:rsidR="003217F9">
        <w:rPr>
          <w:lang w:val="en-CA"/>
        </w:rPr>
        <w:t>.</w:t>
      </w:r>
      <w:r w:rsidRPr="00634EAD">
        <w:rPr>
          <w:lang w:val="en-CA"/>
        </w:rPr>
        <w:t>”</w:t>
      </w:r>
    </w:p>
    <w:p w14:paraId="4A113B9F" w14:textId="77777777" w:rsidR="003B1BDC" w:rsidRPr="00634EAD" w:rsidRDefault="003B1BDC" w:rsidP="003B1BDC">
      <w:pPr>
        <w:pStyle w:val="BodyTextMain"/>
        <w:rPr>
          <w:lang w:val="en-CA"/>
        </w:rPr>
      </w:pPr>
    </w:p>
    <w:p w14:paraId="12292E23" w14:textId="2D9BEE43" w:rsidR="003B1BDC" w:rsidRPr="00634EAD" w:rsidRDefault="003B1BDC" w:rsidP="003B1BDC">
      <w:pPr>
        <w:pStyle w:val="BodyTextMain"/>
        <w:rPr>
          <w:lang w:val="en-CA"/>
        </w:rPr>
      </w:pPr>
      <w:r w:rsidRPr="00634EAD">
        <w:rPr>
          <w:lang w:val="en-CA"/>
        </w:rPr>
        <w:t xml:space="preserve">Because the greenhouse hours were limited, approximately </w:t>
      </w:r>
      <w:r w:rsidR="00714C58">
        <w:rPr>
          <w:lang w:val="en-CA"/>
        </w:rPr>
        <w:t xml:space="preserve">only </w:t>
      </w:r>
      <w:r w:rsidRPr="00634EAD">
        <w:rPr>
          <w:lang w:val="en-CA"/>
        </w:rPr>
        <w:t xml:space="preserve">20 volunteers regularly showed up at the Wednesday sessions to work with the plants. Another 20 volunteered to staff orchid shows (trade </w:t>
      </w:r>
      <w:r w:rsidR="00714C58">
        <w:rPr>
          <w:lang w:val="en-CA"/>
        </w:rPr>
        <w:t>fairs</w:t>
      </w:r>
      <w:r w:rsidRPr="00634EAD">
        <w:rPr>
          <w:lang w:val="en-CA"/>
        </w:rPr>
        <w:t xml:space="preserve"> used to display orchids and discuss related issues) and to work at fundraising casinos. Nixon indicated that the organization was searching for opportunities for supporters to become more actively involved in other efforts</w:t>
      </w:r>
      <w:r w:rsidR="003217F9">
        <w:rPr>
          <w:lang w:val="en-CA"/>
        </w:rPr>
        <w:t>,</w:t>
      </w:r>
      <w:r w:rsidRPr="00634EAD">
        <w:rPr>
          <w:lang w:val="en-CA"/>
        </w:rPr>
        <w:t xml:space="preserve"> such as conservation issues. He </w:t>
      </w:r>
      <w:r w:rsidR="003217F9">
        <w:rPr>
          <w:lang w:val="en-CA"/>
        </w:rPr>
        <w:t>pointed to</w:t>
      </w:r>
      <w:r w:rsidRPr="00634EAD">
        <w:rPr>
          <w:lang w:val="en-CA"/>
        </w:rPr>
        <w:t xml:space="preserve"> web design and marketing as areas in which the OSPF could use the assistance of volunteers with those skill sets.</w:t>
      </w:r>
      <w:r w:rsidR="00E265DA">
        <w:rPr>
          <w:lang w:val="en-CA"/>
        </w:rPr>
        <w:t xml:space="preserve"> </w:t>
      </w:r>
    </w:p>
    <w:p w14:paraId="50DBB35B" w14:textId="77777777" w:rsidR="003B1BDC" w:rsidRDefault="003B1BDC" w:rsidP="003B1BDC">
      <w:pPr>
        <w:pStyle w:val="BodyTextMain"/>
        <w:rPr>
          <w:lang w:val="en-CA"/>
        </w:rPr>
      </w:pPr>
    </w:p>
    <w:p w14:paraId="177C7E35" w14:textId="77777777" w:rsidR="003B1BDC" w:rsidRPr="00634EAD" w:rsidRDefault="003B1BDC" w:rsidP="003B1BDC">
      <w:pPr>
        <w:pStyle w:val="BodyTextMain"/>
        <w:rPr>
          <w:lang w:val="en-CA"/>
        </w:rPr>
      </w:pPr>
    </w:p>
    <w:p w14:paraId="1E026A0F" w14:textId="77777777" w:rsidR="003B1BDC" w:rsidRPr="00DE234A" w:rsidRDefault="003B1BDC" w:rsidP="00A43F4C">
      <w:pPr>
        <w:pStyle w:val="Casehead1"/>
        <w:keepNext/>
        <w:rPr>
          <w:lang w:val="en-CA"/>
        </w:rPr>
      </w:pPr>
      <w:r w:rsidRPr="00DE234A">
        <w:rPr>
          <w:lang w:val="en-CA"/>
        </w:rPr>
        <w:t>The Ideas List</w:t>
      </w:r>
    </w:p>
    <w:p w14:paraId="5DAB7AC5" w14:textId="77777777" w:rsidR="003B1BDC" w:rsidRPr="00E8248B" w:rsidRDefault="003B1BDC" w:rsidP="00A43F4C">
      <w:pPr>
        <w:pStyle w:val="BodyTextMain"/>
        <w:keepNext/>
      </w:pPr>
    </w:p>
    <w:p w14:paraId="1691AFAF" w14:textId="000A607E" w:rsidR="003B1BDC" w:rsidRDefault="003B1BDC" w:rsidP="00A43F4C">
      <w:pPr>
        <w:pStyle w:val="BodyTextMain"/>
        <w:keepNext/>
        <w:rPr>
          <w:lang w:val="en-CA"/>
        </w:rPr>
      </w:pPr>
      <w:r w:rsidRPr="00634EAD">
        <w:rPr>
          <w:lang w:val="en-CA"/>
        </w:rPr>
        <w:t xml:space="preserve">Nixon and the </w:t>
      </w:r>
      <w:r w:rsidR="00B16E0A">
        <w:rPr>
          <w:lang w:val="en-CA"/>
        </w:rPr>
        <w:t>b</w:t>
      </w:r>
      <w:r w:rsidRPr="00634EAD">
        <w:rPr>
          <w:lang w:val="en-CA"/>
        </w:rPr>
        <w:t>oard of the OSPF brainstormed a wide range of potential revenue</w:t>
      </w:r>
      <w:r w:rsidR="00B16E0A">
        <w:rPr>
          <w:lang w:val="en-CA"/>
        </w:rPr>
        <w:t>-</w:t>
      </w:r>
      <w:r w:rsidRPr="00634EAD">
        <w:rPr>
          <w:lang w:val="en-CA"/>
        </w:rPr>
        <w:t>generating ideas</w:t>
      </w:r>
      <w:r w:rsidR="00B16E0A">
        <w:rPr>
          <w:lang w:val="en-CA"/>
        </w:rPr>
        <w:t>,</w:t>
      </w:r>
      <w:r w:rsidRPr="00634EAD">
        <w:rPr>
          <w:lang w:val="en-CA"/>
        </w:rPr>
        <w:t xml:space="preserve"> all </w:t>
      </w:r>
      <w:r w:rsidR="00B16E0A">
        <w:rPr>
          <w:lang w:val="en-CA"/>
        </w:rPr>
        <w:t xml:space="preserve">of which </w:t>
      </w:r>
      <w:r w:rsidRPr="00634EAD">
        <w:rPr>
          <w:lang w:val="en-CA"/>
        </w:rPr>
        <w:t xml:space="preserve">stemmed from the growth of orchids. </w:t>
      </w:r>
    </w:p>
    <w:p w14:paraId="6E0D976D" w14:textId="77777777" w:rsidR="00A433F1" w:rsidRPr="00634EAD" w:rsidRDefault="00A433F1" w:rsidP="003B1BDC">
      <w:pPr>
        <w:pStyle w:val="BodyTextMain"/>
        <w:rPr>
          <w:lang w:val="en-CA"/>
        </w:rPr>
      </w:pPr>
    </w:p>
    <w:p w14:paraId="1A771C0C" w14:textId="77777777" w:rsidR="00931304" w:rsidRDefault="00931304" w:rsidP="008A7713">
      <w:pPr>
        <w:pStyle w:val="BodyTextMain"/>
        <w:rPr>
          <w:rFonts w:ascii="Arial" w:hAnsi="Arial" w:cs="Arial"/>
          <w:b/>
          <w:sz w:val="20"/>
          <w:szCs w:val="20"/>
          <w:lang w:val="en-CA"/>
        </w:rPr>
      </w:pPr>
    </w:p>
    <w:p w14:paraId="667BBE1E" w14:textId="34F91CCA" w:rsidR="00B16E0A" w:rsidRPr="00F37842" w:rsidRDefault="00093E6D" w:rsidP="006A33F9">
      <w:pPr>
        <w:pStyle w:val="BodyTextMain"/>
        <w:keepNext/>
        <w:rPr>
          <w:rFonts w:ascii="Arial" w:hAnsi="Arial" w:cs="Arial"/>
          <w:sz w:val="20"/>
          <w:szCs w:val="20"/>
          <w:lang w:val="en-CA"/>
        </w:rPr>
      </w:pPr>
      <w:r w:rsidRPr="00F37842">
        <w:rPr>
          <w:rFonts w:ascii="Arial" w:hAnsi="Arial" w:cs="Arial"/>
          <w:b/>
          <w:sz w:val="20"/>
          <w:szCs w:val="20"/>
          <w:lang w:val="en-CA"/>
        </w:rPr>
        <w:lastRenderedPageBreak/>
        <w:t>Sell Mature Orchid Plants</w:t>
      </w:r>
    </w:p>
    <w:p w14:paraId="343962DC" w14:textId="77777777" w:rsidR="00B16E0A" w:rsidRDefault="00B16E0A" w:rsidP="006A33F9">
      <w:pPr>
        <w:pStyle w:val="BodyTextMain"/>
        <w:keepNext/>
        <w:rPr>
          <w:lang w:val="en-CA"/>
        </w:rPr>
      </w:pPr>
    </w:p>
    <w:p w14:paraId="18926339" w14:textId="4209892E" w:rsidR="003B1BDC" w:rsidRPr="00634EAD" w:rsidRDefault="003B1BDC" w:rsidP="006A33F9">
      <w:pPr>
        <w:pStyle w:val="BodyTextMain"/>
        <w:keepNext/>
        <w:rPr>
          <w:lang w:val="en-CA"/>
        </w:rPr>
      </w:pPr>
      <w:r w:rsidRPr="00634EAD">
        <w:rPr>
          <w:lang w:val="en-CA"/>
        </w:rPr>
        <w:t>These</w:t>
      </w:r>
      <w:r w:rsidR="007E2518">
        <w:rPr>
          <w:lang w:val="en-CA"/>
        </w:rPr>
        <w:t xml:space="preserve"> plants </w:t>
      </w:r>
      <w:r w:rsidRPr="00634EAD">
        <w:rPr>
          <w:lang w:val="en-CA"/>
        </w:rPr>
        <w:t xml:space="preserve">would be sold to orchid enthusiasts and perhaps </w:t>
      </w:r>
      <w:r w:rsidR="003124F5">
        <w:rPr>
          <w:lang w:val="en-CA"/>
        </w:rPr>
        <w:t xml:space="preserve">to </w:t>
      </w:r>
      <w:r w:rsidRPr="00634EAD">
        <w:rPr>
          <w:lang w:val="en-CA"/>
        </w:rPr>
        <w:t>flower retailers and garden centres. The</w:t>
      </w:r>
      <w:r w:rsidR="007E2518">
        <w:rPr>
          <w:lang w:val="en-CA"/>
        </w:rPr>
        <w:t xml:space="preserve"> orchids sold </w:t>
      </w:r>
      <w:r w:rsidRPr="00634EAD">
        <w:rPr>
          <w:lang w:val="en-CA"/>
        </w:rPr>
        <w:t>would be rarer than the generic orchids found for sale in many grocery stores. Nixon noted that the OSPF “didn’t really know the market.” OSPF would have an advantage here due to the large range of species in its collection.</w:t>
      </w:r>
    </w:p>
    <w:p w14:paraId="42F53841" w14:textId="77777777" w:rsidR="008A7713" w:rsidRPr="00F4033E" w:rsidRDefault="008A7713" w:rsidP="00F4033E">
      <w:pPr>
        <w:pStyle w:val="BodyTextMain"/>
      </w:pPr>
    </w:p>
    <w:p w14:paraId="27A9E28A" w14:textId="77777777" w:rsidR="006A33F9" w:rsidRPr="00F4033E" w:rsidRDefault="006A33F9" w:rsidP="00F4033E">
      <w:pPr>
        <w:pStyle w:val="BodyTextMain"/>
      </w:pPr>
    </w:p>
    <w:p w14:paraId="547BF871" w14:textId="35C90375" w:rsidR="00B16E0A" w:rsidRPr="00F37842" w:rsidRDefault="00093E6D" w:rsidP="008A7713">
      <w:pPr>
        <w:pStyle w:val="BodyTextMain"/>
        <w:rPr>
          <w:rFonts w:ascii="Arial" w:hAnsi="Arial" w:cs="Arial"/>
          <w:sz w:val="20"/>
          <w:szCs w:val="20"/>
          <w:lang w:val="en-CA"/>
        </w:rPr>
      </w:pPr>
      <w:r w:rsidRPr="00F37842">
        <w:rPr>
          <w:rFonts w:ascii="Arial" w:hAnsi="Arial" w:cs="Arial"/>
          <w:b/>
          <w:sz w:val="20"/>
          <w:szCs w:val="20"/>
          <w:lang w:val="en-CA"/>
        </w:rPr>
        <w:t>Propagate and Sell Seedlings</w:t>
      </w:r>
    </w:p>
    <w:p w14:paraId="32F6F74B" w14:textId="77777777" w:rsidR="00B16E0A" w:rsidRDefault="00B16E0A" w:rsidP="008A7713">
      <w:pPr>
        <w:pStyle w:val="BodyTextMain"/>
        <w:rPr>
          <w:lang w:val="en-CA"/>
        </w:rPr>
      </w:pPr>
    </w:p>
    <w:p w14:paraId="4779D5D5" w14:textId="29246059" w:rsidR="003B1BDC" w:rsidRPr="00634EAD" w:rsidRDefault="003B1BDC" w:rsidP="008A7713">
      <w:pPr>
        <w:pStyle w:val="BodyTextMain"/>
        <w:rPr>
          <w:lang w:val="en-CA"/>
        </w:rPr>
      </w:pPr>
      <w:r w:rsidRPr="00634EAD">
        <w:rPr>
          <w:lang w:val="en-CA"/>
        </w:rPr>
        <w:t xml:space="preserve">OSPF could use </w:t>
      </w:r>
      <w:r w:rsidR="007E2518">
        <w:rPr>
          <w:lang w:val="en-CA"/>
        </w:rPr>
        <w:t>its proposed</w:t>
      </w:r>
      <w:r w:rsidRPr="00634EAD">
        <w:rPr>
          <w:lang w:val="en-CA"/>
        </w:rPr>
        <w:t xml:space="preserve"> new space to grow seedlings. The typical customer would be a serious amateur grower who would then be willing to tend the plants for the six to seven years it would take for the</w:t>
      </w:r>
      <w:r w:rsidR="003124F5">
        <w:rPr>
          <w:lang w:val="en-CA"/>
        </w:rPr>
        <w:t>m</w:t>
      </w:r>
      <w:r w:rsidRPr="00634EAD">
        <w:rPr>
          <w:lang w:val="en-CA"/>
        </w:rPr>
        <w:t xml:space="preserve"> to flower. </w:t>
      </w:r>
    </w:p>
    <w:p w14:paraId="280D2133" w14:textId="77777777" w:rsidR="008A7713" w:rsidRPr="00F4033E" w:rsidRDefault="008A7713" w:rsidP="00F4033E">
      <w:pPr>
        <w:pStyle w:val="BodyTextMain"/>
      </w:pPr>
    </w:p>
    <w:p w14:paraId="1ABF6CAF" w14:textId="77777777" w:rsidR="00931304" w:rsidRPr="00F4033E" w:rsidRDefault="00931304" w:rsidP="00F4033E">
      <w:pPr>
        <w:pStyle w:val="BodyTextMain"/>
      </w:pPr>
    </w:p>
    <w:p w14:paraId="3CB9302B" w14:textId="5C7047A0" w:rsidR="00B16E0A" w:rsidRPr="00F37842" w:rsidRDefault="00093E6D" w:rsidP="008A7713">
      <w:pPr>
        <w:pStyle w:val="BodyTextMain"/>
        <w:rPr>
          <w:rFonts w:ascii="Arial" w:hAnsi="Arial" w:cs="Arial"/>
          <w:sz w:val="20"/>
          <w:szCs w:val="20"/>
          <w:lang w:val="en-CA"/>
        </w:rPr>
      </w:pPr>
      <w:r w:rsidRPr="00F37842">
        <w:rPr>
          <w:rFonts w:ascii="Arial" w:hAnsi="Arial" w:cs="Arial"/>
          <w:b/>
          <w:sz w:val="20"/>
          <w:szCs w:val="20"/>
          <w:lang w:val="en-CA"/>
        </w:rPr>
        <w:t>Develop a Seed Bank and Sell Orchid Seeds</w:t>
      </w:r>
    </w:p>
    <w:p w14:paraId="2779BD1C" w14:textId="77777777" w:rsidR="00B16E0A" w:rsidRDefault="00B16E0A" w:rsidP="008A7713">
      <w:pPr>
        <w:pStyle w:val="BodyTextMain"/>
        <w:rPr>
          <w:lang w:val="en-CA"/>
        </w:rPr>
      </w:pPr>
    </w:p>
    <w:p w14:paraId="0458ACB3" w14:textId="7912EB84" w:rsidR="003B1BDC" w:rsidRPr="00634EAD" w:rsidRDefault="003B1BDC" w:rsidP="008A7713">
      <w:pPr>
        <w:pStyle w:val="BodyTextMain"/>
        <w:rPr>
          <w:lang w:val="en-CA"/>
        </w:rPr>
      </w:pPr>
      <w:r w:rsidRPr="00634EAD">
        <w:rPr>
          <w:lang w:val="en-CA"/>
        </w:rPr>
        <w:t>The market for seeds was global</w:t>
      </w:r>
      <w:r w:rsidR="007E2518">
        <w:rPr>
          <w:lang w:val="en-CA"/>
        </w:rPr>
        <w:t xml:space="preserve"> in scope</w:t>
      </w:r>
      <w:r w:rsidRPr="00634EAD">
        <w:rPr>
          <w:lang w:val="en-CA"/>
        </w:rPr>
        <w:t>, but it was a small one.</w:t>
      </w:r>
      <w:r w:rsidR="007E2518">
        <w:rPr>
          <w:lang w:val="en-CA"/>
        </w:rPr>
        <w:t xml:space="preserve"> </w:t>
      </w:r>
      <w:r w:rsidRPr="00634EAD">
        <w:rPr>
          <w:lang w:val="en-CA"/>
        </w:rPr>
        <w:t>The potential customers included propagation laboratories, o</w:t>
      </w:r>
      <w:r w:rsidR="007E2518">
        <w:rPr>
          <w:lang w:val="en-CA"/>
        </w:rPr>
        <w:t>f</w:t>
      </w:r>
      <w:r w:rsidRPr="00634EAD">
        <w:rPr>
          <w:lang w:val="en-CA"/>
        </w:rPr>
        <w:t xml:space="preserve"> which there were about 100 in the world, </w:t>
      </w:r>
      <w:r w:rsidR="003B511D">
        <w:rPr>
          <w:lang w:val="en-CA"/>
        </w:rPr>
        <w:t>and</w:t>
      </w:r>
      <w:r w:rsidRPr="00634EAD">
        <w:rPr>
          <w:lang w:val="en-CA"/>
        </w:rPr>
        <w:t xml:space="preserve"> educational institutions </w:t>
      </w:r>
      <w:r w:rsidR="007E2518">
        <w:rPr>
          <w:lang w:val="en-CA"/>
        </w:rPr>
        <w:t>that</w:t>
      </w:r>
      <w:r w:rsidRPr="00634EAD">
        <w:rPr>
          <w:lang w:val="en-CA"/>
        </w:rPr>
        <w:t xml:space="preserve"> had </w:t>
      </w:r>
      <w:r w:rsidR="003124F5">
        <w:rPr>
          <w:lang w:val="en-CA"/>
        </w:rPr>
        <w:t xml:space="preserve">a </w:t>
      </w:r>
      <w:r w:rsidRPr="00634EAD">
        <w:rPr>
          <w:lang w:val="en-CA"/>
        </w:rPr>
        <w:t>need for the seeds of rare species.</w:t>
      </w:r>
    </w:p>
    <w:p w14:paraId="58E5F41E" w14:textId="7B5C9BFE" w:rsidR="008A7713" w:rsidRPr="00F4033E" w:rsidRDefault="008A7713" w:rsidP="00F4033E">
      <w:pPr>
        <w:pStyle w:val="BodyTextMain"/>
      </w:pPr>
    </w:p>
    <w:p w14:paraId="08D2F95F" w14:textId="77777777" w:rsidR="00976E0F" w:rsidRPr="00F4033E" w:rsidRDefault="00976E0F" w:rsidP="00F4033E">
      <w:pPr>
        <w:pStyle w:val="BodyTextMain"/>
      </w:pPr>
    </w:p>
    <w:p w14:paraId="20B55627" w14:textId="07A8AC32" w:rsidR="00B16E0A" w:rsidRPr="007E6C82" w:rsidRDefault="00093E6D" w:rsidP="008A7713">
      <w:pPr>
        <w:pStyle w:val="BodyTextMain"/>
        <w:rPr>
          <w:rFonts w:ascii="Arial" w:hAnsi="Arial" w:cs="Arial"/>
          <w:sz w:val="20"/>
          <w:szCs w:val="20"/>
          <w:lang w:val="en-CA"/>
        </w:rPr>
      </w:pPr>
      <w:r w:rsidRPr="00F37842">
        <w:rPr>
          <w:rFonts w:ascii="Arial" w:hAnsi="Arial" w:cs="Arial"/>
          <w:b/>
          <w:sz w:val="20"/>
          <w:szCs w:val="20"/>
          <w:lang w:val="en-CA"/>
        </w:rPr>
        <w:t>Market the New Facilit</w:t>
      </w:r>
      <w:r w:rsidR="007E2518">
        <w:rPr>
          <w:rFonts w:ascii="Arial" w:hAnsi="Arial" w:cs="Arial"/>
          <w:b/>
          <w:sz w:val="20"/>
          <w:szCs w:val="20"/>
          <w:lang w:val="en-CA"/>
        </w:rPr>
        <w:t>y</w:t>
      </w:r>
      <w:r w:rsidRPr="007E6C82">
        <w:rPr>
          <w:rFonts w:ascii="Arial" w:hAnsi="Arial" w:cs="Arial"/>
          <w:b/>
          <w:sz w:val="20"/>
          <w:szCs w:val="20"/>
          <w:lang w:val="en-CA"/>
        </w:rPr>
        <w:t xml:space="preserve"> for Special Events and Other Uses</w:t>
      </w:r>
    </w:p>
    <w:p w14:paraId="67B6E930" w14:textId="77777777" w:rsidR="00B16E0A" w:rsidRDefault="00B16E0A" w:rsidP="008A7713">
      <w:pPr>
        <w:pStyle w:val="BodyTextMain"/>
        <w:rPr>
          <w:lang w:val="en-CA"/>
        </w:rPr>
      </w:pPr>
    </w:p>
    <w:p w14:paraId="6F1CBA2A" w14:textId="0B3BCC6E" w:rsidR="003B1BDC" w:rsidRPr="00634EAD" w:rsidRDefault="003B1BDC" w:rsidP="008A7713">
      <w:pPr>
        <w:pStyle w:val="BodyTextMain"/>
        <w:rPr>
          <w:lang w:val="en-CA"/>
        </w:rPr>
      </w:pPr>
      <w:r w:rsidRPr="00634EAD">
        <w:rPr>
          <w:lang w:val="en-CA"/>
        </w:rPr>
        <w:t xml:space="preserve">The centre could be designed to include a restaurant and gift shop like </w:t>
      </w:r>
      <w:r w:rsidR="003124F5">
        <w:rPr>
          <w:lang w:val="en-CA"/>
        </w:rPr>
        <w:t>those at</w:t>
      </w:r>
      <w:r w:rsidR="008164A3">
        <w:rPr>
          <w:lang w:val="en-CA"/>
        </w:rPr>
        <w:t xml:space="preserve"> </w:t>
      </w:r>
      <w:r w:rsidRPr="00634EAD">
        <w:rPr>
          <w:lang w:val="en-CA"/>
        </w:rPr>
        <w:t>the Muttart Conservatory.</w:t>
      </w:r>
      <w:r w:rsidR="00701904">
        <w:rPr>
          <w:lang w:val="en-CA"/>
        </w:rPr>
        <w:t xml:space="preserve"> </w:t>
      </w:r>
      <w:r w:rsidRPr="00634EAD">
        <w:rPr>
          <w:lang w:val="en-CA"/>
        </w:rPr>
        <w:t>It could also be designed to accommodate special events</w:t>
      </w:r>
      <w:r w:rsidR="008164A3">
        <w:rPr>
          <w:lang w:val="en-CA"/>
        </w:rPr>
        <w:t>,</w:t>
      </w:r>
      <w:r w:rsidRPr="00634EAD">
        <w:rPr>
          <w:lang w:val="en-CA"/>
        </w:rPr>
        <w:t xml:space="preserve"> such as weddings and conferences. </w:t>
      </w:r>
      <w:r w:rsidR="008164A3">
        <w:rPr>
          <w:lang w:val="en-CA"/>
        </w:rPr>
        <w:t>Alternatively,</w:t>
      </w:r>
      <w:r w:rsidRPr="00634EAD">
        <w:rPr>
          <w:lang w:val="en-CA"/>
        </w:rPr>
        <w:t xml:space="preserve"> it could be set up as a biological science centre that would </w:t>
      </w:r>
      <w:r w:rsidR="008164A3">
        <w:rPr>
          <w:lang w:val="en-CA"/>
        </w:rPr>
        <w:t>make</w:t>
      </w:r>
      <w:r w:rsidRPr="00634EAD">
        <w:rPr>
          <w:lang w:val="en-CA"/>
        </w:rPr>
        <w:t xml:space="preserve"> a suitable home for botanical clubs.</w:t>
      </w:r>
    </w:p>
    <w:p w14:paraId="3C1ED465" w14:textId="77777777" w:rsidR="008A7713" w:rsidRDefault="008A7713" w:rsidP="008A7713">
      <w:pPr>
        <w:pStyle w:val="BodyTextMain"/>
        <w:rPr>
          <w:b/>
          <w:lang w:val="en-CA"/>
        </w:rPr>
      </w:pPr>
    </w:p>
    <w:p w14:paraId="05C6F957" w14:textId="77777777" w:rsidR="00931304" w:rsidRDefault="00931304" w:rsidP="008A7713">
      <w:pPr>
        <w:pStyle w:val="BodyTextMain"/>
        <w:rPr>
          <w:rFonts w:ascii="Arial" w:hAnsi="Arial" w:cs="Arial"/>
          <w:b/>
          <w:sz w:val="20"/>
          <w:szCs w:val="20"/>
          <w:lang w:val="en-CA"/>
        </w:rPr>
      </w:pPr>
    </w:p>
    <w:p w14:paraId="3D583F7E" w14:textId="101E5B8D" w:rsidR="00B16E0A" w:rsidRPr="00F37842" w:rsidRDefault="00093E6D" w:rsidP="008A7713">
      <w:pPr>
        <w:pStyle w:val="BodyTextMain"/>
        <w:rPr>
          <w:rFonts w:ascii="Arial" w:hAnsi="Arial" w:cs="Arial"/>
          <w:b/>
          <w:sz w:val="20"/>
          <w:szCs w:val="20"/>
          <w:lang w:val="en-CA"/>
        </w:rPr>
      </w:pPr>
      <w:r w:rsidRPr="00F37842">
        <w:rPr>
          <w:rFonts w:ascii="Arial" w:hAnsi="Arial" w:cs="Arial"/>
          <w:b/>
          <w:sz w:val="20"/>
          <w:szCs w:val="20"/>
          <w:lang w:val="en-CA"/>
        </w:rPr>
        <w:t xml:space="preserve">Grow and Market Plants for Use in Land-Reclamation Projects </w:t>
      </w:r>
    </w:p>
    <w:p w14:paraId="7D88AA26" w14:textId="77777777" w:rsidR="00B16E0A" w:rsidRDefault="00B16E0A" w:rsidP="008A7713">
      <w:pPr>
        <w:pStyle w:val="BodyTextMain"/>
        <w:rPr>
          <w:b/>
          <w:lang w:val="en-CA"/>
        </w:rPr>
      </w:pPr>
    </w:p>
    <w:p w14:paraId="7EF46ACA" w14:textId="719DC686" w:rsidR="003B1BDC" w:rsidRPr="00634EAD" w:rsidRDefault="003B1BDC" w:rsidP="008A7713">
      <w:pPr>
        <w:pStyle w:val="BodyTextMain"/>
        <w:rPr>
          <w:lang w:val="en-CA"/>
        </w:rPr>
      </w:pPr>
      <w:r w:rsidRPr="00634EAD">
        <w:rPr>
          <w:lang w:val="en-CA"/>
        </w:rPr>
        <w:t>Given the wide desire</w:t>
      </w:r>
      <w:r w:rsidR="003124F5">
        <w:rPr>
          <w:lang w:val="en-CA"/>
        </w:rPr>
        <w:t>—</w:t>
      </w:r>
      <w:r w:rsidR="008164A3">
        <w:rPr>
          <w:lang w:val="en-CA"/>
        </w:rPr>
        <w:t>both</w:t>
      </w:r>
      <w:r w:rsidRPr="00634EAD">
        <w:rPr>
          <w:lang w:val="en-CA"/>
        </w:rPr>
        <w:t xml:space="preserve"> in industry and in the general population</w:t>
      </w:r>
      <w:r w:rsidR="003124F5">
        <w:rPr>
          <w:lang w:val="en-CA"/>
        </w:rPr>
        <w:t>—</w:t>
      </w:r>
      <w:r w:rsidRPr="00634EAD">
        <w:rPr>
          <w:lang w:val="en-CA"/>
        </w:rPr>
        <w:t xml:space="preserve">to reclaim land </w:t>
      </w:r>
      <w:r w:rsidR="008164A3">
        <w:rPr>
          <w:lang w:val="en-CA"/>
        </w:rPr>
        <w:t xml:space="preserve">that had been </w:t>
      </w:r>
      <w:r w:rsidRPr="00634EAD">
        <w:rPr>
          <w:lang w:val="en-CA"/>
        </w:rPr>
        <w:t>harmed by industrial activity</w:t>
      </w:r>
      <w:r w:rsidR="008164A3">
        <w:rPr>
          <w:lang w:val="en-CA"/>
        </w:rPr>
        <w:t xml:space="preserve"> (e.g., </w:t>
      </w:r>
      <w:r w:rsidRPr="00634EAD">
        <w:rPr>
          <w:lang w:val="en-CA"/>
        </w:rPr>
        <w:t>oil sands mining</w:t>
      </w:r>
      <w:r w:rsidR="008164A3">
        <w:rPr>
          <w:lang w:val="en-CA"/>
        </w:rPr>
        <w:t>)</w:t>
      </w:r>
      <w:r w:rsidRPr="00634EAD">
        <w:rPr>
          <w:lang w:val="en-CA"/>
        </w:rPr>
        <w:t>, the OSPF could focus on working with industry to provide plant material for land</w:t>
      </w:r>
      <w:r w:rsidR="008164A3">
        <w:rPr>
          <w:lang w:val="en-CA"/>
        </w:rPr>
        <w:t>-</w:t>
      </w:r>
      <w:r w:rsidRPr="00634EAD">
        <w:rPr>
          <w:lang w:val="en-CA"/>
        </w:rPr>
        <w:t>reclamation projects.</w:t>
      </w:r>
    </w:p>
    <w:p w14:paraId="01B1B24F" w14:textId="77777777" w:rsidR="008A7713" w:rsidRDefault="008A7713" w:rsidP="008A7713">
      <w:pPr>
        <w:pStyle w:val="BodyTextMain"/>
        <w:rPr>
          <w:b/>
          <w:lang w:val="en-CA"/>
        </w:rPr>
      </w:pPr>
    </w:p>
    <w:p w14:paraId="19123BF8" w14:textId="77777777" w:rsidR="00931304" w:rsidRDefault="00931304" w:rsidP="008A7713">
      <w:pPr>
        <w:pStyle w:val="BodyTextMain"/>
        <w:rPr>
          <w:rFonts w:ascii="Arial" w:hAnsi="Arial" w:cs="Arial"/>
          <w:b/>
          <w:sz w:val="20"/>
          <w:szCs w:val="20"/>
          <w:lang w:val="en-CA"/>
        </w:rPr>
      </w:pPr>
    </w:p>
    <w:p w14:paraId="6B936692" w14:textId="77AADD8D" w:rsidR="00C35E56" w:rsidRDefault="00093E6D" w:rsidP="008A7713">
      <w:pPr>
        <w:pStyle w:val="BodyTextMain"/>
        <w:rPr>
          <w:lang w:val="en-CA"/>
        </w:rPr>
      </w:pPr>
      <w:r w:rsidRPr="00F37842">
        <w:rPr>
          <w:rFonts w:ascii="Arial" w:hAnsi="Arial" w:cs="Arial"/>
          <w:b/>
          <w:sz w:val="20"/>
          <w:szCs w:val="20"/>
          <w:lang w:val="en-CA"/>
        </w:rPr>
        <w:t>Create a DNA Bank for Orchids</w:t>
      </w:r>
      <w:r w:rsidR="003B1BDC" w:rsidRPr="00634EAD">
        <w:rPr>
          <w:lang w:val="en-CA"/>
        </w:rPr>
        <w:t xml:space="preserve"> </w:t>
      </w:r>
    </w:p>
    <w:p w14:paraId="10D2D8D7" w14:textId="77777777" w:rsidR="00C35E56" w:rsidRDefault="00C35E56" w:rsidP="008A7713">
      <w:pPr>
        <w:pStyle w:val="BodyTextMain"/>
        <w:rPr>
          <w:lang w:val="en-CA"/>
        </w:rPr>
      </w:pPr>
    </w:p>
    <w:p w14:paraId="03D575DE" w14:textId="7566C6AD" w:rsidR="003B1BDC" w:rsidRPr="00634EAD" w:rsidRDefault="003B1BDC" w:rsidP="008A7713">
      <w:pPr>
        <w:pStyle w:val="BodyTextMain"/>
        <w:rPr>
          <w:lang w:val="en-CA"/>
        </w:rPr>
      </w:pPr>
      <w:r w:rsidRPr="00634EAD">
        <w:rPr>
          <w:lang w:val="en-CA"/>
        </w:rPr>
        <w:t>This operation might supply the nursery industry</w:t>
      </w:r>
      <w:r w:rsidR="008164A3">
        <w:rPr>
          <w:lang w:val="en-CA"/>
        </w:rPr>
        <w:t>,</w:t>
      </w:r>
      <w:r w:rsidRPr="00634EAD">
        <w:rPr>
          <w:lang w:val="en-CA"/>
        </w:rPr>
        <w:t xml:space="preserve"> particularly in relation to the production of hybrid flowers.</w:t>
      </w:r>
      <w:r w:rsidR="00230AD3">
        <w:rPr>
          <w:lang w:val="en-CA"/>
        </w:rPr>
        <w:t xml:space="preserve"> </w:t>
      </w:r>
      <w:r w:rsidRPr="00634EAD">
        <w:rPr>
          <w:lang w:val="en-CA"/>
        </w:rPr>
        <w:t xml:space="preserve">The range of species in the OSPF collection would allow </w:t>
      </w:r>
      <w:r w:rsidR="008164A3">
        <w:rPr>
          <w:lang w:val="en-CA"/>
        </w:rPr>
        <w:t>the foundation</w:t>
      </w:r>
      <w:r w:rsidRPr="00634EAD">
        <w:rPr>
          <w:lang w:val="en-CA"/>
        </w:rPr>
        <w:t xml:space="preserve"> to create many thousands of different types of hybrid flowers.</w:t>
      </w:r>
    </w:p>
    <w:p w14:paraId="2F177D3F" w14:textId="77777777" w:rsidR="008A7713" w:rsidRDefault="008A7713" w:rsidP="008A7713">
      <w:pPr>
        <w:pStyle w:val="BodyTextMain"/>
        <w:rPr>
          <w:b/>
          <w:lang w:val="en-CA"/>
        </w:rPr>
      </w:pPr>
    </w:p>
    <w:p w14:paraId="332CAB2F" w14:textId="77777777" w:rsidR="00931304" w:rsidRDefault="00931304" w:rsidP="008A7713">
      <w:pPr>
        <w:pStyle w:val="BodyTextMain"/>
        <w:rPr>
          <w:rFonts w:ascii="Arial" w:hAnsi="Arial" w:cs="Arial"/>
          <w:b/>
          <w:sz w:val="20"/>
          <w:szCs w:val="20"/>
          <w:lang w:val="en-CA"/>
        </w:rPr>
      </w:pPr>
    </w:p>
    <w:p w14:paraId="53B006FC" w14:textId="39C9BA7B" w:rsidR="00B16E0A" w:rsidRPr="00F37842" w:rsidRDefault="00093E6D" w:rsidP="008A7713">
      <w:pPr>
        <w:pStyle w:val="BodyTextMain"/>
        <w:rPr>
          <w:rFonts w:ascii="Arial" w:hAnsi="Arial" w:cs="Arial"/>
          <w:b/>
          <w:sz w:val="20"/>
          <w:szCs w:val="20"/>
          <w:lang w:val="en-CA"/>
        </w:rPr>
      </w:pPr>
      <w:r w:rsidRPr="00F37842">
        <w:rPr>
          <w:rFonts w:ascii="Arial" w:hAnsi="Arial" w:cs="Arial"/>
          <w:b/>
          <w:sz w:val="20"/>
          <w:szCs w:val="20"/>
          <w:lang w:val="en-CA"/>
        </w:rPr>
        <w:t>Enter into Educational Partnerships with Local Schools</w:t>
      </w:r>
    </w:p>
    <w:p w14:paraId="2308D461" w14:textId="77777777" w:rsidR="00B16E0A" w:rsidRPr="00F37842" w:rsidRDefault="00B16E0A" w:rsidP="00F37842">
      <w:pPr>
        <w:pStyle w:val="BodyTextMain"/>
      </w:pPr>
    </w:p>
    <w:p w14:paraId="24C8571F" w14:textId="70BAA057" w:rsidR="003B1BDC" w:rsidRDefault="003B1BDC" w:rsidP="008A7713">
      <w:pPr>
        <w:pStyle w:val="BodyTextMain"/>
        <w:rPr>
          <w:lang w:val="en-CA"/>
        </w:rPr>
      </w:pPr>
      <w:r w:rsidRPr="00634EAD">
        <w:rPr>
          <w:lang w:val="en-CA"/>
        </w:rPr>
        <w:t xml:space="preserve">This </w:t>
      </w:r>
      <w:r w:rsidR="008164A3">
        <w:rPr>
          <w:lang w:val="en-CA"/>
        </w:rPr>
        <w:t xml:space="preserve">venture </w:t>
      </w:r>
      <w:r w:rsidRPr="00634EAD">
        <w:rPr>
          <w:lang w:val="en-CA"/>
        </w:rPr>
        <w:t xml:space="preserve">might replicate </w:t>
      </w:r>
      <w:r w:rsidR="00C63D64">
        <w:rPr>
          <w:lang w:val="en-CA"/>
        </w:rPr>
        <w:t xml:space="preserve">the </w:t>
      </w:r>
      <w:r w:rsidRPr="00634EAD">
        <w:rPr>
          <w:lang w:val="en-CA"/>
        </w:rPr>
        <w:t>Writhlington School Orchid Project in the United Kingdom</w:t>
      </w:r>
      <w:r w:rsidR="00C63D64">
        <w:rPr>
          <w:lang w:val="en-CA"/>
        </w:rPr>
        <w:t>,</w:t>
      </w:r>
      <w:r w:rsidRPr="00634EAD">
        <w:rPr>
          <w:lang w:val="en-CA"/>
        </w:rPr>
        <w:t xml:space="preserve"> which use</w:t>
      </w:r>
      <w:r w:rsidR="00C63D64">
        <w:rPr>
          <w:lang w:val="en-CA"/>
        </w:rPr>
        <w:t>d</w:t>
      </w:r>
      <w:r w:rsidRPr="00634EAD">
        <w:rPr>
          <w:lang w:val="en-CA"/>
        </w:rPr>
        <w:t xml:space="preserve"> the propagation of orchids as a focal point in teaching biology, conservation</w:t>
      </w:r>
      <w:r w:rsidR="00C63D64">
        <w:rPr>
          <w:lang w:val="en-CA"/>
        </w:rPr>
        <w:t>,</w:t>
      </w:r>
      <w:r w:rsidRPr="00634EAD">
        <w:rPr>
          <w:lang w:val="en-CA"/>
        </w:rPr>
        <w:t xml:space="preserve"> and community service. Th</w:t>
      </w:r>
      <w:r w:rsidR="00C63D64">
        <w:rPr>
          <w:lang w:val="en-CA"/>
        </w:rPr>
        <w:t>e</w:t>
      </w:r>
      <w:r w:rsidRPr="00634EAD">
        <w:rPr>
          <w:lang w:val="en-CA"/>
        </w:rPr>
        <w:t xml:space="preserve"> </w:t>
      </w:r>
      <w:r w:rsidR="00C63D64" w:rsidRPr="00634EAD">
        <w:rPr>
          <w:lang w:val="en-CA"/>
        </w:rPr>
        <w:t xml:space="preserve">Writhlington </w:t>
      </w:r>
      <w:r w:rsidRPr="00634EAD">
        <w:rPr>
          <w:lang w:val="en-CA"/>
        </w:rPr>
        <w:t>program was funded by the sale of 60,000 pounds</w:t>
      </w:r>
      <w:r w:rsidR="00F37842">
        <w:rPr>
          <w:rStyle w:val="FootnoteReference"/>
          <w:lang w:val="en-CA"/>
        </w:rPr>
        <w:footnoteReference w:id="12"/>
      </w:r>
      <w:r w:rsidR="00F37842">
        <w:rPr>
          <w:lang w:val="en-CA"/>
        </w:rPr>
        <w:t xml:space="preserve"> </w:t>
      </w:r>
      <w:r w:rsidRPr="00634EAD">
        <w:rPr>
          <w:lang w:val="en-CA"/>
        </w:rPr>
        <w:t>of orchid seeds per year. Nixon saw the potential for OSPF to create hands-on biology courses in the greenhouses</w:t>
      </w:r>
      <w:r w:rsidR="00594F84">
        <w:rPr>
          <w:lang w:val="en-CA"/>
        </w:rPr>
        <w:t>,</w:t>
      </w:r>
      <w:r w:rsidRPr="00634EAD">
        <w:rPr>
          <w:lang w:val="en-CA"/>
        </w:rPr>
        <w:t xml:space="preserve"> coupled with curriculum modules </w:t>
      </w:r>
      <w:r w:rsidR="00594F84">
        <w:rPr>
          <w:lang w:val="en-CA"/>
        </w:rPr>
        <w:lastRenderedPageBreak/>
        <w:t xml:space="preserve">that could be </w:t>
      </w:r>
      <w:r w:rsidRPr="00634EAD">
        <w:rPr>
          <w:lang w:val="en-CA"/>
        </w:rPr>
        <w:t>delivered in schools. He anticipated that this type of program would most likely be cost</w:t>
      </w:r>
      <w:r w:rsidR="00594F84">
        <w:rPr>
          <w:lang w:val="en-CA"/>
        </w:rPr>
        <w:t>-</w:t>
      </w:r>
      <w:r w:rsidRPr="00634EAD">
        <w:rPr>
          <w:lang w:val="en-CA"/>
        </w:rPr>
        <w:t>neutral rather than a high revenue generator.</w:t>
      </w:r>
      <w:r w:rsidR="00A354D0">
        <w:rPr>
          <w:lang w:val="en-CA"/>
        </w:rPr>
        <w:t xml:space="preserve"> </w:t>
      </w:r>
      <w:r w:rsidR="00131354">
        <w:rPr>
          <w:lang w:val="en-CA"/>
        </w:rPr>
        <w:t>The educational program would create excitement about orchids in a younger generation and generate potential public relations opportunities.</w:t>
      </w:r>
    </w:p>
    <w:p w14:paraId="369D24DE" w14:textId="77777777" w:rsidR="00C63D64" w:rsidRPr="00634EAD" w:rsidRDefault="00C63D64" w:rsidP="008A7713">
      <w:pPr>
        <w:pStyle w:val="BodyTextMain"/>
        <w:rPr>
          <w:lang w:val="en-CA"/>
        </w:rPr>
      </w:pPr>
    </w:p>
    <w:p w14:paraId="7D186772" w14:textId="77777777" w:rsidR="00976E0F" w:rsidRPr="00F37842" w:rsidRDefault="00976E0F" w:rsidP="00F37842">
      <w:pPr>
        <w:pStyle w:val="BodyTextMain"/>
      </w:pPr>
    </w:p>
    <w:p w14:paraId="2C45784D" w14:textId="7A798922" w:rsidR="00B16E0A" w:rsidRPr="00F37842" w:rsidRDefault="00093E6D" w:rsidP="008A7713">
      <w:pPr>
        <w:pStyle w:val="BodyTextMain"/>
        <w:rPr>
          <w:rFonts w:ascii="Arial" w:hAnsi="Arial" w:cs="Arial"/>
          <w:b/>
          <w:sz w:val="20"/>
          <w:szCs w:val="20"/>
          <w:lang w:val="en-CA"/>
        </w:rPr>
      </w:pPr>
      <w:r w:rsidRPr="00F37842">
        <w:rPr>
          <w:rFonts w:ascii="Arial" w:hAnsi="Arial" w:cs="Arial"/>
          <w:b/>
          <w:sz w:val="20"/>
          <w:szCs w:val="20"/>
          <w:lang w:val="en-CA"/>
        </w:rPr>
        <w:t>Offer Flower Photography Courses</w:t>
      </w:r>
    </w:p>
    <w:p w14:paraId="0024ED6E" w14:textId="77777777" w:rsidR="00B16E0A" w:rsidRPr="00F37842" w:rsidRDefault="00B16E0A" w:rsidP="00F37842">
      <w:pPr>
        <w:pStyle w:val="BodyTextMain"/>
      </w:pPr>
    </w:p>
    <w:p w14:paraId="23B54511" w14:textId="6EB3279F" w:rsidR="003B1BDC" w:rsidRPr="00634EAD" w:rsidRDefault="003B1BDC" w:rsidP="008A7713">
      <w:pPr>
        <w:pStyle w:val="BodyTextMain"/>
        <w:rPr>
          <w:lang w:val="en-CA"/>
        </w:rPr>
      </w:pPr>
      <w:r w:rsidRPr="00634EAD">
        <w:rPr>
          <w:lang w:val="en-CA"/>
        </w:rPr>
        <w:t>Photography courses prove</w:t>
      </w:r>
      <w:r w:rsidR="003B511D">
        <w:rPr>
          <w:lang w:val="en-CA"/>
        </w:rPr>
        <w:t>d</w:t>
      </w:r>
      <w:r w:rsidRPr="00634EAD">
        <w:rPr>
          <w:lang w:val="en-CA"/>
        </w:rPr>
        <w:t xml:space="preserve"> to be popular</w:t>
      </w:r>
      <w:r w:rsidR="00C74283">
        <w:rPr>
          <w:lang w:val="en-CA"/>
        </w:rPr>
        <w:t>,</w:t>
      </w:r>
      <w:r w:rsidRPr="00634EAD">
        <w:rPr>
          <w:lang w:val="en-CA"/>
        </w:rPr>
        <w:t xml:space="preserve"> and many photographers ha</w:t>
      </w:r>
      <w:r w:rsidR="003B511D">
        <w:rPr>
          <w:lang w:val="en-CA"/>
        </w:rPr>
        <w:t>d</w:t>
      </w:r>
      <w:r w:rsidRPr="00634EAD">
        <w:rPr>
          <w:lang w:val="en-CA"/>
        </w:rPr>
        <w:t xml:space="preserve"> an interest in taking pictures of beautiful flowers. Photography courses ha</w:t>
      </w:r>
      <w:r w:rsidR="003B511D">
        <w:rPr>
          <w:lang w:val="en-CA"/>
        </w:rPr>
        <w:t>d</w:t>
      </w:r>
      <w:r w:rsidRPr="00634EAD">
        <w:rPr>
          <w:lang w:val="en-CA"/>
        </w:rPr>
        <w:t xml:space="preserve"> the potential to be low</w:t>
      </w:r>
      <w:r w:rsidR="00C74283">
        <w:rPr>
          <w:lang w:val="en-CA"/>
        </w:rPr>
        <w:t>-</w:t>
      </w:r>
      <w:r w:rsidRPr="00634EAD">
        <w:rPr>
          <w:lang w:val="en-CA"/>
        </w:rPr>
        <w:t xml:space="preserve">effort ventures once the greenhouses </w:t>
      </w:r>
      <w:r w:rsidR="003B511D">
        <w:rPr>
          <w:lang w:val="en-CA"/>
        </w:rPr>
        <w:t>we</w:t>
      </w:r>
      <w:r w:rsidRPr="00634EAD">
        <w:rPr>
          <w:lang w:val="en-CA"/>
        </w:rPr>
        <w:t>re in place.</w:t>
      </w:r>
      <w:r w:rsidR="00C74283">
        <w:rPr>
          <w:lang w:val="en-CA"/>
        </w:rPr>
        <w:t xml:space="preserve"> </w:t>
      </w:r>
      <w:r w:rsidRPr="00634EAD">
        <w:rPr>
          <w:lang w:val="en-CA"/>
        </w:rPr>
        <w:t xml:space="preserve">The main competitors for amateur photography courses in Edmonton were </w:t>
      </w:r>
      <w:r w:rsidR="00C74283">
        <w:rPr>
          <w:lang w:val="en-CA"/>
        </w:rPr>
        <w:t xml:space="preserve">the </w:t>
      </w:r>
      <w:r w:rsidRPr="00634EAD">
        <w:rPr>
          <w:lang w:val="en-CA"/>
        </w:rPr>
        <w:t>Edmonton Public Schools</w:t>
      </w:r>
      <w:r w:rsidR="00C74283">
        <w:rPr>
          <w:lang w:val="en-CA"/>
        </w:rPr>
        <w:t>’</w:t>
      </w:r>
      <w:r w:rsidR="00A2243D">
        <w:rPr>
          <w:lang w:val="en-CA"/>
        </w:rPr>
        <w:t xml:space="preserve"> </w:t>
      </w:r>
      <w:r w:rsidR="009C3D5B">
        <w:rPr>
          <w:lang w:val="en-CA"/>
        </w:rPr>
        <w:t>Metro C</w:t>
      </w:r>
      <w:r w:rsidRPr="00634EAD">
        <w:rPr>
          <w:lang w:val="en-CA"/>
        </w:rPr>
        <w:t xml:space="preserve">ontinuing </w:t>
      </w:r>
      <w:r w:rsidR="009C3D5B">
        <w:rPr>
          <w:lang w:val="en-CA"/>
        </w:rPr>
        <w:t>E</w:t>
      </w:r>
      <w:r w:rsidRPr="00634EAD">
        <w:rPr>
          <w:lang w:val="en-CA"/>
        </w:rPr>
        <w:t>ducation</w:t>
      </w:r>
      <w:r w:rsidR="003B511D">
        <w:rPr>
          <w:lang w:val="en-CA"/>
        </w:rPr>
        <w:t>,</w:t>
      </w:r>
      <w:r w:rsidRPr="00634EAD">
        <w:rPr>
          <w:lang w:val="en-CA"/>
        </w:rPr>
        <w:t xml:space="preserve"> the Northern Alberta Institute of Technology</w:t>
      </w:r>
      <w:r w:rsidR="003B511D">
        <w:rPr>
          <w:lang w:val="en-CA"/>
        </w:rPr>
        <w:t>,</w:t>
      </w:r>
      <w:r w:rsidRPr="00634EAD">
        <w:rPr>
          <w:lang w:val="en-CA"/>
        </w:rPr>
        <w:t xml:space="preserve"> and </w:t>
      </w:r>
      <w:proofErr w:type="spellStart"/>
      <w:r w:rsidRPr="00634EAD">
        <w:rPr>
          <w:lang w:val="en-CA"/>
        </w:rPr>
        <w:t>MacEwan</w:t>
      </w:r>
      <w:proofErr w:type="spellEnd"/>
      <w:r w:rsidRPr="00634EAD">
        <w:rPr>
          <w:lang w:val="en-CA"/>
        </w:rPr>
        <w:t xml:space="preserve"> University School of Continuing Education.</w:t>
      </w:r>
    </w:p>
    <w:p w14:paraId="7C27682D" w14:textId="77777777" w:rsidR="008A7713" w:rsidRDefault="008A7713" w:rsidP="008A7713">
      <w:pPr>
        <w:pStyle w:val="BodyTextMain"/>
        <w:rPr>
          <w:b/>
          <w:lang w:val="en-CA"/>
        </w:rPr>
      </w:pPr>
    </w:p>
    <w:p w14:paraId="0ED48E1F" w14:textId="77777777" w:rsidR="00931304" w:rsidRDefault="00931304" w:rsidP="008A7713">
      <w:pPr>
        <w:pStyle w:val="BodyTextMain"/>
        <w:rPr>
          <w:rFonts w:ascii="Arial" w:hAnsi="Arial" w:cs="Arial"/>
          <w:b/>
          <w:sz w:val="20"/>
          <w:szCs w:val="20"/>
          <w:lang w:val="en-CA"/>
        </w:rPr>
      </w:pPr>
    </w:p>
    <w:p w14:paraId="0B5CF3D6" w14:textId="02B57A85" w:rsidR="00B16E0A" w:rsidRPr="00F37842" w:rsidRDefault="00093E6D" w:rsidP="008A7713">
      <w:pPr>
        <w:pStyle w:val="BodyTextMain"/>
        <w:rPr>
          <w:rFonts w:ascii="Arial" w:hAnsi="Arial" w:cs="Arial"/>
          <w:sz w:val="20"/>
          <w:szCs w:val="20"/>
          <w:lang w:val="en-CA"/>
        </w:rPr>
      </w:pPr>
      <w:r w:rsidRPr="00F37842">
        <w:rPr>
          <w:rFonts w:ascii="Arial" w:hAnsi="Arial" w:cs="Arial"/>
          <w:b/>
          <w:sz w:val="20"/>
          <w:szCs w:val="20"/>
          <w:lang w:val="en-CA"/>
        </w:rPr>
        <w:t>Develop a Green Fundraising Initiative</w:t>
      </w:r>
    </w:p>
    <w:p w14:paraId="0803118B" w14:textId="77777777" w:rsidR="00B16E0A" w:rsidRDefault="00B16E0A" w:rsidP="008A7713">
      <w:pPr>
        <w:pStyle w:val="BodyTextMain"/>
        <w:rPr>
          <w:lang w:val="en-CA"/>
        </w:rPr>
      </w:pPr>
    </w:p>
    <w:p w14:paraId="78C4A8D5" w14:textId="32F7AB10" w:rsidR="003B1BDC" w:rsidRPr="00634EAD" w:rsidRDefault="003B1BDC" w:rsidP="008A7713">
      <w:pPr>
        <w:pStyle w:val="BodyTextMain"/>
        <w:rPr>
          <w:lang w:val="en-CA"/>
        </w:rPr>
      </w:pPr>
      <w:r w:rsidRPr="00634EAD">
        <w:rPr>
          <w:lang w:val="en-CA"/>
        </w:rPr>
        <w:t xml:space="preserve">This </w:t>
      </w:r>
      <w:r w:rsidR="00B94AB7">
        <w:rPr>
          <w:lang w:val="en-CA"/>
        </w:rPr>
        <w:t xml:space="preserve">concept </w:t>
      </w:r>
      <w:r w:rsidRPr="00634EAD">
        <w:rPr>
          <w:lang w:val="en-CA"/>
        </w:rPr>
        <w:t>would involve selling a product</w:t>
      </w:r>
      <w:r w:rsidR="00B94AB7">
        <w:rPr>
          <w:lang w:val="en-CA"/>
        </w:rPr>
        <w:t xml:space="preserve"> (e.g.,</w:t>
      </w:r>
      <w:r w:rsidRPr="00634EAD">
        <w:rPr>
          <w:lang w:val="en-CA"/>
        </w:rPr>
        <w:t xml:space="preserve"> a </w:t>
      </w:r>
      <w:r w:rsidR="00B94AB7">
        <w:rPr>
          <w:lang w:val="en-CA"/>
        </w:rPr>
        <w:t>T</w:t>
      </w:r>
      <w:r w:rsidRPr="00634EAD">
        <w:rPr>
          <w:lang w:val="en-CA"/>
        </w:rPr>
        <w:t>-shirt</w:t>
      </w:r>
      <w:r w:rsidR="00B94AB7">
        <w:rPr>
          <w:lang w:val="en-CA"/>
        </w:rPr>
        <w:t>) that</w:t>
      </w:r>
      <w:r w:rsidRPr="00634EAD">
        <w:rPr>
          <w:lang w:val="en-CA"/>
        </w:rPr>
        <w:t xml:space="preserve"> would come with </w:t>
      </w:r>
      <w:r w:rsidR="00B94AB7">
        <w:rPr>
          <w:lang w:val="en-CA"/>
        </w:rPr>
        <w:t>a</w:t>
      </w:r>
      <w:r w:rsidR="00B94AB7" w:rsidRPr="00634EAD">
        <w:rPr>
          <w:lang w:val="en-CA"/>
        </w:rPr>
        <w:t xml:space="preserve"> </w:t>
      </w:r>
      <w:r w:rsidRPr="00634EAD">
        <w:rPr>
          <w:lang w:val="en-CA"/>
        </w:rPr>
        <w:t xml:space="preserve">promise </w:t>
      </w:r>
      <w:r w:rsidR="00B94AB7">
        <w:rPr>
          <w:lang w:val="en-CA"/>
        </w:rPr>
        <w:t xml:space="preserve">from </w:t>
      </w:r>
      <w:r w:rsidRPr="00634EAD">
        <w:rPr>
          <w:lang w:val="en-CA"/>
        </w:rPr>
        <w:t xml:space="preserve">the OSPF </w:t>
      </w:r>
      <w:r w:rsidR="00B94AB7">
        <w:rPr>
          <w:lang w:val="en-CA"/>
        </w:rPr>
        <w:t>to</w:t>
      </w:r>
      <w:r w:rsidRPr="00634EAD">
        <w:rPr>
          <w:lang w:val="en-CA"/>
        </w:rPr>
        <w:t xml:space="preserve"> plant one endangered orchid for every unit of product sold. As an example of this</w:t>
      </w:r>
      <w:r w:rsidR="00B94AB7">
        <w:rPr>
          <w:lang w:val="en-CA"/>
        </w:rPr>
        <w:t xml:space="preserve"> kind of program</w:t>
      </w:r>
      <w:r w:rsidRPr="00634EAD">
        <w:rPr>
          <w:lang w:val="en-CA"/>
        </w:rPr>
        <w:t xml:space="preserve">, </w:t>
      </w:r>
      <w:r w:rsidR="008D6612">
        <w:rPr>
          <w:lang w:val="en-CA"/>
        </w:rPr>
        <w:t xml:space="preserve">in 2011, </w:t>
      </w:r>
      <w:r w:rsidRPr="00634EAD">
        <w:rPr>
          <w:lang w:val="en-CA"/>
        </w:rPr>
        <w:t xml:space="preserve">shoe company Sole Technology </w:t>
      </w:r>
      <w:r w:rsidR="008D6612">
        <w:rPr>
          <w:lang w:val="en-CA"/>
        </w:rPr>
        <w:t>launched</w:t>
      </w:r>
      <w:r w:rsidRPr="00634EAD">
        <w:rPr>
          <w:lang w:val="en-CA"/>
        </w:rPr>
        <w:t xml:space="preserve"> a </w:t>
      </w:r>
      <w:r w:rsidRPr="00634EAD">
        <w:rPr>
          <w:i/>
          <w:lang w:val="en-CA"/>
        </w:rPr>
        <w:t>Buy a Shoe, Plant a Tree</w:t>
      </w:r>
      <w:r w:rsidRPr="00634EAD">
        <w:rPr>
          <w:lang w:val="en-CA"/>
        </w:rPr>
        <w:t xml:space="preserve"> program</w:t>
      </w:r>
      <w:r w:rsidR="008D6612">
        <w:rPr>
          <w:lang w:val="en-CA"/>
        </w:rPr>
        <w:t>,</w:t>
      </w:r>
      <w:r w:rsidRPr="00634EAD">
        <w:rPr>
          <w:lang w:val="en-CA"/>
        </w:rPr>
        <w:t xml:space="preserve"> where the company plant</w:t>
      </w:r>
      <w:r w:rsidR="00A2243D">
        <w:rPr>
          <w:lang w:val="en-CA"/>
        </w:rPr>
        <w:t>ed</w:t>
      </w:r>
      <w:r w:rsidRPr="00634EAD">
        <w:rPr>
          <w:lang w:val="en-CA"/>
        </w:rPr>
        <w:t xml:space="preserve"> a tree in the Costa Rican rainforest for every pair of shoes sold.</w:t>
      </w:r>
    </w:p>
    <w:p w14:paraId="2B8DDB15" w14:textId="77777777" w:rsidR="008A7713" w:rsidRDefault="008A7713" w:rsidP="008A7713">
      <w:pPr>
        <w:pStyle w:val="BodyTextMain"/>
        <w:rPr>
          <w:b/>
          <w:lang w:val="en-CA"/>
        </w:rPr>
      </w:pPr>
    </w:p>
    <w:p w14:paraId="7C1A7716" w14:textId="77777777" w:rsidR="00931304" w:rsidRDefault="00931304" w:rsidP="008A7713">
      <w:pPr>
        <w:pStyle w:val="BodyTextMain"/>
        <w:rPr>
          <w:rFonts w:ascii="Arial" w:hAnsi="Arial" w:cs="Arial"/>
          <w:b/>
          <w:sz w:val="20"/>
          <w:szCs w:val="20"/>
          <w:lang w:val="en-CA"/>
        </w:rPr>
      </w:pPr>
    </w:p>
    <w:p w14:paraId="1E578B9E" w14:textId="31CCAC7A" w:rsidR="00B16E0A" w:rsidRPr="00F37842" w:rsidRDefault="00093E6D" w:rsidP="008A7713">
      <w:pPr>
        <w:pStyle w:val="BodyTextMain"/>
        <w:rPr>
          <w:rFonts w:ascii="Arial" w:hAnsi="Arial" w:cs="Arial"/>
          <w:sz w:val="20"/>
          <w:szCs w:val="20"/>
          <w:lang w:val="en-CA"/>
        </w:rPr>
      </w:pPr>
      <w:r w:rsidRPr="00F37842">
        <w:rPr>
          <w:rFonts w:ascii="Arial" w:hAnsi="Arial" w:cs="Arial"/>
          <w:b/>
          <w:sz w:val="20"/>
          <w:szCs w:val="20"/>
          <w:lang w:val="en-CA"/>
        </w:rPr>
        <w:t>Become a Research Site</w:t>
      </w:r>
    </w:p>
    <w:p w14:paraId="1F93F35C" w14:textId="77777777" w:rsidR="00B16E0A" w:rsidRDefault="00B16E0A" w:rsidP="008A7713">
      <w:pPr>
        <w:pStyle w:val="BodyTextMain"/>
        <w:rPr>
          <w:lang w:val="en-CA"/>
        </w:rPr>
      </w:pPr>
    </w:p>
    <w:p w14:paraId="09EBC46D" w14:textId="7B1EC272" w:rsidR="003B1BDC" w:rsidRPr="00634EAD" w:rsidRDefault="003B1BDC" w:rsidP="008A7713">
      <w:pPr>
        <w:pStyle w:val="BodyTextMain"/>
        <w:rPr>
          <w:lang w:val="en-CA"/>
        </w:rPr>
      </w:pPr>
      <w:r w:rsidRPr="00634EAD">
        <w:rPr>
          <w:lang w:val="en-CA"/>
        </w:rPr>
        <w:t xml:space="preserve">OSPF could link to a university research program and become a research lab for that university. Funding could be generated through service contracts with the university, </w:t>
      </w:r>
      <w:r w:rsidR="008D6612">
        <w:rPr>
          <w:lang w:val="en-CA"/>
        </w:rPr>
        <w:t xml:space="preserve">which would be </w:t>
      </w:r>
      <w:r w:rsidRPr="00634EAD">
        <w:rPr>
          <w:lang w:val="en-CA"/>
        </w:rPr>
        <w:t>paid from research grants or other university funds.</w:t>
      </w:r>
    </w:p>
    <w:p w14:paraId="34DB3F52" w14:textId="77777777" w:rsidR="008A7713" w:rsidRDefault="008A7713" w:rsidP="008A7713">
      <w:pPr>
        <w:pStyle w:val="BodyTextMain"/>
        <w:rPr>
          <w:b/>
          <w:lang w:val="en-CA"/>
        </w:rPr>
      </w:pPr>
    </w:p>
    <w:p w14:paraId="5A190FB1" w14:textId="77777777" w:rsidR="00931304" w:rsidRDefault="00931304" w:rsidP="008A7713">
      <w:pPr>
        <w:pStyle w:val="BodyTextMain"/>
        <w:rPr>
          <w:rFonts w:ascii="Arial" w:hAnsi="Arial" w:cs="Arial"/>
          <w:b/>
          <w:sz w:val="20"/>
          <w:szCs w:val="20"/>
          <w:lang w:val="en-CA"/>
        </w:rPr>
      </w:pPr>
    </w:p>
    <w:p w14:paraId="0E7BF084" w14:textId="7EFCD1B1" w:rsidR="00B16E0A" w:rsidRPr="00F37842" w:rsidRDefault="00093E6D" w:rsidP="008A7713">
      <w:pPr>
        <w:pStyle w:val="BodyTextMain"/>
        <w:rPr>
          <w:rFonts w:ascii="Arial" w:hAnsi="Arial" w:cs="Arial"/>
          <w:sz w:val="20"/>
          <w:szCs w:val="20"/>
          <w:lang w:val="en-CA"/>
        </w:rPr>
      </w:pPr>
      <w:r w:rsidRPr="00F37842">
        <w:rPr>
          <w:rFonts w:ascii="Arial" w:hAnsi="Arial" w:cs="Arial"/>
          <w:b/>
          <w:sz w:val="20"/>
          <w:szCs w:val="20"/>
          <w:lang w:val="en-CA"/>
        </w:rPr>
        <w:t>Produce and Sell Ingredients for Chinese Medicine</w:t>
      </w:r>
    </w:p>
    <w:p w14:paraId="43C6AB0E" w14:textId="77777777" w:rsidR="00B16E0A" w:rsidRDefault="00B16E0A" w:rsidP="008A7713">
      <w:pPr>
        <w:pStyle w:val="BodyTextMain"/>
        <w:rPr>
          <w:lang w:val="en-CA"/>
        </w:rPr>
      </w:pPr>
    </w:p>
    <w:p w14:paraId="379D0D48" w14:textId="77777777" w:rsidR="003B1BDC" w:rsidRPr="00634EAD" w:rsidRDefault="003B1BDC" w:rsidP="008A7713">
      <w:pPr>
        <w:pStyle w:val="BodyTextMain"/>
        <w:rPr>
          <w:lang w:val="en-CA"/>
        </w:rPr>
      </w:pPr>
      <w:r w:rsidRPr="00634EAD">
        <w:rPr>
          <w:lang w:val="en-CA"/>
        </w:rPr>
        <w:t>The OSPF would grow orchids and process them to harvest and sell the ingredients required for Chinese medicine.</w:t>
      </w:r>
    </w:p>
    <w:p w14:paraId="1F134ACA" w14:textId="77777777" w:rsidR="003B1BDC" w:rsidRDefault="003B1BDC" w:rsidP="003B1BDC">
      <w:pPr>
        <w:pStyle w:val="BodyTextMain"/>
        <w:rPr>
          <w:b/>
          <w:lang w:val="en-CA"/>
        </w:rPr>
      </w:pPr>
    </w:p>
    <w:p w14:paraId="4228F3BC" w14:textId="77777777" w:rsidR="003B1BDC" w:rsidRPr="00634EAD" w:rsidRDefault="003B1BDC" w:rsidP="003B1BDC">
      <w:pPr>
        <w:pStyle w:val="BodyTextMain"/>
        <w:rPr>
          <w:b/>
          <w:lang w:val="en-CA"/>
        </w:rPr>
      </w:pPr>
    </w:p>
    <w:p w14:paraId="381B50A9" w14:textId="77777777" w:rsidR="003B1BDC" w:rsidRPr="00DE234A" w:rsidRDefault="003B1BDC" w:rsidP="003B1BDC">
      <w:pPr>
        <w:pStyle w:val="Casehead1"/>
        <w:rPr>
          <w:lang w:val="en-CA"/>
        </w:rPr>
      </w:pPr>
      <w:r w:rsidRPr="00DE234A">
        <w:rPr>
          <w:lang w:val="en-CA"/>
        </w:rPr>
        <w:t>Competing Science and Educational Centres in Edmonton</w:t>
      </w:r>
    </w:p>
    <w:p w14:paraId="0AF22350" w14:textId="77777777" w:rsidR="003B1BDC" w:rsidRPr="00634EAD" w:rsidRDefault="003B1BDC" w:rsidP="003B1BDC">
      <w:pPr>
        <w:pStyle w:val="BodyTextMain"/>
        <w:rPr>
          <w:b/>
          <w:lang w:val="en-CA"/>
        </w:rPr>
      </w:pPr>
    </w:p>
    <w:p w14:paraId="06416538" w14:textId="67548BC3" w:rsidR="003B1BDC" w:rsidRPr="00634EAD" w:rsidRDefault="00976E0F" w:rsidP="003B1BDC">
      <w:pPr>
        <w:pStyle w:val="BodyTextMain"/>
        <w:rPr>
          <w:lang w:val="en-CA"/>
        </w:rPr>
      </w:pPr>
      <w:r>
        <w:rPr>
          <w:lang w:val="en-CA"/>
        </w:rPr>
        <w:t>Science education would constitute t</w:t>
      </w:r>
      <w:r w:rsidR="003B1BDC" w:rsidRPr="00634EAD">
        <w:rPr>
          <w:lang w:val="en-CA"/>
        </w:rPr>
        <w:t>he main focus of the new OSPF centre</w:t>
      </w:r>
      <w:r>
        <w:rPr>
          <w:lang w:val="en-CA"/>
        </w:rPr>
        <w:t>, and n</w:t>
      </w:r>
      <w:r w:rsidR="003B1BDC" w:rsidRPr="00634EAD">
        <w:rPr>
          <w:lang w:val="en-CA"/>
        </w:rPr>
        <w:t xml:space="preserve">o matter what method of funding </w:t>
      </w:r>
      <w:r w:rsidR="000C2BEA">
        <w:rPr>
          <w:lang w:val="en-CA"/>
        </w:rPr>
        <w:t xml:space="preserve">the </w:t>
      </w:r>
      <w:r w:rsidR="003B1BDC" w:rsidRPr="00634EAD">
        <w:rPr>
          <w:lang w:val="en-CA"/>
        </w:rPr>
        <w:t>OSPF chose</w:t>
      </w:r>
      <w:r>
        <w:rPr>
          <w:lang w:val="en-CA"/>
        </w:rPr>
        <w:t>,</w:t>
      </w:r>
      <w:r w:rsidR="003B1BDC" w:rsidRPr="00634EAD">
        <w:rPr>
          <w:lang w:val="en-CA"/>
        </w:rPr>
        <w:t xml:space="preserve"> the </w:t>
      </w:r>
      <w:r>
        <w:rPr>
          <w:lang w:val="en-CA"/>
        </w:rPr>
        <w:t>f</w:t>
      </w:r>
      <w:r w:rsidR="003B1BDC" w:rsidRPr="00634EAD">
        <w:rPr>
          <w:lang w:val="en-CA"/>
        </w:rPr>
        <w:t xml:space="preserve">oundation </w:t>
      </w:r>
      <w:r>
        <w:rPr>
          <w:lang w:val="en-CA"/>
        </w:rPr>
        <w:t>would have to</w:t>
      </w:r>
      <w:r w:rsidR="003B1BDC" w:rsidRPr="00634EAD">
        <w:rPr>
          <w:lang w:val="en-CA"/>
        </w:rPr>
        <w:t xml:space="preserve"> compet</w:t>
      </w:r>
      <w:r>
        <w:rPr>
          <w:lang w:val="en-CA"/>
        </w:rPr>
        <w:t>e</w:t>
      </w:r>
      <w:r w:rsidR="003B1BDC" w:rsidRPr="00634EAD">
        <w:rPr>
          <w:lang w:val="en-CA"/>
        </w:rPr>
        <w:t xml:space="preserve"> with similar organizations, facilities</w:t>
      </w:r>
      <w:r>
        <w:rPr>
          <w:lang w:val="en-CA"/>
        </w:rPr>
        <w:t>,</w:t>
      </w:r>
      <w:r w:rsidR="003B1BDC" w:rsidRPr="00634EAD">
        <w:rPr>
          <w:lang w:val="en-CA"/>
        </w:rPr>
        <w:t xml:space="preserve"> and programs. In Edmonton</w:t>
      </w:r>
      <w:r>
        <w:rPr>
          <w:lang w:val="en-CA"/>
        </w:rPr>
        <w:t>,</w:t>
      </w:r>
      <w:r w:rsidR="003B1BDC" w:rsidRPr="00634EAD">
        <w:rPr>
          <w:lang w:val="en-CA"/>
        </w:rPr>
        <w:t xml:space="preserve"> a number of organizations offer</w:t>
      </w:r>
      <w:r>
        <w:rPr>
          <w:lang w:val="en-CA"/>
        </w:rPr>
        <w:t>ed</w:t>
      </w:r>
      <w:r w:rsidR="003B1BDC" w:rsidRPr="00634EAD">
        <w:rPr>
          <w:lang w:val="en-CA"/>
        </w:rPr>
        <w:t xml:space="preserve"> educational programming relat</w:t>
      </w:r>
      <w:r w:rsidR="000C2BEA">
        <w:rPr>
          <w:lang w:val="en-CA"/>
        </w:rPr>
        <w:t>ed</w:t>
      </w:r>
      <w:r w:rsidR="003B1BDC" w:rsidRPr="00634EAD">
        <w:rPr>
          <w:lang w:val="en-CA"/>
        </w:rPr>
        <w:t xml:space="preserve"> to nature, outdoor education</w:t>
      </w:r>
      <w:r>
        <w:rPr>
          <w:lang w:val="en-CA"/>
        </w:rPr>
        <w:t>,</w:t>
      </w:r>
      <w:r w:rsidR="003B1BDC" w:rsidRPr="00634EAD">
        <w:rPr>
          <w:lang w:val="en-CA"/>
        </w:rPr>
        <w:t xml:space="preserve"> and history</w:t>
      </w:r>
      <w:r>
        <w:rPr>
          <w:lang w:val="en-CA"/>
        </w:rPr>
        <w:t xml:space="preserve">, and these </w:t>
      </w:r>
      <w:r w:rsidR="000C2BEA">
        <w:rPr>
          <w:lang w:val="en-CA"/>
        </w:rPr>
        <w:t>program</w:t>
      </w:r>
      <w:r>
        <w:rPr>
          <w:lang w:val="en-CA"/>
        </w:rPr>
        <w:t>s</w:t>
      </w:r>
      <w:r w:rsidR="003B1BDC" w:rsidRPr="00634EAD">
        <w:rPr>
          <w:lang w:val="en-CA"/>
        </w:rPr>
        <w:t xml:space="preserve"> would have to be considered when selecting revenue</w:t>
      </w:r>
      <w:r>
        <w:rPr>
          <w:lang w:val="en-CA"/>
        </w:rPr>
        <w:t>-</w:t>
      </w:r>
      <w:r w:rsidR="003B1BDC" w:rsidRPr="00634EAD">
        <w:rPr>
          <w:lang w:val="en-CA"/>
        </w:rPr>
        <w:t>generation opportunities.</w:t>
      </w:r>
    </w:p>
    <w:p w14:paraId="15D4CED1" w14:textId="77777777" w:rsidR="003B1BDC" w:rsidRPr="00837313" w:rsidRDefault="003B1BDC" w:rsidP="003B1BDC">
      <w:pPr>
        <w:pStyle w:val="BodyTextMain"/>
        <w:rPr>
          <w:lang w:val="en-CA"/>
        </w:rPr>
      </w:pPr>
    </w:p>
    <w:p w14:paraId="200EE79E" w14:textId="37DDF375" w:rsidR="003B1BDC" w:rsidRPr="00634EAD" w:rsidRDefault="003B1BDC" w:rsidP="003B1BDC">
      <w:pPr>
        <w:pStyle w:val="BodyTextMain"/>
        <w:rPr>
          <w:lang w:val="en-CA"/>
        </w:rPr>
      </w:pPr>
      <w:r w:rsidRPr="00634EAD">
        <w:rPr>
          <w:lang w:val="en-CA"/>
        </w:rPr>
        <w:t>The City of Edmonton ran many of the</w:t>
      </w:r>
      <w:r w:rsidR="000C2BEA">
        <w:rPr>
          <w:lang w:val="en-CA"/>
        </w:rPr>
        <w:t>se</w:t>
      </w:r>
      <w:r w:rsidRPr="00634EAD">
        <w:rPr>
          <w:lang w:val="en-CA"/>
        </w:rPr>
        <w:t xml:space="preserve"> </w:t>
      </w:r>
      <w:r w:rsidR="000C2BEA">
        <w:rPr>
          <w:lang w:val="en-CA"/>
        </w:rPr>
        <w:t xml:space="preserve">competitor </w:t>
      </w:r>
      <w:r w:rsidRPr="00634EAD">
        <w:rPr>
          <w:lang w:val="en-CA"/>
        </w:rPr>
        <w:t>facilities and programs, offer</w:t>
      </w:r>
      <w:r w:rsidR="008A2C13">
        <w:rPr>
          <w:lang w:val="en-CA"/>
        </w:rPr>
        <w:t>ing</w:t>
      </w:r>
      <w:r w:rsidRPr="00634EAD">
        <w:rPr>
          <w:lang w:val="en-CA"/>
        </w:rPr>
        <w:t xml:space="preserve"> a mix of education for pre-school children, school groups</w:t>
      </w:r>
      <w:r w:rsidR="008A2C13">
        <w:rPr>
          <w:lang w:val="en-CA"/>
        </w:rPr>
        <w:t>,</w:t>
      </w:r>
      <w:r w:rsidRPr="00634EAD">
        <w:rPr>
          <w:lang w:val="en-CA"/>
        </w:rPr>
        <w:t xml:space="preserve"> and, to a lesser extent, adults. </w:t>
      </w:r>
      <w:r w:rsidR="008A2C13">
        <w:rPr>
          <w:lang w:val="en-CA"/>
        </w:rPr>
        <w:t xml:space="preserve">The City of </w:t>
      </w:r>
      <w:r w:rsidRPr="00634EAD">
        <w:rPr>
          <w:lang w:val="en-CA"/>
        </w:rPr>
        <w:t xml:space="preserve">Edmonton also offered </w:t>
      </w:r>
      <w:r w:rsidR="008A2C13">
        <w:rPr>
          <w:lang w:val="en-CA"/>
        </w:rPr>
        <w:t>its</w:t>
      </w:r>
      <w:r w:rsidRPr="00634EAD">
        <w:rPr>
          <w:lang w:val="en-CA"/>
        </w:rPr>
        <w:t xml:space="preserve"> </w:t>
      </w:r>
      <w:r w:rsidR="008A2C13">
        <w:rPr>
          <w:lang w:val="en-CA"/>
        </w:rPr>
        <w:t xml:space="preserve">municipal </w:t>
      </w:r>
      <w:r w:rsidRPr="00634EAD">
        <w:rPr>
          <w:lang w:val="en-CA"/>
        </w:rPr>
        <w:t>facilities for birthday parties and special events, such as weddings and conference functions.</w:t>
      </w:r>
    </w:p>
    <w:p w14:paraId="76D85B02" w14:textId="77777777" w:rsidR="003B1BDC" w:rsidRDefault="003B1BDC" w:rsidP="003B1BDC">
      <w:pPr>
        <w:pStyle w:val="BodyTextMain"/>
        <w:rPr>
          <w:lang w:val="en-CA"/>
        </w:rPr>
      </w:pPr>
    </w:p>
    <w:p w14:paraId="652847EC" w14:textId="77777777" w:rsidR="00A433F1" w:rsidRPr="00634EAD" w:rsidRDefault="00A433F1" w:rsidP="003B1BDC">
      <w:pPr>
        <w:pStyle w:val="BodyTextMain"/>
        <w:rPr>
          <w:lang w:val="en-CA"/>
        </w:rPr>
      </w:pPr>
    </w:p>
    <w:p w14:paraId="6644CF75" w14:textId="77777777" w:rsidR="003B1BDC" w:rsidRPr="00634EAD" w:rsidRDefault="003B1BDC" w:rsidP="00A433F1">
      <w:pPr>
        <w:pStyle w:val="Casehead2"/>
        <w:rPr>
          <w:lang w:val="en-CA"/>
        </w:rPr>
      </w:pPr>
      <w:r w:rsidRPr="00634EAD">
        <w:rPr>
          <w:lang w:val="en-CA"/>
        </w:rPr>
        <w:lastRenderedPageBreak/>
        <w:t>City of Edmonton Attractions</w:t>
      </w:r>
      <w:r w:rsidR="00093E6D" w:rsidRPr="007A6E8B">
        <w:rPr>
          <w:rStyle w:val="FootnoteReference"/>
          <w:rFonts w:ascii="Times New Roman" w:hAnsi="Times New Roman" w:cs="Times New Roman"/>
          <w:b w:val="0"/>
          <w:sz w:val="22"/>
          <w:szCs w:val="22"/>
          <w:lang w:val="en-CA"/>
        </w:rPr>
        <w:footnoteReference w:id="13"/>
      </w:r>
      <w:r w:rsidRPr="00634EAD">
        <w:rPr>
          <w:lang w:val="en-CA"/>
        </w:rPr>
        <w:t xml:space="preserve"> </w:t>
      </w:r>
    </w:p>
    <w:p w14:paraId="78D7B915" w14:textId="77777777" w:rsidR="003B1BDC" w:rsidRPr="00634EAD" w:rsidRDefault="003B1BDC" w:rsidP="003B1BDC">
      <w:pPr>
        <w:pStyle w:val="BodyTextMain"/>
        <w:rPr>
          <w:lang w:val="en-CA"/>
        </w:rPr>
      </w:pPr>
    </w:p>
    <w:p w14:paraId="06E444F5" w14:textId="77777777" w:rsidR="00093E6D" w:rsidRDefault="00093E6D" w:rsidP="007A6E8B">
      <w:pPr>
        <w:pStyle w:val="BodyTextMain"/>
        <w:rPr>
          <w:lang w:val="en-CA"/>
        </w:rPr>
      </w:pPr>
      <w:r w:rsidRPr="007A6E8B">
        <w:rPr>
          <w:u w:val="single"/>
          <w:lang w:val="en-CA"/>
        </w:rPr>
        <w:t>Edmonton Valley Zoo</w:t>
      </w:r>
      <w:r w:rsidR="003B1BDC" w:rsidRPr="00634EAD">
        <w:rPr>
          <w:lang w:val="en-CA"/>
        </w:rPr>
        <w:t xml:space="preserve"> </w:t>
      </w:r>
    </w:p>
    <w:p w14:paraId="7E3614E3" w14:textId="77777777" w:rsidR="00093E6D" w:rsidRDefault="00093E6D" w:rsidP="007A6E8B">
      <w:pPr>
        <w:pStyle w:val="BodyTextMain"/>
        <w:rPr>
          <w:lang w:val="en-CA"/>
        </w:rPr>
      </w:pPr>
    </w:p>
    <w:p w14:paraId="7BCC36E8" w14:textId="3182A77C" w:rsidR="00093E6D" w:rsidRDefault="003B1BDC" w:rsidP="007A6E8B">
      <w:pPr>
        <w:pStyle w:val="BodyTextMain"/>
        <w:rPr>
          <w:lang w:val="en-CA"/>
        </w:rPr>
      </w:pPr>
      <w:r w:rsidRPr="00634EAD">
        <w:rPr>
          <w:lang w:val="en-CA"/>
        </w:rPr>
        <w:t>The zoo, located in Edmonton’s river valley, h</w:t>
      </w:r>
      <w:r w:rsidR="008A2C13">
        <w:rPr>
          <w:lang w:val="en-CA"/>
        </w:rPr>
        <w:t>oused</w:t>
      </w:r>
      <w:r w:rsidRPr="00634EAD">
        <w:rPr>
          <w:lang w:val="en-CA"/>
        </w:rPr>
        <w:t xml:space="preserve"> a live collection of amphibians, birds, mammals</w:t>
      </w:r>
      <w:r w:rsidR="008A2C13">
        <w:rPr>
          <w:lang w:val="en-CA"/>
        </w:rPr>
        <w:t>,</w:t>
      </w:r>
      <w:r w:rsidRPr="00634EAD">
        <w:rPr>
          <w:lang w:val="en-CA"/>
        </w:rPr>
        <w:t xml:space="preserve"> and reptiles.</w:t>
      </w:r>
      <w:r w:rsidR="000C2BEA">
        <w:rPr>
          <w:lang w:val="en-CA"/>
        </w:rPr>
        <w:t xml:space="preserve"> </w:t>
      </w:r>
      <w:r w:rsidRPr="00634EAD">
        <w:rPr>
          <w:lang w:val="en-CA"/>
        </w:rPr>
        <w:t xml:space="preserve">The zoo offered day camps for </w:t>
      </w:r>
      <w:r w:rsidR="008A2C13">
        <w:rPr>
          <w:lang w:val="en-CA"/>
        </w:rPr>
        <w:t xml:space="preserve">school-aged </w:t>
      </w:r>
      <w:r w:rsidRPr="00634EAD">
        <w:rPr>
          <w:lang w:val="en-CA"/>
        </w:rPr>
        <w:t>children and short nature-based activities for preschoolers. A</w:t>
      </w:r>
      <w:r w:rsidR="008A2C13">
        <w:rPr>
          <w:lang w:val="en-CA"/>
        </w:rPr>
        <w:t>lso, a</w:t>
      </w:r>
      <w:r w:rsidRPr="00634EAD">
        <w:rPr>
          <w:lang w:val="en-CA"/>
        </w:rPr>
        <w:t xml:space="preserve"> wide selection of programs designed for schools </w:t>
      </w:r>
      <w:r w:rsidR="008A2C13" w:rsidRPr="00634EAD">
        <w:rPr>
          <w:lang w:val="en-CA"/>
        </w:rPr>
        <w:t>w</w:t>
      </w:r>
      <w:r w:rsidR="008A2C13">
        <w:rPr>
          <w:lang w:val="en-CA"/>
        </w:rPr>
        <w:t>as</w:t>
      </w:r>
      <w:r w:rsidR="008A2C13" w:rsidRPr="00634EAD">
        <w:rPr>
          <w:lang w:val="en-CA"/>
        </w:rPr>
        <w:t xml:space="preserve"> </w:t>
      </w:r>
      <w:r w:rsidRPr="00634EAD">
        <w:rPr>
          <w:lang w:val="en-CA"/>
        </w:rPr>
        <w:t xml:space="preserve">available in the range of </w:t>
      </w:r>
      <w:r w:rsidRPr="00734803">
        <w:rPr>
          <w:lang w:val="en-CA"/>
        </w:rPr>
        <w:t>$150 to $250 per class</w:t>
      </w:r>
      <w:r w:rsidRPr="00634EAD">
        <w:rPr>
          <w:lang w:val="en-CA"/>
        </w:rPr>
        <w:t>. At the time</w:t>
      </w:r>
      <w:r w:rsidR="008A2C13">
        <w:rPr>
          <w:lang w:val="en-CA"/>
        </w:rPr>
        <w:t xml:space="preserve"> (i.e., 2014),</w:t>
      </w:r>
      <w:r w:rsidRPr="00634EAD">
        <w:rPr>
          <w:lang w:val="en-CA"/>
        </w:rPr>
        <w:t xml:space="preserve"> the zoo did not offer adult program</w:t>
      </w:r>
      <w:r w:rsidR="008A2C13">
        <w:rPr>
          <w:lang w:val="en-CA"/>
        </w:rPr>
        <w:t>m</w:t>
      </w:r>
      <w:r w:rsidRPr="00634EAD">
        <w:rPr>
          <w:lang w:val="en-CA"/>
        </w:rPr>
        <w:t>ing.</w:t>
      </w:r>
    </w:p>
    <w:p w14:paraId="64635897" w14:textId="77777777" w:rsidR="00093E6D" w:rsidRDefault="00093E6D" w:rsidP="007A6E8B">
      <w:pPr>
        <w:pStyle w:val="BodyTextMain"/>
        <w:rPr>
          <w:lang w:val="en-CA"/>
        </w:rPr>
      </w:pPr>
    </w:p>
    <w:p w14:paraId="524A91DD" w14:textId="77777777" w:rsidR="00E702AB" w:rsidRDefault="00E702AB" w:rsidP="007A6E8B">
      <w:pPr>
        <w:pStyle w:val="BodyTextMain"/>
        <w:rPr>
          <w:u w:val="single"/>
          <w:lang w:val="en-CA"/>
        </w:rPr>
      </w:pPr>
    </w:p>
    <w:p w14:paraId="11CAB28A" w14:textId="2692ADD2" w:rsidR="00093E6D" w:rsidRDefault="00093E6D" w:rsidP="007A6E8B">
      <w:pPr>
        <w:pStyle w:val="BodyTextMain"/>
        <w:rPr>
          <w:lang w:val="en-CA"/>
        </w:rPr>
      </w:pPr>
      <w:r w:rsidRPr="007A6E8B">
        <w:rPr>
          <w:u w:val="single"/>
          <w:lang w:val="en-CA"/>
        </w:rPr>
        <w:t>Fort Edmonton Park</w:t>
      </w:r>
      <w:r w:rsidR="003B1BDC" w:rsidRPr="00634EAD">
        <w:rPr>
          <w:lang w:val="en-CA"/>
        </w:rPr>
        <w:t xml:space="preserve"> </w:t>
      </w:r>
    </w:p>
    <w:p w14:paraId="28301726" w14:textId="77777777" w:rsidR="00093E6D" w:rsidRDefault="00093E6D" w:rsidP="007A6E8B">
      <w:pPr>
        <w:pStyle w:val="BodyTextMain"/>
        <w:rPr>
          <w:lang w:val="en-CA"/>
        </w:rPr>
      </w:pPr>
    </w:p>
    <w:p w14:paraId="57F4DD6D" w14:textId="49B32F01" w:rsidR="00093E6D" w:rsidRDefault="003B1BDC" w:rsidP="007A6E8B">
      <w:pPr>
        <w:pStyle w:val="BodyTextMain"/>
        <w:rPr>
          <w:lang w:val="en-CA"/>
        </w:rPr>
      </w:pPr>
      <w:r w:rsidRPr="00634EAD">
        <w:rPr>
          <w:lang w:val="en-CA"/>
        </w:rPr>
        <w:t xml:space="preserve">Also located in Edmonton’s river valley, Fort Edmonton was a historical park </w:t>
      </w:r>
      <w:r w:rsidR="008A2C13">
        <w:rPr>
          <w:lang w:val="en-CA"/>
        </w:rPr>
        <w:t xml:space="preserve">that </w:t>
      </w:r>
      <w:r w:rsidRPr="00634EAD">
        <w:rPr>
          <w:lang w:val="en-CA"/>
        </w:rPr>
        <w:t>show</w:t>
      </w:r>
      <w:r w:rsidR="0003605B">
        <w:rPr>
          <w:lang w:val="en-CA"/>
        </w:rPr>
        <w:t>cased</w:t>
      </w:r>
      <w:r w:rsidRPr="00634EAD">
        <w:rPr>
          <w:lang w:val="en-CA"/>
        </w:rPr>
        <w:t xml:space="preserve"> artifacts </w:t>
      </w:r>
      <w:r w:rsidR="0003605B">
        <w:rPr>
          <w:lang w:val="en-CA"/>
        </w:rPr>
        <w:t>that told the story of</w:t>
      </w:r>
      <w:r w:rsidRPr="00634EAD">
        <w:rPr>
          <w:lang w:val="en-CA"/>
        </w:rPr>
        <w:t xml:space="preserve"> Edmonton’s history. The park was education</w:t>
      </w:r>
      <w:r w:rsidR="0003605B">
        <w:rPr>
          <w:lang w:val="en-CA"/>
        </w:rPr>
        <w:t>-</w:t>
      </w:r>
      <w:r w:rsidR="00701904">
        <w:rPr>
          <w:lang w:val="en-CA"/>
        </w:rPr>
        <w:t xml:space="preserve">focused </w:t>
      </w:r>
      <w:r w:rsidR="00701904" w:rsidRPr="00634EAD">
        <w:rPr>
          <w:lang w:val="en-CA"/>
        </w:rPr>
        <w:t>and</w:t>
      </w:r>
      <w:r w:rsidRPr="00634EAD">
        <w:rPr>
          <w:lang w:val="en-CA"/>
        </w:rPr>
        <w:t xml:space="preserve"> attracted visitors to its school progr</w:t>
      </w:r>
      <w:r w:rsidRPr="00734803">
        <w:rPr>
          <w:lang w:val="en-CA"/>
        </w:rPr>
        <w:t>ams ($200 to $350 per group)</w:t>
      </w:r>
      <w:r w:rsidR="000C2BEA">
        <w:rPr>
          <w:lang w:val="en-CA"/>
        </w:rPr>
        <w:t xml:space="preserve"> and its</w:t>
      </w:r>
      <w:r w:rsidRPr="00734803">
        <w:rPr>
          <w:lang w:val="en-CA"/>
        </w:rPr>
        <w:t xml:space="preserve"> day</w:t>
      </w:r>
      <w:r w:rsidRPr="00634EAD">
        <w:rPr>
          <w:lang w:val="en-CA"/>
        </w:rPr>
        <w:t xml:space="preserve"> camps for children</w:t>
      </w:r>
      <w:r w:rsidR="000C2BEA">
        <w:rPr>
          <w:lang w:val="en-CA"/>
        </w:rPr>
        <w:t>; the park also offered</w:t>
      </w:r>
      <w:r w:rsidRPr="00634EAD">
        <w:rPr>
          <w:lang w:val="en-CA"/>
        </w:rPr>
        <w:t xml:space="preserve"> family programs on </w:t>
      </w:r>
      <w:r w:rsidR="00734803">
        <w:rPr>
          <w:lang w:val="en-CA"/>
        </w:rPr>
        <w:t>holidays</w:t>
      </w:r>
      <w:r w:rsidRPr="00634EAD">
        <w:rPr>
          <w:lang w:val="en-CA"/>
        </w:rPr>
        <w:t xml:space="preserve"> such as Valentine’s Day and Easter.</w:t>
      </w:r>
    </w:p>
    <w:p w14:paraId="67DF8985" w14:textId="77777777" w:rsidR="00093E6D" w:rsidRDefault="00093E6D" w:rsidP="007A6E8B">
      <w:pPr>
        <w:pStyle w:val="BodyTextMain"/>
        <w:rPr>
          <w:lang w:val="en-CA"/>
        </w:rPr>
      </w:pPr>
    </w:p>
    <w:p w14:paraId="05AB94E0" w14:textId="77777777" w:rsidR="00E702AB" w:rsidRDefault="00E702AB" w:rsidP="007A6E8B">
      <w:pPr>
        <w:pStyle w:val="BodyTextMain"/>
        <w:rPr>
          <w:u w:val="single"/>
          <w:lang w:val="en-CA"/>
        </w:rPr>
      </w:pPr>
    </w:p>
    <w:p w14:paraId="227B1BE2" w14:textId="7CD2FEC8" w:rsidR="00093E6D" w:rsidRDefault="00093E6D" w:rsidP="007A6E8B">
      <w:pPr>
        <w:pStyle w:val="BodyTextMain"/>
        <w:rPr>
          <w:lang w:val="en-CA"/>
        </w:rPr>
      </w:pPr>
      <w:r w:rsidRPr="007A6E8B">
        <w:rPr>
          <w:u w:val="single"/>
          <w:lang w:val="en-CA"/>
        </w:rPr>
        <w:t>Muttart Conservatory</w:t>
      </w:r>
      <w:r w:rsidR="003B1BDC" w:rsidRPr="00634EAD">
        <w:rPr>
          <w:lang w:val="en-CA"/>
        </w:rPr>
        <w:t xml:space="preserve"> </w:t>
      </w:r>
    </w:p>
    <w:p w14:paraId="67E98404" w14:textId="77777777" w:rsidR="00093E6D" w:rsidRDefault="00093E6D" w:rsidP="007A6E8B">
      <w:pPr>
        <w:pStyle w:val="BodyTextMain"/>
        <w:rPr>
          <w:lang w:val="en-CA"/>
        </w:rPr>
      </w:pPr>
    </w:p>
    <w:p w14:paraId="047A8245" w14:textId="7A1F1021" w:rsidR="00093E6D" w:rsidRDefault="003B1BDC" w:rsidP="007A6E8B">
      <w:pPr>
        <w:pStyle w:val="BodyTextMain"/>
        <w:rPr>
          <w:lang w:val="en-CA"/>
        </w:rPr>
      </w:pPr>
      <w:r w:rsidRPr="00634EAD">
        <w:rPr>
          <w:lang w:val="en-CA"/>
        </w:rPr>
        <w:t xml:space="preserve">The </w:t>
      </w:r>
      <w:r w:rsidR="00734803">
        <w:rPr>
          <w:lang w:val="en-CA"/>
        </w:rPr>
        <w:t>Muttart</w:t>
      </w:r>
      <w:r w:rsidRPr="00634EAD">
        <w:rPr>
          <w:lang w:val="en-CA"/>
        </w:rPr>
        <w:t>, described previously, offered courses for preschoolers and adults</w:t>
      </w:r>
      <w:r w:rsidR="00734803">
        <w:rPr>
          <w:lang w:val="en-CA"/>
        </w:rPr>
        <w:t>,</w:t>
      </w:r>
      <w:r w:rsidRPr="00634EAD">
        <w:rPr>
          <w:lang w:val="en-CA"/>
        </w:rPr>
        <w:t xml:space="preserve"> focusing on gardening, meditation</w:t>
      </w:r>
      <w:r w:rsidR="00734803">
        <w:rPr>
          <w:lang w:val="en-CA"/>
        </w:rPr>
        <w:t>,</w:t>
      </w:r>
      <w:r w:rsidRPr="00634EAD">
        <w:rPr>
          <w:lang w:val="en-CA"/>
        </w:rPr>
        <w:t xml:space="preserve"> and crafts in the range of $85 to $100</w:t>
      </w:r>
      <w:r w:rsidR="000C2BEA">
        <w:rPr>
          <w:lang w:val="en-CA"/>
        </w:rPr>
        <w:t xml:space="preserve"> per person</w:t>
      </w:r>
      <w:r w:rsidRPr="00634EAD">
        <w:rPr>
          <w:lang w:val="en-CA"/>
        </w:rPr>
        <w:t xml:space="preserve">. The </w:t>
      </w:r>
      <w:r w:rsidR="00734803">
        <w:rPr>
          <w:lang w:val="en-CA"/>
        </w:rPr>
        <w:t>Muttart</w:t>
      </w:r>
      <w:r w:rsidR="00734803" w:rsidRPr="00634EAD">
        <w:rPr>
          <w:lang w:val="en-CA"/>
        </w:rPr>
        <w:t xml:space="preserve"> </w:t>
      </w:r>
      <w:r w:rsidRPr="00634EAD">
        <w:rPr>
          <w:lang w:val="en-CA"/>
        </w:rPr>
        <w:t xml:space="preserve">offered </w:t>
      </w:r>
      <w:r w:rsidR="00734803">
        <w:rPr>
          <w:lang w:val="en-CA"/>
        </w:rPr>
        <w:t>botany-</w:t>
      </w:r>
      <w:r w:rsidR="00734803" w:rsidRPr="00634EAD">
        <w:rPr>
          <w:lang w:val="en-CA"/>
        </w:rPr>
        <w:t xml:space="preserve">focused courses </w:t>
      </w:r>
      <w:r w:rsidR="00734803">
        <w:rPr>
          <w:lang w:val="en-CA"/>
        </w:rPr>
        <w:t xml:space="preserve">for </w:t>
      </w:r>
      <w:r w:rsidRPr="00634EAD">
        <w:rPr>
          <w:lang w:val="en-CA"/>
        </w:rPr>
        <w:t xml:space="preserve">school groups (up to the age of 12) </w:t>
      </w:r>
      <w:r w:rsidR="00734803">
        <w:rPr>
          <w:lang w:val="en-CA"/>
        </w:rPr>
        <w:t xml:space="preserve">for approximately </w:t>
      </w:r>
      <w:r w:rsidRPr="00634EAD">
        <w:rPr>
          <w:lang w:val="en-CA"/>
        </w:rPr>
        <w:t>$150</w:t>
      </w:r>
      <w:r w:rsidR="00734803">
        <w:rPr>
          <w:lang w:val="en-CA"/>
        </w:rPr>
        <w:t xml:space="preserve"> per group</w:t>
      </w:r>
      <w:r w:rsidRPr="00634EAD">
        <w:rPr>
          <w:lang w:val="en-CA"/>
        </w:rPr>
        <w:t>.</w:t>
      </w:r>
    </w:p>
    <w:p w14:paraId="6AE44B5C" w14:textId="77777777" w:rsidR="00093E6D" w:rsidRDefault="00093E6D" w:rsidP="007A6E8B">
      <w:pPr>
        <w:pStyle w:val="BodyTextMain"/>
        <w:rPr>
          <w:lang w:val="en-CA"/>
        </w:rPr>
      </w:pPr>
    </w:p>
    <w:p w14:paraId="532BEE66" w14:textId="77777777" w:rsidR="00E702AB" w:rsidRDefault="00E702AB" w:rsidP="007A6E8B">
      <w:pPr>
        <w:pStyle w:val="BodyTextMain"/>
        <w:rPr>
          <w:u w:val="single"/>
          <w:lang w:val="en-CA"/>
        </w:rPr>
      </w:pPr>
    </w:p>
    <w:p w14:paraId="5765A122" w14:textId="77777777" w:rsidR="00093E6D" w:rsidRDefault="00093E6D" w:rsidP="007A6E8B">
      <w:pPr>
        <w:pStyle w:val="BodyTextMain"/>
        <w:rPr>
          <w:lang w:val="en-CA"/>
        </w:rPr>
      </w:pPr>
      <w:r w:rsidRPr="007A6E8B">
        <w:rPr>
          <w:u w:val="single"/>
          <w:lang w:val="en-CA"/>
        </w:rPr>
        <w:t>John Janzen Nature Centre</w:t>
      </w:r>
      <w:r w:rsidR="00F160F6">
        <w:rPr>
          <w:lang w:val="en-CA"/>
        </w:rPr>
        <w:t xml:space="preserve"> </w:t>
      </w:r>
    </w:p>
    <w:p w14:paraId="70E38CA2" w14:textId="77777777" w:rsidR="00093E6D" w:rsidRDefault="00093E6D" w:rsidP="007A6E8B">
      <w:pPr>
        <w:pStyle w:val="BodyTextMain"/>
        <w:rPr>
          <w:lang w:val="en-CA"/>
        </w:rPr>
      </w:pPr>
    </w:p>
    <w:p w14:paraId="649729A5" w14:textId="29005DD8" w:rsidR="00093E6D" w:rsidRDefault="00734803" w:rsidP="007A6E8B">
      <w:pPr>
        <w:pStyle w:val="BodyTextMain"/>
        <w:rPr>
          <w:lang w:val="en-CA"/>
        </w:rPr>
      </w:pPr>
      <w:r>
        <w:rPr>
          <w:lang w:val="en-CA"/>
        </w:rPr>
        <w:t>T</w:t>
      </w:r>
      <w:r w:rsidR="003B1BDC" w:rsidRPr="00634EAD">
        <w:rPr>
          <w:lang w:val="en-CA"/>
        </w:rPr>
        <w:t xml:space="preserve">his facility was positioned physically next to Fort Edmonton Park and focused on the promotion of nature in an urban setting. The </w:t>
      </w:r>
      <w:r>
        <w:rPr>
          <w:lang w:val="en-CA"/>
        </w:rPr>
        <w:t>centre</w:t>
      </w:r>
      <w:r w:rsidR="003B1BDC" w:rsidRPr="00634EAD">
        <w:rPr>
          <w:lang w:val="en-CA"/>
        </w:rPr>
        <w:t xml:space="preserve"> offered courses for children, including nature discovery and geocaching, at similar prices to </w:t>
      </w:r>
      <w:r>
        <w:rPr>
          <w:lang w:val="en-CA"/>
        </w:rPr>
        <w:t xml:space="preserve">those of </w:t>
      </w:r>
      <w:r w:rsidR="003B1BDC" w:rsidRPr="00634EAD">
        <w:rPr>
          <w:lang w:val="en-CA"/>
        </w:rPr>
        <w:t>the Valley Zoo. Elementary school groups could book nature-based activities for approximately $135</w:t>
      </w:r>
      <w:r>
        <w:rPr>
          <w:lang w:val="en-CA"/>
        </w:rPr>
        <w:t xml:space="preserve"> per group</w:t>
      </w:r>
      <w:r w:rsidR="003B1BDC" w:rsidRPr="00634EAD">
        <w:rPr>
          <w:lang w:val="en-CA"/>
        </w:rPr>
        <w:t>.</w:t>
      </w:r>
    </w:p>
    <w:p w14:paraId="16259674" w14:textId="77777777" w:rsidR="00093E6D" w:rsidRDefault="00093E6D" w:rsidP="007A6E8B">
      <w:pPr>
        <w:pStyle w:val="BodyTextMain"/>
        <w:rPr>
          <w:lang w:val="en-CA"/>
        </w:rPr>
      </w:pPr>
    </w:p>
    <w:p w14:paraId="3B09AF1E" w14:textId="77777777" w:rsidR="00E702AB" w:rsidRDefault="00E702AB" w:rsidP="007A6E8B">
      <w:pPr>
        <w:pStyle w:val="BodyTextMain"/>
        <w:rPr>
          <w:u w:val="single"/>
          <w:lang w:val="en-CA"/>
        </w:rPr>
      </w:pPr>
    </w:p>
    <w:p w14:paraId="7D8FD69B" w14:textId="0E1CFA91" w:rsidR="00093E6D" w:rsidRDefault="00093E6D" w:rsidP="007A6E8B">
      <w:pPr>
        <w:pStyle w:val="BodyTextMain"/>
        <w:rPr>
          <w:lang w:val="en-CA"/>
        </w:rPr>
      </w:pPr>
      <w:r w:rsidRPr="007A6E8B">
        <w:rPr>
          <w:u w:val="single"/>
          <w:lang w:val="en-CA"/>
        </w:rPr>
        <w:t>River Valley Outdoor Pursuits</w:t>
      </w:r>
      <w:r w:rsidR="003B1BDC" w:rsidRPr="00634EAD">
        <w:rPr>
          <w:lang w:val="en-CA"/>
        </w:rPr>
        <w:t xml:space="preserve"> </w:t>
      </w:r>
    </w:p>
    <w:p w14:paraId="1228E7CE" w14:textId="77777777" w:rsidR="00093E6D" w:rsidRDefault="00093E6D" w:rsidP="007A6E8B">
      <w:pPr>
        <w:pStyle w:val="BodyTextMain"/>
        <w:rPr>
          <w:lang w:val="en-CA"/>
        </w:rPr>
      </w:pPr>
    </w:p>
    <w:p w14:paraId="4651881A" w14:textId="365D71FC" w:rsidR="00093E6D" w:rsidRDefault="003B1BDC" w:rsidP="007A6E8B">
      <w:pPr>
        <w:pStyle w:val="BodyTextMain"/>
        <w:rPr>
          <w:lang w:val="en-CA"/>
        </w:rPr>
      </w:pPr>
      <w:r w:rsidRPr="00634EAD">
        <w:rPr>
          <w:lang w:val="en-CA"/>
        </w:rPr>
        <w:t xml:space="preserve">Edmonton’s Parks and Recreation </w:t>
      </w:r>
      <w:r w:rsidR="00734803">
        <w:rPr>
          <w:lang w:val="en-CA"/>
        </w:rPr>
        <w:t>D</w:t>
      </w:r>
      <w:r w:rsidRPr="00634EAD">
        <w:rPr>
          <w:lang w:val="en-CA"/>
        </w:rPr>
        <w:t xml:space="preserve">epartment offered </w:t>
      </w:r>
      <w:r w:rsidR="00734803">
        <w:rPr>
          <w:lang w:val="en-CA"/>
        </w:rPr>
        <w:t xml:space="preserve">outdoor fitness </w:t>
      </w:r>
      <w:r w:rsidRPr="00634EAD">
        <w:rPr>
          <w:lang w:val="en-CA"/>
        </w:rPr>
        <w:t>courses</w:t>
      </w:r>
      <w:r w:rsidR="00734803">
        <w:rPr>
          <w:lang w:val="en-CA"/>
        </w:rPr>
        <w:t>,</w:t>
      </w:r>
      <w:r w:rsidRPr="00634EAD">
        <w:rPr>
          <w:lang w:val="en-CA"/>
        </w:rPr>
        <w:t xml:space="preserve"> such as cross</w:t>
      </w:r>
      <w:r w:rsidR="00734803">
        <w:rPr>
          <w:lang w:val="en-CA"/>
        </w:rPr>
        <w:t>-</w:t>
      </w:r>
      <w:r w:rsidRPr="00634EAD">
        <w:rPr>
          <w:lang w:val="en-CA"/>
        </w:rPr>
        <w:t>country skiing, snowshoeing, and biathlon for $35</w:t>
      </w:r>
      <w:r w:rsidR="00734803">
        <w:rPr>
          <w:lang w:val="en-CA"/>
        </w:rPr>
        <w:t xml:space="preserve"> per person per course</w:t>
      </w:r>
      <w:r w:rsidRPr="00634EAD">
        <w:rPr>
          <w:lang w:val="en-CA"/>
        </w:rPr>
        <w:t>.</w:t>
      </w:r>
    </w:p>
    <w:p w14:paraId="40DF251D" w14:textId="77777777" w:rsidR="003B1BDC" w:rsidRPr="00634EAD" w:rsidRDefault="003B1BDC" w:rsidP="003B1BDC">
      <w:pPr>
        <w:pStyle w:val="BodyTextMain"/>
        <w:rPr>
          <w:lang w:val="en-CA"/>
        </w:rPr>
      </w:pPr>
    </w:p>
    <w:p w14:paraId="4B9F90F1" w14:textId="77777777" w:rsidR="00E702AB" w:rsidRDefault="00E702AB" w:rsidP="003B1BDC">
      <w:pPr>
        <w:pStyle w:val="BodyTextMain"/>
        <w:rPr>
          <w:u w:val="single"/>
          <w:lang w:val="en-CA"/>
        </w:rPr>
      </w:pPr>
    </w:p>
    <w:p w14:paraId="43884B5C" w14:textId="39EAA990" w:rsidR="004E7F10" w:rsidRDefault="00093E6D" w:rsidP="003B1BDC">
      <w:pPr>
        <w:pStyle w:val="BodyTextMain"/>
        <w:rPr>
          <w:u w:val="single"/>
          <w:lang w:val="en-CA"/>
        </w:rPr>
      </w:pPr>
      <w:r w:rsidRPr="007A6E8B">
        <w:rPr>
          <w:u w:val="single"/>
          <w:lang w:val="en-CA"/>
        </w:rPr>
        <w:t>Telus World of Science</w:t>
      </w:r>
      <w:r w:rsidR="00734803">
        <w:rPr>
          <w:u w:val="single"/>
          <w:lang w:val="en-CA"/>
        </w:rPr>
        <w:t xml:space="preserve"> (TWS)</w:t>
      </w:r>
      <w:r w:rsidR="003B1BDC" w:rsidRPr="00634EAD">
        <w:rPr>
          <w:rStyle w:val="FootnoteReference"/>
          <w:color w:val="000000"/>
          <w:sz w:val="24"/>
          <w:lang w:val="en-CA"/>
        </w:rPr>
        <w:footnoteReference w:id="14"/>
      </w:r>
    </w:p>
    <w:p w14:paraId="5EBFF225" w14:textId="77777777" w:rsidR="004E7F10" w:rsidRDefault="004E7F10" w:rsidP="003B1BDC">
      <w:pPr>
        <w:pStyle w:val="BodyTextMain"/>
        <w:rPr>
          <w:u w:val="single"/>
          <w:lang w:val="en-CA"/>
        </w:rPr>
      </w:pPr>
    </w:p>
    <w:p w14:paraId="04B95A99" w14:textId="14BAA8DE" w:rsidR="00E702AB" w:rsidRDefault="00734803" w:rsidP="003B1BDC">
      <w:pPr>
        <w:pStyle w:val="BodyTextMain"/>
        <w:rPr>
          <w:lang w:val="en-CA"/>
        </w:rPr>
      </w:pPr>
      <w:r>
        <w:rPr>
          <w:lang w:val="en-CA"/>
        </w:rPr>
        <w:t xml:space="preserve">This facility was </w:t>
      </w:r>
      <w:r w:rsidR="003B1BDC" w:rsidRPr="00634EAD">
        <w:rPr>
          <w:lang w:val="en-CA"/>
        </w:rPr>
        <w:t xml:space="preserve">operated by the Edmonton Space and Science Foundation, </w:t>
      </w:r>
      <w:r>
        <w:rPr>
          <w:lang w:val="en-CA"/>
        </w:rPr>
        <w:t xml:space="preserve">and it </w:t>
      </w:r>
      <w:r w:rsidR="003B1BDC" w:rsidRPr="00634EAD">
        <w:rPr>
          <w:lang w:val="en-CA"/>
        </w:rPr>
        <w:t xml:space="preserve">offered educational programs with the aim of creating a positive </w:t>
      </w:r>
      <w:r>
        <w:rPr>
          <w:lang w:val="en-CA"/>
        </w:rPr>
        <w:t xml:space="preserve">culture with respect to </w:t>
      </w:r>
      <w:r w:rsidR="003B1BDC" w:rsidRPr="00634EAD">
        <w:rPr>
          <w:lang w:val="en-CA"/>
        </w:rPr>
        <w:t>science and technology</w:t>
      </w:r>
      <w:r>
        <w:rPr>
          <w:lang w:val="en-CA"/>
        </w:rPr>
        <w:t>.</w:t>
      </w:r>
      <w:r w:rsidR="003B1BDC" w:rsidRPr="00634EAD">
        <w:rPr>
          <w:lang w:val="en-CA"/>
        </w:rPr>
        <w:t xml:space="preserve"> The facility included interactive science galleries, an IMAX theatre, a star theatre, an astronomy observatory</w:t>
      </w:r>
      <w:r>
        <w:rPr>
          <w:lang w:val="en-CA"/>
        </w:rPr>
        <w:t>,</w:t>
      </w:r>
      <w:r w:rsidR="003B1BDC" w:rsidRPr="00634EAD">
        <w:rPr>
          <w:lang w:val="en-CA"/>
        </w:rPr>
        <w:t xml:space="preserve"> and galleries t</w:t>
      </w:r>
      <w:r>
        <w:rPr>
          <w:lang w:val="en-CA"/>
        </w:rPr>
        <w:t>hat</w:t>
      </w:r>
      <w:r w:rsidR="003B1BDC" w:rsidRPr="00634EAD">
        <w:rPr>
          <w:lang w:val="en-CA"/>
        </w:rPr>
        <w:t xml:space="preserve"> host</w:t>
      </w:r>
      <w:r>
        <w:rPr>
          <w:lang w:val="en-CA"/>
        </w:rPr>
        <w:t>ed</w:t>
      </w:r>
      <w:r w:rsidR="003B1BDC" w:rsidRPr="00634EAD">
        <w:rPr>
          <w:lang w:val="en-CA"/>
        </w:rPr>
        <w:t xml:space="preserve"> travelling exhibits</w:t>
      </w:r>
      <w:r>
        <w:rPr>
          <w:lang w:val="en-CA"/>
        </w:rPr>
        <w:t>,</w:t>
      </w:r>
      <w:r w:rsidR="003B1BDC" w:rsidRPr="00634EAD">
        <w:rPr>
          <w:lang w:val="en-CA"/>
        </w:rPr>
        <w:t xml:space="preserve"> such as Star Wars Identities, Body Worlds (showing real human specimens dissected)</w:t>
      </w:r>
      <w:r>
        <w:rPr>
          <w:lang w:val="en-CA"/>
        </w:rPr>
        <w:t>,</w:t>
      </w:r>
      <w:r w:rsidR="003B1BDC" w:rsidRPr="00634EAD">
        <w:rPr>
          <w:lang w:val="en-CA"/>
        </w:rPr>
        <w:t xml:space="preserve"> and Harry Potter: The Exhibition.</w:t>
      </w:r>
    </w:p>
    <w:p w14:paraId="55D55B4D" w14:textId="1B59C226" w:rsidR="003B1BDC" w:rsidRPr="00634EAD" w:rsidRDefault="00734803" w:rsidP="003B1BDC">
      <w:pPr>
        <w:pStyle w:val="BodyTextMain"/>
        <w:rPr>
          <w:lang w:val="en-CA"/>
        </w:rPr>
      </w:pPr>
      <w:r>
        <w:rPr>
          <w:lang w:val="en-CA"/>
        </w:rPr>
        <w:lastRenderedPageBreak/>
        <w:t>TWS</w:t>
      </w:r>
      <w:r w:rsidR="003B1BDC" w:rsidRPr="00634EAD">
        <w:rPr>
          <w:lang w:val="en-CA"/>
        </w:rPr>
        <w:t xml:space="preserve"> did not focus on biology but did include an environmental gallery that explored ice, rock, ecology</w:t>
      </w:r>
      <w:r>
        <w:rPr>
          <w:lang w:val="en-CA"/>
        </w:rPr>
        <w:t>,</w:t>
      </w:r>
      <w:r w:rsidR="003B1BDC" w:rsidRPr="00634EAD">
        <w:rPr>
          <w:lang w:val="en-CA"/>
        </w:rPr>
        <w:t xml:space="preserve"> and storms. Th</w:t>
      </w:r>
      <w:r>
        <w:rPr>
          <w:lang w:val="en-CA"/>
        </w:rPr>
        <w:t>is</w:t>
      </w:r>
      <w:r w:rsidR="003B1BDC" w:rsidRPr="00634EAD">
        <w:rPr>
          <w:lang w:val="en-CA"/>
        </w:rPr>
        <w:t xml:space="preserve"> facility was available for events and parties</w:t>
      </w:r>
      <w:r>
        <w:rPr>
          <w:lang w:val="en-CA"/>
        </w:rPr>
        <w:t>; c</w:t>
      </w:r>
      <w:r w:rsidR="003B1BDC" w:rsidRPr="00634EAD">
        <w:rPr>
          <w:lang w:val="en-CA"/>
        </w:rPr>
        <w:t>ourse offerings were limited. Children had access to science camps</w:t>
      </w:r>
      <w:r>
        <w:rPr>
          <w:lang w:val="en-CA"/>
        </w:rPr>
        <w:t>,</w:t>
      </w:r>
      <w:r w:rsidR="003B1BDC" w:rsidRPr="00634EAD">
        <w:rPr>
          <w:lang w:val="en-CA"/>
        </w:rPr>
        <w:t xml:space="preserve"> and adults could take astronomy courses</w:t>
      </w:r>
      <w:r>
        <w:rPr>
          <w:lang w:val="en-CA"/>
        </w:rPr>
        <w:t>, all</w:t>
      </w:r>
      <w:r w:rsidR="003B1BDC" w:rsidRPr="00634EAD">
        <w:rPr>
          <w:lang w:val="en-CA"/>
        </w:rPr>
        <w:t xml:space="preserve"> ranging in price from $75 to $300</w:t>
      </w:r>
      <w:r>
        <w:rPr>
          <w:lang w:val="en-CA"/>
        </w:rPr>
        <w:t xml:space="preserve"> per person</w:t>
      </w:r>
      <w:r w:rsidR="003B1BDC" w:rsidRPr="00634EAD">
        <w:rPr>
          <w:lang w:val="en-CA"/>
        </w:rPr>
        <w:t xml:space="preserve">. </w:t>
      </w:r>
      <w:r>
        <w:rPr>
          <w:lang w:val="en-CA"/>
        </w:rPr>
        <w:t>TWS offered s</w:t>
      </w:r>
      <w:r w:rsidR="003B1BDC" w:rsidRPr="00634EAD">
        <w:rPr>
          <w:lang w:val="en-CA"/>
        </w:rPr>
        <w:t>chool programs that included IMAX films and science demonstrations</w:t>
      </w:r>
      <w:r w:rsidR="00CD3F46">
        <w:rPr>
          <w:lang w:val="en-CA"/>
        </w:rPr>
        <w:t>; t</w:t>
      </w:r>
      <w:r w:rsidR="003B1BDC" w:rsidRPr="00634EAD">
        <w:rPr>
          <w:lang w:val="en-CA"/>
        </w:rPr>
        <w:t xml:space="preserve">hese </w:t>
      </w:r>
      <w:r w:rsidR="00CD3F46">
        <w:rPr>
          <w:lang w:val="en-CA"/>
        </w:rPr>
        <w:t xml:space="preserve">programs </w:t>
      </w:r>
      <w:r w:rsidR="003B1BDC" w:rsidRPr="00634EAD">
        <w:rPr>
          <w:lang w:val="en-CA"/>
        </w:rPr>
        <w:t xml:space="preserve">were priced </w:t>
      </w:r>
      <w:r w:rsidR="00CD3F46">
        <w:rPr>
          <w:lang w:val="en-CA"/>
        </w:rPr>
        <w:t xml:space="preserve">starting </w:t>
      </w:r>
      <w:r w:rsidR="003B1BDC" w:rsidRPr="00634EAD">
        <w:rPr>
          <w:lang w:val="en-CA"/>
        </w:rPr>
        <w:t>at approximately $10 per student</w:t>
      </w:r>
      <w:r w:rsidR="00CD3F46">
        <w:rPr>
          <w:lang w:val="en-CA"/>
        </w:rPr>
        <w:t xml:space="preserve"> </w:t>
      </w:r>
      <w:r w:rsidR="003B511D">
        <w:rPr>
          <w:lang w:val="en-CA"/>
        </w:rPr>
        <w:t xml:space="preserve">and </w:t>
      </w:r>
      <w:r w:rsidR="00CD3F46">
        <w:rPr>
          <w:lang w:val="en-CA"/>
        </w:rPr>
        <w:t>the price went</w:t>
      </w:r>
      <w:r w:rsidR="003B1BDC" w:rsidRPr="00634EAD">
        <w:rPr>
          <w:lang w:val="en-CA"/>
        </w:rPr>
        <w:t xml:space="preserve"> up depending on the requirements.</w:t>
      </w:r>
    </w:p>
    <w:p w14:paraId="751C69E4" w14:textId="77777777" w:rsidR="003B1BDC" w:rsidRPr="00634EAD" w:rsidRDefault="003B1BDC" w:rsidP="003B1BDC">
      <w:pPr>
        <w:pStyle w:val="BodyTextMain"/>
        <w:rPr>
          <w:lang w:val="en-CA"/>
        </w:rPr>
      </w:pPr>
    </w:p>
    <w:p w14:paraId="5E17569F" w14:textId="77777777" w:rsidR="00E702AB" w:rsidRDefault="00E702AB" w:rsidP="003B1BDC">
      <w:pPr>
        <w:pStyle w:val="BodyTextMain"/>
        <w:rPr>
          <w:u w:val="single"/>
          <w:lang w:val="en-CA"/>
        </w:rPr>
      </w:pPr>
    </w:p>
    <w:p w14:paraId="40630946" w14:textId="468F5D02" w:rsidR="004E7F10" w:rsidRDefault="00093E6D" w:rsidP="003B1BDC">
      <w:pPr>
        <w:pStyle w:val="BodyTextMain"/>
        <w:rPr>
          <w:lang w:val="en-CA"/>
        </w:rPr>
      </w:pPr>
      <w:r w:rsidRPr="007A6E8B">
        <w:rPr>
          <w:u w:val="single"/>
          <w:lang w:val="en-CA"/>
        </w:rPr>
        <w:t>The Devonian Botanic Garden</w:t>
      </w:r>
      <w:r w:rsidR="003B1BDC" w:rsidRPr="00634EAD">
        <w:rPr>
          <w:rStyle w:val="FootnoteReference"/>
          <w:color w:val="000000"/>
          <w:sz w:val="24"/>
          <w:lang w:val="en-CA"/>
        </w:rPr>
        <w:footnoteReference w:id="15"/>
      </w:r>
      <w:r w:rsidR="003B1BDC" w:rsidRPr="00634EAD">
        <w:rPr>
          <w:lang w:val="en-CA"/>
        </w:rPr>
        <w:t xml:space="preserve"> </w:t>
      </w:r>
    </w:p>
    <w:p w14:paraId="32679168" w14:textId="77777777" w:rsidR="004E7F10" w:rsidRDefault="004E7F10" w:rsidP="003B1BDC">
      <w:pPr>
        <w:pStyle w:val="BodyTextMain"/>
        <w:rPr>
          <w:lang w:val="en-CA"/>
        </w:rPr>
      </w:pPr>
    </w:p>
    <w:p w14:paraId="4A42077D" w14:textId="60DB5A56" w:rsidR="003B1BDC" w:rsidRPr="00634EAD" w:rsidRDefault="00E702AB" w:rsidP="003B1BDC">
      <w:pPr>
        <w:pStyle w:val="BodyTextMain"/>
        <w:rPr>
          <w:lang w:val="en-CA"/>
        </w:rPr>
      </w:pPr>
      <w:r>
        <w:rPr>
          <w:lang w:val="en-CA"/>
        </w:rPr>
        <w:t>This</w:t>
      </w:r>
      <w:r w:rsidR="00190225">
        <w:rPr>
          <w:lang w:val="en-CA"/>
        </w:rPr>
        <w:t xml:space="preserve"> garden was</w:t>
      </w:r>
      <w:r w:rsidR="004E7F10">
        <w:rPr>
          <w:lang w:val="en-CA"/>
        </w:rPr>
        <w:t xml:space="preserve"> </w:t>
      </w:r>
      <w:r w:rsidR="003B1BDC" w:rsidRPr="00634EAD">
        <w:rPr>
          <w:lang w:val="en-CA"/>
        </w:rPr>
        <w:t xml:space="preserve">operated by the University of Alberta. The </w:t>
      </w:r>
      <w:r w:rsidR="004E7F10">
        <w:rPr>
          <w:lang w:val="en-CA"/>
        </w:rPr>
        <w:t>u</w:t>
      </w:r>
      <w:r w:rsidR="003B1BDC" w:rsidRPr="00634EAD">
        <w:rPr>
          <w:lang w:val="en-CA"/>
        </w:rPr>
        <w:t>niversity’s website described the garden</w:t>
      </w:r>
      <w:r w:rsidR="004E7F10">
        <w:rPr>
          <w:lang w:val="en-CA"/>
        </w:rPr>
        <w:t xml:space="preserve"> as follows</w:t>
      </w:r>
      <w:r w:rsidR="003B1BDC" w:rsidRPr="00634EAD">
        <w:rPr>
          <w:lang w:val="en-CA"/>
        </w:rPr>
        <w:t>:</w:t>
      </w:r>
    </w:p>
    <w:p w14:paraId="622635E7" w14:textId="77777777" w:rsidR="00A433F1" w:rsidRDefault="00A433F1" w:rsidP="003B1BDC">
      <w:pPr>
        <w:pStyle w:val="BodyTextMain"/>
        <w:rPr>
          <w:i/>
        </w:rPr>
      </w:pPr>
    </w:p>
    <w:p w14:paraId="6EEEC38B" w14:textId="57ED0F42" w:rsidR="003B1BDC" w:rsidRPr="00FA0036" w:rsidRDefault="003B1BDC" w:rsidP="00A433F1">
      <w:pPr>
        <w:pStyle w:val="BodyTextMain"/>
        <w:ind w:left="720"/>
      </w:pPr>
      <w:r w:rsidRPr="00FA0036">
        <w:t>The University of Alberta Botanic Garden</w:t>
      </w:r>
      <w:r w:rsidR="002C316C">
        <w:t xml:space="preserve"> (formerly the Devonian Botanic Garden)</w:t>
      </w:r>
      <w:r w:rsidRPr="00FA0036">
        <w:t xml:space="preserve"> is a stunning 240-acre property located 15 minutes</w:t>
      </w:r>
      <w:r w:rsidR="00E702AB" w:rsidRPr="00FA0036">
        <w:t xml:space="preserve"> </w:t>
      </w:r>
      <w:r w:rsidRPr="00FA0036">
        <w:t>southwest of Edmonton, with cultivated gardens and plant collections, indoor showhouses, and an extensive nature trail system.</w:t>
      </w:r>
    </w:p>
    <w:p w14:paraId="58D0A986" w14:textId="77777777" w:rsidR="00A433F1" w:rsidRPr="00FA0036" w:rsidRDefault="00A433F1" w:rsidP="00A433F1">
      <w:pPr>
        <w:pStyle w:val="BodyTextMain"/>
        <w:ind w:left="720"/>
      </w:pPr>
    </w:p>
    <w:p w14:paraId="58046799" w14:textId="3C6F432C" w:rsidR="003B1BDC" w:rsidRPr="00FA0036" w:rsidRDefault="003B1BDC" w:rsidP="00A433F1">
      <w:pPr>
        <w:pStyle w:val="BodyTextMain"/>
        <w:ind w:left="720"/>
      </w:pPr>
      <w:r w:rsidRPr="00FA0036">
        <w:t>Highlights of the Garden, which was established in 1959, include the beautiful Kurimoto Japanese Garden; a Tropical Showhouse with exotic butterflies; Temperate and Arid Showhouses; alpine, herb, rose, peony, lilac</w:t>
      </w:r>
      <w:r w:rsidR="00B0669F">
        <w:t>,</w:t>
      </w:r>
      <w:r w:rsidRPr="00FA0036">
        <w:t xml:space="preserve"> and lily collections; a Heritage Garden; Native Peoples Garden; trial beds</w:t>
      </w:r>
      <w:r w:rsidR="00DA3AC2">
        <w:t>,</w:t>
      </w:r>
      <w:r w:rsidRPr="00FA0036">
        <w:t xml:space="preserve"> and more.</w:t>
      </w:r>
    </w:p>
    <w:p w14:paraId="3C074454" w14:textId="77777777" w:rsidR="00A433F1" w:rsidRDefault="00A433F1" w:rsidP="003B1BDC">
      <w:pPr>
        <w:pStyle w:val="BodyTextMain"/>
        <w:rPr>
          <w:lang w:val="en-CA"/>
        </w:rPr>
      </w:pPr>
    </w:p>
    <w:p w14:paraId="7DD52BFE" w14:textId="1370D3EA" w:rsidR="003B1BDC" w:rsidRDefault="003B1BDC" w:rsidP="003B1BDC">
      <w:pPr>
        <w:pStyle w:val="BodyTextMain"/>
        <w:rPr>
          <w:lang w:val="en-CA"/>
        </w:rPr>
      </w:pPr>
      <w:r w:rsidRPr="00634EAD">
        <w:rPr>
          <w:lang w:val="en-CA"/>
        </w:rPr>
        <w:t xml:space="preserve">The </w:t>
      </w:r>
      <w:r w:rsidR="00DB652D" w:rsidRPr="00634EAD">
        <w:rPr>
          <w:lang w:val="en-CA"/>
        </w:rPr>
        <w:t xml:space="preserve">educational offerings </w:t>
      </w:r>
      <w:r w:rsidR="00DB652D">
        <w:rPr>
          <w:lang w:val="en-CA"/>
        </w:rPr>
        <w:t xml:space="preserve">at the </w:t>
      </w:r>
      <w:r w:rsidRPr="00634EAD">
        <w:rPr>
          <w:lang w:val="en-CA"/>
        </w:rPr>
        <w:t xml:space="preserve">Devonian </w:t>
      </w:r>
      <w:r w:rsidR="00190225">
        <w:rPr>
          <w:lang w:val="en-CA"/>
        </w:rPr>
        <w:t xml:space="preserve">Botanic </w:t>
      </w:r>
      <w:r w:rsidRPr="00634EAD">
        <w:rPr>
          <w:lang w:val="en-CA"/>
        </w:rPr>
        <w:t xml:space="preserve">Garden focused </w:t>
      </w:r>
      <w:r w:rsidR="00DB652D">
        <w:rPr>
          <w:lang w:val="en-CA"/>
        </w:rPr>
        <w:t xml:space="preserve">more </w:t>
      </w:r>
      <w:r w:rsidRPr="00634EAD">
        <w:rPr>
          <w:lang w:val="en-CA"/>
        </w:rPr>
        <w:t xml:space="preserve">on adults than </w:t>
      </w:r>
      <w:r w:rsidR="00DB652D">
        <w:rPr>
          <w:lang w:val="en-CA"/>
        </w:rPr>
        <w:t xml:space="preserve">on </w:t>
      </w:r>
      <w:r w:rsidRPr="00634EAD">
        <w:rPr>
          <w:lang w:val="en-CA"/>
        </w:rPr>
        <w:t>children and were grouped in</w:t>
      </w:r>
      <w:r w:rsidR="00DB652D">
        <w:rPr>
          <w:lang w:val="en-CA"/>
        </w:rPr>
        <w:t>to</w:t>
      </w:r>
      <w:r w:rsidRPr="00634EAD">
        <w:rPr>
          <w:lang w:val="en-CA"/>
        </w:rPr>
        <w:t xml:space="preserve"> five main areas: </w:t>
      </w:r>
      <w:r w:rsidR="00DB652D">
        <w:rPr>
          <w:lang w:val="en-CA"/>
        </w:rPr>
        <w:t>d</w:t>
      </w:r>
      <w:r w:rsidRPr="00634EAD">
        <w:rPr>
          <w:lang w:val="en-CA"/>
        </w:rPr>
        <w:t xml:space="preserve">esign and </w:t>
      </w:r>
      <w:r w:rsidR="00DB652D">
        <w:rPr>
          <w:lang w:val="en-CA"/>
        </w:rPr>
        <w:t>l</w:t>
      </w:r>
      <w:r w:rsidRPr="00634EAD">
        <w:rPr>
          <w:lang w:val="en-CA"/>
        </w:rPr>
        <w:t xml:space="preserve">andscaping, </w:t>
      </w:r>
      <w:r w:rsidR="00DB652D">
        <w:rPr>
          <w:lang w:val="en-CA"/>
        </w:rPr>
        <w:t>g</w:t>
      </w:r>
      <w:r w:rsidRPr="00634EAD">
        <w:rPr>
          <w:lang w:val="en-CA"/>
        </w:rPr>
        <w:t xml:space="preserve">ardening, </w:t>
      </w:r>
      <w:r w:rsidR="00DB652D">
        <w:rPr>
          <w:lang w:val="en-CA"/>
        </w:rPr>
        <w:t>h</w:t>
      </w:r>
      <w:r w:rsidRPr="00634EAD">
        <w:rPr>
          <w:lang w:val="en-CA"/>
        </w:rPr>
        <w:t xml:space="preserve">ealth and </w:t>
      </w:r>
      <w:r w:rsidR="00DB652D">
        <w:rPr>
          <w:lang w:val="en-CA"/>
        </w:rPr>
        <w:t>w</w:t>
      </w:r>
      <w:r w:rsidRPr="00634EAD">
        <w:rPr>
          <w:lang w:val="en-CA"/>
        </w:rPr>
        <w:t>ellness (</w:t>
      </w:r>
      <w:r w:rsidR="00DB652D">
        <w:rPr>
          <w:lang w:val="en-CA"/>
        </w:rPr>
        <w:t>i.e., “</w:t>
      </w:r>
      <w:r w:rsidRPr="00634EAD">
        <w:rPr>
          <w:lang w:val="en-CA"/>
        </w:rPr>
        <w:t>Yoga at the Garden</w:t>
      </w:r>
      <w:r w:rsidR="00DB652D">
        <w:rPr>
          <w:lang w:val="en-CA"/>
        </w:rPr>
        <w:t>”</w:t>
      </w:r>
      <w:r w:rsidRPr="00634EAD">
        <w:rPr>
          <w:lang w:val="en-CA"/>
        </w:rPr>
        <w:t xml:space="preserve">), </w:t>
      </w:r>
      <w:r w:rsidR="00DB652D">
        <w:rPr>
          <w:lang w:val="en-CA"/>
        </w:rPr>
        <w:t>c</w:t>
      </w:r>
      <w:r w:rsidRPr="00634EAD">
        <w:rPr>
          <w:lang w:val="en-CA"/>
        </w:rPr>
        <w:t xml:space="preserve">rafts, and </w:t>
      </w:r>
      <w:r w:rsidR="00DB652D">
        <w:rPr>
          <w:lang w:val="en-CA"/>
        </w:rPr>
        <w:t>p</w:t>
      </w:r>
      <w:r w:rsidRPr="00634EAD">
        <w:rPr>
          <w:lang w:val="en-CA"/>
        </w:rPr>
        <w:t xml:space="preserve">hotography and </w:t>
      </w:r>
      <w:r w:rsidR="00DB652D">
        <w:rPr>
          <w:lang w:val="en-CA"/>
        </w:rPr>
        <w:t>p</w:t>
      </w:r>
      <w:r w:rsidRPr="00634EAD">
        <w:rPr>
          <w:lang w:val="en-CA"/>
        </w:rPr>
        <w:t>ainting. The gardening courses included Orchids 101 and Repotting Orchids. The shorter adult</w:t>
      </w:r>
      <w:r w:rsidR="00E702AB">
        <w:rPr>
          <w:lang w:val="en-CA"/>
        </w:rPr>
        <w:t>-</w:t>
      </w:r>
      <w:r w:rsidRPr="00634EAD">
        <w:rPr>
          <w:lang w:val="en-CA"/>
        </w:rPr>
        <w:t xml:space="preserve">education courses were priced in the $35 </w:t>
      </w:r>
      <w:r w:rsidR="00DB652D">
        <w:rPr>
          <w:lang w:val="en-CA"/>
        </w:rPr>
        <w:t>to</w:t>
      </w:r>
      <w:r w:rsidRPr="00634EAD">
        <w:rPr>
          <w:lang w:val="en-CA"/>
        </w:rPr>
        <w:t xml:space="preserve"> $125 range</w:t>
      </w:r>
      <w:r w:rsidR="00DB652D">
        <w:rPr>
          <w:lang w:val="en-CA"/>
        </w:rPr>
        <w:t xml:space="preserve"> per person</w:t>
      </w:r>
      <w:r w:rsidRPr="00634EAD">
        <w:rPr>
          <w:lang w:val="en-CA"/>
        </w:rPr>
        <w:t xml:space="preserve">. The most comprehensive offering was a part-time, non-credit, </w:t>
      </w:r>
      <w:r w:rsidR="00DB652D">
        <w:rPr>
          <w:lang w:val="en-CA"/>
        </w:rPr>
        <w:t>m</w:t>
      </w:r>
      <w:r w:rsidRPr="00634EAD">
        <w:rPr>
          <w:lang w:val="en-CA"/>
        </w:rPr>
        <w:t xml:space="preserve">aster </w:t>
      </w:r>
      <w:r w:rsidR="00DB652D">
        <w:rPr>
          <w:lang w:val="en-CA"/>
        </w:rPr>
        <w:t>g</w:t>
      </w:r>
      <w:r w:rsidRPr="00634EAD">
        <w:rPr>
          <w:lang w:val="en-CA"/>
        </w:rPr>
        <w:t>ardener certificate program</w:t>
      </w:r>
      <w:r w:rsidR="00DB652D">
        <w:rPr>
          <w:lang w:val="en-CA"/>
        </w:rPr>
        <w:t>,</w:t>
      </w:r>
      <w:r w:rsidRPr="00634EAD">
        <w:rPr>
          <w:lang w:val="en-CA"/>
        </w:rPr>
        <w:t xml:space="preserve"> with a tuition fee of $1,055</w:t>
      </w:r>
      <w:r w:rsidR="00E702AB">
        <w:rPr>
          <w:lang w:val="en-CA"/>
        </w:rPr>
        <w:t xml:space="preserve"> per person</w:t>
      </w:r>
      <w:r w:rsidRPr="00634EAD">
        <w:rPr>
          <w:lang w:val="en-CA"/>
        </w:rPr>
        <w:t>.</w:t>
      </w:r>
    </w:p>
    <w:p w14:paraId="7605BB89" w14:textId="77777777" w:rsidR="00A433F1" w:rsidRPr="00634EAD" w:rsidRDefault="00A433F1" w:rsidP="003B1BDC">
      <w:pPr>
        <w:pStyle w:val="BodyTextMain"/>
        <w:rPr>
          <w:lang w:val="en-CA"/>
        </w:rPr>
      </w:pPr>
    </w:p>
    <w:p w14:paraId="54F8782B" w14:textId="3D5207C5" w:rsidR="003B1BDC" w:rsidRPr="00634EAD" w:rsidRDefault="003B1BDC" w:rsidP="003B1BDC">
      <w:pPr>
        <w:pStyle w:val="BodyTextMain"/>
        <w:rPr>
          <w:lang w:val="en-CA"/>
        </w:rPr>
      </w:pPr>
      <w:r w:rsidRPr="00634EAD">
        <w:rPr>
          <w:lang w:val="en-CA"/>
        </w:rPr>
        <w:t>To address the children’s market</w:t>
      </w:r>
      <w:r w:rsidR="00190225">
        <w:rPr>
          <w:lang w:val="en-CA"/>
        </w:rPr>
        <w:t>,</w:t>
      </w:r>
      <w:r w:rsidRPr="00634EAD">
        <w:rPr>
          <w:lang w:val="en-CA"/>
        </w:rPr>
        <w:t xml:space="preserve"> the </w:t>
      </w:r>
      <w:r w:rsidR="00190225">
        <w:rPr>
          <w:lang w:val="en-CA"/>
        </w:rPr>
        <w:t>garden</w:t>
      </w:r>
      <w:r w:rsidRPr="00634EAD">
        <w:rPr>
          <w:lang w:val="en-CA"/>
        </w:rPr>
        <w:t xml:space="preserve"> also offered five-day summer camps ($170</w:t>
      </w:r>
      <w:r w:rsidR="00DB652D">
        <w:rPr>
          <w:lang w:val="en-CA"/>
        </w:rPr>
        <w:t xml:space="preserve"> per child</w:t>
      </w:r>
      <w:r w:rsidRPr="00634EAD">
        <w:rPr>
          <w:lang w:val="en-CA"/>
        </w:rPr>
        <w:t xml:space="preserve">) and two-hour </w:t>
      </w:r>
      <w:r w:rsidR="00DB652D">
        <w:rPr>
          <w:lang w:val="en-CA"/>
        </w:rPr>
        <w:t>“</w:t>
      </w:r>
      <w:r w:rsidRPr="00634EAD">
        <w:rPr>
          <w:lang w:val="en-CA"/>
        </w:rPr>
        <w:t>Kids in the Garden</w:t>
      </w:r>
      <w:r w:rsidR="00DB652D">
        <w:rPr>
          <w:lang w:val="en-CA"/>
        </w:rPr>
        <w:t>”</w:t>
      </w:r>
      <w:r w:rsidRPr="00634EAD">
        <w:rPr>
          <w:lang w:val="en-CA"/>
        </w:rPr>
        <w:t xml:space="preserve"> programs for pre-schoolers ($20 for child and parent).</w:t>
      </w:r>
    </w:p>
    <w:p w14:paraId="5B26FE22" w14:textId="77777777" w:rsidR="006203D4" w:rsidRDefault="006203D4" w:rsidP="003B1BDC">
      <w:pPr>
        <w:pStyle w:val="BodyTextMain"/>
        <w:rPr>
          <w:lang w:val="en-CA"/>
        </w:rPr>
      </w:pPr>
    </w:p>
    <w:p w14:paraId="01F04981" w14:textId="331E7939" w:rsidR="003B1BDC" w:rsidRPr="00634EAD" w:rsidRDefault="00DB652D" w:rsidP="003B1BDC">
      <w:pPr>
        <w:pStyle w:val="BodyTextMain"/>
        <w:rPr>
          <w:lang w:val="en-CA"/>
        </w:rPr>
      </w:pPr>
      <w:r>
        <w:rPr>
          <w:lang w:val="en-CA"/>
        </w:rPr>
        <w:t>T</w:t>
      </w:r>
      <w:r w:rsidR="003B1BDC" w:rsidRPr="00634EAD">
        <w:rPr>
          <w:lang w:val="en-CA"/>
        </w:rPr>
        <w:t xml:space="preserve">he Devonian </w:t>
      </w:r>
      <w:r w:rsidR="00190225">
        <w:rPr>
          <w:lang w:val="en-CA"/>
        </w:rPr>
        <w:t xml:space="preserve">Botanic </w:t>
      </w:r>
      <w:r w:rsidR="003B1BDC" w:rsidRPr="00634EAD">
        <w:rPr>
          <w:lang w:val="en-CA"/>
        </w:rPr>
        <w:t xml:space="preserve">Garden also operated as a </w:t>
      </w:r>
      <w:r>
        <w:rPr>
          <w:lang w:val="en-CA"/>
        </w:rPr>
        <w:t xml:space="preserve">botanical </w:t>
      </w:r>
      <w:r w:rsidR="003B1BDC" w:rsidRPr="00634EAD">
        <w:rPr>
          <w:lang w:val="en-CA"/>
        </w:rPr>
        <w:t>research facility</w:t>
      </w:r>
      <w:r>
        <w:rPr>
          <w:lang w:val="en-CA"/>
        </w:rPr>
        <w:t>, with</w:t>
      </w:r>
      <w:r w:rsidR="003B1BDC" w:rsidRPr="00634EAD">
        <w:rPr>
          <w:lang w:val="en-CA"/>
        </w:rPr>
        <w:t xml:space="preserve"> an emphasis on</w:t>
      </w:r>
      <w:r w:rsidR="006203D4">
        <w:rPr>
          <w:lang w:val="en-CA"/>
        </w:rPr>
        <w:t xml:space="preserve"> </w:t>
      </w:r>
      <w:r>
        <w:rPr>
          <w:lang w:val="en-CA"/>
        </w:rPr>
        <w:t>p</w:t>
      </w:r>
      <w:r w:rsidR="003B1BDC" w:rsidRPr="00634EAD">
        <w:rPr>
          <w:lang w:val="en-CA"/>
        </w:rPr>
        <w:t>rairie and northern plant diversity (biodiversity and ecology and conservation of rare species)</w:t>
      </w:r>
      <w:r w:rsidR="006203D4">
        <w:rPr>
          <w:lang w:val="en-CA"/>
        </w:rPr>
        <w:t>,</w:t>
      </w:r>
      <w:r w:rsidR="003B1BDC" w:rsidRPr="00634EAD">
        <w:rPr>
          <w:lang w:val="en-CA"/>
        </w:rPr>
        <w:t xml:space="preserve"> </w:t>
      </w:r>
      <w:r>
        <w:rPr>
          <w:lang w:val="en-CA"/>
        </w:rPr>
        <w:t>w</w:t>
      </w:r>
      <w:r w:rsidR="003B1BDC" w:rsidRPr="00634EAD">
        <w:rPr>
          <w:lang w:val="en-CA"/>
        </w:rPr>
        <w:t>etlands and ecosystem restoration</w:t>
      </w:r>
      <w:r w:rsidR="006203D4">
        <w:rPr>
          <w:lang w:val="en-CA"/>
        </w:rPr>
        <w:t xml:space="preserve">, and a </w:t>
      </w:r>
      <w:r w:rsidR="003B1BDC" w:rsidRPr="00634EAD">
        <w:rPr>
          <w:lang w:val="en-CA"/>
        </w:rPr>
        <w:t>living fungi collection</w:t>
      </w:r>
      <w:r w:rsidR="006203D4">
        <w:rPr>
          <w:lang w:val="en-CA"/>
        </w:rPr>
        <w:t>.</w:t>
      </w:r>
      <w:r w:rsidR="00190225">
        <w:rPr>
          <w:lang w:val="en-CA"/>
        </w:rPr>
        <w:t xml:space="preserve"> The garden </w:t>
      </w:r>
      <w:r w:rsidR="00190225" w:rsidRPr="00634EAD">
        <w:rPr>
          <w:lang w:val="en-CA"/>
        </w:rPr>
        <w:t>was also a member of the North American Orchid Conservation Center</w:t>
      </w:r>
      <w:r w:rsidR="00190225">
        <w:rPr>
          <w:lang w:val="en-CA"/>
        </w:rPr>
        <w:t>.</w:t>
      </w:r>
    </w:p>
    <w:p w14:paraId="2204127A" w14:textId="77777777" w:rsidR="006203D4" w:rsidRPr="006203D4" w:rsidRDefault="006203D4" w:rsidP="006203D4">
      <w:pPr>
        <w:pStyle w:val="BodyTextMain"/>
      </w:pPr>
    </w:p>
    <w:p w14:paraId="1145941C" w14:textId="77777777" w:rsidR="006203D4" w:rsidRPr="006203D4" w:rsidRDefault="006203D4" w:rsidP="006203D4">
      <w:pPr>
        <w:pStyle w:val="BodyTextMain"/>
      </w:pPr>
    </w:p>
    <w:p w14:paraId="354FBC15" w14:textId="6B80FF92" w:rsidR="003B1BDC" w:rsidRPr="00DE234A" w:rsidRDefault="00E56874" w:rsidP="006203D4">
      <w:pPr>
        <w:pStyle w:val="Casehead1"/>
        <w:rPr>
          <w:lang w:val="en-CA"/>
        </w:rPr>
      </w:pPr>
      <w:r>
        <w:rPr>
          <w:lang w:val="en-CA"/>
        </w:rPr>
        <w:t>the decision</w:t>
      </w:r>
    </w:p>
    <w:p w14:paraId="4EEF3729" w14:textId="77777777" w:rsidR="006203D4" w:rsidRDefault="006203D4" w:rsidP="003B1BDC">
      <w:pPr>
        <w:pStyle w:val="BodyTextMain"/>
        <w:rPr>
          <w:lang w:val="en-CA"/>
        </w:rPr>
      </w:pPr>
    </w:p>
    <w:p w14:paraId="646C4DB9" w14:textId="2E02A310" w:rsidR="006203D4" w:rsidRDefault="003B1BDC" w:rsidP="003A007C">
      <w:pPr>
        <w:pStyle w:val="BodyTextMain"/>
        <w:rPr>
          <w:lang w:val="en-CA"/>
        </w:rPr>
      </w:pPr>
      <w:r w:rsidRPr="00634EAD">
        <w:rPr>
          <w:lang w:val="en-CA"/>
        </w:rPr>
        <w:t xml:space="preserve">Nixon and the board </w:t>
      </w:r>
      <w:r w:rsidR="00B04FBB">
        <w:rPr>
          <w:lang w:val="en-CA"/>
        </w:rPr>
        <w:t xml:space="preserve">members </w:t>
      </w:r>
      <w:r w:rsidRPr="00634EAD">
        <w:rPr>
          <w:lang w:val="en-CA"/>
        </w:rPr>
        <w:t xml:space="preserve">realized they </w:t>
      </w:r>
      <w:r w:rsidR="00B04FBB">
        <w:rPr>
          <w:lang w:val="en-CA"/>
        </w:rPr>
        <w:t>had some difficult decisions to make.</w:t>
      </w:r>
      <w:r w:rsidRPr="00634EAD">
        <w:rPr>
          <w:lang w:val="en-CA"/>
        </w:rPr>
        <w:t xml:space="preserve"> The new centre was a big idea, but </w:t>
      </w:r>
      <w:r w:rsidR="00DB652D">
        <w:rPr>
          <w:lang w:val="en-CA"/>
        </w:rPr>
        <w:t>it invited</w:t>
      </w:r>
      <w:r w:rsidRPr="00634EAD">
        <w:rPr>
          <w:lang w:val="en-CA"/>
        </w:rPr>
        <w:t xml:space="preserve"> many questions. Was the project feasible</w:t>
      </w:r>
      <w:r w:rsidR="00DB652D">
        <w:rPr>
          <w:lang w:val="en-CA"/>
        </w:rPr>
        <w:t>,</w:t>
      </w:r>
      <w:r w:rsidRPr="00634EAD">
        <w:rPr>
          <w:lang w:val="en-CA"/>
        </w:rPr>
        <w:t xml:space="preserve"> and was the OSPF equipped to handle it? Which funding ideas held enough promise to develop further? The </w:t>
      </w:r>
      <w:r w:rsidR="00DB652D">
        <w:rPr>
          <w:lang w:val="en-CA"/>
        </w:rPr>
        <w:t>b</w:t>
      </w:r>
      <w:r w:rsidRPr="00634EAD">
        <w:rPr>
          <w:lang w:val="en-CA"/>
        </w:rPr>
        <w:t>oard’s ideas ranged from commercial to scientific to educational</w:t>
      </w:r>
      <w:r w:rsidR="00DB652D">
        <w:rPr>
          <w:lang w:val="en-CA"/>
        </w:rPr>
        <w:t>,</w:t>
      </w:r>
      <w:r w:rsidRPr="00634EAD">
        <w:rPr>
          <w:lang w:val="en-CA"/>
        </w:rPr>
        <w:t xml:space="preserve"> and the</w:t>
      </w:r>
      <w:r w:rsidR="00DB652D">
        <w:rPr>
          <w:lang w:val="en-CA"/>
        </w:rPr>
        <w:t xml:space="preserve"> members</w:t>
      </w:r>
      <w:r w:rsidRPr="00634EAD">
        <w:rPr>
          <w:lang w:val="en-CA"/>
        </w:rPr>
        <w:t xml:space="preserve"> pondered which direction to head</w:t>
      </w:r>
      <w:r w:rsidR="00B04FBB">
        <w:rPr>
          <w:lang w:val="en-CA"/>
        </w:rPr>
        <w:t xml:space="preserve">, wondering whether </w:t>
      </w:r>
      <w:r w:rsidRPr="00634EAD">
        <w:rPr>
          <w:lang w:val="en-CA"/>
        </w:rPr>
        <w:t>there were better approaches to consider</w:t>
      </w:r>
      <w:r w:rsidR="00B04FBB">
        <w:rPr>
          <w:lang w:val="en-CA"/>
        </w:rPr>
        <w:t>.</w:t>
      </w:r>
      <w:r w:rsidRPr="00634EAD">
        <w:rPr>
          <w:lang w:val="en-CA"/>
        </w:rPr>
        <w:t xml:space="preserve"> What would the board have to do to bring focus to the project and make it a reality?</w:t>
      </w:r>
      <w:r w:rsidR="006203D4">
        <w:rPr>
          <w:lang w:val="en-CA"/>
        </w:rPr>
        <w:br w:type="page"/>
      </w:r>
    </w:p>
    <w:p w14:paraId="29EE8DFF" w14:textId="77777777" w:rsidR="003B1BDC" w:rsidRDefault="006203D4" w:rsidP="006203D4">
      <w:pPr>
        <w:pStyle w:val="ExhibitHeading"/>
        <w:rPr>
          <w:lang w:val="en-CA"/>
        </w:rPr>
      </w:pPr>
      <w:r>
        <w:rPr>
          <w:lang w:val="en-CA"/>
        </w:rPr>
        <w:lastRenderedPageBreak/>
        <w:t>Exhibit</w:t>
      </w:r>
      <w:r w:rsidRPr="00DE234A">
        <w:rPr>
          <w:lang w:val="en-CA"/>
        </w:rPr>
        <w:t xml:space="preserve"> 1: O</w:t>
      </w:r>
      <w:r w:rsidR="009F5144">
        <w:rPr>
          <w:lang w:val="en-CA"/>
        </w:rPr>
        <w:t xml:space="preserve">rchid </w:t>
      </w:r>
      <w:r w:rsidRPr="00DE234A">
        <w:rPr>
          <w:lang w:val="en-CA"/>
        </w:rPr>
        <w:t>S</w:t>
      </w:r>
      <w:r w:rsidR="009F5144">
        <w:rPr>
          <w:lang w:val="en-CA"/>
        </w:rPr>
        <w:t xml:space="preserve">pecies </w:t>
      </w:r>
      <w:r w:rsidRPr="00DE234A">
        <w:rPr>
          <w:lang w:val="en-CA"/>
        </w:rPr>
        <w:t>P</w:t>
      </w:r>
      <w:r w:rsidR="009F5144">
        <w:rPr>
          <w:lang w:val="en-CA"/>
        </w:rPr>
        <w:t xml:space="preserve">reservation </w:t>
      </w:r>
      <w:r w:rsidRPr="00DE234A">
        <w:rPr>
          <w:lang w:val="en-CA"/>
        </w:rPr>
        <w:t>F</w:t>
      </w:r>
      <w:r w:rsidR="009F5144">
        <w:rPr>
          <w:lang w:val="en-CA"/>
        </w:rPr>
        <w:t>oundation’s</w:t>
      </w:r>
      <w:r w:rsidRPr="00DE234A">
        <w:rPr>
          <w:lang w:val="en-CA"/>
        </w:rPr>
        <w:t xml:space="preserve"> Vision</w:t>
      </w:r>
    </w:p>
    <w:p w14:paraId="3FCA36AB" w14:textId="77777777" w:rsidR="006203D4" w:rsidRPr="006203D4" w:rsidRDefault="006203D4" w:rsidP="006203D4">
      <w:pPr>
        <w:pStyle w:val="BodyTextMain"/>
      </w:pPr>
    </w:p>
    <w:p w14:paraId="4BA01F74" w14:textId="77777777" w:rsidR="005121F1" w:rsidRPr="00D47D51" w:rsidRDefault="005121F1" w:rsidP="00D24E4F">
      <w:pPr>
        <w:pStyle w:val="ExhibitText"/>
      </w:pPr>
      <w:r w:rsidRPr="00D47D51">
        <w:t>Orchid Species Preservation Foundation</w:t>
      </w:r>
    </w:p>
    <w:p w14:paraId="58E37D1B" w14:textId="77777777" w:rsidR="005121F1" w:rsidRDefault="005121F1" w:rsidP="00D24E4F">
      <w:pPr>
        <w:pStyle w:val="ExhibitText"/>
      </w:pPr>
      <w:r w:rsidRPr="00D47D51">
        <w:t>Vision Statement</w:t>
      </w:r>
    </w:p>
    <w:p w14:paraId="2A435817" w14:textId="77777777" w:rsidR="005121F1" w:rsidRDefault="005121F1" w:rsidP="00D24E4F">
      <w:pPr>
        <w:pStyle w:val="ExhibitText"/>
      </w:pPr>
    </w:p>
    <w:p w14:paraId="749737AE" w14:textId="6A7E852F" w:rsidR="005121F1" w:rsidRPr="005121F1" w:rsidRDefault="005121F1" w:rsidP="00D24E4F">
      <w:pPr>
        <w:pStyle w:val="ExhibitText"/>
        <w:rPr>
          <w:b/>
        </w:rPr>
      </w:pPr>
      <w:r w:rsidRPr="005121F1">
        <w:rPr>
          <w:b/>
        </w:rPr>
        <w:t>"To establish and maintain Edmonton as a world renowned cent</w:t>
      </w:r>
      <w:r w:rsidR="00701904">
        <w:rPr>
          <w:b/>
        </w:rPr>
        <w:t>re</w:t>
      </w:r>
      <w:r w:rsidRPr="005121F1">
        <w:rPr>
          <w:b/>
        </w:rPr>
        <w:t xml:space="preserve"> of excellence for the education, research, propagation, conservation and protection of rare and endangered orchids"</w:t>
      </w:r>
    </w:p>
    <w:p w14:paraId="683FF96E" w14:textId="77777777" w:rsidR="005121F1" w:rsidRDefault="005121F1" w:rsidP="00D24E4F">
      <w:pPr>
        <w:pStyle w:val="ExhibitText"/>
      </w:pPr>
    </w:p>
    <w:p w14:paraId="7950EE76" w14:textId="77777777" w:rsidR="005121F1" w:rsidRPr="00D47D51" w:rsidRDefault="005121F1" w:rsidP="00D24E4F">
      <w:pPr>
        <w:pStyle w:val="ExhibitText"/>
      </w:pPr>
      <w:r w:rsidRPr="00D47D51">
        <w:t>With the following sets of objectives:</w:t>
      </w:r>
    </w:p>
    <w:p w14:paraId="30D92E96" w14:textId="77777777" w:rsidR="005121F1" w:rsidRDefault="005121F1" w:rsidP="00D24E4F">
      <w:pPr>
        <w:pStyle w:val="ExhibitText"/>
        <w:rPr>
          <w:u w:val="single"/>
        </w:rPr>
      </w:pPr>
    </w:p>
    <w:p w14:paraId="16DD04F0" w14:textId="77777777" w:rsidR="00D24E4F" w:rsidRDefault="00D24E4F" w:rsidP="00D24E4F">
      <w:pPr>
        <w:pStyle w:val="ExhibitText"/>
        <w:rPr>
          <w:u w:val="single"/>
        </w:rPr>
      </w:pPr>
    </w:p>
    <w:p w14:paraId="381339DD" w14:textId="173283EB" w:rsidR="005121F1" w:rsidRDefault="005121F1" w:rsidP="00D24E4F">
      <w:pPr>
        <w:pStyle w:val="ExhibitText"/>
      </w:pPr>
      <w:r w:rsidRPr="00D47D51">
        <w:rPr>
          <w:u w:val="single"/>
        </w:rPr>
        <w:t>Conservation</w:t>
      </w:r>
    </w:p>
    <w:p w14:paraId="549FA27C" w14:textId="77777777" w:rsidR="00D24E4F" w:rsidRPr="00D47D51" w:rsidRDefault="00D24E4F" w:rsidP="00D24E4F">
      <w:pPr>
        <w:pStyle w:val="ExhibitText"/>
      </w:pPr>
    </w:p>
    <w:p w14:paraId="0B2948AA" w14:textId="20D8DCCB" w:rsidR="005121F1" w:rsidRPr="00D47D51" w:rsidRDefault="005121F1" w:rsidP="00D24E4F">
      <w:pPr>
        <w:pStyle w:val="ExhibitText"/>
        <w:numPr>
          <w:ilvl w:val="0"/>
          <w:numId w:val="44"/>
        </w:numPr>
      </w:pPr>
      <w:r w:rsidRPr="00D47D51">
        <w:t xml:space="preserve">Conserve and protect </w:t>
      </w:r>
      <w:r w:rsidR="008A25E9">
        <w:t>[</w:t>
      </w:r>
      <w:r w:rsidRPr="00D47D51">
        <w:t>ra</w:t>
      </w:r>
      <w:r w:rsidR="008A25E9">
        <w:t>r</w:t>
      </w:r>
      <w:r w:rsidRPr="00D47D51">
        <w:t>e</w:t>
      </w:r>
      <w:r w:rsidR="008A25E9">
        <w:t>]</w:t>
      </w:r>
      <w:r w:rsidRPr="00D47D51">
        <w:t xml:space="preserve"> and endangered species orchids from extinction</w:t>
      </w:r>
      <w:r w:rsidR="00E70F4E">
        <w:t>.</w:t>
      </w:r>
    </w:p>
    <w:p w14:paraId="49D55E86" w14:textId="6BCA9BB1" w:rsidR="005121F1" w:rsidRPr="00D47D51" w:rsidRDefault="005121F1" w:rsidP="00D24E4F">
      <w:pPr>
        <w:pStyle w:val="ExhibitText"/>
        <w:numPr>
          <w:ilvl w:val="0"/>
          <w:numId w:val="44"/>
        </w:numPr>
      </w:pPr>
      <w:r w:rsidRPr="00D47D51">
        <w:t>Develop a species orchid seed bank to ensure availability for future generations</w:t>
      </w:r>
      <w:r w:rsidR="00E70F4E">
        <w:t>.</w:t>
      </w:r>
    </w:p>
    <w:p w14:paraId="1998206F" w14:textId="2FFCBD8B" w:rsidR="005121F1" w:rsidRPr="00D47D51" w:rsidRDefault="005121F1" w:rsidP="00D24E4F">
      <w:pPr>
        <w:pStyle w:val="ExhibitText"/>
        <w:numPr>
          <w:ilvl w:val="0"/>
          <w:numId w:val="44"/>
        </w:numPr>
      </w:pPr>
      <w:r w:rsidRPr="00D47D51">
        <w:t>Support and fund orchid conservation organizations, institutions, research and projects</w:t>
      </w:r>
      <w:r w:rsidR="00E70F4E">
        <w:t>.</w:t>
      </w:r>
    </w:p>
    <w:p w14:paraId="7C210F6C" w14:textId="3936B82A" w:rsidR="005121F1" w:rsidRPr="00D47D51" w:rsidRDefault="005121F1" w:rsidP="00D24E4F">
      <w:pPr>
        <w:pStyle w:val="ExhibitText"/>
        <w:numPr>
          <w:ilvl w:val="0"/>
          <w:numId w:val="44"/>
        </w:numPr>
      </w:pPr>
      <w:r w:rsidRPr="00D47D51">
        <w:t>Encourage ethical and environmentally</w:t>
      </w:r>
      <w:r w:rsidR="00DA3AC2">
        <w:t>-</w:t>
      </w:r>
      <w:r w:rsidRPr="00D47D51">
        <w:t>friendly cultivation of orchid species</w:t>
      </w:r>
      <w:r w:rsidR="00E70F4E">
        <w:t>.</w:t>
      </w:r>
    </w:p>
    <w:p w14:paraId="1B599EEB" w14:textId="77777777" w:rsidR="005121F1" w:rsidRPr="00D47D51" w:rsidRDefault="005121F1" w:rsidP="00D24E4F">
      <w:pPr>
        <w:pStyle w:val="ExhibitText"/>
        <w:numPr>
          <w:ilvl w:val="0"/>
          <w:numId w:val="44"/>
        </w:numPr>
      </w:pPr>
      <w:r w:rsidRPr="00D47D51">
        <w:t xml:space="preserve">Legally acquire rare and endangered orchid species to advance our collection. </w:t>
      </w:r>
    </w:p>
    <w:p w14:paraId="58325A70" w14:textId="77777777" w:rsidR="005121F1" w:rsidRDefault="005121F1" w:rsidP="00D24E4F">
      <w:pPr>
        <w:pStyle w:val="ExhibitText"/>
        <w:rPr>
          <w:u w:val="single"/>
        </w:rPr>
      </w:pPr>
    </w:p>
    <w:p w14:paraId="1EC455F4" w14:textId="77777777" w:rsidR="00D24E4F" w:rsidRDefault="00D24E4F" w:rsidP="00D24E4F">
      <w:pPr>
        <w:pStyle w:val="ExhibitText"/>
        <w:rPr>
          <w:u w:val="single"/>
        </w:rPr>
      </w:pPr>
    </w:p>
    <w:p w14:paraId="6D222E41" w14:textId="5AA2261C" w:rsidR="005121F1" w:rsidRDefault="005121F1" w:rsidP="00D24E4F">
      <w:pPr>
        <w:pStyle w:val="ExhibitText"/>
      </w:pPr>
      <w:r w:rsidRPr="00D47D51">
        <w:rPr>
          <w:u w:val="single"/>
        </w:rPr>
        <w:t>Education/Training</w:t>
      </w:r>
    </w:p>
    <w:p w14:paraId="535571CB" w14:textId="77777777" w:rsidR="00D24E4F" w:rsidRPr="00D47D51" w:rsidRDefault="00D24E4F" w:rsidP="00D24E4F">
      <w:pPr>
        <w:pStyle w:val="ExhibitText"/>
      </w:pPr>
    </w:p>
    <w:p w14:paraId="0FFB4E18" w14:textId="60B94C1E" w:rsidR="005121F1" w:rsidRPr="00D47D51" w:rsidRDefault="005121F1" w:rsidP="00D24E4F">
      <w:pPr>
        <w:pStyle w:val="ExhibitText"/>
        <w:numPr>
          <w:ilvl w:val="0"/>
          <w:numId w:val="45"/>
        </w:numPr>
      </w:pPr>
      <w:r w:rsidRPr="00D47D51">
        <w:t>Educate the public about environmental issues and raise awareness about the adaptations and conditions necessary for the survival of species orchids in their natural environments</w:t>
      </w:r>
      <w:r w:rsidR="00E70F4E">
        <w:t>.</w:t>
      </w:r>
    </w:p>
    <w:p w14:paraId="36EF9DED" w14:textId="77834F4C" w:rsidR="005121F1" w:rsidRPr="00D47D51" w:rsidRDefault="005121F1" w:rsidP="00D24E4F">
      <w:pPr>
        <w:pStyle w:val="ExhibitText"/>
        <w:numPr>
          <w:ilvl w:val="0"/>
          <w:numId w:val="45"/>
        </w:numPr>
      </w:pPr>
      <w:r w:rsidRPr="00D47D51">
        <w:t>Provide an educational resource for youth groups and school classes by encouraging hands-on experiences with our unique orchid collection</w:t>
      </w:r>
      <w:r w:rsidR="00E70F4E">
        <w:t>.</w:t>
      </w:r>
    </w:p>
    <w:p w14:paraId="218A5136" w14:textId="77777777" w:rsidR="005121F1" w:rsidRPr="00D47D51" w:rsidRDefault="005121F1" w:rsidP="00D24E4F">
      <w:pPr>
        <w:pStyle w:val="ExhibitText"/>
        <w:numPr>
          <w:ilvl w:val="0"/>
          <w:numId w:val="45"/>
        </w:numPr>
      </w:pPr>
      <w:r w:rsidRPr="00D47D51">
        <w:t xml:space="preserve">Develop, train and support our members and volunteers. </w:t>
      </w:r>
    </w:p>
    <w:p w14:paraId="525A3C5D" w14:textId="77777777" w:rsidR="005121F1" w:rsidRDefault="005121F1" w:rsidP="00D24E4F">
      <w:pPr>
        <w:pStyle w:val="ExhibitText"/>
        <w:rPr>
          <w:u w:val="single"/>
        </w:rPr>
      </w:pPr>
    </w:p>
    <w:p w14:paraId="6ACA9B04" w14:textId="77777777" w:rsidR="00D24E4F" w:rsidRDefault="00D24E4F" w:rsidP="00D24E4F">
      <w:pPr>
        <w:pStyle w:val="ExhibitText"/>
        <w:rPr>
          <w:u w:val="single"/>
        </w:rPr>
      </w:pPr>
    </w:p>
    <w:p w14:paraId="79A9E37B" w14:textId="199CE4E1" w:rsidR="005121F1" w:rsidRDefault="005121F1" w:rsidP="00D24E4F">
      <w:pPr>
        <w:pStyle w:val="ExhibitText"/>
      </w:pPr>
      <w:r w:rsidRPr="00D47D51">
        <w:rPr>
          <w:u w:val="single"/>
        </w:rPr>
        <w:t>Community Involvement</w:t>
      </w:r>
    </w:p>
    <w:p w14:paraId="0588EFC8" w14:textId="77777777" w:rsidR="00D24E4F" w:rsidRPr="00D47D51" w:rsidRDefault="00D24E4F" w:rsidP="00D24E4F">
      <w:pPr>
        <w:pStyle w:val="ExhibitText"/>
      </w:pPr>
    </w:p>
    <w:p w14:paraId="71637623" w14:textId="46E180DE" w:rsidR="005121F1" w:rsidRPr="00D24E4F" w:rsidRDefault="005121F1" w:rsidP="00D24E4F">
      <w:pPr>
        <w:pStyle w:val="ExhibitText"/>
        <w:numPr>
          <w:ilvl w:val="0"/>
          <w:numId w:val="46"/>
        </w:numPr>
      </w:pPr>
      <w:r w:rsidRPr="00D24E4F">
        <w:t>Further our partnership with the Muttart Conservatory and the City of Edmonton</w:t>
      </w:r>
      <w:r w:rsidR="00E70F4E">
        <w:t>.</w:t>
      </w:r>
    </w:p>
    <w:p w14:paraId="0FB81C8C" w14:textId="774F02A8" w:rsidR="005121F1" w:rsidRPr="00D24E4F" w:rsidRDefault="005121F1" w:rsidP="00D24E4F">
      <w:pPr>
        <w:pStyle w:val="ExhibitText"/>
        <w:numPr>
          <w:ilvl w:val="0"/>
          <w:numId w:val="46"/>
        </w:numPr>
      </w:pPr>
      <w:r w:rsidRPr="00D24E4F">
        <w:t>Develop community partnerships with like-minded organizations and institutions</w:t>
      </w:r>
      <w:r w:rsidR="00E70F4E">
        <w:t>.</w:t>
      </w:r>
    </w:p>
    <w:p w14:paraId="252BD5D7" w14:textId="283989E5" w:rsidR="005121F1" w:rsidRPr="00D24E4F" w:rsidRDefault="005121F1" w:rsidP="00D24E4F">
      <w:pPr>
        <w:pStyle w:val="ExhibitText"/>
        <w:numPr>
          <w:ilvl w:val="0"/>
          <w:numId w:val="46"/>
        </w:numPr>
      </w:pPr>
      <w:r w:rsidRPr="00D24E4F">
        <w:t>Produce a variety of media to inform, promote and educate our volunteers, members, supporters, donors and the general public of our activities and accomplishments</w:t>
      </w:r>
      <w:r w:rsidR="00E70F4E">
        <w:t>.</w:t>
      </w:r>
    </w:p>
    <w:p w14:paraId="1DB76EAD" w14:textId="77777777" w:rsidR="005121F1" w:rsidRPr="00D24E4F" w:rsidRDefault="005121F1" w:rsidP="00D24E4F">
      <w:pPr>
        <w:pStyle w:val="ExhibitText"/>
        <w:numPr>
          <w:ilvl w:val="0"/>
          <w:numId w:val="46"/>
        </w:numPr>
      </w:pPr>
      <w:r w:rsidRPr="00D24E4F">
        <w:t>Pursue fund development projects, events and donations to pursue and develop our objectives.</w:t>
      </w:r>
    </w:p>
    <w:p w14:paraId="211DA6F6" w14:textId="77777777" w:rsidR="006203D4" w:rsidRDefault="006203D4" w:rsidP="00D24E4F">
      <w:pPr>
        <w:pStyle w:val="ExhibitText"/>
      </w:pPr>
    </w:p>
    <w:p w14:paraId="099AE31E" w14:textId="77777777" w:rsidR="006203D4" w:rsidRDefault="006203D4" w:rsidP="006203D4">
      <w:pPr>
        <w:pStyle w:val="BodyTextMain"/>
        <w:jc w:val="center"/>
      </w:pPr>
    </w:p>
    <w:p w14:paraId="1607AEC6" w14:textId="6ADC9569" w:rsidR="006203D4" w:rsidRDefault="006203D4" w:rsidP="006203D4">
      <w:pPr>
        <w:pStyle w:val="Footnote"/>
      </w:pPr>
      <w:r>
        <w:t>Source:</w:t>
      </w:r>
      <w:r w:rsidR="00E70F4E">
        <w:t xml:space="preserve"> The</w:t>
      </w:r>
      <w:r>
        <w:t xml:space="preserve"> </w:t>
      </w:r>
      <w:r w:rsidR="00E70F4E" w:rsidRPr="00D47D51">
        <w:t>Orchid Species Preservation Foundation</w:t>
      </w:r>
      <w:r w:rsidR="00FF5E0D">
        <w:t xml:space="preserve"> </w:t>
      </w:r>
      <w:r w:rsidR="008A25E9">
        <w:t>b</w:t>
      </w:r>
      <w:r w:rsidR="00FF5E0D">
        <w:t>oard</w:t>
      </w:r>
      <w:r w:rsidR="00E30B97">
        <w:t>.</w:t>
      </w:r>
    </w:p>
    <w:p w14:paraId="3FC8903C" w14:textId="77777777" w:rsidR="006203D4" w:rsidRDefault="006203D4">
      <w:pPr>
        <w:spacing w:after="200" w:line="276" w:lineRule="auto"/>
        <w:rPr>
          <w:rFonts w:ascii="Arial" w:hAnsi="Arial" w:cs="Arial"/>
          <w:sz w:val="17"/>
          <w:szCs w:val="17"/>
        </w:rPr>
      </w:pPr>
      <w:r>
        <w:br w:type="page"/>
      </w:r>
    </w:p>
    <w:p w14:paraId="0C523161" w14:textId="13424310" w:rsidR="006203D4" w:rsidRDefault="006203D4" w:rsidP="006203D4">
      <w:pPr>
        <w:pStyle w:val="ExhibitHeading"/>
        <w:rPr>
          <w:lang w:val="en-CA"/>
        </w:rPr>
      </w:pPr>
      <w:r>
        <w:lastRenderedPageBreak/>
        <w:t xml:space="preserve">Exhibit 2: </w:t>
      </w:r>
      <w:r w:rsidRPr="00DE234A">
        <w:rPr>
          <w:lang w:val="en-CA"/>
        </w:rPr>
        <w:t>the Muttart Conservatory</w:t>
      </w:r>
    </w:p>
    <w:p w14:paraId="483D1913" w14:textId="77777777" w:rsidR="006203D4" w:rsidRDefault="006203D4" w:rsidP="006203D4">
      <w:pPr>
        <w:pStyle w:val="BodyTextMain"/>
        <w:rPr>
          <w:lang w:val="en-CA"/>
        </w:rPr>
      </w:pPr>
    </w:p>
    <w:p w14:paraId="6AF7C8A3" w14:textId="77777777" w:rsidR="006203D4" w:rsidRDefault="006203D4" w:rsidP="006203D4">
      <w:pPr>
        <w:pStyle w:val="Casehead2"/>
      </w:pPr>
      <w:r>
        <w:t>Muttart Conservatory</w:t>
      </w:r>
    </w:p>
    <w:p w14:paraId="3ED91425" w14:textId="77777777" w:rsidR="006203D4" w:rsidRDefault="006203D4" w:rsidP="006203D4">
      <w:pPr>
        <w:pStyle w:val="Casehead2"/>
      </w:pPr>
      <w:r w:rsidRPr="00160B24">
        <w:rPr>
          <w:rFonts w:ascii="Times New Roman" w:hAnsi="Times New Roman" w:cs="Times New Roman"/>
          <w:noProof/>
          <w:sz w:val="23"/>
          <w:szCs w:val="23"/>
          <w:lang w:val="en-US"/>
        </w:rPr>
        <w:drawing>
          <wp:anchor distT="0" distB="0" distL="114300" distR="114300" simplePos="0" relativeHeight="251632128" behindDoc="0" locked="0" layoutInCell="1" allowOverlap="1" wp14:anchorId="3A32BFE9" wp14:editId="47F9113B">
            <wp:simplePos x="0" y="0"/>
            <wp:positionH relativeFrom="column">
              <wp:posOffset>71231</wp:posOffset>
            </wp:positionH>
            <wp:positionV relativeFrom="paragraph">
              <wp:posOffset>168275</wp:posOffset>
            </wp:positionV>
            <wp:extent cx="3732530" cy="196913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3732530" cy="1969135"/>
                    </a:xfrm>
                    <a:prstGeom prst="rect">
                      <a:avLst/>
                    </a:prstGeom>
                    <a:noFill/>
                    <a:ln>
                      <a:noFill/>
                    </a:ln>
                    <a:effectLst/>
                  </pic:spPr>
                </pic:pic>
              </a:graphicData>
            </a:graphic>
          </wp:anchor>
        </w:drawing>
      </w:r>
    </w:p>
    <w:p w14:paraId="28E69DE5" w14:textId="77777777" w:rsidR="006203D4" w:rsidRDefault="006203D4" w:rsidP="006203D4">
      <w:pPr>
        <w:pStyle w:val="Casehead2"/>
      </w:pPr>
    </w:p>
    <w:p w14:paraId="3244147D" w14:textId="77777777" w:rsidR="006203D4" w:rsidRDefault="006203D4" w:rsidP="006203D4">
      <w:pPr>
        <w:pStyle w:val="Casehead2"/>
      </w:pPr>
    </w:p>
    <w:p w14:paraId="78D2BF05" w14:textId="77777777" w:rsidR="006203D4" w:rsidRPr="00837313" w:rsidRDefault="006203D4" w:rsidP="006203D4">
      <w:pPr>
        <w:pStyle w:val="Casehead2"/>
      </w:pPr>
      <w:r w:rsidRPr="00837313">
        <w:t>Inside the Orchid Greenhouse</w:t>
      </w:r>
    </w:p>
    <w:p w14:paraId="47F72B30" w14:textId="77777777" w:rsidR="006203D4" w:rsidRDefault="006203D4" w:rsidP="006203D4">
      <w:pPr>
        <w:pStyle w:val="Casehead2"/>
      </w:pPr>
      <w:r w:rsidRPr="00160B24">
        <w:rPr>
          <w:rFonts w:ascii="Times New Roman" w:hAnsi="Times New Roman" w:cs="Times New Roman"/>
          <w:noProof/>
          <w:sz w:val="23"/>
          <w:szCs w:val="23"/>
          <w:lang w:val="en-US"/>
        </w:rPr>
        <w:drawing>
          <wp:anchor distT="0" distB="0" distL="114300" distR="114300" simplePos="0" relativeHeight="251676160" behindDoc="0" locked="0" layoutInCell="1" allowOverlap="1" wp14:anchorId="3916D821" wp14:editId="3C6E3FB5">
            <wp:simplePos x="0" y="0"/>
            <wp:positionH relativeFrom="margin">
              <wp:posOffset>71120</wp:posOffset>
            </wp:positionH>
            <wp:positionV relativeFrom="paragraph">
              <wp:posOffset>2494142</wp:posOffset>
            </wp:positionV>
            <wp:extent cx="3008630" cy="2106930"/>
            <wp:effectExtent l="0" t="0" r="127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13" cstate="print">
                      <a:grayscl/>
                      <a:extLst>
                        <a:ext uri="{28A0092B-C50C-407E-A947-70E740481C1C}">
                          <a14:useLocalDpi xmlns:a14="http://schemas.microsoft.com/office/drawing/2010/main" val="0"/>
                        </a:ext>
                      </a:extLst>
                    </a:blip>
                    <a:srcRect/>
                    <a:stretch>
                      <a:fillRect/>
                    </a:stretch>
                  </pic:blipFill>
                  <pic:spPr bwMode="auto">
                    <a:xfrm>
                      <a:off x="0" y="0"/>
                      <a:ext cx="3008630" cy="2106930"/>
                    </a:xfrm>
                    <a:prstGeom prst="rect">
                      <a:avLst/>
                    </a:prstGeom>
                    <a:noFill/>
                    <a:ln>
                      <a:noFill/>
                    </a:ln>
                    <a:effectLst/>
                  </pic:spPr>
                </pic:pic>
              </a:graphicData>
            </a:graphic>
          </wp:anchor>
        </w:drawing>
      </w:r>
      <w:r w:rsidRPr="00160B24">
        <w:rPr>
          <w:rFonts w:ascii="Times New Roman" w:hAnsi="Times New Roman" w:cs="Times New Roman"/>
          <w:noProof/>
          <w:sz w:val="23"/>
          <w:szCs w:val="23"/>
          <w:lang w:val="en-US"/>
        </w:rPr>
        <w:drawing>
          <wp:anchor distT="0" distB="0" distL="114300" distR="114300" simplePos="0" relativeHeight="251649536" behindDoc="0" locked="0" layoutInCell="1" allowOverlap="1" wp14:anchorId="6C8ED4CC" wp14:editId="3E869257">
            <wp:simplePos x="0" y="0"/>
            <wp:positionH relativeFrom="column">
              <wp:posOffset>71562</wp:posOffset>
            </wp:positionH>
            <wp:positionV relativeFrom="paragraph">
              <wp:posOffset>176530</wp:posOffset>
            </wp:positionV>
            <wp:extent cx="2750820" cy="21494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750820" cy="2149475"/>
                    </a:xfrm>
                    <a:prstGeom prst="rect">
                      <a:avLst/>
                    </a:prstGeom>
                    <a:noFill/>
                    <a:ln>
                      <a:noFill/>
                    </a:ln>
                    <a:effectLst/>
                  </pic:spPr>
                </pic:pic>
              </a:graphicData>
            </a:graphic>
          </wp:anchor>
        </w:drawing>
      </w:r>
    </w:p>
    <w:p w14:paraId="70409A64" w14:textId="77777777" w:rsidR="006203D4" w:rsidRDefault="006203D4" w:rsidP="006203D4">
      <w:pPr>
        <w:pStyle w:val="Casehead2"/>
      </w:pPr>
    </w:p>
    <w:p w14:paraId="796FD2E1" w14:textId="77777777" w:rsidR="006203D4" w:rsidRDefault="006203D4" w:rsidP="006203D4">
      <w:pPr>
        <w:pStyle w:val="Casehead2"/>
      </w:pPr>
    </w:p>
    <w:p w14:paraId="51F9F8F3" w14:textId="2171C9BD" w:rsidR="006203D4" w:rsidRDefault="00E70F4E" w:rsidP="006203D4">
      <w:pPr>
        <w:pStyle w:val="Footnote"/>
      </w:pPr>
      <w:r>
        <w:t xml:space="preserve">Source: The </w:t>
      </w:r>
      <w:r w:rsidRPr="00D47D51">
        <w:t>Orchid Species Preservation Foundation</w:t>
      </w:r>
      <w:r>
        <w:t xml:space="preserve"> board.</w:t>
      </w:r>
    </w:p>
    <w:p w14:paraId="7A4AD98E" w14:textId="25FD1343" w:rsidR="001D4338" w:rsidRPr="00A631C4" w:rsidRDefault="006203D4" w:rsidP="007E6C82">
      <w:pPr>
        <w:pStyle w:val="ExhibitHeading"/>
      </w:pPr>
      <w:r>
        <w:rPr>
          <w:lang w:val="en-CA"/>
        </w:rPr>
        <w:lastRenderedPageBreak/>
        <w:t xml:space="preserve">Exhibit </w:t>
      </w:r>
      <w:r w:rsidRPr="00DE234A">
        <w:rPr>
          <w:lang w:val="en-CA"/>
        </w:rPr>
        <w:t xml:space="preserve">3: </w:t>
      </w:r>
      <w:r w:rsidR="00AC11FF">
        <w:t>OSPF</w:t>
      </w:r>
      <w:r w:rsidR="00A631C4" w:rsidRPr="00A631C4">
        <w:t xml:space="preserve"> Statement </w:t>
      </w:r>
      <w:r w:rsidR="00A631C4">
        <w:t>o</w:t>
      </w:r>
      <w:r w:rsidR="00A631C4" w:rsidRPr="00A631C4">
        <w:t xml:space="preserve">f Revenue </w:t>
      </w:r>
      <w:r w:rsidR="00A631C4">
        <w:t>a</w:t>
      </w:r>
      <w:r w:rsidR="00A631C4" w:rsidRPr="00A631C4">
        <w:t>nd Expenses</w:t>
      </w:r>
      <w:r w:rsidR="00342F91">
        <w:t xml:space="preserve"> </w:t>
      </w:r>
      <w:r w:rsidR="00A631C4" w:rsidRPr="00A631C4">
        <w:t>Year Ended December 31, 2014</w:t>
      </w:r>
      <w:r w:rsidR="00342F91">
        <w:t xml:space="preserve"> </w:t>
      </w:r>
      <w:r w:rsidR="001D4338" w:rsidRPr="00A354D0">
        <w:t>(in Canadian dollars)</w:t>
      </w:r>
    </w:p>
    <w:p w14:paraId="2489154C" w14:textId="77777777" w:rsidR="00A631C4" w:rsidRPr="00AC11FF" w:rsidRDefault="00A631C4" w:rsidP="00A631C4">
      <w:pPr>
        <w:pStyle w:val="Casehead2"/>
        <w:rPr>
          <w:sz w:val="18"/>
        </w:rPr>
      </w:pPr>
    </w:p>
    <w:tbl>
      <w:tblPr>
        <w:tblStyle w:val="TableGrid"/>
        <w:tblW w:w="0" w:type="auto"/>
        <w:jc w:val="center"/>
        <w:tblLayout w:type="fixed"/>
        <w:tblLook w:val="04A0" w:firstRow="1" w:lastRow="0" w:firstColumn="1" w:lastColumn="0" w:noHBand="0" w:noVBand="1"/>
      </w:tblPr>
      <w:tblGrid>
        <w:gridCol w:w="4945"/>
        <w:gridCol w:w="990"/>
        <w:gridCol w:w="270"/>
        <w:gridCol w:w="990"/>
      </w:tblGrid>
      <w:tr w:rsidR="007408BC" w:rsidRPr="00A21863" w14:paraId="7B6AA8BD" w14:textId="77777777" w:rsidTr="00AC11FF">
        <w:trPr>
          <w:jc w:val="center"/>
        </w:trPr>
        <w:tc>
          <w:tcPr>
            <w:tcW w:w="4945" w:type="dxa"/>
          </w:tcPr>
          <w:p w14:paraId="3A02D010" w14:textId="77777777" w:rsidR="007408BC" w:rsidRPr="00A21863" w:rsidRDefault="007408BC" w:rsidP="00A631C4">
            <w:pPr>
              <w:pStyle w:val="Casehead2"/>
              <w:rPr>
                <w:sz w:val="18"/>
                <w:szCs w:val="18"/>
              </w:rPr>
            </w:pPr>
          </w:p>
        </w:tc>
        <w:tc>
          <w:tcPr>
            <w:tcW w:w="990" w:type="dxa"/>
          </w:tcPr>
          <w:p w14:paraId="18F4CC48" w14:textId="77777777" w:rsidR="007408BC" w:rsidRPr="00A21863" w:rsidRDefault="007408BC" w:rsidP="00E921C7">
            <w:pPr>
              <w:pStyle w:val="Casehead2"/>
              <w:jc w:val="center"/>
              <w:rPr>
                <w:sz w:val="18"/>
                <w:szCs w:val="18"/>
              </w:rPr>
            </w:pPr>
            <w:r w:rsidRPr="00A21863">
              <w:rPr>
                <w:sz w:val="18"/>
                <w:szCs w:val="18"/>
              </w:rPr>
              <w:t>2014 ($)</w:t>
            </w:r>
          </w:p>
        </w:tc>
        <w:tc>
          <w:tcPr>
            <w:tcW w:w="270" w:type="dxa"/>
          </w:tcPr>
          <w:p w14:paraId="024DB12A" w14:textId="77777777" w:rsidR="007408BC" w:rsidRPr="00A21863" w:rsidRDefault="007408BC" w:rsidP="00E921C7">
            <w:pPr>
              <w:pStyle w:val="Casehead2"/>
              <w:jc w:val="center"/>
              <w:rPr>
                <w:sz w:val="18"/>
                <w:szCs w:val="18"/>
              </w:rPr>
            </w:pPr>
          </w:p>
        </w:tc>
        <w:tc>
          <w:tcPr>
            <w:tcW w:w="990" w:type="dxa"/>
          </w:tcPr>
          <w:p w14:paraId="799244E9" w14:textId="77777777" w:rsidR="007408BC" w:rsidRPr="00A21863" w:rsidRDefault="007408BC" w:rsidP="00E921C7">
            <w:pPr>
              <w:pStyle w:val="Casehead2"/>
              <w:jc w:val="center"/>
              <w:rPr>
                <w:sz w:val="18"/>
                <w:szCs w:val="18"/>
              </w:rPr>
            </w:pPr>
            <w:r w:rsidRPr="00A21863">
              <w:rPr>
                <w:sz w:val="18"/>
                <w:szCs w:val="18"/>
              </w:rPr>
              <w:t>2013 ($)</w:t>
            </w:r>
          </w:p>
        </w:tc>
      </w:tr>
      <w:tr w:rsidR="007408BC" w:rsidRPr="00A21863" w14:paraId="471F7609" w14:textId="77777777" w:rsidTr="00AC11FF">
        <w:trPr>
          <w:jc w:val="center"/>
        </w:trPr>
        <w:tc>
          <w:tcPr>
            <w:tcW w:w="4945" w:type="dxa"/>
          </w:tcPr>
          <w:p w14:paraId="45D84270" w14:textId="77777777" w:rsidR="007408BC" w:rsidRPr="00A21863" w:rsidRDefault="007408BC" w:rsidP="00A631C4">
            <w:pPr>
              <w:pStyle w:val="Casehead2"/>
              <w:rPr>
                <w:sz w:val="18"/>
                <w:szCs w:val="18"/>
              </w:rPr>
            </w:pPr>
            <w:r w:rsidRPr="00A21863">
              <w:rPr>
                <w:sz w:val="18"/>
                <w:szCs w:val="18"/>
              </w:rPr>
              <w:t>Revenues</w:t>
            </w:r>
          </w:p>
        </w:tc>
        <w:tc>
          <w:tcPr>
            <w:tcW w:w="990" w:type="dxa"/>
          </w:tcPr>
          <w:p w14:paraId="14798C32" w14:textId="77777777" w:rsidR="007408BC" w:rsidRPr="00A21863" w:rsidRDefault="007408BC" w:rsidP="00A631C4">
            <w:pPr>
              <w:pStyle w:val="Casehead2"/>
              <w:rPr>
                <w:sz w:val="18"/>
                <w:szCs w:val="18"/>
              </w:rPr>
            </w:pPr>
          </w:p>
        </w:tc>
        <w:tc>
          <w:tcPr>
            <w:tcW w:w="270" w:type="dxa"/>
          </w:tcPr>
          <w:p w14:paraId="160414E9" w14:textId="77777777" w:rsidR="007408BC" w:rsidRPr="00A21863" w:rsidRDefault="007408BC" w:rsidP="00A631C4">
            <w:pPr>
              <w:pStyle w:val="Casehead2"/>
              <w:rPr>
                <w:sz w:val="18"/>
                <w:szCs w:val="18"/>
              </w:rPr>
            </w:pPr>
          </w:p>
        </w:tc>
        <w:tc>
          <w:tcPr>
            <w:tcW w:w="990" w:type="dxa"/>
          </w:tcPr>
          <w:p w14:paraId="35A2F1B5" w14:textId="77777777" w:rsidR="007408BC" w:rsidRPr="00A21863" w:rsidRDefault="007408BC" w:rsidP="00A631C4">
            <w:pPr>
              <w:pStyle w:val="Casehead2"/>
              <w:rPr>
                <w:sz w:val="18"/>
                <w:szCs w:val="18"/>
              </w:rPr>
            </w:pPr>
          </w:p>
        </w:tc>
      </w:tr>
      <w:tr w:rsidR="007408BC" w:rsidRPr="00A21863" w14:paraId="6F6B6D66" w14:textId="77777777" w:rsidTr="00AC11FF">
        <w:trPr>
          <w:jc w:val="center"/>
        </w:trPr>
        <w:tc>
          <w:tcPr>
            <w:tcW w:w="4945" w:type="dxa"/>
          </w:tcPr>
          <w:p w14:paraId="1D000379" w14:textId="56D299B0" w:rsidR="007408BC" w:rsidRPr="00A21863" w:rsidRDefault="007408BC" w:rsidP="00CE3A65">
            <w:pPr>
              <w:pStyle w:val="ExhibitText"/>
              <w:rPr>
                <w:sz w:val="18"/>
                <w:szCs w:val="18"/>
              </w:rPr>
            </w:pPr>
            <w:r w:rsidRPr="00A21863">
              <w:rPr>
                <w:w w:val="102"/>
                <w:sz w:val="18"/>
                <w:szCs w:val="18"/>
              </w:rPr>
              <w:t>Donations</w:t>
            </w:r>
            <w:r w:rsidR="00CE3A65">
              <w:rPr>
                <w:w w:val="102"/>
                <w:sz w:val="18"/>
                <w:szCs w:val="18"/>
              </w:rPr>
              <w:t>–</w:t>
            </w:r>
            <w:r w:rsidRPr="00A21863">
              <w:rPr>
                <w:w w:val="102"/>
                <w:sz w:val="18"/>
                <w:szCs w:val="18"/>
              </w:rPr>
              <w:t>Cash</w:t>
            </w:r>
          </w:p>
        </w:tc>
        <w:tc>
          <w:tcPr>
            <w:tcW w:w="990" w:type="dxa"/>
          </w:tcPr>
          <w:p w14:paraId="24920862" w14:textId="77777777" w:rsidR="007408BC" w:rsidRPr="00A21863" w:rsidRDefault="007408BC" w:rsidP="00E921C7">
            <w:pPr>
              <w:pStyle w:val="ExhibitText"/>
              <w:jc w:val="right"/>
              <w:rPr>
                <w:sz w:val="18"/>
                <w:szCs w:val="18"/>
              </w:rPr>
            </w:pPr>
            <w:r w:rsidRPr="00A21863">
              <w:rPr>
                <w:w w:val="104"/>
                <w:sz w:val="18"/>
                <w:szCs w:val="18"/>
              </w:rPr>
              <w:t>2,360</w:t>
            </w:r>
          </w:p>
        </w:tc>
        <w:tc>
          <w:tcPr>
            <w:tcW w:w="270" w:type="dxa"/>
          </w:tcPr>
          <w:p w14:paraId="11585FC3" w14:textId="77777777" w:rsidR="007408BC" w:rsidRPr="00A21863" w:rsidRDefault="007408BC" w:rsidP="00E921C7">
            <w:pPr>
              <w:pStyle w:val="ExhibitText"/>
              <w:jc w:val="right"/>
              <w:rPr>
                <w:w w:val="108"/>
                <w:sz w:val="18"/>
                <w:szCs w:val="18"/>
              </w:rPr>
            </w:pPr>
          </w:p>
        </w:tc>
        <w:tc>
          <w:tcPr>
            <w:tcW w:w="990" w:type="dxa"/>
          </w:tcPr>
          <w:p w14:paraId="065E6C3F" w14:textId="77777777" w:rsidR="007408BC" w:rsidRPr="00A21863" w:rsidRDefault="007408BC" w:rsidP="00E921C7">
            <w:pPr>
              <w:pStyle w:val="ExhibitText"/>
              <w:jc w:val="right"/>
              <w:rPr>
                <w:sz w:val="18"/>
                <w:szCs w:val="18"/>
              </w:rPr>
            </w:pPr>
            <w:r w:rsidRPr="00A21863">
              <w:rPr>
                <w:w w:val="108"/>
                <w:sz w:val="18"/>
                <w:szCs w:val="18"/>
              </w:rPr>
              <w:t>100</w:t>
            </w:r>
          </w:p>
        </w:tc>
      </w:tr>
      <w:tr w:rsidR="007408BC" w:rsidRPr="00A21863" w14:paraId="303FF0E6" w14:textId="77777777" w:rsidTr="00AC11FF">
        <w:trPr>
          <w:jc w:val="center"/>
        </w:trPr>
        <w:tc>
          <w:tcPr>
            <w:tcW w:w="4945" w:type="dxa"/>
          </w:tcPr>
          <w:p w14:paraId="0750CAF5" w14:textId="77777777" w:rsidR="007408BC" w:rsidRPr="00A21863" w:rsidRDefault="007408BC" w:rsidP="00E921C7">
            <w:pPr>
              <w:pStyle w:val="ExhibitText"/>
              <w:rPr>
                <w:sz w:val="18"/>
                <w:szCs w:val="18"/>
              </w:rPr>
            </w:pPr>
            <w:r w:rsidRPr="00A21863">
              <w:rPr>
                <w:w w:val="104"/>
                <w:sz w:val="18"/>
                <w:szCs w:val="18"/>
              </w:rPr>
              <w:t>In Kind</w:t>
            </w:r>
          </w:p>
        </w:tc>
        <w:tc>
          <w:tcPr>
            <w:tcW w:w="990" w:type="dxa"/>
          </w:tcPr>
          <w:p w14:paraId="4186D7DE" w14:textId="77777777" w:rsidR="007408BC" w:rsidRPr="00A21863" w:rsidRDefault="007408BC" w:rsidP="00E921C7">
            <w:pPr>
              <w:pStyle w:val="ExhibitText"/>
              <w:jc w:val="right"/>
              <w:rPr>
                <w:sz w:val="18"/>
                <w:szCs w:val="18"/>
              </w:rPr>
            </w:pPr>
            <w:r w:rsidRPr="00A21863">
              <w:rPr>
                <w:w w:val="105"/>
                <w:sz w:val="18"/>
                <w:szCs w:val="18"/>
              </w:rPr>
              <w:t>1,005</w:t>
            </w:r>
          </w:p>
        </w:tc>
        <w:tc>
          <w:tcPr>
            <w:tcW w:w="270" w:type="dxa"/>
          </w:tcPr>
          <w:p w14:paraId="6D1448B2" w14:textId="77777777" w:rsidR="007408BC" w:rsidRPr="00A21863" w:rsidRDefault="007408BC" w:rsidP="00E921C7">
            <w:pPr>
              <w:pStyle w:val="ExhibitText"/>
              <w:jc w:val="right"/>
              <w:rPr>
                <w:spacing w:val="-16"/>
                <w:w w:val="111"/>
                <w:sz w:val="18"/>
                <w:szCs w:val="18"/>
              </w:rPr>
            </w:pPr>
          </w:p>
        </w:tc>
        <w:tc>
          <w:tcPr>
            <w:tcW w:w="990" w:type="dxa"/>
          </w:tcPr>
          <w:p w14:paraId="3E35C7D4" w14:textId="77777777" w:rsidR="007408BC" w:rsidRPr="00A21863" w:rsidRDefault="007408BC" w:rsidP="00E921C7">
            <w:pPr>
              <w:pStyle w:val="ExhibitText"/>
              <w:jc w:val="right"/>
              <w:rPr>
                <w:sz w:val="18"/>
                <w:szCs w:val="18"/>
              </w:rPr>
            </w:pPr>
            <w:r w:rsidRPr="00A21863">
              <w:rPr>
                <w:spacing w:val="-16"/>
                <w:w w:val="111"/>
                <w:sz w:val="18"/>
                <w:szCs w:val="18"/>
              </w:rPr>
              <w:t>1</w:t>
            </w:r>
            <w:r w:rsidRPr="00A21863">
              <w:rPr>
                <w:w w:val="107"/>
                <w:sz w:val="18"/>
                <w:szCs w:val="18"/>
              </w:rPr>
              <w:t>5,335</w:t>
            </w:r>
          </w:p>
        </w:tc>
      </w:tr>
      <w:tr w:rsidR="007408BC" w:rsidRPr="00A21863" w14:paraId="1BAADA09" w14:textId="77777777" w:rsidTr="00AC11FF">
        <w:trPr>
          <w:jc w:val="center"/>
        </w:trPr>
        <w:tc>
          <w:tcPr>
            <w:tcW w:w="4945" w:type="dxa"/>
          </w:tcPr>
          <w:p w14:paraId="20097C13" w14:textId="77777777" w:rsidR="007408BC" w:rsidRPr="00A21863" w:rsidRDefault="007408BC" w:rsidP="00E921C7">
            <w:pPr>
              <w:pStyle w:val="ExhibitText"/>
              <w:rPr>
                <w:sz w:val="18"/>
                <w:szCs w:val="18"/>
              </w:rPr>
            </w:pPr>
            <w:r w:rsidRPr="00A21863">
              <w:rPr>
                <w:sz w:val="18"/>
                <w:szCs w:val="18"/>
              </w:rPr>
              <w:t>Sale</w:t>
            </w:r>
            <w:r w:rsidRPr="00A21863">
              <w:rPr>
                <w:spacing w:val="16"/>
                <w:sz w:val="18"/>
                <w:szCs w:val="18"/>
              </w:rPr>
              <w:t xml:space="preserve"> </w:t>
            </w:r>
            <w:r w:rsidRPr="00A21863">
              <w:rPr>
                <w:sz w:val="18"/>
                <w:szCs w:val="18"/>
              </w:rPr>
              <w:t>of</w:t>
            </w:r>
            <w:r w:rsidRPr="00A21863">
              <w:rPr>
                <w:spacing w:val="14"/>
                <w:sz w:val="18"/>
                <w:szCs w:val="18"/>
              </w:rPr>
              <w:t xml:space="preserve"> </w:t>
            </w:r>
            <w:r w:rsidRPr="00A21863">
              <w:rPr>
                <w:spacing w:val="-6"/>
                <w:w w:val="107"/>
                <w:sz w:val="18"/>
                <w:szCs w:val="18"/>
              </w:rPr>
              <w:t>P</w:t>
            </w:r>
            <w:r w:rsidRPr="00A21863">
              <w:rPr>
                <w:spacing w:val="-4"/>
                <w:w w:val="109"/>
                <w:sz w:val="18"/>
                <w:szCs w:val="18"/>
              </w:rPr>
              <w:t>l</w:t>
            </w:r>
            <w:r w:rsidRPr="00A21863">
              <w:rPr>
                <w:w w:val="107"/>
                <w:sz w:val="18"/>
                <w:szCs w:val="18"/>
              </w:rPr>
              <w:t>ants</w:t>
            </w:r>
          </w:p>
        </w:tc>
        <w:tc>
          <w:tcPr>
            <w:tcW w:w="990" w:type="dxa"/>
          </w:tcPr>
          <w:p w14:paraId="26E9BA8C" w14:textId="77777777" w:rsidR="007408BC" w:rsidRPr="00A21863" w:rsidRDefault="007408BC" w:rsidP="00E921C7">
            <w:pPr>
              <w:pStyle w:val="ExhibitText"/>
              <w:jc w:val="right"/>
              <w:rPr>
                <w:sz w:val="18"/>
                <w:szCs w:val="18"/>
              </w:rPr>
            </w:pPr>
            <w:r w:rsidRPr="00A21863">
              <w:rPr>
                <w:spacing w:val="-12"/>
                <w:w w:val="111"/>
                <w:sz w:val="18"/>
                <w:szCs w:val="18"/>
              </w:rPr>
              <w:t>4</w:t>
            </w:r>
            <w:r w:rsidRPr="00A21863">
              <w:rPr>
                <w:w w:val="111"/>
                <w:sz w:val="18"/>
                <w:szCs w:val="18"/>
              </w:rPr>
              <w:t>,7</w:t>
            </w:r>
            <w:r w:rsidRPr="00A21863">
              <w:rPr>
                <w:spacing w:val="-9"/>
                <w:w w:val="111"/>
                <w:sz w:val="18"/>
                <w:szCs w:val="18"/>
              </w:rPr>
              <w:t>0</w:t>
            </w:r>
            <w:r w:rsidRPr="00A21863">
              <w:rPr>
                <w:w w:val="111"/>
                <w:sz w:val="18"/>
                <w:szCs w:val="18"/>
              </w:rPr>
              <w:t>1</w:t>
            </w:r>
          </w:p>
        </w:tc>
        <w:tc>
          <w:tcPr>
            <w:tcW w:w="270" w:type="dxa"/>
          </w:tcPr>
          <w:p w14:paraId="6FA657EF" w14:textId="77777777" w:rsidR="007408BC" w:rsidRPr="00A21863" w:rsidRDefault="007408BC" w:rsidP="00E921C7">
            <w:pPr>
              <w:pStyle w:val="ExhibitText"/>
              <w:jc w:val="right"/>
              <w:rPr>
                <w:w w:val="105"/>
                <w:sz w:val="18"/>
                <w:szCs w:val="18"/>
              </w:rPr>
            </w:pPr>
          </w:p>
        </w:tc>
        <w:tc>
          <w:tcPr>
            <w:tcW w:w="990" w:type="dxa"/>
          </w:tcPr>
          <w:p w14:paraId="5B886C2D" w14:textId="77777777" w:rsidR="007408BC" w:rsidRPr="00A21863" w:rsidRDefault="007408BC" w:rsidP="00E921C7">
            <w:pPr>
              <w:pStyle w:val="ExhibitText"/>
              <w:jc w:val="right"/>
              <w:rPr>
                <w:sz w:val="18"/>
                <w:szCs w:val="18"/>
              </w:rPr>
            </w:pPr>
            <w:r w:rsidRPr="00A21863">
              <w:rPr>
                <w:w w:val="105"/>
                <w:sz w:val="18"/>
                <w:szCs w:val="18"/>
              </w:rPr>
              <w:t>3,424</w:t>
            </w:r>
          </w:p>
        </w:tc>
      </w:tr>
      <w:tr w:rsidR="007408BC" w:rsidRPr="00A21863" w14:paraId="661E0838" w14:textId="77777777" w:rsidTr="00AC11FF">
        <w:trPr>
          <w:jc w:val="center"/>
        </w:trPr>
        <w:tc>
          <w:tcPr>
            <w:tcW w:w="4945" w:type="dxa"/>
          </w:tcPr>
          <w:p w14:paraId="047B3D07" w14:textId="77777777" w:rsidR="007408BC" w:rsidRPr="00A21863" w:rsidRDefault="007408BC" w:rsidP="00E921C7">
            <w:pPr>
              <w:pStyle w:val="ExhibitText"/>
              <w:rPr>
                <w:sz w:val="18"/>
                <w:szCs w:val="18"/>
              </w:rPr>
            </w:pPr>
            <w:r w:rsidRPr="00A21863">
              <w:rPr>
                <w:w w:val="104"/>
                <w:sz w:val="18"/>
                <w:szCs w:val="18"/>
              </w:rPr>
              <w:t>Membership</w:t>
            </w:r>
          </w:p>
        </w:tc>
        <w:tc>
          <w:tcPr>
            <w:tcW w:w="990" w:type="dxa"/>
          </w:tcPr>
          <w:p w14:paraId="06E0DA09" w14:textId="77777777" w:rsidR="007408BC" w:rsidRPr="00A21863" w:rsidRDefault="007408BC" w:rsidP="00E921C7">
            <w:pPr>
              <w:pStyle w:val="ExhibitText"/>
              <w:jc w:val="right"/>
              <w:rPr>
                <w:sz w:val="18"/>
                <w:szCs w:val="18"/>
              </w:rPr>
            </w:pPr>
            <w:r w:rsidRPr="00A21863">
              <w:rPr>
                <w:w w:val="106"/>
                <w:sz w:val="18"/>
                <w:szCs w:val="18"/>
              </w:rPr>
              <w:t>440</w:t>
            </w:r>
          </w:p>
        </w:tc>
        <w:tc>
          <w:tcPr>
            <w:tcW w:w="270" w:type="dxa"/>
          </w:tcPr>
          <w:p w14:paraId="7B19505A" w14:textId="77777777" w:rsidR="007408BC" w:rsidRPr="00A21863" w:rsidRDefault="007408BC" w:rsidP="00E921C7">
            <w:pPr>
              <w:pStyle w:val="ExhibitText"/>
              <w:jc w:val="right"/>
              <w:rPr>
                <w:w w:val="106"/>
                <w:sz w:val="18"/>
                <w:szCs w:val="18"/>
              </w:rPr>
            </w:pPr>
          </w:p>
        </w:tc>
        <w:tc>
          <w:tcPr>
            <w:tcW w:w="990" w:type="dxa"/>
          </w:tcPr>
          <w:p w14:paraId="152C78AC" w14:textId="77777777" w:rsidR="007408BC" w:rsidRPr="00A21863" w:rsidRDefault="007408BC" w:rsidP="00E921C7">
            <w:pPr>
              <w:pStyle w:val="ExhibitText"/>
              <w:jc w:val="right"/>
              <w:rPr>
                <w:sz w:val="18"/>
                <w:szCs w:val="18"/>
              </w:rPr>
            </w:pPr>
            <w:r w:rsidRPr="00A21863">
              <w:rPr>
                <w:w w:val="106"/>
                <w:sz w:val="18"/>
                <w:szCs w:val="18"/>
              </w:rPr>
              <w:t>460</w:t>
            </w:r>
          </w:p>
        </w:tc>
      </w:tr>
      <w:tr w:rsidR="007408BC" w:rsidRPr="00A21863" w14:paraId="63AF03B9" w14:textId="77777777" w:rsidTr="00AC11FF">
        <w:trPr>
          <w:jc w:val="center"/>
        </w:trPr>
        <w:tc>
          <w:tcPr>
            <w:tcW w:w="4945" w:type="dxa"/>
          </w:tcPr>
          <w:p w14:paraId="292E2CDA" w14:textId="77777777" w:rsidR="007408BC" w:rsidRPr="00A21863" w:rsidRDefault="007408BC" w:rsidP="00E921C7">
            <w:pPr>
              <w:pStyle w:val="ExhibitText"/>
              <w:rPr>
                <w:sz w:val="18"/>
                <w:szCs w:val="18"/>
              </w:rPr>
            </w:pPr>
            <w:r w:rsidRPr="00A21863">
              <w:rPr>
                <w:sz w:val="18"/>
                <w:szCs w:val="18"/>
              </w:rPr>
              <w:t>Expense</w:t>
            </w:r>
            <w:r w:rsidRPr="00A21863">
              <w:rPr>
                <w:spacing w:val="26"/>
                <w:sz w:val="18"/>
                <w:szCs w:val="18"/>
              </w:rPr>
              <w:t xml:space="preserve"> </w:t>
            </w:r>
            <w:r w:rsidRPr="00A21863">
              <w:rPr>
                <w:w w:val="103"/>
                <w:sz w:val="18"/>
                <w:szCs w:val="18"/>
              </w:rPr>
              <w:t>Recovery</w:t>
            </w:r>
          </w:p>
        </w:tc>
        <w:tc>
          <w:tcPr>
            <w:tcW w:w="990" w:type="dxa"/>
          </w:tcPr>
          <w:p w14:paraId="6B7B7F3C" w14:textId="77777777" w:rsidR="007408BC" w:rsidRPr="00A21863" w:rsidRDefault="007408BC" w:rsidP="00E921C7">
            <w:pPr>
              <w:pStyle w:val="ExhibitText"/>
              <w:jc w:val="right"/>
              <w:rPr>
                <w:sz w:val="18"/>
                <w:szCs w:val="18"/>
              </w:rPr>
            </w:pPr>
            <w:r w:rsidRPr="00A21863">
              <w:rPr>
                <w:w w:val="117"/>
                <w:sz w:val="18"/>
                <w:szCs w:val="18"/>
              </w:rPr>
              <w:t>0</w:t>
            </w:r>
          </w:p>
        </w:tc>
        <w:tc>
          <w:tcPr>
            <w:tcW w:w="270" w:type="dxa"/>
          </w:tcPr>
          <w:p w14:paraId="7BCD0B0B" w14:textId="77777777" w:rsidR="007408BC" w:rsidRPr="00A21863" w:rsidRDefault="007408BC" w:rsidP="00E921C7">
            <w:pPr>
              <w:pStyle w:val="ExhibitText"/>
              <w:jc w:val="right"/>
              <w:rPr>
                <w:w w:val="107"/>
                <w:sz w:val="18"/>
                <w:szCs w:val="18"/>
              </w:rPr>
            </w:pPr>
          </w:p>
        </w:tc>
        <w:tc>
          <w:tcPr>
            <w:tcW w:w="990" w:type="dxa"/>
          </w:tcPr>
          <w:p w14:paraId="042D94B8" w14:textId="77777777" w:rsidR="007408BC" w:rsidRPr="00A21863" w:rsidRDefault="007408BC" w:rsidP="00E921C7">
            <w:pPr>
              <w:pStyle w:val="ExhibitText"/>
              <w:jc w:val="right"/>
              <w:rPr>
                <w:sz w:val="18"/>
                <w:szCs w:val="18"/>
              </w:rPr>
            </w:pPr>
            <w:r w:rsidRPr="00A21863">
              <w:rPr>
                <w:w w:val="107"/>
                <w:sz w:val="18"/>
                <w:szCs w:val="18"/>
              </w:rPr>
              <w:t>283</w:t>
            </w:r>
          </w:p>
        </w:tc>
      </w:tr>
      <w:tr w:rsidR="007408BC" w:rsidRPr="00A21863" w14:paraId="2491BB27" w14:textId="77777777" w:rsidTr="00AC11FF">
        <w:trPr>
          <w:jc w:val="center"/>
        </w:trPr>
        <w:tc>
          <w:tcPr>
            <w:tcW w:w="4945" w:type="dxa"/>
          </w:tcPr>
          <w:p w14:paraId="4C2EC8D7" w14:textId="51BEAB0B" w:rsidR="007408BC" w:rsidRPr="00A21863" w:rsidRDefault="007408BC" w:rsidP="00CE3A65">
            <w:pPr>
              <w:pStyle w:val="ExhibitText"/>
              <w:rPr>
                <w:sz w:val="18"/>
                <w:szCs w:val="18"/>
              </w:rPr>
            </w:pPr>
            <w:r w:rsidRPr="00A21863">
              <w:rPr>
                <w:sz w:val="18"/>
                <w:szCs w:val="18"/>
              </w:rPr>
              <w:t>Misc</w:t>
            </w:r>
            <w:r w:rsidR="00CE3A65">
              <w:rPr>
                <w:sz w:val="18"/>
                <w:szCs w:val="18"/>
              </w:rPr>
              <w:t>ellaneous</w:t>
            </w:r>
            <w:r w:rsidRPr="00A21863">
              <w:rPr>
                <w:spacing w:val="9"/>
                <w:sz w:val="18"/>
                <w:szCs w:val="18"/>
              </w:rPr>
              <w:t xml:space="preserve"> </w:t>
            </w:r>
            <w:r w:rsidRPr="00A21863">
              <w:rPr>
                <w:w w:val="107"/>
                <w:sz w:val="18"/>
                <w:szCs w:val="18"/>
              </w:rPr>
              <w:t>Sales</w:t>
            </w:r>
          </w:p>
        </w:tc>
        <w:tc>
          <w:tcPr>
            <w:tcW w:w="990" w:type="dxa"/>
          </w:tcPr>
          <w:p w14:paraId="39DBCAE1" w14:textId="77777777" w:rsidR="007408BC" w:rsidRPr="00A21863" w:rsidRDefault="007408BC" w:rsidP="00E921C7">
            <w:pPr>
              <w:pStyle w:val="ExhibitText"/>
              <w:jc w:val="right"/>
              <w:rPr>
                <w:sz w:val="18"/>
                <w:szCs w:val="18"/>
              </w:rPr>
            </w:pPr>
            <w:r w:rsidRPr="00A21863">
              <w:rPr>
                <w:w w:val="108"/>
                <w:sz w:val="18"/>
                <w:szCs w:val="18"/>
              </w:rPr>
              <w:t>350</w:t>
            </w:r>
          </w:p>
        </w:tc>
        <w:tc>
          <w:tcPr>
            <w:tcW w:w="270" w:type="dxa"/>
          </w:tcPr>
          <w:p w14:paraId="4002ED5C" w14:textId="77777777" w:rsidR="007408BC" w:rsidRPr="00A21863" w:rsidRDefault="007408BC" w:rsidP="00E921C7">
            <w:pPr>
              <w:pStyle w:val="ExhibitText"/>
              <w:jc w:val="right"/>
              <w:rPr>
                <w:w w:val="117"/>
                <w:sz w:val="18"/>
                <w:szCs w:val="18"/>
              </w:rPr>
            </w:pPr>
          </w:p>
        </w:tc>
        <w:tc>
          <w:tcPr>
            <w:tcW w:w="990" w:type="dxa"/>
          </w:tcPr>
          <w:p w14:paraId="4B58B12C" w14:textId="77777777" w:rsidR="007408BC" w:rsidRPr="00A21863" w:rsidRDefault="007408BC" w:rsidP="00E921C7">
            <w:pPr>
              <w:pStyle w:val="ExhibitText"/>
              <w:jc w:val="right"/>
              <w:rPr>
                <w:sz w:val="18"/>
                <w:szCs w:val="18"/>
              </w:rPr>
            </w:pPr>
            <w:r w:rsidRPr="00A21863">
              <w:rPr>
                <w:w w:val="117"/>
                <w:sz w:val="18"/>
                <w:szCs w:val="18"/>
              </w:rPr>
              <w:t>0</w:t>
            </w:r>
          </w:p>
        </w:tc>
      </w:tr>
      <w:tr w:rsidR="007408BC" w:rsidRPr="007408BC" w14:paraId="2B43C415" w14:textId="77777777" w:rsidTr="00AC11FF">
        <w:trPr>
          <w:jc w:val="center"/>
        </w:trPr>
        <w:tc>
          <w:tcPr>
            <w:tcW w:w="4945" w:type="dxa"/>
          </w:tcPr>
          <w:p w14:paraId="05C59CAA" w14:textId="32E3D0E5" w:rsidR="007408BC" w:rsidRPr="00A21863" w:rsidRDefault="007408BC" w:rsidP="00E921C7">
            <w:pPr>
              <w:pStyle w:val="ExhibitText"/>
              <w:rPr>
                <w:sz w:val="18"/>
                <w:szCs w:val="18"/>
              </w:rPr>
            </w:pPr>
            <w:r w:rsidRPr="00A21863">
              <w:rPr>
                <w:sz w:val="18"/>
                <w:szCs w:val="18"/>
              </w:rPr>
              <w:t>Casin</w:t>
            </w:r>
            <w:r w:rsidRPr="00A21863">
              <w:rPr>
                <w:spacing w:val="-10"/>
                <w:sz w:val="18"/>
                <w:szCs w:val="18"/>
              </w:rPr>
              <w:t>o</w:t>
            </w:r>
            <w:r w:rsidR="00CE3A65">
              <w:rPr>
                <w:sz w:val="18"/>
                <w:szCs w:val="18"/>
              </w:rPr>
              <w:t>–</w:t>
            </w:r>
            <w:r w:rsidRPr="00A21863">
              <w:rPr>
                <w:sz w:val="18"/>
                <w:szCs w:val="18"/>
              </w:rPr>
              <w:t>See</w:t>
            </w:r>
            <w:r w:rsidRPr="00A21863">
              <w:rPr>
                <w:spacing w:val="11"/>
                <w:sz w:val="18"/>
                <w:szCs w:val="18"/>
              </w:rPr>
              <w:t xml:space="preserve"> </w:t>
            </w:r>
            <w:r w:rsidRPr="00A21863">
              <w:rPr>
                <w:sz w:val="18"/>
                <w:szCs w:val="18"/>
              </w:rPr>
              <w:t>Schedule</w:t>
            </w:r>
            <w:r w:rsidRPr="00A21863">
              <w:rPr>
                <w:spacing w:val="31"/>
                <w:sz w:val="18"/>
                <w:szCs w:val="18"/>
              </w:rPr>
              <w:t xml:space="preserve"> </w:t>
            </w:r>
            <w:r w:rsidRPr="00A21863">
              <w:rPr>
                <w:w w:val="107"/>
                <w:sz w:val="18"/>
                <w:szCs w:val="18"/>
              </w:rPr>
              <w:t>A</w:t>
            </w:r>
          </w:p>
        </w:tc>
        <w:tc>
          <w:tcPr>
            <w:tcW w:w="990" w:type="dxa"/>
          </w:tcPr>
          <w:p w14:paraId="0917E2E7" w14:textId="77777777" w:rsidR="007408BC" w:rsidRPr="007408BC" w:rsidRDefault="007408BC" w:rsidP="00E921C7">
            <w:pPr>
              <w:pStyle w:val="ExhibitText"/>
              <w:jc w:val="right"/>
              <w:rPr>
                <w:sz w:val="18"/>
                <w:szCs w:val="18"/>
              </w:rPr>
            </w:pPr>
            <w:r w:rsidRPr="007408BC">
              <w:rPr>
                <w:w w:val="106"/>
                <w:sz w:val="18"/>
                <w:szCs w:val="18"/>
              </w:rPr>
              <w:t>20,925</w:t>
            </w:r>
            <w:r w:rsidRPr="007408BC">
              <w:rPr>
                <w:spacing w:val="-1"/>
                <w:sz w:val="18"/>
                <w:szCs w:val="18"/>
              </w:rPr>
              <w:t xml:space="preserve"> </w:t>
            </w:r>
          </w:p>
        </w:tc>
        <w:tc>
          <w:tcPr>
            <w:tcW w:w="270" w:type="dxa"/>
          </w:tcPr>
          <w:p w14:paraId="746873C8" w14:textId="77777777" w:rsidR="007408BC" w:rsidRPr="007408BC" w:rsidRDefault="007408BC" w:rsidP="00E921C7">
            <w:pPr>
              <w:pStyle w:val="ExhibitText"/>
              <w:jc w:val="right"/>
              <w:rPr>
                <w:w w:val="106"/>
                <w:sz w:val="18"/>
                <w:szCs w:val="18"/>
              </w:rPr>
            </w:pPr>
          </w:p>
        </w:tc>
        <w:tc>
          <w:tcPr>
            <w:tcW w:w="990" w:type="dxa"/>
          </w:tcPr>
          <w:p w14:paraId="662EC4E0" w14:textId="77777777" w:rsidR="007408BC" w:rsidRPr="007408BC" w:rsidRDefault="007408BC" w:rsidP="00E921C7">
            <w:pPr>
              <w:pStyle w:val="ExhibitText"/>
              <w:jc w:val="right"/>
              <w:rPr>
                <w:sz w:val="18"/>
                <w:szCs w:val="18"/>
              </w:rPr>
            </w:pPr>
            <w:r w:rsidRPr="007408BC">
              <w:rPr>
                <w:w w:val="106"/>
                <w:sz w:val="18"/>
                <w:szCs w:val="18"/>
              </w:rPr>
              <w:t>25,945</w:t>
            </w:r>
            <w:r w:rsidRPr="007408BC">
              <w:rPr>
                <w:spacing w:val="-1"/>
                <w:sz w:val="18"/>
                <w:szCs w:val="18"/>
              </w:rPr>
              <w:t xml:space="preserve"> </w:t>
            </w:r>
          </w:p>
        </w:tc>
      </w:tr>
      <w:tr w:rsidR="007408BC" w:rsidRPr="007408BC" w14:paraId="66CD54E4" w14:textId="77777777" w:rsidTr="00AC11FF">
        <w:trPr>
          <w:jc w:val="center"/>
        </w:trPr>
        <w:tc>
          <w:tcPr>
            <w:tcW w:w="4945" w:type="dxa"/>
          </w:tcPr>
          <w:p w14:paraId="61C61306" w14:textId="77777777" w:rsidR="007408BC" w:rsidRPr="00A21863" w:rsidRDefault="007408BC" w:rsidP="00A631C4">
            <w:pPr>
              <w:pStyle w:val="ExhibitText"/>
              <w:rPr>
                <w:sz w:val="18"/>
                <w:szCs w:val="18"/>
              </w:rPr>
            </w:pPr>
          </w:p>
        </w:tc>
        <w:tc>
          <w:tcPr>
            <w:tcW w:w="990" w:type="dxa"/>
          </w:tcPr>
          <w:p w14:paraId="06D4AC44" w14:textId="77777777" w:rsidR="007408BC" w:rsidRPr="007408BC" w:rsidRDefault="007408BC" w:rsidP="00E921C7">
            <w:pPr>
              <w:pStyle w:val="Casehead2"/>
              <w:jc w:val="right"/>
              <w:rPr>
                <w:b w:val="0"/>
                <w:sz w:val="18"/>
                <w:szCs w:val="18"/>
              </w:rPr>
            </w:pPr>
            <w:r w:rsidRPr="007408BC">
              <w:rPr>
                <w:b w:val="0"/>
                <w:sz w:val="18"/>
                <w:szCs w:val="18"/>
              </w:rPr>
              <w:t>29,781</w:t>
            </w:r>
          </w:p>
        </w:tc>
        <w:tc>
          <w:tcPr>
            <w:tcW w:w="270" w:type="dxa"/>
          </w:tcPr>
          <w:p w14:paraId="27E17370" w14:textId="77777777" w:rsidR="007408BC" w:rsidRPr="007408BC" w:rsidRDefault="007408BC" w:rsidP="00E921C7">
            <w:pPr>
              <w:pStyle w:val="Casehead2"/>
              <w:jc w:val="right"/>
              <w:rPr>
                <w:b w:val="0"/>
                <w:sz w:val="18"/>
                <w:szCs w:val="18"/>
              </w:rPr>
            </w:pPr>
          </w:p>
        </w:tc>
        <w:tc>
          <w:tcPr>
            <w:tcW w:w="990" w:type="dxa"/>
          </w:tcPr>
          <w:p w14:paraId="0F165526" w14:textId="77777777" w:rsidR="007408BC" w:rsidRPr="007408BC" w:rsidRDefault="007408BC" w:rsidP="00E921C7">
            <w:pPr>
              <w:pStyle w:val="Casehead2"/>
              <w:jc w:val="right"/>
              <w:rPr>
                <w:b w:val="0"/>
                <w:sz w:val="18"/>
                <w:szCs w:val="18"/>
              </w:rPr>
            </w:pPr>
            <w:r w:rsidRPr="007408BC">
              <w:rPr>
                <w:b w:val="0"/>
                <w:sz w:val="18"/>
                <w:szCs w:val="18"/>
              </w:rPr>
              <w:t>45,547</w:t>
            </w:r>
          </w:p>
        </w:tc>
      </w:tr>
      <w:tr w:rsidR="007408BC" w:rsidRPr="007408BC" w14:paraId="7BDABC49" w14:textId="77777777" w:rsidTr="00AC11FF">
        <w:trPr>
          <w:jc w:val="center"/>
        </w:trPr>
        <w:tc>
          <w:tcPr>
            <w:tcW w:w="4945" w:type="dxa"/>
          </w:tcPr>
          <w:p w14:paraId="6E3E909B" w14:textId="77777777" w:rsidR="007408BC" w:rsidRPr="00AC11FF" w:rsidRDefault="007408BC" w:rsidP="00A631C4">
            <w:pPr>
              <w:pStyle w:val="ExhibitText"/>
              <w:rPr>
                <w:sz w:val="8"/>
                <w:szCs w:val="8"/>
              </w:rPr>
            </w:pPr>
          </w:p>
        </w:tc>
        <w:tc>
          <w:tcPr>
            <w:tcW w:w="990" w:type="dxa"/>
          </w:tcPr>
          <w:p w14:paraId="713E8C15" w14:textId="77777777" w:rsidR="007408BC" w:rsidRPr="00AC11FF" w:rsidRDefault="007408BC" w:rsidP="00E921C7">
            <w:pPr>
              <w:pStyle w:val="Casehead2"/>
              <w:jc w:val="right"/>
              <w:rPr>
                <w:b w:val="0"/>
                <w:sz w:val="8"/>
                <w:szCs w:val="8"/>
              </w:rPr>
            </w:pPr>
          </w:p>
        </w:tc>
        <w:tc>
          <w:tcPr>
            <w:tcW w:w="270" w:type="dxa"/>
          </w:tcPr>
          <w:p w14:paraId="0790F28D" w14:textId="77777777" w:rsidR="007408BC" w:rsidRPr="00AC11FF" w:rsidRDefault="007408BC" w:rsidP="00E921C7">
            <w:pPr>
              <w:pStyle w:val="Casehead2"/>
              <w:jc w:val="right"/>
              <w:rPr>
                <w:b w:val="0"/>
                <w:sz w:val="8"/>
                <w:szCs w:val="8"/>
              </w:rPr>
            </w:pPr>
          </w:p>
        </w:tc>
        <w:tc>
          <w:tcPr>
            <w:tcW w:w="990" w:type="dxa"/>
          </w:tcPr>
          <w:p w14:paraId="5EB5B482" w14:textId="77777777" w:rsidR="007408BC" w:rsidRPr="00AC11FF" w:rsidRDefault="007408BC" w:rsidP="00E921C7">
            <w:pPr>
              <w:pStyle w:val="Casehead2"/>
              <w:jc w:val="right"/>
              <w:rPr>
                <w:b w:val="0"/>
                <w:sz w:val="8"/>
                <w:szCs w:val="8"/>
              </w:rPr>
            </w:pPr>
          </w:p>
        </w:tc>
      </w:tr>
      <w:tr w:rsidR="007408BC" w:rsidRPr="007408BC" w14:paraId="6DC952EC" w14:textId="77777777" w:rsidTr="00AC11FF">
        <w:trPr>
          <w:jc w:val="center"/>
        </w:trPr>
        <w:tc>
          <w:tcPr>
            <w:tcW w:w="4945" w:type="dxa"/>
          </w:tcPr>
          <w:p w14:paraId="11762D4A" w14:textId="77777777" w:rsidR="007408BC" w:rsidRPr="00A21863" w:rsidRDefault="007408BC" w:rsidP="00E921C7">
            <w:pPr>
              <w:pStyle w:val="Casehead2"/>
              <w:rPr>
                <w:sz w:val="18"/>
                <w:szCs w:val="18"/>
              </w:rPr>
            </w:pPr>
            <w:r w:rsidRPr="00A21863">
              <w:rPr>
                <w:w w:val="104"/>
                <w:sz w:val="18"/>
                <w:szCs w:val="18"/>
              </w:rPr>
              <w:t>Expen</w:t>
            </w:r>
            <w:r w:rsidRPr="00A21863">
              <w:rPr>
                <w:spacing w:val="-6"/>
                <w:w w:val="105"/>
                <w:sz w:val="18"/>
                <w:szCs w:val="18"/>
              </w:rPr>
              <w:t>d</w:t>
            </w:r>
            <w:r w:rsidRPr="00A21863">
              <w:rPr>
                <w:spacing w:val="-2"/>
                <w:w w:val="88"/>
                <w:sz w:val="18"/>
                <w:szCs w:val="18"/>
              </w:rPr>
              <w:t>i</w:t>
            </w:r>
            <w:r w:rsidRPr="00A21863">
              <w:rPr>
                <w:w w:val="104"/>
                <w:sz w:val="18"/>
                <w:szCs w:val="18"/>
              </w:rPr>
              <w:t>tures</w:t>
            </w:r>
          </w:p>
        </w:tc>
        <w:tc>
          <w:tcPr>
            <w:tcW w:w="990" w:type="dxa"/>
          </w:tcPr>
          <w:p w14:paraId="7DB43197" w14:textId="77777777" w:rsidR="007408BC" w:rsidRPr="007408BC" w:rsidRDefault="007408BC" w:rsidP="00E921C7">
            <w:pPr>
              <w:pStyle w:val="Casehead2"/>
              <w:jc w:val="right"/>
              <w:rPr>
                <w:b w:val="0"/>
                <w:sz w:val="18"/>
                <w:szCs w:val="18"/>
              </w:rPr>
            </w:pPr>
          </w:p>
        </w:tc>
        <w:tc>
          <w:tcPr>
            <w:tcW w:w="270" w:type="dxa"/>
          </w:tcPr>
          <w:p w14:paraId="04DF7987" w14:textId="77777777" w:rsidR="007408BC" w:rsidRPr="007408BC" w:rsidRDefault="007408BC" w:rsidP="00E921C7">
            <w:pPr>
              <w:pStyle w:val="Casehead2"/>
              <w:jc w:val="right"/>
              <w:rPr>
                <w:b w:val="0"/>
                <w:sz w:val="18"/>
                <w:szCs w:val="18"/>
              </w:rPr>
            </w:pPr>
          </w:p>
        </w:tc>
        <w:tc>
          <w:tcPr>
            <w:tcW w:w="990" w:type="dxa"/>
          </w:tcPr>
          <w:p w14:paraId="0C45D356" w14:textId="77777777" w:rsidR="007408BC" w:rsidRPr="007408BC" w:rsidRDefault="007408BC" w:rsidP="00E921C7">
            <w:pPr>
              <w:pStyle w:val="Casehead2"/>
              <w:jc w:val="right"/>
              <w:rPr>
                <w:b w:val="0"/>
                <w:sz w:val="18"/>
                <w:szCs w:val="18"/>
              </w:rPr>
            </w:pPr>
          </w:p>
        </w:tc>
      </w:tr>
      <w:tr w:rsidR="007408BC" w:rsidRPr="007408BC" w14:paraId="01657F14" w14:textId="77777777" w:rsidTr="00AC11FF">
        <w:trPr>
          <w:jc w:val="center"/>
        </w:trPr>
        <w:tc>
          <w:tcPr>
            <w:tcW w:w="4945" w:type="dxa"/>
          </w:tcPr>
          <w:p w14:paraId="5F7F08EA" w14:textId="77777777" w:rsidR="007408BC" w:rsidRPr="00A21863" w:rsidRDefault="007408BC" w:rsidP="00E921C7">
            <w:pPr>
              <w:pStyle w:val="ExhibitText"/>
              <w:jc w:val="left"/>
              <w:rPr>
                <w:sz w:val="18"/>
                <w:szCs w:val="18"/>
              </w:rPr>
            </w:pPr>
            <w:r w:rsidRPr="00A21863">
              <w:rPr>
                <w:w w:val="104"/>
                <w:sz w:val="18"/>
                <w:szCs w:val="18"/>
              </w:rPr>
              <w:t>Administrati</w:t>
            </w:r>
            <w:r w:rsidRPr="00A21863">
              <w:rPr>
                <w:spacing w:val="-12"/>
                <w:w w:val="105"/>
                <w:sz w:val="18"/>
                <w:szCs w:val="18"/>
              </w:rPr>
              <w:t>o</w:t>
            </w:r>
            <w:r w:rsidRPr="00A21863">
              <w:rPr>
                <w:w w:val="111"/>
                <w:sz w:val="18"/>
                <w:szCs w:val="18"/>
              </w:rPr>
              <w:t>n</w:t>
            </w:r>
          </w:p>
        </w:tc>
        <w:tc>
          <w:tcPr>
            <w:tcW w:w="990" w:type="dxa"/>
          </w:tcPr>
          <w:p w14:paraId="2785E97A" w14:textId="77777777" w:rsidR="007408BC" w:rsidRPr="007408BC" w:rsidRDefault="007408BC" w:rsidP="00E921C7">
            <w:pPr>
              <w:pStyle w:val="ExhibitText"/>
              <w:jc w:val="right"/>
              <w:rPr>
                <w:sz w:val="18"/>
                <w:szCs w:val="18"/>
              </w:rPr>
            </w:pPr>
            <w:r w:rsidRPr="007408BC">
              <w:rPr>
                <w:sz w:val="18"/>
                <w:szCs w:val="18"/>
              </w:rPr>
              <w:t>1,922</w:t>
            </w:r>
          </w:p>
        </w:tc>
        <w:tc>
          <w:tcPr>
            <w:tcW w:w="270" w:type="dxa"/>
          </w:tcPr>
          <w:p w14:paraId="575AB972" w14:textId="77777777" w:rsidR="007408BC" w:rsidRPr="007408BC" w:rsidRDefault="007408BC" w:rsidP="00E921C7">
            <w:pPr>
              <w:pStyle w:val="ExhibitText"/>
              <w:jc w:val="right"/>
              <w:rPr>
                <w:sz w:val="18"/>
                <w:szCs w:val="18"/>
              </w:rPr>
            </w:pPr>
          </w:p>
        </w:tc>
        <w:tc>
          <w:tcPr>
            <w:tcW w:w="990" w:type="dxa"/>
          </w:tcPr>
          <w:p w14:paraId="4E89393C" w14:textId="77777777" w:rsidR="007408BC" w:rsidRPr="007408BC" w:rsidRDefault="007408BC" w:rsidP="00E921C7">
            <w:pPr>
              <w:pStyle w:val="ExhibitText"/>
              <w:jc w:val="right"/>
              <w:rPr>
                <w:sz w:val="18"/>
                <w:szCs w:val="18"/>
              </w:rPr>
            </w:pPr>
            <w:r w:rsidRPr="007408BC">
              <w:rPr>
                <w:sz w:val="18"/>
                <w:szCs w:val="18"/>
              </w:rPr>
              <w:t>1,332</w:t>
            </w:r>
          </w:p>
        </w:tc>
      </w:tr>
      <w:tr w:rsidR="007408BC" w:rsidRPr="007408BC" w14:paraId="245C0C19" w14:textId="77777777" w:rsidTr="00AC11FF">
        <w:trPr>
          <w:jc w:val="center"/>
        </w:trPr>
        <w:tc>
          <w:tcPr>
            <w:tcW w:w="4945" w:type="dxa"/>
          </w:tcPr>
          <w:p w14:paraId="2DC8D24C" w14:textId="77777777" w:rsidR="007408BC" w:rsidRPr="00A21863" w:rsidRDefault="007408BC" w:rsidP="00E921C7">
            <w:pPr>
              <w:pStyle w:val="ExhibitText"/>
              <w:jc w:val="left"/>
              <w:rPr>
                <w:sz w:val="18"/>
                <w:szCs w:val="18"/>
              </w:rPr>
            </w:pPr>
            <w:r w:rsidRPr="00A21863">
              <w:rPr>
                <w:sz w:val="18"/>
                <w:szCs w:val="18"/>
              </w:rPr>
              <w:t>Gre</w:t>
            </w:r>
            <w:r w:rsidRPr="00A21863">
              <w:rPr>
                <w:spacing w:val="-1"/>
                <w:sz w:val="18"/>
                <w:szCs w:val="18"/>
              </w:rPr>
              <w:t>e</w:t>
            </w:r>
            <w:r w:rsidRPr="00A21863">
              <w:rPr>
                <w:spacing w:val="-3"/>
                <w:sz w:val="18"/>
                <w:szCs w:val="18"/>
              </w:rPr>
              <w:t>n</w:t>
            </w:r>
            <w:r w:rsidRPr="00A21863">
              <w:rPr>
                <w:sz w:val="18"/>
                <w:szCs w:val="18"/>
              </w:rPr>
              <w:t>house</w:t>
            </w:r>
            <w:r w:rsidRPr="00A21863">
              <w:rPr>
                <w:spacing w:val="47"/>
                <w:sz w:val="18"/>
                <w:szCs w:val="18"/>
              </w:rPr>
              <w:t xml:space="preserve"> </w:t>
            </w:r>
            <w:r w:rsidRPr="00A21863">
              <w:rPr>
                <w:w w:val="104"/>
                <w:sz w:val="18"/>
                <w:szCs w:val="18"/>
              </w:rPr>
              <w:t>Expenses</w:t>
            </w:r>
          </w:p>
        </w:tc>
        <w:tc>
          <w:tcPr>
            <w:tcW w:w="990" w:type="dxa"/>
          </w:tcPr>
          <w:p w14:paraId="0C3871A6" w14:textId="77777777" w:rsidR="007408BC" w:rsidRPr="007408BC" w:rsidRDefault="007408BC" w:rsidP="00E921C7">
            <w:pPr>
              <w:pStyle w:val="ExhibitText"/>
              <w:jc w:val="right"/>
              <w:rPr>
                <w:sz w:val="18"/>
                <w:szCs w:val="18"/>
              </w:rPr>
            </w:pPr>
            <w:r w:rsidRPr="007408BC">
              <w:rPr>
                <w:sz w:val="18"/>
                <w:szCs w:val="18"/>
              </w:rPr>
              <w:t>2,241</w:t>
            </w:r>
          </w:p>
        </w:tc>
        <w:tc>
          <w:tcPr>
            <w:tcW w:w="270" w:type="dxa"/>
          </w:tcPr>
          <w:p w14:paraId="6C6CA995" w14:textId="77777777" w:rsidR="007408BC" w:rsidRPr="007408BC" w:rsidRDefault="007408BC" w:rsidP="00E921C7">
            <w:pPr>
              <w:pStyle w:val="ExhibitText"/>
              <w:jc w:val="right"/>
              <w:rPr>
                <w:sz w:val="18"/>
                <w:szCs w:val="18"/>
              </w:rPr>
            </w:pPr>
          </w:p>
        </w:tc>
        <w:tc>
          <w:tcPr>
            <w:tcW w:w="990" w:type="dxa"/>
          </w:tcPr>
          <w:p w14:paraId="1FB2AB22" w14:textId="77777777" w:rsidR="007408BC" w:rsidRPr="007408BC" w:rsidRDefault="007408BC" w:rsidP="00E921C7">
            <w:pPr>
              <w:pStyle w:val="ExhibitText"/>
              <w:jc w:val="right"/>
              <w:rPr>
                <w:sz w:val="18"/>
                <w:szCs w:val="18"/>
              </w:rPr>
            </w:pPr>
            <w:r w:rsidRPr="007408BC">
              <w:rPr>
                <w:sz w:val="18"/>
                <w:szCs w:val="18"/>
              </w:rPr>
              <w:t>12,835</w:t>
            </w:r>
          </w:p>
        </w:tc>
      </w:tr>
      <w:tr w:rsidR="007408BC" w:rsidRPr="007408BC" w14:paraId="76A27F9E" w14:textId="77777777" w:rsidTr="00AC11FF">
        <w:trPr>
          <w:jc w:val="center"/>
        </w:trPr>
        <w:tc>
          <w:tcPr>
            <w:tcW w:w="4945" w:type="dxa"/>
          </w:tcPr>
          <w:p w14:paraId="7A48DF43" w14:textId="77777777" w:rsidR="007408BC" w:rsidRPr="00A21863" w:rsidRDefault="007408BC" w:rsidP="00E921C7">
            <w:pPr>
              <w:pStyle w:val="ExhibitText"/>
              <w:jc w:val="left"/>
              <w:rPr>
                <w:sz w:val="18"/>
                <w:szCs w:val="18"/>
              </w:rPr>
            </w:pPr>
            <w:r w:rsidRPr="00A21863">
              <w:rPr>
                <w:sz w:val="18"/>
                <w:szCs w:val="18"/>
              </w:rPr>
              <w:t>Orchid</w:t>
            </w:r>
            <w:r w:rsidRPr="00A21863">
              <w:rPr>
                <w:spacing w:val="26"/>
                <w:sz w:val="18"/>
                <w:szCs w:val="18"/>
              </w:rPr>
              <w:t xml:space="preserve"> </w:t>
            </w:r>
            <w:r w:rsidRPr="00A21863">
              <w:rPr>
                <w:w w:val="105"/>
                <w:sz w:val="18"/>
                <w:szCs w:val="18"/>
              </w:rPr>
              <w:t>Acquisitions</w:t>
            </w:r>
          </w:p>
        </w:tc>
        <w:tc>
          <w:tcPr>
            <w:tcW w:w="990" w:type="dxa"/>
          </w:tcPr>
          <w:p w14:paraId="58AA18C8" w14:textId="77777777" w:rsidR="007408BC" w:rsidRPr="007408BC" w:rsidRDefault="007408BC" w:rsidP="00E921C7">
            <w:pPr>
              <w:pStyle w:val="ExhibitText"/>
              <w:jc w:val="right"/>
              <w:rPr>
                <w:sz w:val="18"/>
                <w:szCs w:val="18"/>
              </w:rPr>
            </w:pPr>
            <w:r w:rsidRPr="007408BC">
              <w:rPr>
                <w:sz w:val="18"/>
                <w:szCs w:val="18"/>
              </w:rPr>
              <w:t>4,188</w:t>
            </w:r>
          </w:p>
        </w:tc>
        <w:tc>
          <w:tcPr>
            <w:tcW w:w="270" w:type="dxa"/>
          </w:tcPr>
          <w:p w14:paraId="10858BD9" w14:textId="77777777" w:rsidR="007408BC" w:rsidRPr="007408BC" w:rsidRDefault="007408BC" w:rsidP="00E921C7">
            <w:pPr>
              <w:pStyle w:val="ExhibitText"/>
              <w:jc w:val="right"/>
              <w:rPr>
                <w:sz w:val="18"/>
                <w:szCs w:val="18"/>
              </w:rPr>
            </w:pPr>
          </w:p>
        </w:tc>
        <w:tc>
          <w:tcPr>
            <w:tcW w:w="990" w:type="dxa"/>
          </w:tcPr>
          <w:p w14:paraId="6E52B97A" w14:textId="77777777" w:rsidR="007408BC" w:rsidRPr="007408BC" w:rsidRDefault="007408BC" w:rsidP="00E921C7">
            <w:pPr>
              <w:pStyle w:val="ExhibitText"/>
              <w:jc w:val="right"/>
              <w:rPr>
                <w:sz w:val="18"/>
                <w:szCs w:val="18"/>
              </w:rPr>
            </w:pPr>
            <w:r w:rsidRPr="007408BC">
              <w:rPr>
                <w:sz w:val="18"/>
                <w:szCs w:val="18"/>
              </w:rPr>
              <w:t>23,155</w:t>
            </w:r>
          </w:p>
        </w:tc>
      </w:tr>
      <w:tr w:rsidR="007408BC" w:rsidRPr="007408BC" w14:paraId="52290B03" w14:textId="77777777" w:rsidTr="00AC11FF">
        <w:trPr>
          <w:jc w:val="center"/>
        </w:trPr>
        <w:tc>
          <w:tcPr>
            <w:tcW w:w="4945" w:type="dxa"/>
          </w:tcPr>
          <w:p w14:paraId="5306CBCE" w14:textId="77777777" w:rsidR="007408BC" w:rsidRPr="00A21863" w:rsidRDefault="007408BC" w:rsidP="00E921C7">
            <w:pPr>
              <w:pStyle w:val="ExhibitText"/>
              <w:jc w:val="left"/>
              <w:rPr>
                <w:sz w:val="18"/>
                <w:szCs w:val="18"/>
              </w:rPr>
            </w:pPr>
            <w:r w:rsidRPr="00A21863">
              <w:rPr>
                <w:sz w:val="18"/>
                <w:szCs w:val="18"/>
              </w:rPr>
              <w:t>Orchid</w:t>
            </w:r>
            <w:r w:rsidRPr="00A21863">
              <w:rPr>
                <w:spacing w:val="23"/>
                <w:sz w:val="18"/>
                <w:szCs w:val="18"/>
              </w:rPr>
              <w:t xml:space="preserve"> </w:t>
            </w:r>
            <w:r w:rsidRPr="00A21863">
              <w:rPr>
                <w:w w:val="107"/>
                <w:sz w:val="18"/>
                <w:szCs w:val="18"/>
              </w:rPr>
              <w:t>Shows</w:t>
            </w:r>
          </w:p>
        </w:tc>
        <w:tc>
          <w:tcPr>
            <w:tcW w:w="990" w:type="dxa"/>
          </w:tcPr>
          <w:p w14:paraId="46C57DF8" w14:textId="77777777" w:rsidR="007408BC" w:rsidRPr="007408BC" w:rsidRDefault="007408BC" w:rsidP="00E921C7">
            <w:pPr>
              <w:pStyle w:val="ExhibitText"/>
              <w:jc w:val="right"/>
              <w:rPr>
                <w:sz w:val="18"/>
                <w:szCs w:val="18"/>
              </w:rPr>
            </w:pPr>
            <w:r w:rsidRPr="007408BC">
              <w:rPr>
                <w:sz w:val="18"/>
                <w:szCs w:val="18"/>
              </w:rPr>
              <w:t>10,529</w:t>
            </w:r>
          </w:p>
        </w:tc>
        <w:tc>
          <w:tcPr>
            <w:tcW w:w="270" w:type="dxa"/>
          </w:tcPr>
          <w:p w14:paraId="217E6EA9" w14:textId="77777777" w:rsidR="007408BC" w:rsidRPr="007408BC" w:rsidRDefault="007408BC" w:rsidP="00E921C7">
            <w:pPr>
              <w:pStyle w:val="ExhibitText"/>
              <w:jc w:val="right"/>
              <w:rPr>
                <w:sz w:val="18"/>
                <w:szCs w:val="18"/>
              </w:rPr>
            </w:pPr>
          </w:p>
        </w:tc>
        <w:tc>
          <w:tcPr>
            <w:tcW w:w="990" w:type="dxa"/>
          </w:tcPr>
          <w:p w14:paraId="0A67FB86" w14:textId="77777777" w:rsidR="007408BC" w:rsidRPr="007408BC" w:rsidRDefault="007408BC" w:rsidP="00E921C7">
            <w:pPr>
              <w:pStyle w:val="ExhibitText"/>
              <w:jc w:val="right"/>
              <w:rPr>
                <w:sz w:val="18"/>
                <w:szCs w:val="18"/>
              </w:rPr>
            </w:pPr>
            <w:r w:rsidRPr="007408BC">
              <w:rPr>
                <w:sz w:val="18"/>
                <w:szCs w:val="18"/>
              </w:rPr>
              <w:t>1,825</w:t>
            </w:r>
          </w:p>
        </w:tc>
      </w:tr>
      <w:tr w:rsidR="007408BC" w:rsidRPr="007408BC" w14:paraId="19D84731" w14:textId="77777777" w:rsidTr="00AC11FF">
        <w:trPr>
          <w:jc w:val="center"/>
        </w:trPr>
        <w:tc>
          <w:tcPr>
            <w:tcW w:w="4945" w:type="dxa"/>
          </w:tcPr>
          <w:p w14:paraId="0B9848EF" w14:textId="77777777" w:rsidR="007408BC" w:rsidRPr="00CE3A65" w:rsidRDefault="007408BC" w:rsidP="00CE3A65">
            <w:pPr>
              <w:pStyle w:val="ExhibitText"/>
              <w:rPr>
                <w:sz w:val="18"/>
                <w:szCs w:val="18"/>
              </w:rPr>
            </w:pPr>
            <w:r w:rsidRPr="00CE3A65">
              <w:rPr>
                <w:sz w:val="18"/>
                <w:szCs w:val="18"/>
              </w:rPr>
              <w:t xml:space="preserve">Advertising </w:t>
            </w:r>
            <w:r w:rsidRPr="00CE3A65">
              <w:rPr>
                <w:rFonts w:eastAsia="Arial"/>
                <w:sz w:val="18"/>
                <w:szCs w:val="18"/>
              </w:rPr>
              <w:t xml:space="preserve">&amp; </w:t>
            </w:r>
            <w:r w:rsidRPr="00CE3A65">
              <w:rPr>
                <w:sz w:val="18"/>
                <w:szCs w:val="18"/>
              </w:rPr>
              <w:t>Promotions</w:t>
            </w:r>
          </w:p>
        </w:tc>
        <w:tc>
          <w:tcPr>
            <w:tcW w:w="990" w:type="dxa"/>
          </w:tcPr>
          <w:p w14:paraId="6C32C04E" w14:textId="77777777" w:rsidR="007408BC" w:rsidRPr="007408BC" w:rsidRDefault="007408BC" w:rsidP="00E921C7">
            <w:pPr>
              <w:pStyle w:val="ExhibitText"/>
              <w:jc w:val="right"/>
              <w:rPr>
                <w:sz w:val="18"/>
                <w:szCs w:val="18"/>
              </w:rPr>
            </w:pPr>
            <w:r w:rsidRPr="007408BC">
              <w:rPr>
                <w:sz w:val="18"/>
                <w:szCs w:val="18"/>
              </w:rPr>
              <w:t>2,113</w:t>
            </w:r>
          </w:p>
        </w:tc>
        <w:tc>
          <w:tcPr>
            <w:tcW w:w="270" w:type="dxa"/>
          </w:tcPr>
          <w:p w14:paraId="7208551D" w14:textId="77777777" w:rsidR="007408BC" w:rsidRPr="007408BC" w:rsidRDefault="007408BC" w:rsidP="00E921C7">
            <w:pPr>
              <w:pStyle w:val="ExhibitText"/>
              <w:jc w:val="right"/>
              <w:rPr>
                <w:sz w:val="18"/>
                <w:szCs w:val="18"/>
              </w:rPr>
            </w:pPr>
          </w:p>
        </w:tc>
        <w:tc>
          <w:tcPr>
            <w:tcW w:w="990" w:type="dxa"/>
          </w:tcPr>
          <w:p w14:paraId="44B61F37" w14:textId="77777777" w:rsidR="007408BC" w:rsidRPr="007408BC" w:rsidRDefault="007408BC" w:rsidP="00E921C7">
            <w:pPr>
              <w:pStyle w:val="ExhibitText"/>
              <w:jc w:val="right"/>
              <w:rPr>
                <w:sz w:val="18"/>
                <w:szCs w:val="18"/>
              </w:rPr>
            </w:pPr>
            <w:r w:rsidRPr="007408BC">
              <w:rPr>
                <w:sz w:val="18"/>
                <w:szCs w:val="18"/>
              </w:rPr>
              <w:t>0</w:t>
            </w:r>
          </w:p>
        </w:tc>
      </w:tr>
      <w:tr w:rsidR="007408BC" w:rsidRPr="007408BC" w14:paraId="216DC7EF" w14:textId="77777777" w:rsidTr="00AC11FF">
        <w:trPr>
          <w:jc w:val="center"/>
        </w:trPr>
        <w:tc>
          <w:tcPr>
            <w:tcW w:w="4945" w:type="dxa"/>
          </w:tcPr>
          <w:p w14:paraId="192FDDD9" w14:textId="77777777" w:rsidR="007408BC" w:rsidRPr="00A21863" w:rsidRDefault="007408BC" w:rsidP="00E921C7">
            <w:pPr>
              <w:pStyle w:val="ExhibitText"/>
              <w:jc w:val="left"/>
              <w:rPr>
                <w:sz w:val="18"/>
                <w:szCs w:val="18"/>
              </w:rPr>
            </w:pPr>
            <w:r w:rsidRPr="00A21863">
              <w:rPr>
                <w:w w:val="103"/>
                <w:sz w:val="18"/>
                <w:szCs w:val="18"/>
              </w:rPr>
              <w:t>Website</w:t>
            </w:r>
          </w:p>
        </w:tc>
        <w:tc>
          <w:tcPr>
            <w:tcW w:w="990" w:type="dxa"/>
          </w:tcPr>
          <w:p w14:paraId="5C5E8667" w14:textId="77777777" w:rsidR="007408BC" w:rsidRPr="007408BC" w:rsidRDefault="007408BC" w:rsidP="00E921C7">
            <w:pPr>
              <w:pStyle w:val="ExhibitText"/>
              <w:jc w:val="right"/>
              <w:rPr>
                <w:sz w:val="18"/>
                <w:szCs w:val="18"/>
              </w:rPr>
            </w:pPr>
            <w:r w:rsidRPr="007408BC">
              <w:rPr>
                <w:sz w:val="18"/>
                <w:szCs w:val="18"/>
              </w:rPr>
              <w:t>2,929</w:t>
            </w:r>
          </w:p>
        </w:tc>
        <w:tc>
          <w:tcPr>
            <w:tcW w:w="270" w:type="dxa"/>
          </w:tcPr>
          <w:p w14:paraId="3156FC94" w14:textId="77777777" w:rsidR="007408BC" w:rsidRPr="007408BC" w:rsidRDefault="007408BC" w:rsidP="00E921C7">
            <w:pPr>
              <w:pStyle w:val="ExhibitText"/>
              <w:jc w:val="right"/>
              <w:rPr>
                <w:sz w:val="18"/>
                <w:szCs w:val="18"/>
              </w:rPr>
            </w:pPr>
          </w:p>
        </w:tc>
        <w:tc>
          <w:tcPr>
            <w:tcW w:w="990" w:type="dxa"/>
          </w:tcPr>
          <w:p w14:paraId="71248777" w14:textId="77777777" w:rsidR="007408BC" w:rsidRPr="007408BC" w:rsidRDefault="007408BC" w:rsidP="00E921C7">
            <w:pPr>
              <w:pStyle w:val="ExhibitText"/>
              <w:jc w:val="right"/>
              <w:rPr>
                <w:sz w:val="18"/>
                <w:szCs w:val="18"/>
              </w:rPr>
            </w:pPr>
            <w:r w:rsidRPr="007408BC">
              <w:rPr>
                <w:sz w:val="18"/>
                <w:szCs w:val="18"/>
              </w:rPr>
              <w:t>2,929</w:t>
            </w:r>
          </w:p>
        </w:tc>
      </w:tr>
      <w:tr w:rsidR="007408BC" w:rsidRPr="007408BC" w14:paraId="40BBA93B" w14:textId="77777777" w:rsidTr="00AC11FF">
        <w:trPr>
          <w:jc w:val="center"/>
        </w:trPr>
        <w:tc>
          <w:tcPr>
            <w:tcW w:w="4945" w:type="dxa"/>
          </w:tcPr>
          <w:p w14:paraId="0B9BDE4A" w14:textId="77777777" w:rsidR="007408BC" w:rsidRPr="00A21863" w:rsidRDefault="007408BC" w:rsidP="00E921C7">
            <w:pPr>
              <w:pStyle w:val="ExhibitText"/>
              <w:jc w:val="left"/>
              <w:rPr>
                <w:sz w:val="18"/>
                <w:szCs w:val="18"/>
              </w:rPr>
            </w:pPr>
            <w:r w:rsidRPr="00A21863">
              <w:rPr>
                <w:w w:val="105"/>
                <w:sz w:val="18"/>
                <w:szCs w:val="18"/>
              </w:rPr>
              <w:t>Trav</w:t>
            </w:r>
            <w:r w:rsidRPr="00A21863">
              <w:rPr>
                <w:spacing w:val="4"/>
                <w:w w:val="105"/>
                <w:sz w:val="18"/>
                <w:szCs w:val="18"/>
              </w:rPr>
              <w:t>e</w:t>
            </w:r>
            <w:r w:rsidRPr="00A21863">
              <w:rPr>
                <w:w w:val="91"/>
                <w:sz w:val="18"/>
                <w:szCs w:val="18"/>
              </w:rPr>
              <w:t>l</w:t>
            </w:r>
          </w:p>
        </w:tc>
        <w:tc>
          <w:tcPr>
            <w:tcW w:w="990" w:type="dxa"/>
          </w:tcPr>
          <w:p w14:paraId="75AB74C7" w14:textId="77777777" w:rsidR="007408BC" w:rsidRPr="007408BC" w:rsidRDefault="007408BC" w:rsidP="00E921C7">
            <w:pPr>
              <w:pStyle w:val="ExhibitText"/>
              <w:jc w:val="right"/>
              <w:rPr>
                <w:sz w:val="18"/>
                <w:szCs w:val="18"/>
              </w:rPr>
            </w:pPr>
            <w:r w:rsidRPr="007408BC">
              <w:rPr>
                <w:sz w:val="18"/>
                <w:szCs w:val="18"/>
              </w:rPr>
              <w:t>791</w:t>
            </w:r>
          </w:p>
        </w:tc>
        <w:tc>
          <w:tcPr>
            <w:tcW w:w="270" w:type="dxa"/>
          </w:tcPr>
          <w:p w14:paraId="4DABE377" w14:textId="77777777" w:rsidR="007408BC" w:rsidRPr="007408BC" w:rsidRDefault="007408BC" w:rsidP="00E921C7">
            <w:pPr>
              <w:pStyle w:val="ExhibitText"/>
              <w:jc w:val="right"/>
              <w:rPr>
                <w:sz w:val="18"/>
                <w:szCs w:val="18"/>
              </w:rPr>
            </w:pPr>
          </w:p>
        </w:tc>
        <w:tc>
          <w:tcPr>
            <w:tcW w:w="990" w:type="dxa"/>
          </w:tcPr>
          <w:p w14:paraId="564218BB" w14:textId="77777777" w:rsidR="007408BC" w:rsidRPr="007408BC" w:rsidRDefault="007408BC" w:rsidP="00E921C7">
            <w:pPr>
              <w:pStyle w:val="ExhibitText"/>
              <w:jc w:val="right"/>
              <w:rPr>
                <w:sz w:val="18"/>
                <w:szCs w:val="18"/>
              </w:rPr>
            </w:pPr>
            <w:r w:rsidRPr="007408BC">
              <w:rPr>
                <w:sz w:val="18"/>
                <w:szCs w:val="18"/>
              </w:rPr>
              <w:t>0</w:t>
            </w:r>
          </w:p>
        </w:tc>
      </w:tr>
      <w:tr w:rsidR="007408BC" w:rsidRPr="007408BC" w14:paraId="3EB0984B" w14:textId="77777777" w:rsidTr="00AC11FF">
        <w:trPr>
          <w:jc w:val="center"/>
        </w:trPr>
        <w:tc>
          <w:tcPr>
            <w:tcW w:w="4945" w:type="dxa"/>
          </w:tcPr>
          <w:p w14:paraId="7A581A77" w14:textId="77777777" w:rsidR="007408BC" w:rsidRPr="00A21863" w:rsidRDefault="007408BC" w:rsidP="00E921C7">
            <w:pPr>
              <w:pStyle w:val="ExhibitText"/>
              <w:jc w:val="left"/>
              <w:rPr>
                <w:sz w:val="18"/>
                <w:szCs w:val="18"/>
              </w:rPr>
            </w:pPr>
          </w:p>
        </w:tc>
        <w:tc>
          <w:tcPr>
            <w:tcW w:w="990" w:type="dxa"/>
          </w:tcPr>
          <w:p w14:paraId="20FC45DD" w14:textId="77777777" w:rsidR="007408BC" w:rsidRPr="007408BC" w:rsidRDefault="007408BC" w:rsidP="00E921C7">
            <w:pPr>
              <w:pStyle w:val="ExhibitText"/>
              <w:jc w:val="right"/>
              <w:rPr>
                <w:sz w:val="18"/>
                <w:szCs w:val="18"/>
              </w:rPr>
            </w:pPr>
            <w:r w:rsidRPr="007408BC">
              <w:rPr>
                <w:sz w:val="18"/>
                <w:szCs w:val="18"/>
              </w:rPr>
              <w:t>24,713</w:t>
            </w:r>
          </w:p>
        </w:tc>
        <w:tc>
          <w:tcPr>
            <w:tcW w:w="270" w:type="dxa"/>
          </w:tcPr>
          <w:p w14:paraId="0910E1DE" w14:textId="77777777" w:rsidR="007408BC" w:rsidRPr="007408BC" w:rsidRDefault="007408BC" w:rsidP="00E921C7">
            <w:pPr>
              <w:pStyle w:val="ExhibitText"/>
              <w:jc w:val="right"/>
              <w:rPr>
                <w:sz w:val="18"/>
                <w:szCs w:val="18"/>
              </w:rPr>
            </w:pPr>
          </w:p>
        </w:tc>
        <w:tc>
          <w:tcPr>
            <w:tcW w:w="990" w:type="dxa"/>
          </w:tcPr>
          <w:p w14:paraId="67B5A610" w14:textId="77777777" w:rsidR="007408BC" w:rsidRPr="007408BC" w:rsidRDefault="007408BC" w:rsidP="00E921C7">
            <w:pPr>
              <w:pStyle w:val="ExhibitText"/>
              <w:jc w:val="right"/>
              <w:rPr>
                <w:sz w:val="18"/>
                <w:szCs w:val="18"/>
              </w:rPr>
            </w:pPr>
            <w:r w:rsidRPr="007408BC">
              <w:rPr>
                <w:sz w:val="18"/>
                <w:szCs w:val="18"/>
              </w:rPr>
              <w:t>42,076</w:t>
            </w:r>
          </w:p>
        </w:tc>
      </w:tr>
      <w:tr w:rsidR="007408BC" w:rsidRPr="007408BC" w14:paraId="6610D953" w14:textId="77777777" w:rsidTr="00AC11FF">
        <w:trPr>
          <w:jc w:val="center"/>
        </w:trPr>
        <w:tc>
          <w:tcPr>
            <w:tcW w:w="4945" w:type="dxa"/>
          </w:tcPr>
          <w:p w14:paraId="17CF3EFA" w14:textId="77777777" w:rsidR="007408BC" w:rsidRPr="00AC11FF" w:rsidRDefault="007408BC" w:rsidP="00E921C7">
            <w:pPr>
              <w:pStyle w:val="ExhibitText"/>
              <w:jc w:val="left"/>
              <w:rPr>
                <w:sz w:val="8"/>
                <w:szCs w:val="8"/>
              </w:rPr>
            </w:pPr>
          </w:p>
        </w:tc>
        <w:tc>
          <w:tcPr>
            <w:tcW w:w="990" w:type="dxa"/>
          </w:tcPr>
          <w:p w14:paraId="04AFCC79" w14:textId="77777777" w:rsidR="007408BC" w:rsidRPr="00AC11FF" w:rsidRDefault="007408BC" w:rsidP="00E921C7">
            <w:pPr>
              <w:pStyle w:val="ExhibitText"/>
              <w:jc w:val="right"/>
              <w:rPr>
                <w:sz w:val="8"/>
                <w:szCs w:val="8"/>
              </w:rPr>
            </w:pPr>
          </w:p>
        </w:tc>
        <w:tc>
          <w:tcPr>
            <w:tcW w:w="270" w:type="dxa"/>
          </w:tcPr>
          <w:p w14:paraId="6743F4A7" w14:textId="77777777" w:rsidR="007408BC" w:rsidRPr="00AC11FF" w:rsidRDefault="007408BC" w:rsidP="00E921C7">
            <w:pPr>
              <w:pStyle w:val="ExhibitText"/>
              <w:jc w:val="right"/>
              <w:rPr>
                <w:sz w:val="8"/>
                <w:szCs w:val="8"/>
              </w:rPr>
            </w:pPr>
          </w:p>
        </w:tc>
        <w:tc>
          <w:tcPr>
            <w:tcW w:w="990" w:type="dxa"/>
          </w:tcPr>
          <w:p w14:paraId="350D9B70" w14:textId="77777777" w:rsidR="007408BC" w:rsidRPr="00AC11FF" w:rsidRDefault="007408BC" w:rsidP="00E921C7">
            <w:pPr>
              <w:pStyle w:val="ExhibitText"/>
              <w:jc w:val="right"/>
              <w:rPr>
                <w:sz w:val="8"/>
                <w:szCs w:val="8"/>
              </w:rPr>
            </w:pPr>
          </w:p>
        </w:tc>
      </w:tr>
      <w:tr w:rsidR="007408BC" w:rsidRPr="007408BC" w14:paraId="64264834" w14:textId="77777777" w:rsidTr="00AC11FF">
        <w:trPr>
          <w:jc w:val="center"/>
        </w:trPr>
        <w:tc>
          <w:tcPr>
            <w:tcW w:w="4945" w:type="dxa"/>
          </w:tcPr>
          <w:p w14:paraId="2F6E237D" w14:textId="77777777" w:rsidR="007408BC" w:rsidRPr="00A21863" w:rsidRDefault="007408BC" w:rsidP="00E921C7">
            <w:pPr>
              <w:pStyle w:val="ExhibitText"/>
              <w:jc w:val="left"/>
              <w:rPr>
                <w:sz w:val="18"/>
                <w:szCs w:val="18"/>
              </w:rPr>
            </w:pPr>
            <w:r w:rsidRPr="00A21863">
              <w:rPr>
                <w:sz w:val="18"/>
                <w:szCs w:val="18"/>
              </w:rPr>
              <w:t>Excess (Deficiency)</w:t>
            </w:r>
            <w:r w:rsidRPr="00A21863">
              <w:rPr>
                <w:spacing w:val="45"/>
                <w:sz w:val="18"/>
                <w:szCs w:val="18"/>
              </w:rPr>
              <w:t xml:space="preserve"> </w:t>
            </w:r>
            <w:r w:rsidRPr="00A21863">
              <w:rPr>
                <w:sz w:val="18"/>
                <w:szCs w:val="18"/>
              </w:rPr>
              <w:t>of</w:t>
            </w:r>
            <w:r w:rsidRPr="00A21863">
              <w:rPr>
                <w:spacing w:val="4"/>
                <w:sz w:val="18"/>
                <w:szCs w:val="18"/>
              </w:rPr>
              <w:t xml:space="preserve"> </w:t>
            </w:r>
            <w:r w:rsidRPr="00A21863">
              <w:rPr>
                <w:sz w:val="18"/>
                <w:szCs w:val="18"/>
              </w:rPr>
              <w:t>Revenues</w:t>
            </w:r>
            <w:r w:rsidRPr="00A21863">
              <w:rPr>
                <w:spacing w:val="26"/>
                <w:sz w:val="18"/>
                <w:szCs w:val="18"/>
              </w:rPr>
              <w:t xml:space="preserve"> </w:t>
            </w:r>
            <w:r w:rsidRPr="00A21863">
              <w:rPr>
                <w:sz w:val="18"/>
                <w:szCs w:val="18"/>
              </w:rPr>
              <w:t>over</w:t>
            </w:r>
            <w:r w:rsidRPr="00A21863">
              <w:rPr>
                <w:spacing w:val="12"/>
                <w:sz w:val="18"/>
                <w:szCs w:val="18"/>
              </w:rPr>
              <w:t xml:space="preserve"> </w:t>
            </w:r>
            <w:r w:rsidRPr="00A21863">
              <w:rPr>
                <w:w w:val="104"/>
                <w:sz w:val="18"/>
                <w:szCs w:val="18"/>
              </w:rPr>
              <w:t>Expenditu</w:t>
            </w:r>
            <w:r w:rsidRPr="00A21863">
              <w:rPr>
                <w:spacing w:val="-6"/>
                <w:w w:val="105"/>
                <w:sz w:val="18"/>
                <w:szCs w:val="18"/>
              </w:rPr>
              <w:t>r</w:t>
            </w:r>
            <w:r w:rsidRPr="00A21863">
              <w:rPr>
                <w:w w:val="108"/>
                <w:sz w:val="18"/>
                <w:szCs w:val="18"/>
              </w:rPr>
              <w:t>es</w:t>
            </w:r>
          </w:p>
        </w:tc>
        <w:tc>
          <w:tcPr>
            <w:tcW w:w="990" w:type="dxa"/>
          </w:tcPr>
          <w:p w14:paraId="2F544030" w14:textId="77777777" w:rsidR="007408BC" w:rsidRPr="007408BC" w:rsidRDefault="007408BC" w:rsidP="00E921C7">
            <w:pPr>
              <w:pStyle w:val="ExhibitText"/>
              <w:jc w:val="right"/>
              <w:rPr>
                <w:sz w:val="18"/>
                <w:szCs w:val="18"/>
              </w:rPr>
            </w:pPr>
            <w:r w:rsidRPr="007408BC">
              <w:rPr>
                <w:sz w:val="18"/>
                <w:szCs w:val="18"/>
              </w:rPr>
              <w:t>5,068</w:t>
            </w:r>
          </w:p>
        </w:tc>
        <w:tc>
          <w:tcPr>
            <w:tcW w:w="270" w:type="dxa"/>
          </w:tcPr>
          <w:p w14:paraId="4E2F39BE" w14:textId="77777777" w:rsidR="007408BC" w:rsidRPr="007408BC" w:rsidRDefault="007408BC" w:rsidP="00E921C7">
            <w:pPr>
              <w:pStyle w:val="ExhibitText"/>
              <w:jc w:val="right"/>
              <w:rPr>
                <w:sz w:val="18"/>
                <w:szCs w:val="18"/>
              </w:rPr>
            </w:pPr>
          </w:p>
        </w:tc>
        <w:tc>
          <w:tcPr>
            <w:tcW w:w="990" w:type="dxa"/>
          </w:tcPr>
          <w:p w14:paraId="04C712BB" w14:textId="77777777" w:rsidR="007408BC" w:rsidRPr="007408BC" w:rsidRDefault="007408BC" w:rsidP="00E921C7">
            <w:pPr>
              <w:pStyle w:val="ExhibitText"/>
              <w:jc w:val="right"/>
              <w:rPr>
                <w:sz w:val="18"/>
                <w:szCs w:val="18"/>
              </w:rPr>
            </w:pPr>
            <w:r w:rsidRPr="007408BC">
              <w:rPr>
                <w:sz w:val="18"/>
                <w:szCs w:val="18"/>
              </w:rPr>
              <w:t>3,441</w:t>
            </w:r>
          </w:p>
        </w:tc>
      </w:tr>
      <w:tr w:rsidR="007408BC" w:rsidRPr="002204DF" w14:paraId="4238334D" w14:textId="77777777" w:rsidTr="00AC11FF">
        <w:trPr>
          <w:trHeight w:val="81"/>
          <w:jc w:val="center"/>
        </w:trPr>
        <w:tc>
          <w:tcPr>
            <w:tcW w:w="4945" w:type="dxa"/>
          </w:tcPr>
          <w:p w14:paraId="2BACDC8B" w14:textId="77777777" w:rsidR="007408BC" w:rsidRPr="00AC11FF" w:rsidRDefault="007408BC" w:rsidP="00A21863">
            <w:pPr>
              <w:pStyle w:val="Casehead2"/>
              <w:rPr>
                <w:sz w:val="8"/>
                <w:szCs w:val="8"/>
              </w:rPr>
            </w:pPr>
          </w:p>
        </w:tc>
        <w:tc>
          <w:tcPr>
            <w:tcW w:w="990" w:type="dxa"/>
          </w:tcPr>
          <w:p w14:paraId="21957852" w14:textId="77777777" w:rsidR="007408BC" w:rsidRPr="00AC11FF" w:rsidRDefault="007408BC" w:rsidP="00A21863">
            <w:pPr>
              <w:pStyle w:val="Casehead2"/>
              <w:jc w:val="center"/>
              <w:rPr>
                <w:sz w:val="8"/>
                <w:szCs w:val="8"/>
              </w:rPr>
            </w:pPr>
          </w:p>
        </w:tc>
        <w:tc>
          <w:tcPr>
            <w:tcW w:w="270" w:type="dxa"/>
          </w:tcPr>
          <w:p w14:paraId="7E35A1A0" w14:textId="77777777" w:rsidR="007408BC" w:rsidRPr="00AC11FF" w:rsidRDefault="007408BC" w:rsidP="00A21863">
            <w:pPr>
              <w:pStyle w:val="Casehead2"/>
              <w:jc w:val="center"/>
              <w:rPr>
                <w:sz w:val="8"/>
                <w:szCs w:val="8"/>
              </w:rPr>
            </w:pPr>
          </w:p>
        </w:tc>
        <w:tc>
          <w:tcPr>
            <w:tcW w:w="990" w:type="dxa"/>
          </w:tcPr>
          <w:p w14:paraId="6A866E09" w14:textId="77777777" w:rsidR="007408BC" w:rsidRPr="00AC11FF" w:rsidRDefault="007408BC" w:rsidP="00A21863">
            <w:pPr>
              <w:pStyle w:val="Casehead2"/>
              <w:jc w:val="center"/>
              <w:rPr>
                <w:sz w:val="8"/>
                <w:szCs w:val="8"/>
              </w:rPr>
            </w:pPr>
          </w:p>
        </w:tc>
      </w:tr>
      <w:tr w:rsidR="007408BC" w:rsidRPr="002204DF" w14:paraId="6E9F5B76" w14:textId="77777777" w:rsidTr="00AC11FF">
        <w:trPr>
          <w:jc w:val="center"/>
        </w:trPr>
        <w:tc>
          <w:tcPr>
            <w:tcW w:w="4945" w:type="dxa"/>
          </w:tcPr>
          <w:p w14:paraId="0114D742" w14:textId="77777777" w:rsidR="007408BC" w:rsidRPr="002204DF" w:rsidRDefault="007408BC" w:rsidP="00A21863">
            <w:pPr>
              <w:pStyle w:val="Casehead2"/>
              <w:rPr>
                <w:sz w:val="18"/>
                <w:szCs w:val="18"/>
              </w:rPr>
            </w:pPr>
            <w:r w:rsidRPr="002204DF">
              <w:rPr>
                <w:sz w:val="18"/>
                <w:szCs w:val="18"/>
              </w:rPr>
              <w:t>Current Assets</w:t>
            </w:r>
          </w:p>
        </w:tc>
        <w:tc>
          <w:tcPr>
            <w:tcW w:w="990" w:type="dxa"/>
          </w:tcPr>
          <w:p w14:paraId="1792C0FE" w14:textId="77777777" w:rsidR="007408BC" w:rsidRPr="002204DF" w:rsidRDefault="007408BC" w:rsidP="00A21863">
            <w:pPr>
              <w:pStyle w:val="Casehead2"/>
              <w:jc w:val="right"/>
              <w:rPr>
                <w:b w:val="0"/>
                <w:sz w:val="18"/>
                <w:szCs w:val="18"/>
              </w:rPr>
            </w:pPr>
          </w:p>
        </w:tc>
        <w:tc>
          <w:tcPr>
            <w:tcW w:w="270" w:type="dxa"/>
          </w:tcPr>
          <w:p w14:paraId="740284B9" w14:textId="77777777" w:rsidR="007408BC" w:rsidRPr="002204DF" w:rsidRDefault="007408BC" w:rsidP="00A21863">
            <w:pPr>
              <w:pStyle w:val="Casehead2"/>
              <w:jc w:val="right"/>
              <w:rPr>
                <w:b w:val="0"/>
                <w:sz w:val="18"/>
                <w:szCs w:val="18"/>
              </w:rPr>
            </w:pPr>
          </w:p>
        </w:tc>
        <w:tc>
          <w:tcPr>
            <w:tcW w:w="990" w:type="dxa"/>
          </w:tcPr>
          <w:p w14:paraId="1FAA983F" w14:textId="77777777" w:rsidR="007408BC" w:rsidRPr="002204DF" w:rsidRDefault="007408BC" w:rsidP="00A21863">
            <w:pPr>
              <w:pStyle w:val="Casehead2"/>
              <w:jc w:val="right"/>
              <w:rPr>
                <w:b w:val="0"/>
                <w:sz w:val="18"/>
                <w:szCs w:val="18"/>
              </w:rPr>
            </w:pPr>
          </w:p>
        </w:tc>
      </w:tr>
      <w:tr w:rsidR="007408BC" w:rsidRPr="002204DF" w14:paraId="4302AA85" w14:textId="77777777" w:rsidTr="00AC11FF">
        <w:trPr>
          <w:jc w:val="center"/>
        </w:trPr>
        <w:tc>
          <w:tcPr>
            <w:tcW w:w="4945" w:type="dxa"/>
          </w:tcPr>
          <w:p w14:paraId="7284AF02" w14:textId="77777777" w:rsidR="007408BC" w:rsidRPr="00AC11FF" w:rsidRDefault="007408BC" w:rsidP="00A21863">
            <w:pPr>
              <w:pStyle w:val="Casehead2"/>
              <w:rPr>
                <w:b w:val="0"/>
                <w:sz w:val="8"/>
                <w:szCs w:val="8"/>
              </w:rPr>
            </w:pPr>
          </w:p>
        </w:tc>
        <w:tc>
          <w:tcPr>
            <w:tcW w:w="990" w:type="dxa"/>
          </w:tcPr>
          <w:p w14:paraId="673AC45A" w14:textId="77777777" w:rsidR="007408BC" w:rsidRPr="00AC11FF" w:rsidRDefault="007408BC" w:rsidP="00A21863">
            <w:pPr>
              <w:pStyle w:val="Casehead2"/>
              <w:jc w:val="right"/>
              <w:rPr>
                <w:b w:val="0"/>
                <w:sz w:val="8"/>
                <w:szCs w:val="8"/>
              </w:rPr>
            </w:pPr>
          </w:p>
        </w:tc>
        <w:tc>
          <w:tcPr>
            <w:tcW w:w="270" w:type="dxa"/>
          </w:tcPr>
          <w:p w14:paraId="548BAECC" w14:textId="77777777" w:rsidR="007408BC" w:rsidRPr="00AC11FF" w:rsidRDefault="007408BC" w:rsidP="00A21863">
            <w:pPr>
              <w:pStyle w:val="Casehead2"/>
              <w:jc w:val="right"/>
              <w:rPr>
                <w:b w:val="0"/>
                <w:sz w:val="8"/>
                <w:szCs w:val="8"/>
              </w:rPr>
            </w:pPr>
          </w:p>
        </w:tc>
        <w:tc>
          <w:tcPr>
            <w:tcW w:w="990" w:type="dxa"/>
          </w:tcPr>
          <w:p w14:paraId="0DBDBCDA" w14:textId="77777777" w:rsidR="007408BC" w:rsidRPr="00AC11FF" w:rsidRDefault="007408BC" w:rsidP="00A21863">
            <w:pPr>
              <w:pStyle w:val="Casehead2"/>
              <w:jc w:val="right"/>
              <w:rPr>
                <w:b w:val="0"/>
                <w:sz w:val="8"/>
                <w:szCs w:val="8"/>
              </w:rPr>
            </w:pPr>
          </w:p>
        </w:tc>
      </w:tr>
      <w:tr w:rsidR="007408BC" w:rsidRPr="002204DF" w14:paraId="7845C07F" w14:textId="77777777" w:rsidTr="00AC11FF">
        <w:trPr>
          <w:jc w:val="center"/>
        </w:trPr>
        <w:tc>
          <w:tcPr>
            <w:tcW w:w="4945" w:type="dxa"/>
          </w:tcPr>
          <w:p w14:paraId="58549A6A" w14:textId="77777777" w:rsidR="007408BC" w:rsidRPr="002204DF" w:rsidRDefault="007408BC" w:rsidP="00A21863">
            <w:pPr>
              <w:pStyle w:val="Casehead2"/>
              <w:rPr>
                <w:b w:val="0"/>
                <w:sz w:val="18"/>
                <w:szCs w:val="18"/>
              </w:rPr>
            </w:pPr>
            <w:r w:rsidRPr="002204DF">
              <w:rPr>
                <w:b w:val="0"/>
                <w:sz w:val="18"/>
                <w:szCs w:val="18"/>
              </w:rPr>
              <w:t>Cash in Bank</w:t>
            </w:r>
          </w:p>
        </w:tc>
        <w:tc>
          <w:tcPr>
            <w:tcW w:w="990" w:type="dxa"/>
          </w:tcPr>
          <w:p w14:paraId="40B4B624" w14:textId="77777777" w:rsidR="007408BC" w:rsidRPr="002204DF" w:rsidRDefault="007408BC" w:rsidP="00A21863">
            <w:pPr>
              <w:pStyle w:val="Casehead2"/>
              <w:jc w:val="right"/>
              <w:rPr>
                <w:b w:val="0"/>
                <w:sz w:val="18"/>
                <w:szCs w:val="18"/>
              </w:rPr>
            </w:pPr>
            <w:r w:rsidRPr="002204DF">
              <w:rPr>
                <w:b w:val="0"/>
                <w:sz w:val="18"/>
                <w:szCs w:val="18"/>
              </w:rPr>
              <w:t>165,865</w:t>
            </w:r>
          </w:p>
        </w:tc>
        <w:tc>
          <w:tcPr>
            <w:tcW w:w="270" w:type="dxa"/>
          </w:tcPr>
          <w:p w14:paraId="6FBC508D" w14:textId="77777777" w:rsidR="007408BC" w:rsidRPr="002204DF" w:rsidRDefault="007408BC" w:rsidP="00A21863">
            <w:pPr>
              <w:pStyle w:val="Casehead2"/>
              <w:jc w:val="right"/>
              <w:rPr>
                <w:b w:val="0"/>
                <w:sz w:val="18"/>
                <w:szCs w:val="18"/>
              </w:rPr>
            </w:pPr>
          </w:p>
        </w:tc>
        <w:tc>
          <w:tcPr>
            <w:tcW w:w="990" w:type="dxa"/>
          </w:tcPr>
          <w:p w14:paraId="266B2A62" w14:textId="77777777" w:rsidR="007408BC" w:rsidRPr="002204DF" w:rsidRDefault="007408BC" w:rsidP="00A21863">
            <w:pPr>
              <w:pStyle w:val="Casehead2"/>
              <w:jc w:val="right"/>
              <w:rPr>
                <w:b w:val="0"/>
                <w:sz w:val="18"/>
                <w:szCs w:val="18"/>
              </w:rPr>
            </w:pPr>
            <w:r w:rsidRPr="002204DF">
              <w:rPr>
                <w:b w:val="0"/>
                <w:sz w:val="18"/>
                <w:szCs w:val="18"/>
              </w:rPr>
              <w:t>100,634</w:t>
            </w:r>
          </w:p>
        </w:tc>
      </w:tr>
      <w:tr w:rsidR="007408BC" w:rsidRPr="002204DF" w14:paraId="24DC2048" w14:textId="77777777" w:rsidTr="00AC11FF">
        <w:trPr>
          <w:jc w:val="center"/>
        </w:trPr>
        <w:tc>
          <w:tcPr>
            <w:tcW w:w="4945" w:type="dxa"/>
          </w:tcPr>
          <w:p w14:paraId="26F6D29B" w14:textId="77777777" w:rsidR="007408BC" w:rsidRPr="002204DF" w:rsidRDefault="007408BC" w:rsidP="00A21863">
            <w:pPr>
              <w:pStyle w:val="Casehead2"/>
              <w:rPr>
                <w:b w:val="0"/>
                <w:sz w:val="18"/>
                <w:szCs w:val="18"/>
              </w:rPr>
            </w:pPr>
            <w:r w:rsidRPr="002204DF">
              <w:rPr>
                <w:b w:val="0"/>
                <w:sz w:val="18"/>
                <w:szCs w:val="18"/>
              </w:rPr>
              <w:t>Recoverable Expenses</w:t>
            </w:r>
          </w:p>
        </w:tc>
        <w:tc>
          <w:tcPr>
            <w:tcW w:w="990" w:type="dxa"/>
          </w:tcPr>
          <w:p w14:paraId="65FA518F" w14:textId="77777777" w:rsidR="007408BC" w:rsidRPr="002204DF" w:rsidRDefault="007408BC" w:rsidP="00A21863">
            <w:pPr>
              <w:pStyle w:val="Casehead2"/>
              <w:jc w:val="right"/>
              <w:rPr>
                <w:b w:val="0"/>
                <w:sz w:val="18"/>
                <w:szCs w:val="18"/>
              </w:rPr>
            </w:pPr>
            <w:r w:rsidRPr="002204DF">
              <w:rPr>
                <w:b w:val="0"/>
                <w:sz w:val="18"/>
                <w:szCs w:val="18"/>
              </w:rPr>
              <w:t>0</w:t>
            </w:r>
          </w:p>
        </w:tc>
        <w:tc>
          <w:tcPr>
            <w:tcW w:w="270" w:type="dxa"/>
          </w:tcPr>
          <w:p w14:paraId="4F17BF34" w14:textId="77777777" w:rsidR="007408BC" w:rsidRPr="002204DF" w:rsidRDefault="007408BC" w:rsidP="00A21863">
            <w:pPr>
              <w:pStyle w:val="Casehead2"/>
              <w:jc w:val="right"/>
              <w:rPr>
                <w:b w:val="0"/>
                <w:sz w:val="18"/>
                <w:szCs w:val="18"/>
              </w:rPr>
            </w:pPr>
          </w:p>
        </w:tc>
        <w:tc>
          <w:tcPr>
            <w:tcW w:w="990" w:type="dxa"/>
          </w:tcPr>
          <w:p w14:paraId="5D0F0914" w14:textId="77777777" w:rsidR="007408BC" w:rsidRPr="002204DF" w:rsidRDefault="007408BC" w:rsidP="00A21863">
            <w:pPr>
              <w:pStyle w:val="Casehead2"/>
              <w:jc w:val="right"/>
              <w:rPr>
                <w:b w:val="0"/>
                <w:sz w:val="18"/>
                <w:szCs w:val="18"/>
              </w:rPr>
            </w:pPr>
            <w:r w:rsidRPr="002204DF">
              <w:rPr>
                <w:b w:val="0"/>
                <w:sz w:val="18"/>
                <w:szCs w:val="18"/>
              </w:rPr>
              <w:t>101</w:t>
            </w:r>
          </w:p>
        </w:tc>
      </w:tr>
      <w:tr w:rsidR="007408BC" w:rsidRPr="002204DF" w14:paraId="282F3C4A" w14:textId="77777777" w:rsidTr="00AC11FF">
        <w:trPr>
          <w:jc w:val="center"/>
        </w:trPr>
        <w:tc>
          <w:tcPr>
            <w:tcW w:w="4945" w:type="dxa"/>
          </w:tcPr>
          <w:p w14:paraId="2BCF1FBB" w14:textId="77777777" w:rsidR="007408BC" w:rsidRPr="002204DF" w:rsidRDefault="007408BC" w:rsidP="00A21863">
            <w:pPr>
              <w:pStyle w:val="Casehead2"/>
              <w:rPr>
                <w:sz w:val="18"/>
                <w:szCs w:val="18"/>
              </w:rPr>
            </w:pPr>
          </w:p>
        </w:tc>
        <w:tc>
          <w:tcPr>
            <w:tcW w:w="990" w:type="dxa"/>
          </w:tcPr>
          <w:p w14:paraId="44011DE7" w14:textId="77777777" w:rsidR="007408BC" w:rsidRPr="002204DF" w:rsidRDefault="007408BC" w:rsidP="00A21863">
            <w:pPr>
              <w:pStyle w:val="Casehead2"/>
              <w:jc w:val="right"/>
              <w:rPr>
                <w:b w:val="0"/>
                <w:sz w:val="18"/>
                <w:szCs w:val="18"/>
              </w:rPr>
            </w:pPr>
            <w:r w:rsidRPr="002204DF">
              <w:rPr>
                <w:b w:val="0"/>
                <w:sz w:val="18"/>
                <w:szCs w:val="18"/>
              </w:rPr>
              <w:t>165,865</w:t>
            </w:r>
          </w:p>
        </w:tc>
        <w:tc>
          <w:tcPr>
            <w:tcW w:w="270" w:type="dxa"/>
          </w:tcPr>
          <w:p w14:paraId="79E50001" w14:textId="77777777" w:rsidR="007408BC" w:rsidRPr="002204DF" w:rsidRDefault="007408BC" w:rsidP="00A21863">
            <w:pPr>
              <w:pStyle w:val="Casehead2"/>
              <w:jc w:val="right"/>
              <w:rPr>
                <w:b w:val="0"/>
                <w:sz w:val="18"/>
                <w:szCs w:val="18"/>
              </w:rPr>
            </w:pPr>
          </w:p>
        </w:tc>
        <w:tc>
          <w:tcPr>
            <w:tcW w:w="990" w:type="dxa"/>
          </w:tcPr>
          <w:p w14:paraId="613E2571" w14:textId="77777777" w:rsidR="007408BC" w:rsidRPr="002204DF" w:rsidRDefault="007408BC" w:rsidP="00A21863">
            <w:pPr>
              <w:pStyle w:val="Casehead2"/>
              <w:jc w:val="right"/>
              <w:rPr>
                <w:b w:val="0"/>
                <w:sz w:val="18"/>
                <w:szCs w:val="18"/>
              </w:rPr>
            </w:pPr>
            <w:r w:rsidRPr="002204DF">
              <w:rPr>
                <w:b w:val="0"/>
                <w:sz w:val="18"/>
                <w:szCs w:val="18"/>
              </w:rPr>
              <w:t>100,735</w:t>
            </w:r>
          </w:p>
        </w:tc>
      </w:tr>
      <w:tr w:rsidR="007408BC" w:rsidRPr="002204DF" w14:paraId="09585A18" w14:textId="77777777" w:rsidTr="00AC11FF">
        <w:trPr>
          <w:jc w:val="center"/>
        </w:trPr>
        <w:tc>
          <w:tcPr>
            <w:tcW w:w="4945" w:type="dxa"/>
          </w:tcPr>
          <w:p w14:paraId="3728AD5D" w14:textId="77777777" w:rsidR="007408BC" w:rsidRPr="00AC11FF" w:rsidRDefault="007408BC" w:rsidP="00A21863">
            <w:pPr>
              <w:pStyle w:val="Casehead2"/>
              <w:rPr>
                <w:sz w:val="8"/>
                <w:szCs w:val="8"/>
              </w:rPr>
            </w:pPr>
          </w:p>
        </w:tc>
        <w:tc>
          <w:tcPr>
            <w:tcW w:w="990" w:type="dxa"/>
          </w:tcPr>
          <w:p w14:paraId="2E8F9164" w14:textId="77777777" w:rsidR="007408BC" w:rsidRPr="00AC11FF" w:rsidRDefault="007408BC" w:rsidP="00A21863">
            <w:pPr>
              <w:pStyle w:val="Casehead2"/>
              <w:jc w:val="right"/>
              <w:rPr>
                <w:b w:val="0"/>
                <w:sz w:val="8"/>
                <w:szCs w:val="8"/>
              </w:rPr>
            </w:pPr>
          </w:p>
        </w:tc>
        <w:tc>
          <w:tcPr>
            <w:tcW w:w="270" w:type="dxa"/>
          </w:tcPr>
          <w:p w14:paraId="54C9838A" w14:textId="77777777" w:rsidR="007408BC" w:rsidRPr="00AC11FF" w:rsidRDefault="007408BC" w:rsidP="00A21863">
            <w:pPr>
              <w:pStyle w:val="Casehead2"/>
              <w:jc w:val="right"/>
              <w:rPr>
                <w:b w:val="0"/>
                <w:sz w:val="8"/>
                <w:szCs w:val="8"/>
              </w:rPr>
            </w:pPr>
          </w:p>
        </w:tc>
        <w:tc>
          <w:tcPr>
            <w:tcW w:w="990" w:type="dxa"/>
          </w:tcPr>
          <w:p w14:paraId="51C839A5" w14:textId="77777777" w:rsidR="007408BC" w:rsidRPr="00AC11FF" w:rsidRDefault="007408BC" w:rsidP="00A21863">
            <w:pPr>
              <w:pStyle w:val="Casehead2"/>
              <w:jc w:val="right"/>
              <w:rPr>
                <w:b w:val="0"/>
                <w:sz w:val="8"/>
                <w:szCs w:val="8"/>
              </w:rPr>
            </w:pPr>
          </w:p>
        </w:tc>
      </w:tr>
      <w:tr w:rsidR="007408BC" w:rsidRPr="002204DF" w14:paraId="6DC0958C" w14:textId="77777777" w:rsidTr="00AC11FF">
        <w:trPr>
          <w:jc w:val="center"/>
        </w:trPr>
        <w:tc>
          <w:tcPr>
            <w:tcW w:w="4945" w:type="dxa"/>
          </w:tcPr>
          <w:p w14:paraId="1D84F475" w14:textId="77777777" w:rsidR="007408BC" w:rsidRPr="002204DF" w:rsidRDefault="007408BC" w:rsidP="00A21863">
            <w:pPr>
              <w:pStyle w:val="Casehead2"/>
              <w:rPr>
                <w:sz w:val="18"/>
                <w:szCs w:val="18"/>
              </w:rPr>
            </w:pPr>
            <w:r w:rsidRPr="002204DF">
              <w:rPr>
                <w:sz w:val="18"/>
                <w:szCs w:val="18"/>
              </w:rPr>
              <w:t>Liabilities</w:t>
            </w:r>
          </w:p>
        </w:tc>
        <w:tc>
          <w:tcPr>
            <w:tcW w:w="990" w:type="dxa"/>
          </w:tcPr>
          <w:p w14:paraId="10A2E6A7" w14:textId="77777777" w:rsidR="007408BC" w:rsidRPr="002204DF" w:rsidRDefault="007408BC" w:rsidP="00A21863">
            <w:pPr>
              <w:pStyle w:val="Casehead2"/>
              <w:jc w:val="right"/>
              <w:rPr>
                <w:b w:val="0"/>
                <w:sz w:val="18"/>
                <w:szCs w:val="18"/>
              </w:rPr>
            </w:pPr>
          </w:p>
        </w:tc>
        <w:tc>
          <w:tcPr>
            <w:tcW w:w="270" w:type="dxa"/>
          </w:tcPr>
          <w:p w14:paraId="54774658" w14:textId="77777777" w:rsidR="007408BC" w:rsidRPr="002204DF" w:rsidRDefault="007408BC" w:rsidP="00A21863">
            <w:pPr>
              <w:pStyle w:val="Casehead2"/>
              <w:jc w:val="right"/>
              <w:rPr>
                <w:b w:val="0"/>
                <w:sz w:val="18"/>
                <w:szCs w:val="18"/>
              </w:rPr>
            </w:pPr>
          </w:p>
        </w:tc>
        <w:tc>
          <w:tcPr>
            <w:tcW w:w="990" w:type="dxa"/>
          </w:tcPr>
          <w:p w14:paraId="7ED28837" w14:textId="77777777" w:rsidR="007408BC" w:rsidRPr="002204DF" w:rsidRDefault="007408BC" w:rsidP="00A21863">
            <w:pPr>
              <w:pStyle w:val="Casehead2"/>
              <w:jc w:val="right"/>
              <w:rPr>
                <w:b w:val="0"/>
                <w:sz w:val="18"/>
                <w:szCs w:val="18"/>
              </w:rPr>
            </w:pPr>
          </w:p>
        </w:tc>
      </w:tr>
      <w:tr w:rsidR="007408BC" w:rsidRPr="002204DF" w14:paraId="16F174DC" w14:textId="77777777" w:rsidTr="00AC11FF">
        <w:trPr>
          <w:jc w:val="center"/>
        </w:trPr>
        <w:tc>
          <w:tcPr>
            <w:tcW w:w="4945" w:type="dxa"/>
          </w:tcPr>
          <w:p w14:paraId="10360789" w14:textId="77777777" w:rsidR="007408BC" w:rsidRPr="00AC11FF" w:rsidRDefault="007408BC" w:rsidP="00A21863">
            <w:pPr>
              <w:pStyle w:val="Casehead2"/>
              <w:rPr>
                <w:b w:val="0"/>
                <w:sz w:val="8"/>
                <w:szCs w:val="8"/>
              </w:rPr>
            </w:pPr>
          </w:p>
        </w:tc>
        <w:tc>
          <w:tcPr>
            <w:tcW w:w="990" w:type="dxa"/>
          </w:tcPr>
          <w:p w14:paraId="03CBC700" w14:textId="77777777" w:rsidR="007408BC" w:rsidRPr="00AC11FF" w:rsidRDefault="007408BC" w:rsidP="00A21863">
            <w:pPr>
              <w:pStyle w:val="Casehead2"/>
              <w:jc w:val="right"/>
              <w:rPr>
                <w:b w:val="0"/>
                <w:sz w:val="8"/>
                <w:szCs w:val="8"/>
              </w:rPr>
            </w:pPr>
          </w:p>
        </w:tc>
        <w:tc>
          <w:tcPr>
            <w:tcW w:w="270" w:type="dxa"/>
          </w:tcPr>
          <w:p w14:paraId="3B9DEF44" w14:textId="77777777" w:rsidR="007408BC" w:rsidRPr="00AC11FF" w:rsidRDefault="007408BC" w:rsidP="00A21863">
            <w:pPr>
              <w:pStyle w:val="Casehead2"/>
              <w:jc w:val="right"/>
              <w:rPr>
                <w:b w:val="0"/>
                <w:sz w:val="8"/>
                <w:szCs w:val="8"/>
              </w:rPr>
            </w:pPr>
          </w:p>
        </w:tc>
        <w:tc>
          <w:tcPr>
            <w:tcW w:w="990" w:type="dxa"/>
          </w:tcPr>
          <w:p w14:paraId="34F0DA3F" w14:textId="77777777" w:rsidR="007408BC" w:rsidRPr="00AC11FF" w:rsidRDefault="007408BC" w:rsidP="00A21863">
            <w:pPr>
              <w:pStyle w:val="Casehead2"/>
              <w:jc w:val="right"/>
              <w:rPr>
                <w:b w:val="0"/>
                <w:sz w:val="8"/>
                <w:szCs w:val="8"/>
              </w:rPr>
            </w:pPr>
          </w:p>
        </w:tc>
      </w:tr>
      <w:tr w:rsidR="007408BC" w:rsidRPr="002204DF" w14:paraId="40FF9406" w14:textId="77777777" w:rsidTr="00AC11FF">
        <w:trPr>
          <w:jc w:val="center"/>
        </w:trPr>
        <w:tc>
          <w:tcPr>
            <w:tcW w:w="4945" w:type="dxa"/>
          </w:tcPr>
          <w:p w14:paraId="481CEAD2" w14:textId="77777777" w:rsidR="007408BC" w:rsidRPr="002204DF" w:rsidRDefault="007408BC" w:rsidP="00A21863">
            <w:pPr>
              <w:pStyle w:val="Casehead2"/>
              <w:rPr>
                <w:b w:val="0"/>
                <w:sz w:val="18"/>
                <w:szCs w:val="18"/>
              </w:rPr>
            </w:pPr>
            <w:r w:rsidRPr="002204DF">
              <w:rPr>
                <w:b w:val="0"/>
                <w:sz w:val="18"/>
                <w:szCs w:val="18"/>
              </w:rPr>
              <w:t>Credit Card Balance</w:t>
            </w:r>
          </w:p>
        </w:tc>
        <w:tc>
          <w:tcPr>
            <w:tcW w:w="990" w:type="dxa"/>
          </w:tcPr>
          <w:p w14:paraId="18695E65" w14:textId="77777777" w:rsidR="007408BC" w:rsidRPr="002204DF" w:rsidRDefault="007408BC" w:rsidP="00A21863">
            <w:pPr>
              <w:pStyle w:val="Casehead2"/>
              <w:jc w:val="right"/>
              <w:rPr>
                <w:b w:val="0"/>
                <w:sz w:val="18"/>
                <w:szCs w:val="18"/>
              </w:rPr>
            </w:pPr>
            <w:r w:rsidRPr="002204DF">
              <w:rPr>
                <w:b w:val="0"/>
                <w:sz w:val="18"/>
                <w:szCs w:val="18"/>
              </w:rPr>
              <w:t>215</w:t>
            </w:r>
          </w:p>
        </w:tc>
        <w:tc>
          <w:tcPr>
            <w:tcW w:w="270" w:type="dxa"/>
          </w:tcPr>
          <w:p w14:paraId="1D5715F2" w14:textId="77777777" w:rsidR="007408BC" w:rsidRPr="002204DF" w:rsidRDefault="007408BC" w:rsidP="00A21863">
            <w:pPr>
              <w:pStyle w:val="Casehead2"/>
              <w:jc w:val="right"/>
              <w:rPr>
                <w:b w:val="0"/>
                <w:sz w:val="18"/>
                <w:szCs w:val="18"/>
              </w:rPr>
            </w:pPr>
          </w:p>
        </w:tc>
        <w:tc>
          <w:tcPr>
            <w:tcW w:w="990" w:type="dxa"/>
          </w:tcPr>
          <w:p w14:paraId="30F1A2CE" w14:textId="77777777" w:rsidR="007408BC" w:rsidRPr="002204DF" w:rsidRDefault="007408BC" w:rsidP="00A21863">
            <w:pPr>
              <w:pStyle w:val="Casehead2"/>
              <w:jc w:val="right"/>
              <w:rPr>
                <w:b w:val="0"/>
                <w:sz w:val="18"/>
                <w:szCs w:val="18"/>
              </w:rPr>
            </w:pPr>
            <w:r w:rsidRPr="002204DF">
              <w:rPr>
                <w:b w:val="0"/>
                <w:sz w:val="18"/>
                <w:szCs w:val="18"/>
              </w:rPr>
              <w:t>0</w:t>
            </w:r>
          </w:p>
        </w:tc>
      </w:tr>
      <w:tr w:rsidR="007408BC" w:rsidRPr="002204DF" w14:paraId="6F747F7B" w14:textId="77777777" w:rsidTr="00AC11FF">
        <w:trPr>
          <w:jc w:val="center"/>
        </w:trPr>
        <w:tc>
          <w:tcPr>
            <w:tcW w:w="4945" w:type="dxa"/>
          </w:tcPr>
          <w:p w14:paraId="27DE8632" w14:textId="77777777" w:rsidR="007408BC" w:rsidRPr="002204DF" w:rsidRDefault="007408BC" w:rsidP="00A21863">
            <w:pPr>
              <w:pStyle w:val="Casehead2"/>
              <w:rPr>
                <w:b w:val="0"/>
                <w:sz w:val="18"/>
                <w:szCs w:val="18"/>
              </w:rPr>
            </w:pPr>
            <w:r w:rsidRPr="002204DF">
              <w:rPr>
                <w:b w:val="0"/>
                <w:sz w:val="18"/>
                <w:szCs w:val="18"/>
              </w:rPr>
              <w:t>Deferred Revenue (Note 1)</w:t>
            </w:r>
          </w:p>
        </w:tc>
        <w:tc>
          <w:tcPr>
            <w:tcW w:w="990" w:type="dxa"/>
          </w:tcPr>
          <w:p w14:paraId="1ECEE1BD" w14:textId="77777777" w:rsidR="007408BC" w:rsidRPr="002204DF" w:rsidRDefault="007408BC" w:rsidP="00102A7F">
            <w:pPr>
              <w:pStyle w:val="Casehead2"/>
              <w:jc w:val="right"/>
              <w:rPr>
                <w:b w:val="0"/>
                <w:sz w:val="18"/>
                <w:szCs w:val="18"/>
              </w:rPr>
            </w:pPr>
            <w:r w:rsidRPr="002204DF">
              <w:rPr>
                <w:b w:val="0"/>
                <w:sz w:val="18"/>
                <w:szCs w:val="18"/>
              </w:rPr>
              <w:t>123,586</w:t>
            </w:r>
          </w:p>
        </w:tc>
        <w:tc>
          <w:tcPr>
            <w:tcW w:w="270" w:type="dxa"/>
          </w:tcPr>
          <w:p w14:paraId="01B6E4A2" w14:textId="77777777" w:rsidR="007408BC" w:rsidRPr="002204DF" w:rsidRDefault="007408BC" w:rsidP="00A21863">
            <w:pPr>
              <w:pStyle w:val="Casehead2"/>
              <w:jc w:val="right"/>
              <w:rPr>
                <w:b w:val="0"/>
                <w:sz w:val="18"/>
                <w:szCs w:val="18"/>
              </w:rPr>
            </w:pPr>
          </w:p>
        </w:tc>
        <w:tc>
          <w:tcPr>
            <w:tcW w:w="990" w:type="dxa"/>
          </w:tcPr>
          <w:p w14:paraId="606DCD94" w14:textId="77777777" w:rsidR="007408BC" w:rsidRPr="002204DF" w:rsidRDefault="007408BC" w:rsidP="00A21863">
            <w:pPr>
              <w:pStyle w:val="Casehead2"/>
              <w:jc w:val="right"/>
              <w:rPr>
                <w:b w:val="0"/>
                <w:sz w:val="18"/>
                <w:szCs w:val="18"/>
              </w:rPr>
            </w:pPr>
            <w:r w:rsidRPr="002204DF">
              <w:rPr>
                <w:b w:val="0"/>
                <w:sz w:val="18"/>
                <w:szCs w:val="18"/>
              </w:rPr>
              <w:t>63,739</w:t>
            </w:r>
          </w:p>
        </w:tc>
      </w:tr>
      <w:tr w:rsidR="007408BC" w:rsidRPr="002204DF" w14:paraId="1A7FD398" w14:textId="77777777" w:rsidTr="00AC11FF">
        <w:trPr>
          <w:jc w:val="center"/>
        </w:trPr>
        <w:tc>
          <w:tcPr>
            <w:tcW w:w="4945" w:type="dxa"/>
          </w:tcPr>
          <w:p w14:paraId="634B84EC" w14:textId="77777777" w:rsidR="007408BC" w:rsidRPr="002204DF" w:rsidRDefault="007408BC" w:rsidP="00A21863">
            <w:pPr>
              <w:pStyle w:val="Casehead2"/>
              <w:rPr>
                <w:sz w:val="18"/>
                <w:szCs w:val="18"/>
              </w:rPr>
            </w:pPr>
          </w:p>
        </w:tc>
        <w:tc>
          <w:tcPr>
            <w:tcW w:w="990" w:type="dxa"/>
          </w:tcPr>
          <w:p w14:paraId="633739A8" w14:textId="77777777" w:rsidR="007408BC" w:rsidRPr="002204DF" w:rsidRDefault="007408BC" w:rsidP="00A21863">
            <w:pPr>
              <w:pStyle w:val="Casehead2"/>
              <w:jc w:val="right"/>
              <w:rPr>
                <w:b w:val="0"/>
                <w:sz w:val="18"/>
                <w:szCs w:val="18"/>
              </w:rPr>
            </w:pPr>
            <w:r w:rsidRPr="002204DF">
              <w:rPr>
                <w:b w:val="0"/>
                <w:sz w:val="18"/>
                <w:szCs w:val="18"/>
              </w:rPr>
              <w:t>123,801</w:t>
            </w:r>
          </w:p>
        </w:tc>
        <w:tc>
          <w:tcPr>
            <w:tcW w:w="270" w:type="dxa"/>
          </w:tcPr>
          <w:p w14:paraId="58ABDFC2" w14:textId="77777777" w:rsidR="007408BC" w:rsidRPr="002204DF" w:rsidRDefault="007408BC" w:rsidP="00A21863">
            <w:pPr>
              <w:pStyle w:val="Casehead2"/>
              <w:jc w:val="right"/>
              <w:rPr>
                <w:b w:val="0"/>
                <w:sz w:val="18"/>
                <w:szCs w:val="18"/>
              </w:rPr>
            </w:pPr>
          </w:p>
        </w:tc>
        <w:tc>
          <w:tcPr>
            <w:tcW w:w="990" w:type="dxa"/>
          </w:tcPr>
          <w:p w14:paraId="54B40DBC" w14:textId="77777777" w:rsidR="007408BC" w:rsidRPr="002204DF" w:rsidRDefault="007408BC" w:rsidP="00A21863">
            <w:pPr>
              <w:pStyle w:val="Casehead2"/>
              <w:jc w:val="right"/>
              <w:rPr>
                <w:b w:val="0"/>
                <w:sz w:val="18"/>
                <w:szCs w:val="18"/>
              </w:rPr>
            </w:pPr>
            <w:r w:rsidRPr="002204DF">
              <w:rPr>
                <w:b w:val="0"/>
                <w:sz w:val="18"/>
                <w:szCs w:val="18"/>
              </w:rPr>
              <w:t>63,739</w:t>
            </w:r>
          </w:p>
        </w:tc>
      </w:tr>
      <w:tr w:rsidR="007408BC" w:rsidRPr="002204DF" w14:paraId="37D4F5DE" w14:textId="77777777" w:rsidTr="00AC11FF">
        <w:trPr>
          <w:jc w:val="center"/>
        </w:trPr>
        <w:tc>
          <w:tcPr>
            <w:tcW w:w="4945" w:type="dxa"/>
          </w:tcPr>
          <w:p w14:paraId="34E53015" w14:textId="77777777" w:rsidR="007408BC" w:rsidRPr="00AC11FF" w:rsidRDefault="007408BC" w:rsidP="00A21863">
            <w:pPr>
              <w:pStyle w:val="Casehead2"/>
              <w:rPr>
                <w:sz w:val="8"/>
                <w:szCs w:val="8"/>
              </w:rPr>
            </w:pPr>
          </w:p>
        </w:tc>
        <w:tc>
          <w:tcPr>
            <w:tcW w:w="990" w:type="dxa"/>
          </w:tcPr>
          <w:p w14:paraId="57726281" w14:textId="77777777" w:rsidR="007408BC" w:rsidRPr="00AC11FF" w:rsidRDefault="007408BC" w:rsidP="00A21863">
            <w:pPr>
              <w:pStyle w:val="Casehead2"/>
              <w:jc w:val="right"/>
              <w:rPr>
                <w:b w:val="0"/>
                <w:sz w:val="8"/>
                <w:szCs w:val="8"/>
              </w:rPr>
            </w:pPr>
          </w:p>
        </w:tc>
        <w:tc>
          <w:tcPr>
            <w:tcW w:w="270" w:type="dxa"/>
          </w:tcPr>
          <w:p w14:paraId="5A39D6A3" w14:textId="77777777" w:rsidR="007408BC" w:rsidRPr="00AC11FF" w:rsidRDefault="007408BC" w:rsidP="00A21863">
            <w:pPr>
              <w:pStyle w:val="Casehead2"/>
              <w:jc w:val="right"/>
              <w:rPr>
                <w:b w:val="0"/>
                <w:sz w:val="8"/>
                <w:szCs w:val="8"/>
              </w:rPr>
            </w:pPr>
          </w:p>
        </w:tc>
        <w:tc>
          <w:tcPr>
            <w:tcW w:w="990" w:type="dxa"/>
          </w:tcPr>
          <w:p w14:paraId="77EC1B01" w14:textId="77777777" w:rsidR="007408BC" w:rsidRPr="00AC11FF" w:rsidRDefault="007408BC" w:rsidP="00A21863">
            <w:pPr>
              <w:pStyle w:val="Casehead2"/>
              <w:jc w:val="right"/>
              <w:rPr>
                <w:b w:val="0"/>
                <w:sz w:val="8"/>
                <w:szCs w:val="8"/>
              </w:rPr>
            </w:pPr>
          </w:p>
        </w:tc>
      </w:tr>
      <w:tr w:rsidR="007408BC" w:rsidRPr="002204DF" w14:paraId="302E7F2C" w14:textId="77777777" w:rsidTr="00AC11FF">
        <w:trPr>
          <w:jc w:val="center"/>
        </w:trPr>
        <w:tc>
          <w:tcPr>
            <w:tcW w:w="4945" w:type="dxa"/>
          </w:tcPr>
          <w:p w14:paraId="7FE90CE7" w14:textId="77777777" w:rsidR="007408BC" w:rsidRPr="002204DF" w:rsidRDefault="007408BC" w:rsidP="00A21863">
            <w:pPr>
              <w:pStyle w:val="Casehead2"/>
              <w:rPr>
                <w:sz w:val="18"/>
                <w:szCs w:val="18"/>
              </w:rPr>
            </w:pPr>
            <w:r w:rsidRPr="002204DF">
              <w:rPr>
                <w:sz w:val="18"/>
                <w:szCs w:val="18"/>
              </w:rPr>
              <w:t>Net Assets</w:t>
            </w:r>
          </w:p>
        </w:tc>
        <w:tc>
          <w:tcPr>
            <w:tcW w:w="990" w:type="dxa"/>
          </w:tcPr>
          <w:p w14:paraId="2AA0F028" w14:textId="77777777" w:rsidR="007408BC" w:rsidRPr="002204DF" w:rsidRDefault="007408BC" w:rsidP="00A21863">
            <w:pPr>
              <w:pStyle w:val="Casehead2"/>
              <w:jc w:val="right"/>
              <w:rPr>
                <w:b w:val="0"/>
                <w:sz w:val="18"/>
                <w:szCs w:val="18"/>
              </w:rPr>
            </w:pPr>
          </w:p>
        </w:tc>
        <w:tc>
          <w:tcPr>
            <w:tcW w:w="270" w:type="dxa"/>
          </w:tcPr>
          <w:p w14:paraId="7B29FA48" w14:textId="77777777" w:rsidR="007408BC" w:rsidRPr="002204DF" w:rsidRDefault="007408BC" w:rsidP="00A21863">
            <w:pPr>
              <w:pStyle w:val="Casehead2"/>
              <w:jc w:val="right"/>
              <w:rPr>
                <w:b w:val="0"/>
                <w:sz w:val="18"/>
                <w:szCs w:val="18"/>
              </w:rPr>
            </w:pPr>
          </w:p>
        </w:tc>
        <w:tc>
          <w:tcPr>
            <w:tcW w:w="990" w:type="dxa"/>
          </w:tcPr>
          <w:p w14:paraId="14738E80" w14:textId="77777777" w:rsidR="007408BC" w:rsidRPr="002204DF" w:rsidRDefault="007408BC" w:rsidP="00A21863">
            <w:pPr>
              <w:pStyle w:val="Casehead2"/>
              <w:jc w:val="right"/>
              <w:rPr>
                <w:b w:val="0"/>
                <w:sz w:val="18"/>
                <w:szCs w:val="18"/>
              </w:rPr>
            </w:pPr>
          </w:p>
        </w:tc>
      </w:tr>
      <w:tr w:rsidR="007408BC" w:rsidRPr="002204DF" w14:paraId="48342EEA" w14:textId="77777777" w:rsidTr="00AC11FF">
        <w:trPr>
          <w:jc w:val="center"/>
        </w:trPr>
        <w:tc>
          <w:tcPr>
            <w:tcW w:w="4945" w:type="dxa"/>
          </w:tcPr>
          <w:p w14:paraId="02D17715" w14:textId="77777777" w:rsidR="007408BC" w:rsidRPr="00AC11FF" w:rsidRDefault="007408BC" w:rsidP="00A21863">
            <w:pPr>
              <w:pStyle w:val="Casehead2"/>
              <w:rPr>
                <w:b w:val="0"/>
                <w:sz w:val="8"/>
                <w:szCs w:val="8"/>
              </w:rPr>
            </w:pPr>
          </w:p>
        </w:tc>
        <w:tc>
          <w:tcPr>
            <w:tcW w:w="990" w:type="dxa"/>
          </w:tcPr>
          <w:p w14:paraId="38D207AB" w14:textId="77777777" w:rsidR="007408BC" w:rsidRPr="00AC11FF" w:rsidRDefault="007408BC" w:rsidP="00A21863">
            <w:pPr>
              <w:pStyle w:val="Casehead2"/>
              <w:jc w:val="right"/>
              <w:rPr>
                <w:b w:val="0"/>
                <w:sz w:val="8"/>
                <w:szCs w:val="8"/>
              </w:rPr>
            </w:pPr>
          </w:p>
        </w:tc>
        <w:tc>
          <w:tcPr>
            <w:tcW w:w="270" w:type="dxa"/>
          </w:tcPr>
          <w:p w14:paraId="6C7CF6F3" w14:textId="77777777" w:rsidR="007408BC" w:rsidRPr="00AC11FF" w:rsidRDefault="007408BC" w:rsidP="00A21863">
            <w:pPr>
              <w:pStyle w:val="Casehead2"/>
              <w:jc w:val="right"/>
              <w:rPr>
                <w:b w:val="0"/>
                <w:sz w:val="8"/>
                <w:szCs w:val="8"/>
              </w:rPr>
            </w:pPr>
          </w:p>
        </w:tc>
        <w:tc>
          <w:tcPr>
            <w:tcW w:w="990" w:type="dxa"/>
          </w:tcPr>
          <w:p w14:paraId="111AB23B" w14:textId="77777777" w:rsidR="007408BC" w:rsidRPr="00AC11FF" w:rsidRDefault="007408BC" w:rsidP="00A21863">
            <w:pPr>
              <w:pStyle w:val="Casehead2"/>
              <w:jc w:val="right"/>
              <w:rPr>
                <w:b w:val="0"/>
                <w:sz w:val="8"/>
                <w:szCs w:val="8"/>
              </w:rPr>
            </w:pPr>
          </w:p>
        </w:tc>
      </w:tr>
      <w:tr w:rsidR="007408BC" w:rsidRPr="002204DF" w14:paraId="0BF52433" w14:textId="77777777" w:rsidTr="00AC11FF">
        <w:trPr>
          <w:jc w:val="center"/>
        </w:trPr>
        <w:tc>
          <w:tcPr>
            <w:tcW w:w="4945" w:type="dxa"/>
          </w:tcPr>
          <w:p w14:paraId="14F8AAAA" w14:textId="77777777" w:rsidR="007408BC" w:rsidRPr="002204DF" w:rsidRDefault="007408BC" w:rsidP="00A21863">
            <w:pPr>
              <w:pStyle w:val="Casehead2"/>
              <w:rPr>
                <w:b w:val="0"/>
                <w:sz w:val="18"/>
                <w:szCs w:val="18"/>
              </w:rPr>
            </w:pPr>
            <w:r w:rsidRPr="002204DF">
              <w:rPr>
                <w:b w:val="0"/>
                <w:sz w:val="18"/>
                <w:szCs w:val="18"/>
              </w:rPr>
              <w:t>Unrestricted Net Assets, Beginning of the Year</w:t>
            </w:r>
          </w:p>
        </w:tc>
        <w:tc>
          <w:tcPr>
            <w:tcW w:w="990" w:type="dxa"/>
          </w:tcPr>
          <w:p w14:paraId="22B80590" w14:textId="77777777" w:rsidR="007408BC" w:rsidRPr="002204DF" w:rsidRDefault="007408BC" w:rsidP="00A21863">
            <w:pPr>
              <w:pStyle w:val="Casehead2"/>
              <w:jc w:val="right"/>
              <w:rPr>
                <w:b w:val="0"/>
                <w:sz w:val="18"/>
                <w:szCs w:val="18"/>
              </w:rPr>
            </w:pPr>
            <w:r w:rsidRPr="002204DF">
              <w:rPr>
                <w:b w:val="0"/>
                <w:sz w:val="18"/>
                <w:szCs w:val="18"/>
              </w:rPr>
              <w:t>36,996</w:t>
            </w:r>
          </w:p>
        </w:tc>
        <w:tc>
          <w:tcPr>
            <w:tcW w:w="270" w:type="dxa"/>
          </w:tcPr>
          <w:p w14:paraId="08BA3BEF" w14:textId="77777777" w:rsidR="007408BC" w:rsidRPr="002204DF" w:rsidRDefault="007408BC" w:rsidP="00A21863">
            <w:pPr>
              <w:pStyle w:val="Casehead2"/>
              <w:jc w:val="right"/>
              <w:rPr>
                <w:b w:val="0"/>
                <w:sz w:val="18"/>
                <w:szCs w:val="18"/>
              </w:rPr>
            </w:pPr>
          </w:p>
        </w:tc>
        <w:tc>
          <w:tcPr>
            <w:tcW w:w="990" w:type="dxa"/>
          </w:tcPr>
          <w:p w14:paraId="6B99F266" w14:textId="77777777" w:rsidR="007408BC" w:rsidRPr="002204DF" w:rsidRDefault="007408BC" w:rsidP="00A21863">
            <w:pPr>
              <w:pStyle w:val="Casehead2"/>
              <w:jc w:val="right"/>
              <w:rPr>
                <w:b w:val="0"/>
                <w:sz w:val="18"/>
                <w:szCs w:val="18"/>
              </w:rPr>
            </w:pPr>
            <w:r w:rsidRPr="002204DF">
              <w:rPr>
                <w:b w:val="0"/>
                <w:sz w:val="18"/>
                <w:szCs w:val="18"/>
              </w:rPr>
              <w:t>33,555</w:t>
            </w:r>
          </w:p>
        </w:tc>
      </w:tr>
      <w:tr w:rsidR="007408BC" w:rsidRPr="002204DF" w14:paraId="4ED407A6" w14:textId="77777777" w:rsidTr="00AC11FF">
        <w:trPr>
          <w:jc w:val="center"/>
        </w:trPr>
        <w:tc>
          <w:tcPr>
            <w:tcW w:w="4945" w:type="dxa"/>
          </w:tcPr>
          <w:p w14:paraId="567A76CB" w14:textId="77777777" w:rsidR="007408BC" w:rsidRPr="002204DF" w:rsidRDefault="007408BC" w:rsidP="00A21863">
            <w:pPr>
              <w:pStyle w:val="Casehead2"/>
              <w:rPr>
                <w:b w:val="0"/>
                <w:sz w:val="18"/>
                <w:szCs w:val="18"/>
              </w:rPr>
            </w:pPr>
            <w:r w:rsidRPr="002204DF">
              <w:rPr>
                <w:b w:val="0"/>
                <w:sz w:val="18"/>
                <w:szCs w:val="18"/>
              </w:rPr>
              <w:t>Excess (Deficiency) of Revenues Over Expenditure</w:t>
            </w:r>
          </w:p>
        </w:tc>
        <w:tc>
          <w:tcPr>
            <w:tcW w:w="990" w:type="dxa"/>
          </w:tcPr>
          <w:p w14:paraId="332C216A" w14:textId="77777777" w:rsidR="007408BC" w:rsidRPr="002204DF" w:rsidRDefault="007408BC" w:rsidP="00A21863">
            <w:pPr>
              <w:pStyle w:val="Casehead2"/>
              <w:jc w:val="right"/>
              <w:rPr>
                <w:b w:val="0"/>
                <w:sz w:val="18"/>
                <w:szCs w:val="18"/>
              </w:rPr>
            </w:pPr>
            <w:r w:rsidRPr="002204DF">
              <w:rPr>
                <w:b w:val="0"/>
                <w:sz w:val="18"/>
                <w:szCs w:val="18"/>
              </w:rPr>
              <w:t>5,068</w:t>
            </w:r>
          </w:p>
        </w:tc>
        <w:tc>
          <w:tcPr>
            <w:tcW w:w="270" w:type="dxa"/>
          </w:tcPr>
          <w:p w14:paraId="3F0AA6EA" w14:textId="77777777" w:rsidR="007408BC" w:rsidRPr="002204DF" w:rsidRDefault="007408BC" w:rsidP="00A21863">
            <w:pPr>
              <w:pStyle w:val="Casehead2"/>
              <w:jc w:val="right"/>
              <w:rPr>
                <w:b w:val="0"/>
                <w:sz w:val="18"/>
                <w:szCs w:val="18"/>
              </w:rPr>
            </w:pPr>
          </w:p>
        </w:tc>
        <w:tc>
          <w:tcPr>
            <w:tcW w:w="990" w:type="dxa"/>
          </w:tcPr>
          <w:p w14:paraId="16B23CD2" w14:textId="77777777" w:rsidR="007408BC" w:rsidRPr="002204DF" w:rsidRDefault="007408BC" w:rsidP="00A21863">
            <w:pPr>
              <w:pStyle w:val="Casehead2"/>
              <w:jc w:val="right"/>
              <w:rPr>
                <w:b w:val="0"/>
                <w:sz w:val="18"/>
                <w:szCs w:val="18"/>
              </w:rPr>
            </w:pPr>
            <w:r w:rsidRPr="002204DF">
              <w:rPr>
                <w:b w:val="0"/>
                <w:sz w:val="18"/>
                <w:szCs w:val="18"/>
              </w:rPr>
              <w:t>3,441</w:t>
            </w:r>
          </w:p>
        </w:tc>
      </w:tr>
      <w:tr w:rsidR="007408BC" w:rsidRPr="002204DF" w14:paraId="2173ADA0" w14:textId="77777777" w:rsidTr="00AC11FF">
        <w:trPr>
          <w:jc w:val="center"/>
        </w:trPr>
        <w:tc>
          <w:tcPr>
            <w:tcW w:w="4945" w:type="dxa"/>
          </w:tcPr>
          <w:p w14:paraId="37365075" w14:textId="77777777" w:rsidR="007408BC" w:rsidRPr="002204DF" w:rsidRDefault="007408BC" w:rsidP="00A21863">
            <w:pPr>
              <w:pStyle w:val="Casehead2"/>
              <w:rPr>
                <w:b w:val="0"/>
                <w:sz w:val="18"/>
                <w:szCs w:val="18"/>
              </w:rPr>
            </w:pPr>
            <w:r w:rsidRPr="002204DF">
              <w:rPr>
                <w:b w:val="0"/>
                <w:sz w:val="18"/>
                <w:szCs w:val="18"/>
              </w:rPr>
              <w:t>Unrestricted Net Assets, End of Year</w:t>
            </w:r>
          </w:p>
        </w:tc>
        <w:tc>
          <w:tcPr>
            <w:tcW w:w="990" w:type="dxa"/>
          </w:tcPr>
          <w:p w14:paraId="39B97A96" w14:textId="77777777" w:rsidR="007408BC" w:rsidRPr="002204DF" w:rsidRDefault="007408BC" w:rsidP="00A21863">
            <w:pPr>
              <w:pStyle w:val="Casehead2"/>
              <w:jc w:val="right"/>
              <w:rPr>
                <w:b w:val="0"/>
                <w:sz w:val="18"/>
                <w:szCs w:val="18"/>
              </w:rPr>
            </w:pPr>
            <w:r w:rsidRPr="002204DF">
              <w:rPr>
                <w:b w:val="0"/>
                <w:sz w:val="18"/>
                <w:szCs w:val="18"/>
              </w:rPr>
              <w:t>42,064</w:t>
            </w:r>
          </w:p>
        </w:tc>
        <w:tc>
          <w:tcPr>
            <w:tcW w:w="270" w:type="dxa"/>
          </w:tcPr>
          <w:p w14:paraId="1BA09D6B" w14:textId="77777777" w:rsidR="007408BC" w:rsidRPr="002204DF" w:rsidRDefault="007408BC" w:rsidP="00A21863">
            <w:pPr>
              <w:pStyle w:val="Casehead2"/>
              <w:jc w:val="right"/>
              <w:rPr>
                <w:b w:val="0"/>
                <w:sz w:val="18"/>
                <w:szCs w:val="18"/>
              </w:rPr>
            </w:pPr>
          </w:p>
        </w:tc>
        <w:tc>
          <w:tcPr>
            <w:tcW w:w="990" w:type="dxa"/>
          </w:tcPr>
          <w:p w14:paraId="7BC3CBF0" w14:textId="77777777" w:rsidR="007408BC" w:rsidRPr="002204DF" w:rsidRDefault="007408BC" w:rsidP="00A21863">
            <w:pPr>
              <w:pStyle w:val="Casehead2"/>
              <w:jc w:val="right"/>
              <w:rPr>
                <w:b w:val="0"/>
                <w:sz w:val="18"/>
                <w:szCs w:val="18"/>
              </w:rPr>
            </w:pPr>
            <w:r w:rsidRPr="002204DF">
              <w:rPr>
                <w:b w:val="0"/>
                <w:sz w:val="18"/>
                <w:szCs w:val="18"/>
              </w:rPr>
              <w:t>36,996</w:t>
            </w:r>
          </w:p>
        </w:tc>
      </w:tr>
      <w:tr w:rsidR="007408BC" w:rsidRPr="002204DF" w14:paraId="7E772E0C" w14:textId="77777777" w:rsidTr="00AC11FF">
        <w:trPr>
          <w:jc w:val="center"/>
        </w:trPr>
        <w:tc>
          <w:tcPr>
            <w:tcW w:w="4945" w:type="dxa"/>
          </w:tcPr>
          <w:p w14:paraId="6DD89B47" w14:textId="77777777" w:rsidR="007408BC" w:rsidRPr="002204DF" w:rsidRDefault="007408BC" w:rsidP="00A21863">
            <w:pPr>
              <w:pStyle w:val="Casehead2"/>
              <w:rPr>
                <w:b w:val="0"/>
                <w:sz w:val="18"/>
                <w:szCs w:val="18"/>
              </w:rPr>
            </w:pPr>
          </w:p>
        </w:tc>
        <w:tc>
          <w:tcPr>
            <w:tcW w:w="990" w:type="dxa"/>
          </w:tcPr>
          <w:p w14:paraId="29C9EFED" w14:textId="77777777" w:rsidR="007408BC" w:rsidRPr="002204DF" w:rsidRDefault="007408BC" w:rsidP="00A21863">
            <w:pPr>
              <w:pStyle w:val="Casehead2"/>
              <w:jc w:val="right"/>
              <w:rPr>
                <w:b w:val="0"/>
                <w:sz w:val="18"/>
                <w:szCs w:val="18"/>
              </w:rPr>
            </w:pPr>
            <w:r w:rsidRPr="002204DF">
              <w:rPr>
                <w:b w:val="0"/>
                <w:sz w:val="18"/>
                <w:szCs w:val="18"/>
              </w:rPr>
              <w:t>165,865</w:t>
            </w:r>
          </w:p>
        </w:tc>
        <w:tc>
          <w:tcPr>
            <w:tcW w:w="270" w:type="dxa"/>
          </w:tcPr>
          <w:p w14:paraId="430617C3" w14:textId="77777777" w:rsidR="007408BC" w:rsidRPr="002204DF" w:rsidRDefault="007408BC" w:rsidP="00A21863">
            <w:pPr>
              <w:pStyle w:val="Casehead2"/>
              <w:jc w:val="right"/>
              <w:rPr>
                <w:b w:val="0"/>
                <w:sz w:val="18"/>
                <w:szCs w:val="18"/>
              </w:rPr>
            </w:pPr>
          </w:p>
        </w:tc>
        <w:tc>
          <w:tcPr>
            <w:tcW w:w="990" w:type="dxa"/>
          </w:tcPr>
          <w:p w14:paraId="5BCA6450" w14:textId="77777777" w:rsidR="007408BC" w:rsidRPr="002204DF" w:rsidRDefault="007408BC" w:rsidP="00A21863">
            <w:pPr>
              <w:pStyle w:val="Casehead2"/>
              <w:jc w:val="right"/>
              <w:rPr>
                <w:b w:val="0"/>
                <w:sz w:val="18"/>
                <w:szCs w:val="18"/>
              </w:rPr>
            </w:pPr>
            <w:r w:rsidRPr="002204DF">
              <w:rPr>
                <w:b w:val="0"/>
                <w:sz w:val="18"/>
                <w:szCs w:val="18"/>
              </w:rPr>
              <w:t>100,735</w:t>
            </w:r>
          </w:p>
        </w:tc>
      </w:tr>
    </w:tbl>
    <w:p w14:paraId="3D2E6C29" w14:textId="77777777" w:rsidR="00A21863" w:rsidRPr="00231E87" w:rsidRDefault="00A21863" w:rsidP="00102A7F">
      <w:pPr>
        <w:pStyle w:val="Casehead2"/>
        <w:rPr>
          <w:sz w:val="12"/>
        </w:rPr>
      </w:pPr>
    </w:p>
    <w:p w14:paraId="38F826A7" w14:textId="77777777" w:rsidR="005A4B53" w:rsidRPr="00231E87" w:rsidRDefault="005A4B53" w:rsidP="005A4B53">
      <w:pPr>
        <w:pStyle w:val="ExhibitText"/>
        <w:rPr>
          <w:sz w:val="12"/>
        </w:rPr>
      </w:pPr>
    </w:p>
    <w:p w14:paraId="4D56DED2" w14:textId="77777777" w:rsidR="005A4B53" w:rsidRDefault="00AC11FF" w:rsidP="005A4B53">
      <w:pPr>
        <w:pStyle w:val="Casehead2"/>
      </w:pPr>
      <w:r>
        <w:t>OSPF</w:t>
      </w:r>
      <w:r w:rsidR="005A4B53">
        <w:t xml:space="preserve"> Schedule of Casino Income for the Year Ended December 31, 2014</w:t>
      </w:r>
    </w:p>
    <w:p w14:paraId="18AEE9BF" w14:textId="77777777" w:rsidR="005A4B53" w:rsidRPr="00231E87" w:rsidRDefault="005A4B53" w:rsidP="005A4B53">
      <w:pPr>
        <w:pStyle w:val="Casehead2"/>
        <w:rPr>
          <w:sz w:val="16"/>
        </w:rPr>
      </w:pPr>
    </w:p>
    <w:p w14:paraId="0949F47F" w14:textId="77777777" w:rsidR="002204DF" w:rsidRPr="00AC11FF" w:rsidRDefault="002204DF" w:rsidP="00AC11FF">
      <w:pPr>
        <w:pStyle w:val="Casehead3"/>
      </w:pPr>
      <w:r w:rsidRPr="00AC11FF">
        <w:t>Schedule A</w:t>
      </w:r>
    </w:p>
    <w:p w14:paraId="753550C6" w14:textId="77777777" w:rsidR="002204DF" w:rsidRPr="00231E87" w:rsidRDefault="002204DF" w:rsidP="005A4B53">
      <w:pPr>
        <w:pStyle w:val="Casehead2"/>
        <w:rPr>
          <w:sz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990"/>
        <w:gridCol w:w="270"/>
        <w:gridCol w:w="1106"/>
      </w:tblGrid>
      <w:tr w:rsidR="005A4B53" w:rsidRPr="002204DF" w14:paraId="6C9B05F3" w14:textId="77777777" w:rsidTr="002204DF">
        <w:trPr>
          <w:jc w:val="center"/>
        </w:trPr>
        <w:tc>
          <w:tcPr>
            <w:tcW w:w="3978" w:type="dxa"/>
          </w:tcPr>
          <w:p w14:paraId="1968B551" w14:textId="77777777" w:rsidR="005A4B53" w:rsidRPr="002204DF" w:rsidRDefault="00AC11FF" w:rsidP="005A4B53">
            <w:pPr>
              <w:pStyle w:val="Casehead2"/>
              <w:rPr>
                <w:sz w:val="18"/>
                <w:szCs w:val="18"/>
              </w:rPr>
            </w:pPr>
            <w:r>
              <w:rPr>
                <w:sz w:val="18"/>
                <w:szCs w:val="18"/>
              </w:rPr>
              <w:t>Revenues</w:t>
            </w:r>
          </w:p>
        </w:tc>
        <w:tc>
          <w:tcPr>
            <w:tcW w:w="990" w:type="dxa"/>
          </w:tcPr>
          <w:p w14:paraId="6100A1CA" w14:textId="77777777" w:rsidR="005A4B53" w:rsidRPr="002204DF" w:rsidRDefault="005A4B53" w:rsidP="005A4B53">
            <w:pPr>
              <w:pStyle w:val="Casehead2"/>
              <w:jc w:val="center"/>
              <w:rPr>
                <w:sz w:val="18"/>
                <w:szCs w:val="18"/>
              </w:rPr>
            </w:pPr>
            <w:r w:rsidRPr="002204DF">
              <w:rPr>
                <w:sz w:val="18"/>
                <w:szCs w:val="18"/>
              </w:rPr>
              <w:t>2014</w:t>
            </w:r>
          </w:p>
        </w:tc>
        <w:tc>
          <w:tcPr>
            <w:tcW w:w="270" w:type="dxa"/>
          </w:tcPr>
          <w:p w14:paraId="704BB984" w14:textId="77777777" w:rsidR="005A4B53" w:rsidRPr="002204DF" w:rsidRDefault="005A4B53" w:rsidP="005A4B53">
            <w:pPr>
              <w:pStyle w:val="Casehead2"/>
              <w:jc w:val="center"/>
              <w:rPr>
                <w:sz w:val="18"/>
                <w:szCs w:val="18"/>
              </w:rPr>
            </w:pPr>
          </w:p>
        </w:tc>
        <w:tc>
          <w:tcPr>
            <w:tcW w:w="1106" w:type="dxa"/>
          </w:tcPr>
          <w:p w14:paraId="2418F5D1" w14:textId="77777777" w:rsidR="005A4B53" w:rsidRPr="002204DF" w:rsidRDefault="005A4B53" w:rsidP="005A4B53">
            <w:pPr>
              <w:pStyle w:val="Casehead2"/>
              <w:jc w:val="center"/>
              <w:rPr>
                <w:sz w:val="18"/>
                <w:szCs w:val="18"/>
              </w:rPr>
            </w:pPr>
            <w:r w:rsidRPr="002204DF">
              <w:rPr>
                <w:sz w:val="18"/>
                <w:szCs w:val="18"/>
              </w:rPr>
              <w:t>2013</w:t>
            </w:r>
          </w:p>
        </w:tc>
      </w:tr>
      <w:tr w:rsidR="005A4B53" w:rsidRPr="002204DF" w14:paraId="1030F4ED" w14:textId="77777777" w:rsidTr="002204DF">
        <w:trPr>
          <w:jc w:val="center"/>
        </w:trPr>
        <w:tc>
          <w:tcPr>
            <w:tcW w:w="3978" w:type="dxa"/>
          </w:tcPr>
          <w:p w14:paraId="12402FDE" w14:textId="77777777" w:rsidR="005A4B53" w:rsidRPr="002204DF" w:rsidRDefault="005A4B53" w:rsidP="005A4B53">
            <w:pPr>
              <w:pStyle w:val="Casehead2"/>
              <w:rPr>
                <w:sz w:val="18"/>
                <w:szCs w:val="18"/>
              </w:rPr>
            </w:pPr>
          </w:p>
        </w:tc>
        <w:tc>
          <w:tcPr>
            <w:tcW w:w="990" w:type="dxa"/>
          </w:tcPr>
          <w:p w14:paraId="43792367" w14:textId="77777777" w:rsidR="005A4B53" w:rsidRPr="002204DF" w:rsidRDefault="005A4B53" w:rsidP="005A4B53">
            <w:pPr>
              <w:pStyle w:val="Casehead2"/>
              <w:rPr>
                <w:sz w:val="18"/>
                <w:szCs w:val="18"/>
              </w:rPr>
            </w:pPr>
          </w:p>
        </w:tc>
        <w:tc>
          <w:tcPr>
            <w:tcW w:w="270" w:type="dxa"/>
          </w:tcPr>
          <w:p w14:paraId="194FF266" w14:textId="77777777" w:rsidR="005A4B53" w:rsidRPr="002204DF" w:rsidRDefault="005A4B53" w:rsidP="005A4B53">
            <w:pPr>
              <w:pStyle w:val="Casehead2"/>
              <w:rPr>
                <w:sz w:val="18"/>
                <w:szCs w:val="18"/>
              </w:rPr>
            </w:pPr>
          </w:p>
        </w:tc>
        <w:tc>
          <w:tcPr>
            <w:tcW w:w="1106" w:type="dxa"/>
          </w:tcPr>
          <w:p w14:paraId="2B12ED93" w14:textId="77777777" w:rsidR="005A4B53" w:rsidRPr="002204DF" w:rsidRDefault="005A4B53" w:rsidP="005A4B53">
            <w:pPr>
              <w:pStyle w:val="Casehead2"/>
              <w:rPr>
                <w:sz w:val="18"/>
                <w:szCs w:val="18"/>
              </w:rPr>
            </w:pPr>
          </w:p>
        </w:tc>
      </w:tr>
      <w:tr w:rsidR="005A4B53" w:rsidRPr="002204DF" w14:paraId="12409A0D" w14:textId="77777777" w:rsidTr="002204DF">
        <w:trPr>
          <w:jc w:val="center"/>
        </w:trPr>
        <w:tc>
          <w:tcPr>
            <w:tcW w:w="3978" w:type="dxa"/>
          </w:tcPr>
          <w:p w14:paraId="4130D761" w14:textId="77777777" w:rsidR="005A4B53" w:rsidRPr="002204DF" w:rsidRDefault="005A4B53" w:rsidP="005A4B53">
            <w:pPr>
              <w:pStyle w:val="Casehead2"/>
              <w:rPr>
                <w:b w:val="0"/>
                <w:sz w:val="18"/>
                <w:szCs w:val="18"/>
              </w:rPr>
            </w:pPr>
            <w:r w:rsidRPr="002204DF">
              <w:rPr>
                <w:b w:val="0"/>
                <w:sz w:val="18"/>
                <w:szCs w:val="18"/>
              </w:rPr>
              <w:t>Casino Income Current Year</w:t>
            </w:r>
          </w:p>
        </w:tc>
        <w:tc>
          <w:tcPr>
            <w:tcW w:w="990" w:type="dxa"/>
          </w:tcPr>
          <w:p w14:paraId="09C36F52" w14:textId="77777777" w:rsidR="005A4B53" w:rsidRPr="002204DF" w:rsidRDefault="005A4B53" w:rsidP="005A4B53">
            <w:pPr>
              <w:pStyle w:val="Casehead2"/>
              <w:jc w:val="right"/>
              <w:rPr>
                <w:b w:val="0"/>
                <w:sz w:val="18"/>
                <w:szCs w:val="18"/>
              </w:rPr>
            </w:pPr>
            <w:r w:rsidRPr="002204DF">
              <w:rPr>
                <w:b w:val="0"/>
                <w:sz w:val="18"/>
                <w:szCs w:val="18"/>
              </w:rPr>
              <w:t>80,772</w:t>
            </w:r>
          </w:p>
        </w:tc>
        <w:tc>
          <w:tcPr>
            <w:tcW w:w="270" w:type="dxa"/>
          </w:tcPr>
          <w:p w14:paraId="2992506B" w14:textId="77777777" w:rsidR="005A4B53" w:rsidRPr="002204DF" w:rsidRDefault="005A4B53" w:rsidP="005A4B53">
            <w:pPr>
              <w:pStyle w:val="Casehead2"/>
              <w:jc w:val="right"/>
              <w:rPr>
                <w:b w:val="0"/>
                <w:sz w:val="18"/>
                <w:szCs w:val="18"/>
              </w:rPr>
            </w:pPr>
          </w:p>
        </w:tc>
        <w:tc>
          <w:tcPr>
            <w:tcW w:w="1106" w:type="dxa"/>
          </w:tcPr>
          <w:p w14:paraId="6D23D21D" w14:textId="77777777" w:rsidR="005A4B53" w:rsidRPr="002204DF" w:rsidRDefault="005A4B53" w:rsidP="005A4B53">
            <w:pPr>
              <w:pStyle w:val="Casehead2"/>
              <w:jc w:val="right"/>
              <w:rPr>
                <w:b w:val="0"/>
                <w:sz w:val="18"/>
                <w:szCs w:val="18"/>
              </w:rPr>
            </w:pPr>
            <w:r w:rsidRPr="002204DF">
              <w:rPr>
                <w:b w:val="0"/>
                <w:sz w:val="18"/>
                <w:szCs w:val="18"/>
              </w:rPr>
              <w:t>25,943</w:t>
            </w:r>
          </w:p>
        </w:tc>
      </w:tr>
      <w:tr w:rsidR="005A4B53" w:rsidRPr="002204DF" w14:paraId="0C75F034" w14:textId="77777777" w:rsidTr="002204DF">
        <w:trPr>
          <w:jc w:val="center"/>
        </w:trPr>
        <w:tc>
          <w:tcPr>
            <w:tcW w:w="3978" w:type="dxa"/>
          </w:tcPr>
          <w:p w14:paraId="53628D68" w14:textId="77777777" w:rsidR="005A4B53" w:rsidRPr="002204DF" w:rsidRDefault="005A4B53" w:rsidP="005A4B53">
            <w:pPr>
              <w:pStyle w:val="Casehead2"/>
              <w:rPr>
                <w:b w:val="0"/>
                <w:sz w:val="18"/>
                <w:szCs w:val="18"/>
              </w:rPr>
            </w:pPr>
            <w:r w:rsidRPr="002204DF">
              <w:rPr>
                <w:b w:val="0"/>
                <w:sz w:val="18"/>
                <w:szCs w:val="18"/>
              </w:rPr>
              <w:t>Less Deferred Portion</w:t>
            </w:r>
          </w:p>
        </w:tc>
        <w:tc>
          <w:tcPr>
            <w:tcW w:w="990" w:type="dxa"/>
            <w:tcBorders>
              <w:bottom w:val="single" w:sz="4" w:space="0" w:color="auto"/>
            </w:tcBorders>
          </w:tcPr>
          <w:p w14:paraId="06D7C0D3" w14:textId="77777777" w:rsidR="005A4B53" w:rsidRPr="002204DF" w:rsidRDefault="005A4B53" w:rsidP="005A4B53">
            <w:pPr>
              <w:pStyle w:val="Casehead2"/>
              <w:jc w:val="right"/>
              <w:rPr>
                <w:b w:val="0"/>
                <w:sz w:val="18"/>
                <w:szCs w:val="18"/>
              </w:rPr>
            </w:pPr>
            <w:r w:rsidRPr="002204DF">
              <w:rPr>
                <w:b w:val="0"/>
                <w:sz w:val="18"/>
                <w:szCs w:val="18"/>
              </w:rPr>
              <w:t>59,847</w:t>
            </w:r>
          </w:p>
        </w:tc>
        <w:tc>
          <w:tcPr>
            <w:tcW w:w="270" w:type="dxa"/>
          </w:tcPr>
          <w:p w14:paraId="1E0D23AA" w14:textId="77777777" w:rsidR="005A4B53" w:rsidRPr="002204DF" w:rsidRDefault="005A4B53" w:rsidP="005A4B53">
            <w:pPr>
              <w:pStyle w:val="Casehead2"/>
              <w:jc w:val="right"/>
              <w:rPr>
                <w:b w:val="0"/>
                <w:sz w:val="18"/>
                <w:szCs w:val="18"/>
              </w:rPr>
            </w:pPr>
          </w:p>
        </w:tc>
        <w:tc>
          <w:tcPr>
            <w:tcW w:w="1106" w:type="dxa"/>
            <w:tcBorders>
              <w:bottom w:val="single" w:sz="4" w:space="0" w:color="auto"/>
            </w:tcBorders>
          </w:tcPr>
          <w:p w14:paraId="791DEF65" w14:textId="77777777" w:rsidR="005A4B53" w:rsidRPr="002204DF" w:rsidRDefault="005A4B53" w:rsidP="005A4B53">
            <w:pPr>
              <w:pStyle w:val="Casehead2"/>
              <w:jc w:val="right"/>
              <w:rPr>
                <w:b w:val="0"/>
                <w:sz w:val="18"/>
                <w:szCs w:val="18"/>
              </w:rPr>
            </w:pPr>
            <w:r w:rsidRPr="002204DF">
              <w:rPr>
                <w:b w:val="0"/>
                <w:sz w:val="18"/>
                <w:szCs w:val="18"/>
              </w:rPr>
              <w:t>0</w:t>
            </w:r>
          </w:p>
        </w:tc>
      </w:tr>
      <w:tr w:rsidR="005A4B53" w:rsidRPr="002204DF" w14:paraId="560FC07D" w14:textId="77777777" w:rsidTr="002204DF">
        <w:trPr>
          <w:jc w:val="center"/>
        </w:trPr>
        <w:tc>
          <w:tcPr>
            <w:tcW w:w="3978" w:type="dxa"/>
          </w:tcPr>
          <w:p w14:paraId="238CADC5" w14:textId="77777777" w:rsidR="005A4B53" w:rsidRPr="002204DF" w:rsidRDefault="005A4B53" w:rsidP="005A4B53">
            <w:pPr>
              <w:pStyle w:val="Casehead2"/>
              <w:rPr>
                <w:b w:val="0"/>
                <w:sz w:val="18"/>
                <w:szCs w:val="18"/>
              </w:rPr>
            </w:pPr>
            <w:r w:rsidRPr="002204DF">
              <w:rPr>
                <w:b w:val="0"/>
                <w:sz w:val="18"/>
                <w:szCs w:val="18"/>
              </w:rPr>
              <w:t>Excess of Revenue over Expenditure</w:t>
            </w:r>
          </w:p>
        </w:tc>
        <w:tc>
          <w:tcPr>
            <w:tcW w:w="990" w:type="dxa"/>
          </w:tcPr>
          <w:p w14:paraId="66F31EDA" w14:textId="77777777" w:rsidR="005A4B53" w:rsidRPr="002204DF" w:rsidRDefault="005A4B53" w:rsidP="005A4B53">
            <w:pPr>
              <w:pStyle w:val="Casehead2"/>
              <w:jc w:val="right"/>
              <w:rPr>
                <w:b w:val="0"/>
                <w:sz w:val="18"/>
                <w:szCs w:val="18"/>
              </w:rPr>
            </w:pPr>
            <w:r w:rsidRPr="002204DF">
              <w:rPr>
                <w:b w:val="0"/>
                <w:sz w:val="18"/>
                <w:szCs w:val="18"/>
              </w:rPr>
              <w:t>20,925</w:t>
            </w:r>
          </w:p>
        </w:tc>
        <w:tc>
          <w:tcPr>
            <w:tcW w:w="270" w:type="dxa"/>
          </w:tcPr>
          <w:p w14:paraId="17F38B8E" w14:textId="77777777" w:rsidR="005A4B53" w:rsidRPr="002204DF" w:rsidRDefault="005A4B53" w:rsidP="005A4B53">
            <w:pPr>
              <w:pStyle w:val="Casehead2"/>
              <w:jc w:val="right"/>
              <w:rPr>
                <w:b w:val="0"/>
                <w:sz w:val="18"/>
                <w:szCs w:val="18"/>
              </w:rPr>
            </w:pPr>
          </w:p>
        </w:tc>
        <w:tc>
          <w:tcPr>
            <w:tcW w:w="1106" w:type="dxa"/>
          </w:tcPr>
          <w:p w14:paraId="753D91D0" w14:textId="77777777" w:rsidR="005A4B53" w:rsidRPr="002204DF" w:rsidRDefault="005A4B53" w:rsidP="005A4B53">
            <w:pPr>
              <w:pStyle w:val="Casehead2"/>
              <w:jc w:val="right"/>
              <w:rPr>
                <w:b w:val="0"/>
                <w:sz w:val="18"/>
                <w:szCs w:val="18"/>
              </w:rPr>
            </w:pPr>
            <w:r w:rsidRPr="002204DF">
              <w:rPr>
                <w:b w:val="0"/>
                <w:sz w:val="18"/>
                <w:szCs w:val="18"/>
              </w:rPr>
              <w:t>25,943</w:t>
            </w:r>
          </w:p>
        </w:tc>
      </w:tr>
    </w:tbl>
    <w:p w14:paraId="355852DA" w14:textId="77777777" w:rsidR="005A4B53" w:rsidRPr="00AC11FF" w:rsidRDefault="005A4B53" w:rsidP="00AC11FF">
      <w:pPr>
        <w:pStyle w:val="BodyTextMain"/>
        <w:rPr>
          <w:sz w:val="16"/>
        </w:rPr>
      </w:pPr>
    </w:p>
    <w:p w14:paraId="186F4E10" w14:textId="77777777" w:rsidR="00AC11FF" w:rsidRPr="00AC11FF" w:rsidRDefault="00AC11FF" w:rsidP="00AC11FF">
      <w:pPr>
        <w:pStyle w:val="BodyTextMain"/>
        <w:rPr>
          <w:sz w:val="16"/>
        </w:rPr>
      </w:pPr>
    </w:p>
    <w:p w14:paraId="01127FA0" w14:textId="77777777" w:rsidR="002204DF" w:rsidRPr="00AC11FF" w:rsidRDefault="002204DF" w:rsidP="00AC11FF">
      <w:pPr>
        <w:pStyle w:val="Casehead3"/>
      </w:pPr>
      <w:r w:rsidRPr="00AC11FF">
        <w:t>Note 1: Deferred Revenue</w:t>
      </w:r>
    </w:p>
    <w:p w14:paraId="3DB6DF5D" w14:textId="77777777" w:rsidR="002204DF" w:rsidRDefault="002204DF" w:rsidP="002204DF">
      <w:pPr>
        <w:pStyle w:val="Casehead3"/>
        <w:rPr>
          <w:w w:val="104"/>
          <w:sz w:val="12"/>
          <w:szCs w:val="18"/>
        </w:rPr>
      </w:pPr>
    </w:p>
    <w:p w14:paraId="2BA3BC25" w14:textId="77777777" w:rsidR="00A46D23" w:rsidRDefault="00A46D23" w:rsidP="002204DF">
      <w:pPr>
        <w:pStyle w:val="Casehead3"/>
        <w:rPr>
          <w:sz w:val="20"/>
          <w:szCs w:val="20"/>
          <w:u w:val="none"/>
        </w:rPr>
      </w:pPr>
      <w:r w:rsidRPr="00342F91">
        <w:rPr>
          <w:sz w:val="20"/>
          <w:szCs w:val="20"/>
          <w:u w:val="none"/>
        </w:rPr>
        <w:t>*Deferred revenue consists of casino funds not yet disbursed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990"/>
        <w:gridCol w:w="270"/>
        <w:gridCol w:w="1106"/>
      </w:tblGrid>
      <w:tr w:rsidR="00342F91" w:rsidRPr="002204DF" w14:paraId="3F516D1D" w14:textId="77777777" w:rsidTr="00342F91">
        <w:trPr>
          <w:jc w:val="center"/>
        </w:trPr>
        <w:tc>
          <w:tcPr>
            <w:tcW w:w="3978" w:type="dxa"/>
          </w:tcPr>
          <w:p w14:paraId="005B71C4" w14:textId="0314D45E" w:rsidR="00342F91" w:rsidRPr="002204DF" w:rsidRDefault="00342F91" w:rsidP="00232538">
            <w:pPr>
              <w:pStyle w:val="Casehead2"/>
              <w:rPr>
                <w:b w:val="0"/>
                <w:sz w:val="18"/>
                <w:szCs w:val="18"/>
              </w:rPr>
            </w:pPr>
          </w:p>
        </w:tc>
        <w:tc>
          <w:tcPr>
            <w:tcW w:w="990" w:type="dxa"/>
          </w:tcPr>
          <w:p w14:paraId="4F281E2E" w14:textId="2F2EF2FA" w:rsidR="00342F91" w:rsidRPr="00342F91" w:rsidRDefault="00342F91" w:rsidP="00232538">
            <w:pPr>
              <w:pStyle w:val="Casehead2"/>
              <w:jc w:val="right"/>
              <w:rPr>
                <w:sz w:val="18"/>
                <w:szCs w:val="18"/>
              </w:rPr>
            </w:pPr>
            <w:r w:rsidRPr="00342F91">
              <w:rPr>
                <w:sz w:val="18"/>
                <w:szCs w:val="18"/>
              </w:rPr>
              <w:t>2014</w:t>
            </w:r>
          </w:p>
        </w:tc>
        <w:tc>
          <w:tcPr>
            <w:tcW w:w="270" w:type="dxa"/>
          </w:tcPr>
          <w:p w14:paraId="511AAA78" w14:textId="77777777" w:rsidR="00342F91" w:rsidRPr="00342F91" w:rsidRDefault="00342F91" w:rsidP="00232538">
            <w:pPr>
              <w:pStyle w:val="Casehead2"/>
              <w:jc w:val="right"/>
              <w:rPr>
                <w:sz w:val="18"/>
                <w:szCs w:val="18"/>
              </w:rPr>
            </w:pPr>
          </w:p>
        </w:tc>
        <w:tc>
          <w:tcPr>
            <w:tcW w:w="1106" w:type="dxa"/>
          </w:tcPr>
          <w:p w14:paraId="070AAB11" w14:textId="372C34D1" w:rsidR="00342F91" w:rsidRPr="00342F91" w:rsidRDefault="00342F91" w:rsidP="00232538">
            <w:pPr>
              <w:pStyle w:val="Casehead2"/>
              <w:jc w:val="right"/>
              <w:rPr>
                <w:sz w:val="18"/>
                <w:szCs w:val="18"/>
              </w:rPr>
            </w:pPr>
            <w:r w:rsidRPr="00342F91">
              <w:rPr>
                <w:sz w:val="18"/>
                <w:szCs w:val="18"/>
              </w:rPr>
              <w:t>2013</w:t>
            </w:r>
          </w:p>
        </w:tc>
      </w:tr>
      <w:tr w:rsidR="00342F91" w:rsidRPr="002204DF" w14:paraId="0ECDAA8E" w14:textId="77777777" w:rsidTr="00342F91">
        <w:trPr>
          <w:jc w:val="center"/>
        </w:trPr>
        <w:tc>
          <w:tcPr>
            <w:tcW w:w="3978" w:type="dxa"/>
          </w:tcPr>
          <w:p w14:paraId="31D3C562" w14:textId="3BE8F916" w:rsidR="00342F91" w:rsidRPr="002204DF" w:rsidRDefault="00342F91" w:rsidP="00232538">
            <w:pPr>
              <w:pStyle w:val="Casehead2"/>
              <w:rPr>
                <w:b w:val="0"/>
                <w:sz w:val="18"/>
                <w:szCs w:val="18"/>
              </w:rPr>
            </w:pPr>
            <w:r>
              <w:rPr>
                <w:b w:val="0"/>
                <w:sz w:val="18"/>
                <w:szCs w:val="18"/>
              </w:rPr>
              <w:t>Chequing Account</w:t>
            </w:r>
          </w:p>
        </w:tc>
        <w:tc>
          <w:tcPr>
            <w:tcW w:w="990" w:type="dxa"/>
          </w:tcPr>
          <w:p w14:paraId="2447FDE5" w14:textId="244886B4" w:rsidR="00342F91" w:rsidRPr="002204DF" w:rsidRDefault="00342F91" w:rsidP="00232538">
            <w:pPr>
              <w:pStyle w:val="Casehead2"/>
              <w:jc w:val="right"/>
              <w:rPr>
                <w:b w:val="0"/>
                <w:sz w:val="18"/>
                <w:szCs w:val="18"/>
              </w:rPr>
            </w:pPr>
            <w:r>
              <w:rPr>
                <w:b w:val="0"/>
                <w:sz w:val="18"/>
                <w:szCs w:val="18"/>
              </w:rPr>
              <w:t>123,586</w:t>
            </w:r>
          </w:p>
        </w:tc>
        <w:tc>
          <w:tcPr>
            <w:tcW w:w="270" w:type="dxa"/>
          </w:tcPr>
          <w:p w14:paraId="78E403FE" w14:textId="77777777" w:rsidR="00342F91" w:rsidRPr="002204DF" w:rsidRDefault="00342F91" w:rsidP="00232538">
            <w:pPr>
              <w:pStyle w:val="Casehead2"/>
              <w:jc w:val="right"/>
              <w:rPr>
                <w:b w:val="0"/>
                <w:sz w:val="18"/>
                <w:szCs w:val="18"/>
              </w:rPr>
            </w:pPr>
          </w:p>
        </w:tc>
        <w:tc>
          <w:tcPr>
            <w:tcW w:w="1106" w:type="dxa"/>
          </w:tcPr>
          <w:p w14:paraId="5E7A2441" w14:textId="1996041E" w:rsidR="00342F91" w:rsidRPr="002204DF" w:rsidRDefault="00342F91" w:rsidP="00232538">
            <w:pPr>
              <w:pStyle w:val="Casehead2"/>
              <w:jc w:val="right"/>
              <w:rPr>
                <w:b w:val="0"/>
                <w:sz w:val="18"/>
                <w:szCs w:val="18"/>
              </w:rPr>
            </w:pPr>
            <w:r>
              <w:rPr>
                <w:b w:val="0"/>
                <w:sz w:val="18"/>
                <w:szCs w:val="18"/>
              </w:rPr>
              <w:t>63,739</w:t>
            </w:r>
          </w:p>
        </w:tc>
      </w:tr>
    </w:tbl>
    <w:p w14:paraId="670A82E1" w14:textId="77777777" w:rsidR="007E6C82" w:rsidRPr="007E6C82" w:rsidRDefault="007E6C82" w:rsidP="00AC11FF">
      <w:pPr>
        <w:pStyle w:val="Footnote"/>
        <w:rPr>
          <w:sz w:val="13"/>
        </w:rPr>
      </w:pPr>
    </w:p>
    <w:p w14:paraId="10260FDE" w14:textId="5A453245" w:rsidR="002204DF" w:rsidRDefault="00E70F4E" w:rsidP="00AC11FF">
      <w:pPr>
        <w:pStyle w:val="Footnote"/>
        <w:rPr>
          <w:sz w:val="22"/>
          <w:szCs w:val="22"/>
          <w:u w:val="single"/>
        </w:rPr>
      </w:pPr>
      <w:r>
        <w:t xml:space="preserve">Source: The </w:t>
      </w:r>
      <w:r w:rsidRPr="00D47D51">
        <w:t>Orchid Species Preservation Foundation</w:t>
      </w:r>
      <w:r>
        <w:t xml:space="preserve"> board.</w:t>
      </w:r>
      <w:r w:rsidR="002204DF">
        <w:br w:type="page"/>
      </w:r>
    </w:p>
    <w:p w14:paraId="53D917BE" w14:textId="77777777" w:rsidR="007E6C82" w:rsidRDefault="00093E6D" w:rsidP="007E6C82">
      <w:pPr>
        <w:pStyle w:val="ExhibitHeading"/>
        <w:rPr>
          <w:lang w:val="en-CA"/>
        </w:rPr>
      </w:pPr>
      <w:r w:rsidRPr="007E6C82">
        <w:rPr>
          <w:lang w:val="en-CA"/>
        </w:rPr>
        <w:lastRenderedPageBreak/>
        <w:t>E</w:t>
      </w:r>
      <w:r w:rsidR="00237304" w:rsidRPr="00C325A2">
        <w:rPr>
          <w:lang w:val="en-CA"/>
        </w:rPr>
        <w:t xml:space="preserve">XHIBIT 4: </w:t>
      </w:r>
      <w:r w:rsidR="00DA3120" w:rsidRPr="00C325A2">
        <w:rPr>
          <w:lang w:val="en-CA"/>
        </w:rPr>
        <w:t>R</w:t>
      </w:r>
      <w:r w:rsidR="00237304" w:rsidRPr="00C325A2">
        <w:rPr>
          <w:lang w:val="en-CA"/>
        </w:rPr>
        <w:t>EVENUE AND</w:t>
      </w:r>
      <w:r w:rsidR="00DA3120" w:rsidRPr="00C325A2">
        <w:rPr>
          <w:lang w:val="en-CA"/>
        </w:rPr>
        <w:t xml:space="preserve"> E</w:t>
      </w:r>
      <w:r w:rsidR="00237304" w:rsidRPr="00C325A2">
        <w:rPr>
          <w:lang w:val="en-CA"/>
        </w:rPr>
        <w:t xml:space="preserve">XPENSE </w:t>
      </w:r>
      <w:r w:rsidR="00DA3120" w:rsidRPr="00C325A2">
        <w:rPr>
          <w:lang w:val="en-CA"/>
        </w:rPr>
        <w:t>P</w:t>
      </w:r>
      <w:r w:rsidR="00237304" w:rsidRPr="00C325A2">
        <w:rPr>
          <w:lang w:val="en-CA"/>
        </w:rPr>
        <w:t xml:space="preserve">ROJECTIONS </w:t>
      </w:r>
      <w:r w:rsidR="00DA3120" w:rsidRPr="00C325A2">
        <w:rPr>
          <w:lang w:val="en-CA"/>
        </w:rPr>
        <w:t>F</w:t>
      </w:r>
      <w:r w:rsidR="00237304" w:rsidRPr="00C325A2">
        <w:rPr>
          <w:lang w:val="en-CA"/>
        </w:rPr>
        <w:t>OR</w:t>
      </w:r>
      <w:r w:rsidR="007E6C82">
        <w:rPr>
          <w:lang w:val="en-CA"/>
        </w:rPr>
        <w:t xml:space="preserve"> </w:t>
      </w:r>
      <w:r w:rsidR="00DA3120" w:rsidRPr="00C325A2">
        <w:rPr>
          <w:lang w:val="en-CA"/>
        </w:rPr>
        <w:t>P</w:t>
      </w:r>
      <w:r w:rsidR="00237304" w:rsidRPr="00C325A2">
        <w:rPr>
          <w:lang w:val="en-CA"/>
        </w:rPr>
        <w:t>HASES</w:t>
      </w:r>
      <w:r w:rsidR="00DA3120" w:rsidRPr="00C325A2">
        <w:rPr>
          <w:lang w:val="en-CA"/>
        </w:rPr>
        <w:t xml:space="preserve"> </w:t>
      </w:r>
      <w:r w:rsidR="002D06D9" w:rsidRPr="00C325A2">
        <w:rPr>
          <w:lang w:val="en-CA"/>
        </w:rPr>
        <w:t>1</w:t>
      </w:r>
      <w:r w:rsidR="00237304" w:rsidRPr="00C325A2">
        <w:rPr>
          <w:lang w:val="en-CA"/>
        </w:rPr>
        <w:t xml:space="preserve"> AND</w:t>
      </w:r>
      <w:r w:rsidR="00DA3120" w:rsidRPr="00C325A2">
        <w:rPr>
          <w:lang w:val="en-CA"/>
        </w:rPr>
        <w:t xml:space="preserve"> </w:t>
      </w:r>
      <w:r w:rsidR="002D06D9" w:rsidRPr="00C325A2">
        <w:rPr>
          <w:lang w:val="en-CA"/>
        </w:rPr>
        <w:t>2</w:t>
      </w:r>
      <w:r w:rsidR="006D1257" w:rsidRPr="00C325A2">
        <w:rPr>
          <w:lang w:val="en-CA"/>
        </w:rPr>
        <w:t xml:space="preserve"> </w:t>
      </w:r>
      <w:r w:rsidR="00237304" w:rsidRPr="00C325A2">
        <w:rPr>
          <w:lang w:val="en-CA"/>
        </w:rPr>
        <w:t>OF THE PROJECT</w:t>
      </w:r>
      <w:r w:rsidR="007E6C82">
        <w:rPr>
          <w:lang w:val="en-CA"/>
        </w:rPr>
        <w:t xml:space="preserve"> </w:t>
      </w:r>
    </w:p>
    <w:p w14:paraId="1E41F2CE" w14:textId="4A70C4A4" w:rsidR="00AE1EA8" w:rsidRPr="00C325A2" w:rsidRDefault="00AE1EA8" w:rsidP="007E6C82">
      <w:pPr>
        <w:pStyle w:val="ExhibitHeading"/>
        <w:rPr>
          <w:lang w:val="en-CA"/>
        </w:rPr>
      </w:pPr>
      <w:r w:rsidRPr="00A354D0">
        <w:rPr>
          <w:lang w:val="en-CA"/>
        </w:rPr>
        <w:t>(in Canadian dollars)</w:t>
      </w:r>
    </w:p>
    <w:p w14:paraId="630C7EEF" w14:textId="77777777" w:rsidR="00131186" w:rsidRDefault="00131186" w:rsidP="00DA3120">
      <w:pPr>
        <w:pStyle w:val="ExhibitText"/>
        <w:rPr>
          <w:lang w:val="en-CA"/>
        </w:rPr>
      </w:pPr>
    </w:p>
    <w:p w14:paraId="35B9B1DC" w14:textId="161F7E4B" w:rsidR="00DA3120" w:rsidRPr="007816B4" w:rsidRDefault="00DA3120" w:rsidP="00DA3120">
      <w:pPr>
        <w:pStyle w:val="ExhibitText"/>
        <w:rPr>
          <w:sz w:val="18"/>
          <w:szCs w:val="18"/>
          <w:lang w:val="en-CA"/>
        </w:rPr>
      </w:pPr>
      <w:r w:rsidRPr="007816B4">
        <w:rPr>
          <w:b/>
          <w:sz w:val="18"/>
          <w:szCs w:val="18"/>
          <w:lang w:val="en-CA"/>
        </w:rPr>
        <w:t>Casino Revenues</w:t>
      </w:r>
      <w:r w:rsidR="000E3445">
        <w:rPr>
          <w:b/>
          <w:sz w:val="18"/>
          <w:szCs w:val="18"/>
          <w:lang w:val="en-CA"/>
        </w:rPr>
        <w:t xml:space="preserve">: </w:t>
      </w:r>
      <w:r w:rsidRPr="007816B4">
        <w:rPr>
          <w:sz w:val="18"/>
          <w:szCs w:val="18"/>
          <w:lang w:val="en-CA"/>
        </w:rPr>
        <w:t>In Alberta</w:t>
      </w:r>
      <w:r w:rsidR="00B8628C">
        <w:rPr>
          <w:sz w:val="18"/>
          <w:szCs w:val="18"/>
          <w:lang w:val="en-CA"/>
        </w:rPr>
        <w:t>,</w:t>
      </w:r>
      <w:r w:rsidRPr="007816B4">
        <w:rPr>
          <w:sz w:val="18"/>
          <w:szCs w:val="18"/>
          <w:lang w:val="en-CA"/>
        </w:rPr>
        <w:t xml:space="preserve"> charitable organizations were allowed to raise money through involvement with casinos. Each interested charity applied to the provincial government for the opportunity to participate. There was no guarantee that the charity would be granted participation rights, but the OSPF had been granted casino participation at approximately 18</w:t>
      </w:r>
      <w:r w:rsidR="00B8628C">
        <w:rPr>
          <w:sz w:val="18"/>
          <w:szCs w:val="18"/>
          <w:lang w:val="en-CA"/>
        </w:rPr>
        <w:t>-</w:t>
      </w:r>
      <w:r w:rsidRPr="007816B4">
        <w:rPr>
          <w:sz w:val="18"/>
          <w:szCs w:val="18"/>
          <w:lang w:val="en-CA"/>
        </w:rPr>
        <w:t>month intervals. The casino facilities were operated by corporations (which owned the equipment and provided the key staff</w:t>
      </w:r>
      <w:r w:rsidR="00B8628C">
        <w:rPr>
          <w:sz w:val="18"/>
          <w:szCs w:val="18"/>
          <w:lang w:val="en-CA"/>
        </w:rPr>
        <w:t>,</w:t>
      </w:r>
      <w:r w:rsidRPr="007816B4">
        <w:rPr>
          <w:sz w:val="18"/>
          <w:szCs w:val="18"/>
          <w:lang w:val="en-CA"/>
        </w:rPr>
        <w:t xml:space="preserve"> such as dealers and managers)</w:t>
      </w:r>
      <w:r w:rsidR="00B8628C">
        <w:rPr>
          <w:sz w:val="18"/>
          <w:szCs w:val="18"/>
          <w:lang w:val="en-CA"/>
        </w:rPr>
        <w:t>,</w:t>
      </w:r>
      <w:r w:rsidRPr="007816B4">
        <w:rPr>
          <w:sz w:val="18"/>
          <w:szCs w:val="18"/>
          <w:lang w:val="en-CA"/>
        </w:rPr>
        <w:t xml:space="preserve"> and the charitable organizations provided volunteers as chip runners and cash counters. In return for the volunteer involvement</w:t>
      </w:r>
      <w:r w:rsidR="00B8628C">
        <w:rPr>
          <w:sz w:val="18"/>
          <w:szCs w:val="18"/>
          <w:lang w:val="en-CA"/>
        </w:rPr>
        <w:t>,</w:t>
      </w:r>
      <w:r w:rsidRPr="007816B4">
        <w:rPr>
          <w:sz w:val="18"/>
          <w:szCs w:val="18"/>
          <w:lang w:val="en-CA"/>
        </w:rPr>
        <w:t xml:space="preserve"> the charity kept a percentage of the profit. </w:t>
      </w:r>
      <w:r w:rsidR="00CE3A65">
        <w:rPr>
          <w:sz w:val="18"/>
          <w:szCs w:val="18"/>
          <w:lang w:val="en-CA"/>
        </w:rPr>
        <w:t xml:space="preserve">The </w:t>
      </w:r>
      <w:r w:rsidRPr="007816B4">
        <w:rPr>
          <w:sz w:val="18"/>
          <w:szCs w:val="18"/>
          <w:lang w:val="en-CA"/>
        </w:rPr>
        <w:t xml:space="preserve">OSPF had been receiving approximately $50,000 from each round of </w:t>
      </w:r>
      <w:r w:rsidR="00B8628C">
        <w:rPr>
          <w:sz w:val="18"/>
          <w:szCs w:val="18"/>
          <w:lang w:val="en-CA"/>
        </w:rPr>
        <w:t xml:space="preserve">participation at the </w:t>
      </w:r>
      <w:r w:rsidRPr="007816B4">
        <w:rPr>
          <w:sz w:val="18"/>
          <w:szCs w:val="18"/>
          <w:lang w:val="en-CA"/>
        </w:rPr>
        <w:t>casinos.</w:t>
      </w:r>
      <w:r w:rsidR="00B8628C">
        <w:rPr>
          <w:sz w:val="18"/>
          <w:szCs w:val="18"/>
          <w:lang w:val="en-CA"/>
        </w:rPr>
        <w:t xml:space="preserve"> </w:t>
      </w:r>
      <w:r w:rsidRPr="007816B4">
        <w:rPr>
          <w:sz w:val="18"/>
          <w:szCs w:val="18"/>
          <w:lang w:val="en-CA"/>
        </w:rPr>
        <w:t xml:space="preserve">The </w:t>
      </w:r>
      <w:r w:rsidR="00B8628C">
        <w:rPr>
          <w:sz w:val="18"/>
          <w:szCs w:val="18"/>
          <w:lang w:val="en-CA"/>
        </w:rPr>
        <w:t xml:space="preserve">foundation </w:t>
      </w:r>
      <w:r w:rsidRPr="007816B4">
        <w:rPr>
          <w:sz w:val="18"/>
          <w:szCs w:val="18"/>
          <w:lang w:val="en-CA"/>
        </w:rPr>
        <w:t xml:space="preserve">was planning to continue </w:t>
      </w:r>
      <w:r w:rsidR="00B8628C">
        <w:rPr>
          <w:sz w:val="18"/>
          <w:szCs w:val="18"/>
          <w:lang w:val="en-CA"/>
        </w:rPr>
        <w:t xml:space="preserve">this activity </w:t>
      </w:r>
      <w:r w:rsidRPr="007816B4">
        <w:rPr>
          <w:sz w:val="18"/>
          <w:szCs w:val="18"/>
          <w:lang w:val="en-CA"/>
        </w:rPr>
        <w:t>on a yearly basis and</w:t>
      </w:r>
      <w:r w:rsidR="00B8628C">
        <w:rPr>
          <w:sz w:val="18"/>
          <w:szCs w:val="18"/>
          <w:lang w:val="en-CA"/>
        </w:rPr>
        <w:t>,</w:t>
      </w:r>
      <w:r w:rsidRPr="007816B4">
        <w:rPr>
          <w:sz w:val="18"/>
          <w:szCs w:val="18"/>
          <w:lang w:val="en-CA"/>
        </w:rPr>
        <w:t xml:space="preserve"> as such</w:t>
      </w:r>
      <w:r w:rsidR="00B8628C">
        <w:rPr>
          <w:sz w:val="18"/>
          <w:szCs w:val="18"/>
          <w:lang w:val="en-CA"/>
        </w:rPr>
        <w:t>,</w:t>
      </w:r>
      <w:r w:rsidRPr="007816B4">
        <w:rPr>
          <w:sz w:val="18"/>
          <w:szCs w:val="18"/>
          <w:lang w:val="en-CA"/>
        </w:rPr>
        <w:t xml:space="preserve"> had budgeted $33,333 per year as available cash.</w:t>
      </w:r>
    </w:p>
    <w:p w14:paraId="2FE92043" w14:textId="77777777" w:rsidR="00DA3120" w:rsidRPr="007816B4" w:rsidRDefault="00DA3120" w:rsidP="00DA3120">
      <w:pPr>
        <w:pStyle w:val="ExhibitText"/>
        <w:rPr>
          <w:b/>
          <w:sz w:val="18"/>
          <w:szCs w:val="18"/>
          <w:lang w:val="en-CA"/>
        </w:rPr>
      </w:pPr>
    </w:p>
    <w:p w14:paraId="1D876DED" w14:textId="77777777" w:rsidR="005F7A22" w:rsidRDefault="005F7A22" w:rsidP="00DA3120">
      <w:pPr>
        <w:pStyle w:val="ExhibitText"/>
        <w:rPr>
          <w:b/>
          <w:sz w:val="18"/>
          <w:szCs w:val="18"/>
          <w:lang w:val="en-CA"/>
        </w:rPr>
      </w:pPr>
    </w:p>
    <w:p w14:paraId="6F90F0CA" w14:textId="513CC5C8" w:rsidR="00DA3120" w:rsidRPr="007816B4" w:rsidRDefault="00DA3120" w:rsidP="00DA3120">
      <w:pPr>
        <w:pStyle w:val="ExhibitText"/>
        <w:rPr>
          <w:sz w:val="18"/>
          <w:szCs w:val="18"/>
          <w:lang w:val="en-CA"/>
        </w:rPr>
      </w:pPr>
      <w:r w:rsidRPr="007816B4">
        <w:rPr>
          <w:b/>
          <w:sz w:val="18"/>
          <w:szCs w:val="18"/>
          <w:lang w:val="en-CA"/>
        </w:rPr>
        <w:t>Memberships and Member Donations</w:t>
      </w:r>
      <w:r w:rsidR="000E3445">
        <w:rPr>
          <w:b/>
          <w:sz w:val="18"/>
          <w:szCs w:val="18"/>
          <w:lang w:val="en-CA"/>
        </w:rPr>
        <w:t xml:space="preserve">: </w:t>
      </w:r>
      <w:r w:rsidR="00CE3A65" w:rsidRPr="00CE3A65">
        <w:rPr>
          <w:sz w:val="18"/>
          <w:szCs w:val="18"/>
          <w:lang w:val="en-CA"/>
        </w:rPr>
        <w:t xml:space="preserve">The </w:t>
      </w:r>
      <w:r w:rsidRPr="00CE3A65">
        <w:rPr>
          <w:sz w:val="18"/>
          <w:szCs w:val="18"/>
          <w:lang w:val="en-CA"/>
        </w:rPr>
        <w:t>OSPF</w:t>
      </w:r>
      <w:r w:rsidRPr="007816B4">
        <w:rPr>
          <w:sz w:val="18"/>
          <w:szCs w:val="18"/>
          <w:lang w:val="en-CA"/>
        </w:rPr>
        <w:t xml:space="preserve"> had budgeted revenue from membership fees of $20 per member for 25 members per year from 2014 onward. </w:t>
      </w:r>
      <w:r w:rsidR="00B8628C">
        <w:rPr>
          <w:sz w:val="18"/>
          <w:szCs w:val="18"/>
          <w:lang w:val="en-CA"/>
        </w:rPr>
        <w:t xml:space="preserve">The foundation </w:t>
      </w:r>
      <w:r w:rsidRPr="007816B4">
        <w:rPr>
          <w:sz w:val="18"/>
          <w:szCs w:val="18"/>
          <w:lang w:val="en-CA"/>
        </w:rPr>
        <w:t>expected to receive $2,000 per year in donations from members as well.</w:t>
      </w:r>
    </w:p>
    <w:p w14:paraId="26727177" w14:textId="77777777" w:rsidR="00DA3120" w:rsidRPr="007816B4" w:rsidRDefault="00DA3120" w:rsidP="00DA3120">
      <w:pPr>
        <w:pStyle w:val="ExhibitText"/>
        <w:rPr>
          <w:b/>
          <w:sz w:val="18"/>
          <w:szCs w:val="18"/>
          <w:lang w:val="en-CA"/>
        </w:rPr>
      </w:pPr>
    </w:p>
    <w:p w14:paraId="0F77B448" w14:textId="77777777" w:rsidR="005F7A22" w:rsidRDefault="005F7A22" w:rsidP="00DA3120">
      <w:pPr>
        <w:pStyle w:val="ExhibitText"/>
        <w:rPr>
          <w:b/>
          <w:sz w:val="18"/>
          <w:szCs w:val="18"/>
          <w:lang w:val="en-CA"/>
        </w:rPr>
      </w:pPr>
    </w:p>
    <w:p w14:paraId="7E4BDDA8" w14:textId="1DC98280" w:rsidR="00DA3120" w:rsidRPr="007816B4" w:rsidRDefault="00DA3120" w:rsidP="00DA3120">
      <w:pPr>
        <w:pStyle w:val="ExhibitText"/>
        <w:rPr>
          <w:sz w:val="18"/>
          <w:szCs w:val="18"/>
          <w:lang w:val="en-CA"/>
        </w:rPr>
      </w:pPr>
      <w:r w:rsidRPr="007816B4">
        <w:rPr>
          <w:b/>
          <w:sz w:val="18"/>
          <w:szCs w:val="18"/>
          <w:lang w:val="en-CA"/>
        </w:rPr>
        <w:t>Grants and Sponsorships</w:t>
      </w:r>
      <w:r w:rsidR="000E3445">
        <w:rPr>
          <w:b/>
          <w:sz w:val="18"/>
          <w:szCs w:val="18"/>
          <w:lang w:val="en-CA"/>
        </w:rPr>
        <w:t xml:space="preserve">: </w:t>
      </w:r>
      <w:r w:rsidRPr="007816B4">
        <w:rPr>
          <w:sz w:val="18"/>
          <w:szCs w:val="18"/>
          <w:lang w:val="en-CA"/>
        </w:rPr>
        <w:t>OSPF had budgeted to receive $75,000 in grants and $75,000 in corporate sponsorships in 2018</w:t>
      </w:r>
      <w:r w:rsidR="00B8628C">
        <w:rPr>
          <w:sz w:val="18"/>
          <w:szCs w:val="18"/>
          <w:lang w:val="en-CA"/>
        </w:rPr>
        <w:t>,</w:t>
      </w:r>
      <w:r w:rsidRPr="007816B4">
        <w:rPr>
          <w:sz w:val="18"/>
          <w:szCs w:val="18"/>
          <w:lang w:val="en-CA"/>
        </w:rPr>
        <w:t xml:space="preserve"> as well as $25,000 in grants and $25,000 in corporate in sponsorships in 2020, 2022</w:t>
      </w:r>
      <w:r w:rsidR="00B8628C">
        <w:rPr>
          <w:sz w:val="18"/>
          <w:szCs w:val="18"/>
          <w:lang w:val="en-CA"/>
        </w:rPr>
        <w:t>,</w:t>
      </w:r>
      <w:r w:rsidRPr="007816B4">
        <w:rPr>
          <w:sz w:val="18"/>
          <w:szCs w:val="18"/>
          <w:lang w:val="en-CA"/>
        </w:rPr>
        <w:t xml:space="preserve"> and 2024 as </w:t>
      </w:r>
      <w:r w:rsidR="00B8628C">
        <w:rPr>
          <w:sz w:val="18"/>
          <w:szCs w:val="18"/>
          <w:lang w:val="en-CA"/>
        </w:rPr>
        <w:t>the foundation</w:t>
      </w:r>
      <w:r w:rsidRPr="007816B4">
        <w:rPr>
          <w:sz w:val="18"/>
          <w:szCs w:val="18"/>
          <w:lang w:val="en-CA"/>
        </w:rPr>
        <w:t xml:space="preserve"> beg</w:t>
      </w:r>
      <w:r w:rsidR="00DA3AC2">
        <w:rPr>
          <w:sz w:val="18"/>
          <w:szCs w:val="18"/>
          <w:lang w:val="en-CA"/>
        </w:rPr>
        <w:t>a</w:t>
      </w:r>
      <w:r w:rsidRPr="007816B4">
        <w:rPr>
          <w:sz w:val="18"/>
          <w:szCs w:val="18"/>
          <w:lang w:val="en-CA"/>
        </w:rPr>
        <w:t xml:space="preserve">n </w:t>
      </w:r>
      <w:r w:rsidR="006A33F9">
        <w:rPr>
          <w:sz w:val="18"/>
          <w:szCs w:val="18"/>
          <w:lang w:val="en-CA"/>
        </w:rPr>
        <w:t>expanding its facilities</w:t>
      </w:r>
      <w:r w:rsidRPr="007816B4">
        <w:rPr>
          <w:sz w:val="18"/>
          <w:szCs w:val="18"/>
          <w:lang w:val="en-CA"/>
        </w:rPr>
        <w:t xml:space="preserve"> and operations</w:t>
      </w:r>
      <w:r w:rsidR="006A33F9">
        <w:rPr>
          <w:sz w:val="18"/>
          <w:szCs w:val="18"/>
          <w:lang w:val="en-CA"/>
        </w:rPr>
        <w:t>.</w:t>
      </w:r>
    </w:p>
    <w:p w14:paraId="3F837C61" w14:textId="77777777" w:rsidR="00DA3120" w:rsidRPr="007816B4" w:rsidRDefault="00DA3120" w:rsidP="00DA3120">
      <w:pPr>
        <w:pStyle w:val="ExhibitText"/>
        <w:rPr>
          <w:b/>
          <w:sz w:val="18"/>
          <w:szCs w:val="18"/>
          <w:lang w:val="en-CA"/>
        </w:rPr>
      </w:pPr>
    </w:p>
    <w:p w14:paraId="324762F1" w14:textId="77777777" w:rsidR="005F7A22" w:rsidRDefault="005F7A22" w:rsidP="00DA3120">
      <w:pPr>
        <w:pStyle w:val="ExhibitText"/>
        <w:rPr>
          <w:b/>
          <w:sz w:val="18"/>
          <w:szCs w:val="18"/>
          <w:lang w:val="en-CA"/>
        </w:rPr>
      </w:pPr>
    </w:p>
    <w:p w14:paraId="77AB78E3" w14:textId="56A02BB6" w:rsidR="00DA3120" w:rsidRPr="006A33F9" w:rsidRDefault="00DA3120" w:rsidP="00DA3120">
      <w:pPr>
        <w:pStyle w:val="ExhibitText"/>
        <w:rPr>
          <w:sz w:val="18"/>
          <w:szCs w:val="18"/>
          <w:lang w:val="en-CA"/>
        </w:rPr>
      </w:pPr>
      <w:r w:rsidRPr="007816B4">
        <w:rPr>
          <w:b/>
          <w:sz w:val="18"/>
          <w:szCs w:val="18"/>
          <w:lang w:val="en-CA"/>
        </w:rPr>
        <w:t>Seedling Propagation</w:t>
      </w:r>
      <w:r w:rsidR="000E3445">
        <w:rPr>
          <w:b/>
          <w:sz w:val="18"/>
          <w:szCs w:val="18"/>
          <w:lang w:val="en-CA"/>
        </w:rPr>
        <w:t xml:space="preserve">: </w:t>
      </w:r>
      <w:r w:rsidRPr="007816B4">
        <w:rPr>
          <w:sz w:val="18"/>
          <w:szCs w:val="18"/>
          <w:lang w:val="en-CA"/>
        </w:rPr>
        <w:t>Although space outside of the Muttart Conservatory had not been identified</w:t>
      </w:r>
      <w:r w:rsidR="0075213F">
        <w:rPr>
          <w:sz w:val="18"/>
          <w:szCs w:val="18"/>
          <w:lang w:val="en-CA"/>
        </w:rPr>
        <w:t>,</w:t>
      </w:r>
      <w:r w:rsidRPr="007816B4">
        <w:rPr>
          <w:sz w:val="18"/>
          <w:szCs w:val="18"/>
          <w:lang w:val="en-CA"/>
        </w:rPr>
        <w:t xml:space="preserve"> Nixon expected that the OSPF could initially set up a seedling propagation operation within a </w:t>
      </w:r>
      <w:r w:rsidRPr="005E5998">
        <w:rPr>
          <w:sz w:val="18"/>
          <w:szCs w:val="18"/>
          <w:lang w:val="en-CA"/>
        </w:rPr>
        <w:t>2</w:t>
      </w:r>
      <w:r w:rsidR="0075213F" w:rsidRPr="005E5998">
        <w:rPr>
          <w:sz w:val="18"/>
          <w:szCs w:val="18"/>
          <w:lang w:val="en-CA"/>
        </w:rPr>
        <w:t>,</w:t>
      </w:r>
      <w:r w:rsidRPr="005E5998">
        <w:rPr>
          <w:sz w:val="18"/>
          <w:szCs w:val="18"/>
          <w:lang w:val="en-CA"/>
        </w:rPr>
        <w:t>000</w:t>
      </w:r>
      <w:r w:rsidR="0075213F" w:rsidRPr="005E5998">
        <w:rPr>
          <w:sz w:val="18"/>
          <w:szCs w:val="18"/>
          <w:lang w:val="en-CA"/>
        </w:rPr>
        <w:t>-square-foot</w:t>
      </w:r>
      <w:r w:rsidRPr="007816B4">
        <w:rPr>
          <w:sz w:val="18"/>
          <w:szCs w:val="18"/>
          <w:lang w:val="en-CA"/>
        </w:rPr>
        <w:t xml:space="preserve"> warehouse space. </w:t>
      </w:r>
      <w:r w:rsidRPr="007816B4">
        <w:rPr>
          <w:color w:val="000000"/>
          <w:sz w:val="18"/>
          <w:szCs w:val="18"/>
          <w:lang w:val="en-CA"/>
        </w:rPr>
        <w:t xml:space="preserve">The seeds would first be germinated in agar gel and then transferred to small flasks (50 seedlings per flask). These flasks would then be sold to hobbyists and orchid growers. Nixon was </w:t>
      </w:r>
      <w:r w:rsidR="006A33F9">
        <w:rPr>
          <w:color w:val="000000"/>
          <w:sz w:val="18"/>
          <w:szCs w:val="18"/>
          <w:lang w:val="en-CA"/>
        </w:rPr>
        <w:t>un</w:t>
      </w:r>
      <w:r w:rsidRPr="007816B4">
        <w:rPr>
          <w:color w:val="000000"/>
          <w:sz w:val="18"/>
          <w:szCs w:val="18"/>
          <w:lang w:val="en-CA"/>
        </w:rPr>
        <w:t xml:space="preserve">aware of any operation in Canada that provided this service. </w:t>
      </w:r>
      <w:r w:rsidRPr="007816B4">
        <w:rPr>
          <w:sz w:val="18"/>
          <w:szCs w:val="18"/>
          <w:lang w:val="en-CA"/>
        </w:rPr>
        <w:t>He budgeted a leasing cost of $17.50</w:t>
      </w:r>
      <w:r w:rsidR="005B24CD">
        <w:rPr>
          <w:sz w:val="18"/>
          <w:szCs w:val="18"/>
          <w:lang w:val="en-CA"/>
        </w:rPr>
        <w:t xml:space="preserve"> per </w:t>
      </w:r>
      <w:r w:rsidR="005B24CD" w:rsidRPr="005E5998">
        <w:rPr>
          <w:sz w:val="18"/>
          <w:szCs w:val="18"/>
          <w:lang w:val="en-CA"/>
        </w:rPr>
        <w:t>square foot</w:t>
      </w:r>
      <w:r w:rsidRPr="007816B4">
        <w:rPr>
          <w:sz w:val="18"/>
          <w:szCs w:val="18"/>
          <w:lang w:val="en-CA"/>
        </w:rPr>
        <w:t xml:space="preserve"> including utilities. The facility was being planned to come </w:t>
      </w:r>
      <w:r w:rsidRPr="006A33F9">
        <w:rPr>
          <w:sz w:val="18"/>
          <w:szCs w:val="18"/>
          <w:lang w:val="en-CA"/>
        </w:rPr>
        <w:t xml:space="preserve">online in 2016 with the first seedling sales expected in 2018. The facility would require a </w:t>
      </w:r>
      <w:r w:rsidR="004A233F" w:rsidRPr="006A33F9">
        <w:rPr>
          <w:sz w:val="18"/>
          <w:szCs w:val="18"/>
          <w:lang w:val="en-CA"/>
        </w:rPr>
        <w:t xml:space="preserve">HEPA </w:t>
      </w:r>
      <w:r w:rsidRPr="006A33F9">
        <w:rPr>
          <w:sz w:val="18"/>
          <w:szCs w:val="18"/>
          <w:lang w:val="en-CA"/>
        </w:rPr>
        <w:t>filter air chamber in order to start up, at a cost of $20,000. Operating costs for flasks, growing media, syringes</w:t>
      </w:r>
      <w:r w:rsidR="004641CC" w:rsidRPr="006A33F9">
        <w:rPr>
          <w:sz w:val="18"/>
          <w:szCs w:val="18"/>
          <w:lang w:val="en-CA"/>
        </w:rPr>
        <w:t>,</w:t>
      </w:r>
      <w:r w:rsidRPr="006A33F9">
        <w:rPr>
          <w:sz w:val="18"/>
          <w:szCs w:val="18"/>
          <w:lang w:val="en-CA"/>
        </w:rPr>
        <w:t xml:space="preserve"> and sterilizing agents w</w:t>
      </w:r>
      <w:r w:rsidR="00DA3AC2">
        <w:rPr>
          <w:sz w:val="18"/>
          <w:szCs w:val="18"/>
          <w:lang w:val="en-CA"/>
        </w:rPr>
        <w:t>ere</w:t>
      </w:r>
      <w:r w:rsidRPr="006A33F9">
        <w:rPr>
          <w:sz w:val="18"/>
          <w:szCs w:val="18"/>
          <w:lang w:val="en-CA"/>
        </w:rPr>
        <w:t xml:space="preserve"> expected to be $4</w:t>
      </w:r>
      <w:r w:rsidR="004641CC" w:rsidRPr="006A33F9">
        <w:rPr>
          <w:sz w:val="18"/>
          <w:szCs w:val="18"/>
          <w:lang w:val="en-CA"/>
        </w:rPr>
        <w:t>,</w:t>
      </w:r>
      <w:r w:rsidRPr="006A33F9">
        <w:rPr>
          <w:sz w:val="18"/>
          <w:szCs w:val="18"/>
          <w:lang w:val="en-CA"/>
        </w:rPr>
        <w:t>000 per year collectively. The revenue budget for seedling propagation is shown in Table 1.</w:t>
      </w:r>
    </w:p>
    <w:p w14:paraId="0849854B" w14:textId="77777777" w:rsidR="00DA3120" w:rsidRDefault="00DA3120" w:rsidP="00DA3120">
      <w:pPr>
        <w:pStyle w:val="Footnote"/>
      </w:pPr>
    </w:p>
    <w:p w14:paraId="078B4639" w14:textId="77777777" w:rsidR="005F7A22" w:rsidRDefault="005F7A22" w:rsidP="00DA3120">
      <w:pPr>
        <w:pStyle w:val="Casehead3"/>
        <w:rPr>
          <w:lang w:val="en-CA"/>
        </w:rPr>
      </w:pPr>
    </w:p>
    <w:p w14:paraId="0511A020" w14:textId="77777777" w:rsidR="00DA3120" w:rsidRDefault="00DA3120" w:rsidP="00DA3120">
      <w:pPr>
        <w:pStyle w:val="Casehead3"/>
        <w:rPr>
          <w:lang w:val="en-CA"/>
        </w:rPr>
      </w:pPr>
      <w:r w:rsidRPr="00DE234A">
        <w:rPr>
          <w:lang w:val="en-CA"/>
        </w:rPr>
        <w:t>Table 1: Seedling Revenue Projections by Year</w:t>
      </w:r>
    </w:p>
    <w:p w14:paraId="10388D92" w14:textId="77777777" w:rsidR="00D274BF" w:rsidRPr="00DE234A" w:rsidRDefault="00D274BF" w:rsidP="00DA3120">
      <w:pPr>
        <w:pStyle w:val="Casehead3"/>
        <w:rPr>
          <w:lang w:val="en-CA"/>
        </w:rPr>
      </w:pPr>
    </w:p>
    <w:p w14:paraId="649BD861" w14:textId="77777777" w:rsidR="00DA3120" w:rsidRDefault="00DA3120" w:rsidP="00DA3120">
      <w:pPr>
        <w:pStyle w:val="Footnote"/>
      </w:pPr>
    </w:p>
    <w:tbl>
      <w:tblPr>
        <w:tblStyle w:val="TableGrid"/>
        <w:tblW w:w="8340" w:type="dxa"/>
        <w:jc w:val="center"/>
        <w:tblLook w:val="04A0" w:firstRow="1" w:lastRow="0" w:firstColumn="1" w:lastColumn="0" w:noHBand="0" w:noVBand="1"/>
      </w:tblPr>
      <w:tblGrid>
        <w:gridCol w:w="2080"/>
        <w:gridCol w:w="960"/>
        <w:gridCol w:w="1060"/>
        <w:gridCol w:w="1060"/>
        <w:gridCol w:w="1060"/>
        <w:gridCol w:w="1060"/>
        <w:gridCol w:w="1060"/>
      </w:tblGrid>
      <w:tr w:rsidR="00DA3120" w:rsidRPr="007816B4" w14:paraId="64F08D20" w14:textId="77777777" w:rsidTr="00AC11FF">
        <w:trPr>
          <w:trHeight w:val="144"/>
          <w:jc w:val="center"/>
        </w:trPr>
        <w:tc>
          <w:tcPr>
            <w:tcW w:w="2080" w:type="dxa"/>
            <w:hideMark/>
          </w:tcPr>
          <w:p w14:paraId="49C8DFDF" w14:textId="77777777" w:rsidR="00DA3120" w:rsidRPr="007816B4" w:rsidRDefault="00DA3120" w:rsidP="00AC11FF">
            <w:pPr>
              <w:pStyle w:val="ExhibitText"/>
              <w:rPr>
                <w:sz w:val="18"/>
                <w:szCs w:val="18"/>
                <w:lang w:val="en-CA"/>
              </w:rPr>
            </w:pPr>
            <w:r w:rsidRPr="007816B4">
              <w:rPr>
                <w:sz w:val="18"/>
                <w:szCs w:val="18"/>
                <w:lang w:val="en-CA"/>
              </w:rPr>
              <w:t>Assumption</w:t>
            </w:r>
          </w:p>
        </w:tc>
        <w:tc>
          <w:tcPr>
            <w:tcW w:w="960" w:type="dxa"/>
            <w:hideMark/>
          </w:tcPr>
          <w:p w14:paraId="3A4157A9" w14:textId="77777777" w:rsidR="00DA3120" w:rsidRPr="007816B4" w:rsidRDefault="00DA3120" w:rsidP="00AC11FF">
            <w:pPr>
              <w:pStyle w:val="ExhibitText"/>
              <w:rPr>
                <w:sz w:val="18"/>
                <w:szCs w:val="18"/>
                <w:lang w:val="en-CA"/>
              </w:rPr>
            </w:pPr>
            <w:r w:rsidRPr="007816B4">
              <w:rPr>
                <w:sz w:val="18"/>
                <w:szCs w:val="18"/>
                <w:lang w:val="en-CA"/>
              </w:rPr>
              <w:t> </w:t>
            </w:r>
          </w:p>
        </w:tc>
        <w:tc>
          <w:tcPr>
            <w:tcW w:w="1060" w:type="dxa"/>
            <w:hideMark/>
          </w:tcPr>
          <w:p w14:paraId="77CCCC94" w14:textId="77777777" w:rsidR="00DA3120" w:rsidRPr="007816B4" w:rsidRDefault="00DA3120" w:rsidP="00AC11FF">
            <w:pPr>
              <w:pStyle w:val="ExhibitText"/>
              <w:rPr>
                <w:sz w:val="18"/>
                <w:szCs w:val="18"/>
                <w:lang w:val="en-CA"/>
              </w:rPr>
            </w:pPr>
            <w:r w:rsidRPr="007816B4">
              <w:rPr>
                <w:sz w:val="18"/>
                <w:szCs w:val="18"/>
                <w:lang w:val="en-CA"/>
              </w:rPr>
              <w:t>2018</w:t>
            </w:r>
          </w:p>
        </w:tc>
        <w:tc>
          <w:tcPr>
            <w:tcW w:w="1060" w:type="dxa"/>
            <w:hideMark/>
          </w:tcPr>
          <w:p w14:paraId="06D12FF9" w14:textId="77777777" w:rsidR="00DA3120" w:rsidRPr="007816B4" w:rsidRDefault="00DA3120" w:rsidP="00AC11FF">
            <w:pPr>
              <w:pStyle w:val="ExhibitText"/>
              <w:rPr>
                <w:sz w:val="18"/>
                <w:szCs w:val="18"/>
                <w:lang w:val="en-CA"/>
              </w:rPr>
            </w:pPr>
            <w:r w:rsidRPr="007816B4">
              <w:rPr>
                <w:sz w:val="18"/>
                <w:szCs w:val="18"/>
                <w:lang w:val="en-CA"/>
              </w:rPr>
              <w:t>2019</w:t>
            </w:r>
          </w:p>
        </w:tc>
        <w:tc>
          <w:tcPr>
            <w:tcW w:w="1060" w:type="dxa"/>
            <w:hideMark/>
          </w:tcPr>
          <w:p w14:paraId="222A0DA5" w14:textId="77777777" w:rsidR="00DA3120" w:rsidRPr="007816B4" w:rsidRDefault="00DA3120" w:rsidP="00AC11FF">
            <w:pPr>
              <w:pStyle w:val="ExhibitText"/>
              <w:rPr>
                <w:sz w:val="18"/>
                <w:szCs w:val="18"/>
                <w:lang w:val="en-CA"/>
              </w:rPr>
            </w:pPr>
            <w:r w:rsidRPr="007816B4">
              <w:rPr>
                <w:sz w:val="18"/>
                <w:szCs w:val="18"/>
                <w:lang w:val="en-CA"/>
              </w:rPr>
              <w:t>2020</w:t>
            </w:r>
          </w:p>
        </w:tc>
        <w:tc>
          <w:tcPr>
            <w:tcW w:w="1060" w:type="dxa"/>
            <w:hideMark/>
          </w:tcPr>
          <w:p w14:paraId="425A3088" w14:textId="77777777" w:rsidR="00DA3120" w:rsidRPr="007816B4" w:rsidRDefault="00DA3120" w:rsidP="00AC11FF">
            <w:pPr>
              <w:pStyle w:val="ExhibitText"/>
              <w:rPr>
                <w:sz w:val="18"/>
                <w:szCs w:val="18"/>
                <w:lang w:val="en-CA"/>
              </w:rPr>
            </w:pPr>
            <w:r w:rsidRPr="007816B4">
              <w:rPr>
                <w:sz w:val="18"/>
                <w:szCs w:val="18"/>
                <w:lang w:val="en-CA"/>
              </w:rPr>
              <w:t>2021</w:t>
            </w:r>
          </w:p>
        </w:tc>
        <w:tc>
          <w:tcPr>
            <w:tcW w:w="1060" w:type="dxa"/>
            <w:hideMark/>
          </w:tcPr>
          <w:p w14:paraId="1904B716" w14:textId="77777777" w:rsidR="00DA3120" w:rsidRPr="007816B4" w:rsidRDefault="00DA3120" w:rsidP="00AC11FF">
            <w:pPr>
              <w:pStyle w:val="ExhibitText"/>
              <w:rPr>
                <w:sz w:val="18"/>
                <w:szCs w:val="18"/>
                <w:lang w:val="en-CA"/>
              </w:rPr>
            </w:pPr>
            <w:r w:rsidRPr="007816B4">
              <w:rPr>
                <w:sz w:val="18"/>
                <w:szCs w:val="18"/>
                <w:lang w:val="en-CA"/>
              </w:rPr>
              <w:t>2022</w:t>
            </w:r>
          </w:p>
        </w:tc>
      </w:tr>
      <w:tr w:rsidR="00DA3120" w:rsidRPr="007816B4" w14:paraId="1B144BDF" w14:textId="77777777" w:rsidTr="00AC11FF">
        <w:trPr>
          <w:trHeight w:val="144"/>
          <w:jc w:val="center"/>
        </w:trPr>
        <w:tc>
          <w:tcPr>
            <w:tcW w:w="8340" w:type="dxa"/>
            <w:gridSpan w:val="7"/>
            <w:hideMark/>
          </w:tcPr>
          <w:p w14:paraId="7B62DF0F" w14:textId="77777777" w:rsidR="00DA3120" w:rsidRPr="007816B4" w:rsidRDefault="00DA3120" w:rsidP="00AC11FF">
            <w:pPr>
              <w:pStyle w:val="ExhibitText"/>
              <w:rPr>
                <w:sz w:val="18"/>
                <w:szCs w:val="18"/>
                <w:lang w:val="en-CA"/>
              </w:rPr>
            </w:pPr>
            <w:r w:rsidRPr="007816B4">
              <w:rPr>
                <w:sz w:val="18"/>
                <w:szCs w:val="18"/>
                <w:lang w:val="en-CA"/>
              </w:rPr>
              <w:t>Demand (Number of Flasks) </w:t>
            </w:r>
          </w:p>
        </w:tc>
      </w:tr>
      <w:tr w:rsidR="00DA3120" w:rsidRPr="007816B4" w14:paraId="4EA2E03E" w14:textId="77777777" w:rsidTr="00AC11FF">
        <w:trPr>
          <w:trHeight w:val="144"/>
          <w:jc w:val="center"/>
        </w:trPr>
        <w:tc>
          <w:tcPr>
            <w:tcW w:w="2080" w:type="dxa"/>
            <w:hideMark/>
          </w:tcPr>
          <w:p w14:paraId="74AF6294" w14:textId="77777777" w:rsidR="00DA3120" w:rsidRPr="007816B4" w:rsidRDefault="00DA3120" w:rsidP="00AC11FF">
            <w:pPr>
              <w:pStyle w:val="ExhibitText"/>
              <w:rPr>
                <w:sz w:val="18"/>
                <w:szCs w:val="18"/>
                <w:lang w:val="en-CA"/>
              </w:rPr>
            </w:pPr>
            <w:r w:rsidRPr="007816B4">
              <w:rPr>
                <w:sz w:val="18"/>
                <w:szCs w:val="18"/>
                <w:lang w:val="en-CA"/>
              </w:rPr>
              <w:t>Low</w:t>
            </w:r>
          </w:p>
        </w:tc>
        <w:tc>
          <w:tcPr>
            <w:tcW w:w="960" w:type="dxa"/>
            <w:hideMark/>
          </w:tcPr>
          <w:p w14:paraId="0765CD4B" w14:textId="77777777" w:rsidR="00DA3120" w:rsidRPr="007816B4" w:rsidRDefault="00DA3120" w:rsidP="00AC11FF">
            <w:pPr>
              <w:pStyle w:val="ExhibitText"/>
              <w:rPr>
                <w:sz w:val="18"/>
                <w:szCs w:val="18"/>
                <w:lang w:val="en-CA"/>
              </w:rPr>
            </w:pPr>
            <w:r w:rsidRPr="007816B4">
              <w:rPr>
                <w:sz w:val="18"/>
                <w:szCs w:val="18"/>
                <w:lang w:val="en-CA"/>
              </w:rPr>
              <w:t> </w:t>
            </w:r>
          </w:p>
        </w:tc>
        <w:tc>
          <w:tcPr>
            <w:tcW w:w="1060" w:type="dxa"/>
            <w:hideMark/>
          </w:tcPr>
          <w:p w14:paraId="67815DBB" w14:textId="77777777" w:rsidR="00DA3120" w:rsidRPr="007816B4" w:rsidRDefault="00DA3120" w:rsidP="00AC11FF">
            <w:pPr>
              <w:pStyle w:val="ExhibitText"/>
              <w:jc w:val="right"/>
              <w:rPr>
                <w:sz w:val="18"/>
                <w:szCs w:val="18"/>
                <w:lang w:val="en-CA"/>
              </w:rPr>
            </w:pPr>
            <w:r w:rsidRPr="007816B4">
              <w:rPr>
                <w:sz w:val="18"/>
                <w:szCs w:val="18"/>
                <w:lang w:val="en-CA"/>
              </w:rPr>
              <w:t xml:space="preserve">         500</w:t>
            </w:r>
          </w:p>
        </w:tc>
        <w:tc>
          <w:tcPr>
            <w:tcW w:w="1060" w:type="dxa"/>
            <w:hideMark/>
          </w:tcPr>
          <w:p w14:paraId="68F5C492" w14:textId="77777777" w:rsidR="00DA3120" w:rsidRPr="007816B4" w:rsidRDefault="00DA3120" w:rsidP="00AC11FF">
            <w:pPr>
              <w:pStyle w:val="ExhibitText"/>
              <w:jc w:val="right"/>
              <w:rPr>
                <w:sz w:val="18"/>
                <w:szCs w:val="18"/>
                <w:lang w:val="en-CA"/>
              </w:rPr>
            </w:pPr>
            <w:r w:rsidRPr="007816B4">
              <w:rPr>
                <w:sz w:val="18"/>
                <w:szCs w:val="18"/>
                <w:lang w:val="en-CA"/>
              </w:rPr>
              <w:t xml:space="preserve">         700</w:t>
            </w:r>
          </w:p>
        </w:tc>
        <w:tc>
          <w:tcPr>
            <w:tcW w:w="1060" w:type="dxa"/>
            <w:hideMark/>
          </w:tcPr>
          <w:p w14:paraId="3782F59F" w14:textId="77777777" w:rsidR="00DA3120" w:rsidRPr="007816B4" w:rsidRDefault="00DA3120" w:rsidP="00AC11FF">
            <w:pPr>
              <w:pStyle w:val="ExhibitText"/>
              <w:jc w:val="right"/>
              <w:rPr>
                <w:sz w:val="18"/>
                <w:szCs w:val="18"/>
                <w:lang w:val="en-CA"/>
              </w:rPr>
            </w:pPr>
            <w:r w:rsidRPr="007816B4">
              <w:rPr>
                <w:sz w:val="18"/>
                <w:szCs w:val="18"/>
                <w:lang w:val="en-CA"/>
              </w:rPr>
              <w:t xml:space="preserve">      1,000</w:t>
            </w:r>
          </w:p>
        </w:tc>
        <w:tc>
          <w:tcPr>
            <w:tcW w:w="1060" w:type="dxa"/>
            <w:hideMark/>
          </w:tcPr>
          <w:p w14:paraId="3615B3C6" w14:textId="77777777" w:rsidR="00DA3120" w:rsidRPr="007816B4" w:rsidRDefault="00DA3120" w:rsidP="00AC11FF">
            <w:pPr>
              <w:pStyle w:val="ExhibitText"/>
              <w:jc w:val="right"/>
              <w:rPr>
                <w:sz w:val="18"/>
                <w:szCs w:val="18"/>
                <w:lang w:val="en-CA"/>
              </w:rPr>
            </w:pPr>
            <w:r w:rsidRPr="007816B4">
              <w:rPr>
                <w:sz w:val="18"/>
                <w:szCs w:val="18"/>
                <w:lang w:val="en-CA"/>
              </w:rPr>
              <w:t xml:space="preserve">      1,400</w:t>
            </w:r>
          </w:p>
        </w:tc>
        <w:tc>
          <w:tcPr>
            <w:tcW w:w="1060" w:type="dxa"/>
            <w:hideMark/>
          </w:tcPr>
          <w:p w14:paraId="799E72B1" w14:textId="77777777" w:rsidR="00DA3120" w:rsidRPr="007816B4" w:rsidRDefault="00DA3120" w:rsidP="00AC11FF">
            <w:pPr>
              <w:pStyle w:val="ExhibitText"/>
              <w:jc w:val="right"/>
              <w:rPr>
                <w:sz w:val="18"/>
                <w:szCs w:val="18"/>
                <w:lang w:val="en-CA"/>
              </w:rPr>
            </w:pPr>
            <w:r w:rsidRPr="007816B4">
              <w:rPr>
                <w:sz w:val="18"/>
                <w:szCs w:val="18"/>
                <w:lang w:val="en-CA"/>
              </w:rPr>
              <w:t xml:space="preserve">      1,800</w:t>
            </w:r>
          </w:p>
        </w:tc>
      </w:tr>
      <w:tr w:rsidR="00DA3120" w:rsidRPr="007816B4" w14:paraId="471B69B4" w14:textId="77777777" w:rsidTr="00AC11FF">
        <w:trPr>
          <w:trHeight w:val="144"/>
          <w:jc w:val="center"/>
        </w:trPr>
        <w:tc>
          <w:tcPr>
            <w:tcW w:w="2080" w:type="dxa"/>
            <w:hideMark/>
          </w:tcPr>
          <w:p w14:paraId="598192BF" w14:textId="77777777" w:rsidR="00DA3120" w:rsidRPr="007816B4" w:rsidRDefault="00DA3120" w:rsidP="00AC11FF">
            <w:pPr>
              <w:pStyle w:val="ExhibitText"/>
              <w:rPr>
                <w:sz w:val="18"/>
                <w:szCs w:val="18"/>
                <w:lang w:val="en-CA"/>
              </w:rPr>
            </w:pPr>
            <w:r w:rsidRPr="007816B4">
              <w:rPr>
                <w:sz w:val="18"/>
                <w:szCs w:val="18"/>
                <w:lang w:val="en-CA"/>
              </w:rPr>
              <w:t>Expected</w:t>
            </w:r>
          </w:p>
        </w:tc>
        <w:tc>
          <w:tcPr>
            <w:tcW w:w="960" w:type="dxa"/>
            <w:hideMark/>
          </w:tcPr>
          <w:p w14:paraId="5AE79CA0" w14:textId="77777777" w:rsidR="00DA3120" w:rsidRPr="007816B4" w:rsidRDefault="00DA3120" w:rsidP="00AC11FF">
            <w:pPr>
              <w:pStyle w:val="ExhibitText"/>
              <w:rPr>
                <w:sz w:val="18"/>
                <w:szCs w:val="18"/>
                <w:lang w:val="en-CA"/>
              </w:rPr>
            </w:pPr>
            <w:r w:rsidRPr="007816B4">
              <w:rPr>
                <w:sz w:val="18"/>
                <w:szCs w:val="18"/>
                <w:lang w:val="en-CA"/>
              </w:rPr>
              <w:t> </w:t>
            </w:r>
          </w:p>
        </w:tc>
        <w:tc>
          <w:tcPr>
            <w:tcW w:w="1060" w:type="dxa"/>
            <w:hideMark/>
          </w:tcPr>
          <w:p w14:paraId="02708DE8" w14:textId="77777777" w:rsidR="00DA3120" w:rsidRPr="007816B4" w:rsidRDefault="00DA3120" w:rsidP="00AC11FF">
            <w:pPr>
              <w:pStyle w:val="ExhibitText"/>
              <w:jc w:val="right"/>
              <w:rPr>
                <w:sz w:val="18"/>
                <w:szCs w:val="18"/>
                <w:lang w:val="en-CA"/>
              </w:rPr>
            </w:pPr>
            <w:r w:rsidRPr="007816B4">
              <w:rPr>
                <w:sz w:val="18"/>
                <w:szCs w:val="18"/>
                <w:lang w:val="en-CA"/>
              </w:rPr>
              <w:t xml:space="preserve">      1,000</w:t>
            </w:r>
          </w:p>
        </w:tc>
        <w:tc>
          <w:tcPr>
            <w:tcW w:w="1060" w:type="dxa"/>
            <w:hideMark/>
          </w:tcPr>
          <w:p w14:paraId="3300A059" w14:textId="77777777" w:rsidR="00DA3120" w:rsidRPr="007816B4" w:rsidRDefault="00DA3120" w:rsidP="00AC11FF">
            <w:pPr>
              <w:pStyle w:val="ExhibitText"/>
              <w:jc w:val="right"/>
              <w:rPr>
                <w:sz w:val="18"/>
                <w:szCs w:val="18"/>
                <w:lang w:val="en-CA"/>
              </w:rPr>
            </w:pPr>
            <w:r w:rsidRPr="007816B4">
              <w:rPr>
                <w:sz w:val="18"/>
                <w:szCs w:val="18"/>
                <w:lang w:val="en-CA"/>
              </w:rPr>
              <w:t xml:space="preserve">      1,400</w:t>
            </w:r>
          </w:p>
        </w:tc>
        <w:tc>
          <w:tcPr>
            <w:tcW w:w="1060" w:type="dxa"/>
            <w:hideMark/>
          </w:tcPr>
          <w:p w14:paraId="3A145079" w14:textId="77777777" w:rsidR="00DA3120" w:rsidRPr="007816B4" w:rsidRDefault="00DA3120" w:rsidP="00AC11FF">
            <w:pPr>
              <w:pStyle w:val="ExhibitText"/>
              <w:jc w:val="right"/>
              <w:rPr>
                <w:sz w:val="18"/>
                <w:szCs w:val="18"/>
                <w:lang w:val="en-CA"/>
              </w:rPr>
            </w:pPr>
            <w:r w:rsidRPr="007816B4">
              <w:rPr>
                <w:sz w:val="18"/>
                <w:szCs w:val="18"/>
                <w:lang w:val="en-CA"/>
              </w:rPr>
              <w:t xml:space="preserve">      1,800</w:t>
            </w:r>
          </w:p>
        </w:tc>
        <w:tc>
          <w:tcPr>
            <w:tcW w:w="1060" w:type="dxa"/>
            <w:hideMark/>
          </w:tcPr>
          <w:p w14:paraId="38601025" w14:textId="77777777" w:rsidR="00DA3120" w:rsidRPr="007816B4" w:rsidRDefault="00DA3120" w:rsidP="00AC11FF">
            <w:pPr>
              <w:pStyle w:val="ExhibitText"/>
              <w:jc w:val="right"/>
              <w:rPr>
                <w:sz w:val="18"/>
                <w:szCs w:val="18"/>
                <w:lang w:val="en-CA"/>
              </w:rPr>
            </w:pPr>
            <w:r w:rsidRPr="007816B4">
              <w:rPr>
                <w:sz w:val="18"/>
                <w:szCs w:val="18"/>
                <w:lang w:val="en-CA"/>
              </w:rPr>
              <w:t xml:space="preserve">      2,200</w:t>
            </w:r>
          </w:p>
        </w:tc>
        <w:tc>
          <w:tcPr>
            <w:tcW w:w="1060" w:type="dxa"/>
            <w:hideMark/>
          </w:tcPr>
          <w:p w14:paraId="58581B47" w14:textId="77777777" w:rsidR="00DA3120" w:rsidRPr="007816B4" w:rsidRDefault="00DA3120" w:rsidP="00AC11FF">
            <w:pPr>
              <w:pStyle w:val="ExhibitText"/>
              <w:jc w:val="right"/>
              <w:rPr>
                <w:sz w:val="18"/>
                <w:szCs w:val="18"/>
                <w:lang w:val="en-CA"/>
              </w:rPr>
            </w:pPr>
            <w:r w:rsidRPr="007816B4">
              <w:rPr>
                <w:sz w:val="18"/>
                <w:szCs w:val="18"/>
                <w:lang w:val="en-CA"/>
              </w:rPr>
              <w:t xml:space="preserve">      2,400</w:t>
            </w:r>
          </w:p>
        </w:tc>
      </w:tr>
      <w:tr w:rsidR="00DA3120" w:rsidRPr="007816B4" w14:paraId="50DF3638" w14:textId="77777777" w:rsidTr="00AC11FF">
        <w:trPr>
          <w:trHeight w:val="144"/>
          <w:jc w:val="center"/>
        </w:trPr>
        <w:tc>
          <w:tcPr>
            <w:tcW w:w="2080" w:type="dxa"/>
            <w:hideMark/>
          </w:tcPr>
          <w:p w14:paraId="01B30259" w14:textId="77777777" w:rsidR="00DA3120" w:rsidRPr="007816B4" w:rsidRDefault="00DA3120" w:rsidP="00AC11FF">
            <w:pPr>
              <w:pStyle w:val="ExhibitText"/>
              <w:rPr>
                <w:sz w:val="18"/>
                <w:szCs w:val="18"/>
                <w:lang w:val="en-CA"/>
              </w:rPr>
            </w:pPr>
            <w:r w:rsidRPr="007816B4">
              <w:rPr>
                <w:sz w:val="18"/>
                <w:szCs w:val="18"/>
                <w:lang w:val="en-CA"/>
              </w:rPr>
              <w:t>High</w:t>
            </w:r>
          </w:p>
        </w:tc>
        <w:tc>
          <w:tcPr>
            <w:tcW w:w="960" w:type="dxa"/>
            <w:hideMark/>
          </w:tcPr>
          <w:p w14:paraId="4B6DCFA5" w14:textId="77777777" w:rsidR="00DA3120" w:rsidRPr="007816B4" w:rsidRDefault="00DA3120" w:rsidP="00AC11FF">
            <w:pPr>
              <w:pStyle w:val="ExhibitText"/>
              <w:rPr>
                <w:sz w:val="18"/>
                <w:szCs w:val="18"/>
                <w:lang w:val="en-CA"/>
              </w:rPr>
            </w:pPr>
            <w:r w:rsidRPr="007816B4">
              <w:rPr>
                <w:sz w:val="18"/>
                <w:szCs w:val="18"/>
                <w:lang w:val="en-CA"/>
              </w:rPr>
              <w:t> </w:t>
            </w:r>
          </w:p>
        </w:tc>
        <w:tc>
          <w:tcPr>
            <w:tcW w:w="1060" w:type="dxa"/>
            <w:hideMark/>
          </w:tcPr>
          <w:p w14:paraId="4EC3D970" w14:textId="77777777" w:rsidR="00DA3120" w:rsidRPr="007816B4" w:rsidRDefault="00DA3120" w:rsidP="00AC11FF">
            <w:pPr>
              <w:pStyle w:val="ExhibitText"/>
              <w:jc w:val="right"/>
              <w:rPr>
                <w:sz w:val="18"/>
                <w:szCs w:val="18"/>
                <w:lang w:val="en-CA"/>
              </w:rPr>
            </w:pPr>
            <w:r w:rsidRPr="007816B4">
              <w:rPr>
                <w:sz w:val="18"/>
                <w:szCs w:val="18"/>
                <w:lang w:val="en-CA"/>
              </w:rPr>
              <w:t xml:space="preserve">      1,800</w:t>
            </w:r>
          </w:p>
        </w:tc>
        <w:tc>
          <w:tcPr>
            <w:tcW w:w="1060" w:type="dxa"/>
            <w:hideMark/>
          </w:tcPr>
          <w:p w14:paraId="4A798F21" w14:textId="77777777" w:rsidR="00DA3120" w:rsidRPr="007816B4" w:rsidRDefault="00DA3120" w:rsidP="00AC11FF">
            <w:pPr>
              <w:pStyle w:val="ExhibitText"/>
              <w:jc w:val="right"/>
              <w:rPr>
                <w:sz w:val="18"/>
                <w:szCs w:val="18"/>
                <w:lang w:val="en-CA"/>
              </w:rPr>
            </w:pPr>
            <w:r w:rsidRPr="007816B4">
              <w:rPr>
                <w:sz w:val="18"/>
                <w:szCs w:val="18"/>
                <w:lang w:val="en-CA"/>
              </w:rPr>
              <w:t xml:space="preserve">      2,200</w:t>
            </w:r>
          </w:p>
        </w:tc>
        <w:tc>
          <w:tcPr>
            <w:tcW w:w="1060" w:type="dxa"/>
            <w:hideMark/>
          </w:tcPr>
          <w:p w14:paraId="3474BEFA" w14:textId="77777777" w:rsidR="00DA3120" w:rsidRPr="007816B4" w:rsidRDefault="00DA3120" w:rsidP="00AC11FF">
            <w:pPr>
              <w:pStyle w:val="ExhibitText"/>
              <w:jc w:val="right"/>
              <w:rPr>
                <w:sz w:val="18"/>
                <w:szCs w:val="18"/>
                <w:lang w:val="en-CA"/>
              </w:rPr>
            </w:pPr>
            <w:r w:rsidRPr="007816B4">
              <w:rPr>
                <w:sz w:val="18"/>
                <w:szCs w:val="18"/>
                <w:lang w:val="en-CA"/>
              </w:rPr>
              <w:t xml:space="preserve">      2,400</w:t>
            </w:r>
          </w:p>
        </w:tc>
        <w:tc>
          <w:tcPr>
            <w:tcW w:w="1060" w:type="dxa"/>
            <w:hideMark/>
          </w:tcPr>
          <w:p w14:paraId="7DCF5C6D" w14:textId="77777777" w:rsidR="00DA3120" w:rsidRPr="007816B4" w:rsidRDefault="00DA3120" w:rsidP="00AC11FF">
            <w:pPr>
              <w:pStyle w:val="ExhibitText"/>
              <w:jc w:val="right"/>
              <w:rPr>
                <w:sz w:val="18"/>
                <w:szCs w:val="18"/>
                <w:lang w:val="en-CA"/>
              </w:rPr>
            </w:pPr>
            <w:r w:rsidRPr="007816B4">
              <w:rPr>
                <w:sz w:val="18"/>
                <w:szCs w:val="18"/>
                <w:lang w:val="en-CA"/>
              </w:rPr>
              <w:t xml:space="preserve">      2,600</w:t>
            </w:r>
          </w:p>
        </w:tc>
        <w:tc>
          <w:tcPr>
            <w:tcW w:w="1060" w:type="dxa"/>
            <w:hideMark/>
          </w:tcPr>
          <w:p w14:paraId="1719B91C" w14:textId="77777777" w:rsidR="00DA3120" w:rsidRPr="007816B4" w:rsidRDefault="00DA3120" w:rsidP="00AC11FF">
            <w:pPr>
              <w:pStyle w:val="ExhibitText"/>
              <w:jc w:val="right"/>
              <w:rPr>
                <w:sz w:val="18"/>
                <w:szCs w:val="18"/>
                <w:lang w:val="en-CA"/>
              </w:rPr>
            </w:pPr>
            <w:r w:rsidRPr="007816B4">
              <w:rPr>
                <w:sz w:val="18"/>
                <w:szCs w:val="18"/>
                <w:lang w:val="en-CA"/>
              </w:rPr>
              <w:t xml:space="preserve">      2,800</w:t>
            </w:r>
          </w:p>
        </w:tc>
      </w:tr>
      <w:tr w:rsidR="00DA3120" w:rsidRPr="007816B4" w14:paraId="30BF3EFA" w14:textId="77777777" w:rsidTr="00AC11FF">
        <w:trPr>
          <w:trHeight w:val="144"/>
          <w:jc w:val="center"/>
        </w:trPr>
        <w:tc>
          <w:tcPr>
            <w:tcW w:w="8340" w:type="dxa"/>
            <w:gridSpan w:val="7"/>
            <w:hideMark/>
          </w:tcPr>
          <w:p w14:paraId="1E2FF463" w14:textId="77777777" w:rsidR="00DA3120" w:rsidRPr="007816B4" w:rsidRDefault="00DA3120" w:rsidP="00AC11FF">
            <w:pPr>
              <w:pStyle w:val="ExhibitText"/>
              <w:jc w:val="left"/>
              <w:rPr>
                <w:sz w:val="18"/>
                <w:szCs w:val="18"/>
                <w:lang w:val="en-CA"/>
              </w:rPr>
            </w:pPr>
            <w:r w:rsidRPr="007816B4">
              <w:rPr>
                <w:sz w:val="18"/>
                <w:szCs w:val="18"/>
                <w:lang w:val="en-CA"/>
              </w:rPr>
              <w:t>Revenue Based on Expected Demand and Price Per Flask</w:t>
            </w:r>
          </w:p>
        </w:tc>
      </w:tr>
      <w:tr w:rsidR="00DA3120" w:rsidRPr="007816B4" w14:paraId="24D0BD56" w14:textId="77777777" w:rsidTr="00CE3A65">
        <w:trPr>
          <w:trHeight w:val="242"/>
          <w:jc w:val="center"/>
        </w:trPr>
        <w:tc>
          <w:tcPr>
            <w:tcW w:w="2080" w:type="dxa"/>
            <w:hideMark/>
          </w:tcPr>
          <w:p w14:paraId="33DFBB76" w14:textId="77777777" w:rsidR="00DA3120" w:rsidRPr="007816B4" w:rsidRDefault="00DA3120" w:rsidP="00AC11FF">
            <w:pPr>
              <w:pStyle w:val="ExhibitText"/>
              <w:rPr>
                <w:sz w:val="18"/>
                <w:szCs w:val="18"/>
                <w:lang w:val="en-CA"/>
              </w:rPr>
            </w:pPr>
            <w:r w:rsidRPr="007816B4">
              <w:rPr>
                <w:sz w:val="18"/>
                <w:szCs w:val="18"/>
                <w:lang w:val="en-CA"/>
              </w:rPr>
              <w:t>Low</w:t>
            </w:r>
          </w:p>
        </w:tc>
        <w:tc>
          <w:tcPr>
            <w:tcW w:w="960" w:type="dxa"/>
            <w:hideMark/>
          </w:tcPr>
          <w:p w14:paraId="29277203" w14:textId="77777777" w:rsidR="00DA3120" w:rsidRPr="007816B4" w:rsidRDefault="00DA3120" w:rsidP="00CE3A65">
            <w:pPr>
              <w:pStyle w:val="ExhibitText"/>
              <w:jc w:val="right"/>
              <w:rPr>
                <w:sz w:val="18"/>
                <w:szCs w:val="18"/>
                <w:lang w:val="en-CA"/>
              </w:rPr>
            </w:pPr>
            <w:r w:rsidRPr="007816B4">
              <w:rPr>
                <w:sz w:val="18"/>
                <w:szCs w:val="18"/>
                <w:lang w:val="en-CA"/>
              </w:rPr>
              <w:t>$15</w:t>
            </w:r>
          </w:p>
        </w:tc>
        <w:tc>
          <w:tcPr>
            <w:tcW w:w="1060" w:type="dxa"/>
            <w:hideMark/>
          </w:tcPr>
          <w:p w14:paraId="694DB641" w14:textId="77777777" w:rsidR="00DA3120" w:rsidRPr="007816B4" w:rsidRDefault="00DA3120" w:rsidP="00AC11FF">
            <w:pPr>
              <w:pStyle w:val="ExhibitText"/>
              <w:jc w:val="right"/>
              <w:rPr>
                <w:sz w:val="18"/>
                <w:szCs w:val="18"/>
                <w:lang w:val="en-CA"/>
              </w:rPr>
            </w:pPr>
            <w:r w:rsidRPr="007816B4">
              <w:rPr>
                <w:sz w:val="18"/>
                <w:szCs w:val="18"/>
                <w:lang w:val="en-CA"/>
              </w:rPr>
              <w:t>$7,500</w:t>
            </w:r>
          </w:p>
        </w:tc>
        <w:tc>
          <w:tcPr>
            <w:tcW w:w="1060" w:type="dxa"/>
            <w:hideMark/>
          </w:tcPr>
          <w:p w14:paraId="6555BB4B" w14:textId="77777777" w:rsidR="00DA3120" w:rsidRPr="007816B4" w:rsidRDefault="00DA3120" w:rsidP="00AC11FF">
            <w:pPr>
              <w:pStyle w:val="ExhibitText"/>
              <w:jc w:val="right"/>
              <w:rPr>
                <w:sz w:val="18"/>
                <w:szCs w:val="18"/>
                <w:lang w:val="en-CA"/>
              </w:rPr>
            </w:pPr>
            <w:r w:rsidRPr="007816B4">
              <w:rPr>
                <w:sz w:val="18"/>
                <w:szCs w:val="18"/>
                <w:lang w:val="en-CA"/>
              </w:rPr>
              <w:t>$10,500</w:t>
            </w:r>
          </w:p>
        </w:tc>
        <w:tc>
          <w:tcPr>
            <w:tcW w:w="1060" w:type="dxa"/>
            <w:hideMark/>
          </w:tcPr>
          <w:p w14:paraId="24FF2ABA" w14:textId="77777777" w:rsidR="00DA3120" w:rsidRPr="007816B4" w:rsidRDefault="00DA3120" w:rsidP="00AC11FF">
            <w:pPr>
              <w:pStyle w:val="ExhibitText"/>
              <w:jc w:val="right"/>
              <w:rPr>
                <w:sz w:val="18"/>
                <w:szCs w:val="18"/>
                <w:lang w:val="en-CA"/>
              </w:rPr>
            </w:pPr>
            <w:r w:rsidRPr="007816B4">
              <w:rPr>
                <w:sz w:val="18"/>
                <w:szCs w:val="18"/>
                <w:lang w:val="en-CA"/>
              </w:rPr>
              <w:t>$15,000</w:t>
            </w:r>
          </w:p>
        </w:tc>
        <w:tc>
          <w:tcPr>
            <w:tcW w:w="1060" w:type="dxa"/>
            <w:hideMark/>
          </w:tcPr>
          <w:p w14:paraId="6C16EC6C" w14:textId="77777777" w:rsidR="00DA3120" w:rsidRPr="007816B4" w:rsidRDefault="00DA3120" w:rsidP="00AC11FF">
            <w:pPr>
              <w:pStyle w:val="ExhibitText"/>
              <w:jc w:val="right"/>
              <w:rPr>
                <w:sz w:val="18"/>
                <w:szCs w:val="18"/>
                <w:lang w:val="en-CA"/>
              </w:rPr>
            </w:pPr>
            <w:r w:rsidRPr="007816B4">
              <w:rPr>
                <w:sz w:val="18"/>
                <w:szCs w:val="18"/>
                <w:lang w:val="en-CA"/>
              </w:rPr>
              <w:t>$21,000</w:t>
            </w:r>
          </w:p>
        </w:tc>
        <w:tc>
          <w:tcPr>
            <w:tcW w:w="1060" w:type="dxa"/>
            <w:hideMark/>
          </w:tcPr>
          <w:p w14:paraId="4678D6AE" w14:textId="77777777" w:rsidR="00DA3120" w:rsidRPr="007816B4" w:rsidRDefault="00DA3120" w:rsidP="00AC11FF">
            <w:pPr>
              <w:pStyle w:val="ExhibitText"/>
              <w:jc w:val="right"/>
              <w:rPr>
                <w:sz w:val="18"/>
                <w:szCs w:val="18"/>
                <w:lang w:val="en-CA"/>
              </w:rPr>
            </w:pPr>
            <w:r w:rsidRPr="007816B4">
              <w:rPr>
                <w:sz w:val="18"/>
                <w:szCs w:val="18"/>
                <w:lang w:val="en-CA"/>
              </w:rPr>
              <w:t>$27,000</w:t>
            </w:r>
          </w:p>
        </w:tc>
      </w:tr>
      <w:tr w:rsidR="00DA3120" w:rsidRPr="007816B4" w14:paraId="310F992E" w14:textId="77777777" w:rsidTr="00AC11FF">
        <w:trPr>
          <w:trHeight w:val="144"/>
          <w:jc w:val="center"/>
        </w:trPr>
        <w:tc>
          <w:tcPr>
            <w:tcW w:w="2080" w:type="dxa"/>
            <w:hideMark/>
          </w:tcPr>
          <w:p w14:paraId="76FC43D6" w14:textId="77777777" w:rsidR="00DA3120" w:rsidRPr="007816B4" w:rsidRDefault="00DA3120" w:rsidP="00AC11FF">
            <w:pPr>
              <w:pStyle w:val="ExhibitText"/>
              <w:rPr>
                <w:sz w:val="18"/>
                <w:szCs w:val="18"/>
                <w:lang w:val="en-CA"/>
              </w:rPr>
            </w:pPr>
            <w:r w:rsidRPr="007816B4">
              <w:rPr>
                <w:sz w:val="18"/>
                <w:szCs w:val="18"/>
                <w:lang w:val="en-CA"/>
              </w:rPr>
              <w:t>Expected</w:t>
            </w:r>
          </w:p>
        </w:tc>
        <w:tc>
          <w:tcPr>
            <w:tcW w:w="960" w:type="dxa"/>
            <w:hideMark/>
          </w:tcPr>
          <w:p w14:paraId="46C36067" w14:textId="77777777" w:rsidR="00DA3120" w:rsidRPr="007816B4" w:rsidRDefault="00DA3120" w:rsidP="00CE3A65">
            <w:pPr>
              <w:pStyle w:val="ExhibitText"/>
              <w:jc w:val="right"/>
              <w:rPr>
                <w:sz w:val="18"/>
                <w:szCs w:val="18"/>
                <w:lang w:val="en-CA"/>
              </w:rPr>
            </w:pPr>
            <w:r w:rsidRPr="007816B4">
              <w:rPr>
                <w:sz w:val="18"/>
                <w:szCs w:val="18"/>
                <w:lang w:val="en-CA"/>
              </w:rPr>
              <w:t>$25</w:t>
            </w:r>
          </w:p>
        </w:tc>
        <w:tc>
          <w:tcPr>
            <w:tcW w:w="1060" w:type="dxa"/>
            <w:hideMark/>
          </w:tcPr>
          <w:p w14:paraId="50562C67" w14:textId="77777777" w:rsidR="00DA3120" w:rsidRPr="007816B4" w:rsidRDefault="00DA3120" w:rsidP="00AC11FF">
            <w:pPr>
              <w:pStyle w:val="ExhibitText"/>
              <w:jc w:val="right"/>
              <w:rPr>
                <w:sz w:val="18"/>
                <w:szCs w:val="18"/>
                <w:lang w:val="en-CA"/>
              </w:rPr>
            </w:pPr>
            <w:r w:rsidRPr="007816B4">
              <w:rPr>
                <w:sz w:val="18"/>
                <w:szCs w:val="18"/>
                <w:lang w:val="en-CA"/>
              </w:rPr>
              <w:t>$25,000</w:t>
            </w:r>
          </w:p>
        </w:tc>
        <w:tc>
          <w:tcPr>
            <w:tcW w:w="1060" w:type="dxa"/>
            <w:hideMark/>
          </w:tcPr>
          <w:p w14:paraId="14F25538" w14:textId="77777777" w:rsidR="00DA3120" w:rsidRPr="007816B4" w:rsidRDefault="00DA3120" w:rsidP="00AC11FF">
            <w:pPr>
              <w:pStyle w:val="ExhibitText"/>
              <w:jc w:val="right"/>
              <w:rPr>
                <w:sz w:val="18"/>
                <w:szCs w:val="18"/>
                <w:lang w:val="en-CA"/>
              </w:rPr>
            </w:pPr>
            <w:r w:rsidRPr="007816B4">
              <w:rPr>
                <w:sz w:val="18"/>
                <w:szCs w:val="18"/>
                <w:lang w:val="en-CA"/>
              </w:rPr>
              <w:t>$35,000</w:t>
            </w:r>
          </w:p>
        </w:tc>
        <w:tc>
          <w:tcPr>
            <w:tcW w:w="1060" w:type="dxa"/>
            <w:hideMark/>
          </w:tcPr>
          <w:p w14:paraId="2FBC0B1A" w14:textId="77777777" w:rsidR="00DA3120" w:rsidRPr="007816B4" w:rsidRDefault="00DA3120" w:rsidP="00AC11FF">
            <w:pPr>
              <w:pStyle w:val="ExhibitText"/>
              <w:jc w:val="right"/>
              <w:rPr>
                <w:sz w:val="18"/>
                <w:szCs w:val="18"/>
                <w:lang w:val="en-CA"/>
              </w:rPr>
            </w:pPr>
            <w:r w:rsidRPr="007816B4">
              <w:rPr>
                <w:sz w:val="18"/>
                <w:szCs w:val="18"/>
                <w:lang w:val="en-CA"/>
              </w:rPr>
              <w:t>$45,000</w:t>
            </w:r>
          </w:p>
        </w:tc>
        <w:tc>
          <w:tcPr>
            <w:tcW w:w="1060" w:type="dxa"/>
            <w:hideMark/>
          </w:tcPr>
          <w:p w14:paraId="5C02C267" w14:textId="77777777" w:rsidR="00DA3120" w:rsidRPr="007816B4" w:rsidRDefault="00DA3120" w:rsidP="00AC11FF">
            <w:pPr>
              <w:pStyle w:val="ExhibitText"/>
              <w:jc w:val="right"/>
              <w:rPr>
                <w:sz w:val="18"/>
                <w:szCs w:val="18"/>
                <w:lang w:val="en-CA"/>
              </w:rPr>
            </w:pPr>
            <w:r w:rsidRPr="007816B4">
              <w:rPr>
                <w:sz w:val="18"/>
                <w:szCs w:val="18"/>
                <w:lang w:val="en-CA"/>
              </w:rPr>
              <w:t>$55,000</w:t>
            </w:r>
          </w:p>
        </w:tc>
        <w:tc>
          <w:tcPr>
            <w:tcW w:w="1060" w:type="dxa"/>
            <w:hideMark/>
          </w:tcPr>
          <w:p w14:paraId="70E8E113" w14:textId="77777777" w:rsidR="00DA3120" w:rsidRPr="007816B4" w:rsidRDefault="00DA3120" w:rsidP="00AC11FF">
            <w:pPr>
              <w:pStyle w:val="ExhibitText"/>
              <w:jc w:val="right"/>
              <w:rPr>
                <w:sz w:val="18"/>
                <w:szCs w:val="18"/>
                <w:lang w:val="en-CA"/>
              </w:rPr>
            </w:pPr>
            <w:r w:rsidRPr="007816B4">
              <w:rPr>
                <w:sz w:val="18"/>
                <w:szCs w:val="18"/>
                <w:lang w:val="en-CA"/>
              </w:rPr>
              <w:t>$60,000</w:t>
            </w:r>
          </w:p>
        </w:tc>
      </w:tr>
      <w:tr w:rsidR="00DA3120" w:rsidRPr="007816B4" w14:paraId="4AC2C11E" w14:textId="77777777" w:rsidTr="00AC11FF">
        <w:trPr>
          <w:trHeight w:val="144"/>
          <w:jc w:val="center"/>
        </w:trPr>
        <w:tc>
          <w:tcPr>
            <w:tcW w:w="2080" w:type="dxa"/>
            <w:hideMark/>
          </w:tcPr>
          <w:p w14:paraId="3E74362E" w14:textId="77777777" w:rsidR="00DA3120" w:rsidRPr="007816B4" w:rsidRDefault="00DA3120" w:rsidP="00AC11FF">
            <w:pPr>
              <w:pStyle w:val="ExhibitText"/>
              <w:rPr>
                <w:sz w:val="18"/>
                <w:szCs w:val="18"/>
                <w:lang w:val="en-CA"/>
              </w:rPr>
            </w:pPr>
            <w:r w:rsidRPr="007816B4">
              <w:rPr>
                <w:sz w:val="18"/>
                <w:szCs w:val="18"/>
                <w:lang w:val="en-CA"/>
              </w:rPr>
              <w:t>High</w:t>
            </w:r>
          </w:p>
        </w:tc>
        <w:tc>
          <w:tcPr>
            <w:tcW w:w="960" w:type="dxa"/>
            <w:hideMark/>
          </w:tcPr>
          <w:p w14:paraId="0B4F4C98" w14:textId="77777777" w:rsidR="00DA3120" w:rsidRPr="007816B4" w:rsidRDefault="00DA3120" w:rsidP="00CE3A65">
            <w:pPr>
              <w:pStyle w:val="ExhibitText"/>
              <w:jc w:val="right"/>
              <w:rPr>
                <w:sz w:val="18"/>
                <w:szCs w:val="18"/>
                <w:lang w:val="en-CA"/>
              </w:rPr>
            </w:pPr>
            <w:r w:rsidRPr="007816B4">
              <w:rPr>
                <w:sz w:val="18"/>
                <w:szCs w:val="18"/>
                <w:lang w:val="en-CA"/>
              </w:rPr>
              <w:t>$60</w:t>
            </w:r>
          </w:p>
        </w:tc>
        <w:tc>
          <w:tcPr>
            <w:tcW w:w="1060" w:type="dxa"/>
            <w:hideMark/>
          </w:tcPr>
          <w:p w14:paraId="7C3A1A70" w14:textId="77777777" w:rsidR="00DA3120" w:rsidRPr="007816B4" w:rsidRDefault="00DA3120" w:rsidP="00AC11FF">
            <w:pPr>
              <w:pStyle w:val="ExhibitText"/>
              <w:jc w:val="right"/>
              <w:rPr>
                <w:sz w:val="18"/>
                <w:szCs w:val="18"/>
                <w:lang w:val="en-CA"/>
              </w:rPr>
            </w:pPr>
            <w:r w:rsidRPr="007816B4">
              <w:rPr>
                <w:sz w:val="18"/>
                <w:szCs w:val="18"/>
                <w:lang w:val="en-CA"/>
              </w:rPr>
              <w:t>$108,000</w:t>
            </w:r>
          </w:p>
        </w:tc>
        <w:tc>
          <w:tcPr>
            <w:tcW w:w="1060" w:type="dxa"/>
            <w:hideMark/>
          </w:tcPr>
          <w:p w14:paraId="5C1535DE" w14:textId="77777777" w:rsidR="00DA3120" w:rsidRPr="007816B4" w:rsidRDefault="00DA3120" w:rsidP="00AC11FF">
            <w:pPr>
              <w:pStyle w:val="ExhibitText"/>
              <w:jc w:val="right"/>
              <w:rPr>
                <w:sz w:val="18"/>
                <w:szCs w:val="18"/>
                <w:lang w:val="en-CA"/>
              </w:rPr>
            </w:pPr>
            <w:r w:rsidRPr="007816B4">
              <w:rPr>
                <w:sz w:val="18"/>
                <w:szCs w:val="18"/>
                <w:lang w:val="en-CA"/>
              </w:rPr>
              <w:t>$132,000</w:t>
            </w:r>
          </w:p>
        </w:tc>
        <w:tc>
          <w:tcPr>
            <w:tcW w:w="1060" w:type="dxa"/>
            <w:hideMark/>
          </w:tcPr>
          <w:p w14:paraId="34C0772A" w14:textId="77777777" w:rsidR="00DA3120" w:rsidRPr="007816B4" w:rsidRDefault="00DA3120" w:rsidP="00AC11FF">
            <w:pPr>
              <w:pStyle w:val="ExhibitText"/>
              <w:jc w:val="right"/>
              <w:rPr>
                <w:sz w:val="18"/>
                <w:szCs w:val="18"/>
                <w:lang w:val="en-CA"/>
              </w:rPr>
            </w:pPr>
            <w:r w:rsidRPr="007816B4">
              <w:rPr>
                <w:sz w:val="18"/>
                <w:szCs w:val="18"/>
                <w:lang w:val="en-CA"/>
              </w:rPr>
              <w:t>$144,000</w:t>
            </w:r>
          </w:p>
        </w:tc>
        <w:tc>
          <w:tcPr>
            <w:tcW w:w="1060" w:type="dxa"/>
            <w:hideMark/>
          </w:tcPr>
          <w:p w14:paraId="56A86737" w14:textId="77777777" w:rsidR="00DA3120" w:rsidRPr="007816B4" w:rsidRDefault="00DA3120" w:rsidP="00AC11FF">
            <w:pPr>
              <w:pStyle w:val="ExhibitText"/>
              <w:jc w:val="right"/>
              <w:rPr>
                <w:sz w:val="18"/>
                <w:szCs w:val="18"/>
                <w:lang w:val="en-CA"/>
              </w:rPr>
            </w:pPr>
            <w:r w:rsidRPr="007816B4">
              <w:rPr>
                <w:sz w:val="18"/>
                <w:szCs w:val="18"/>
                <w:lang w:val="en-CA"/>
              </w:rPr>
              <w:t>$156,000</w:t>
            </w:r>
          </w:p>
        </w:tc>
        <w:tc>
          <w:tcPr>
            <w:tcW w:w="1060" w:type="dxa"/>
            <w:hideMark/>
          </w:tcPr>
          <w:p w14:paraId="158C8479" w14:textId="77777777" w:rsidR="00DA3120" w:rsidRPr="007816B4" w:rsidRDefault="00DA3120" w:rsidP="00AC11FF">
            <w:pPr>
              <w:pStyle w:val="ExhibitText"/>
              <w:jc w:val="right"/>
              <w:rPr>
                <w:sz w:val="18"/>
                <w:szCs w:val="18"/>
                <w:lang w:val="en-CA"/>
              </w:rPr>
            </w:pPr>
            <w:r w:rsidRPr="007816B4">
              <w:rPr>
                <w:sz w:val="18"/>
                <w:szCs w:val="18"/>
                <w:lang w:val="en-CA"/>
              </w:rPr>
              <w:t>$168,000</w:t>
            </w:r>
          </w:p>
        </w:tc>
      </w:tr>
    </w:tbl>
    <w:p w14:paraId="2C77675A" w14:textId="77777777" w:rsidR="00DA3120" w:rsidRDefault="00DA3120" w:rsidP="00DA3120">
      <w:pPr>
        <w:pStyle w:val="Footnote"/>
        <w:rPr>
          <w:sz w:val="18"/>
          <w:szCs w:val="18"/>
        </w:rPr>
      </w:pPr>
    </w:p>
    <w:p w14:paraId="7BC4BE29" w14:textId="77777777" w:rsidR="00D274BF" w:rsidRPr="007816B4" w:rsidRDefault="00D274BF" w:rsidP="00DA3120">
      <w:pPr>
        <w:pStyle w:val="Footnote"/>
        <w:rPr>
          <w:sz w:val="18"/>
          <w:szCs w:val="18"/>
        </w:rPr>
      </w:pPr>
    </w:p>
    <w:p w14:paraId="7609096F" w14:textId="11D296B9" w:rsidR="00DA3120" w:rsidRPr="007816B4" w:rsidRDefault="00DA3120" w:rsidP="00DA3120">
      <w:pPr>
        <w:pStyle w:val="ExhibitText"/>
        <w:rPr>
          <w:color w:val="000000"/>
          <w:sz w:val="18"/>
          <w:szCs w:val="18"/>
          <w:lang w:val="en-CA"/>
        </w:rPr>
      </w:pPr>
      <w:r w:rsidRPr="007816B4">
        <w:rPr>
          <w:b/>
          <w:sz w:val="18"/>
          <w:szCs w:val="18"/>
          <w:lang w:val="en-CA"/>
        </w:rPr>
        <w:t>Plant Sales</w:t>
      </w:r>
      <w:r w:rsidR="000E3445">
        <w:rPr>
          <w:b/>
          <w:sz w:val="18"/>
          <w:szCs w:val="18"/>
          <w:lang w:val="en-CA"/>
        </w:rPr>
        <w:t xml:space="preserve">: </w:t>
      </w:r>
      <w:r w:rsidRPr="007816B4">
        <w:rPr>
          <w:sz w:val="18"/>
          <w:szCs w:val="18"/>
          <w:lang w:val="en-CA"/>
        </w:rPr>
        <w:t xml:space="preserve">The OSPF historically sold 250 plants per year at $20 per plant. This </w:t>
      </w:r>
      <w:r w:rsidR="004641CC">
        <w:rPr>
          <w:sz w:val="18"/>
          <w:szCs w:val="18"/>
          <w:lang w:val="en-CA"/>
        </w:rPr>
        <w:t xml:space="preserve">piece of data </w:t>
      </w:r>
      <w:r w:rsidRPr="007816B4">
        <w:rPr>
          <w:sz w:val="18"/>
          <w:szCs w:val="18"/>
          <w:lang w:val="en-CA"/>
        </w:rPr>
        <w:t xml:space="preserve">was the baseline that </w:t>
      </w:r>
      <w:r w:rsidR="00CE3A65">
        <w:rPr>
          <w:sz w:val="18"/>
          <w:szCs w:val="18"/>
          <w:lang w:val="en-CA"/>
        </w:rPr>
        <w:t xml:space="preserve">the </w:t>
      </w:r>
      <w:r w:rsidRPr="007816B4">
        <w:rPr>
          <w:sz w:val="18"/>
          <w:szCs w:val="18"/>
          <w:lang w:val="en-CA"/>
        </w:rPr>
        <w:t xml:space="preserve">OSPF was using for revenue projections in this area, although the hope was that this number would rise as growing space was added. There was some risk </w:t>
      </w:r>
      <w:r w:rsidR="004641CC">
        <w:rPr>
          <w:sz w:val="18"/>
          <w:szCs w:val="18"/>
          <w:lang w:val="en-CA"/>
        </w:rPr>
        <w:t xml:space="preserve">involved </w:t>
      </w:r>
      <w:r w:rsidRPr="007816B4">
        <w:rPr>
          <w:sz w:val="18"/>
          <w:szCs w:val="18"/>
          <w:lang w:val="en-CA"/>
        </w:rPr>
        <w:t xml:space="preserve">in growing and selling plants </w:t>
      </w:r>
      <w:r w:rsidR="004641CC">
        <w:rPr>
          <w:sz w:val="18"/>
          <w:szCs w:val="18"/>
          <w:lang w:val="en-CA"/>
        </w:rPr>
        <w:t>since</w:t>
      </w:r>
      <w:r w:rsidRPr="007816B4">
        <w:rPr>
          <w:sz w:val="18"/>
          <w:szCs w:val="18"/>
          <w:lang w:val="en-CA"/>
        </w:rPr>
        <w:t xml:space="preserve"> </w:t>
      </w:r>
      <w:r w:rsidRPr="007816B4">
        <w:rPr>
          <w:color w:val="000000"/>
          <w:sz w:val="18"/>
          <w:szCs w:val="18"/>
          <w:lang w:val="en-CA"/>
        </w:rPr>
        <w:t>it t</w:t>
      </w:r>
      <w:r w:rsidR="00CE3A65">
        <w:rPr>
          <w:color w:val="000000"/>
          <w:sz w:val="18"/>
          <w:szCs w:val="18"/>
          <w:lang w:val="en-CA"/>
        </w:rPr>
        <w:t>ook</w:t>
      </w:r>
      <w:r w:rsidRPr="007816B4">
        <w:rPr>
          <w:color w:val="000000"/>
          <w:sz w:val="18"/>
          <w:szCs w:val="18"/>
          <w:lang w:val="en-CA"/>
        </w:rPr>
        <w:t xml:space="preserve"> two to three years to grow an orchid to co</w:t>
      </w:r>
      <w:r w:rsidR="00CE3A65">
        <w:rPr>
          <w:color w:val="000000"/>
          <w:sz w:val="18"/>
          <w:szCs w:val="18"/>
          <w:lang w:val="en-CA"/>
        </w:rPr>
        <w:t>mmercially viable size, and it wa</w:t>
      </w:r>
      <w:r w:rsidRPr="007816B4">
        <w:rPr>
          <w:color w:val="000000"/>
          <w:sz w:val="18"/>
          <w:szCs w:val="18"/>
          <w:lang w:val="en-CA"/>
        </w:rPr>
        <w:t>s difficult to predict the popularity of specific plant species several years down the road. Grocery stores were selling generic orchids in the range of $25 per plant</w:t>
      </w:r>
      <w:r w:rsidR="004641CC">
        <w:rPr>
          <w:color w:val="000000"/>
          <w:sz w:val="18"/>
          <w:szCs w:val="18"/>
          <w:lang w:val="en-CA"/>
        </w:rPr>
        <w:t>,</w:t>
      </w:r>
      <w:r w:rsidRPr="007816B4">
        <w:rPr>
          <w:color w:val="000000"/>
          <w:sz w:val="18"/>
          <w:szCs w:val="18"/>
          <w:lang w:val="en-CA"/>
        </w:rPr>
        <w:t xml:space="preserve"> and Nixon felt that the rare species of orchids from</w:t>
      </w:r>
      <w:r w:rsidR="00CE3A65">
        <w:rPr>
          <w:color w:val="000000"/>
          <w:sz w:val="18"/>
          <w:szCs w:val="18"/>
          <w:lang w:val="en-CA"/>
        </w:rPr>
        <w:t xml:space="preserve"> the</w:t>
      </w:r>
      <w:r w:rsidRPr="007816B4">
        <w:rPr>
          <w:color w:val="000000"/>
          <w:sz w:val="18"/>
          <w:szCs w:val="18"/>
          <w:lang w:val="en-CA"/>
        </w:rPr>
        <w:t xml:space="preserve"> OSPF might be able to sell at twice that price.</w:t>
      </w:r>
    </w:p>
    <w:p w14:paraId="53BBD205" w14:textId="77777777" w:rsidR="00DA3120" w:rsidRDefault="00DA3120" w:rsidP="00DA3120">
      <w:pPr>
        <w:pStyle w:val="ExhibitText"/>
        <w:rPr>
          <w:sz w:val="18"/>
          <w:szCs w:val="18"/>
          <w:lang w:val="en-CA"/>
        </w:rPr>
      </w:pPr>
    </w:p>
    <w:p w14:paraId="6774FCD4" w14:textId="77777777" w:rsidR="00D274BF" w:rsidRPr="007816B4" w:rsidRDefault="00D274BF" w:rsidP="00DA3120">
      <w:pPr>
        <w:pStyle w:val="ExhibitText"/>
        <w:rPr>
          <w:sz w:val="18"/>
          <w:szCs w:val="18"/>
          <w:lang w:val="en-CA"/>
        </w:rPr>
      </w:pPr>
    </w:p>
    <w:p w14:paraId="042C4AC7" w14:textId="77777777" w:rsidR="007E6C82" w:rsidRDefault="007E6C82">
      <w:pPr>
        <w:spacing w:after="200" w:line="276" w:lineRule="auto"/>
        <w:rPr>
          <w:rFonts w:ascii="Arial" w:hAnsi="Arial" w:cs="Arial"/>
          <w:b/>
          <w:lang w:val="en-CA"/>
        </w:rPr>
      </w:pPr>
      <w:r>
        <w:rPr>
          <w:b/>
          <w:lang w:val="en-CA"/>
        </w:rPr>
        <w:br w:type="page"/>
      </w:r>
    </w:p>
    <w:p w14:paraId="0E144A41" w14:textId="0E022AB0" w:rsidR="005F7A22" w:rsidRPr="007E6C82" w:rsidRDefault="005F7A22" w:rsidP="007E6C82">
      <w:pPr>
        <w:pStyle w:val="ExhibitText"/>
        <w:jc w:val="center"/>
        <w:rPr>
          <w:b/>
          <w:lang w:val="en-CA"/>
        </w:rPr>
      </w:pPr>
      <w:r w:rsidRPr="007E6C82">
        <w:rPr>
          <w:b/>
          <w:lang w:val="en-CA"/>
        </w:rPr>
        <w:lastRenderedPageBreak/>
        <w:t>EXHIBIT 4 (CONTINUED)</w:t>
      </w:r>
    </w:p>
    <w:p w14:paraId="3B714F0B" w14:textId="77777777" w:rsidR="005F7A22" w:rsidRDefault="005F7A22" w:rsidP="00DA3120">
      <w:pPr>
        <w:pStyle w:val="ExhibitText"/>
        <w:rPr>
          <w:b/>
          <w:sz w:val="18"/>
          <w:szCs w:val="18"/>
          <w:lang w:val="en-CA"/>
        </w:rPr>
      </w:pPr>
    </w:p>
    <w:p w14:paraId="04F23204" w14:textId="5F39D70E" w:rsidR="00DA3120" w:rsidRPr="007816B4" w:rsidRDefault="00DA3120" w:rsidP="00DA3120">
      <w:pPr>
        <w:pStyle w:val="ExhibitText"/>
        <w:rPr>
          <w:sz w:val="18"/>
          <w:szCs w:val="18"/>
          <w:lang w:val="en-CA"/>
        </w:rPr>
      </w:pPr>
      <w:r w:rsidRPr="007816B4">
        <w:rPr>
          <w:b/>
          <w:sz w:val="18"/>
          <w:szCs w:val="18"/>
          <w:lang w:val="en-CA"/>
        </w:rPr>
        <w:t>New Growing Space</w:t>
      </w:r>
      <w:r w:rsidR="000E3445">
        <w:rPr>
          <w:b/>
          <w:sz w:val="18"/>
          <w:szCs w:val="18"/>
          <w:lang w:val="en-CA"/>
        </w:rPr>
        <w:t xml:space="preserve">: </w:t>
      </w:r>
      <w:r w:rsidRPr="007816B4">
        <w:rPr>
          <w:color w:val="000000"/>
          <w:sz w:val="18"/>
          <w:szCs w:val="18"/>
          <w:lang w:val="en-CA"/>
        </w:rPr>
        <w:t>In order to sell mature plants, the OSPF would have to have space to house the plants as they gr</w:t>
      </w:r>
      <w:r w:rsidR="00CE3A65">
        <w:rPr>
          <w:color w:val="000000"/>
          <w:sz w:val="18"/>
          <w:szCs w:val="18"/>
          <w:lang w:val="en-CA"/>
        </w:rPr>
        <w:t>ew</w:t>
      </w:r>
      <w:r w:rsidRPr="007816B4">
        <w:rPr>
          <w:color w:val="000000"/>
          <w:sz w:val="18"/>
          <w:szCs w:val="18"/>
          <w:lang w:val="en-CA"/>
        </w:rPr>
        <w:t xml:space="preserve">. </w:t>
      </w:r>
      <w:r w:rsidRPr="007816B4">
        <w:rPr>
          <w:sz w:val="18"/>
          <w:szCs w:val="18"/>
          <w:lang w:val="en-CA"/>
        </w:rPr>
        <w:t xml:space="preserve">The new plant growing area was planned for a total of </w:t>
      </w:r>
      <w:r w:rsidRPr="00EF46BF">
        <w:rPr>
          <w:sz w:val="18"/>
          <w:szCs w:val="18"/>
          <w:lang w:val="en-CA"/>
        </w:rPr>
        <w:t xml:space="preserve">3,000 </w:t>
      </w:r>
      <w:r w:rsidR="00EF46BF">
        <w:rPr>
          <w:sz w:val="18"/>
          <w:szCs w:val="18"/>
          <w:lang w:val="en-CA"/>
        </w:rPr>
        <w:t>square feet</w:t>
      </w:r>
      <w:r w:rsidRPr="007816B4">
        <w:rPr>
          <w:sz w:val="18"/>
          <w:szCs w:val="18"/>
          <w:lang w:val="en-CA"/>
        </w:rPr>
        <w:t xml:space="preserve"> of space to be developed </w:t>
      </w:r>
      <w:r w:rsidRPr="00EF46BF">
        <w:rPr>
          <w:sz w:val="18"/>
          <w:szCs w:val="18"/>
          <w:lang w:val="en-CA"/>
        </w:rPr>
        <w:t>in 1,000</w:t>
      </w:r>
      <w:r w:rsidR="00EF46BF">
        <w:rPr>
          <w:sz w:val="18"/>
          <w:szCs w:val="18"/>
          <w:lang w:val="en-CA"/>
        </w:rPr>
        <w:t>-square-foot</w:t>
      </w:r>
      <w:r w:rsidRPr="007816B4">
        <w:rPr>
          <w:sz w:val="18"/>
          <w:szCs w:val="18"/>
          <w:lang w:val="en-CA"/>
        </w:rPr>
        <w:t xml:space="preserve"> increments in 2020, 2022 and 2024. The infrastructure budget for the first increment was $300,</w:t>
      </w:r>
      <w:r w:rsidRPr="00EF46BF">
        <w:rPr>
          <w:sz w:val="18"/>
          <w:szCs w:val="18"/>
          <w:lang w:val="en-CA"/>
        </w:rPr>
        <w:t>000 ($300</w:t>
      </w:r>
      <w:r w:rsidR="00EF46BF">
        <w:rPr>
          <w:sz w:val="18"/>
          <w:szCs w:val="18"/>
          <w:lang w:val="en-CA"/>
        </w:rPr>
        <w:t xml:space="preserve"> per square foot,</w:t>
      </w:r>
      <w:r w:rsidRPr="007816B4">
        <w:rPr>
          <w:sz w:val="18"/>
          <w:szCs w:val="18"/>
          <w:lang w:val="en-CA"/>
        </w:rPr>
        <w:t xml:space="preserve"> including utilities)</w:t>
      </w:r>
      <w:r w:rsidR="00EF46BF">
        <w:rPr>
          <w:sz w:val="18"/>
          <w:szCs w:val="18"/>
          <w:lang w:val="en-CA"/>
        </w:rPr>
        <w:t>,</w:t>
      </w:r>
      <w:r w:rsidRPr="007816B4">
        <w:rPr>
          <w:sz w:val="18"/>
          <w:szCs w:val="18"/>
          <w:lang w:val="en-CA"/>
        </w:rPr>
        <w:t xml:space="preserve"> with the following two increments budgeted at $150,</w:t>
      </w:r>
      <w:r w:rsidRPr="00EF46BF">
        <w:rPr>
          <w:sz w:val="18"/>
          <w:szCs w:val="18"/>
          <w:lang w:val="en-CA"/>
        </w:rPr>
        <w:t>000 ($150</w:t>
      </w:r>
      <w:r w:rsidR="00EF46BF">
        <w:rPr>
          <w:sz w:val="18"/>
          <w:szCs w:val="18"/>
          <w:lang w:val="en-CA"/>
        </w:rPr>
        <w:t xml:space="preserve"> per square foot,</w:t>
      </w:r>
      <w:r w:rsidRPr="007816B4">
        <w:rPr>
          <w:sz w:val="18"/>
          <w:szCs w:val="18"/>
          <w:vertAlign w:val="superscript"/>
          <w:lang w:val="en-CA"/>
        </w:rPr>
        <w:t xml:space="preserve"> </w:t>
      </w:r>
      <w:r w:rsidRPr="007816B4">
        <w:rPr>
          <w:sz w:val="18"/>
          <w:szCs w:val="18"/>
          <w:lang w:val="en-CA"/>
        </w:rPr>
        <w:t>including utilities). The operating costs for pots, pesticides</w:t>
      </w:r>
      <w:r w:rsidR="00EF46BF">
        <w:rPr>
          <w:sz w:val="18"/>
          <w:szCs w:val="18"/>
          <w:lang w:val="en-CA"/>
        </w:rPr>
        <w:t>,</w:t>
      </w:r>
      <w:r w:rsidRPr="007816B4">
        <w:rPr>
          <w:sz w:val="18"/>
          <w:szCs w:val="18"/>
          <w:lang w:val="en-CA"/>
        </w:rPr>
        <w:t xml:space="preserve"> chemicals</w:t>
      </w:r>
      <w:r w:rsidR="00EF46BF">
        <w:rPr>
          <w:sz w:val="18"/>
          <w:szCs w:val="18"/>
          <w:lang w:val="en-CA"/>
        </w:rPr>
        <w:t>, and expanding the foundations media efforts</w:t>
      </w:r>
      <w:r w:rsidRPr="007816B4">
        <w:rPr>
          <w:sz w:val="18"/>
          <w:szCs w:val="18"/>
          <w:lang w:val="en-CA"/>
        </w:rPr>
        <w:t xml:space="preserve"> w</w:t>
      </w:r>
      <w:r w:rsidR="00DA3AC2">
        <w:rPr>
          <w:sz w:val="18"/>
          <w:szCs w:val="18"/>
          <w:lang w:val="en-CA"/>
        </w:rPr>
        <w:t>ere</w:t>
      </w:r>
      <w:r w:rsidRPr="007816B4">
        <w:rPr>
          <w:sz w:val="18"/>
          <w:szCs w:val="18"/>
          <w:lang w:val="en-CA"/>
        </w:rPr>
        <w:t xml:space="preserve"> estimated at $5,000 per year</w:t>
      </w:r>
      <w:r w:rsidR="00EF46BF">
        <w:rPr>
          <w:sz w:val="18"/>
          <w:szCs w:val="18"/>
          <w:lang w:val="en-CA"/>
        </w:rPr>
        <w:t>,</w:t>
      </w:r>
      <w:r w:rsidRPr="007816B4">
        <w:rPr>
          <w:sz w:val="18"/>
          <w:szCs w:val="18"/>
          <w:lang w:val="en-CA"/>
        </w:rPr>
        <w:t xml:space="preserve"> starting in 2020. The OSPF was hopeful that </w:t>
      </w:r>
      <w:r w:rsidR="00EF46BF">
        <w:rPr>
          <w:sz w:val="18"/>
          <w:szCs w:val="18"/>
          <w:lang w:val="en-CA"/>
        </w:rPr>
        <w:t>it</w:t>
      </w:r>
      <w:r w:rsidRPr="007816B4">
        <w:rPr>
          <w:sz w:val="18"/>
          <w:szCs w:val="18"/>
          <w:lang w:val="en-CA"/>
        </w:rPr>
        <w:t xml:space="preserve"> would not incur land acquisition costs if the </w:t>
      </w:r>
      <w:r w:rsidR="00EF46BF">
        <w:rPr>
          <w:sz w:val="18"/>
          <w:szCs w:val="18"/>
          <w:lang w:val="en-CA"/>
        </w:rPr>
        <w:t xml:space="preserve">new </w:t>
      </w:r>
      <w:r w:rsidRPr="007816B4">
        <w:rPr>
          <w:sz w:val="18"/>
          <w:szCs w:val="18"/>
          <w:lang w:val="en-CA"/>
        </w:rPr>
        <w:t xml:space="preserve">facility could be operated in cooperation with a currently operating greenhouse or a higher education facility. </w:t>
      </w:r>
    </w:p>
    <w:p w14:paraId="5A756ED6" w14:textId="77777777" w:rsidR="00DA3120" w:rsidRDefault="00DA3120" w:rsidP="00DA3120">
      <w:pPr>
        <w:pStyle w:val="Footnote"/>
      </w:pPr>
    </w:p>
    <w:p w14:paraId="39A60AAE" w14:textId="1E1EAC4A" w:rsidR="007E6C82" w:rsidRDefault="00E70F4E" w:rsidP="00DA3120">
      <w:pPr>
        <w:pStyle w:val="Footnote"/>
      </w:pPr>
      <w:r>
        <w:t xml:space="preserve">Source: The </w:t>
      </w:r>
      <w:r w:rsidRPr="00D47D51">
        <w:t>Orchid Species Preservation Foundation</w:t>
      </w:r>
      <w:r>
        <w:t xml:space="preserve"> board.</w:t>
      </w:r>
    </w:p>
    <w:p w14:paraId="0A32A4AA" w14:textId="77777777" w:rsidR="007E6C82" w:rsidRDefault="007E6C82" w:rsidP="00DA3120">
      <w:pPr>
        <w:pStyle w:val="Footnote"/>
      </w:pPr>
    </w:p>
    <w:p w14:paraId="6629E819" w14:textId="53E3B159" w:rsidR="00DA3120" w:rsidRDefault="00DA3120" w:rsidP="00DA3120">
      <w:pPr>
        <w:pStyle w:val="Footnote"/>
      </w:pPr>
    </w:p>
    <w:p w14:paraId="295AA85A" w14:textId="5EC4E029" w:rsidR="00DA3120" w:rsidRPr="007E6C82" w:rsidRDefault="00DA3120" w:rsidP="007E6C82">
      <w:pPr>
        <w:pStyle w:val="ExhibitHeading"/>
        <w:rPr>
          <w:lang w:val="en-CA"/>
        </w:rPr>
      </w:pPr>
      <w:r>
        <w:rPr>
          <w:lang w:val="en-CA"/>
        </w:rPr>
        <w:t xml:space="preserve">Exhibit 5: </w:t>
      </w:r>
      <w:r w:rsidRPr="00DE234A">
        <w:rPr>
          <w:lang w:val="en-CA"/>
        </w:rPr>
        <w:t xml:space="preserve">Capital </w:t>
      </w:r>
      <w:r w:rsidRPr="006A33F9">
        <w:rPr>
          <w:lang w:val="en-CA"/>
        </w:rPr>
        <w:t>Project Costs</w:t>
      </w:r>
      <w:r w:rsidR="007E6C82" w:rsidRPr="006A33F9">
        <w:rPr>
          <w:lang w:val="en-CA"/>
        </w:rPr>
        <w:t xml:space="preserve"> </w:t>
      </w:r>
      <w:r w:rsidR="00653E29" w:rsidRPr="006A33F9">
        <w:rPr>
          <w:lang w:val="en-CA"/>
        </w:rPr>
        <w:t>(in Canadian dollars)</w:t>
      </w:r>
    </w:p>
    <w:p w14:paraId="15F94D27" w14:textId="77777777" w:rsidR="00653E29" w:rsidRPr="00DE234A" w:rsidRDefault="00653E29" w:rsidP="007E6C82">
      <w:pPr>
        <w:jc w:val="center"/>
        <w:textAlignment w:val="baseline"/>
        <w:rPr>
          <w:sz w:val="24"/>
          <w:lang w:val="en-CA"/>
        </w:rPr>
      </w:pPr>
    </w:p>
    <w:p w14:paraId="18119D73" w14:textId="77777777" w:rsidR="00DA3120" w:rsidRPr="007816B4" w:rsidRDefault="00DA3120" w:rsidP="00DA3120">
      <w:pPr>
        <w:pStyle w:val="ExhibitText"/>
        <w:rPr>
          <w:sz w:val="18"/>
          <w:szCs w:val="18"/>
          <w:lang w:val="en-CA"/>
        </w:rPr>
      </w:pPr>
      <w:r w:rsidRPr="007816B4">
        <w:rPr>
          <w:sz w:val="18"/>
          <w:szCs w:val="18"/>
          <w:lang w:val="en-CA"/>
        </w:rPr>
        <w:t>While no firm plans had been created, the initial thinking for the development of the new building was</w:t>
      </w:r>
      <w:r w:rsidR="00E34F69">
        <w:rPr>
          <w:sz w:val="18"/>
          <w:szCs w:val="18"/>
          <w:lang w:val="en-CA"/>
        </w:rPr>
        <w:t xml:space="preserve"> as follows</w:t>
      </w:r>
      <w:r w:rsidRPr="007816B4">
        <w:rPr>
          <w:sz w:val="18"/>
          <w:szCs w:val="18"/>
          <w:lang w:val="en-CA"/>
        </w:rPr>
        <w:t>:</w:t>
      </w:r>
    </w:p>
    <w:p w14:paraId="76D1F4CE" w14:textId="77777777" w:rsidR="00DA3120" w:rsidRPr="007816B4" w:rsidRDefault="00DA3120" w:rsidP="00DA3120">
      <w:pPr>
        <w:pStyle w:val="ExhibitText"/>
        <w:rPr>
          <w:sz w:val="18"/>
          <w:szCs w:val="18"/>
          <w:lang w:val="en-CA"/>
        </w:rPr>
      </w:pPr>
    </w:p>
    <w:p w14:paraId="6FA96D3B" w14:textId="4532341F" w:rsidR="00DA3120" w:rsidRPr="007816B4" w:rsidRDefault="00DA3120" w:rsidP="00DA3120">
      <w:pPr>
        <w:pStyle w:val="ExhibitText"/>
        <w:numPr>
          <w:ilvl w:val="0"/>
          <w:numId w:val="43"/>
        </w:numPr>
        <w:rPr>
          <w:sz w:val="18"/>
          <w:szCs w:val="18"/>
          <w:lang w:val="en-CA"/>
        </w:rPr>
      </w:pPr>
      <w:r w:rsidRPr="007816B4">
        <w:rPr>
          <w:sz w:val="18"/>
          <w:szCs w:val="18"/>
          <w:lang w:val="en-CA"/>
        </w:rPr>
        <w:t>Stage 1</w:t>
      </w:r>
      <w:r w:rsidR="000E3445">
        <w:rPr>
          <w:sz w:val="18"/>
          <w:szCs w:val="18"/>
          <w:lang w:val="en-CA"/>
        </w:rPr>
        <w:t>—</w:t>
      </w:r>
      <w:r w:rsidRPr="007816B4">
        <w:rPr>
          <w:sz w:val="18"/>
          <w:szCs w:val="18"/>
          <w:lang w:val="en-CA"/>
        </w:rPr>
        <w:t xml:space="preserve">Develop 2,000 </w:t>
      </w:r>
      <w:r w:rsidR="00E34F69">
        <w:rPr>
          <w:sz w:val="18"/>
          <w:szCs w:val="18"/>
          <w:lang w:val="en-CA"/>
        </w:rPr>
        <w:t>square feet,</w:t>
      </w:r>
      <w:r w:rsidRPr="007816B4">
        <w:rPr>
          <w:sz w:val="18"/>
          <w:szCs w:val="18"/>
          <w:lang w:val="en-CA"/>
        </w:rPr>
        <w:t xml:space="preserve"> starting in 2016</w:t>
      </w:r>
      <w:r w:rsidR="00E34F69">
        <w:rPr>
          <w:sz w:val="18"/>
          <w:szCs w:val="18"/>
          <w:lang w:val="en-CA"/>
        </w:rPr>
        <w:t>; this area</w:t>
      </w:r>
      <w:r w:rsidRPr="007816B4">
        <w:rPr>
          <w:sz w:val="18"/>
          <w:szCs w:val="18"/>
          <w:lang w:val="en-CA"/>
        </w:rPr>
        <w:t xml:space="preserve"> would encompass the seedling propagation space (which would be leased space until the new space was built).</w:t>
      </w:r>
    </w:p>
    <w:p w14:paraId="51D06DF0" w14:textId="47342F50" w:rsidR="00DA3120" w:rsidRPr="007816B4" w:rsidRDefault="00DA3120" w:rsidP="00DA3120">
      <w:pPr>
        <w:pStyle w:val="ExhibitText"/>
        <w:numPr>
          <w:ilvl w:val="0"/>
          <w:numId w:val="43"/>
        </w:numPr>
        <w:rPr>
          <w:sz w:val="18"/>
          <w:szCs w:val="18"/>
          <w:lang w:val="en-CA"/>
        </w:rPr>
      </w:pPr>
      <w:r w:rsidRPr="007816B4">
        <w:rPr>
          <w:sz w:val="18"/>
          <w:szCs w:val="18"/>
          <w:lang w:val="en-CA"/>
        </w:rPr>
        <w:t>Stage 2</w:t>
      </w:r>
      <w:r w:rsidR="000E3445">
        <w:rPr>
          <w:sz w:val="18"/>
          <w:szCs w:val="18"/>
          <w:lang w:val="en-CA"/>
        </w:rPr>
        <w:t>—</w:t>
      </w:r>
      <w:r w:rsidRPr="007816B4">
        <w:rPr>
          <w:sz w:val="18"/>
          <w:szCs w:val="18"/>
          <w:lang w:val="en-CA"/>
        </w:rPr>
        <w:t xml:space="preserve">Develop 6,000 </w:t>
      </w:r>
      <w:r w:rsidR="00E34F69">
        <w:rPr>
          <w:sz w:val="18"/>
          <w:szCs w:val="18"/>
          <w:lang w:val="en-CA"/>
        </w:rPr>
        <w:t>square feet</w:t>
      </w:r>
      <w:r w:rsidRPr="007816B4">
        <w:rPr>
          <w:sz w:val="18"/>
          <w:szCs w:val="18"/>
          <w:lang w:val="en-CA"/>
        </w:rPr>
        <w:t xml:space="preserve"> starting in 2020, which would include the growing area. </w:t>
      </w:r>
    </w:p>
    <w:p w14:paraId="4416739E" w14:textId="4544A489" w:rsidR="00DA3120" w:rsidRPr="007816B4" w:rsidRDefault="00DA3120" w:rsidP="00DA3120">
      <w:pPr>
        <w:pStyle w:val="ExhibitText"/>
        <w:numPr>
          <w:ilvl w:val="0"/>
          <w:numId w:val="43"/>
        </w:numPr>
        <w:rPr>
          <w:sz w:val="18"/>
          <w:szCs w:val="18"/>
          <w:lang w:val="en-CA"/>
        </w:rPr>
      </w:pPr>
      <w:r w:rsidRPr="007816B4">
        <w:rPr>
          <w:sz w:val="18"/>
          <w:szCs w:val="18"/>
          <w:lang w:val="en-CA"/>
        </w:rPr>
        <w:t>Stage 3</w:t>
      </w:r>
      <w:r w:rsidR="000E3445">
        <w:rPr>
          <w:sz w:val="18"/>
          <w:szCs w:val="18"/>
          <w:lang w:val="en-CA"/>
        </w:rPr>
        <w:t>—</w:t>
      </w:r>
      <w:r w:rsidRPr="007816B4">
        <w:rPr>
          <w:sz w:val="18"/>
          <w:szCs w:val="18"/>
          <w:lang w:val="en-CA"/>
        </w:rPr>
        <w:t xml:space="preserve">Develop 8,000 </w:t>
      </w:r>
      <w:r w:rsidR="00E34F69">
        <w:rPr>
          <w:sz w:val="18"/>
          <w:szCs w:val="18"/>
          <w:lang w:val="en-CA"/>
        </w:rPr>
        <w:t>square feet</w:t>
      </w:r>
      <w:r w:rsidRPr="007816B4">
        <w:rPr>
          <w:sz w:val="18"/>
          <w:szCs w:val="18"/>
          <w:lang w:val="en-CA"/>
        </w:rPr>
        <w:t xml:space="preserve"> in 2030 for the interpretive centre.</w:t>
      </w:r>
    </w:p>
    <w:p w14:paraId="2C5E4FAA" w14:textId="77777777" w:rsidR="00DA3120" w:rsidRPr="007816B4" w:rsidRDefault="00DA3120" w:rsidP="00DA3120">
      <w:pPr>
        <w:pStyle w:val="ExhibitText"/>
        <w:rPr>
          <w:sz w:val="18"/>
          <w:szCs w:val="18"/>
          <w:lang w:val="en-CA"/>
        </w:rPr>
      </w:pPr>
    </w:p>
    <w:p w14:paraId="3922E960" w14:textId="719540F0" w:rsidR="00DA3120" w:rsidRPr="007816B4" w:rsidRDefault="00DA3120" w:rsidP="00DA3120">
      <w:pPr>
        <w:pStyle w:val="ExhibitText"/>
        <w:rPr>
          <w:sz w:val="18"/>
          <w:szCs w:val="18"/>
          <w:lang w:val="en-CA"/>
        </w:rPr>
      </w:pPr>
      <w:r w:rsidRPr="007816B4">
        <w:rPr>
          <w:sz w:val="18"/>
          <w:szCs w:val="18"/>
          <w:lang w:val="en-CA"/>
        </w:rPr>
        <w:t xml:space="preserve">The </w:t>
      </w:r>
      <w:r w:rsidR="000777B3">
        <w:rPr>
          <w:sz w:val="18"/>
          <w:szCs w:val="18"/>
          <w:lang w:val="en-CA"/>
        </w:rPr>
        <w:t>b</w:t>
      </w:r>
      <w:r w:rsidRPr="007816B4">
        <w:rPr>
          <w:sz w:val="18"/>
          <w:szCs w:val="18"/>
          <w:lang w:val="en-CA"/>
        </w:rPr>
        <w:t xml:space="preserve">oard had </w:t>
      </w:r>
      <w:r w:rsidR="000777B3">
        <w:rPr>
          <w:sz w:val="18"/>
          <w:szCs w:val="18"/>
          <w:lang w:val="en-CA"/>
        </w:rPr>
        <w:t>identified</w:t>
      </w:r>
      <w:r w:rsidR="000777B3" w:rsidRPr="007816B4">
        <w:rPr>
          <w:sz w:val="18"/>
          <w:szCs w:val="18"/>
          <w:lang w:val="en-CA"/>
        </w:rPr>
        <w:t xml:space="preserve"> </w:t>
      </w:r>
      <w:r w:rsidRPr="007816B4">
        <w:rPr>
          <w:sz w:val="18"/>
          <w:szCs w:val="18"/>
          <w:lang w:val="en-CA"/>
        </w:rPr>
        <w:t>infrastructure costs for other capital projects as a way to estimate the potential cost of the new cen</w:t>
      </w:r>
      <w:r>
        <w:rPr>
          <w:sz w:val="18"/>
          <w:szCs w:val="18"/>
          <w:lang w:val="en-CA"/>
        </w:rPr>
        <w:t xml:space="preserve">tre. These </w:t>
      </w:r>
      <w:r w:rsidR="000777B3">
        <w:rPr>
          <w:sz w:val="18"/>
          <w:szCs w:val="18"/>
          <w:lang w:val="en-CA"/>
        </w:rPr>
        <w:t xml:space="preserve">costs </w:t>
      </w:r>
      <w:r>
        <w:rPr>
          <w:sz w:val="18"/>
          <w:szCs w:val="18"/>
          <w:lang w:val="en-CA"/>
        </w:rPr>
        <w:t xml:space="preserve">are shown in </w:t>
      </w:r>
      <w:r w:rsidR="000777B3">
        <w:rPr>
          <w:sz w:val="18"/>
          <w:szCs w:val="18"/>
          <w:lang w:val="en-CA"/>
        </w:rPr>
        <w:t>T</w:t>
      </w:r>
      <w:r>
        <w:rPr>
          <w:sz w:val="18"/>
          <w:szCs w:val="18"/>
          <w:lang w:val="en-CA"/>
        </w:rPr>
        <w:t>able 2</w:t>
      </w:r>
      <w:r w:rsidRPr="007816B4">
        <w:rPr>
          <w:sz w:val="18"/>
          <w:szCs w:val="18"/>
          <w:lang w:val="en-CA"/>
        </w:rPr>
        <w:t>.</w:t>
      </w:r>
    </w:p>
    <w:p w14:paraId="0B5FDFB2" w14:textId="77777777" w:rsidR="00DA3120" w:rsidRPr="007816B4" w:rsidRDefault="00DA3120" w:rsidP="00DA3120">
      <w:pPr>
        <w:pStyle w:val="ExhibitText"/>
        <w:rPr>
          <w:sz w:val="18"/>
          <w:szCs w:val="18"/>
          <w:lang w:val="en-CA"/>
        </w:rPr>
      </w:pPr>
    </w:p>
    <w:p w14:paraId="78155EA4" w14:textId="483EFD09" w:rsidR="00DA3120" w:rsidRPr="007816B4" w:rsidRDefault="00DA3120" w:rsidP="00DA3120">
      <w:pPr>
        <w:pStyle w:val="ExhibitText"/>
        <w:rPr>
          <w:sz w:val="18"/>
          <w:szCs w:val="18"/>
          <w:lang w:val="en-CA"/>
        </w:rPr>
      </w:pPr>
      <w:r w:rsidRPr="007816B4">
        <w:rPr>
          <w:sz w:val="18"/>
          <w:szCs w:val="18"/>
          <w:lang w:val="en-CA"/>
        </w:rPr>
        <w:t>The OSPF board was concerned that the entire orchid collection, if housed in one location, could be wiped out by a major catastrophe</w:t>
      </w:r>
      <w:r w:rsidR="000777B3">
        <w:rPr>
          <w:sz w:val="18"/>
          <w:szCs w:val="18"/>
          <w:lang w:val="en-CA"/>
        </w:rPr>
        <w:t>,</w:t>
      </w:r>
      <w:r w:rsidRPr="007816B4">
        <w:rPr>
          <w:sz w:val="18"/>
          <w:szCs w:val="18"/>
          <w:lang w:val="en-CA"/>
        </w:rPr>
        <w:t xml:space="preserve"> such as a fire or flood. As such</w:t>
      </w:r>
      <w:r w:rsidR="000777B3">
        <w:rPr>
          <w:sz w:val="18"/>
          <w:szCs w:val="18"/>
          <w:lang w:val="en-CA"/>
        </w:rPr>
        <w:t>,</w:t>
      </w:r>
      <w:r w:rsidRPr="007816B4">
        <w:rPr>
          <w:sz w:val="18"/>
          <w:szCs w:val="18"/>
          <w:lang w:val="en-CA"/>
        </w:rPr>
        <w:t xml:space="preserve"> the board inten</w:t>
      </w:r>
      <w:r w:rsidR="000777B3">
        <w:rPr>
          <w:sz w:val="18"/>
          <w:szCs w:val="18"/>
          <w:lang w:val="en-CA"/>
        </w:rPr>
        <w:t>ded</w:t>
      </w:r>
      <w:r w:rsidRPr="007816B4">
        <w:rPr>
          <w:sz w:val="18"/>
          <w:szCs w:val="18"/>
          <w:lang w:val="en-CA"/>
        </w:rPr>
        <w:t xml:space="preserve"> to continue to grow plants in the greenhouse space at the Muttart Conservatory in addition to the new facilities. </w:t>
      </w:r>
    </w:p>
    <w:p w14:paraId="66DCB582" w14:textId="77777777" w:rsidR="00DA3120" w:rsidRPr="007816B4" w:rsidRDefault="00DA3120" w:rsidP="00DA3120">
      <w:pPr>
        <w:pStyle w:val="ExhibitText"/>
        <w:rPr>
          <w:sz w:val="18"/>
          <w:szCs w:val="18"/>
          <w:lang w:val="en-CA"/>
        </w:rPr>
      </w:pPr>
    </w:p>
    <w:p w14:paraId="3C2C26DA" w14:textId="77777777" w:rsidR="00DA3120" w:rsidRPr="007816B4" w:rsidRDefault="00DA3120" w:rsidP="00DA3120">
      <w:pPr>
        <w:pStyle w:val="ExhibitText"/>
        <w:rPr>
          <w:sz w:val="18"/>
          <w:szCs w:val="18"/>
          <w:lang w:val="en-CA"/>
        </w:rPr>
      </w:pPr>
    </w:p>
    <w:p w14:paraId="04DB3EE2" w14:textId="683A667A" w:rsidR="00DA3120" w:rsidRPr="00DE234A" w:rsidRDefault="00DA3120" w:rsidP="00DA3120">
      <w:pPr>
        <w:pStyle w:val="Casehead3"/>
        <w:rPr>
          <w:lang w:val="en-CA"/>
        </w:rPr>
      </w:pPr>
      <w:r w:rsidRPr="00DE234A">
        <w:rPr>
          <w:lang w:val="en-CA"/>
        </w:rPr>
        <w:t>Table</w:t>
      </w:r>
      <w:r>
        <w:rPr>
          <w:lang w:val="en-CA"/>
        </w:rPr>
        <w:t xml:space="preserve"> 2</w:t>
      </w:r>
      <w:r w:rsidR="000E3445">
        <w:rPr>
          <w:lang w:val="en-CA"/>
        </w:rPr>
        <w:t xml:space="preserve">: </w:t>
      </w:r>
      <w:r w:rsidRPr="00DE234A">
        <w:rPr>
          <w:lang w:val="en-CA"/>
        </w:rPr>
        <w:t>Example Infrastructure Costs for Capital Projects</w:t>
      </w:r>
    </w:p>
    <w:p w14:paraId="6A0814BA" w14:textId="77777777" w:rsidR="00DA3120" w:rsidRPr="00DE234A" w:rsidRDefault="00DA3120" w:rsidP="00DA3120">
      <w:pPr>
        <w:textAlignment w:val="baseline"/>
        <w:rPr>
          <w:b/>
          <w:color w:val="000000"/>
          <w:sz w:val="24"/>
          <w:lang w:val="en-CA"/>
        </w:rPr>
      </w:pPr>
    </w:p>
    <w:tbl>
      <w:tblPr>
        <w:tblW w:w="9133"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10"/>
        <w:gridCol w:w="1350"/>
        <w:gridCol w:w="1170"/>
        <w:gridCol w:w="990"/>
        <w:gridCol w:w="2113"/>
      </w:tblGrid>
      <w:tr w:rsidR="00DA3120" w:rsidRPr="007816B4" w14:paraId="04950FD5" w14:textId="77777777" w:rsidTr="00AC11FF">
        <w:trPr>
          <w:trHeight w:val="60"/>
        </w:trPr>
        <w:tc>
          <w:tcPr>
            <w:tcW w:w="3510" w:type="dxa"/>
            <w:noWrap/>
            <w:tcMar>
              <w:top w:w="0" w:type="dxa"/>
              <w:left w:w="108" w:type="dxa"/>
              <w:bottom w:w="0" w:type="dxa"/>
              <w:right w:w="108" w:type="dxa"/>
            </w:tcMar>
            <w:vAlign w:val="bottom"/>
          </w:tcPr>
          <w:p w14:paraId="53101F5A" w14:textId="77777777" w:rsidR="00DA3120" w:rsidRPr="007816B4" w:rsidRDefault="00DA3120" w:rsidP="00AC11FF">
            <w:pPr>
              <w:pStyle w:val="ExhibitText"/>
              <w:rPr>
                <w:b/>
                <w:sz w:val="18"/>
                <w:szCs w:val="18"/>
                <w:lang w:val="en-CA"/>
              </w:rPr>
            </w:pPr>
            <w:r w:rsidRPr="007816B4">
              <w:rPr>
                <w:b/>
                <w:sz w:val="18"/>
                <w:szCs w:val="18"/>
                <w:lang w:val="en-CA"/>
              </w:rPr>
              <w:t>Project</w:t>
            </w:r>
          </w:p>
        </w:tc>
        <w:tc>
          <w:tcPr>
            <w:tcW w:w="1350" w:type="dxa"/>
            <w:noWrap/>
            <w:tcMar>
              <w:top w:w="0" w:type="dxa"/>
              <w:left w:w="108" w:type="dxa"/>
              <w:bottom w:w="0" w:type="dxa"/>
              <w:right w:w="108" w:type="dxa"/>
            </w:tcMar>
            <w:vAlign w:val="bottom"/>
            <w:hideMark/>
          </w:tcPr>
          <w:p w14:paraId="2C8F9C3C" w14:textId="77777777" w:rsidR="00DA3120" w:rsidRPr="007816B4" w:rsidRDefault="00DA3120" w:rsidP="00AC11FF">
            <w:pPr>
              <w:pStyle w:val="ExhibitText"/>
              <w:jc w:val="center"/>
              <w:rPr>
                <w:b/>
                <w:sz w:val="18"/>
                <w:szCs w:val="18"/>
                <w:lang w:val="en-CA"/>
              </w:rPr>
            </w:pPr>
            <w:r w:rsidRPr="007816B4">
              <w:rPr>
                <w:b/>
                <w:sz w:val="18"/>
                <w:szCs w:val="18"/>
                <w:lang w:val="en-CA"/>
              </w:rPr>
              <w:t>Total Cost</w:t>
            </w:r>
          </w:p>
        </w:tc>
        <w:tc>
          <w:tcPr>
            <w:tcW w:w="1170" w:type="dxa"/>
            <w:noWrap/>
            <w:tcMar>
              <w:top w:w="0" w:type="dxa"/>
              <w:left w:w="108" w:type="dxa"/>
              <w:bottom w:w="0" w:type="dxa"/>
              <w:right w:w="108" w:type="dxa"/>
            </w:tcMar>
            <w:vAlign w:val="bottom"/>
            <w:hideMark/>
          </w:tcPr>
          <w:p w14:paraId="1C6969CA" w14:textId="77777777" w:rsidR="00DA3120" w:rsidRPr="007816B4" w:rsidRDefault="00DA3120" w:rsidP="00AC11FF">
            <w:pPr>
              <w:pStyle w:val="ExhibitText"/>
              <w:jc w:val="center"/>
              <w:rPr>
                <w:b/>
                <w:sz w:val="18"/>
                <w:szCs w:val="18"/>
                <w:lang w:val="en-CA"/>
              </w:rPr>
            </w:pPr>
            <w:r w:rsidRPr="007816B4">
              <w:rPr>
                <w:b/>
                <w:sz w:val="18"/>
                <w:szCs w:val="18"/>
                <w:lang w:val="en-CA"/>
              </w:rPr>
              <w:t>Area (ft</w:t>
            </w:r>
            <w:r w:rsidRPr="007816B4">
              <w:rPr>
                <w:b/>
                <w:sz w:val="18"/>
                <w:szCs w:val="18"/>
                <w:vertAlign w:val="superscript"/>
                <w:lang w:val="en-CA"/>
              </w:rPr>
              <w:t>2</w:t>
            </w:r>
            <w:r w:rsidRPr="007816B4">
              <w:rPr>
                <w:b/>
                <w:sz w:val="18"/>
                <w:szCs w:val="18"/>
                <w:lang w:val="en-CA"/>
              </w:rPr>
              <w:t>)</w:t>
            </w:r>
          </w:p>
        </w:tc>
        <w:tc>
          <w:tcPr>
            <w:tcW w:w="990" w:type="dxa"/>
            <w:noWrap/>
            <w:tcMar>
              <w:top w:w="0" w:type="dxa"/>
              <w:left w:w="108" w:type="dxa"/>
              <w:bottom w:w="0" w:type="dxa"/>
              <w:right w:w="108" w:type="dxa"/>
            </w:tcMar>
            <w:vAlign w:val="bottom"/>
            <w:hideMark/>
          </w:tcPr>
          <w:p w14:paraId="130C2282" w14:textId="77777777" w:rsidR="00DA3120" w:rsidRPr="007816B4" w:rsidRDefault="00DA3120" w:rsidP="00AC11FF">
            <w:pPr>
              <w:pStyle w:val="ExhibitText"/>
              <w:jc w:val="center"/>
              <w:rPr>
                <w:b/>
                <w:sz w:val="18"/>
                <w:szCs w:val="18"/>
                <w:lang w:val="en-CA"/>
              </w:rPr>
            </w:pPr>
            <w:r w:rsidRPr="007816B4">
              <w:rPr>
                <w:b/>
                <w:sz w:val="18"/>
                <w:szCs w:val="18"/>
                <w:lang w:val="en-CA"/>
              </w:rPr>
              <w:t>Cost/ft</w:t>
            </w:r>
            <w:r w:rsidRPr="007816B4">
              <w:rPr>
                <w:b/>
                <w:sz w:val="18"/>
                <w:szCs w:val="18"/>
                <w:vertAlign w:val="superscript"/>
                <w:lang w:val="en-CA"/>
              </w:rPr>
              <w:t>2</w:t>
            </w:r>
          </w:p>
        </w:tc>
        <w:tc>
          <w:tcPr>
            <w:tcW w:w="2113" w:type="dxa"/>
            <w:noWrap/>
            <w:tcMar>
              <w:top w:w="0" w:type="dxa"/>
              <w:left w:w="108" w:type="dxa"/>
              <w:bottom w:w="0" w:type="dxa"/>
              <w:right w:w="108" w:type="dxa"/>
            </w:tcMar>
            <w:vAlign w:val="bottom"/>
            <w:hideMark/>
          </w:tcPr>
          <w:p w14:paraId="53948A93" w14:textId="77777777" w:rsidR="00DA3120" w:rsidRPr="007816B4" w:rsidRDefault="00DA3120" w:rsidP="00AC11FF">
            <w:pPr>
              <w:pStyle w:val="ExhibitText"/>
              <w:jc w:val="center"/>
              <w:rPr>
                <w:b/>
                <w:sz w:val="18"/>
                <w:szCs w:val="18"/>
                <w:lang w:val="en-CA"/>
              </w:rPr>
            </w:pPr>
            <w:r w:rsidRPr="007816B4">
              <w:rPr>
                <w:b/>
                <w:sz w:val="18"/>
                <w:szCs w:val="18"/>
                <w:lang w:val="en-CA"/>
              </w:rPr>
              <w:t>Year of Approval</w:t>
            </w:r>
          </w:p>
        </w:tc>
      </w:tr>
      <w:tr w:rsidR="00DA3120" w:rsidRPr="007816B4" w14:paraId="0DD6D341" w14:textId="77777777" w:rsidTr="00AC11FF">
        <w:trPr>
          <w:trHeight w:val="188"/>
        </w:trPr>
        <w:tc>
          <w:tcPr>
            <w:tcW w:w="3510" w:type="dxa"/>
            <w:noWrap/>
            <w:tcMar>
              <w:top w:w="0" w:type="dxa"/>
              <w:left w:w="108" w:type="dxa"/>
              <w:bottom w:w="0" w:type="dxa"/>
              <w:right w:w="108" w:type="dxa"/>
            </w:tcMar>
            <w:vAlign w:val="bottom"/>
          </w:tcPr>
          <w:p w14:paraId="658D1D77" w14:textId="77777777" w:rsidR="00DA3120" w:rsidRPr="007816B4" w:rsidRDefault="00DA3120" w:rsidP="00AC11FF">
            <w:pPr>
              <w:pStyle w:val="ExhibitText"/>
              <w:jc w:val="left"/>
              <w:rPr>
                <w:b/>
                <w:sz w:val="18"/>
                <w:szCs w:val="18"/>
                <w:lang w:val="en-CA"/>
              </w:rPr>
            </w:pPr>
            <w:r w:rsidRPr="007816B4">
              <w:rPr>
                <w:b/>
                <w:sz w:val="18"/>
                <w:szCs w:val="18"/>
                <w:lang w:val="en-CA"/>
              </w:rPr>
              <w:t>Oak Hammock Marsh Interpretive Centre</w:t>
            </w:r>
          </w:p>
        </w:tc>
        <w:tc>
          <w:tcPr>
            <w:tcW w:w="1350" w:type="dxa"/>
            <w:noWrap/>
            <w:tcMar>
              <w:top w:w="0" w:type="dxa"/>
              <w:left w:w="108" w:type="dxa"/>
              <w:bottom w:w="0" w:type="dxa"/>
              <w:right w:w="108" w:type="dxa"/>
            </w:tcMar>
            <w:vAlign w:val="bottom"/>
            <w:hideMark/>
          </w:tcPr>
          <w:p w14:paraId="71B05C2F" w14:textId="77777777" w:rsidR="00DA3120" w:rsidRPr="007816B4" w:rsidRDefault="00DA3120" w:rsidP="00AC11FF">
            <w:pPr>
              <w:pStyle w:val="ExhibitText"/>
              <w:jc w:val="right"/>
              <w:rPr>
                <w:sz w:val="18"/>
                <w:szCs w:val="18"/>
                <w:lang w:val="en-CA"/>
              </w:rPr>
            </w:pPr>
            <w:r w:rsidRPr="007816B4">
              <w:rPr>
                <w:sz w:val="18"/>
                <w:szCs w:val="18"/>
                <w:lang w:val="en-CA"/>
              </w:rPr>
              <w:t>$11,000,000</w:t>
            </w:r>
          </w:p>
        </w:tc>
        <w:tc>
          <w:tcPr>
            <w:tcW w:w="1170" w:type="dxa"/>
            <w:noWrap/>
            <w:tcMar>
              <w:top w:w="0" w:type="dxa"/>
              <w:left w:w="108" w:type="dxa"/>
              <w:bottom w:w="0" w:type="dxa"/>
              <w:right w:w="108" w:type="dxa"/>
            </w:tcMar>
            <w:vAlign w:val="bottom"/>
            <w:hideMark/>
          </w:tcPr>
          <w:p w14:paraId="15CD5DE1" w14:textId="77777777" w:rsidR="00DA3120" w:rsidRPr="007816B4" w:rsidRDefault="00DA3120" w:rsidP="00AC11FF">
            <w:pPr>
              <w:pStyle w:val="ExhibitText"/>
              <w:jc w:val="center"/>
              <w:rPr>
                <w:sz w:val="18"/>
                <w:szCs w:val="18"/>
                <w:lang w:val="en-CA"/>
              </w:rPr>
            </w:pPr>
            <w:r w:rsidRPr="007816B4">
              <w:rPr>
                <w:sz w:val="18"/>
                <w:szCs w:val="18"/>
                <w:lang w:val="en-CA"/>
              </w:rPr>
              <w:t>33,000</w:t>
            </w:r>
          </w:p>
        </w:tc>
        <w:tc>
          <w:tcPr>
            <w:tcW w:w="990" w:type="dxa"/>
            <w:noWrap/>
            <w:tcMar>
              <w:top w:w="0" w:type="dxa"/>
              <w:left w:w="108" w:type="dxa"/>
              <w:bottom w:w="0" w:type="dxa"/>
              <w:right w:w="108" w:type="dxa"/>
            </w:tcMar>
            <w:vAlign w:val="bottom"/>
            <w:hideMark/>
          </w:tcPr>
          <w:p w14:paraId="02973C4F" w14:textId="77777777" w:rsidR="00DA3120" w:rsidRPr="007816B4" w:rsidRDefault="00DA3120" w:rsidP="00AC11FF">
            <w:pPr>
              <w:pStyle w:val="ExhibitText"/>
              <w:jc w:val="right"/>
              <w:rPr>
                <w:sz w:val="18"/>
                <w:szCs w:val="18"/>
                <w:lang w:val="en-CA"/>
              </w:rPr>
            </w:pPr>
            <w:r w:rsidRPr="007816B4">
              <w:rPr>
                <w:sz w:val="18"/>
                <w:szCs w:val="18"/>
                <w:lang w:val="en-CA"/>
              </w:rPr>
              <w:t>$333</w:t>
            </w:r>
          </w:p>
        </w:tc>
        <w:tc>
          <w:tcPr>
            <w:tcW w:w="2113" w:type="dxa"/>
            <w:noWrap/>
            <w:tcMar>
              <w:top w:w="0" w:type="dxa"/>
              <w:left w:w="108" w:type="dxa"/>
              <w:bottom w:w="0" w:type="dxa"/>
              <w:right w:w="108" w:type="dxa"/>
            </w:tcMar>
            <w:vAlign w:val="bottom"/>
            <w:hideMark/>
          </w:tcPr>
          <w:p w14:paraId="7EF165AE" w14:textId="77777777" w:rsidR="00DA3120" w:rsidRPr="007816B4" w:rsidRDefault="00DA3120" w:rsidP="00AC11FF">
            <w:pPr>
              <w:pStyle w:val="ExhibitText"/>
              <w:jc w:val="center"/>
              <w:rPr>
                <w:sz w:val="18"/>
                <w:szCs w:val="18"/>
                <w:lang w:val="en-CA"/>
              </w:rPr>
            </w:pPr>
            <w:r w:rsidRPr="007816B4">
              <w:rPr>
                <w:sz w:val="18"/>
                <w:szCs w:val="18"/>
                <w:lang w:val="en-CA"/>
              </w:rPr>
              <w:t>1992</w:t>
            </w:r>
          </w:p>
        </w:tc>
      </w:tr>
      <w:tr w:rsidR="00DA3120" w:rsidRPr="007816B4" w14:paraId="0D233176" w14:textId="77777777" w:rsidTr="00AC11FF">
        <w:trPr>
          <w:trHeight w:val="125"/>
        </w:trPr>
        <w:tc>
          <w:tcPr>
            <w:tcW w:w="3510" w:type="dxa"/>
            <w:noWrap/>
            <w:tcMar>
              <w:top w:w="0" w:type="dxa"/>
              <w:left w:w="108" w:type="dxa"/>
              <w:bottom w:w="0" w:type="dxa"/>
              <w:right w:w="108" w:type="dxa"/>
            </w:tcMar>
            <w:vAlign w:val="bottom"/>
            <w:hideMark/>
          </w:tcPr>
          <w:p w14:paraId="05732594" w14:textId="77777777" w:rsidR="00DA3120" w:rsidRPr="007816B4" w:rsidRDefault="00DA3120" w:rsidP="00AC11FF">
            <w:pPr>
              <w:pStyle w:val="ExhibitText"/>
              <w:jc w:val="left"/>
              <w:rPr>
                <w:b/>
                <w:sz w:val="18"/>
                <w:szCs w:val="18"/>
                <w:lang w:val="en-CA"/>
              </w:rPr>
            </w:pPr>
            <w:r w:rsidRPr="007816B4">
              <w:rPr>
                <w:b/>
                <w:sz w:val="18"/>
                <w:szCs w:val="18"/>
                <w:lang w:val="en-CA"/>
              </w:rPr>
              <w:t>Africville Interpretive Centre</w:t>
            </w:r>
          </w:p>
        </w:tc>
        <w:tc>
          <w:tcPr>
            <w:tcW w:w="1350" w:type="dxa"/>
            <w:noWrap/>
            <w:tcMar>
              <w:top w:w="0" w:type="dxa"/>
              <w:left w:w="108" w:type="dxa"/>
              <w:bottom w:w="0" w:type="dxa"/>
              <w:right w:w="108" w:type="dxa"/>
            </w:tcMar>
            <w:vAlign w:val="bottom"/>
            <w:hideMark/>
          </w:tcPr>
          <w:p w14:paraId="2D7564C0" w14:textId="77777777" w:rsidR="00DA3120" w:rsidRPr="007816B4" w:rsidRDefault="00DA3120" w:rsidP="00AC11FF">
            <w:pPr>
              <w:pStyle w:val="ExhibitText"/>
              <w:jc w:val="right"/>
              <w:rPr>
                <w:sz w:val="18"/>
                <w:szCs w:val="18"/>
                <w:lang w:val="en-CA"/>
              </w:rPr>
            </w:pPr>
            <w:r w:rsidRPr="007816B4">
              <w:rPr>
                <w:sz w:val="18"/>
                <w:szCs w:val="18"/>
                <w:lang w:val="en-CA"/>
              </w:rPr>
              <w:t>$4,500,000</w:t>
            </w:r>
          </w:p>
        </w:tc>
        <w:tc>
          <w:tcPr>
            <w:tcW w:w="1170" w:type="dxa"/>
            <w:noWrap/>
            <w:tcMar>
              <w:top w:w="0" w:type="dxa"/>
              <w:left w:w="108" w:type="dxa"/>
              <w:bottom w:w="0" w:type="dxa"/>
              <w:right w:w="108" w:type="dxa"/>
            </w:tcMar>
            <w:vAlign w:val="bottom"/>
            <w:hideMark/>
          </w:tcPr>
          <w:p w14:paraId="0BA6E641" w14:textId="77777777" w:rsidR="00DA3120" w:rsidRPr="007816B4" w:rsidRDefault="00DA3120" w:rsidP="00AC11FF">
            <w:pPr>
              <w:pStyle w:val="ExhibitText"/>
              <w:jc w:val="center"/>
              <w:rPr>
                <w:sz w:val="18"/>
                <w:szCs w:val="18"/>
                <w:lang w:val="en-CA"/>
              </w:rPr>
            </w:pPr>
            <w:r w:rsidRPr="007816B4">
              <w:rPr>
                <w:sz w:val="18"/>
                <w:szCs w:val="18"/>
                <w:lang w:val="en-CA"/>
              </w:rPr>
              <w:t>14,000</w:t>
            </w:r>
          </w:p>
        </w:tc>
        <w:tc>
          <w:tcPr>
            <w:tcW w:w="990" w:type="dxa"/>
            <w:noWrap/>
            <w:tcMar>
              <w:top w:w="0" w:type="dxa"/>
              <w:left w:w="108" w:type="dxa"/>
              <w:bottom w:w="0" w:type="dxa"/>
              <w:right w:w="108" w:type="dxa"/>
            </w:tcMar>
            <w:vAlign w:val="bottom"/>
            <w:hideMark/>
          </w:tcPr>
          <w:p w14:paraId="1CDC108D" w14:textId="77777777" w:rsidR="00DA3120" w:rsidRPr="007816B4" w:rsidRDefault="00DA3120" w:rsidP="00AC11FF">
            <w:pPr>
              <w:pStyle w:val="ExhibitText"/>
              <w:jc w:val="right"/>
              <w:rPr>
                <w:sz w:val="18"/>
                <w:szCs w:val="18"/>
                <w:lang w:val="en-CA"/>
              </w:rPr>
            </w:pPr>
            <w:r w:rsidRPr="007816B4">
              <w:rPr>
                <w:sz w:val="18"/>
                <w:szCs w:val="18"/>
                <w:lang w:val="en-CA"/>
              </w:rPr>
              <w:t>$321</w:t>
            </w:r>
          </w:p>
        </w:tc>
        <w:tc>
          <w:tcPr>
            <w:tcW w:w="2113" w:type="dxa"/>
            <w:noWrap/>
            <w:tcMar>
              <w:top w:w="0" w:type="dxa"/>
              <w:left w:w="108" w:type="dxa"/>
              <w:bottom w:w="0" w:type="dxa"/>
              <w:right w:w="108" w:type="dxa"/>
            </w:tcMar>
            <w:vAlign w:val="bottom"/>
            <w:hideMark/>
          </w:tcPr>
          <w:p w14:paraId="4173A8E5" w14:textId="77777777" w:rsidR="00DA3120" w:rsidRPr="007816B4" w:rsidRDefault="00DA3120" w:rsidP="00AC11FF">
            <w:pPr>
              <w:pStyle w:val="ExhibitText"/>
              <w:jc w:val="center"/>
              <w:rPr>
                <w:sz w:val="18"/>
                <w:szCs w:val="18"/>
                <w:lang w:val="en-CA"/>
              </w:rPr>
            </w:pPr>
            <w:r w:rsidRPr="007816B4">
              <w:rPr>
                <w:sz w:val="18"/>
                <w:szCs w:val="18"/>
                <w:lang w:val="en-CA"/>
              </w:rPr>
              <w:t>2008</w:t>
            </w:r>
          </w:p>
        </w:tc>
      </w:tr>
      <w:tr w:rsidR="00DA3120" w:rsidRPr="007816B4" w14:paraId="582DC0C8" w14:textId="77777777" w:rsidTr="00AC11FF">
        <w:trPr>
          <w:trHeight w:val="60"/>
        </w:trPr>
        <w:tc>
          <w:tcPr>
            <w:tcW w:w="3510" w:type="dxa"/>
            <w:noWrap/>
            <w:tcMar>
              <w:top w:w="0" w:type="dxa"/>
              <w:left w:w="108" w:type="dxa"/>
              <w:bottom w:w="0" w:type="dxa"/>
              <w:right w:w="108" w:type="dxa"/>
            </w:tcMar>
            <w:vAlign w:val="bottom"/>
            <w:hideMark/>
          </w:tcPr>
          <w:p w14:paraId="1A2D2E4C" w14:textId="77777777" w:rsidR="00DA3120" w:rsidRPr="007816B4" w:rsidRDefault="00DA3120" w:rsidP="00AC11FF">
            <w:pPr>
              <w:pStyle w:val="ExhibitText"/>
              <w:jc w:val="left"/>
              <w:rPr>
                <w:b/>
                <w:sz w:val="18"/>
                <w:szCs w:val="18"/>
                <w:lang w:val="en-CA"/>
              </w:rPr>
            </w:pPr>
            <w:r w:rsidRPr="007816B4">
              <w:rPr>
                <w:b/>
                <w:sz w:val="18"/>
                <w:szCs w:val="18"/>
                <w:lang w:val="en-CA"/>
              </w:rPr>
              <w:t>PCL Headquarters Building</w:t>
            </w:r>
          </w:p>
        </w:tc>
        <w:tc>
          <w:tcPr>
            <w:tcW w:w="1350" w:type="dxa"/>
            <w:noWrap/>
            <w:tcMar>
              <w:top w:w="0" w:type="dxa"/>
              <w:left w:w="108" w:type="dxa"/>
              <w:bottom w:w="0" w:type="dxa"/>
              <w:right w:w="108" w:type="dxa"/>
            </w:tcMar>
            <w:vAlign w:val="bottom"/>
            <w:hideMark/>
          </w:tcPr>
          <w:p w14:paraId="5255D673" w14:textId="77777777" w:rsidR="00DA3120" w:rsidRPr="007816B4" w:rsidRDefault="00DA3120" w:rsidP="00AC11FF">
            <w:pPr>
              <w:pStyle w:val="ExhibitText"/>
              <w:jc w:val="right"/>
              <w:rPr>
                <w:sz w:val="18"/>
                <w:szCs w:val="18"/>
                <w:lang w:val="en-CA"/>
              </w:rPr>
            </w:pPr>
            <w:r w:rsidRPr="007816B4">
              <w:rPr>
                <w:sz w:val="18"/>
                <w:szCs w:val="18"/>
                <w:lang w:val="en-CA"/>
              </w:rPr>
              <w:t>$24,000,000</w:t>
            </w:r>
          </w:p>
        </w:tc>
        <w:tc>
          <w:tcPr>
            <w:tcW w:w="1170" w:type="dxa"/>
            <w:noWrap/>
            <w:tcMar>
              <w:top w:w="0" w:type="dxa"/>
              <w:left w:w="108" w:type="dxa"/>
              <w:bottom w:w="0" w:type="dxa"/>
              <w:right w:w="108" w:type="dxa"/>
            </w:tcMar>
            <w:vAlign w:val="bottom"/>
            <w:hideMark/>
          </w:tcPr>
          <w:p w14:paraId="4210E680" w14:textId="77777777" w:rsidR="00DA3120" w:rsidRPr="007816B4" w:rsidRDefault="00DA3120" w:rsidP="00AC11FF">
            <w:pPr>
              <w:pStyle w:val="ExhibitText"/>
              <w:jc w:val="center"/>
              <w:rPr>
                <w:sz w:val="18"/>
                <w:szCs w:val="18"/>
                <w:lang w:val="en-CA"/>
              </w:rPr>
            </w:pPr>
            <w:r w:rsidRPr="007816B4">
              <w:rPr>
                <w:sz w:val="18"/>
                <w:szCs w:val="18"/>
                <w:lang w:val="en-CA"/>
              </w:rPr>
              <w:t>83,000</w:t>
            </w:r>
          </w:p>
        </w:tc>
        <w:tc>
          <w:tcPr>
            <w:tcW w:w="990" w:type="dxa"/>
            <w:noWrap/>
            <w:tcMar>
              <w:top w:w="0" w:type="dxa"/>
              <w:left w:w="108" w:type="dxa"/>
              <w:bottom w:w="0" w:type="dxa"/>
              <w:right w:w="108" w:type="dxa"/>
            </w:tcMar>
            <w:vAlign w:val="bottom"/>
            <w:hideMark/>
          </w:tcPr>
          <w:p w14:paraId="1D67857C" w14:textId="77777777" w:rsidR="00DA3120" w:rsidRPr="007816B4" w:rsidRDefault="00DA3120" w:rsidP="00AC11FF">
            <w:pPr>
              <w:pStyle w:val="ExhibitText"/>
              <w:jc w:val="right"/>
              <w:rPr>
                <w:sz w:val="18"/>
                <w:szCs w:val="18"/>
                <w:lang w:val="en-CA"/>
              </w:rPr>
            </w:pPr>
            <w:r w:rsidRPr="007816B4">
              <w:rPr>
                <w:sz w:val="18"/>
                <w:szCs w:val="18"/>
                <w:lang w:val="en-CA"/>
              </w:rPr>
              <w:t>$289</w:t>
            </w:r>
          </w:p>
        </w:tc>
        <w:tc>
          <w:tcPr>
            <w:tcW w:w="2113" w:type="dxa"/>
            <w:noWrap/>
            <w:tcMar>
              <w:top w:w="0" w:type="dxa"/>
              <w:left w:w="108" w:type="dxa"/>
              <w:bottom w:w="0" w:type="dxa"/>
              <w:right w:w="108" w:type="dxa"/>
            </w:tcMar>
            <w:vAlign w:val="bottom"/>
            <w:hideMark/>
          </w:tcPr>
          <w:p w14:paraId="27789661" w14:textId="77777777" w:rsidR="00DA3120" w:rsidRPr="007816B4" w:rsidRDefault="00DA3120" w:rsidP="00AC11FF">
            <w:pPr>
              <w:pStyle w:val="ExhibitText"/>
              <w:jc w:val="center"/>
              <w:rPr>
                <w:sz w:val="18"/>
                <w:szCs w:val="18"/>
                <w:lang w:val="en-CA"/>
              </w:rPr>
            </w:pPr>
            <w:r w:rsidRPr="007816B4">
              <w:rPr>
                <w:sz w:val="18"/>
                <w:szCs w:val="18"/>
                <w:lang w:val="en-CA"/>
              </w:rPr>
              <w:t>2012</w:t>
            </w:r>
          </w:p>
        </w:tc>
      </w:tr>
      <w:tr w:rsidR="00DA3120" w:rsidRPr="007816B4" w14:paraId="3D3B611C" w14:textId="77777777" w:rsidTr="00AC11FF">
        <w:trPr>
          <w:trHeight w:val="152"/>
        </w:trPr>
        <w:tc>
          <w:tcPr>
            <w:tcW w:w="3510" w:type="dxa"/>
            <w:noWrap/>
            <w:tcMar>
              <w:top w:w="0" w:type="dxa"/>
              <w:left w:w="108" w:type="dxa"/>
              <w:bottom w:w="0" w:type="dxa"/>
              <w:right w:w="108" w:type="dxa"/>
            </w:tcMar>
            <w:vAlign w:val="bottom"/>
            <w:hideMark/>
          </w:tcPr>
          <w:p w14:paraId="6E49A5AD" w14:textId="337E2241" w:rsidR="00DA3120" w:rsidRPr="007816B4" w:rsidRDefault="00DA3120" w:rsidP="000777B3">
            <w:pPr>
              <w:pStyle w:val="ExhibitText"/>
              <w:jc w:val="left"/>
              <w:rPr>
                <w:b/>
                <w:sz w:val="18"/>
                <w:szCs w:val="18"/>
                <w:lang w:val="en-CA"/>
              </w:rPr>
            </w:pPr>
            <w:r w:rsidRPr="007816B4">
              <w:rPr>
                <w:b/>
                <w:sz w:val="18"/>
                <w:szCs w:val="18"/>
                <w:lang w:val="en-CA"/>
              </w:rPr>
              <w:t xml:space="preserve">Emergency Operations </w:t>
            </w:r>
            <w:r w:rsidR="000777B3">
              <w:rPr>
                <w:b/>
                <w:sz w:val="18"/>
                <w:szCs w:val="18"/>
                <w:lang w:val="en-CA"/>
              </w:rPr>
              <w:t>C</w:t>
            </w:r>
            <w:r w:rsidRPr="007816B4">
              <w:rPr>
                <w:b/>
                <w:sz w:val="18"/>
                <w:szCs w:val="18"/>
                <w:lang w:val="en-CA"/>
              </w:rPr>
              <w:t>entre</w:t>
            </w:r>
          </w:p>
        </w:tc>
        <w:tc>
          <w:tcPr>
            <w:tcW w:w="1350" w:type="dxa"/>
            <w:noWrap/>
            <w:tcMar>
              <w:top w:w="0" w:type="dxa"/>
              <w:left w:w="108" w:type="dxa"/>
              <w:bottom w:w="0" w:type="dxa"/>
              <w:right w:w="108" w:type="dxa"/>
            </w:tcMar>
            <w:vAlign w:val="bottom"/>
            <w:hideMark/>
          </w:tcPr>
          <w:p w14:paraId="1A65C2B4" w14:textId="77777777" w:rsidR="00DA3120" w:rsidRPr="007816B4" w:rsidRDefault="00DA3120" w:rsidP="00AC11FF">
            <w:pPr>
              <w:pStyle w:val="ExhibitText"/>
              <w:jc w:val="right"/>
              <w:rPr>
                <w:sz w:val="18"/>
                <w:szCs w:val="18"/>
                <w:lang w:val="en-CA"/>
              </w:rPr>
            </w:pPr>
            <w:r w:rsidRPr="007816B4">
              <w:rPr>
                <w:sz w:val="18"/>
                <w:szCs w:val="18"/>
                <w:lang w:val="en-CA"/>
              </w:rPr>
              <w:t>$38,000,000</w:t>
            </w:r>
          </w:p>
        </w:tc>
        <w:tc>
          <w:tcPr>
            <w:tcW w:w="1170" w:type="dxa"/>
            <w:noWrap/>
            <w:tcMar>
              <w:top w:w="0" w:type="dxa"/>
              <w:left w:w="108" w:type="dxa"/>
              <w:bottom w:w="0" w:type="dxa"/>
              <w:right w:w="108" w:type="dxa"/>
            </w:tcMar>
            <w:vAlign w:val="bottom"/>
            <w:hideMark/>
          </w:tcPr>
          <w:p w14:paraId="4CEB39BF" w14:textId="77777777" w:rsidR="00DA3120" w:rsidRPr="007816B4" w:rsidRDefault="00DA3120" w:rsidP="00AC11FF">
            <w:pPr>
              <w:pStyle w:val="ExhibitText"/>
              <w:jc w:val="center"/>
              <w:rPr>
                <w:sz w:val="18"/>
                <w:szCs w:val="18"/>
                <w:lang w:val="en-CA"/>
              </w:rPr>
            </w:pPr>
            <w:r w:rsidRPr="007816B4">
              <w:rPr>
                <w:sz w:val="18"/>
                <w:szCs w:val="18"/>
                <w:lang w:val="en-CA"/>
              </w:rPr>
              <w:t>50,000</w:t>
            </w:r>
          </w:p>
        </w:tc>
        <w:tc>
          <w:tcPr>
            <w:tcW w:w="990" w:type="dxa"/>
            <w:noWrap/>
            <w:tcMar>
              <w:top w:w="0" w:type="dxa"/>
              <w:left w:w="108" w:type="dxa"/>
              <w:bottom w:w="0" w:type="dxa"/>
              <w:right w:w="108" w:type="dxa"/>
            </w:tcMar>
            <w:vAlign w:val="bottom"/>
            <w:hideMark/>
          </w:tcPr>
          <w:p w14:paraId="771343BA" w14:textId="77777777" w:rsidR="00DA3120" w:rsidRPr="007816B4" w:rsidRDefault="00DA3120" w:rsidP="00AC11FF">
            <w:pPr>
              <w:pStyle w:val="ExhibitText"/>
              <w:jc w:val="right"/>
              <w:rPr>
                <w:sz w:val="18"/>
                <w:szCs w:val="18"/>
                <w:lang w:val="en-CA"/>
              </w:rPr>
            </w:pPr>
            <w:r w:rsidRPr="007816B4">
              <w:rPr>
                <w:sz w:val="18"/>
                <w:szCs w:val="18"/>
                <w:lang w:val="en-CA"/>
              </w:rPr>
              <w:t>$760</w:t>
            </w:r>
          </w:p>
        </w:tc>
        <w:tc>
          <w:tcPr>
            <w:tcW w:w="2113" w:type="dxa"/>
            <w:noWrap/>
            <w:tcMar>
              <w:top w:w="0" w:type="dxa"/>
              <w:left w:w="108" w:type="dxa"/>
              <w:bottom w:w="0" w:type="dxa"/>
              <w:right w:w="108" w:type="dxa"/>
            </w:tcMar>
            <w:vAlign w:val="bottom"/>
            <w:hideMark/>
          </w:tcPr>
          <w:p w14:paraId="391A33A0" w14:textId="77777777" w:rsidR="00DA3120" w:rsidRPr="007816B4" w:rsidRDefault="00DA3120" w:rsidP="00AC11FF">
            <w:pPr>
              <w:pStyle w:val="ExhibitText"/>
              <w:jc w:val="center"/>
              <w:rPr>
                <w:sz w:val="18"/>
                <w:szCs w:val="18"/>
                <w:lang w:val="en-CA"/>
              </w:rPr>
            </w:pPr>
            <w:r w:rsidRPr="007816B4">
              <w:rPr>
                <w:sz w:val="18"/>
                <w:szCs w:val="18"/>
                <w:lang w:val="en-CA"/>
              </w:rPr>
              <w:t>2012</w:t>
            </w:r>
          </w:p>
        </w:tc>
      </w:tr>
      <w:tr w:rsidR="00DA3120" w:rsidRPr="007816B4" w14:paraId="63802708" w14:textId="77777777" w:rsidTr="00AC11FF">
        <w:trPr>
          <w:trHeight w:val="315"/>
        </w:trPr>
        <w:tc>
          <w:tcPr>
            <w:tcW w:w="3510" w:type="dxa"/>
            <w:noWrap/>
            <w:tcMar>
              <w:top w:w="0" w:type="dxa"/>
              <w:left w:w="108" w:type="dxa"/>
              <w:bottom w:w="0" w:type="dxa"/>
              <w:right w:w="108" w:type="dxa"/>
            </w:tcMar>
            <w:vAlign w:val="bottom"/>
            <w:hideMark/>
          </w:tcPr>
          <w:p w14:paraId="2A093CCD" w14:textId="3807F059" w:rsidR="00DA3120" w:rsidRPr="007816B4" w:rsidRDefault="00DA3120" w:rsidP="00AC11FF">
            <w:pPr>
              <w:pStyle w:val="ExhibitText"/>
              <w:jc w:val="left"/>
              <w:rPr>
                <w:b/>
                <w:sz w:val="18"/>
                <w:szCs w:val="18"/>
                <w:lang w:val="en-CA"/>
              </w:rPr>
            </w:pPr>
            <w:r w:rsidRPr="007816B4">
              <w:rPr>
                <w:b/>
                <w:sz w:val="18"/>
                <w:szCs w:val="18"/>
                <w:lang w:val="en-CA"/>
              </w:rPr>
              <w:t>Markin MacPhail Performance Training Centre</w:t>
            </w:r>
          </w:p>
        </w:tc>
        <w:tc>
          <w:tcPr>
            <w:tcW w:w="1350" w:type="dxa"/>
            <w:noWrap/>
            <w:tcMar>
              <w:top w:w="0" w:type="dxa"/>
              <w:left w:w="108" w:type="dxa"/>
              <w:bottom w:w="0" w:type="dxa"/>
              <w:right w:w="108" w:type="dxa"/>
            </w:tcMar>
            <w:vAlign w:val="bottom"/>
            <w:hideMark/>
          </w:tcPr>
          <w:p w14:paraId="3F6E3ED8" w14:textId="77777777" w:rsidR="00DA3120" w:rsidRPr="007816B4" w:rsidRDefault="00DA3120" w:rsidP="00AC11FF">
            <w:pPr>
              <w:pStyle w:val="ExhibitText"/>
              <w:jc w:val="right"/>
              <w:rPr>
                <w:sz w:val="18"/>
                <w:szCs w:val="18"/>
                <w:lang w:val="en-CA"/>
              </w:rPr>
            </w:pPr>
            <w:r w:rsidRPr="007816B4">
              <w:rPr>
                <w:sz w:val="18"/>
                <w:szCs w:val="18"/>
                <w:lang w:val="en-CA"/>
              </w:rPr>
              <w:t>$31,000,000</w:t>
            </w:r>
          </w:p>
        </w:tc>
        <w:tc>
          <w:tcPr>
            <w:tcW w:w="1170" w:type="dxa"/>
            <w:noWrap/>
            <w:tcMar>
              <w:top w:w="0" w:type="dxa"/>
              <w:left w:w="108" w:type="dxa"/>
              <w:bottom w:w="0" w:type="dxa"/>
              <w:right w:w="108" w:type="dxa"/>
            </w:tcMar>
            <w:vAlign w:val="bottom"/>
            <w:hideMark/>
          </w:tcPr>
          <w:p w14:paraId="036DAB0E" w14:textId="77777777" w:rsidR="00DA3120" w:rsidRPr="007816B4" w:rsidRDefault="00DA3120" w:rsidP="00AC11FF">
            <w:pPr>
              <w:pStyle w:val="ExhibitText"/>
              <w:jc w:val="center"/>
              <w:rPr>
                <w:sz w:val="18"/>
                <w:szCs w:val="18"/>
                <w:lang w:val="en-CA"/>
              </w:rPr>
            </w:pPr>
            <w:r w:rsidRPr="007816B4">
              <w:rPr>
                <w:sz w:val="18"/>
                <w:szCs w:val="18"/>
                <w:lang w:val="en-CA"/>
              </w:rPr>
              <w:t>120,000</w:t>
            </w:r>
          </w:p>
        </w:tc>
        <w:tc>
          <w:tcPr>
            <w:tcW w:w="990" w:type="dxa"/>
            <w:noWrap/>
            <w:tcMar>
              <w:top w:w="0" w:type="dxa"/>
              <w:left w:w="108" w:type="dxa"/>
              <w:bottom w:w="0" w:type="dxa"/>
              <w:right w:w="108" w:type="dxa"/>
            </w:tcMar>
            <w:vAlign w:val="bottom"/>
            <w:hideMark/>
          </w:tcPr>
          <w:p w14:paraId="2147EF9C" w14:textId="77777777" w:rsidR="00DA3120" w:rsidRPr="007816B4" w:rsidRDefault="00DA3120" w:rsidP="00AC11FF">
            <w:pPr>
              <w:pStyle w:val="ExhibitText"/>
              <w:jc w:val="right"/>
              <w:rPr>
                <w:sz w:val="18"/>
                <w:szCs w:val="18"/>
                <w:lang w:val="en-CA"/>
              </w:rPr>
            </w:pPr>
            <w:r w:rsidRPr="007816B4">
              <w:rPr>
                <w:sz w:val="18"/>
                <w:szCs w:val="18"/>
                <w:lang w:val="en-CA"/>
              </w:rPr>
              <w:t>$258</w:t>
            </w:r>
          </w:p>
        </w:tc>
        <w:tc>
          <w:tcPr>
            <w:tcW w:w="2113" w:type="dxa"/>
            <w:noWrap/>
            <w:tcMar>
              <w:top w:w="0" w:type="dxa"/>
              <w:left w:w="108" w:type="dxa"/>
              <w:bottom w:w="0" w:type="dxa"/>
              <w:right w:w="108" w:type="dxa"/>
            </w:tcMar>
            <w:vAlign w:val="bottom"/>
            <w:hideMark/>
          </w:tcPr>
          <w:p w14:paraId="5FBFFE00" w14:textId="77777777" w:rsidR="00DA3120" w:rsidRPr="007816B4" w:rsidRDefault="00DA3120" w:rsidP="00AC11FF">
            <w:pPr>
              <w:pStyle w:val="ExhibitText"/>
              <w:jc w:val="center"/>
              <w:rPr>
                <w:sz w:val="18"/>
                <w:szCs w:val="18"/>
                <w:lang w:val="en-CA"/>
              </w:rPr>
            </w:pPr>
            <w:r w:rsidRPr="007816B4">
              <w:rPr>
                <w:sz w:val="18"/>
                <w:szCs w:val="18"/>
                <w:lang w:val="en-CA"/>
              </w:rPr>
              <w:t>2013</w:t>
            </w:r>
          </w:p>
        </w:tc>
      </w:tr>
      <w:tr w:rsidR="00DA3120" w:rsidRPr="007816B4" w14:paraId="03B2C305" w14:textId="77777777" w:rsidTr="00AC11FF">
        <w:trPr>
          <w:trHeight w:val="143"/>
        </w:trPr>
        <w:tc>
          <w:tcPr>
            <w:tcW w:w="3510" w:type="dxa"/>
            <w:noWrap/>
            <w:tcMar>
              <w:top w:w="0" w:type="dxa"/>
              <w:left w:w="108" w:type="dxa"/>
              <w:bottom w:w="0" w:type="dxa"/>
              <w:right w:w="108" w:type="dxa"/>
            </w:tcMar>
            <w:vAlign w:val="bottom"/>
            <w:hideMark/>
          </w:tcPr>
          <w:p w14:paraId="4666405D" w14:textId="77777777" w:rsidR="00DA3120" w:rsidRPr="007816B4" w:rsidRDefault="00DA3120" w:rsidP="00AC11FF">
            <w:pPr>
              <w:pStyle w:val="ExhibitText"/>
              <w:jc w:val="left"/>
              <w:rPr>
                <w:b/>
                <w:sz w:val="18"/>
                <w:szCs w:val="18"/>
                <w:lang w:val="en-CA"/>
              </w:rPr>
            </w:pPr>
            <w:r w:rsidRPr="007816B4">
              <w:rPr>
                <w:b/>
                <w:sz w:val="18"/>
                <w:szCs w:val="18"/>
                <w:lang w:val="en-CA"/>
              </w:rPr>
              <w:t>Philip J</w:t>
            </w:r>
            <w:r w:rsidR="000777B3">
              <w:rPr>
                <w:b/>
                <w:sz w:val="18"/>
                <w:szCs w:val="18"/>
                <w:lang w:val="en-CA"/>
              </w:rPr>
              <w:t>.</w:t>
            </w:r>
            <w:r w:rsidRPr="007816B4">
              <w:rPr>
                <w:b/>
                <w:sz w:val="18"/>
                <w:szCs w:val="18"/>
                <w:lang w:val="en-CA"/>
              </w:rPr>
              <w:t xml:space="preserve"> Currie Dinosaur Museum</w:t>
            </w:r>
          </w:p>
        </w:tc>
        <w:tc>
          <w:tcPr>
            <w:tcW w:w="1350" w:type="dxa"/>
            <w:noWrap/>
            <w:tcMar>
              <w:top w:w="0" w:type="dxa"/>
              <w:left w:w="108" w:type="dxa"/>
              <w:bottom w:w="0" w:type="dxa"/>
              <w:right w:w="108" w:type="dxa"/>
            </w:tcMar>
            <w:vAlign w:val="bottom"/>
            <w:hideMark/>
          </w:tcPr>
          <w:p w14:paraId="5BBFFD2F" w14:textId="77777777" w:rsidR="00DA3120" w:rsidRPr="007816B4" w:rsidRDefault="00DA3120" w:rsidP="00AC11FF">
            <w:pPr>
              <w:pStyle w:val="ExhibitText"/>
              <w:jc w:val="right"/>
              <w:rPr>
                <w:sz w:val="18"/>
                <w:szCs w:val="18"/>
                <w:lang w:val="en-CA"/>
              </w:rPr>
            </w:pPr>
            <w:r w:rsidRPr="007816B4">
              <w:rPr>
                <w:sz w:val="18"/>
                <w:szCs w:val="18"/>
                <w:lang w:val="en-CA"/>
              </w:rPr>
              <w:t>$25,500,000</w:t>
            </w:r>
          </w:p>
        </w:tc>
        <w:tc>
          <w:tcPr>
            <w:tcW w:w="1170" w:type="dxa"/>
            <w:noWrap/>
            <w:tcMar>
              <w:top w:w="0" w:type="dxa"/>
              <w:left w:w="108" w:type="dxa"/>
              <w:bottom w:w="0" w:type="dxa"/>
              <w:right w:w="108" w:type="dxa"/>
            </w:tcMar>
            <w:vAlign w:val="bottom"/>
            <w:hideMark/>
          </w:tcPr>
          <w:p w14:paraId="6F60E643" w14:textId="77777777" w:rsidR="00DA3120" w:rsidRPr="007816B4" w:rsidRDefault="00DA3120" w:rsidP="00AC11FF">
            <w:pPr>
              <w:pStyle w:val="ExhibitText"/>
              <w:jc w:val="center"/>
              <w:rPr>
                <w:sz w:val="18"/>
                <w:szCs w:val="18"/>
                <w:lang w:val="en-CA"/>
              </w:rPr>
            </w:pPr>
            <w:r w:rsidRPr="007816B4">
              <w:rPr>
                <w:sz w:val="18"/>
                <w:szCs w:val="18"/>
                <w:lang w:val="en-CA"/>
              </w:rPr>
              <w:t>33,000</w:t>
            </w:r>
          </w:p>
        </w:tc>
        <w:tc>
          <w:tcPr>
            <w:tcW w:w="990" w:type="dxa"/>
            <w:noWrap/>
            <w:tcMar>
              <w:top w:w="0" w:type="dxa"/>
              <w:left w:w="108" w:type="dxa"/>
              <w:bottom w:w="0" w:type="dxa"/>
              <w:right w:w="108" w:type="dxa"/>
            </w:tcMar>
            <w:vAlign w:val="bottom"/>
            <w:hideMark/>
          </w:tcPr>
          <w:p w14:paraId="736E91A5" w14:textId="77777777" w:rsidR="00DA3120" w:rsidRPr="007816B4" w:rsidRDefault="00DA3120" w:rsidP="00AC11FF">
            <w:pPr>
              <w:pStyle w:val="ExhibitText"/>
              <w:jc w:val="right"/>
              <w:rPr>
                <w:sz w:val="18"/>
                <w:szCs w:val="18"/>
                <w:lang w:val="en-CA"/>
              </w:rPr>
            </w:pPr>
            <w:r w:rsidRPr="007816B4">
              <w:rPr>
                <w:sz w:val="18"/>
                <w:szCs w:val="18"/>
                <w:lang w:val="en-CA"/>
              </w:rPr>
              <w:t>$773</w:t>
            </w:r>
          </w:p>
        </w:tc>
        <w:tc>
          <w:tcPr>
            <w:tcW w:w="2113" w:type="dxa"/>
            <w:noWrap/>
            <w:tcMar>
              <w:top w:w="0" w:type="dxa"/>
              <w:left w:w="108" w:type="dxa"/>
              <w:bottom w:w="0" w:type="dxa"/>
              <w:right w:w="108" w:type="dxa"/>
            </w:tcMar>
            <w:vAlign w:val="bottom"/>
            <w:hideMark/>
          </w:tcPr>
          <w:p w14:paraId="73D66A23" w14:textId="77777777" w:rsidR="00DA3120" w:rsidRPr="007816B4" w:rsidRDefault="00DA3120" w:rsidP="00AC11FF">
            <w:pPr>
              <w:pStyle w:val="ExhibitText"/>
              <w:jc w:val="center"/>
              <w:rPr>
                <w:sz w:val="18"/>
                <w:szCs w:val="18"/>
                <w:lang w:val="en-CA"/>
              </w:rPr>
            </w:pPr>
            <w:r w:rsidRPr="007816B4">
              <w:rPr>
                <w:sz w:val="18"/>
                <w:szCs w:val="18"/>
                <w:lang w:val="en-CA"/>
              </w:rPr>
              <w:t>2013</w:t>
            </w:r>
          </w:p>
        </w:tc>
      </w:tr>
      <w:tr w:rsidR="00DA3120" w:rsidRPr="007816B4" w14:paraId="0861B6D6" w14:textId="77777777" w:rsidTr="00AC11FF">
        <w:trPr>
          <w:trHeight w:val="315"/>
        </w:trPr>
        <w:tc>
          <w:tcPr>
            <w:tcW w:w="3510" w:type="dxa"/>
            <w:tcMar>
              <w:top w:w="0" w:type="dxa"/>
              <w:left w:w="108" w:type="dxa"/>
              <w:bottom w:w="0" w:type="dxa"/>
              <w:right w:w="108" w:type="dxa"/>
            </w:tcMar>
            <w:vAlign w:val="bottom"/>
            <w:hideMark/>
          </w:tcPr>
          <w:p w14:paraId="7BF0457E" w14:textId="77777777" w:rsidR="00DA3120" w:rsidRPr="007816B4" w:rsidRDefault="00DA3120" w:rsidP="00AC11FF">
            <w:pPr>
              <w:pStyle w:val="ExhibitText"/>
              <w:jc w:val="left"/>
              <w:rPr>
                <w:b/>
                <w:sz w:val="18"/>
                <w:szCs w:val="18"/>
                <w:lang w:val="en-CA"/>
              </w:rPr>
            </w:pPr>
            <w:r w:rsidRPr="007816B4">
              <w:rPr>
                <w:b/>
                <w:sz w:val="18"/>
                <w:szCs w:val="18"/>
                <w:lang w:val="en-CA"/>
              </w:rPr>
              <w:t>Jeanne and Peter Lougheed Performing Arts Centre</w:t>
            </w:r>
          </w:p>
        </w:tc>
        <w:tc>
          <w:tcPr>
            <w:tcW w:w="1350" w:type="dxa"/>
            <w:noWrap/>
            <w:tcMar>
              <w:top w:w="0" w:type="dxa"/>
              <w:left w:w="108" w:type="dxa"/>
              <w:bottom w:w="0" w:type="dxa"/>
              <w:right w:w="108" w:type="dxa"/>
            </w:tcMar>
            <w:vAlign w:val="bottom"/>
            <w:hideMark/>
          </w:tcPr>
          <w:p w14:paraId="4BA6F932" w14:textId="77777777" w:rsidR="00DA3120" w:rsidRPr="007816B4" w:rsidRDefault="00DA3120" w:rsidP="00AC11FF">
            <w:pPr>
              <w:pStyle w:val="ExhibitText"/>
              <w:jc w:val="right"/>
              <w:rPr>
                <w:sz w:val="18"/>
                <w:szCs w:val="18"/>
                <w:lang w:val="en-CA"/>
              </w:rPr>
            </w:pPr>
            <w:r w:rsidRPr="007816B4">
              <w:rPr>
                <w:sz w:val="18"/>
                <w:szCs w:val="18"/>
                <w:lang w:val="en-CA"/>
              </w:rPr>
              <w:t>$17,500,000</w:t>
            </w:r>
          </w:p>
        </w:tc>
        <w:tc>
          <w:tcPr>
            <w:tcW w:w="1170" w:type="dxa"/>
            <w:noWrap/>
            <w:tcMar>
              <w:top w:w="0" w:type="dxa"/>
              <w:left w:w="108" w:type="dxa"/>
              <w:bottom w:w="0" w:type="dxa"/>
              <w:right w:w="108" w:type="dxa"/>
            </w:tcMar>
            <w:vAlign w:val="bottom"/>
            <w:hideMark/>
          </w:tcPr>
          <w:p w14:paraId="5FB2C7E8" w14:textId="77777777" w:rsidR="00DA3120" w:rsidRPr="007816B4" w:rsidRDefault="00DA3120" w:rsidP="00AC11FF">
            <w:pPr>
              <w:pStyle w:val="ExhibitText"/>
              <w:jc w:val="center"/>
              <w:rPr>
                <w:sz w:val="18"/>
                <w:szCs w:val="18"/>
                <w:lang w:val="en-CA"/>
              </w:rPr>
            </w:pPr>
            <w:r w:rsidRPr="007816B4">
              <w:rPr>
                <w:sz w:val="18"/>
                <w:szCs w:val="18"/>
                <w:lang w:val="en-CA"/>
              </w:rPr>
              <w:t>44,200</w:t>
            </w:r>
          </w:p>
        </w:tc>
        <w:tc>
          <w:tcPr>
            <w:tcW w:w="990" w:type="dxa"/>
            <w:noWrap/>
            <w:tcMar>
              <w:top w:w="0" w:type="dxa"/>
              <w:left w:w="108" w:type="dxa"/>
              <w:bottom w:w="0" w:type="dxa"/>
              <w:right w:w="108" w:type="dxa"/>
            </w:tcMar>
            <w:vAlign w:val="bottom"/>
            <w:hideMark/>
          </w:tcPr>
          <w:p w14:paraId="68ABF9D4" w14:textId="77777777" w:rsidR="00DA3120" w:rsidRPr="007816B4" w:rsidRDefault="00DA3120" w:rsidP="00AC11FF">
            <w:pPr>
              <w:pStyle w:val="ExhibitText"/>
              <w:jc w:val="right"/>
              <w:rPr>
                <w:sz w:val="18"/>
                <w:szCs w:val="18"/>
                <w:lang w:val="en-CA"/>
              </w:rPr>
            </w:pPr>
            <w:r w:rsidRPr="007816B4">
              <w:rPr>
                <w:sz w:val="18"/>
                <w:szCs w:val="18"/>
                <w:lang w:val="en-CA"/>
              </w:rPr>
              <w:t>$396</w:t>
            </w:r>
          </w:p>
        </w:tc>
        <w:tc>
          <w:tcPr>
            <w:tcW w:w="2113" w:type="dxa"/>
            <w:noWrap/>
            <w:tcMar>
              <w:top w:w="0" w:type="dxa"/>
              <w:left w:w="108" w:type="dxa"/>
              <w:bottom w:w="0" w:type="dxa"/>
              <w:right w:w="108" w:type="dxa"/>
            </w:tcMar>
            <w:vAlign w:val="bottom"/>
            <w:hideMark/>
          </w:tcPr>
          <w:p w14:paraId="289C1F18" w14:textId="77777777" w:rsidR="00DA3120" w:rsidRPr="007816B4" w:rsidRDefault="00DA3120" w:rsidP="00AC11FF">
            <w:pPr>
              <w:pStyle w:val="ExhibitText"/>
              <w:jc w:val="center"/>
              <w:rPr>
                <w:sz w:val="18"/>
                <w:szCs w:val="18"/>
                <w:lang w:val="en-CA"/>
              </w:rPr>
            </w:pPr>
            <w:r w:rsidRPr="007816B4">
              <w:rPr>
                <w:sz w:val="18"/>
                <w:szCs w:val="18"/>
                <w:lang w:val="en-CA"/>
              </w:rPr>
              <w:t>2014</w:t>
            </w:r>
          </w:p>
        </w:tc>
      </w:tr>
      <w:tr w:rsidR="00DA3120" w:rsidRPr="007816B4" w14:paraId="548DB5D6" w14:textId="77777777" w:rsidTr="00AC11FF">
        <w:trPr>
          <w:trHeight w:val="315"/>
        </w:trPr>
        <w:tc>
          <w:tcPr>
            <w:tcW w:w="3510" w:type="dxa"/>
            <w:noWrap/>
            <w:tcMar>
              <w:top w:w="0" w:type="dxa"/>
              <w:left w:w="108" w:type="dxa"/>
              <w:bottom w:w="0" w:type="dxa"/>
              <w:right w:w="108" w:type="dxa"/>
            </w:tcMar>
            <w:vAlign w:val="bottom"/>
            <w:hideMark/>
          </w:tcPr>
          <w:p w14:paraId="27AFDE6D" w14:textId="77777777" w:rsidR="00DA3120" w:rsidRPr="007816B4" w:rsidRDefault="00DA3120" w:rsidP="00AC11FF">
            <w:pPr>
              <w:pStyle w:val="ExhibitText"/>
              <w:jc w:val="left"/>
              <w:rPr>
                <w:b/>
                <w:sz w:val="18"/>
                <w:szCs w:val="18"/>
                <w:lang w:val="en-CA"/>
              </w:rPr>
            </w:pPr>
            <w:r w:rsidRPr="007816B4">
              <w:rPr>
                <w:b/>
                <w:sz w:val="18"/>
                <w:szCs w:val="18"/>
                <w:lang w:val="en-CA"/>
              </w:rPr>
              <w:t>The Mosaic Centre for Conscious Community and Commerce</w:t>
            </w:r>
          </w:p>
        </w:tc>
        <w:tc>
          <w:tcPr>
            <w:tcW w:w="1350" w:type="dxa"/>
            <w:noWrap/>
            <w:tcMar>
              <w:top w:w="0" w:type="dxa"/>
              <w:left w:w="108" w:type="dxa"/>
              <w:bottom w:w="0" w:type="dxa"/>
              <w:right w:w="108" w:type="dxa"/>
            </w:tcMar>
            <w:vAlign w:val="bottom"/>
            <w:hideMark/>
          </w:tcPr>
          <w:p w14:paraId="20F4B54B" w14:textId="77777777" w:rsidR="00DA3120" w:rsidRPr="007816B4" w:rsidRDefault="00DA3120" w:rsidP="00AC11FF">
            <w:pPr>
              <w:pStyle w:val="ExhibitText"/>
              <w:jc w:val="right"/>
              <w:rPr>
                <w:sz w:val="18"/>
                <w:szCs w:val="18"/>
                <w:lang w:val="en-CA"/>
              </w:rPr>
            </w:pPr>
            <w:r w:rsidRPr="007816B4">
              <w:rPr>
                <w:sz w:val="18"/>
                <w:szCs w:val="18"/>
                <w:lang w:val="en-CA"/>
              </w:rPr>
              <w:t>$11,600,000</w:t>
            </w:r>
          </w:p>
        </w:tc>
        <w:tc>
          <w:tcPr>
            <w:tcW w:w="1170" w:type="dxa"/>
            <w:noWrap/>
            <w:tcMar>
              <w:top w:w="0" w:type="dxa"/>
              <w:left w:w="108" w:type="dxa"/>
              <w:bottom w:w="0" w:type="dxa"/>
              <w:right w:w="108" w:type="dxa"/>
            </w:tcMar>
            <w:vAlign w:val="bottom"/>
            <w:hideMark/>
          </w:tcPr>
          <w:p w14:paraId="66DBD2D7" w14:textId="77777777" w:rsidR="00DA3120" w:rsidRPr="007816B4" w:rsidRDefault="00DA3120" w:rsidP="00AC11FF">
            <w:pPr>
              <w:pStyle w:val="ExhibitText"/>
              <w:jc w:val="center"/>
              <w:rPr>
                <w:sz w:val="18"/>
                <w:szCs w:val="18"/>
                <w:lang w:val="en-CA"/>
              </w:rPr>
            </w:pPr>
            <w:r w:rsidRPr="007816B4">
              <w:rPr>
                <w:sz w:val="18"/>
                <w:szCs w:val="18"/>
                <w:lang w:val="en-CA"/>
              </w:rPr>
              <w:t>30,000</w:t>
            </w:r>
          </w:p>
        </w:tc>
        <w:tc>
          <w:tcPr>
            <w:tcW w:w="990" w:type="dxa"/>
            <w:noWrap/>
            <w:tcMar>
              <w:top w:w="0" w:type="dxa"/>
              <w:left w:w="108" w:type="dxa"/>
              <w:bottom w:w="0" w:type="dxa"/>
              <w:right w:w="108" w:type="dxa"/>
            </w:tcMar>
            <w:vAlign w:val="bottom"/>
            <w:hideMark/>
          </w:tcPr>
          <w:p w14:paraId="1A345EB8" w14:textId="77777777" w:rsidR="00DA3120" w:rsidRPr="007816B4" w:rsidRDefault="00DA3120" w:rsidP="00AC11FF">
            <w:pPr>
              <w:pStyle w:val="ExhibitText"/>
              <w:jc w:val="right"/>
              <w:rPr>
                <w:sz w:val="18"/>
                <w:szCs w:val="18"/>
                <w:lang w:val="en-CA"/>
              </w:rPr>
            </w:pPr>
            <w:r w:rsidRPr="007816B4">
              <w:rPr>
                <w:sz w:val="18"/>
                <w:szCs w:val="18"/>
                <w:lang w:val="en-CA"/>
              </w:rPr>
              <w:t>$387</w:t>
            </w:r>
          </w:p>
        </w:tc>
        <w:tc>
          <w:tcPr>
            <w:tcW w:w="2113" w:type="dxa"/>
            <w:noWrap/>
            <w:tcMar>
              <w:top w:w="0" w:type="dxa"/>
              <w:left w:w="108" w:type="dxa"/>
              <w:bottom w:w="0" w:type="dxa"/>
              <w:right w:w="108" w:type="dxa"/>
            </w:tcMar>
            <w:vAlign w:val="bottom"/>
            <w:hideMark/>
          </w:tcPr>
          <w:p w14:paraId="66227FCD" w14:textId="77777777" w:rsidR="00DA3120" w:rsidRPr="007816B4" w:rsidRDefault="00DA3120" w:rsidP="00AC11FF">
            <w:pPr>
              <w:pStyle w:val="ExhibitText"/>
              <w:jc w:val="center"/>
              <w:rPr>
                <w:sz w:val="18"/>
                <w:szCs w:val="18"/>
                <w:lang w:val="en-CA"/>
              </w:rPr>
            </w:pPr>
            <w:r w:rsidRPr="007816B4">
              <w:rPr>
                <w:sz w:val="18"/>
                <w:szCs w:val="18"/>
                <w:lang w:val="en-CA"/>
              </w:rPr>
              <w:t>2014</w:t>
            </w:r>
          </w:p>
        </w:tc>
      </w:tr>
      <w:tr w:rsidR="00DA3120" w:rsidRPr="007816B4" w14:paraId="6121BDE1" w14:textId="77777777" w:rsidTr="00AC11FF">
        <w:trPr>
          <w:trHeight w:val="60"/>
        </w:trPr>
        <w:tc>
          <w:tcPr>
            <w:tcW w:w="3510" w:type="dxa"/>
            <w:noWrap/>
            <w:tcMar>
              <w:top w:w="0" w:type="dxa"/>
              <w:left w:w="108" w:type="dxa"/>
              <w:bottom w:w="0" w:type="dxa"/>
              <w:right w:w="108" w:type="dxa"/>
            </w:tcMar>
            <w:vAlign w:val="bottom"/>
            <w:hideMark/>
          </w:tcPr>
          <w:p w14:paraId="5B85AED4" w14:textId="77777777" w:rsidR="00DA3120" w:rsidRPr="007816B4" w:rsidRDefault="00DA3120" w:rsidP="00AC11FF">
            <w:pPr>
              <w:pStyle w:val="ExhibitText"/>
              <w:jc w:val="left"/>
              <w:rPr>
                <w:b/>
                <w:sz w:val="18"/>
                <w:szCs w:val="18"/>
                <w:lang w:val="en-CA"/>
              </w:rPr>
            </w:pPr>
            <w:r w:rsidRPr="007816B4">
              <w:rPr>
                <w:b/>
                <w:sz w:val="18"/>
                <w:szCs w:val="18"/>
                <w:lang w:val="en-CA"/>
              </w:rPr>
              <w:t>Abbotsfield Recreation Centre</w:t>
            </w:r>
          </w:p>
        </w:tc>
        <w:tc>
          <w:tcPr>
            <w:tcW w:w="1350" w:type="dxa"/>
            <w:noWrap/>
            <w:tcMar>
              <w:top w:w="0" w:type="dxa"/>
              <w:left w:w="108" w:type="dxa"/>
              <w:bottom w:w="0" w:type="dxa"/>
              <w:right w:w="108" w:type="dxa"/>
            </w:tcMar>
            <w:vAlign w:val="bottom"/>
            <w:hideMark/>
          </w:tcPr>
          <w:p w14:paraId="3290DDEC" w14:textId="77777777" w:rsidR="00DA3120" w:rsidRPr="007816B4" w:rsidRDefault="00DA3120" w:rsidP="00AC11FF">
            <w:pPr>
              <w:pStyle w:val="ExhibitText"/>
              <w:jc w:val="right"/>
              <w:rPr>
                <w:sz w:val="18"/>
                <w:szCs w:val="18"/>
                <w:lang w:val="en-CA"/>
              </w:rPr>
            </w:pPr>
            <w:r w:rsidRPr="007816B4">
              <w:rPr>
                <w:sz w:val="18"/>
                <w:szCs w:val="18"/>
                <w:lang w:val="en-CA"/>
              </w:rPr>
              <w:t>$6,800,000</w:t>
            </w:r>
          </w:p>
        </w:tc>
        <w:tc>
          <w:tcPr>
            <w:tcW w:w="1170" w:type="dxa"/>
            <w:noWrap/>
            <w:tcMar>
              <w:top w:w="0" w:type="dxa"/>
              <w:left w:w="108" w:type="dxa"/>
              <w:bottom w:w="0" w:type="dxa"/>
              <w:right w:w="108" w:type="dxa"/>
            </w:tcMar>
            <w:vAlign w:val="bottom"/>
            <w:hideMark/>
          </w:tcPr>
          <w:p w14:paraId="7A9E7794" w14:textId="77777777" w:rsidR="00DA3120" w:rsidRPr="007816B4" w:rsidRDefault="00DA3120" w:rsidP="00AC11FF">
            <w:pPr>
              <w:pStyle w:val="ExhibitText"/>
              <w:jc w:val="center"/>
              <w:rPr>
                <w:sz w:val="18"/>
                <w:szCs w:val="18"/>
                <w:lang w:val="en-CA"/>
              </w:rPr>
            </w:pPr>
            <w:r w:rsidRPr="007816B4">
              <w:rPr>
                <w:sz w:val="18"/>
                <w:szCs w:val="18"/>
                <w:lang w:val="en-CA"/>
              </w:rPr>
              <w:t>10,100</w:t>
            </w:r>
          </w:p>
        </w:tc>
        <w:tc>
          <w:tcPr>
            <w:tcW w:w="990" w:type="dxa"/>
            <w:noWrap/>
            <w:tcMar>
              <w:top w:w="0" w:type="dxa"/>
              <w:left w:w="108" w:type="dxa"/>
              <w:bottom w:w="0" w:type="dxa"/>
              <w:right w:w="108" w:type="dxa"/>
            </w:tcMar>
            <w:vAlign w:val="bottom"/>
            <w:hideMark/>
          </w:tcPr>
          <w:p w14:paraId="2C5E6898" w14:textId="77777777" w:rsidR="00DA3120" w:rsidRPr="007816B4" w:rsidRDefault="00DA3120" w:rsidP="00AC11FF">
            <w:pPr>
              <w:pStyle w:val="ExhibitText"/>
              <w:jc w:val="right"/>
              <w:rPr>
                <w:sz w:val="18"/>
                <w:szCs w:val="18"/>
                <w:lang w:val="en-CA"/>
              </w:rPr>
            </w:pPr>
            <w:r w:rsidRPr="007816B4">
              <w:rPr>
                <w:sz w:val="18"/>
                <w:szCs w:val="18"/>
                <w:lang w:val="en-CA"/>
              </w:rPr>
              <w:t>$673</w:t>
            </w:r>
          </w:p>
        </w:tc>
        <w:tc>
          <w:tcPr>
            <w:tcW w:w="2113" w:type="dxa"/>
            <w:noWrap/>
            <w:tcMar>
              <w:top w:w="0" w:type="dxa"/>
              <w:left w:w="108" w:type="dxa"/>
              <w:bottom w:w="0" w:type="dxa"/>
              <w:right w:w="108" w:type="dxa"/>
            </w:tcMar>
            <w:vAlign w:val="bottom"/>
            <w:hideMark/>
          </w:tcPr>
          <w:p w14:paraId="3CDF6490" w14:textId="77777777" w:rsidR="00DA3120" w:rsidRPr="007816B4" w:rsidRDefault="00DA3120" w:rsidP="00AC11FF">
            <w:pPr>
              <w:pStyle w:val="ExhibitText"/>
              <w:jc w:val="center"/>
              <w:rPr>
                <w:sz w:val="18"/>
                <w:szCs w:val="18"/>
                <w:lang w:val="en-CA"/>
              </w:rPr>
            </w:pPr>
            <w:r w:rsidRPr="007816B4">
              <w:rPr>
                <w:sz w:val="18"/>
                <w:szCs w:val="18"/>
                <w:lang w:val="en-CA"/>
              </w:rPr>
              <w:t>2014</w:t>
            </w:r>
          </w:p>
        </w:tc>
      </w:tr>
      <w:tr w:rsidR="00DA3120" w:rsidRPr="007816B4" w14:paraId="2082E541" w14:textId="77777777" w:rsidTr="00AC11FF">
        <w:trPr>
          <w:trHeight w:val="116"/>
        </w:trPr>
        <w:tc>
          <w:tcPr>
            <w:tcW w:w="3510" w:type="dxa"/>
            <w:noWrap/>
            <w:tcMar>
              <w:top w:w="0" w:type="dxa"/>
              <w:left w:w="108" w:type="dxa"/>
              <w:bottom w:w="0" w:type="dxa"/>
              <w:right w:w="108" w:type="dxa"/>
            </w:tcMar>
            <w:vAlign w:val="bottom"/>
            <w:hideMark/>
          </w:tcPr>
          <w:p w14:paraId="667E4B36" w14:textId="77777777" w:rsidR="00DA3120" w:rsidRPr="007816B4" w:rsidRDefault="00DA3120" w:rsidP="00AC11FF">
            <w:pPr>
              <w:pStyle w:val="ExhibitText"/>
              <w:jc w:val="left"/>
              <w:rPr>
                <w:b/>
                <w:sz w:val="18"/>
                <w:szCs w:val="18"/>
                <w:lang w:val="en-CA"/>
              </w:rPr>
            </w:pPr>
            <w:r w:rsidRPr="007816B4">
              <w:rPr>
                <w:b/>
                <w:sz w:val="18"/>
                <w:szCs w:val="18"/>
                <w:lang w:val="en-CA"/>
              </w:rPr>
              <w:t>PCL Building 1</w:t>
            </w:r>
          </w:p>
        </w:tc>
        <w:tc>
          <w:tcPr>
            <w:tcW w:w="1350" w:type="dxa"/>
            <w:noWrap/>
            <w:tcMar>
              <w:top w:w="0" w:type="dxa"/>
              <w:left w:w="108" w:type="dxa"/>
              <w:bottom w:w="0" w:type="dxa"/>
              <w:right w:w="108" w:type="dxa"/>
            </w:tcMar>
            <w:vAlign w:val="bottom"/>
            <w:hideMark/>
          </w:tcPr>
          <w:p w14:paraId="161834BB" w14:textId="77777777" w:rsidR="00DA3120" w:rsidRPr="007816B4" w:rsidRDefault="00DA3120" w:rsidP="00AC11FF">
            <w:pPr>
              <w:pStyle w:val="ExhibitText"/>
              <w:jc w:val="right"/>
              <w:rPr>
                <w:sz w:val="18"/>
                <w:szCs w:val="18"/>
                <w:lang w:val="en-CA"/>
              </w:rPr>
            </w:pPr>
            <w:r w:rsidRPr="007816B4">
              <w:rPr>
                <w:sz w:val="18"/>
                <w:szCs w:val="18"/>
                <w:lang w:val="en-CA"/>
              </w:rPr>
              <w:t>$19,900,000</w:t>
            </w:r>
          </w:p>
        </w:tc>
        <w:tc>
          <w:tcPr>
            <w:tcW w:w="1170" w:type="dxa"/>
            <w:noWrap/>
            <w:tcMar>
              <w:top w:w="0" w:type="dxa"/>
              <w:left w:w="108" w:type="dxa"/>
              <w:bottom w:w="0" w:type="dxa"/>
              <w:right w:w="108" w:type="dxa"/>
            </w:tcMar>
            <w:vAlign w:val="bottom"/>
            <w:hideMark/>
          </w:tcPr>
          <w:p w14:paraId="39ABA2CE" w14:textId="77777777" w:rsidR="00DA3120" w:rsidRPr="007816B4" w:rsidRDefault="00DA3120" w:rsidP="00AC11FF">
            <w:pPr>
              <w:pStyle w:val="ExhibitText"/>
              <w:jc w:val="center"/>
              <w:rPr>
                <w:sz w:val="18"/>
                <w:szCs w:val="18"/>
                <w:lang w:val="en-CA"/>
              </w:rPr>
            </w:pPr>
            <w:r w:rsidRPr="007816B4">
              <w:rPr>
                <w:sz w:val="18"/>
                <w:szCs w:val="18"/>
                <w:lang w:val="en-CA"/>
              </w:rPr>
              <w:t>44,000</w:t>
            </w:r>
          </w:p>
        </w:tc>
        <w:tc>
          <w:tcPr>
            <w:tcW w:w="990" w:type="dxa"/>
            <w:noWrap/>
            <w:tcMar>
              <w:top w:w="0" w:type="dxa"/>
              <w:left w:w="108" w:type="dxa"/>
              <w:bottom w:w="0" w:type="dxa"/>
              <w:right w:w="108" w:type="dxa"/>
            </w:tcMar>
            <w:vAlign w:val="bottom"/>
            <w:hideMark/>
          </w:tcPr>
          <w:p w14:paraId="08918D82" w14:textId="77777777" w:rsidR="00DA3120" w:rsidRPr="007816B4" w:rsidRDefault="00DA3120" w:rsidP="00AC11FF">
            <w:pPr>
              <w:pStyle w:val="ExhibitText"/>
              <w:jc w:val="right"/>
              <w:rPr>
                <w:sz w:val="18"/>
                <w:szCs w:val="18"/>
                <w:lang w:val="en-CA"/>
              </w:rPr>
            </w:pPr>
            <w:r w:rsidRPr="007816B4">
              <w:rPr>
                <w:sz w:val="18"/>
                <w:szCs w:val="18"/>
                <w:lang w:val="en-CA"/>
              </w:rPr>
              <w:t>$452</w:t>
            </w:r>
          </w:p>
        </w:tc>
        <w:tc>
          <w:tcPr>
            <w:tcW w:w="2113" w:type="dxa"/>
            <w:noWrap/>
            <w:tcMar>
              <w:top w:w="0" w:type="dxa"/>
              <w:left w:w="108" w:type="dxa"/>
              <w:bottom w:w="0" w:type="dxa"/>
              <w:right w:w="108" w:type="dxa"/>
            </w:tcMar>
            <w:vAlign w:val="bottom"/>
            <w:hideMark/>
          </w:tcPr>
          <w:p w14:paraId="52EE7171" w14:textId="77777777" w:rsidR="00DA3120" w:rsidRPr="007816B4" w:rsidRDefault="00DA3120" w:rsidP="00AC11FF">
            <w:pPr>
              <w:pStyle w:val="ExhibitText"/>
              <w:jc w:val="center"/>
              <w:rPr>
                <w:sz w:val="18"/>
                <w:szCs w:val="18"/>
                <w:lang w:val="en-CA"/>
              </w:rPr>
            </w:pPr>
            <w:r w:rsidRPr="007816B4">
              <w:rPr>
                <w:sz w:val="18"/>
                <w:szCs w:val="18"/>
                <w:lang w:val="en-CA"/>
              </w:rPr>
              <w:t>2014</w:t>
            </w:r>
          </w:p>
        </w:tc>
      </w:tr>
      <w:tr w:rsidR="00DA3120" w:rsidRPr="007816B4" w14:paraId="05750B2E" w14:textId="77777777" w:rsidTr="00AC11FF">
        <w:trPr>
          <w:trHeight w:val="315"/>
        </w:trPr>
        <w:tc>
          <w:tcPr>
            <w:tcW w:w="3510" w:type="dxa"/>
            <w:noWrap/>
            <w:tcMar>
              <w:top w:w="0" w:type="dxa"/>
              <w:left w:w="108" w:type="dxa"/>
              <w:bottom w:w="0" w:type="dxa"/>
              <w:right w:w="108" w:type="dxa"/>
            </w:tcMar>
            <w:vAlign w:val="bottom"/>
            <w:hideMark/>
          </w:tcPr>
          <w:p w14:paraId="58A1A2FD" w14:textId="77777777" w:rsidR="00DA3120" w:rsidRPr="007816B4" w:rsidRDefault="00DA3120" w:rsidP="00AC11FF">
            <w:pPr>
              <w:pStyle w:val="ExhibitText"/>
              <w:jc w:val="left"/>
              <w:rPr>
                <w:b/>
                <w:sz w:val="18"/>
                <w:szCs w:val="18"/>
                <w:lang w:val="en-CA"/>
              </w:rPr>
            </w:pPr>
            <w:r w:rsidRPr="007816B4">
              <w:rPr>
                <w:b/>
                <w:sz w:val="18"/>
                <w:szCs w:val="18"/>
                <w:lang w:val="en-CA"/>
              </w:rPr>
              <w:t>Fort Saskatchewan’s Interpretive Centre</w:t>
            </w:r>
          </w:p>
        </w:tc>
        <w:tc>
          <w:tcPr>
            <w:tcW w:w="1350" w:type="dxa"/>
            <w:noWrap/>
            <w:tcMar>
              <w:top w:w="0" w:type="dxa"/>
              <w:left w:w="108" w:type="dxa"/>
              <w:bottom w:w="0" w:type="dxa"/>
              <w:right w:w="108" w:type="dxa"/>
            </w:tcMar>
            <w:vAlign w:val="bottom"/>
            <w:hideMark/>
          </w:tcPr>
          <w:p w14:paraId="4BF69C7A" w14:textId="77777777" w:rsidR="00DA3120" w:rsidRPr="007816B4" w:rsidRDefault="00DA3120" w:rsidP="00AC11FF">
            <w:pPr>
              <w:pStyle w:val="ExhibitText"/>
              <w:jc w:val="right"/>
              <w:rPr>
                <w:sz w:val="18"/>
                <w:szCs w:val="18"/>
                <w:lang w:val="en-CA"/>
              </w:rPr>
            </w:pPr>
            <w:r w:rsidRPr="007816B4">
              <w:rPr>
                <w:sz w:val="18"/>
                <w:szCs w:val="18"/>
                <w:lang w:val="en-CA"/>
              </w:rPr>
              <w:t>$6,200,000</w:t>
            </w:r>
          </w:p>
        </w:tc>
        <w:tc>
          <w:tcPr>
            <w:tcW w:w="1170" w:type="dxa"/>
            <w:noWrap/>
            <w:tcMar>
              <w:top w:w="0" w:type="dxa"/>
              <w:left w:w="108" w:type="dxa"/>
              <w:bottom w:w="0" w:type="dxa"/>
              <w:right w:w="108" w:type="dxa"/>
            </w:tcMar>
            <w:vAlign w:val="bottom"/>
            <w:hideMark/>
          </w:tcPr>
          <w:p w14:paraId="4EDDC29F" w14:textId="77777777" w:rsidR="00DA3120" w:rsidRPr="007816B4" w:rsidRDefault="00DA3120" w:rsidP="00AC11FF">
            <w:pPr>
              <w:pStyle w:val="ExhibitText"/>
              <w:jc w:val="center"/>
              <w:rPr>
                <w:sz w:val="18"/>
                <w:szCs w:val="18"/>
                <w:lang w:val="en-CA"/>
              </w:rPr>
            </w:pPr>
            <w:r w:rsidRPr="007816B4">
              <w:rPr>
                <w:sz w:val="18"/>
                <w:szCs w:val="18"/>
                <w:lang w:val="en-CA"/>
              </w:rPr>
              <w:t>14,000</w:t>
            </w:r>
          </w:p>
        </w:tc>
        <w:tc>
          <w:tcPr>
            <w:tcW w:w="990" w:type="dxa"/>
            <w:noWrap/>
            <w:tcMar>
              <w:top w:w="0" w:type="dxa"/>
              <w:left w:w="108" w:type="dxa"/>
              <w:bottom w:w="0" w:type="dxa"/>
              <w:right w:w="108" w:type="dxa"/>
            </w:tcMar>
            <w:vAlign w:val="bottom"/>
            <w:hideMark/>
          </w:tcPr>
          <w:p w14:paraId="2C80207C" w14:textId="77777777" w:rsidR="00DA3120" w:rsidRPr="007816B4" w:rsidRDefault="00DA3120" w:rsidP="00AC11FF">
            <w:pPr>
              <w:pStyle w:val="ExhibitText"/>
              <w:jc w:val="right"/>
              <w:rPr>
                <w:sz w:val="18"/>
                <w:szCs w:val="18"/>
                <w:lang w:val="en-CA"/>
              </w:rPr>
            </w:pPr>
            <w:r w:rsidRPr="007816B4">
              <w:rPr>
                <w:sz w:val="18"/>
                <w:szCs w:val="18"/>
                <w:lang w:val="en-CA"/>
              </w:rPr>
              <w:t>$443</w:t>
            </w:r>
          </w:p>
        </w:tc>
        <w:tc>
          <w:tcPr>
            <w:tcW w:w="2113" w:type="dxa"/>
            <w:noWrap/>
            <w:tcMar>
              <w:top w:w="0" w:type="dxa"/>
              <w:left w:w="108" w:type="dxa"/>
              <w:bottom w:w="0" w:type="dxa"/>
              <w:right w:w="108" w:type="dxa"/>
            </w:tcMar>
            <w:vAlign w:val="bottom"/>
            <w:hideMark/>
          </w:tcPr>
          <w:p w14:paraId="4A6AFCE7" w14:textId="77777777" w:rsidR="00DA3120" w:rsidRPr="007816B4" w:rsidRDefault="00DA3120" w:rsidP="00AC11FF">
            <w:pPr>
              <w:pStyle w:val="ExhibitText"/>
              <w:jc w:val="center"/>
              <w:rPr>
                <w:sz w:val="18"/>
                <w:szCs w:val="18"/>
                <w:lang w:val="en-CA"/>
              </w:rPr>
            </w:pPr>
            <w:r w:rsidRPr="007816B4">
              <w:rPr>
                <w:sz w:val="18"/>
                <w:szCs w:val="18"/>
                <w:lang w:val="en-CA"/>
              </w:rPr>
              <w:t>2014</w:t>
            </w:r>
          </w:p>
        </w:tc>
      </w:tr>
    </w:tbl>
    <w:p w14:paraId="763A8E58" w14:textId="77777777" w:rsidR="00DA3120" w:rsidRDefault="00DA3120" w:rsidP="00DA3120">
      <w:pPr>
        <w:textAlignment w:val="baseline"/>
        <w:rPr>
          <w:sz w:val="23"/>
          <w:szCs w:val="23"/>
          <w:lang w:val="en-CA"/>
        </w:rPr>
      </w:pPr>
    </w:p>
    <w:p w14:paraId="3F73AD5F" w14:textId="6CFBCD5C" w:rsidR="00DA3120" w:rsidRPr="000777B3" w:rsidRDefault="00CE3A65" w:rsidP="00DA3120">
      <w:pPr>
        <w:pStyle w:val="Footnote"/>
      </w:pPr>
      <w:r>
        <w:t xml:space="preserve">Source: The </w:t>
      </w:r>
      <w:r w:rsidRPr="00D47D51">
        <w:t>Orchid Species Preservation Foundation</w:t>
      </w:r>
      <w:r>
        <w:t xml:space="preserve"> board.</w:t>
      </w:r>
    </w:p>
    <w:p w14:paraId="53CEE276" w14:textId="77777777" w:rsidR="00DA3120" w:rsidRPr="007816B4" w:rsidRDefault="00DA3120" w:rsidP="00DA3120">
      <w:pPr>
        <w:pStyle w:val="Footnote"/>
      </w:pPr>
    </w:p>
    <w:p w14:paraId="42D2B79D" w14:textId="77777777" w:rsidR="000777B3" w:rsidRDefault="000777B3" w:rsidP="002204DF">
      <w:pPr>
        <w:pStyle w:val="ExhibitHeading"/>
        <w:rPr>
          <w:color w:val="000000"/>
          <w:lang w:val="en-CA"/>
        </w:rPr>
      </w:pPr>
    </w:p>
    <w:p w14:paraId="28DAC758" w14:textId="77777777" w:rsidR="000777B3" w:rsidRDefault="000777B3" w:rsidP="002204DF">
      <w:pPr>
        <w:pStyle w:val="ExhibitHeading"/>
        <w:rPr>
          <w:color w:val="000000"/>
          <w:lang w:val="en-CA"/>
        </w:rPr>
      </w:pPr>
    </w:p>
    <w:p w14:paraId="6C1E557B" w14:textId="77777777" w:rsidR="000777B3" w:rsidRDefault="000777B3" w:rsidP="002204DF">
      <w:pPr>
        <w:pStyle w:val="ExhibitHeading"/>
        <w:rPr>
          <w:color w:val="000000"/>
          <w:lang w:val="en-CA"/>
        </w:rPr>
      </w:pPr>
    </w:p>
    <w:p w14:paraId="62C239B5" w14:textId="77777777" w:rsidR="000777B3" w:rsidRDefault="000777B3" w:rsidP="002204DF">
      <w:pPr>
        <w:pStyle w:val="ExhibitHeading"/>
        <w:rPr>
          <w:color w:val="000000"/>
          <w:lang w:val="en-CA"/>
        </w:rPr>
      </w:pPr>
    </w:p>
    <w:p w14:paraId="502CAF7E" w14:textId="77777777" w:rsidR="000777B3" w:rsidRDefault="000777B3" w:rsidP="002204DF">
      <w:pPr>
        <w:pStyle w:val="ExhibitHeading"/>
        <w:rPr>
          <w:color w:val="000000"/>
          <w:lang w:val="en-CA"/>
        </w:rPr>
      </w:pPr>
    </w:p>
    <w:p w14:paraId="6B9B80C3" w14:textId="77777777" w:rsidR="002204DF" w:rsidRPr="00DE234A" w:rsidRDefault="002204DF" w:rsidP="002204DF">
      <w:pPr>
        <w:pStyle w:val="ExhibitHeading"/>
        <w:rPr>
          <w:lang w:val="en-CA"/>
        </w:rPr>
      </w:pPr>
      <w:r>
        <w:rPr>
          <w:color w:val="000000"/>
          <w:lang w:val="en-CA"/>
        </w:rPr>
        <w:lastRenderedPageBreak/>
        <w:t>Exhibit</w:t>
      </w:r>
      <w:r w:rsidRPr="00DE234A">
        <w:rPr>
          <w:color w:val="000000"/>
          <w:lang w:val="en-CA"/>
        </w:rPr>
        <w:t xml:space="preserve"> </w:t>
      </w:r>
      <w:r w:rsidR="00DA3120">
        <w:rPr>
          <w:color w:val="000000"/>
          <w:lang w:val="en-CA"/>
        </w:rPr>
        <w:t>6</w:t>
      </w:r>
      <w:r w:rsidRPr="00DE234A">
        <w:rPr>
          <w:color w:val="000000"/>
          <w:lang w:val="en-CA"/>
        </w:rPr>
        <w:t xml:space="preserve">: </w:t>
      </w:r>
      <w:r w:rsidRPr="00DE234A">
        <w:rPr>
          <w:lang w:val="en-CA"/>
        </w:rPr>
        <w:t>Top Eight Exporters and Importers of Orchids in 2013</w:t>
      </w:r>
    </w:p>
    <w:p w14:paraId="47A7BA2A" w14:textId="77777777" w:rsidR="002204DF" w:rsidRPr="00DE234A" w:rsidRDefault="002204DF" w:rsidP="002204DF">
      <w:pPr>
        <w:rPr>
          <w:sz w:val="24"/>
          <w:lang w:val="en-CA"/>
        </w:rPr>
      </w:pPr>
    </w:p>
    <w:tbl>
      <w:tblPr>
        <w:tblStyle w:val="TableGrid"/>
        <w:tblW w:w="0" w:type="auto"/>
        <w:jc w:val="center"/>
        <w:tblLook w:val="04A0" w:firstRow="1" w:lastRow="0" w:firstColumn="1" w:lastColumn="0" w:noHBand="0" w:noVBand="1"/>
      </w:tblPr>
      <w:tblGrid>
        <w:gridCol w:w="2245"/>
        <w:gridCol w:w="1980"/>
        <w:gridCol w:w="2430"/>
        <w:gridCol w:w="2160"/>
      </w:tblGrid>
      <w:tr w:rsidR="002204DF" w:rsidRPr="00DE234A" w14:paraId="21616277" w14:textId="77777777" w:rsidTr="00BF3C2F">
        <w:trPr>
          <w:trHeight w:val="350"/>
          <w:jc w:val="center"/>
        </w:trPr>
        <w:tc>
          <w:tcPr>
            <w:tcW w:w="2245" w:type="dxa"/>
            <w:noWrap/>
            <w:vAlign w:val="bottom"/>
          </w:tcPr>
          <w:p w14:paraId="089DCAE2" w14:textId="77777777" w:rsidR="002204DF" w:rsidRPr="00BF3C2F" w:rsidRDefault="002204DF" w:rsidP="007E6C82">
            <w:pPr>
              <w:pStyle w:val="ExhibitText"/>
              <w:jc w:val="center"/>
              <w:rPr>
                <w:b/>
                <w:lang w:val="en-CA"/>
              </w:rPr>
            </w:pPr>
            <w:r w:rsidRPr="00BF3C2F">
              <w:rPr>
                <w:b/>
                <w:lang w:val="en-CA"/>
              </w:rPr>
              <w:t>Top Eight Exporting Countries</w:t>
            </w:r>
          </w:p>
        </w:tc>
        <w:tc>
          <w:tcPr>
            <w:tcW w:w="1980" w:type="dxa"/>
            <w:noWrap/>
          </w:tcPr>
          <w:p w14:paraId="287CE99D" w14:textId="77777777" w:rsidR="0041744F" w:rsidRDefault="002204DF" w:rsidP="007E6C82">
            <w:pPr>
              <w:pStyle w:val="ExhibitText"/>
              <w:jc w:val="center"/>
              <w:rPr>
                <w:b/>
                <w:lang w:val="en-CA"/>
              </w:rPr>
            </w:pPr>
            <w:r w:rsidRPr="00BF3C2F">
              <w:rPr>
                <w:b/>
                <w:lang w:val="en-CA"/>
              </w:rPr>
              <w:t>Value</w:t>
            </w:r>
          </w:p>
          <w:p w14:paraId="5B1AF7A3" w14:textId="671F58C6" w:rsidR="002204DF" w:rsidRPr="00BF3C2F" w:rsidRDefault="0041744F" w:rsidP="007E6C82">
            <w:pPr>
              <w:pStyle w:val="ExhibitText"/>
              <w:jc w:val="center"/>
              <w:rPr>
                <w:b/>
                <w:lang w:val="en-CA"/>
              </w:rPr>
            </w:pPr>
            <w:r>
              <w:rPr>
                <w:b/>
                <w:lang w:val="en-CA"/>
              </w:rPr>
              <w:t>(</w:t>
            </w:r>
            <w:r w:rsidR="002204DF" w:rsidRPr="00BF3C2F">
              <w:rPr>
                <w:b/>
                <w:lang w:val="en-CA"/>
              </w:rPr>
              <w:t>in U</w:t>
            </w:r>
            <w:r>
              <w:rPr>
                <w:b/>
                <w:lang w:val="en-CA"/>
              </w:rPr>
              <w:t>.</w:t>
            </w:r>
            <w:r w:rsidR="002204DF" w:rsidRPr="00BF3C2F">
              <w:rPr>
                <w:b/>
                <w:lang w:val="en-CA"/>
              </w:rPr>
              <w:t>S</w:t>
            </w:r>
            <w:r>
              <w:rPr>
                <w:b/>
                <w:lang w:val="en-CA"/>
              </w:rPr>
              <w:t>. dollars)</w:t>
            </w:r>
          </w:p>
        </w:tc>
        <w:tc>
          <w:tcPr>
            <w:tcW w:w="2430" w:type="dxa"/>
            <w:vAlign w:val="bottom"/>
          </w:tcPr>
          <w:p w14:paraId="349B0C9F" w14:textId="77777777" w:rsidR="002204DF" w:rsidRPr="00BF3C2F" w:rsidRDefault="002204DF" w:rsidP="007E6C82">
            <w:pPr>
              <w:pStyle w:val="ExhibitText"/>
              <w:jc w:val="center"/>
              <w:rPr>
                <w:b/>
                <w:lang w:val="en-CA"/>
              </w:rPr>
            </w:pPr>
            <w:r w:rsidRPr="00BF3C2F">
              <w:rPr>
                <w:b/>
                <w:lang w:val="en-CA"/>
              </w:rPr>
              <w:t>Top Eight Importing Countries</w:t>
            </w:r>
          </w:p>
        </w:tc>
        <w:tc>
          <w:tcPr>
            <w:tcW w:w="2160" w:type="dxa"/>
          </w:tcPr>
          <w:p w14:paraId="3B3FF286" w14:textId="77777777" w:rsidR="0041744F" w:rsidRDefault="002204DF" w:rsidP="007E6C82">
            <w:pPr>
              <w:pStyle w:val="ExhibitText"/>
              <w:jc w:val="center"/>
              <w:rPr>
                <w:b/>
                <w:lang w:val="en-CA"/>
              </w:rPr>
            </w:pPr>
            <w:r w:rsidRPr="00BF3C2F">
              <w:rPr>
                <w:b/>
                <w:lang w:val="en-CA"/>
              </w:rPr>
              <w:t>Value</w:t>
            </w:r>
          </w:p>
          <w:p w14:paraId="1F47D274" w14:textId="389D81D1" w:rsidR="002204DF" w:rsidRPr="00BF3C2F" w:rsidRDefault="0041744F" w:rsidP="007E6C82">
            <w:pPr>
              <w:pStyle w:val="ExhibitText"/>
              <w:jc w:val="center"/>
              <w:rPr>
                <w:b/>
                <w:lang w:val="en-CA"/>
              </w:rPr>
            </w:pPr>
            <w:r>
              <w:rPr>
                <w:b/>
                <w:lang w:val="en-CA"/>
              </w:rPr>
              <w:t>(</w:t>
            </w:r>
            <w:r w:rsidR="002204DF" w:rsidRPr="00BF3C2F">
              <w:rPr>
                <w:b/>
                <w:lang w:val="en-CA"/>
              </w:rPr>
              <w:t>in U</w:t>
            </w:r>
            <w:r>
              <w:rPr>
                <w:b/>
                <w:lang w:val="en-CA"/>
              </w:rPr>
              <w:t>.</w:t>
            </w:r>
            <w:r w:rsidR="002204DF" w:rsidRPr="00BF3C2F">
              <w:rPr>
                <w:b/>
                <w:lang w:val="en-CA"/>
              </w:rPr>
              <w:t>S</w:t>
            </w:r>
            <w:r>
              <w:rPr>
                <w:b/>
                <w:lang w:val="en-CA"/>
              </w:rPr>
              <w:t>. dollars)</w:t>
            </w:r>
          </w:p>
        </w:tc>
      </w:tr>
      <w:tr w:rsidR="002204DF" w:rsidRPr="00DE234A" w14:paraId="214B70BA" w14:textId="77777777" w:rsidTr="002204DF">
        <w:trPr>
          <w:trHeight w:val="300"/>
          <w:jc w:val="center"/>
        </w:trPr>
        <w:tc>
          <w:tcPr>
            <w:tcW w:w="2245" w:type="dxa"/>
            <w:noWrap/>
            <w:vAlign w:val="bottom"/>
            <w:hideMark/>
          </w:tcPr>
          <w:p w14:paraId="300B3D28" w14:textId="77777777" w:rsidR="002204DF" w:rsidRPr="00DE234A" w:rsidRDefault="002204DF" w:rsidP="00BF3C2F">
            <w:pPr>
              <w:pStyle w:val="ExhibitText"/>
              <w:jc w:val="center"/>
              <w:rPr>
                <w:lang w:val="en-CA"/>
              </w:rPr>
            </w:pPr>
            <w:r w:rsidRPr="00DE234A">
              <w:rPr>
                <w:lang w:val="en-CA"/>
              </w:rPr>
              <w:t>Netherlands</w:t>
            </w:r>
          </w:p>
        </w:tc>
        <w:tc>
          <w:tcPr>
            <w:tcW w:w="1980" w:type="dxa"/>
            <w:noWrap/>
            <w:hideMark/>
          </w:tcPr>
          <w:p w14:paraId="3A35FDC6" w14:textId="77777777" w:rsidR="002204DF" w:rsidRPr="00DE234A" w:rsidRDefault="002204DF" w:rsidP="00BF3C2F">
            <w:pPr>
              <w:pStyle w:val="ExhibitText"/>
              <w:jc w:val="right"/>
              <w:rPr>
                <w:lang w:val="en-CA"/>
              </w:rPr>
            </w:pPr>
            <w:r w:rsidRPr="00DE234A">
              <w:rPr>
                <w:lang w:val="en-CA"/>
              </w:rPr>
              <w:t>93,412,473</w:t>
            </w:r>
          </w:p>
        </w:tc>
        <w:tc>
          <w:tcPr>
            <w:tcW w:w="2430" w:type="dxa"/>
            <w:vAlign w:val="bottom"/>
          </w:tcPr>
          <w:p w14:paraId="44557164" w14:textId="77777777" w:rsidR="002204DF" w:rsidRPr="00DE234A" w:rsidRDefault="002204DF" w:rsidP="00BF3C2F">
            <w:pPr>
              <w:pStyle w:val="ExhibitText"/>
              <w:jc w:val="center"/>
              <w:rPr>
                <w:lang w:val="en-CA"/>
              </w:rPr>
            </w:pPr>
            <w:r w:rsidRPr="00DE234A">
              <w:rPr>
                <w:lang w:val="en-CA"/>
              </w:rPr>
              <w:t>Japan</w:t>
            </w:r>
          </w:p>
        </w:tc>
        <w:tc>
          <w:tcPr>
            <w:tcW w:w="2160" w:type="dxa"/>
            <w:vAlign w:val="bottom"/>
          </w:tcPr>
          <w:p w14:paraId="1CEBE8B7" w14:textId="77777777" w:rsidR="002204DF" w:rsidRPr="00DE234A" w:rsidRDefault="002204DF" w:rsidP="00BF3C2F">
            <w:pPr>
              <w:pStyle w:val="ExhibitText"/>
              <w:jc w:val="right"/>
              <w:rPr>
                <w:lang w:val="en-CA"/>
              </w:rPr>
            </w:pPr>
            <w:r w:rsidRPr="00DE234A">
              <w:rPr>
                <w:lang w:val="en-CA"/>
              </w:rPr>
              <w:t>64,395,278</w:t>
            </w:r>
          </w:p>
        </w:tc>
      </w:tr>
      <w:tr w:rsidR="002204DF" w:rsidRPr="00DE234A" w14:paraId="04C5B2E1" w14:textId="77777777" w:rsidTr="002204DF">
        <w:trPr>
          <w:trHeight w:val="300"/>
          <w:jc w:val="center"/>
        </w:trPr>
        <w:tc>
          <w:tcPr>
            <w:tcW w:w="2245" w:type="dxa"/>
            <w:noWrap/>
            <w:vAlign w:val="bottom"/>
            <w:hideMark/>
          </w:tcPr>
          <w:p w14:paraId="6630448B" w14:textId="77777777" w:rsidR="002204DF" w:rsidRPr="00DE234A" w:rsidRDefault="002204DF" w:rsidP="00BF3C2F">
            <w:pPr>
              <w:pStyle w:val="ExhibitText"/>
              <w:jc w:val="center"/>
              <w:rPr>
                <w:lang w:val="en-CA"/>
              </w:rPr>
            </w:pPr>
            <w:r w:rsidRPr="00DE234A">
              <w:rPr>
                <w:lang w:val="en-CA"/>
              </w:rPr>
              <w:t>Thailand</w:t>
            </w:r>
          </w:p>
        </w:tc>
        <w:tc>
          <w:tcPr>
            <w:tcW w:w="1980" w:type="dxa"/>
            <w:noWrap/>
            <w:hideMark/>
          </w:tcPr>
          <w:p w14:paraId="64C27271" w14:textId="77777777" w:rsidR="002204DF" w:rsidRPr="00DE234A" w:rsidRDefault="002204DF" w:rsidP="00BF3C2F">
            <w:pPr>
              <w:pStyle w:val="ExhibitText"/>
              <w:jc w:val="right"/>
              <w:rPr>
                <w:lang w:val="en-CA"/>
              </w:rPr>
            </w:pPr>
            <w:r w:rsidRPr="00DE234A">
              <w:rPr>
                <w:lang w:val="en-CA"/>
              </w:rPr>
              <w:t>66,415,633</w:t>
            </w:r>
          </w:p>
        </w:tc>
        <w:tc>
          <w:tcPr>
            <w:tcW w:w="2430" w:type="dxa"/>
            <w:vAlign w:val="bottom"/>
          </w:tcPr>
          <w:p w14:paraId="12AD531D" w14:textId="77777777" w:rsidR="002204DF" w:rsidRPr="00DE234A" w:rsidRDefault="002204DF" w:rsidP="00BF3C2F">
            <w:pPr>
              <w:pStyle w:val="ExhibitText"/>
              <w:jc w:val="center"/>
              <w:rPr>
                <w:lang w:val="en-CA"/>
              </w:rPr>
            </w:pPr>
            <w:r w:rsidRPr="00DE234A">
              <w:rPr>
                <w:lang w:val="en-CA"/>
              </w:rPr>
              <w:t>Italy</w:t>
            </w:r>
          </w:p>
        </w:tc>
        <w:tc>
          <w:tcPr>
            <w:tcW w:w="2160" w:type="dxa"/>
            <w:vAlign w:val="bottom"/>
          </w:tcPr>
          <w:p w14:paraId="1E5A2EE4" w14:textId="77777777" w:rsidR="002204DF" w:rsidRPr="00DE234A" w:rsidRDefault="002204DF" w:rsidP="00BF3C2F">
            <w:pPr>
              <w:pStyle w:val="ExhibitText"/>
              <w:jc w:val="right"/>
              <w:rPr>
                <w:lang w:val="en-CA"/>
              </w:rPr>
            </w:pPr>
            <w:r w:rsidRPr="00DE234A">
              <w:rPr>
                <w:lang w:val="en-CA"/>
              </w:rPr>
              <w:t>23,330,873</w:t>
            </w:r>
          </w:p>
        </w:tc>
      </w:tr>
      <w:tr w:rsidR="002204DF" w:rsidRPr="00DE234A" w14:paraId="5F2E2B1E" w14:textId="77777777" w:rsidTr="002204DF">
        <w:trPr>
          <w:trHeight w:val="300"/>
          <w:jc w:val="center"/>
        </w:trPr>
        <w:tc>
          <w:tcPr>
            <w:tcW w:w="2245" w:type="dxa"/>
            <w:noWrap/>
            <w:vAlign w:val="bottom"/>
            <w:hideMark/>
          </w:tcPr>
          <w:p w14:paraId="2F6C113F" w14:textId="77777777" w:rsidR="002204DF" w:rsidRPr="00DE234A" w:rsidRDefault="002204DF" w:rsidP="00BF3C2F">
            <w:pPr>
              <w:pStyle w:val="ExhibitText"/>
              <w:jc w:val="center"/>
              <w:rPr>
                <w:lang w:val="en-CA"/>
              </w:rPr>
            </w:pPr>
            <w:r w:rsidRPr="00DE234A">
              <w:rPr>
                <w:lang w:val="en-CA"/>
              </w:rPr>
              <w:t>Singapore</w:t>
            </w:r>
          </w:p>
        </w:tc>
        <w:tc>
          <w:tcPr>
            <w:tcW w:w="1980" w:type="dxa"/>
            <w:noWrap/>
            <w:hideMark/>
          </w:tcPr>
          <w:p w14:paraId="5FDE5781" w14:textId="77777777" w:rsidR="002204DF" w:rsidRPr="00DE234A" w:rsidRDefault="002204DF" w:rsidP="00BF3C2F">
            <w:pPr>
              <w:pStyle w:val="ExhibitText"/>
              <w:jc w:val="right"/>
              <w:rPr>
                <w:lang w:val="en-CA"/>
              </w:rPr>
            </w:pPr>
            <w:r w:rsidRPr="00DE234A">
              <w:rPr>
                <w:lang w:val="en-CA"/>
              </w:rPr>
              <w:t>16,808,403</w:t>
            </w:r>
          </w:p>
        </w:tc>
        <w:tc>
          <w:tcPr>
            <w:tcW w:w="2430" w:type="dxa"/>
            <w:vAlign w:val="bottom"/>
          </w:tcPr>
          <w:p w14:paraId="6FCFE3DA" w14:textId="0D89F942" w:rsidR="002204DF" w:rsidRPr="00DE234A" w:rsidRDefault="002204DF" w:rsidP="000777B3">
            <w:pPr>
              <w:pStyle w:val="ExhibitText"/>
              <w:jc w:val="center"/>
              <w:rPr>
                <w:lang w:val="en-CA"/>
              </w:rPr>
            </w:pPr>
            <w:r w:rsidRPr="00DE234A">
              <w:rPr>
                <w:lang w:val="en-CA"/>
              </w:rPr>
              <w:t>U</w:t>
            </w:r>
            <w:r w:rsidR="000777B3">
              <w:rPr>
                <w:lang w:val="en-CA"/>
              </w:rPr>
              <w:t xml:space="preserve">nited </w:t>
            </w:r>
            <w:r w:rsidRPr="00DE234A">
              <w:rPr>
                <w:lang w:val="en-CA"/>
              </w:rPr>
              <w:t>S</w:t>
            </w:r>
            <w:r w:rsidR="000777B3">
              <w:rPr>
                <w:lang w:val="en-CA"/>
              </w:rPr>
              <w:t>tates</w:t>
            </w:r>
          </w:p>
        </w:tc>
        <w:tc>
          <w:tcPr>
            <w:tcW w:w="2160" w:type="dxa"/>
            <w:vAlign w:val="bottom"/>
          </w:tcPr>
          <w:p w14:paraId="156502EE" w14:textId="77777777" w:rsidR="002204DF" w:rsidRPr="00DE234A" w:rsidRDefault="002204DF" w:rsidP="00BF3C2F">
            <w:pPr>
              <w:pStyle w:val="ExhibitText"/>
              <w:jc w:val="right"/>
              <w:rPr>
                <w:lang w:val="en-CA"/>
              </w:rPr>
            </w:pPr>
            <w:r w:rsidRPr="00DE234A">
              <w:rPr>
                <w:lang w:val="en-CA"/>
              </w:rPr>
              <w:t>20,731,385</w:t>
            </w:r>
          </w:p>
        </w:tc>
      </w:tr>
      <w:tr w:rsidR="002204DF" w:rsidRPr="00DE234A" w14:paraId="6FFF4650" w14:textId="77777777" w:rsidTr="002204DF">
        <w:trPr>
          <w:trHeight w:val="300"/>
          <w:jc w:val="center"/>
        </w:trPr>
        <w:tc>
          <w:tcPr>
            <w:tcW w:w="2245" w:type="dxa"/>
            <w:noWrap/>
            <w:vAlign w:val="bottom"/>
            <w:hideMark/>
          </w:tcPr>
          <w:p w14:paraId="093902C1" w14:textId="77777777" w:rsidR="002204DF" w:rsidRPr="00DE234A" w:rsidRDefault="002204DF" w:rsidP="00BF3C2F">
            <w:pPr>
              <w:pStyle w:val="ExhibitText"/>
              <w:jc w:val="center"/>
              <w:rPr>
                <w:lang w:val="en-CA"/>
              </w:rPr>
            </w:pPr>
            <w:r w:rsidRPr="00DE234A">
              <w:rPr>
                <w:lang w:val="en-CA"/>
              </w:rPr>
              <w:t>New Zealand</w:t>
            </w:r>
          </w:p>
        </w:tc>
        <w:tc>
          <w:tcPr>
            <w:tcW w:w="1980" w:type="dxa"/>
            <w:noWrap/>
            <w:hideMark/>
          </w:tcPr>
          <w:p w14:paraId="6B2B6C52" w14:textId="77777777" w:rsidR="002204DF" w:rsidRPr="00DE234A" w:rsidRDefault="002204DF" w:rsidP="00BF3C2F">
            <w:pPr>
              <w:pStyle w:val="ExhibitText"/>
              <w:jc w:val="right"/>
              <w:rPr>
                <w:lang w:val="en-CA"/>
              </w:rPr>
            </w:pPr>
            <w:r w:rsidRPr="00DE234A">
              <w:rPr>
                <w:lang w:val="en-CA"/>
              </w:rPr>
              <w:t>14,107,355</w:t>
            </w:r>
          </w:p>
        </w:tc>
        <w:tc>
          <w:tcPr>
            <w:tcW w:w="2430" w:type="dxa"/>
            <w:vAlign w:val="bottom"/>
          </w:tcPr>
          <w:p w14:paraId="7BE76731" w14:textId="77777777" w:rsidR="002204DF" w:rsidRPr="00DE234A" w:rsidRDefault="002204DF" w:rsidP="00BF3C2F">
            <w:pPr>
              <w:pStyle w:val="ExhibitText"/>
              <w:jc w:val="center"/>
              <w:rPr>
                <w:lang w:val="en-CA"/>
              </w:rPr>
            </w:pPr>
            <w:r w:rsidRPr="00DE234A">
              <w:rPr>
                <w:lang w:val="en-CA"/>
              </w:rPr>
              <w:t>France</w:t>
            </w:r>
          </w:p>
        </w:tc>
        <w:tc>
          <w:tcPr>
            <w:tcW w:w="2160" w:type="dxa"/>
            <w:vAlign w:val="bottom"/>
          </w:tcPr>
          <w:p w14:paraId="776EC818" w14:textId="77777777" w:rsidR="002204DF" w:rsidRPr="00DE234A" w:rsidRDefault="002204DF" w:rsidP="00BF3C2F">
            <w:pPr>
              <w:pStyle w:val="ExhibitText"/>
              <w:jc w:val="right"/>
              <w:rPr>
                <w:lang w:val="en-CA"/>
              </w:rPr>
            </w:pPr>
            <w:r w:rsidRPr="00DE234A">
              <w:rPr>
                <w:lang w:val="en-CA"/>
              </w:rPr>
              <w:t>15,959,344</w:t>
            </w:r>
          </w:p>
        </w:tc>
      </w:tr>
      <w:tr w:rsidR="002204DF" w:rsidRPr="00DE234A" w14:paraId="73705852" w14:textId="77777777" w:rsidTr="002204DF">
        <w:trPr>
          <w:trHeight w:val="300"/>
          <w:jc w:val="center"/>
        </w:trPr>
        <w:tc>
          <w:tcPr>
            <w:tcW w:w="2245" w:type="dxa"/>
            <w:noWrap/>
            <w:vAlign w:val="bottom"/>
            <w:hideMark/>
          </w:tcPr>
          <w:p w14:paraId="2F39662C" w14:textId="77777777" w:rsidR="002204DF" w:rsidRPr="00DE234A" w:rsidRDefault="002204DF" w:rsidP="00BF3C2F">
            <w:pPr>
              <w:pStyle w:val="ExhibitText"/>
              <w:jc w:val="center"/>
              <w:rPr>
                <w:lang w:val="en-CA"/>
              </w:rPr>
            </w:pPr>
            <w:r w:rsidRPr="00DE234A">
              <w:rPr>
                <w:lang w:val="en-CA"/>
              </w:rPr>
              <w:t>Vietnam</w:t>
            </w:r>
          </w:p>
        </w:tc>
        <w:tc>
          <w:tcPr>
            <w:tcW w:w="1980" w:type="dxa"/>
            <w:noWrap/>
            <w:hideMark/>
          </w:tcPr>
          <w:p w14:paraId="48116A3E" w14:textId="77777777" w:rsidR="002204DF" w:rsidRPr="00DE234A" w:rsidRDefault="002204DF" w:rsidP="00BF3C2F">
            <w:pPr>
              <w:pStyle w:val="ExhibitText"/>
              <w:jc w:val="right"/>
              <w:rPr>
                <w:lang w:val="en-CA"/>
              </w:rPr>
            </w:pPr>
            <w:r w:rsidRPr="00DE234A">
              <w:rPr>
                <w:lang w:val="en-CA"/>
              </w:rPr>
              <w:t>3,932,003</w:t>
            </w:r>
          </w:p>
        </w:tc>
        <w:tc>
          <w:tcPr>
            <w:tcW w:w="2430" w:type="dxa"/>
            <w:vAlign w:val="bottom"/>
          </w:tcPr>
          <w:p w14:paraId="5F25B892" w14:textId="77777777" w:rsidR="002204DF" w:rsidRPr="00DE234A" w:rsidRDefault="002204DF" w:rsidP="00BF3C2F">
            <w:pPr>
              <w:pStyle w:val="ExhibitText"/>
              <w:jc w:val="center"/>
              <w:rPr>
                <w:lang w:val="en-CA"/>
              </w:rPr>
            </w:pPr>
            <w:r w:rsidRPr="00DE234A">
              <w:rPr>
                <w:lang w:val="en-CA"/>
              </w:rPr>
              <w:t>Russia</w:t>
            </w:r>
          </w:p>
        </w:tc>
        <w:tc>
          <w:tcPr>
            <w:tcW w:w="2160" w:type="dxa"/>
            <w:vAlign w:val="bottom"/>
          </w:tcPr>
          <w:p w14:paraId="45269008" w14:textId="77777777" w:rsidR="002204DF" w:rsidRPr="00DE234A" w:rsidRDefault="002204DF" w:rsidP="00BF3C2F">
            <w:pPr>
              <w:pStyle w:val="ExhibitText"/>
              <w:jc w:val="right"/>
              <w:rPr>
                <w:lang w:val="en-CA"/>
              </w:rPr>
            </w:pPr>
            <w:r w:rsidRPr="00DE234A">
              <w:rPr>
                <w:lang w:val="en-CA"/>
              </w:rPr>
              <w:t>13,843,253</w:t>
            </w:r>
          </w:p>
        </w:tc>
      </w:tr>
      <w:tr w:rsidR="002204DF" w:rsidRPr="00DE234A" w14:paraId="1D10BA4C" w14:textId="77777777" w:rsidTr="002204DF">
        <w:trPr>
          <w:trHeight w:val="300"/>
          <w:jc w:val="center"/>
        </w:trPr>
        <w:tc>
          <w:tcPr>
            <w:tcW w:w="2245" w:type="dxa"/>
            <w:noWrap/>
            <w:vAlign w:val="bottom"/>
            <w:hideMark/>
          </w:tcPr>
          <w:p w14:paraId="37F944B1" w14:textId="77777777" w:rsidR="002204DF" w:rsidRPr="00DE234A" w:rsidRDefault="002204DF" w:rsidP="00BF3C2F">
            <w:pPr>
              <w:pStyle w:val="ExhibitText"/>
              <w:jc w:val="center"/>
              <w:rPr>
                <w:lang w:val="en-CA"/>
              </w:rPr>
            </w:pPr>
            <w:r w:rsidRPr="00DE234A">
              <w:rPr>
                <w:lang w:val="en-CA"/>
              </w:rPr>
              <w:t>Malaysia</w:t>
            </w:r>
          </w:p>
        </w:tc>
        <w:tc>
          <w:tcPr>
            <w:tcW w:w="1980" w:type="dxa"/>
            <w:noWrap/>
            <w:hideMark/>
          </w:tcPr>
          <w:p w14:paraId="70CCFA5D" w14:textId="77777777" w:rsidR="002204DF" w:rsidRPr="00DE234A" w:rsidRDefault="002204DF" w:rsidP="00BF3C2F">
            <w:pPr>
              <w:pStyle w:val="ExhibitText"/>
              <w:jc w:val="right"/>
              <w:rPr>
                <w:lang w:val="en-CA"/>
              </w:rPr>
            </w:pPr>
            <w:r w:rsidRPr="00DE234A">
              <w:rPr>
                <w:lang w:val="en-CA"/>
              </w:rPr>
              <w:t>3,755,193</w:t>
            </w:r>
          </w:p>
        </w:tc>
        <w:tc>
          <w:tcPr>
            <w:tcW w:w="2430" w:type="dxa"/>
            <w:vAlign w:val="bottom"/>
          </w:tcPr>
          <w:p w14:paraId="02ADA73E" w14:textId="77777777" w:rsidR="002204DF" w:rsidRPr="00DE234A" w:rsidRDefault="002204DF" w:rsidP="00BF3C2F">
            <w:pPr>
              <w:pStyle w:val="ExhibitText"/>
              <w:jc w:val="center"/>
              <w:rPr>
                <w:lang w:val="en-CA"/>
              </w:rPr>
            </w:pPr>
            <w:r w:rsidRPr="00DE234A">
              <w:rPr>
                <w:lang w:val="en-CA"/>
              </w:rPr>
              <w:t>China</w:t>
            </w:r>
          </w:p>
        </w:tc>
        <w:tc>
          <w:tcPr>
            <w:tcW w:w="2160" w:type="dxa"/>
            <w:vAlign w:val="bottom"/>
          </w:tcPr>
          <w:p w14:paraId="5AF5A6E6" w14:textId="77777777" w:rsidR="002204DF" w:rsidRPr="00DE234A" w:rsidRDefault="002204DF" w:rsidP="00BF3C2F">
            <w:pPr>
              <w:pStyle w:val="ExhibitText"/>
              <w:jc w:val="right"/>
              <w:rPr>
                <w:lang w:val="en-CA"/>
              </w:rPr>
            </w:pPr>
            <w:r w:rsidRPr="00DE234A">
              <w:rPr>
                <w:lang w:val="en-CA"/>
              </w:rPr>
              <w:t>12,390,802</w:t>
            </w:r>
          </w:p>
        </w:tc>
      </w:tr>
      <w:tr w:rsidR="002204DF" w:rsidRPr="00DE234A" w14:paraId="70C38AF1" w14:textId="77777777" w:rsidTr="002204DF">
        <w:trPr>
          <w:trHeight w:val="300"/>
          <w:jc w:val="center"/>
        </w:trPr>
        <w:tc>
          <w:tcPr>
            <w:tcW w:w="2245" w:type="dxa"/>
            <w:noWrap/>
            <w:vAlign w:val="bottom"/>
            <w:hideMark/>
          </w:tcPr>
          <w:p w14:paraId="25C7BFF1" w14:textId="77777777" w:rsidR="002204DF" w:rsidRPr="00DE234A" w:rsidRDefault="002204DF" w:rsidP="00BF3C2F">
            <w:pPr>
              <w:pStyle w:val="ExhibitText"/>
              <w:jc w:val="center"/>
              <w:rPr>
                <w:lang w:val="en-CA"/>
              </w:rPr>
            </w:pPr>
            <w:r w:rsidRPr="00DE234A">
              <w:rPr>
                <w:lang w:val="en-CA"/>
              </w:rPr>
              <w:t>Czech Republic</w:t>
            </w:r>
          </w:p>
        </w:tc>
        <w:tc>
          <w:tcPr>
            <w:tcW w:w="1980" w:type="dxa"/>
            <w:noWrap/>
            <w:hideMark/>
          </w:tcPr>
          <w:p w14:paraId="7B1B3B37" w14:textId="77777777" w:rsidR="002204DF" w:rsidRPr="00DE234A" w:rsidRDefault="002204DF" w:rsidP="00BF3C2F">
            <w:pPr>
              <w:pStyle w:val="ExhibitText"/>
              <w:jc w:val="right"/>
              <w:rPr>
                <w:lang w:val="en-CA"/>
              </w:rPr>
            </w:pPr>
            <w:r w:rsidRPr="00DE234A">
              <w:rPr>
                <w:lang w:val="en-CA"/>
              </w:rPr>
              <w:t>1,986,674</w:t>
            </w:r>
          </w:p>
        </w:tc>
        <w:tc>
          <w:tcPr>
            <w:tcW w:w="2430" w:type="dxa"/>
            <w:vAlign w:val="bottom"/>
          </w:tcPr>
          <w:p w14:paraId="5EBBB5CC" w14:textId="77777777" w:rsidR="002204DF" w:rsidRPr="00DE234A" w:rsidRDefault="002204DF" w:rsidP="00BF3C2F">
            <w:pPr>
              <w:pStyle w:val="ExhibitText"/>
              <w:jc w:val="center"/>
              <w:rPr>
                <w:lang w:val="en-CA"/>
              </w:rPr>
            </w:pPr>
            <w:r w:rsidRPr="00DE234A">
              <w:rPr>
                <w:lang w:val="en-CA"/>
              </w:rPr>
              <w:t>Germany</w:t>
            </w:r>
          </w:p>
        </w:tc>
        <w:tc>
          <w:tcPr>
            <w:tcW w:w="2160" w:type="dxa"/>
            <w:vAlign w:val="bottom"/>
          </w:tcPr>
          <w:p w14:paraId="623A4706" w14:textId="77777777" w:rsidR="002204DF" w:rsidRPr="00DE234A" w:rsidRDefault="002204DF" w:rsidP="00BF3C2F">
            <w:pPr>
              <w:pStyle w:val="ExhibitText"/>
              <w:jc w:val="right"/>
              <w:rPr>
                <w:lang w:val="en-CA"/>
              </w:rPr>
            </w:pPr>
            <w:r w:rsidRPr="00DE234A">
              <w:rPr>
                <w:lang w:val="en-CA"/>
              </w:rPr>
              <w:t>12,161,966</w:t>
            </w:r>
          </w:p>
        </w:tc>
      </w:tr>
      <w:tr w:rsidR="002204DF" w:rsidRPr="00DE234A" w14:paraId="59C761EE" w14:textId="77777777" w:rsidTr="002204DF">
        <w:trPr>
          <w:trHeight w:val="300"/>
          <w:jc w:val="center"/>
        </w:trPr>
        <w:tc>
          <w:tcPr>
            <w:tcW w:w="2245" w:type="dxa"/>
            <w:noWrap/>
            <w:vAlign w:val="bottom"/>
            <w:hideMark/>
          </w:tcPr>
          <w:p w14:paraId="18B6309F" w14:textId="77777777" w:rsidR="002204DF" w:rsidRPr="00DE234A" w:rsidRDefault="002204DF" w:rsidP="00BF3C2F">
            <w:pPr>
              <w:pStyle w:val="ExhibitText"/>
              <w:jc w:val="center"/>
              <w:rPr>
                <w:lang w:val="en-CA"/>
              </w:rPr>
            </w:pPr>
            <w:r w:rsidRPr="00DE234A">
              <w:rPr>
                <w:lang w:val="en-CA"/>
              </w:rPr>
              <w:t>Belgium</w:t>
            </w:r>
          </w:p>
        </w:tc>
        <w:tc>
          <w:tcPr>
            <w:tcW w:w="1980" w:type="dxa"/>
            <w:noWrap/>
            <w:hideMark/>
          </w:tcPr>
          <w:p w14:paraId="2073FAFC" w14:textId="77777777" w:rsidR="002204DF" w:rsidRPr="00DE234A" w:rsidRDefault="002204DF" w:rsidP="00BF3C2F">
            <w:pPr>
              <w:pStyle w:val="ExhibitText"/>
              <w:jc w:val="right"/>
              <w:rPr>
                <w:lang w:val="en-CA"/>
              </w:rPr>
            </w:pPr>
            <w:r w:rsidRPr="00DE234A">
              <w:rPr>
                <w:lang w:val="en-CA"/>
              </w:rPr>
              <w:t>1,269,532</w:t>
            </w:r>
          </w:p>
        </w:tc>
        <w:tc>
          <w:tcPr>
            <w:tcW w:w="2430" w:type="dxa"/>
            <w:vAlign w:val="bottom"/>
          </w:tcPr>
          <w:p w14:paraId="1C706A5E" w14:textId="77777777" w:rsidR="002204DF" w:rsidRPr="00DE234A" w:rsidRDefault="002204DF" w:rsidP="00BF3C2F">
            <w:pPr>
              <w:pStyle w:val="ExhibitText"/>
              <w:jc w:val="center"/>
              <w:rPr>
                <w:lang w:val="en-CA"/>
              </w:rPr>
            </w:pPr>
            <w:r w:rsidRPr="00DE234A">
              <w:rPr>
                <w:lang w:val="en-CA"/>
              </w:rPr>
              <w:t>U</w:t>
            </w:r>
            <w:r w:rsidR="000777B3">
              <w:rPr>
                <w:lang w:val="en-CA"/>
              </w:rPr>
              <w:t xml:space="preserve">nited </w:t>
            </w:r>
            <w:r w:rsidRPr="00DE234A">
              <w:rPr>
                <w:lang w:val="en-CA"/>
              </w:rPr>
              <w:t>K</w:t>
            </w:r>
            <w:r w:rsidR="000777B3">
              <w:rPr>
                <w:lang w:val="en-CA"/>
              </w:rPr>
              <w:t>ingdom</w:t>
            </w:r>
          </w:p>
        </w:tc>
        <w:tc>
          <w:tcPr>
            <w:tcW w:w="2160" w:type="dxa"/>
            <w:vAlign w:val="bottom"/>
          </w:tcPr>
          <w:p w14:paraId="1FAD634E" w14:textId="77777777" w:rsidR="002204DF" w:rsidRPr="00DE234A" w:rsidRDefault="002204DF" w:rsidP="00BF3C2F">
            <w:pPr>
              <w:pStyle w:val="ExhibitText"/>
              <w:jc w:val="right"/>
              <w:rPr>
                <w:lang w:val="en-CA"/>
              </w:rPr>
            </w:pPr>
            <w:r w:rsidRPr="00DE234A">
              <w:rPr>
                <w:lang w:val="en-CA"/>
              </w:rPr>
              <w:t>9,714,068</w:t>
            </w:r>
          </w:p>
        </w:tc>
      </w:tr>
    </w:tbl>
    <w:p w14:paraId="5104C2F3" w14:textId="77777777" w:rsidR="002204DF" w:rsidRPr="00DE234A" w:rsidRDefault="002204DF" w:rsidP="002204DF">
      <w:pPr>
        <w:rPr>
          <w:b/>
          <w:color w:val="000000"/>
          <w:sz w:val="24"/>
          <w:lang w:val="en-CA"/>
        </w:rPr>
      </w:pPr>
    </w:p>
    <w:p w14:paraId="3EB7B5CD" w14:textId="700DB18D" w:rsidR="002204DF" w:rsidRDefault="002204DF" w:rsidP="00E30B97">
      <w:pPr>
        <w:pStyle w:val="Footnote"/>
        <w:jc w:val="left"/>
      </w:pPr>
      <w:r>
        <w:t xml:space="preserve">Source: </w:t>
      </w:r>
      <w:r w:rsidR="006A33F9">
        <w:t>U</w:t>
      </w:r>
      <w:r w:rsidR="00EB7644">
        <w:t>N comtrade</w:t>
      </w:r>
      <w:r w:rsidR="00207F29">
        <w:t xml:space="preserve">, </w:t>
      </w:r>
      <w:r w:rsidR="006A33F9">
        <w:t>“</w:t>
      </w:r>
      <w:r w:rsidR="00EB7644">
        <w:t>0</w:t>
      </w:r>
      <w:r w:rsidR="006A33F9">
        <w:t>60313 [Cut Orchids and Buds, For Bouquets or Ornamental Purposes, Fresh] Imports,”</w:t>
      </w:r>
      <w:r w:rsidR="006A33F9" w:rsidRPr="00FF4D12">
        <w:t xml:space="preserve"> </w:t>
      </w:r>
      <w:r w:rsidR="00207F29">
        <w:t xml:space="preserve">United Nations Commodity Trade Statistics Database, </w:t>
      </w:r>
      <w:r w:rsidR="006A33F9" w:rsidRPr="00FF4D12">
        <w:t xml:space="preserve">accessed March 22, 2017, </w:t>
      </w:r>
      <w:r w:rsidR="00E30B97" w:rsidRPr="00E30B97">
        <w:t>https://comtrade.un.org/db</w:t>
      </w:r>
      <w:r w:rsidR="006A33F9" w:rsidRPr="004D5B05">
        <w:t>/dqBasicQueryResults.aspx?cc=060313&amp;px=HS&amp;y=2013&amp;rg=1&amp;so=9999</w:t>
      </w:r>
      <w:r w:rsidR="006A33F9">
        <w:t xml:space="preserve">; </w:t>
      </w:r>
      <w:r w:rsidR="00EB7644">
        <w:t>UN comtrade</w:t>
      </w:r>
      <w:r w:rsidR="00207F29">
        <w:t>,</w:t>
      </w:r>
      <w:r w:rsidR="00EB7644">
        <w:t xml:space="preserve"> </w:t>
      </w:r>
      <w:r w:rsidR="006A33F9">
        <w:t>“</w:t>
      </w:r>
      <w:r w:rsidR="00EB7644">
        <w:t>0</w:t>
      </w:r>
      <w:r w:rsidR="006A33F9">
        <w:t>60313 [Cut Orchids and Buds, For Bouquets or Ornamental Purposes, Fresh] Exports,”</w:t>
      </w:r>
      <w:r w:rsidR="00207F29">
        <w:t xml:space="preserve"> United Nations Commodity Trade Statistics Database, </w:t>
      </w:r>
      <w:r w:rsidR="006A33F9" w:rsidRPr="00FF4D12">
        <w:t>accessed March 22, 2017,</w:t>
      </w:r>
      <w:r w:rsidR="006A33F9">
        <w:t xml:space="preserve"> </w:t>
      </w:r>
      <w:r w:rsidR="00E30B97" w:rsidRPr="00E30B97">
        <w:t>https://comtrade.un.org</w:t>
      </w:r>
      <w:r w:rsidR="006A33F9" w:rsidRPr="004D5B05">
        <w:t>/db/dqQuickQuery.aspx?cc=060313&amp;px=HS&amp;y=2013&amp;rg=2&amp;so=9999</w:t>
      </w:r>
      <w:r w:rsidR="00EB7644">
        <w:t>.</w:t>
      </w:r>
    </w:p>
    <w:p w14:paraId="28C644ED" w14:textId="7A9DEEE4" w:rsidR="000777B3" w:rsidRPr="00E30B97" w:rsidRDefault="000777B3" w:rsidP="00E30B97">
      <w:pPr>
        <w:pStyle w:val="Footnote"/>
        <w:jc w:val="left"/>
      </w:pPr>
    </w:p>
    <w:p w14:paraId="594F0E90" w14:textId="77777777" w:rsidR="000777B3" w:rsidRDefault="000777B3" w:rsidP="00E30B97">
      <w:pPr>
        <w:pStyle w:val="BodyTextMain"/>
        <w:jc w:val="left"/>
        <w:rPr>
          <w:lang w:val="en-CA"/>
        </w:rPr>
      </w:pPr>
    </w:p>
    <w:p w14:paraId="03E20D68" w14:textId="77777777" w:rsidR="00BF3C2F" w:rsidRPr="00DE234A" w:rsidRDefault="00BF3C2F" w:rsidP="00BF3C2F">
      <w:pPr>
        <w:pStyle w:val="ExhibitHeading"/>
        <w:rPr>
          <w:lang w:val="en-CA"/>
        </w:rPr>
      </w:pPr>
      <w:r>
        <w:rPr>
          <w:lang w:val="en-CA"/>
        </w:rPr>
        <w:t xml:space="preserve">Exhibit </w:t>
      </w:r>
      <w:r w:rsidR="00DA3120">
        <w:rPr>
          <w:lang w:val="en-CA"/>
        </w:rPr>
        <w:t>7</w:t>
      </w:r>
      <w:r w:rsidRPr="00DE234A">
        <w:rPr>
          <w:lang w:val="en-CA"/>
        </w:rPr>
        <w:t>: OSPF Foundation Board Members, Fall 2014</w:t>
      </w:r>
    </w:p>
    <w:p w14:paraId="122901BC" w14:textId="77777777" w:rsidR="00BF3C2F" w:rsidRPr="00DE234A" w:rsidRDefault="00BF3C2F" w:rsidP="00BF3C2F">
      <w:pPr>
        <w:rPr>
          <w:color w:val="000000"/>
          <w:sz w:val="24"/>
          <w:lang w:val="en-CA"/>
        </w:rPr>
      </w:pPr>
    </w:p>
    <w:p w14:paraId="4A34508E" w14:textId="150D845C" w:rsidR="00BF3C2F" w:rsidRPr="00DE234A" w:rsidRDefault="00561ABC" w:rsidP="00BF3C2F">
      <w:pPr>
        <w:pStyle w:val="ExhibitText"/>
        <w:rPr>
          <w:lang w:val="en-CA"/>
        </w:rPr>
      </w:pPr>
      <w:r>
        <w:rPr>
          <w:lang w:val="en-CA"/>
        </w:rPr>
        <w:t>T</w:t>
      </w:r>
      <w:r w:rsidR="00BF3C2F" w:rsidRPr="00DE234A">
        <w:rPr>
          <w:lang w:val="en-CA"/>
        </w:rPr>
        <w:t>he OS</w:t>
      </w:r>
      <w:r w:rsidR="00BF3C2F">
        <w:rPr>
          <w:lang w:val="en-CA"/>
        </w:rPr>
        <w:t>PF board</w:t>
      </w:r>
      <w:r>
        <w:rPr>
          <w:lang w:val="en-CA"/>
        </w:rPr>
        <w:t xml:space="preserve"> </w:t>
      </w:r>
      <w:r w:rsidR="004A40E6">
        <w:rPr>
          <w:lang w:val="en-CA"/>
        </w:rPr>
        <w:t>was composed of</w:t>
      </w:r>
      <w:r>
        <w:rPr>
          <w:lang w:val="en-CA"/>
        </w:rPr>
        <w:t xml:space="preserve"> the following executive positions</w:t>
      </w:r>
      <w:r w:rsidR="00F65285">
        <w:rPr>
          <w:lang w:val="en-CA"/>
        </w:rPr>
        <w:t xml:space="preserve">, </w:t>
      </w:r>
      <w:r>
        <w:rPr>
          <w:lang w:val="en-CA"/>
        </w:rPr>
        <w:t>all of which</w:t>
      </w:r>
      <w:r w:rsidR="00BF3C2F">
        <w:rPr>
          <w:lang w:val="en-CA"/>
        </w:rPr>
        <w:t xml:space="preserve"> were</w:t>
      </w:r>
      <w:r w:rsidR="00BF3C2F" w:rsidRPr="00DE234A">
        <w:rPr>
          <w:lang w:val="en-CA"/>
        </w:rPr>
        <w:t xml:space="preserve"> </w:t>
      </w:r>
      <w:r>
        <w:rPr>
          <w:lang w:val="en-CA"/>
        </w:rPr>
        <w:t xml:space="preserve">held by </w:t>
      </w:r>
      <w:r w:rsidR="00BF3C2F" w:rsidRPr="00DE234A">
        <w:rPr>
          <w:lang w:val="en-CA"/>
        </w:rPr>
        <w:t>volunteer</w:t>
      </w:r>
      <w:r>
        <w:rPr>
          <w:lang w:val="en-CA"/>
        </w:rPr>
        <w:t>s.</w:t>
      </w:r>
      <w:r w:rsidR="00BF3C2F">
        <w:rPr>
          <w:lang w:val="en-CA"/>
        </w:rPr>
        <w:t xml:space="preserve"> In 2014</w:t>
      </w:r>
      <w:r>
        <w:rPr>
          <w:lang w:val="en-CA"/>
        </w:rPr>
        <w:t>,</w:t>
      </w:r>
      <w:r w:rsidR="00BF3C2F">
        <w:rPr>
          <w:lang w:val="en-CA"/>
        </w:rPr>
        <w:t xml:space="preserve"> the average age of the board members was 58</w:t>
      </w:r>
      <w:r>
        <w:rPr>
          <w:lang w:val="en-CA"/>
        </w:rPr>
        <w:t>,</w:t>
      </w:r>
      <w:r w:rsidR="00BF3C2F">
        <w:rPr>
          <w:lang w:val="en-CA"/>
        </w:rPr>
        <w:t xml:space="preserve"> with the oldest member being 73 and the youngest being 22. Typically, however, the age range of board members was from early 50s to mid-70s.</w:t>
      </w:r>
    </w:p>
    <w:p w14:paraId="54032775" w14:textId="77777777" w:rsidR="00BF3C2F" w:rsidRPr="00DE234A" w:rsidRDefault="00BF3C2F" w:rsidP="00BF3C2F">
      <w:pPr>
        <w:pStyle w:val="ExhibitText"/>
        <w:rPr>
          <w:lang w:val="en-CA"/>
        </w:rPr>
      </w:pPr>
    </w:p>
    <w:p w14:paraId="180DA579" w14:textId="01C09E8F" w:rsidR="00BF3C2F" w:rsidRPr="00DE234A" w:rsidRDefault="00BF3C2F" w:rsidP="00BF3C2F">
      <w:pPr>
        <w:pStyle w:val="ExhibitText"/>
        <w:numPr>
          <w:ilvl w:val="0"/>
          <w:numId w:val="40"/>
        </w:numPr>
        <w:rPr>
          <w:lang w:val="en-CA"/>
        </w:rPr>
      </w:pPr>
      <w:r w:rsidRPr="00DE234A">
        <w:rPr>
          <w:b/>
          <w:lang w:val="en-CA"/>
        </w:rPr>
        <w:t>President</w:t>
      </w:r>
      <w:r w:rsidR="000E3445">
        <w:rPr>
          <w:b/>
          <w:lang w:val="en-CA"/>
        </w:rPr>
        <w:t xml:space="preserve">: </w:t>
      </w:r>
      <w:r w:rsidRPr="00DE234A">
        <w:rPr>
          <w:lang w:val="en-CA"/>
        </w:rPr>
        <w:t>David Nixon</w:t>
      </w:r>
      <w:r w:rsidR="00561ABC">
        <w:rPr>
          <w:lang w:val="en-CA"/>
        </w:rPr>
        <w:t xml:space="preserve"> was</w:t>
      </w:r>
      <w:r w:rsidRPr="00DE234A">
        <w:rPr>
          <w:lang w:val="en-CA"/>
        </w:rPr>
        <w:t xml:space="preserve"> a professional engineer and project manager with more than 30 years of senior management experience with an oil sands company</w:t>
      </w:r>
      <w:r w:rsidR="00561ABC">
        <w:rPr>
          <w:lang w:val="en-CA"/>
        </w:rPr>
        <w:t>.</w:t>
      </w:r>
    </w:p>
    <w:p w14:paraId="5E91D0FF" w14:textId="40A15FD4" w:rsidR="00BF3C2F" w:rsidRPr="00DE234A" w:rsidRDefault="00BF3C2F" w:rsidP="00BF3C2F">
      <w:pPr>
        <w:pStyle w:val="ExhibitText"/>
        <w:numPr>
          <w:ilvl w:val="0"/>
          <w:numId w:val="40"/>
        </w:numPr>
        <w:rPr>
          <w:lang w:val="en-CA"/>
        </w:rPr>
      </w:pPr>
      <w:r w:rsidRPr="00DE234A">
        <w:rPr>
          <w:b/>
          <w:lang w:val="en-CA"/>
        </w:rPr>
        <w:t xml:space="preserve">Past-President </w:t>
      </w:r>
      <w:r w:rsidR="00561ABC">
        <w:rPr>
          <w:b/>
          <w:lang w:val="en-CA"/>
        </w:rPr>
        <w:t>and</w:t>
      </w:r>
      <w:r w:rsidRPr="00DE234A">
        <w:rPr>
          <w:b/>
          <w:lang w:val="en-CA"/>
        </w:rPr>
        <w:t xml:space="preserve"> Communications</w:t>
      </w:r>
      <w:r w:rsidR="000E3445">
        <w:rPr>
          <w:b/>
          <w:lang w:val="en-CA"/>
        </w:rPr>
        <w:t xml:space="preserve">: </w:t>
      </w:r>
      <w:r w:rsidRPr="00DE234A">
        <w:rPr>
          <w:lang w:val="en-CA"/>
        </w:rPr>
        <w:t>Doug Bovee had a formal education in graphic design and ha</w:t>
      </w:r>
      <w:r w:rsidR="00561ABC">
        <w:rPr>
          <w:lang w:val="en-CA"/>
        </w:rPr>
        <w:t>d</w:t>
      </w:r>
      <w:r w:rsidRPr="00DE234A">
        <w:rPr>
          <w:lang w:val="en-CA"/>
        </w:rPr>
        <w:t xml:space="preserve"> won many trophies for orchid display over 30 years of growing orchids.</w:t>
      </w:r>
    </w:p>
    <w:p w14:paraId="1B0BAFC4" w14:textId="2E49E3DE" w:rsidR="00BF3C2F" w:rsidRPr="00DE234A" w:rsidRDefault="00BF3C2F" w:rsidP="00BF3C2F">
      <w:pPr>
        <w:pStyle w:val="ExhibitText"/>
        <w:numPr>
          <w:ilvl w:val="0"/>
          <w:numId w:val="40"/>
        </w:numPr>
        <w:rPr>
          <w:lang w:val="en-CA"/>
        </w:rPr>
      </w:pPr>
      <w:r w:rsidRPr="00DE234A">
        <w:rPr>
          <w:b/>
          <w:lang w:val="en-CA"/>
        </w:rPr>
        <w:t>Alberta Orchid Society/Canadian Orchid Congress Representative</w:t>
      </w:r>
      <w:r w:rsidR="000E3445">
        <w:rPr>
          <w:b/>
          <w:lang w:val="en-CA"/>
        </w:rPr>
        <w:t xml:space="preserve">: </w:t>
      </w:r>
      <w:r w:rsidRPr="00DE234A">
        <w:rPr>
          <w:lang w:val="en-CA"/>
        </w:rPr>
        <w:t xml:space="preserve">Monica DeWit was a dental hygienist and had been growing orchids for over 20 years. She was also one of three certified </w:t>
      </w:r>
      <w:r w:rsidR="00561ABC">
        <w:rPr>
          <w:lang w:val="en-CA"/>
        </w:rPr>
        <w:t>o</w:t>
      </w:r>
      <w:r w:rsidRPr="00DE234A">
        <w:rPr>
          <w:lang w:val="en-CA"/>
        </w:rPr>
        <w:t xml:space="preserve">rchid </w:t>
      </w:r>
      <w:r w:rsidR="00561ABC">
        <w:rPr>
          <w:lang w:val="en-CA"/>
        </w:rPr>
        <w:t>j</w:t>
      </w:r>
      <w:r w:rsidRPr="00DE234A">
        <w:rPr>
          <w:lang w:val="en-CA"/>
        </w:rPr>
        <w:t>udges in Alberta.</w:t>
      </w:r>
    </w:p>
    <w:p w14:paraId="2A629F9C" w14:textId="63B79A6E" w:rsidR="00BF3C2F" w:rsidRPr="00DE234A" w:rsidRDefault="00BF3C2F" w:rsidP="00BF3C2F">
      <w:pPr>
        <w:pStyle w:val="ExhibitText"/>
        <w:numPr>
          <w:ilvl w:val="0"/>
          <w:numId w:val="40"/>
        </w:numPr>
        <w:rPr>
          <w:lang w:val="en-CA"/>
        </w:rPr>
      </w:pPr>
      <w:r w:rsidRPr="00DE234A">
        <w:rPr>
          <w:b/>
          <w:lang w:val="en-CA"/>
        </w:rPr>
        <w:t>Treasurer</w:t>
      </w:r>
      <w:r w:rsidR="000E3445">
        <w:rPr>
          <w:b/>
          <w:lang w:val="en-CA"/>
        </w:rPr>
        <w:t xml:space="preserve">: </w:t>
      </w:r>
      <w:r w:rsidRPr="00DE234A">
        <w:rPr>
          <w:lang w:val="en-CA"/>
        </w:rPr>
        <w:t xml:space="preserve">Donna Coble </w:t>
      </w:r>
      <w:r w:rsidR="00561ABC">
        <w:rPr>
          <w:lang w:val="en-CA"/>
        </w:rPr>
        <w:t xml:space="preserve">was </w:t>
      </w:r>
      <w:r w:rsidRPr="00DE234A">
        <w:rPr>
          <w:lang w:val="en-CA"/>
        </w:rPr>
        <w:t>an accountant with more than 20 years of banking experience</w:t>
      </w:r>
      <w:r w:rsidR="00561ABC">
        <w:rPr>
          <w:lang w:val="en-CA"/>
        </w:rPr>
        <w:t>.</w:t>
      </w:r>
    </w:p>
    <w:p w14:paraId="2492005C" w14:textId="55A9647B" w:rsidR="00BF3C2F" w:rsidRPr="00DE234A" w:rsidRDefault="00BF3C2F" w:rsidP="00BF3C2F">
      <w:pPr>
        <w:pStyle w:val="ExhibitText"/>
        <w:numPr>
          <w:ilvl w:val="0"/>
          <w:numId w:val="40"/>
        </w:numPr>
        <w:rPr>
          <w:lang w:val="en-CA"/>
        </w:rPr>
      </w:pPr>
      <w:r w:rsidRPr="00DE234A">
        <w:rPr>
          <w:b/>
          <w:lang w:val="en-CA"/>
        </w:rPr>
        <w:t>Director of Collections</w:t>
      </w:r>
      <w:r w:rsidR="000E3445">
        <w:rPr>
          <w:b/>
          <w:lang w:val="en-CA"/>
        </w:rPr>
        <w:t xml:space="preserve">: </w:t>
      </w:r>
      <w:r w:rsidRPr="00DE234A">
        <w:rPr>
          <w:lang w:val="en-CA"/>
        </w:rPr>
        <w:t>Don Hawker was a dentist with over 20 years of orchid</w:t>
      </w:r>
      <w:r w:rsidR="00561ABC">
        <w:rPr>
          <w:lang w:val="en-CA"/>
        </w:rPr>
        <w:t>-</w:t>
      </w:r>
      <w:r w:rsidRPr="00DE234A">
        <w:rPr>
          <w:lang w:val="en-CA"/>
        </w:rPr>
        <w:t>growing experience and an</w:t>
      </w:r>
      <w:r w:rsidRPr="00DE234A">
        <w:rPr>
          <w:i/>
          <w:color w:val="0000FF"/>
          <w:lang w:val="en-CA"/>
        </w:rPr>
        <w:t xml:space="preserve"> </w:t>
      </w:r>
      <w:r w:rsidRPr="00DE234A">
        <w:rPr>
          <w:lang w:val="en-CA"/>
        </w:rPr>
        <w:t>extensive knowledge of Cattleya orchid species and hybrids.</w:t>
      </w:r>
    </w:p>
    <w:p w14:paraId="1024975A" w14:textId="447326CF" w:rsidR="00BF3C2F" w:rsidRPr="00DE234A" w:rsidRDefault="00BF3C2F" w:rsidP="00BF3C2F">
      <w:pPr>
        <w:pStyle w:val="ExhibitText"/>
        <w:numPr>
          <w:ilvl w:val="0"/>
          <w:numId w:val="40"/>
        </w:numPr>
        <w:rPr>
          <w:i/>
          <w:color w:val="000000" w:themeColor="text1"/>
          <w:lang w:val="en-CA"/>
        </w:rPr>
      </w:pPr>
      <w:r w:rsidRPr="00DE234A">
        <w:rPr>
          <w:b/>
          <w:color w:val="000000" w:themeColor="text1"/>
          <w:lang w:val="en-CA"/>
        </w:rPr>
        <w:t>Database Director</w:t>
      </w:r>
      <w:r w:rsidR="000E3445">
        <w:rPr>
          <w:b/>
          <w:color w:val="000000" w:themeColor="text1"/>
          <w:lang w:val="en-CA"/>
        </w:rPr>
        <w:t xml:space="preserve">: </w:t>
      </w:r>
      <w:r w:rsidRPr="00DE234A">
        <w:rPr>
          <w:color w:val="000000" w:themeColor="text1"/>
          <w:lang w:val="en-CA"/>
        </w:rPr>
        <w:t xml:space="preserve">Judy Jones was Microsoft certified and had been growing orchids for over 15 years. </w:t>
      </w:r>
    </w:p>
    <w:p w14:paraId="66CF0793" w14:textId="6E19379E" w:rsidR="00BF3C2F" w:rsidRPr="00DE234A" w:rsidRDefault="00BF3C2F" w:rsidP="00BF3C2F">
      <w:pPr>
        <w:pStyle w:val="ExhibitText"/>
        <w:numPr>
          <w:ilvl w:val="0"/>
          <w:numId w:val="40"/>
        </w:numPr>
        <w:rPr>
          <w:i/>
          <w:color w:val="000000" w:themeColor="text1"/>
          <w:lang w:val="en-CA"/>
        </w:rPr>
      </w:pPr>
      <w:r w:rsidRPr="00DE234A">
        <w:rPr>
          <w:b/>
          <w:color w:val="000000" w:themeColor="text1"/>
          <w:lang w:val="en-CA"/>
        </w:rPr>
        <w:t>Director of Collection Management</w:t>
      </w:r>
      <w:r w:rsidR="000E3445">
        <w:rPr>
          <w:b/>
          <w:color w:val="000000" w:themeColor="text1"/>
          <w:lang w:val="en-CA"/>
        </w:rPr>
        <w:t xml:space="preserve">: </w:t>
      </w:r>
      <w:r w:rsidRPr="00DE234A">
        <w:rPr>
          <w:color w:val="000000" w:themeColor="text1"/>
          <w:lang w:val="en-CA"/>
        </w:rPr>
        <w:t xml:space="preserve">Barry Storeshaw had a </w:t>
      </w:r>
      <w:r w:rsidR="00FA0036">
        <w:rPr>
          <w:color w:val="000000" w:themeColor="text1"/>
          <w:lang w:val="en-CA"/>
        </w:rPr>
        <w:t>Bachelor of Science</w:t>
      </w:r>
      <w:r w:rsidRPr="00DE234A">
        <w:rPr>
          <w:color w:val="000000" w:themeColor="text1"/>
          <w:lang w:val="en-CA"/>
        </w:rPr>
        <w:t xml:space="preserve"> degree in biochemistry and an extensive knowledge of genetics and laboratory methodology and equipment.</w:t>
      </w:r>
    </w:p>
    <w:p w14:paraId="2F626EDD" w14:textId="36DD3B1E" w:rsidR="00BF3C2F" w:rsidRPr="00DE234A" w:rsidRDefault="00BF3C2F" w:rsidP="00BF3C2F">
      <w:pPr>
        <w:pStyle w:val="ExhibitText"/>
        <w:numPr>
          <w:ilvl w:val="0"/>
          <w:numId w:val="40"/>
        </w:numPr>
        <w:rPr>
          <w:lang w:val="en-CA"/>
        </w:rPr>
      </w:pPr>
      <w:r w:rsidRPr="00DE234A">
        <w:rPr>
          <w:b/>
          <w:color w:val="000000" w:themeColor="text1"/>
          <w:lang w:val="en-CA"/>
        </w:rPr>
        <w:t>Secretary</w:t>
      </w:r>
      <w:r w:rsidR="00FA0036">
        <w:rPr>
          <w:b/>
          <w:color w:val="000000" w:themeColor="text1"/>
          <w:lang w:val="en-CA"/>
        </w:rPr>
        <w:t>:</w:t>
      </w:r>
      <w:r w:rsidRPr="00DE234A">
        <w:rPr>
          <w:color w:val="000000" w:themeColor="text1"/>
          <w:lang w:val="en-CA"/>
        </w:rPr>
        <w:t xml:space="preserve"> Lisa Maltby</w:t>
      </w:r>
      <w:r w:rsidR="00601AD9">
        <w:rPr>
          <w:color w:val="000000" w:themeColor="text1"/>
          <w:lang w:val="en-CA"/>
        </w:rPr>
        <w:t xml:space="preserve"> </w:t>
      </w:r>
    </w:p>
    <w:p w14:paraId="6E43F3AB" w14:textId="77777777" w:rsidR="00BF3C2F" w:rsidRDefault="00BF3C2F" w:rsidP="002204DF">
      <w:pPr>
        <w:pStyle w:val="Footnote"/>
      </w:pPr>
    </w:p>
    <w:p w14:paraId="3FE7C9BA" w14:textId="261F0CE8" w:rsidR="00BF3C2F" w:rsidRDefault="00CE3A65" w:rsidP="00FF5E0D">
      <w:pPr>
        <w:pStyle w:val="Footnote"/>
      </w:pPr>
      <w:r>
        <w:t xml:space="preserve">Source: The </w:t>
      </w:r>
      <w:r w:rsidRPr="00D47D51">
        <w:t>Orchid Species Preservation Foundation</w:t>
      </w:r>
      <w:r>
        <w:t xml:space="preserve"> board.</w:t>
      </w:r>
    </w:p>
    <w:sectPr w:rsidR="00BF3C2F"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104F3" w14:textId="77777777" w:rsidR="00481914" w:rsidRDefault="00481914" w:rsidP="00D75295">
      <w:r>
        <w:separator/>
      </w:r>
    </w:p>
  </w:endnote>
  <w:endnote w:type="continuationSeparator" w:id="0">
    <w:p w14:paraId="546387FB" w14:textId="77777777" w:rsidR="00481914" w:rsidRDefault="00481914"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6770C" w14:textId="77777777" w:rsidR="00481914" w:rsidRDefault="00481914" w:rsidP="00D75295">
      <w:r>
        <w:separator/>
      </w:r>
    </w:p>
  </w:footnote>
  <w:footnote w:type="continuationSeparator" w:id="0">
    <w:p w14:paraId="57AA2BF5" w14:textId="77777777" w:rsidR="00481914" w:rsidRDefault="00481914" w:rsidP="00D75295">
      <w:r>
        <w:continuationSeparator/>
      </w:r>
    </w:p>
  </w:footnote>
  <w:footnote w:id="1">
    <w:p w14:paraId="1B35B372" w14:textId="0972A419" w:rsidR="00481914" w:rsidRDefault="00481914" w:rsidP="00E4742F">
      <w:pPr>
        <w:pStyle w:val="Footnote"/>
      </w:pPr>
      <w:r>
        <w:rPr>
          <w:rStyle w:val="FootnoteReference"/>
        </w:rPr>
        <w:footnoteRef/>
      </w:r>
      <w:r>
        <w:t xml:space="preserve"> 1 square-foot = 0.093 square metres.</w:t>
      </w:r>
    </w:p>
  </w:footnote>
  <w:footnote w:id="2">
    <w:p w14:paraId="7631DA4D" w14:textId="2C68E872" w:rsidR="00481914" w:rsidRDefault="00481914" w:rsidP="004B21D9">
      <w:pPr>
        <w:pStyle w:val="Footnote"/>
      </w:pPr>
      <w:r>
        <w:rPr>
          <w:rStyle w:val="FootnoteReference"/>
        </w:rPr>
        <w:footnoteRef/>
      </w:r>
      <w:r>
        <w:t xml:space="preserve"> A</w:t>
      </w:r>
      <w:r w:rsidRPr="00A74F98">
        <w:rPr>
          <w:rFonts w:eastAsiaTheme="minorEastAsia"/>
        </w:rPr>
        <w:t>ll currency amounts are in</w:t>
      </w:r>
      <w:r>
        <w:rPr>
          <w:rFonts w:eastAsiaTheme="minorEastAsia"/>
        </w:rPr>
        <w:t xml:space="preserve"> CA$ unless otherwise stated.</w:t>
      </w:r>
    </w:p>
  </w:footnote>
  <w:footnote w:id="3">
    <w:p w14:paraId="7190BD85" w14:textId="15AC658D" w:rsidR="00481914" w:rsidRDefault="00481914" w:rsidP="006203D4">
      <w:pPr>
        <w:pStyle w:val="Footnote"/>
      </w:pPr>
      <w:r>
        <w:rPr>
          <w:rStyle w:val="FootnoteReference"/>
        </w:rPr>
        <w:footnoteRef/>
      </w:r>
      <w:r>
        <w:t xml:space="preserve"> “Attractions &amp; Events: Muttart Conservatory,” Edmonton, accessed December 9, 2014, </w:t>
      </w:r>
      <w:r w:rsidRPr="003B1BDC">
        <w:t>www.edmonton.ca/attractions_events/muttart-conservatory.aspx</w:t>
      </w:r>
      <w:r>
        <w:t>.</w:t>
      </w:r>
    </w:p>
  </w:footnote>
  <w:footnote w:id="4">
    <w:p w14:paraId="58C399C4" w14:textId="276DE2A0" w:rsidR="00481914" w:rsidRPr="003B1BDC" w:rsidRDefault="00481914" w:rsidP="006203D4">
      <w:pPr>
        <w:pStyle w:val="Footnote"/>
      </w:pPr>
      <w:r w:rsidRPr="003B1BDC">
        <w:rPr>
          <w:rStyle w:val="FootnoteReference"/>
        </w:rPr>
        <w:footnoteRef/>
      </w:r>
      <w:r w:rsidRPr="003B1BDC">
        <w:rPr>
          <w:vertAlign w:val="superscript"/>
        </w:rPr>
        <w:t xml:space="preserve"> </w:t>
      </w:r>
      <w:r>
        <w:t xml:space="preserve">“Our Work: Plants,” </w:t>
      </w:r>
      <w:r w:rsidRPr="00634EAD">
        <w:rPr>
          <w:lang w:val="en-CA"/>
        </w:rPr>
        <w:t>I</w:t>
      </w:r>
      <w:r>
        <w:rPr>
          <w:lang w:val="en-CA"/>
        </w:rPr>
        <w:t xml:space="preserve">UCN, </w:t>
      </w:r>
      <w:r>
        <w:t>accessed</w:t>
      </w:r>
      <w:r w:rsidRPr="003B1BDC">
        <w:t xml:space="preserve"> December 10, 2014</w:t>
      </w:r>
      <w:r>
        <w:t xml:space="preserve">, </w:t>
      </w:r>
      <w:r w:rsidRPr="00E2013C">
        <w:t>www.iucn.org/theme/species/our-work/plants</w:t>
      </w:r>
      <w:r w:rsidRPr="003B1BDC">
        <w:t>.</w:t>
      </w:r>
    </w:p>
  </w:footnote>
  <w:footnote w:id="5">
    <w:p w14:paraId="0114A601" w14:textId="66D1E482" w:rsidR="00481914" w:rsidRDefault="00481914">
      <w:pPr>
        <w:pStyle w:val="FootnoteText"/>
      </w:pPr>
      <w:r>
        <w:rPr>
          <w:rStyle w:val="FootnoteReference"/>
        </w:rPr>
        <w:footnoteRef/>
      </w:r>
      <w:r>
        <w:t xml:space="preserve"> </w:t>
      </w:r>
      <w:r w:rsidRPr="00AE460F">
        <w:rPr>
          <w:rStyle w:val="FootnoteChar"/>
        </w:rPr>
        <w:t>Ibid.</w:t>
      </w:r>
    </w:p>
  </w:footnote>
  <w:footnote w:id="6">
    <w:p w14:paraId="10FC06C9" w14:textId="74AA3BA5" w:rsidR="00481914" w:rsidRDefault="00481914">
      <w:pPr>
        <w:pStyle w:val="FootnoteText"/>
      </w:pPr>
      <w:r>
        <w:rPr>
          <w:rStyle w:val="FootnoteReference"/>
        </w:rPr>
        <w:footnoteRef/>
      </w:r>
      <w:r>
        <w:t xml:space="preserve"> </w:t>
      </w:r>
      <w:r w:rsidRPr="00AE460F">
        <w:rPr>
          <w:rStyle w:val="FootnoteChar"/>
        </w:rPr>
        <w:t>Ibid.</w:t>
      </w:r>
    </w:p>
  </w:footnote>
  <w:footnote w:id="7">
    <w:p w14:paraId="62EED72E" w14:textId="11C081CE" w:rsidR="00481914" w:rsidRPr="003B1BDC" w:rsidRDefault="00481914" w:rsidP="006203D4">
      <w:pPr>
        <w:pStyle w:val="Footnote"/>
      </w:pPr>
      <w:r w:rsidRPr="003B1BDC">
        <w:rPr>
          <w:rStyle w:val="FootnoteReference"/>
        </w:rPr>
        <w:footnoteRef/>
      </w:r>
      <w:r w:rsidRPr="003B1BDC">
        <w:t xml:space="preserve"> </w:t>
      </w:r>
      <w:r>
        <w:t xml:space="preserve">“Native Orchids,” </w:t>
      </w:r>
      <w:r w:rsidRPr="003B1BDC">
        <w:t>Orchid Society of the Royal Botanical Gardens</w:t>
      </w:r>
      <w:r>
        <w:t xml:space="preserve">, accessed March 22, 2016, </w:t>
      </w:r>
      <w:r w:rsidRPr="00AE460F">
        <w:t>https://osrbg.ca/wp/?page_id=73</w:t>
      </w:r>
      <w:r w:rsidRPr="003B1BDC">
        <w:t>.</w:t>
      </w:r>
    </w:p>
  </w:footnote>
  <w:footnote w:id="8">
    <w:p w14:paraId="7FC1FDE3" w14:textId="77777777" w:rsidR="00481914" w:rsidRPr="00FF4D12" w:rsidRDefault="00481914" w:rsidP="006203D4">
      <w:pPr>
        <w:pStyle w:val="Footnote"/>
      </w:pPr>
      <w:r w:rsidRPr="003B1BDC">
        <w:rPr>
          <w:rStyle w:val="FootnoteReference"/>
        </w:rPr>
        <w:footnoteRef/>
      </w:r>
      <w:r>
        <w:t xml:space="preserve"> </w:t>
      </w:r>
      <w:r w:rsidRPr="003B1BDC">
        <w:t>ATB Financial Economics and Research Group</w:t>
      </w:r>
      <w:r>
        <w:t>, “</w:t>
      </w:r>
      <w:r w:rsidRPr="003B1BDC">
        <w:t xml:space="preserve">Alberta </w:t>
      </w:r>
      <w:r>
        <w:t>E</w:t>
      </w:r>
      <w:r w:rsidRPr="003B1BDC">
        <w:t xml:space="preserve">conomic </w:t>
      </w:r>
      <w:r>
        <w:t>O</w:t>
      </w:r>
      <w:r w:rsidRPr="003B1BDC">
        <w:t xml:space="preserve">utlook Q4 </w:t>
      </w:r>
      <w:r>
        <w:t>2014,” October 2, 2014, accessed</w:t>
      </w:r>
      <w:r w:rsidRPr="003B1BDC">
        <w:t xml:space="preserve"> December 11</w:t>
      </w:r>
      <w:r w:rsidRPr="00FF4D12">
        <w:t>, 2014, www.atb.com/SiteCollectionDocuments/About/Alberta-Economic-Outlook-Q4-2014.pdf.</w:t>
      </w:r>
    </w:p>
  </w:footnote>
  <w:footnote w:id="9">
    <w:p w14:paraId="5035E92C" w14:textId="3DB46C6D" w:rsidR="00481914" w:rsidRPr="003B1BDC" w:rsidRDefault="00481914" w:rsidP="003B511D">
      <w:pPr>
        <w:pStyle w:val="Footnote"/>
        <w:jc w:val="left"/>
      </w:pPr>
      <w:r w:rsidRPr="00FF4D12">
        <w:rPr>
          <w:rStyle w:val="FootnoteReference"/>
        </w:rPr>
        <w:footnoteRef/>
      </w:r>
      <w:r w:rsidRPr="00FF4D12">
        <w:t xml:space="preserve"> </w:t>
      </w:r>
      <w:r>
        <w:t>UN comtrade, “060313 [Cut Orchids and Buds, For Bouquets or Ornamental Purposes, Fresh] Imports,” United Nations Commodity Trade Statistics Database,</w:t>
      </w:r>
      <w:r w:rsidRPr="00FF4D12">
        <w:t xml:space="preserve"> accessed March 22, 2017, </w:t>
      </w:r>
      <w:r w:rsidRPr="004D5B05">
        <w:t>https://comtrade.un.org/db/dqBasicQueryResults.aspx?cc=060313&amp;</w:t>
      </w:r>
      <w:r>
        <w:t>.</w:t>
      </w:r>
      <w:r w:rsidRPr="004D5B05">
        <w:t>px=HS&amp;y=2013&amp;rg=1&amp;so=9999</w:t>
      </w:r>
      <w:r>
        <w:t xml:space="preserve">; UN </w:t>
      </w:r>
      <w:proofErr w:type="spellStart"/>
      <w:r>
        <w:t>comtrade</w:t>
      </w:r>
      <w:proofErr w:type="spellEnd"/>
      <w:r>
        <w:t xml:space="preserve">, “Data Query: 060313 [Cut Orchids and Buds, For Bouquets or Ornamental Purposes, Fresh] Exports,” United Nations Commodity Trade Statistics Database, </w:t>
      </w:r>
      <w:r w:rsidRPr="00FF4D12">
        <w:t>accessed March 22, 2017,</w:t>
      </w:r>
      <w:r>
        <w:t xml:space="preserve"> </w:t>
      </w:r>
      <w:r w:rsidRPr="004D5B05">
        <w:t>https://comtrade.un.org/db/dqQuickQuery.aspx?cc=060313&amp;px=HS&amp;y=2013&amp;rg=2&amp;so=9999</w:t>
      </w:r>
      <w:r>
        <w:t>.</w:t>
      </w:r>
    </w:p>
  </w:footnote>
  <w:footnote w:id="10">
    <w:p w14:paraId="3F3F12A1" w14:textId="7CBB3104" w:rsidR="00481914" w:rsidRDefault="00481914" w:rsidP="006203D4">
      <w:pPr>
        <w:pStyle w:val="Footnote"/>
      </w:pPr>
      <w:r w:rsidRPr="003B1BDC">
        <w:rPr>
          <w:rStyle w:val="FootnoteReference"/>
        </w:rPr>
        <w:footnoteRef/>
      </w:r>
      <w:r w:rsidRPr="003B1BDC">
        <w:t xml:space="preserve"> </w:t>
      </w:r>
      <w:r>
        <w:t>Christopher J.</w:t>
      </w:r>
      <w:r w:rsidRPr="003B1BDC">
        <w:t xml:space="preserve"> Bulpitt, </w:t>
      </w:r>
      <w:r>
        <w:t xml:space="preserve">Yan </w:t>
      </w:r>
      <w:hyperlink r:id="rId1" w:history="1">
        <w:r w:rsidRPr="003B1BDC">
          <w:t>Li</w:t>
        </w:r>
      </w:hyperlink>
      <w:r w:rsidRPr="003B1BDC">
        <w:t xml:space="preserve">, </w:t>
      </w:r>
      <w:r>
        <w:t>Pauline F.</w:t>
      </w:r>
      <w:hyperlink r:id="rId2" w:history="1">
        <w:r w:rsidRPr="003B1BDC">
          <w:t xml:space="preserve"> Bulpitt</w:t>
        </w:r>
      </w:hyperlink>
      <w:r w:rsidRPr="003B1BDC">
        <w:t xml:space="preserve">, </w:t>
      </w:r>
      <w:r>
        <w:t>and Jiguang</w:t>
      </w:r>
      <w:r w:rsidRPr="003B1BDC">
        <w:t xml:space="preserve"> </w:t>
      </w:r>
      <w:hyperlink r:id="rId3" w:history="1">
        <w:r w:rsidRPr="003B1BDC">
          <w:t>Wang</w:t>
        </w:r>
      </w:hyperlink>
      <w:r>
        <w:t>, “</w:t>
      </w:r>
      <w:r w:rsidRPr="003B1BDC">
        <w:t xml:space="preserve">The </w:t>
      </w:r>
      <w:r>
        <w:t>U</w:t>
      </w:r>
      <w:r w:rsidRPr="003B1BDC">
        <w:t xml:space="preserve">se of </w:t>
      </w:r>
      <w:r>
        <w:t>O</w:t>
      </w:r>
      <w:r w:rsidRPr="003B1BDC">
        <w:t xml:space="preserve">rchids in Chinese </w:t>
      </w:r>
      <w:r>
        <w:t>M</w:t>
      </w:r>
      <w:r w:rsidRPr="003B1BDC">
        <w:t>edicine</w:t>
      </w:r>
      <w:r>
        <w:t>,”</w:t>
      </w:r>
      <w:r w:rsidRPr="003B1BDC">
        <w:t xml:space="preserve"> </w:t>
      </w:r>
      <w:r w:rsidRPr="007A6E8B">
        <w:rPr>
          <w:i/>
        </w:rPr>
        <w:t>Journal of the Royal Society of Medicine</w:t>
      </w:r>
      <w:r w:rsidRPr="003B1BDC">
        <w:t xml:space="preserve"> 100</w:t>
      </w:r>
      <w:r>
        <w:t xml:space="preserve">, no. </w:t>
      </w:r>
      <w:r w:rsidRPr="003B1BDC">
        <w:t>12</w:t>
      </w:r>
      <w:r>
        <w:t xml:space="preserve"> (December 2007</w:t>
      </w:r>
      <w:r w:rsidRPr="003B1BDC">
        <w:t>)</w:t>
      </w:r>
      <w:r>
        <w:t>:</w:t>
      </w:r>
      <w:r w:rsidRPr="003B1BDC">
        <w:t xml:space="preserve"> 558</w:t>
      </w:r>
      <w:r>
        <w:t>–</w:t>
      </w:r>
      <w:r w:rsidRPr="003B1BDC">
        <w:t>563</w:t>
      </w:r>
      <w:r>
        <w:t>,</w:t>
      </w:r>
      <w:r w:rsidRPr="003B1BDC">
        <w:t xml:space="preserve"> doi: 10.1258/jrsm.100.12.558</w:t>
      </w:r>
      <w:r>
        <w:t>.</w:t>
      </w:r>
    </w:p>
  </w:footnote>
  <w:footnote w:id="11">
    <w:p w14:paraId="71BA7590" w14:textId="34546A7B" w:rsidR="00481914" w:rsidRDefault="00481914" w:rsidP="006203D4">
      <w:pPr>
        <w:pStyle w:val="Footnote"/>
      </w:pPr>
      <w:r>
        <w:rPr>
          <w:rStyle w:val="FootnoteReference"/>
        </w:rPr>
        <w:footnoteRef/>
      </w:r>
      <w:r>
        <w:t xml:space="preserve"> “</w:t>
      </w:r>
      <w:r w:rsidRPr="00342F91">
        <w:t>Convention on International Trade in Endangered Species of Wild Fauna and Flora</w:t>
      </w:r>
      <w:r>
        <w:t xml:space="preserve">,” CITES: Convention on International Trade in Endangered Species of Wild Fauna and Flora, accessed March 10, 2017, </w:t>
      </w:r>
      <w:r w:rsidRPr="00342F91">
        <w:t>https://cites.org/eng/disc/text.php</w:t>
      </w:r>
      <w:r>
        <w:t>.</w:t>
      </w:r>
    </w:p>
  </w:footnote>
  <w:footnote w:id="12">
    <w:p w14:paraId="60620249" w14:textId="7EA379A5" w:rsidR="00481914" w:rsidRDefault="00481914" w:rsidP="00E4742F">
      <w:pPr>
        <w:pStyle w:val="Footnote"/>
      </w:pPr>
      <w:r>
        <w:rPr>
          <w:rStyle w:val="FootnoteReference"/>
        </w:rPr>
        <w:footnoteRef/>
      </w:r>
      <w:r>
        <w:t xml:space="preserve"> 1 pound = 0.454 kilograms.</w:t>
      </w:r>
    </w:p>
  </w:footnote>
  <w:footnote w:id="13">
    <w:p w14:paraId="5774FA71" w14:textId="2585B1A6" w:rsidR="00481914" w:rsidRPr="00081EC5" w:rsidRDefault="00481914" w:rsidP="006203D4">
      <w:pPr>
        <w:pStyle w:val="Footnote"/>
      </w:pPr>
      <w:r>
        <w:rPr>
          <w:rStyle w:val="FootnoteReference"/>
        </w:rPr>
        <w:footnoteRef/>
      </w:r>
      <w:r>
        <w:t xml:space="preserve"> “Attractions &amp; Events,” Edmonton, </w:t>
      </w:r>
      <w:r w:rsidRPr="00342F91">
        <w:t xml:space="preserve">accessed </w:t>
      </w:r>
      <w:r w:rsidRPr="00E256D1">
        <w:t>December 16, 2014</w:t>
      </w:r>
      <w:r>
        <w:t xml:space="preserve">, </w:t>
      </w:r>
      <w:hyperlink r:id="rId4" w:history="1">
        <w:r w:rsidRPr="00E256D1">
          <w:rPr>
            <w:rStyle w:val="Hyperlink"/>
            <w:color w:val="auto"/>
            <w:u w:val="none"/>
          </w:rPr>
          <w:t>www.edmonton.ca/attractions-events.aspx</w:t>
        </w:r>
      </w:hyperlink>
      <w:r w:rsidRPr="00081EC5">
        <w:t>.</w:t>
      </w:r>
    </w:p>
  </w:footnote>
  <w:footnote w:id="14">
    <w:p w14:paraId="3DB8992B" w14:textId="164F7195" w:rsidR="00481914" w:rsidRPr="00342F91" w:rsidRDefault="00481914" w:rsidP="006203D4">
      <w:pPr>
        <w:pStyle w:val="Footnote"/>
        <w:rPr>
          <w:highlight w:val="yellow"/>
        </w:rPr>
      </w:pPr>
      <w:r w:rsidRPr="00081EC5">
        <w:rPr>
          <w:rStyle w:val="FootnoteReference"/>
        </w:rPr>
        <w:footnoteRef/>
      </w:r>
      <w:r w:rsidRPr="007E6C82">
        <w:t xml:space="preserve"> “Exhibits &amp; Events,” Telus World of Science</w:t>
      </w:r>
      <w:r>
        <w:t xml:space="preserve"> Edmonton</w:t>
      </w:r>
      <w:r w:rsidRPr="007E6C82">
        <w:t>, accessed</w:t>
      </w:r>
      <w:r w:rsidRPr="00081EC5">
        <w:t xml:space="preserve"> December 16, 2014, www.twose.ca/exhibits-events/permanent-exhibits.</w:t>
      </w:r>
    </w:p>
  </w:footnote>
  <w:footnote w:id="15">
    <w:p w14:paraId="6DD8D179" w14:textId="6B257C0D" w:rsidR="00481914" w:rsidRDefault="00481914" w:rsidP="006203D4">
      <w:pPr>
        <w:pStyle w:val="Footnote"/>
      </w:pPr>
      <w:r w:rsidRPr="00190225">
        <w:rPr>
          <w:rStyle w:val="FootnoteReference"/>
        </w:rPr>
        <w:footnoteRef/>
      </w:r>
      <w:r w:rsidRPr="00190225">
        <w:t xml:space="preserve"> </w:t>
      </w:r>
      <w:r>
        <w:t xml:space="preserve">“About the University of Alberta Botanic Garden,” University of Alberta Botanic Garden, </w:t>
      </w:r>
      <w:r w:rsidRPr="007E6C82">
        <w:t>accessed</w:t>
      </w:r>
      <w:r w:rsidRPr="00190225">
        <w:t xml:space="preserve"> December 16, 2014</w:t>
      </w:r>
      <w:r w:rsidRPr="007E6C82">
        <w:t xml:space="preserve">, </w:t>
      </w:r>
      <w:r w:rsidRPr="002C316C">
        <w:t>http://botanicgarden.</w:t>
      </w:r>
      <w:r>
        <w:t>ualberta.ca/About.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F2B74" w14:textId="1306CDC6" w:rsidR="00481914" w:rsidRDefault="0048191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83FA4">
      <w:rPr>
        <w:rFonts w:ascii="Arial" w:hAnsi="Arial"/>
        <w:b/>
        <w:noProof/>
      </w:rPr>
      <w:t>13</w:t>
    </w:r>
    <w:r>
      <w:rPr>
        <w:rFonts w:ascii="Arial" w:hAnsi="Arial"/>
        <w:b/>
      </w:rPr>
      <w:fldChar w:fldCharType="end"/>
    </w:r>
    <w:r>
      <w:rPr>
        <w:rFonts w:ascii="Arial" w:hAnsi="Arial"/>
        <w:b/>
      </w:rPr>
      <w:tab/>
      <w:t>9B17M055</w:t>
    </w:r>
  </w:p>
  <w:p w14:paraId="0162F416" w14:textId="77777777" w:rsidR="00481914" w:rsidRPr="00C92CC4" w:rsidRDefault="00481914">
    <w:pPr>
      <w:pStyle w:val="Header"/>
      <w:rPr>
        <w:sz w:val="18"/>
        <w:szCs w:val="18"/>
      </w:rPr>
    </w:pPr>
  </w:p>
  <w:p w14:paraId="4C3A9588" w14:textId="77777777" w:rsidR="00481914" w:rsidRPr="00C92CC4" w:rsidRDefault="0048191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5333E3"/>
    <w:multiLevelType w:val="hybridMultilevel"/>
    <w:tmpl w:val="377885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C91235"/>
    <w:multiLevelType w:val="hybridMultilevel"/>
    <w:tmpl w:val="80D28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250EE"/>
    <w:multiLevelType w:val="hybridMultilevel"/>
    <w:tmpl w:val="F362AC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A670DD0"/>
    <w:multiLevelType w:val="hybridMultilevel"/>
    <w:tmpl w:val="0FD24D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DBE30D0"/>
    <w:multiLevelType w:val="hybridMultilevel"/>
    <w:tmpl w:val="5ED820D6"/>
    <w:lvl w:ilvl="0" w:tplc="0409000F">
      <w:start w:val="1"/>
      <w:numFmt w:val="decimal"/>
      <w:lvlText w:val="%1."/>
      <w:lvlJc w:val="left"/>
      <w:pPr>
        <w:ind w:left="360" w:hanging="360"/>
      </w:pPr>
      <w:rPr>
        <w:rFonts w:hint="default"/>
      </w:rPr>
    </w:lvl>
    <w:lvl w:ilvl="1" w:tplc="225A4A52">
      <w:start w:val="1"/>
      <w:numFmt w:val="bullet"/>
      <w:lvlText w:val="̶"/>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71E86"/>
    <w:multiLevelType w:val="multilevel"/>
    <w:tmpl w:val="59128A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1E76"/>
    <w:multiLevelType w:val="hybridMultilevel"/>
    <w:tmpl w:val="7D4C3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1FB763F"/>
    <w:multiLevelType w:val="hybridMultilevel"/>
    <w:tmpl w:val="4C2C8654"/>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42EA5FBB"/>
    <w:multiLevelType w:val="multilevel"/>
    <w:tmpl w:val="A0C2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64E5AE0"/>
    <w:multiLevelType w:val="multilevel"/>
    <w:tmpl w:val="FA54E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C0E3E"/>
    <w:multiLevelType w:val="hybridMultilevel"/>
    <w:tmpl w:val="34C02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0" w15:restartNumberingAfterBreak="0">
    <w:nsid w:val="4B402A38"/>
    <w:multiLevelType w:val="hybridMultilevel"/>
    <w:tmpl w:val="A78A0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CFD489A"/>
    <w:multiLevelType w:val="hybridMultilevel"/>
    <w:tmpl w:val="06FEA1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1D783A"/>
    <w:multiLevelType w:val="hybridMultilevel"/>
    <w:tmpl w:val="4EACAF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6" w15:restartNumberingAfterBreak="0">
    <w:nsid w:val="615D7C2D"/>
    <w:multiLevelType w:val="hybridMultilevel"/>
    <w:tmpl w:val="3C5E6A78"/>
    <w:lvl w:ilvl="0" w:tplc="225A4A5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8" w15:restartNumberingAfterBreak="0">
    <w:nsid w:val="690812C4"/>
    <w:multiLevelType w:val="hybridMultilevel"/>
    <w:tmpl w:val="49B87D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44C52EA"/>
    <w:multiLevelType w:val="hybridMultilevel"/>
    <w:tmpl w:val="68725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57307A2"/>
    <w:multiLevelType w:val="hybridMultilevel"/>
    <w:tmpl w:val="FCA4A9F8"/>
    <w:lvl w:ilvl="0" w:tplc="225A4A52">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DE34F8E"/>
    <w:multiLevelType w:val="hybridMultilevel"/>
    <w:tmpl w:val="84926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9"/>
  </w:num>
  <w:num w:numId="13">
    <w:abstractNumId w:val="14"/>
  </w:num>
  <w:num w:numId="14">
    <w:abstractNumId w:val="33"/>
  </w:num>
  <w:num w:numId="15">
    <w:abstractNumId w:val="34"/>
  </w:num>
  <w:num w:numId="16">
    <w:abstractNumId w:val="35"/>
  </w:num>
  <w:num w:numId="17">
    <w:abstractNumId w:val="20"/>
  </w:num>
  <w:num w:numId="18">
    <w:abstractNumId w:val="37"/>
  </w:num>
  <w:num w:numId="19">
    <w:abstractNumId w:val="13"/>
  </w:num>
  <w:num w:numId="20">
    <w:abstractNumId w:val="11"/>
  </w:num>
  <w:num w:numId="21">
    <w:abstractNumId w:val="39"/>
  </w:num>
  <w:num w:numId="22">
    <w:abstractNumId w:val="26"/>
  </w:num>
  <w:num w:numId="23">
    <w:abstractNumId w:val="4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4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4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3"/>
  </w:num>
  <w:num w:numId="28">
    <w:abstractNumId w:val="27"/>
  </w:num>
  <w:num w:numId="29">
    <w:abstractNumId w:val="21"/>
  </w:num>
  <w:num w:numId="30">
    <w:abstractNumId w:val="25"/>
  </w:num>
  <w:num w:numId="31">
    <w:abstractNumId w:val="10"/>
  </w:num>
  <w:num w:numId="32">
    <w:abstractNumId w:val="24"/>
  </w:num>
  <w:num w:numId="33">
    <w:abstractNumId w:val="18"/>
  </w:num>
  <w:num w:numId="34">
    <w:abstractNumId w:val="36"/>
  </w:num>
  <w:num w:numId="35">
    <w:abstractNumId w:val="41"/>
  </w:num>
  <w:num w:numId="36">
    <w:abstractNumId w:val="28"/>
  </w:num>
  <w:num w:numId="37">
    <w:abstractNumId w:val="30"/>
  </w:num>
  <w:num w:numId="38">
    <w:abstractNumId w:val="12"/>
  </w:num>
  <w:num w:numId="39">
    <w:abstractNumId w:val="40"/>
  </w:num>
  <w:num w:numId="40">
    <w:abstractNumId w:val="38"/>
  </w:num>
  <w:num w:numId="41">
    <w:abstractNumId w:val="32"/>
  </w:num>
  <w:num w:numId="42">
    <w:abstractNumId w:val="16"/>
  </w:num>
  <w:num w:numId="43">
    <w:abstractNumId w:val="17"/>
  </w:num>
  <w:num w:numId="44">
    <w:abstractNumId w:val="22"/>
  </w:num>
  <w:num w:numId="45">
    <w:abstractNumId w:val="4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AAF"/>
    <w:rsid w:val="000063D2"/>
    <w:rsid w:val="00010602"/>
    <w:rsid w:val="00013360"/>
    <w:rsid w:val="00014979"/>
    <w:rsid w:val="000216CE"/>
    <w:rsid w:val="0002383D"/>
    <w:rsid w:val="00025DC7"/>
    <w:rsid w:val="00026486"/>
    <w:rsid w:val="0003605B"/>
    <w:rsid w:val="00044ECC"/>
    <w:rsid w:val="000531D3"/>
    <w:rsid w:val="0005646B"/>
    <w:rsid w:val="00056AC8"/>
    <w:rsid w:val="0005724C"/>
    <w:rsid w:val="00060BD8"/>
    <w:rsid w:val="00075987"/>
    <w:rsid w:val="000777B3"/>
    <w:rsid w:val="0008102D"/>
    <w:rsid w:val="00081EC5"/>
    <w:rsid w:val="00083FA4"/>
    <w:rsid w:val="000909E7"/>
    <w:rsid w:val="00093E6D"/>
    <w:rsid w:val="00094C0E"/>
    <w:rsid w:val="000A5639"/>
    <w:rsid w:val="000C09BA"/>
    <w:rsid w:val="000C2BEA"/>
    <w:rsid w:val="000D2C07"/>
    <w:rsid w:val="000E3445"/>
    <w:rsid w:val="000F0C22"/>
    <w:rsid w:val="000F2ED6"/>
    <w:rsid w:val="000F6B09"/>
    <w:rsid w:val="000F6FDC"/>
    <w:rsid w:val="00102A7F"/>
    <w:rsid w:val="00104567"/>
    <w:rsid w:val="00121D51"/>
    <w:rsid w:val="0012732D"/>
    <w:rsid w:val="0012740D"/>
    <w:rsid w:val="00131186"/>
    <w:rsid w:val="00131354"/>
    <w:rsid w:val="001407A8"/>
    <w:rsid w:val="00146F2E"/>
    <w:rsid w:val="00154FC9"/>
    <w:rsid w:val="00165DAB"/>
    <w:rsid w:val="00180569"/>
    <w:rsid w:val="00184A12"/>
    <w:rsid w:val="001858D5"/>
    <w:rsid w:val="00190225"/>
    <w:rsid w:val="0019241A"/>
    <w:rsid w:val="00195461"/>
    <w:rsid w:val="001A5335"/>
    <w:rsid w:val="001A752D"/>
    <w:rsid w:val="001B34D4"/>
    <w:rsid w:val="001C05F3"/>
    <w:rsid w:val="001D4338"/>
    <w:rsid w:val="001E00EB"/>
    <w:rsid w:val="001E6DA4"/>
    <w:rsid w:val="002033EE"/>
    <w:rsid w:val="00203AA1"/>
    <w:rsid w:val="00207F29"/>
    <w:rsid w:val="00213A5B"/>
    <w:rsid w:val="00213E98"/>
    <w:rsid w:val="0021740A"/>
    <w:rsid w:val="002204DF"/>
    <w:rsid w:val="00230AD3"/>
    <w:rsid w:val="00230F08"/>
    <w:rsid w:val="00231E87"/>
    <w:rsid w:val="00232155"/>
    <w:rsid w:val="00232538"/>
    <w:rsid w:val="00237304"/>
    <w:rsid w:val="00250202"/>
    <w:rsid w:val="002568E1"/>
    <w:rsid w:val="00262411"/>
    <w:rsid w:val="00274147"/>
    <w:rsid w:val="00275B73"/>
    <w:rsid w:val="00275BC5"/>
    <w:rsid w:val="002B5B0A"/>
    <w:rsid w:val="002B7326"/>
    <w:rsid w:val="002C316C"/>
    <w:rsid w:val="002D06D9"/>
    <w:rsid w:val="002D4767"/>
    <w:rsid w:val="002D5148"/>
    <w:rsid w:val="002E0CBF"/>
    <w:rsid w:val="002E32F0"/>
    <w:rsid w:val="002E7777"/>
    <w:rsid w:val="002F460C"/>
    <w:rsid w:val="002F48D6"/>
    <w:rsid w:val="0030070F"/>
    <w:rsid w:val="003073C9"/>
    <w:rsid w:val="003124F5"/>
    <w:rsid w:val="003148DE"/>
    <w:rsid w:val="0031707D"/>
    <w:rsid w:val="003215B9"/>
    <w:rsid w:val="003217F9"/>
    <w:rsid w:val="00330A61"/>
    <w:rsid w:val="00331206"/>
    <w:rsid w:val="00332865"/>
    <w:rsid w:val="00342F91"/>
    <w:rsid w:val="00343565"/>
    <w:rsid w:val="00354899"/>
    <w:rsid w:val="00355FD6"/>
    <w:rsid w:val="00356BB8"/>
    <w:rsid w:val="003570F1"/>
    <w:rsid w:val="00361C8E"/>
    <w:rsid w:val="003637A4"/>
    <w:rsid w:val="00364A5C"/>
    <w:rsid w:val="00373FB1"/>
    <w:rsid w:val="003A007C"/>
    <w:rsid w:val="003B053F"/>
    <w:rsid w:val="003B1BDC"/>
    <w:rsid w:val="003B30D8"/>
    <w:rsid w:val="003B511D"/>
    <w:rsid w:val="003B536D"/>
    <w:rsid w:val="003B6295"/>
    <w:rsid w:val="003B7EF2"/>
    <w:rsid w:val="003C01B3"/>
    <w:rsid w:val="003C3FA4"/>
    <w:rsid w:val="003F2B0C"/>
    <w:rsid w:val="003F7DE8"/>
    <w:rsid w:val="0041744F"/>
    <w:rsid w:val="004221E4"/>
    <w:rsid w:val="00425219"/>
    <w:rsid w:val="00451824"/>
    <w:rsid w:val="00460699"/>
    <w:rsid w:val="004641A6"/>
    <w:rsid w:val="004641CC"/>
    <w:rsid w:val="004669F4"/>
    <w:rsid w:val="00471088"/>
    <w:rsid w:val="004813BE"/>
    <w:rsid w:val="00481914"/>
    <w:rsid w:val="00483AF9"/>
    <w:rsid w:val="004965C1"/>
    <w:rsid w:val="004A233F"/>
    <w:rsid w:val="004A40E6"/>
    <w:rsid w:val="004B0845"/>
    <w:rsid w:val="004B1CCB"/>
    <w:rsid w:val="004B21D9"/>
    <w:rsid w:val="004D0349"/>
    <w:rsid w:val="004D52ED"/>
    <w:rsid w:val="004D5B05"/>
    <w:rsid w:val="004D73A5"/>
    <w:rsid w:val="004E75EF"/>
    <w:rsid w:val="004E7F10"/>
    <w:rsid w:val="004F6928"/>
    <w:rsid w:val="004F78F7"/>
    <w:rsid w:val="00502980"/>
    <w:rsid w:val="00507E37"/>
    <w:rsid w:val="005121F1"/>
    <w:rsid w:val="00532CF5"/>
    <w:rsid w:val="0053650A"/>
    <w:rsid w:val="00536F9C"/>
    <w:rsid w:val="00540C78"/>
    <w:rsid w:val="0054535A"/>
    <w:rsid w:val="00550BA7"/>
    <w:rsid w:val="00552013"/>
    <w:rsid w:val="005528CB"/>
    <w:rsid w:val="00561ABC"/>
    <w:rsid w:val="00566771"/>
    <w:rsid w:val="00572288"/>
    <w:rsid w:val="00580F32"/>
    <w:rsid w:val="00581E2E"/>
    <w:rsid w:val="00584F15"/>
    <w:rsid w:val="00594F84"/>
    <w:rsid w:val="005A2935"/>
    <w:rsid w:val="005A3D43"/>
    <w:rsid w:val="005A4B53"/>
    <w:rsid w:val="005B24CD"/>
    <w:rsid w:val="005B4A02"/>
    <w:rsid w:val="005C5590"/>
    <w:rsid w:val="005D02C6"/>
    <w:rsid w:val="005E5998"/>
    <w:rsid w:val="005F386E"/>
    <w:rsid w:val="005F39E5"/>
    <w:rsid w:val="005F7A22"/>
    <w:rsid w:val="00601AD9"/>
    <w:rsid w:val="006163F7"/>
    <w:rsid w:val="006203D4"/>
    <w:rsid w:val="00624EF5"/>
    <w:rsid w:val="00637177"/>
    <w:rsid w:val="00652606"/>
    <w:rsid w:val="00653E29"/>
    <w:rsid w:val="00671293"/>
    <w:rsid w:val="00676E87"/>
    <w:rsid w:val="00682754"/>
    <w:rsid w:val="00696FB7"/>
    <w:rsid w:val="006A33F9"/>
    <w:rsid w:val="006A58A9"/>
    <w:rsid w:val="006A606D"/>
    <w:rsid w:val="006B7F7A"/>
    <w:rsid w:val="006C0371"/>
    <w:rsid w:val="006C08B6"/>
    <w:rsid w:val="006C0B1A"/>
    <w:rsid w:val="006C4384"/>
    <w:rsid w:val="006C4B3A"/>
    <w:rsid w:val="006C6065"/>
    <w:rsid w:val="006C6F0B"/>
    <w:rsid w:val="006C7890"/>
    <w:rsid w:val="006C7F9F"/>
    <w:rsid w:val="006D1257"/>
    <w:rsid w:val="006D2B15"/>
    <w:rsid w:val="006E2F6D"/>
    <w:rsid w:val="006E58F6"/>
    <w:rsid w:val="006E77E1"/>
    <w:rsid w:val="006F131D"/>
    <w:rsid w:val="00701904"/>
    <w:rsid w:val="00711673"/>
    <w:rsid w:val="007127A7"/>
    <w:rsid w:val="00714C58"/>
    <w:rsid w:val="00730DB2"/>
    <w:rsid w:val="00734803"/>
    <w:rsid w:val="007408BC"/>
    <w:rsid w:val="00741826"/>
    <w:rsid w:val="0075213F"/>
    <w:rsid w:val="00752BCD"/>
    <w:rsid w:val="00766DA1"/>
    <w:rsid w:val="007816B4"/>
    <w:rsid w:val="00781A2F"/>
    <w:rsid w:val="007866A6"/>
    <w:rsid w:val="007A130D"/>
    <w:rsid w:val="007A6E8B"/>
    <w:rsid w:val="007B5818"/>
    <w:rsid w:val="007C72AB"/>
    <w:rsid w:val="007C7990"/>
    <w:rsid w:val="007C7E38"/>
    <w:rsid w:val="007D0165"/>
    <w:rsid w:val="007D4102"/>
    <w:rsid w:val="007E2518"/>
    <w:rsid w:val="007E5002"/>
    <w:rsid w:val="007E5921"/>
    <w:rsid w:val="007E6C82"/>
    <w:rsid w:val="007F275C"/>
    <w:rsid w:val="007F6D62"/>
    <w:rsid w:val="007F74F7"/>
    <w:rsid w:val="008164A3"/>
    <w:rsid w:val="00820ABE"/>
    <w:rsid w:val="00821FFC"/>
    <w:rsid w:val="008271CA"/>
    <w:rsid w:val="008467D5"/>
    <w:rsid w:val="0085094D"/>
    <w:rsid w:val="00855F92"/>
    <w:rsid w:val="00856D9F"/>
    <w:rsid w:val="008575B3"/>
    <w:rsid w:val="00866F6D"/>
    <w:rsid w:val="008737EC"/>
    <w:rsid w:val="00881237"/>
    <w:rsid w:val="00881848"/>
    <w:rsid w:val="00893F18"/>
    <w:rsid w:val="008A25E9"/>
    <w:rsid w:val="008A2C13"/>
    <w:rsid w:val="008A4DC4"/>
    <w:rsid w:val="008A7713"/>
    <w:rsid w:val="008B10E4"/>
    <w:rsid w:val="008B56B2"/>
    <w:rsid w:val="008D6612"/>
    <w:rsid w:val="008D68B2"/>
    <w:rsid w:val="008F1C44"/>
    <w:rsid w:val="008F676D"/>
    <w:rsid w:val="009067A4"/>
    <w:rsid w:val="0090722E"/>
    <w:rsid w:val="00907A65"/>
    <w:rsid w:val="00920B8B"/>
    <w:rsid w:val="00931304"/>
    <w:rsid w:val="009340DB"/>
    <w:rsid w:val="00934586"/>
    <w:rsid w:val="00936C71"/>
    <w:rsid w:val="00940703"/>
    <w:rsid w:val="0094215F"/>
    <w:rsid w:val="00960867"/>
    <w:rsid w:val="00966B17"/>
    <w:rsid w:val="00972498"/>
    <w:rsid w:val="0097282A"/>
    <w:rsid w:val="00974893"/>
    <w:rsid w:val="00974CC6"/>
    <w:rsid w:val="00976AD4"/>
    <w:rsid w:val="00976E0F"/>
    <w:rsid w:val="00976FA7"/>
    <w:rsid w:val="00981B18"/>
    <w:rsid w:val="009829B4"/>
    <w:rsid w:val="009A312F"/>
    <w:rsid w:val="009A5348"/>
    <w:rsid w:val="009A67BB"/>
    <w:rsid w:val="009B0903"/>
    <w:rsid w:val="009B5E6D"/>
    <w:rsid w:val="009C3D5B"/>
    <w:rsid w:val="009C76D5"/>
    <w:rsid w:val="009E0C76"/>
    <w:rsid w:val="009F4163"/>
    <w:rsid w:val="009F5144"/>
    <w:rsid w:val="009F7AA4"/>
    <w:rsid w:val="00A17282"/>
    <w:rsid w:val="00A21863"/>
    <w:rsid w:val="00A2243D"/>
    <w:rsid w:val="00A2486C"/>
    <w:rsid w:val="00A32D86"/>
    <w:rsid w:val="00A354D0"/>
    <w:rsid w:val="00A36DBC"/>
    <w:rsid w:val="00A433F1"/>
    <w:rsid w:val="00A43F4C"/>
    <w:rsid w:val="00A46D23"/>
    <w:rsid w:val="00A559DB"/>
    <w:rsid w:val="00A631C4"/>
    <w:rsid w:val="00A648A3"/>
    <w:rsid w:val="00A70BA3"/>
    <w:rsid w:val="00A7711E"/>
    <w:rsid w:val="00A95DC8"/>
    <w:rsid w:val="00AA0ACA"/>
    <w:rsid w:val="00AB0729"/>
    <w:rsid w:val="00AB410B"/>
    <w:rsid w:val="00AC11FF"/>
    <w:rsid w:val="00AD56F5"/>
    <w:rsid w:val="00AE1EA8"/>
    <w:rsid w:val="00AE460F"/>
    <w:rsid w:val="00AE5590"/>
    <w:rsid w:val="00AF35FC"/>
    <w:rsid w:val="00B03639"/>
    <w:rsid w:val="00B04FBB"/>
    <w:rsid w:val="00B0652A"/>
    <w:rsid w:val="00B0669F"/>
    <w:rsid w:val="00B16E0A"/>
    <w:rsid w:val="00B340F5"/>
    <w:rsid w:val="00B3757D"/>
    <w:rsid w:val="00B40937"/>
    <w:rsid w:val="00B423EF"/>
    <w:rsid w:val="00B42C6C"/>
    <w:rsid w:val="00B453DE"/>
    <w:rsid w:val="00B45C2F"/>
    <w:rsid w:val="00B4742F"/>
    <w:rsid w:val="00B67D5B"/>
    <w:rsid w:val="00B85DC9"/>
    <w:rsid w:val="00B8628C"/>
    <w:rsid w:val="00B901F9"/>
    <w:rsid w:val="00B94AB7"/>
    <w:rsid w:val="00BA23E4"/>
    <w:rsid w:val="00BA54A0"/>
    <w:rsid w:val="00BB1167"/>
    <w:rsid w:val="00BB2253"/>
    <w:rsid w:val="00BB2B66"/>
    <w:rsid w:val="00BB312E"/>
    <w:rsid w:val="00BB768C"/>
    <w:rsid w:val="00BC0C71"/>
    <w:rsid w:val="00BC26CD"/>
    <w:rsid w:val="00BD0646"/>
    <w:rsid w:val="00BD6EFB"/>
    <w:rsid w:val="00BE4F7B"/>
    <w:rsid w:val="00BE75D7"/>
    <w:rsid w:val="00BF1D1B"/>
    <w:rsid w:val="00BF38DB"/>
    <w:rsid w:val="00BF3C2F"/>
    <w:rsid w:val="00C15BE2"/>
    <w:rsid w:val="00C22219"/>
    <w:rsid w:val="00C325A2"/>
    <w:rsid w:val="00C3447F"/>
    <w:rsid w:val="00C35E56"/>
    <w:rsid w:val="00C52D74"/>
    <w:rsid w:val="00C53C1F"/>
    <w:rsid w:val="00C63D64"/>
    <w:rsid w:val="00C70809"/>
    <w:rsid w:val="00C74283"/>
    <w:rsid w:val="00C77229"/>
    <w:rsid w:val="00C81491"/>
    <w:rsid w:val="00C81676"/>
    <w:rsid w:val="00C82D97"/>
    <w:rsid w:val="00C9001B"/>
    <w:rsid w:val="00C90F04"/>
    <w:rsid w:val="00C92CC4"/>
    <w:rsid w:val="00C96DA1"/>
    <w:rsid w:val="00CA0AFB"/>
    <w:rsid w:val="00CA2CE1"/>
    <w:rsid w:val="00CA3976"/>
    <w:rsid w:val="00CA757B"/>
    <w:rsid w:val="00CB05A5"/>
    <w:rsid w:val="00CC1787"/>
    <w:rsid w:val="00CC182C"/>
    <w:rsid w:val="00CD0824"/>
    <w:rsid w:val="00CD2908"/>
    <w:rsid w:val="00CD3F46"/>
    <w:rsid w:val="00CE1636"/>
    <w:rsid w:val="00CE3A65"/>
    <w:rsid w:val="00D03A82"/>
    <w:rsid w:val="00D15344"/>
    <w:rsid w:val="00D17ED6"/>
    <w:rsid w:val="00D24E4F"/>
    <w:rsid w:val="00D274BF"/>
    <w:rsid w:val="00D27EA3"/>
    <w:rsid w:val="00D31BEC"/>
    <w:rsid w:val="00D507AD"/>
    <w:rsid w:val="00D63150"/>
    <w:rsid w:val="00D64A32"/>
    <w:rsid w:val="00D64EFC"/>
    <w:rsid w:val="00D7172C"/>
    <w:rsid w:val="00D75295"/>
    <w:rsid w:val="00D76CE9"/>
    <w:rsid w:val="00D92F5C"/>
    <w:rsid w:val="00D97F12"/>
    <w:rsid w:val="00DA3120"/>
    <w:rsid w:val="00DA3AC2"/>
    <w:rsid w:val="00DA5F8E"/>
    <w:rsid w:val="00DA77F6"/>
    <w:rsid w:val="00DB42E7"/>
    <w:rsid w:val="00DB652D"/>
    <w:rsid w:val="00DB7AFB"/>
    <w:rsid w:val="00DC6502"/>
    <w:rsid w:val="00DD4C07"/>
    <w:rsid w:val="00DE27C2"/>
    <w:rsid w:val="00DE5890"/>
    <w:rsid w:val="00DF32C2"/>
    <w:rsid w:val="00DF69EC"/>
    <w:rsid w:val="00E053D7"/>
    <w:rsid w:val="00E11704"/>
    <w:rsid w:val="00E2013C"/>
    <w:rsid w:val="00E256D1"/>
    <w:rsid w:val="00E265DA"/>
    <w:rsid w:val="00E30B97"/>
    <w:rsid w:val="00E34F69"/>
    <w:rsid w:val="00E460D1"/>
    <w:rsid w:val="00E471A7"/>
    <w:rsid w:val="00E4742F"/>
    <w:rsid w:val="00E56874"/>
    <w:rsid w:val="00E60F80"/>
    <w:rsid w:val="00E635CF"/>
    <w:rsid w:val="00E702AB"/>
    <w:rsid w:val="00E70F4E"/>
    <w:rsid w:val="00E75254"/>
    <w:rsid w:val="00E817DC"/>
    <w:rsid w:val="00E8248B"/>
    <w:rsid w:val="00E856EE"/>
    <w:rsid w:val="00E921C7"/>
    <w:rsid w:val="00EA1B95"/>
    <w:rsid w:val="00EB017E"/>
    <w:rsid w:val="00EB5410"/>
    <w:rsid w:val="00EB7644"/>
    <w:rsid w:val="00EC3EF2"/>
    <w:rsid w:val="00EC6E0A"/>
    <w:rsid w:val="00ED4E18"/>
    <w:rsid w:val="00EE1F37"/>
    <w:rsid w:val="00EE1F6C"/>
    <w:rsid w:val="00EF46BF"/>
    <w:rsid w:val="00EF6B99"/>
    <w:rsid w:val="00F0159C"/>
    <w:rsid w:val="00F0451B"/>
    <w:rsid w:val="00F0518F"/>
    <w:rsid w:val="00F0747F"/>
    <w:rsid w:val="00F105B7"/>
    <w:rsid w:val="00F160F6"/>
    <w:rsid w:val="00F17A21"/>
    <w:rsid w:val="00F37842"/>
    <w:rsid w:val="00F4033E"/>
    <w:rsid w:val="00F46020"/>
    <w:rsid w:val="00F50E91"/>
    <w:rsid w:val="00F57D29"/>
    <w:rsid w:val="00F651DD"/>
    <w:rsid w:val="00F65285"/>
    <w:rsid w:val="00F6780A"/>
    <w:rsid w:val="00F67EB1"/>
    <w:rsid w:val="00F77614"/>
    <w:rsid w:val="00F873D5"/>
    <w:rsid w:val="00F92A99"/>
    <w:rsid w:val="00F953E9"/>
    <w:rsid w:val="00F96201"/>
    <w:rsid w:val="00F97B31"/>
    <w:rsid w:val="00FA0036"/>
    <w:rsid w:val="00FB1916"/>
    <w:rsid w:val="00FC30E9"/>
    <w:rsid w:val="00FD0B18"/>
    <w:rsid w:val="00FD0F82"/>
    <w:rsid w:val="00FD7E6D"/>
    <w:rsid w:val="00FE714F"/>
    <w:rsid w:val="00FF4D12"/>
    <w:rsid w:val="00FF5E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BA481E3"/>
  <w15:docId w15:val="{CCCF9D4E-9E87-4862-9DC4-6872EECC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4D5B05"/>
    <w:rPr>
      <w:color w:val="800080" w:themeColor="followedHyperlink"/>
      <w:u w:val="single"/>
    </w:rPr>
  </w:style>
  <w:style w:type="table" w:customStyle="1" w:styleId="TableGrid1">
    <w:name w:val="Table Grid1"/>
    <w:basedOn w:val="TableNormal"/>
    <w:next w:val="TableGrid"/>
    <w:uiPriority w:val="59"/>
    <w:rsid w:val="00083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4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3" Type="http://schemas.openxmlformats.org/officeDocument/2006/relationships/hyperlink" Target="http://jrs.sagepub.com/search?author1=Jiguang+Wang&amp;sortspec=date&amp;submit=Submit" TargetMode="External"/><Relationship Id="rId2" Type="http://schemas.openxmlformats.org/officeDocument/2006/relationships/hyperlink" Target="http://jrs.sagepub.com/search?author1=Pauline+F+Bulpitt&amp;sortspec=date&amp;submit=Submit" TargetMode="External"/><Relationship Id="rId1" Type="http://schemas.openxmlformats.org/officeDocument/2006/relationships/hyperlink" Target="http://jrs.sagepub.com/search?author1=Yan+Li&amp;sortspec=date&amp;submit=Submit" TargetMode="External"/><Relationship Id="rId4" Type="http://schemas.openxmlformats.org/officeDocument/2006/relationships/hyperlink" Target="http://www.edmonton.ca/attractions-event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2950C-5CF6-48BD-B992-D4D5032D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5692</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2</cp:revision>
  <cp:lastPrinted>2017-03-22T20:00:00Z</cp:lastPrinted>
  <dcterms:created xsi:type="dcterms:W3CDTF">2017-07-27T19:56:00Z</dcterms:created>
  <dcterms:modified xsi:type="dcterms:W3CDTF">2017-07-27T19:56:00Z</dcterms:modified>
</cp:coreProperties>
</file>