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FC3AA" w14:textId="634608E2" w:rsidR="008467D5" w:rsidRPr="005E5A1A" w:rsidRDefault="006103EF"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10CFB4A0" wp14:editId="0B510E8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989BC3D" w14:textId="77777777" w:rsidR="00856D9F" w:rsidRPr="005E5A1A"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4074DF8" w14:textId="332493D4" w:rsidR="00D75295" w:rsidRPr="005E5A1A" w:rsidRDefault="002968FE" w:rsidP="005D3BF5">
      <w:pPr>
        <w:pStyle w:val="ProductNumber"/>
        <w:outlineLvl w:val="0"/>
        <w:rPr>
          <w:lang w:val="en-GB"/>
        </w:rPr>
      </w:pPr>
      <w:r>
        <w:rPr>
          <w:lang w:val="en-GB"/>
        </w:rPr>
        <w:t>9B17M057</w:t>
      </w:r>
    </w:p>
    <w:p w14:paraId="07470CD2" w14:textId="77777777" w:rsidR="00D75295" w:rsidRPr="005E5A1A" w:rsidRDefault="00D75295" w:rsidP="00D75295">
      <w:pPr>
        <w:jc w:val="right"/>
        <w:rPr>
          <w:rFonts w:ascii="Arial" w:hAnsi="Arial"/>
          <w:b/>
          <w:sz w:val="28"/>
          <w:szCs w:val="28"/>
          <w:lang w:val="en-GB"/>
        </w:rPr>
      </w:pPr>
    </w:p>
    <w:p w14:paraId="4BC39314" w14:textId="77777777" w:rsidR="00866F6D" w:rsidRPr="005E5A1A" w:rsidRDefault="00866F6D" w:rsidP="00D75295">
      <w:pPr>
        <w:jc w:val="right"/>
        <w:rPr>
          <w:rFonts w:ascii="Arial" w:hAnsi="Arial"/>
          <w:b/>
          <w:sz w:val="28"/>
          <w:szCs w:val="28"/>
          <w:lang w:val="en-GB"/>
        </w:rPr>
      </w:pPr>
    </w:p>
    <w:p w14:paraId="28EE4859" w14:textId="77777777" w:rsidR="00013360" w:rsidRPr="005E5A1A" w:rsidRDefault="00C700B1" w:rsidP="00013360">
      <w:pPr>
        <w:pStyle w:val="CaseTitle"/>
        <w:spacing w:after="0" w:line="240" w:lineRule="auto"/>
        <w:rPr>
          <w:lang w:val="en-GB"/>
        </w:rPr>
      </w:pPr>
      <w:r w:rsidRPr="005E5A1A">
        <w:rPr>
          <w:lang w:val="en-GB"/>
        </w:rPr>
        <w:t>HERITAGE CHICKENS: THE CHALLENGE OF GENETIC SUSTAINABILITY</w:t>
      </w:r>
    </w:p>
    <w:p w14:paraId="585A4F41" w14:textId="77777777" w:rsidR="00013360" w:rsidRPr="005E5A1A" w:rsidRDefault="00013360" w:rsidP="00013360">
      <w:pPr>
        <w:pStyle w:val="CaseTitle"/>
        <w:spacing w:after="0" w:line="240" w:lineRule="auto"/>
        <w:rPr>
          <w:sz w:val="20"/>
          <w:szCs w:val="20"/>
          <w:lang w:val="en-GB"/>
        </w:rPr>
      </w:pPr>
    </w:p>
    <w:p w14:paraId="1B9F510C" w14:textId="77777777" w:rsidR="00CA3976" w:rsidRPr="005E5A1A" w:rsidRDefault="00CA3976" w:rsidP="00013360">
      <w:pPr>
        <w:pStyle w:val="CaseTitle"/>
        <w:spacing w:after="0" w:line="240" w:lineRule="auto"/>
        <w:rPr>
          <w:sz w:val="20"/>
          <w:szCs w:val="20"/>
          <w:lang w:val="en-GB"/>
        </w:rPr>
      </w:pPr>
    </w:p>
    <w:p w14:paraId="49F50A6E" w14:textId="77777777" w:rsidR="00013360" w:rsidRPr="005E5A1A" w:rsidRDefault="00013360" w:rsidP="00013360">
      <w:pPr>
        <w:pStyle w:val="CaseTitle"/>
        <w:spacing w:after="0" w:line="240" w:lineRule="auto"/>
        <w:rPr>
          <w:sz w:val="20"/>
          <w:szCs w:val="20"/>
          <w:lang w:val="en-GB"/>
        </w:rPr>
      </w:pPr>
    </w:p>
    <w:p w14:paraId="589E0C54" w14:textId="1DD4C727" w:rsidR="00013360" w:rsidRPr="005E5A1A" w:rsidRDefault="00C700B1" w:rsidP="00104567">
      <w:pPr>
        <w:pStyle w:val="StyleCopyrightStatementAfter0ptBottomSinglesolidline1"/>
        <w:rPr>
          <w:lang w:val="en-GB"/>
        </w:rPr>
      </w:pPr>
      <w:r w:rsidRPr="005E5A1A">
        <w:rPr>
          <w:lang w:val="en-GB"/>
        </w:rPr>
        <w:t>Marni Devlin Moses and Leanne Hedberg</w:t>
      </w:r>
      <w:r w:rsidR="007E5921" w:rsidRPr="005E5A1A">
        <w:rPr>
          <w:lang w:val="en-GB"/>
        </w:rPr>
        <w:t xml:space="preserve"> wrote this case</w:t>
      </w:r>
      <w:r w:rsidR="005D3BF5">
        <w:rPr>
          <w:lang w:val="en-GB"/>
        </w:rPr>
        <w:t xml:space="preserve"> under the supervision of Professor Joel Gehman</w:t>
      </w:r>
      <w:r w:rsidR="007E5921" w:rsidRPr="005E5A1A">
        <w:rPr>
          <w:lang w:val="en-GB"/>
        </w:rPr>
        <w:t xml:space="preserve"> sol</w:t>
      </w:r>
      <w:r w:rsidR="00D75295" w:rsidRPr="005E5A1A">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24BE1B6" w14:textId="77777777" w:rsidR="00013360" w:rsidRPr="005E5A1A" w:rsidRDefault="00013360" w:rsidP="00104567">
      <w:pPr>
        <w:pStyle w:val="StyleCopyrightStatementAfter0ptBottomSinglesolidline1"/>
        <w:rPr>
          <w:lang w:val="en-GB"/>
        </w:rPr>
      </w:pPr>
    </w:p>
    <w:p w14:paraId="5089F890" w14:textId="77777777" w:rsidR="006103EF" w:rsidRPr="00E23AB7" w:rsidRDefault="006103EF" w:rsidP="006103EF">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8119D61" w14:textId="77777777" w:rsidR="006103EF" w:rsidRPr="00E23AB7" w:rsidRDefault="006103EF" w:rsidP="006103EF">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773D798E" w14:textId="465D4479" w:rsidR="003B7EF2" w:rsidRPr="005E5A1A" w:rsidRDefault="006103EF" w:rsidP="006103EF">
      <w:pPr>
        <w:pStyle w:val="StyleStyleCopyrightStatementAfter0ptBottomSinglesolid"/>
        <w:outlineLvl w:val="0"/>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2017-04-</w:t>
      </w:r>
      <w:r w:rsidR="000519A5">
        <w:t>2</w:t>
      </w:r>
      <w:r w:rsidR="00152AE8">
        <w:t>4</w:t>
      </w:r>
    </w:p>
    <w:p w14:paraId="0C6D37B2" w14:textId="77777777" w:rsidR="003B7EF2" w:rsidRPr="005E5A1A" w:rsidRDefault="003B7EF2" w:rsidP="00104567">
      <w:pPr>
        <w:pStyle w:val="StyleCopyrightStatementAfter0ptBottomSinglesolidline1"/>
        <w:rPr>
          <w:rFonts w:ascii="Times New Roman" w:hAnsi="Times New Roman"/>
          <w:sz w:val="20"/>
          <w:lang w:val="en-GB"/>
        </w:rPr>
      </w:pPr>
    </w:p>
    <w:p w14:paraId="54FE6BEC" w14:textId="77777777" w:rsidR="003B7EF2" w:rsidRPr="005E5A1A" w:rsidRDefault="003B7EF2" w:rsidP="006F1D9E">
      <w:pPr>
        <w:pStyle w:val="Footnote"/>
        <w:rPr>
          <w:lang w:val="en-GB"/>
        </w:rPr>
      </w:pPr>
    </w:p>
    <w:p w14:paraId="3F7F28C8" w14:textId="6FF8C38D" w:rsidR="009D7CBE" w:rsidRPr="005E5A1A" w:rsidRDefault="009D7CBE" w:rsidP="0049593C">
      <w:pPr>
        <w:pStyle w:val="BodyTextMain"/>
        <w:rPr>
          <w:lang w:val="en-GB"/>
        </w:rPr>
      </w:pPr>
      <w:r w:rsidRPr="005E5A1A">
        <w:rPr>
          <w:lang w:val="en-GB"/>
        </w:rPr>
        <w:t>The Poultry Research Centre (PRC) at the University of Alberta farm was an internationally recognized research, development</w:t>
      </w:r>
      <w:r w:rsidR="00DC2D5F">
        <w:rPr>
          <w:lang w:val="en-GB"/>
        </w:rPr>
        <w:t>,</w:t>
      </w:r>
      <w:r w:rsidRPr="005E5A1A">
        <w:rPr>
          <w:lang w:val="en-GB"/>
        </w:rPr>
        <w:t xml:space="preserve"> and learning hub. In 1986, </w:t>
      </w:r>
      <w:r w:rsidR="00DC2D5F">
        <w:rPr>
          <w:lang w:val="en-GB"/>
        </w:rPr>
        <w:t xml:space="preserve">the </w:t>
      </w:r>
      <w:r w:rsidRPr="005E5A1A">
        <w:rPr>
          <w:lang w:val="en-GB"/>
        </w:rPr>
        <w:t xml:space="preserve">PRC began the Rare Poultry Conservancy Program as a way to maintain </w:t>
      </w:r>
      <w:r w:rsidR="00DC2D5F">
        <w:rPr>
          <w:lang w:val="en-GB"/>
        </w:rPr>
        <w:t>h</w:t>
      </w:r>
      <w:r w:rsidRPr="005E5A1A">
        <w:rPr>
          <w:lang w:val="en-GB"/>
        </w:rPr>
        <w:t xml:space="preserve">eritage chicken breeds. But years later, due to the global financial crisis, </w:t>
      </w:r>
      <w:r w:rsidR="00DC2D5F">
        <w:rPr>
          <w:lang w:val="en-GB"/>
        </w:rPr>
        <w:t>u</w:t>
      </w:r>
      <w:r w:rsidRPr="005E5A1A">
        <w:rPr>
          <w:lang w:val="en-GB"/>
        </w:rPr>
        <w:t>niversity funding was cut</w:t>
      </w:r>
      <w:r w:rsidR="00DC2D5F">
        <w:rPr>
          <w:lang w:val="en-GB"/>
        </w:rPr>
        <w:t>,</w:t>
      </w:r>
      <w:r w:rsidRPr="005E5A1A">
        <w:rPr>
          <w:lang w:val="en-GB"/>
        </w:rPr>
        <w:t xml:space="preserve"> and every department on campus was forced to either cut programs or find creative ways to finance them.</w:t>
      </w:r>
    </w:p>
    <w:p w14:paraId="0C4C57A7" w14:textId="77777777" w:rsidR="009D7CBE" w:rsidRPr="005E5A1A" w:rsidRDefault="009D7CBE" w:rsidP="0049593C">
      <w:pPr>
        <w:pStyle w:val="BodyTextMain"/>
        <w:rPr>
          <w:lang w:val="en-GB"/>
        </w:rPr>
      </w:pPr>
    </w:p>
    <w:p w14:paraId="67CB50B9" w14:textId="3E9D7C90" w:rsidR="009D7CBE" w:rsidRPr="005E5A1A" w:rsidRDefault="009D7CBE" w:rsidP="0049593C">
      <w:pPr>
        <w:pStyle w:val="BodyTextMain"/>
        <w:rPr>
          <w:lang w:val="en-GB"/>
        </w:rPr>
      </w:pPr>
      <w:r w:rsidRPr="005E5A1A">
        <w:rPr>
          <w:lang w:val="en-GB"/>
        </w:rPr>
        <w:t xml:space="preserve">By 2014, the funding cuts posed grave concern for the </w:t>
      </w:r>
      <w:r w:rsidR="00DC2D5F">
        <w:rPr>
          <w:lang w:val="en-GB"/>
        </w:rPr>
        <w:t>h</w:t>
      </w:r>
      <w:r w:rsidRPr="005E5A1A">
        <w:rPr>
          <w:lang w:val="en-GB"/>
        </w:rPr>
        <w:t xml:space="preserve">eritage </w:t>
      </w:r>
      <w:r w:rsidR="00DC2D5F">
        <w:rPr>
          <w:lang w:val="en-GB"/>
        </w:rPr>
        <w:t>c</w:t>
      </w:r>
      <w:r w:rsidRPr="005E5A1A">
        <w:rPr>
          <w:lang w:val="en-GB"/>
        </w:rPr>
        <w:t>hicken program</w:t>
      </w:r>
      <w:r w:rsidR="00DC2D5F">
        <w:rPr>
          <w:lang w:val="en-GB"/>
        </w:rPr>
        <w:t>,</w:t>
      </w:r>
      <w:r w:rsidRPr="005E5A1A">
        <w:rPr>
          <w:lang w:val="en-GB"/>
        </w:rPr>
        <w:t xml:space="preserve"> which cost </w:t>
      </w:r>
      <w:r w:rsidR="00DC2D5F">
        <w:rPr>
          <w:lang w:val="en-GB"/>
        </w:rPr>
        <w:t>approximately</w:t>
      </w:r>
      <w:r w:rsidR="00DC2D5F" w:rsidRPr="005E5A1A">
        <w:rPr>
          <w:lang w:val="en-GB"/>
        </w:rPr>
        <w:t xml:space="preserve"> </w:t>
      </w:r>
      <w:r w:rsidRPr="005E5A1A">
        <w:rPr>
          <w:lang w:val="en-GB"/>
        </w:rPr>
        <w:t>$75,000</w:t>
      </w:r>
      <w:r w:rsidR="00DC2D5F">
        <w:rPr>
          <w:rStyle w:val="EndnoteReference"/>
          <w:lang w:val="en-GB"/>
        </w:rPr>
        <w:endnoteReference w:id="1"/>
      </w:r>
      <w:r w:rsidRPr="005E5A1A">
        <w:rPr>
          <w:lang w:val="en-GB"/>
        </w:rPr>
        <w:t xml:space="preserve"> per year to maintain and returned very little income. Dr. Martin Zuidhof, </w:t>
      </w:r>
      <w:r w:rsidR="0016162A">
        <w:rPr>
          <w:lang w:val="en-GB"/>
        </w:rPr>
        <w:t xml:space="preserve">the academic </w:t>
      </w:r>
      <w:r w:rsidRPr="005E5A1A">
        <w:rPr>
          <w:lang w:val="en-GB"/>
        </w:rPr>
        <w:t xml:space="preserve">leader of the PRC, felt that the birds were important enough to try </w:t>
      </w:r>
      <w:r w:rsidR="00DC2D5F">
        <w:rPr>
          <w:lang w:val="en-GB"/>
        </w:rPr>
        <w:t>to</w:t>
      </w:r>
      <w:r w:rsidR="00DC2D5F" w:rsidRPr="005E5A1A">
        <w:rPr>
          <w:lang w:val="en-GB"/>
        </w:rPr>
        <w:t xml:space="preserve"> </w:t>
      </w:r>
      <w:r w:rsidRPr="005E5A1A">
        <w:rPr>
          <w:lang w:val="en-GB"/>
        </w:rPr>
        <w:t xml:space="preserve">figure out a way to keep the program going. One option he considered was the development of a business model in which the program could pay for itself. Other options included scaling down the program to reduce costs and seeking other funding. </w:t>
      </w:r>
    </w:p>
    <w:p w14:paraId="7DE4A5BD" w14:textId="77777777" w:rsidR="009D7CBE" w:rsidRPr="005E5A1A" w:rsidRDefault="009D7CBE" w:rsidP="0049593C">
      <w:pPr>
        <w:pStyle w:val="BodyTextMain"/>
        <w:rPr>
          <w:lang w:val="en-GB"/>
        </w:rPr>
      </w:pPr>
    </w:p>
    <w:p w14:paraId="47B75060" w14:textId="77777777" w:rsidR="009D7CBE" w:rsidRPr="005E5A1A" w:rsidRDefault="009D7CBE" w:rsidP="0049593C">
      <w:pPr>
        <w:pStyle w:val="BodyTextMain"/>
        <w:rPr>
          <w:lang w:val="en-GB"/>
        </w:rPr>
      </w:pPr>
    </w:p>
    <w:p w14:paraId="5E935182" w14:textId="77777777" w:rsidR="009D7CBE" w:rsidRPr="005E5A1A" w:rsidRDefault="009D7CBE" w:rsidP="005D3BF5">
      <w:pPr>
        <w:pStyle w:val="BodyTextMain"/>
        <w:outlineLvl w:val="0"/>
        <w:rPr>
          <w:rFonts w:ascii="Arial" w:hAnsi="Arial" w:cs="Arial"/>
          <w:b/>
          <w:sz w:val="20"/>
          <w:szCs w:val="20"/>
          <w:lang w:val="en-GB"/>
        </w:rPr>
      </w:pPr>
      <w:r w:rsidRPr="005E5A1A">
        <w:rPr>
          <w:rFonts w:ascii="Arial" w:hAnsi="Arial" w:cs="Arial"/>
          <w:b/>
          <w:sz w:val="20"/>
          <w:szCs w:val="20"/>
          <w:lang w:val="en-GB"/>
        </w:rPr>
        <w:t>THE POULTRY INDUSTRY</w:t>
      </w:r>
    </w:p>
    <w:p w14:paraId="54AAD1E0" w14:textId="77777777" w:rsidR="009D7CBE" w:rsidRPr="005E5A1A" w:rsidRDefault="009D7CBE" w:rsidP="0049593C">
      <w:pPr>
        <w:pStyle w:val="BodyTextMain"/>
        <w:rPr>
          <w:sz w:val="24"/>
          <w:szCs w:val="24"/>
          <w:lang w:val="en-GB"/>
        </w:rPr>
      </w:pPr>
    </w:p>
    <w:p w14:paraId="38425C90" w14:textId="703E645B" w:rsidR="009D7CBE" w:rsidRPr="005E5A1A" w:rsidRDefault="009D7CBE" w:rsidP="0049593C">
      <w:pPr>
        <w:pStyle w:val="BodyTextMain"/>
        <w:rPr>
          <w:spacing w:val="-2"/>
          <w:kern w:val="22"/>
          <w:lang w:val="en-GB"/>
        </w:rPr>
      </w:pPr>
      <w:r w:rsidRPr="005E5A1A">
        <w:rPr>
          <w:spacing w:val="-2"/>
          <w:kern w:val="22"/>
          <w:lang w:val="en-GB"/>
        </w:rPr>
        <w:t xml:space="preserve">Livestock production had grown to become the world’s largest user of land, through </w:t>
      </w:r>
      <w:r w:rsidR="00D00639">
        <w:rPr>
          <w:spacing w:val="-2"/>
          <w:kern w:val="22"/>
          <w:lang w:val="en-GB"/>
        </w:rPr>
        <w:t xml:space="preserve">both </w:t>
      </w:r>
      <w:r w:rsidRPr="005E5A1A">
        <w:rPr>
          <w:spacing w:val="-2"/>
          <w:kern w:val="22"/>
          <w:lang w:val="en-GB"/>
        </w:rPr>
        <w:t xml:space="preserve">animal grazing and </w:t>
      </w:r>
      <w:r w:rsidR="00DC2D5F">
        <w:rPr>
          <w:spacing w:val="-2"/>
          <w:kern w:val="22"/>
          <w:lang w:val="en-GB"/>
        </w:rPr>
        <w:t xml:space="preserve">the </w:t>
      </w:r>
      <w:r w:rsidRPr="005E5A1A">
        <w:rPr>
          <w:spacing w:val="-2"/>
          <w:kern w:val="22"/>
          <w:lang w:val="en-GB"/>
        </w:rPr>
        <w:t>consumption of feed</w:t>
      </w:r>
      <w:r w:rsidR="00DC2D5F">
        <w:rPr>
          <w:spacing w:val="-2"/>
          <w:kern w:val="22"/>
          <w:lang w:val="en-GB"/>
        </w:rPr>
        <w:t>.</w:t>
      </w:r>
      <w:r w:rsidRPr="005E5A1A">
        <w:rPr>
          <w:rStyle w:val="EndnoteReference"/>
          <w:spacing w:val="-2"/>
          <w:kern w:val="22"/>
          <w:lang w:val="en-GB"/>
        </w:rPr>
        <w:endnoteReference w:id="2"/>
      </w:r>
      <w:r w:rsidRPr="005E5A1A">
        <w:rPr>
          <w:spacing w:val="-2"/>
          <w:kern w:val="22"/>
          <w:lang w:val="en-GB"/>
        </w:rPr>
        <w:t xml:space="preserve"> Global consumption of animal products had increased over the preceding decades, especially in developing countries, with the poultry industry having grown at the fastest rate.</w:t>
      </w:r>
      <w:r w:rsidRPr="005E5A1A">
        <w:rPr>
          <w:rStyle w:val="EndnoteReference"/>
          <w:spacing w:val="-2"/>
          <w:kern w:val="22"/>
          <w:lang w:val="en-GB"/>
        </w:rPr>
        <w:endnoteReference w:id="3"/>
      </w:r>
      <w:r w:rsidRPr="005E5A1A">
        <w:rPr>
          <w:spacing w:val="-2"/>
          <w:kern w:val="22"/>
          <w:lang w:val="en-GB"/>
        </w:rPr>
        <w:t xml:space="preserve"> The growth was largely due to increases in population and increased demands for animal products. </w:t>
      </w:r>
    </w:p>
    <w:p w14:paraId="64E5C026" w14:textId="77777777" w:rsidR="009D7CBE" w:rsidRPr="005E5A1A" w:rsidRDefault="009D7CBE" w:rsidP="0049593C">
      <w:pPr>
        <w:pStyle w:val="BodyTextMain"/>
        <w:rPr>
          <w:spacing w:val="-2"/>
          <w:kern w:val="22"/>
          <w:lang w:val="en-GB"/>
        </w:rPr>
      </w:pPr>
    </w:p>
    <w:p w14:paraId="5D0968B7" w14:textId="4BC78840" w:rsidR="009D7CBE" w:rsidRPr="005E5A1A" w:rsidRDefault="009D7CBE" w:rsidP="0049593C">
      <w:pPr>
        <w:pStyle w:val="BodyTextMain"/>
        <w:rPr>
          <w:spacing w:val="-2"/>
          <w:kern w:val="22"/>
          <w:lang w:val="en-GB"/>
        </w:rPr>
      </w:pPr>
      <w:r w:rsidRPr="005E5A1A">
        <w:rPr>
          <w:spacing w:val="-2"/>
          <w:kern w:val="22"/>
          <w:lang w:val="en-GB"/>
        </w:rPr>
        <w:t xml:space="preserve">By 2014, the global poultry industry represented </w:t>
      </w:r>
      <w:r w:rsidR="00B433BB">
        <w:rPr>
          <w:spacing w:val="-2"/>
          <w:kern w:val="22"/>
          <w:lang w:val="en-GB"/>
        </w:rPr>
        <w:t>more than</w:t>
      </w:r>
      <w:r w:rsidR="00B433BB" w:rsidRPr="005E5A1A">
        <w:rPr>
          <w:spacing w:val="-2"/>
          <w:kern w:val="22"/>
          <w:lang w:val="en-GB"/>
        </w:rPr>
        <w:t xml:space="preserve"> </w:t>
      </w:r>
      <w:r w:rsidRPr="005E5A1A">
        <w:rPr>
          <w:spacing w:val="-2"/>
          <w:kern w:val="22"/>
          <w:lang w:val="en-GB"/>
        </w:rPr>
        <w:t xml:space="preserve">90 million tonnes of </w:t>
      </w:r>
      <w:r w:rsidR="00B433BB">
        <w:rPr>
          <w:spacing w:val="-2"/>
          <w:kern w:val="22"/>
          <w:lang w:val="en-GB"/>
        </w:rPr>
        <w:t xml:space="preserve">chicken </w:t>
      </w:r>
      <w:r w:rsidRPr="005E5A1A">
        <w:rPr>
          <w:spacing w:val="-2"/>
          <w:kern w:val="22"/>
          <w:lang w:val="en-GB"/>
        </w:rPr>
        <w:t>meat</w:t>
      </w:r>
      <w:r w:rsidR="00B433BB">
        <w:rPr>
          <w:spacing w:val="-2"/>
          <w:kern w:val="22"/>
          <w:lang w:val="en-GB"/>
        </w:rPr>
        <w:t xml:space="preserve"> (see Exhibit</w:t>
      </w:r>
      <w:r w:rsidR="000519A5">
        <w:rPr>
          <w:spacing w:val="-2"/>
          <w:kern w:val="22"/>
          <w:lang w:val="en-GB"/>
        </w:rPr>
        <w:t xml:space="preserve"> </w:t>
      </w:r>
      <w:r w:rsidR="00B433BB">
        <w:rPr>
          <w:spacing w:val="-2"/>
          <w:kern w:val="22"/>
          <w:lang w:val="en-GB"/>
        </w:rPr>
        <w:t>1)</w:t>
      </w:r>
      <w:r w:rsidRPr="005E5A1A">
        <w:rPr>
          <w:spacing w:val="-2"/>
          <w:kern w:val="22"/>
          <w:lang w:val="en-GB"/>
        </w:rPr>
        <w:t xml:space="preserve">. The increase in </w:t>
      </w:r>
      <w:r w:rsidR="00C33C31">
        <w:rPr>
          <w:spacing w:val="-2"/>
          <w:kern w:val="22"/>
          <w:lang w:val="en-GB"/>
        </w:rPr>
        <w:t xml:space="preserve">chicken </w:t>
      </w:r>
      <w:r w:rsidRPr="005E5A1A">
        <w:rPr>
          <w:spacing w:val="-2"/>
          <w:kern w:val="22"/>
          <w:lang w:val="en-GB"/>
        </w:rPr>
        <w:t xml:space="preserve">meat production grew by </w:t>
      </w:r>
      <w:r w:rsidR="00C33C31">
        <w:rPr>
          <w:spacing w:val="-2"/>
          <w:kern w:val="22"/>
          <w:lang w:val="en-GB"/>
        </w:rPr>
        <w:t>nearly</w:t>
      </w:r>
      <w:r w:rsidR="00C33C31" w:rsidRPr="005E5A1A">
        <w:rPr>
          <w:spacing w:val="-2"/>
          <w:kern w:val="22"/>
          <w:lang w:val="en-GB"/>
        </w:rPr>
        <w:t xml:space="preserve"> </w:t>
      </w:r>
      <w:r w:rsidRPr="005E5A1A">
        <w:rPr>
          <w:spacing w:val="-2"/>
          <w:kern w:val="22"/>
          <w:lang w:val="en-GB"/>
        </w:rPr>
        <w:t>60</w:t>
      </w:r>
      <w:r w:rsidR="00B433BB">
        <w:rPr>
          <w:spacing w:val="-2"/>
          <w:kern w:val="22"/>
          <w:lang w:val="en-GB"/>
        </w:rPr>
        <w:t xml:space="preserve"> per cent</w:t>
      </w:r>
      <w:r w:rsidRPr="005E5A1A">
        <w:rPr>
          <w:spacing w:val="-2"/>
          <w:kern w:val="22"/>
          <w:lang w:val="en-GB"/>
        </w:rPr>
        <w:t xml:space="preserve"> from 2000 to 2014, in contrast to a </w:t>
      </w:r>
      <w:r w:rsidR="00D8336B">
        <w:rPr>
          <w:spacing w:val="-2"/>
          <w:kern w:val="22"/>
          <w:lang w:val="en-GB"/>
        </w:rPr>
        <w:t>6.3</w:t>
      </w:r>
      <w:r w:rsidRPr="005E5A1A">
        <w:rPr>
          <w:spacing w:val="-2"/>
          <w:kern w:val="22"/>
          <w:lang w:val="en-GB"/>
        </w:rPr>
        <w:t xml:space="preserve"> </w:t>
      </w:r>
      <w:r w:rsidR="00B433BB">
        <w:rPr>
          <w:spacing w:val="-2"/>
          <w:kern w:val="22"/>
          <w:lang w:val="en-GB"/>
        </w:rPr>
        <w:t xml:space="preserve">per cent </w:t>
      </w:r>
      <w:r w:rsidRPr="005E5A1A">
        <w:rPr>
          <w:spacing w:val="-2"/>
          <w:kern w:val="22"/>
          <w:lang w:val="en-GB"/>
        </w:rPr>
        <w:t>worldwide population growth over that same time period.</w:t>
      </w:r>
      <w:r w:rsidRPr="005E5A1A">
        <w:rPr>
          <w:rStyle w:val="EndnoteReference"/>
          <w:spacing w:val="-2"/>
          <w:kern w:val="22"/>
          <w:lang w:val="en-GB"/>
        </w:rPr>
        <w:endnoteReference w:id="4"/>
      </w:r>
      <w:r w:rsidRPr="005E5A1A">
        <w:rPr>
          <w:spacing w:val="-2"/>
          <w:kern w:val="22"/>
          <w:lang w:val="en-GB"/>
        </w:rPr>
        <w:t xml:space="preserve"> Such rapid growth presented challenges in terms of the natural resource base required to support the increased poultry demand. This </w:t>
      </w:r>
      <w:r w:rsidR="00C33C31">
        <w:rPr>
          <w:spacing w:val="-2"/>
          <w:kern w:val="22"/>
          <w:lang w:val="en-GB"/>
        </w:rPr>
        <w:t xml:space="preserve">situation </w:t>
      </w:r>
      <w:r w:rsidRPr="005E5A1A">
        <w:rPr>
          <w:spacing w:val="-2"/>
          <w:kern w:val="22"/>
          <w:lang w:val="en-GB"/>
        </w:rPr>
        <w:t xml:space="preserve">led producers to implement rigorous selection practices aimed at raising larger poultry, in less time, and with </w:t>
      </w:r>
      <w:r w:rsidR="00B433BB">
        <w:rPr>
          <w:spacing w:val="-2"/>
          <w:kern w:val="22"/>
          <w:lang w:val="en-GB"/>
        </w:rPr>
        <w:t>less</w:t>
      </w:r>
      <w:r w:rsidR="00B433BB" w:rsidRPr="005E5A1A">
        <w:rPr>
          <w:spacing w:val="-2"/>
          <w:kern w:val="22"/>
          <w:lang w:val="en-GB"/>
        </w:rPr>
        <w:t xml:space="preserve"> </w:t>
      </w:r>
      <w:r w:rsidRPr="005E5A1A">
        <w:rPr>
          <w:spacing w:val="-2"/>
          <w:kern w:val="22"/>
          <w:lang w:val="en-GB"/>
        </w:rPr>
        <w:t xml:space="preserve">feed and space. Essentially, chickens </w:t>
      </w:r>
      <w:r w:rsidR="00B433BB" w:rsidRPr="005E5A1A">
        <w:rPr>
          <w:spacing w:val="-2"/>
          <w:kern w:val="22"/>
          <w:lang w:val="en-GB"/>
        </w:rPr>
        <w:t xml:space="preserve">were selected and bred to amplify </w:t>
      </w:r>
      <w:r w:rsidR="00C33C31">
        <w:rPr>
          <w:spacing w:val="-2"/>
          <w:kern w:val="22"/>
          <w:lang w:val="en-GB"/>
        </w:rPr>
        <w:t>several</w:t>
      </w:r>
      <w:r w:rsidR="00B433BB" w:rsidRPr="005E5A1A">
        <w:rPr>
          <w:spacing w:val="-2"/>
          <w:kern w:val="22"/>
          <w:lang w:val="en-GB"/>
        </w:rPr>
        <w:t xml:space="preserve"> characteristics</w:t>
      </w:r>
      <w:r w:rsidR="00B433BB">
        <w:rPr>
          <w:spacing w:val="-2"/>
          <w:kern w:val="22"/>
          <w:lang w:val="en-GB"/>
        </w:rPr>
        <w:t>:</w:t>
      </w:r>
      <w:r w:rsidR="00B433BB" w:rsidRPr="005E5A1A">
        <w:rPr>
          <w:spacing w:val="-2"/>
          <w:kern w:val="22"/>
          <w:lang w:val="en-GB"/>
        </w:rPr>
        <w:t xml:space="preserve"> </w:t>
      </w:r>
      <w:r w:rsidRPr="005E5A1A">
        <w:rPr>
          <w:spacing w:val="-2"/>
          <w:kern w:val="22"/>
          <w:lang w:val="en-GB"/>
        </w:rPr>
        <w:t xml:space="preserve">high egg production rates, fast growth, large size, and reduced food consumption. </w:t>
      </w:r>
    </w:p>
    <w:p w14:paraId="4D03186F" w14:textId="77777777" w:rsidR="009D7CBE" w:rsidRPr="005E5A1A" w:rsidRDefault="009D7CBE" w:rsidP="0049593C">
      <w:pPr>
        <w:pStyle w:val="BodyTextMain"/>
        <w:rPr>
          <w:spacing w:val="-2"/>
          <w:kern w:val="22"/>
          <w:lang w:val="en-GB"/>
        </w:rPr>
      </w:pPr>
    </w:p>
    <w:p w14:paraId="0ACD4001" w14:textId="4EC6CD8B" w:rsidR="009D7CBE" w:rsidRPr="005E5A1A" w:rsidRDefault="009D7CBE" w:rsidP="0049593C">
      <w:pPr>
        <w:pStyle w:val="BodyTextMain"/>
        <w:rPr>
          <w:spacing w:val="-2"/>
          <w:kern w:val="22"/>
          <w:lang w:val="en-GB"/>
        </w:rPr>
      </w:pPr>
      <w:r w:rsidRPr="005E5A1A">
        <w:rPr>
          <w:spacing w:val="-2"/>
          <w:kern w:val="22"/>
          <w:lang w:val="en-GB"/>
        </w:rPr>
        <w:lastRenderedPageBreak/>
        <w:t>Over time, chicken and other animal products became marketed as commodities</w:t>
      </w:r>
      <w:r w:rsidR="00C33C31">
        <w:rPr>
          <w:spacing w:val="-2"/>
          <w:kern w:val="22"/>
          <w:lang w:val="en-GB"/>
        </w:rPr>
        <w:t>,</w:t>
      </w:r>
      <w:r w:rsidRPr="005E5A1A">
        <w:rPr>
          <w:spacing w:val="-2"/>
          <w:kern w:val="22"/>
          <w:lang w:val="en-GB"/>
        </w:rPr>
        <w:t xml:space="preserve"> with little distinction between products from different producers. </w:t>
      </w:r>
      <w:r w:rsidR="009B56D8">
        <w:rPr>
          <w:spacing w:val="-2"/>
          <w:kern w:val="22"/>
          <w:lang w:val="en-GB"/>
        </w:rPr>
        <w:t xml:space="preserve">The outcome was </w:t>
      </w:r>
      <w:r w:rsidRPr="005E5A1A">
        <w:rPr>
          <w:spacing w:val="-2"/>
          <w:kern w:val="22"/>
          <w:lang w:val="en-GB"/>
        </w:rPr>
        <w:t xml:space="preserve">a uniform chicken product marketed on </w:t>
      </w:r>
      <w:r w:rsidR="00C04F2D">
        <w:rPr>
          <w:spacing w:val="-2"/>
          <w:kern w:val="22"/>
          <w:lang w:val="en-GB"/>
        </w:rPr>
        <w:t xml:space="preserve">the basis of </w:t>
      </w:r>
      <w:r w:rsidRPr="005E5A1A">
        <w:rPr>
          <w:spacing w:val="-2"/>
          <w:kern w:val="22"/>
          <w:lang w:val="en-GB"/>
        </w:rPr>
        <w:t xml:space="preserve">traits that provided the greatest return on investment. With a growing demand for poultry, this production model made it possible for producers to </w:t>
      </w:r>
      <w:r w:rsidR="009C5205">
        <w:rPr>
          <w:spacing w:val="-2"/>
          <w:kern w:val="22"/>
          <w:lang w:val="en-GB"/>
        </w:rPr>
        <w:t>raise</w:t>
      </w:r>
      <w:r w:rsidRPr="005E5A1A">
        <w:rPr>
          <w:spacing w:val="-2"/>
          <w:kern w:val="22"/>
          <w:lang w:val="en-GB"/>
        </w:rPr>
        <w:t xml:space="preserve"> chickens almost anywhere in the world. </w:t>
      </w:r>
      <w:r w:rsidR="006B64CF">
        <w:rPr>
          <w:spacing w:val="-2"/>
          <w:kern w:val="22"/>
          <w:lang w:val="en-GB"/>
        </w:rPr>
        <w:t>However, t</w:t>
      </w:r>
      <w:r w:rsidRPr="005E5A1A">
        <w:rPr>
          <w:spacing w:val="-2"/>
          <w:kern w:val="22"/>
          <w:lang w:val="en-GB"/>
        </w:rPr>
        <w:t>he focus on efficiency through targeted selection practices resulted</w:t>
      </w:r>
      <w:r w:rsidR="00C04F2D">
        <w:rPr>
          <w:spacing w:val="-2"/>
          <w:kern w:val="22"/>
          <w:lang w:val="en-GB"/>
        </w:rPr>
        <w:t xml:space="preserve"> </w:t>
      </w:r>
      <w:r w:rsidRPr="005E5A1A">
        <w:rPr>
          <w:spacing w:val="-2"/>
          <w:kern w:val="22"/>
          <w:lang w:val="en-GB"/>
        </w:rPr>
        <w:t xml:space="preserve">in decreased genetic diversity in the poultry population </w:t>
      </w:r>
      <w:r w:rsidR="00C04F2D">
        <w:rPr>
          <w:spacing w:val="-2"/>
          <w:kern w:val="22"/>
          <w:lang w:val="en-GB"/>
        </w:rPr>
        <w:t>and</w:t>
      </w:r>
      <w:r w:rsidRPr="005E5A1A">
        <w:rPr>
          <w:spacing w:val="-2"/>
          <w:kern w:val="22"/>
          <w:lang w:val="en-GB"/>
        </w:rPr>
        <w:t xml:space="preserve"> some unintended consequences, or externalities, including an increased incidence of animal disease and animal welfare issues.</w:t>
      </w:r>
      <w:r w:rsidRPr="005E5A1A">
        <w:rPr>
          <w:rStyle w:val="EndnoteReference"/>
          <w:spacing w:val="-2"/>
          <w:kern w:val="22"/>
          <w:lang w:val="en-GB"/>
        </w:rPr>
        <w:endnoteReference w:id="5"/>
      </w:r>
    </w:p>
    <w:p w14:paraId="7F1D2C7E" w14:textId="77777777" w:rsidR="009D7CBE" w:rsidRPr="005E5A1A" w:rsidRDefault="009D7CBE" w:rsidP="0049593C">
      <w:pPr>
        <w:pStyle w:val="BodyTextMain"/>
        <w:rPr>
          <w:spacing w:val="-2"/>
          <w:kern w:val="22"/>
          <w:lang w:val="en-GB"/>
        </w:rPr>
      </w:pPr>
    </w:p>
    <w:p w14:paraId="1D40DE94" w14:textId="1733DE61" w:rsidR="009D7CBE" w:rsidRPr="005E5A1A" w:rsidRDefault="009D7CBE" w:rsidP="0049593C">
      <w:pPr>
        <w:pStyle w:val="BodyTextMain"/>
        <w:rPr>
          <w:spacing w:val="-2"/>
          <w:kern w:val="22"/>
          <w:lang w:val="en-GB"/>
        </w:rPr>
      </w:pPr>
      <w:r w:rsidRPr="005E5A1A">
        <w:rPr>
          <w:spacing w:val="-2"/>
          <w:kern w:val="22"/>
          <w:lang w:val="en-GB"/>
        </w:rPr>
        <w:t>Given the negative aspects of the commodity-based poultry model, a</w:t>
      </w:r>
      <w:r w:rsidR="009A348E">
        <w:rPr>
          <w:spacing w:val="-2"/>
          <w:kern w:val="22"/>
          <w:lang w:val="en-GB"/>
        </w:rPr>
        <w:t>n emerging</w:t>
      </w:r>
      <w:r w:rsidRPr="005E5A1A">
        <w:rPr>
          <w:spacing w:val="-2"/>
          <w:kern w:val="22"/>
          <w:lang w:val="en-GB"/>
        </w:rPr>
        <w:t xml:space="preserve"> </w:t>
      </w:r>
      <w:r w:rsidR="00B57646">
        <w:rPr>
          <w:spacing w:val="-2"/>
          <w:kern w:val="22"/>
          <w:lang w:val="en-GB"/>
        </w:rPr>
        <w:t xml:space="preserve">consumer </w:t>
      </w:r>
      <w:r w:rsidRPr="005E5A1A">
        <w:rPr>
          <w:spacing w:val="-2"/>
          <w:kern w:val="22"/>
          <w:lang w:val="en-GB"/>
        </w:rPr>
        <w:t xml:space="preserve">market </w:t>
      </w:r>
      <w:r w:rsidR="009A348E" w:rsidRPr="005E5A1A">
        <w:rPr>
          <w:spacing w:val="-2"/>
          <w:kern w:val="22"/>
          <w:lang w:val="en-GB"/>
        </w:rPr>
        <w:t>desir</w:t>
      </w:r>
      <w:r w:rsidR="009A348E">
        <w:rPr>
          <w:spacing w:val="-2"/>
          <w:kern w:val="22"/>
          <w:lang w:val="en-GB"/>
        </w:rPr>
        <w:t>ed</w:t>
      </w:r>
      <w:r w:rsidR="009A348E" w:rsidRPr="005E5A1A">
        <w:rPr>
          <w:spacing w:val="-2"/>
          <w:kern w:val="22"/>
          <w:lang w:val="en-GB"/>
        </w:rPr>
        <w:t xml:space="preserve"> </w:t>
      </w:r>
      <w:r w:rsidRPr="005E5A1A">
        <w:rPr>
          <w:spacing w:val="-2"/>
          <w:kern w:val="22"/>
          <w:lang w:val="en-GB"/>
        </w:rPr>
        <w:t>poultry products that were not so uniform. Chickens that were farm-raised, organic</w:t>
      </w:r>
      <w:r w:rsidR="00B57646">
        <w:rPr>
          <w:spacing w:val="-2"/>
          <w:kern w:val="22"/>
          <w:lang w:val="en-GB"/>
        </w:rPr>
        <w:t>,</w:t>
      </w:r>
      <w:r w:rsidRPr="005E5A1A">
        <w:rPr>
          <w:spacing w:val="-2"/>
          <w:kern w:val="22"/>
          <w:lang w:val="en-GB"/>
        </w:rPr>
        <w:t xml:space="preserve"> or fed a specific diet addressed a different and growing segment of the market</w:t>
      </w:r>
      <w:r w:rsidR="00B57646">
        <w:rPr>
          <w:spacing w:val="-2"/>
          <w:kern w:val="22"/>
          <w:lang w:val="en-GB"/>
        </w:rPr>
        <w:t>—</w:t>
      </w:r>
      <w:r w:rsidRPr="005E5A1A">
        <w:rPr>
          <w:spacing w:val="-2"/>
          <w:kern w:val="22"/>
          <w:lang w:val="en-GB"/>
        </w:rPr>
        <w:t xml:space="preserve">consumers </w:t>
      </w:r>
      <w:r w:rsidR="009A348E">
        <w:rPr>
          <w:spacing w:val="-2"/>
          <w:kern w:val="22"/>
          <w:lang w:val="en-GB"/>
        </w:rPr>
        <w:t xml:space="preserve">who were </w:t>
      </w:r>
      <w:r w:rsidRPr="005E5A1A">
        <w:rPr>
          <w:spacing w:val="-2"/>
          <w:kern w:val="22"/>
          <w:lang w:val="en-GB"/>
        </w:rPr>
        <w:t xml:space="preserve">concerned about commercial poultry practices </w:t>
      </w:r>
      <w:r w:rsidR="009A348E">
        <w:rPr>
          <w:spacing w:val="-2"/>
          <w:kern w:val="22"/>
          <w:lang w:val="en-GB"/>
        </w:rPr>
        <w:t>and</w:t>
      </w:r>
      <w:r w:rsidR="009A348E" w:rsidRPr="005E5A1A">
        <w:rPr>
          <w:spacing w:val="-2"/>
          <w:kern w:val="22"/>
          <w:lang w:val="en-GB"/>
        </w:rPr>
        <w:t xml:space="preserve"> </w:t>
      </w:r>
      <w:r w:rsidRPr="005E5A1A">
        <w:rPr>
          <w:spacing w:val="-2"/>
          <w:kern w:val="22"/>
          <w:lang w:val="en-GB"/>
        </w:rPr>
        <w:t>were willing to pay more for something different.</w:t>
      </w:r>
      <w:r w:rsidR="009C5205" w:rsidRPr="005E5A1A">
        <w:rPr>
          <w:rStyle w:val="EndnoteReference"/>
          <w:spacing w:val="-2"/>
          <w:kern w:val="22"/>
          <w:lang w:val="en-GB"/>
        </w:rPr>
        <w:endnoteReference w:id="6"/>
      </w:r>
      <w:r w:rsidRPr="005E5A1A">
        <w:rPr>
          <w:spacing w:val="-2"/>
          <w:kern w:val="22"/>
          <w:lang w:val="en-GB"/>
        </w:rPr>
        <w:t xml:space="preserve"> Heritage chickens </w:t>
      </w:r>
      <w:r w:rsidR="00B57646">
        <w:rPr>
          <w:spacing w:val="-2"/>
          <w:kern w:val="22"/>
          <w:lang w:val="en-GB"/>
        </w:rPr>
        <w:t>were</w:t>
      </w:r>
      <w:r w:rsidR="00B57646" w:rsidRPr="005E5A1A">
        <w:rPr>
          <w:spacing w:val="-2"/>
          <w:kern w:val="22"/>
          <w:lang w:val="en-GB"/>
        </w:rPr>
        <w:t xml:space="preserve"> </w:t>
      </w:r>
      <w:r w:rsidRPr="005E5A1A">
        <w:rPr>
          <w:spacing w:val="-2"/>
          <w:kern w:val="22"/>
          <w:lang w:val="en-GB"/>
        </w:rPr>
        <w:t>not selectively bred</w:t>
      </w:r>
      <w:r w:rsidR="00B57646">
        <w:rPr>
          <w:spacing w:val="-2"/>
          <w:kern w:val="22"/>
          <w:lang w:val="en-GB"/>
        </w:rPr>
        <w:t>;</w:t>
      </w:r>
      <w:r w:rsidRPr="005E5A1A">
        <w:rPr>
          <w:spacing w:val="-2"/>
          <w:kern w:val="22"/>
          <w:lang w:val="en-GB"/>
        </w:rPr>
        <w:t xml:space="preserve"> </w:t>
      </w:r>
      <w:r w:rsidR="00B57646">
        <w:rPr>
          <w:spacing w:val="-2"/>
          <w:kern w:val="22"/>
          <w:lang w:val="en-GB"/>
        </w:rPr>
        <w:t>instead</w:t>
      </w:r>
      <w:r w:rsidRPr="005E5A1A">
        <w:rPr>
          <w:spacing w:val="-2"/>
          <w:kern w:val="22"/>
          <w:lang w:val="en-GB"/>
        </w:rPr>
        <w:t xml:space="preserve">, they </w:t>
      </w:r>
      <w:r w:rsidR="009A348E">
        <w:rPr>
          <w:spacing w:val="-2"/>
          <w:kern w:val="22"/>
          <w:lang w:val="en-GB"/>
        </w:rPr>
        <w:t>were descendants</w:t>
      </w:r>
      <w:r w:rsidR="009A348E" w:rsidRPr="005E5A1A">
        <w:rPr>
          <w:spacing w:val="-2"/>
          <w:kern w:val="22"/>
          <w:lang w:val="en-GB"/>
        </w:rPr>
        <w:t xml:space="preserve"> </w:t>
      </w:r>
      <w:r w:rsidR="009A348E">
        <w:rPr>
          <w:spacing w:val="-2"/>
          <w:kern w:val="22"/>
          <w:lang w:val="en-GB"/>
        </w:rPr>
        <w:t>of</w:t>
      </w:r>
      <w:r w:rsidR="009A348E" w:rsidRPr="005E5A1A">
        <w:rPr>
          <w:spacing w:val="-2"/>
          <w:kern w:val="22"/>
          <w:lang w:val="en-GB"/>
        </w:rPr>
        <w:t xml:space="preserve"> </w:t>
      </w:r>
      <w:r w:rsidRPr="005E5A1A">
        <w:rPr>
          <w:spacing w:val="-2"/>
          <w:kern w:val="22"/>
          <w:lang w:val="en-GB"/>
        </w:rPr>
        <w:t xml:space="preserve">the original breeds of chickens introduced by Spanish explorers, </w:t>
      </w:r>
      <w:r w:rsidR="009A348E">
        <w:rPr>
          <w:spacing w:val="-2"/>
          <w:kern w:val="22"/>
          <w:lang w:val="en-GB"/>
        </w:rPr>
        <w:t xml:space="preserve">which </w:t>
      </w:r>
      <w:r w:rsidR="009A348E" w:rsidRPr="005E5A1A">
        <w:rPr>
          <w:spacing w:val="-2"/>
          <w:kern w:val="22"/>
          <w:lang w:val="en-GB"/>
        </w:rPr>
        <w:t>result</w:t>
      </w:r>
      <w:r w:rsidR="009A348E">
        <w:rPr>
          <w:spacing w:val="-2"/>
          <w:kern w:val="22"/>
          <w:lang w:val="en-GB"/>
        </w:rPr>
        <w:t>ed</w:t>
      </w:r>
      <w:r w:rsidR="009A348E" w:rsidRPr="005E5A1A">
        <w:rPr>
          <w:spacing w:val="-2"/>
          <w:kern w:val="22"/>
          <w:lang w:val="en-GB"/>
        </w:rPr>
        <w:t xml:space="preserve"> </w:t>
      </w:r>
      <w:r w:rsidRPr="005E5A1A">
        <w:rPr>
          <w:spacing w:val="-2"/>
          <w:kern w:val="22"/>
          <w:lang w:val="en-GB"/>
        </w:rPr>
        <w:t xml:space="preserve">in unique characteristics. Providers of </w:t>
      </w:r>
      <w:r w:rsidR="00B1358D">
        <w:rPr>
          <w:spacing w:val="-2"/>
          <w:kern w:val="22"/>
          <w:lang w:val="en-GB"/>
        </w:rPr>
        <w:t>h</w:t>
      </w:r>
      <w:r w:rsidRPr="005E5A1A">
        <w:rPr>
          <w:spacing w:val="-2"/>
          <w:kern w:val="22"/>
          <w:lang w:val="en-GB"/>
        </w:rPr>
        <w:t xml:space="preserve">eritage chickens acknowledged the environmental </w:t>
      </w:r>
      <w:r w:rsidR="00B1358D">
        <w:rPr>
          <w:spacing w:val="-2"/>
          <w:kern w:val="22"/>
          <w:lang w:val="en-GB"/>
        </w:rPr>
        <w:t>and</w:t>
      </w:r>
      <w:r w:rsidRPr="005E5A1A">
        <w:rPr>
          <w:spacing w:val="-2"/>
          <w:kern w:val="22"/>
          <w:lang w:val="en-GB"/>
        </w:rPr>
        <w:t xml:space="preserve"> social considerations, </w:t>
      </w:r>
      <w:r w:rsidR="00B1358D">
        <w:rPr>
          <w:spacing w:val="-2"/>
          <w:kern w:val="22"/>
          <w:lang w:val="en-GB"/>
        </w:rPr>
        <w:t>thereby</w:t>
      </w:r>
      <w:r w:rsidR="00B1358D" w:rsidRPr="005E5A1A">
        <w:rPr>
          <w:spacing w:val="-2"/>
          <w:kern w:val="22"/>
          <w:lang w:val="en-GB"/>
        </w:rPr>
        <w:t xml:space="preserve"> </w:t>
      </w:r>
      <w:r w:rsidRPr="005E5A1A">
        <w:rPr>
          <w:spacing w:val="-2"/>
          <w:kern w:val="22"/>
          <w:lang w:val="en-GB"/>
        </w:rPr>
        <w:t>adding value to the product itself and to the industry as a whole. Heritage chicken providers were able to differentiate themselves from one another, creating a competitive advantage with a unique product in a niche market.</w:t>
      </w:r>
    </w:p>
    <w:p w14:paraId="5CA79088" w14:textId="77777777" w:rsidR="009D7CBE" w:rsidRPr="005E5A1A" w:rsidRDefault="009D7CBE" w:rsidP="0049593C">
      <w:pPr>
        <w:pStyle w:val="BodyTextMain"/>
        <w:rPr>
          <w:spacing w:val="-2"/>
          <w:kern w:val="22"/>
          <w:lang w:val="en-GB"/>
        </w:rPr>
      </w:pPr>
    </w:p>
    <w:p w14:paraId="23609729" w14:textId="550C7C92" w:rsidR="009D7CBE" w:rsidRPr="005E5A1A" w:rsidRDefault="009D7CBE" w:rsidP="0049593C">
      <w:pPr>
        <w:pStyle w:val="BodyTextMain"/>
        <w:rPr>
          <w:spacing w:val="-2"/>
          <w:kern w:val="22"/>
          <w:lang w:val="en-GB"/>
        </w:rPr>
      </w:pPr>
      <w:r w:rsidRPr="005E5A1A">
        <w:rPr>
          <w:spacing w:val="-2"/>
          <w:kern w:val="22"/>
          <w:lang w:val="en-GB"/>
        </w:rPr>
        <w:t xml:space="preserve">In addition to the development of niche markets, </w:t>
      </w:r>
      <w:r w:rsidR="00B1358D">
        <w:rPr>
          <w:spacing w:val="-2"/>
          <w:kern w:val="22"/>
          <w:lang w:val="en-GB"/>
        </w:rPr>
        <w:t>h</w:t>
      </w:r>
      <w:r w:rsidRPr="005E5A1A">
        <w:rPr>
          <w:spacing w:val="-2"/>
          <w:kern w:val="22"/>
          <w:lang w:val="en-GB"/>
        </w:rPr>
        <w:t>eritage chicken breeds had inherent value as a source of genetic diversity</w:t>
      </w:r>
      <w:r w:rsidR="00B1358D">
        <w:rPr>
          <w:spacing w:val="-2"/>
          <w:kern w:val="22"/>
          <w:lang w:val="en-GB"/>
        </w:rPr>
        <w:t>, which</w:t>
      </w:r>
      <w:r w:rsidRPr="005E5A1A">
        <w:rPr>
          <w:spacing w:val="-2"/>
          <w:kern w:val="22"/>
          <w:lang w:val="en-GB"/>
        </w:rPr>
        <w:t xml:space="preserve"> allowed a species to adapt over time to changing environments, </w:t>
      </w:r>
      <w:r w:rsidR="00B1358D">
        <w:rPr>
          <w:spacing w:val="-2"/>
          <w:kern w:val="22"/>
          <w:lang w:val="en-GB"/>
        </w:rPr>
        <w:t>such as</w:t>
      </w:r>
      <w:r w:rsidR="00B1358D" w:rsidRPr="005E5A1A">
        <w:rPr>
          <w:spacing w:val="-2"/>
          <w:kern w:val="22"/>
          <w:lang w:val="en-GB"/>
        </w:rPr>
        <w:t xml:space="preserve"> </w:t>
      </w:r>
      <w:r w:rsidRPr="005E5A1A">
        <w:rPr>
          <w:spacing w:val="-2"/>
          <w:kern w:val="22"/>
          <w:lang w:val="en-GB"/>
        </w:rPr>
        <w:t xml:space="preserve">changing weather patterns or the emergence of new diseases. The value of these chickens, therefore, increased </w:t>
      </w:r>
      <w:r w:rsidR="009A348E">
        <w:rPr>
          <w:spacing w:val="-2"/>
          <w:kern w:val="22"/>
          <w:lang w:val="en-GB"/>
        </w:rPr>
        <w:t xml:space="preserve">as a result of </w:t>
      </w:r>
      <w:r w:rsidRPr="005E5A1A">
        <w:rPr>
          <w:spacing w:val="-2"/>
          <w:kern w:val="22"/>
          <w:lang w:val="en-GB"/>
        </w:rPr>
        <w:t>the</w:t>
      </w:r>
      <w:r w:rsidR="009A348E">
        <w:rPr>
          <w:spacing w:val="-2"/>
          <w:kern w:val="22"/>
          <w:lang w:val="en-GB"/>
        </w:rPr>
        <w:t>ir</w:t>
      </w:r>
      <w:r w:rsidRPr="005E5A1A">
        <w:rPr>
          <w:spacing w:val="-2"/>
          <w:kern w:val="22"/>
          <w:lang w:val="en-GB"/>
        </w:rPr>
        <w:t xml:space="preserve"> new market potential, </w:t>
      </w:r>
      <w:r w:rsidR="00B1358D">
        <w:rPr>
          <w:spacing w:val="-2"/>
          <w:kern w:val="22"/>
          <w:lang w:val="en-GB"/>
        </w:rPr>
        <w:t>and</w:t>
      </w:r>
      <w:r w:rsidRPr="005E5A1A">
        <w:rPr>
          <w:spacing w:val="-2"/>
          <w:kern w:val="22"/>
          <w:lang w:val="en-GB"/>
        </w:rPr>
        <w:t xml:space="preserve"> the</w:t>
      </w:r>
      <w:r w:rsidR="009A348E">
        <w:rPr>
          <w:spacing w:val="-2"/>
          <w:kern w:val="22"/>
          <w:lang w:val="en-GB"/>
        </w:rPr>
        <w:t>ir</w:t>
      </w:r>
      <w:r w:rsidRPr="005E5A1A">
        <w:rPr>
          <w:spacing w:val="-2"/>
          <w:kern w:val="22"/>
          <w:lang w:val="en-GB"/>
        </w:rPr>
        <w:t xml:space="preserve"> potential to act as insurance against the adverse consequences of the commodified poultry industry.</w:t>
      </w:r>
      <w:r w:rsidR="005E5A1A" w:rsidRPr="005E5A1A">
        <w:rPr>
          <w:spacing w:val="-2"/>
          <w:kern w:val="22"/>
          <w:lang w:val="en-GB"/>
        </w:rPr>
        <w:t xml:space="preserve"> </w:t>
      </w:r>
    </w:p>
    <w:p w14:paraId="4B93CCFF" w14:textId="77777777" w:rsidR="009D7CBE" w:rsidRPr="005E5A1A" w:rsidRDefault="009D7CBE" w:rsidP="0049593C">
      <w:pPr>
        <w:pStyle w:val="BodyTextMain"/>
        <w:rPr>
          <w:sz w:val="24"/>
          <w:szCs w:val="24"/>
          <w:lang w:val="en-GB"/>
        </w:rPr>
      </w:pPr>
    </w:p>
    <w:p w14:paraId="002C28F5" w14:textId="77777777" w:rsidR="009D7CBE" w:rsidRPr="005E5A1A" w:rsidRDefault="009D7CBE" w:rsidP="0049593C">
      <w:pPr>
        <w:pStyle w:val="BodyTextMain"/>
        <w:rPr>
          <w:sz w:val="24"/>
          <w:szCs w:val="24"/>
          <w:lang w:val="en-GB"/>
        </w:rPr>
      </w:pPr>
    </w:p>
    <w:p w14:paraId="392BFC12" w14:textId="1A18ABCB" w:rsidR="009D7CBE" w:rsidRPr="005E5A1A" w:rsidRDefault="00B1358D" w:rsidP="005D3BF5">
      <w:pPr>
        <w:pStyle w:val="BodyTextMain"/>
        <w:outlineLvl w:val="0"/>
        <w:rPr>
          <w:rFonts w:ascii="Arial" w:hAnsi="Arial" w:cs="Arial"/>
          <w:b/>
          <w:sz w:val="20"/>
          <w:szCs w:val="20"/>
          <w:lang w:val="en-GB"/>
        </w:rPr>
      </w:pPr>
      <w:r>
        <w:rPr>
          <w:rFonts w:ascii="Arial" w:hAnsi="Arial" w:cs="Arial"/>
          <w:b/>
          <w:sz w:val="20"/>
          <w:szCs w:val="20"/>
          <w:lang w:val="en-GB"/>
        </w:rPr>
        <w:t xml:space="preserve">The </w:t>
      </w:r>
      <w:r w:rsidR="009D7CBE" w:rsidRPr="005E5A1A">
        <w:rPr>
          <w:rFonts w:ascii="Arial" w:hAnsi="Arial" w:cs="Arial"/>
          <w:b/>
          <w:sz w:val="20"/>
          <w:szCs w:val="20"/>
          <w:lang w:val="en-GB"/>
        </w:rPr>
        <w:t>U</w:t>
      </w:r>
      <w:r>
        <w:rPr>
          <w:rFonts w:ascii="Arial" w:hAnsi="Arial" w:cs="Arial"/>
          <w:b/>
          <w:sz w:val="20"/>
          <w:szCs w:val="20"/>
          <w:lang w:val="en-GB"/>
        </w:rPr>
        <w:t>.</w:t>
      </w:r>
      <w:r w:rsidR="009D7CBE" w:rsidRPr="005E5A1A">
        <w:rPr>
          <w:rFonts w:ascii="Arial" w:hAnsi="Arial" w:cs="Arial"/>
          <w:b/>
          <w:sz w:val="20"/>
          <w:szCs w:val="20"/>
          <w:lang w:val="en-GB"/>
        </w:rPr>
        <w:t>S</w:t>
      </w:r>
      <w:r>
        <w:rPr>
          <w:rFonts w:ascii="Arial" w:hAnsi="Arial" w:cs="Arial"/>
          <w:b/>
          <w:sz w:val="20"/>
          <w:szCs w:val="20"/>
          <w:lang w:val="en-GB"/>
        </w:rPr>
        <w:t>.</w:t>
      </w:r>
      <w:r w:rsidR="009D7CBE" w:rsidRPr="005E5A1A">
        <w:rPr>
          <w:rFonts w:ascii="Arial" w:hAnsi="Arial" w:cs="Arial"/>
          <w:b/>
          <w:sz w:val="20"/>
          <w:szCs w:val="20"/>
          <w:lang w:val="en-GB"/>
        </w:rPr>
        <w:t xml:space="preserve"> and Canadian Poultry Industr</w:t>
      </w:r>
      <w:r w:rsidR="009C5205">
        <w:rPr>
          <w:rFonts w:ascii="Arial" w:hAnsi="Arial" w:cs="Arial"/>
          <w:b/>
          <w:sz w:val="20"/>
          <w:szCs w:val="20"/>
          <w:lang w:val="en-GB"/>
        </w:rPr>
        <w:t>ies</w:t>
      </w:r>
    </w:p>
    <w:p w14:paraId="677219CD" w14:textId="77777777" w:rsidR="009D7CBE" w:rsidRPr="005E5A1A" w:rsidRDefault="009D7CBE" w:rsidP="00586ADC">
      <w:pPr>
        <w:pStyle w:val="BodyTextMain"/>
        <w:rPr>
          <w:lang w:val="en-GB"/>
        </w:rPr>
      </w:pPr>
    </w:p>
    <w:p w14:paraId="1F54BED7" w14:textId="1F5A2794" w:rsidR="009D7CBE" w:rsidRPr="005E5A1A" w:rsidRDefault="009D7CBE" w:rsidP="0049593C">
      <w:pPr>
        <w:pStyle w:val="BodyTextMain"/>
        <w:rPr>
          <w:lang w:val="en-GB"/>
        </w:rPr>
      </w:pPr>
      <w:r w:rsidRPr="005E5A1A">
        <w:rPr>
          <w:lang w:val="en-GB"/>
        </w:rPr>
        <w:t>The U</w:t>
      </w:r>
      <w:r w:rsidR="00B1358D">
        <w:rPr>
          <w:lang w:val="en-GB"/>
        </w:rPr>
        <w:t>.</w:t>
      </w:r>
      <w:r w:rsidRPr="005E5A1A">
        <w:rPr>
          <w:lang w:val="en-GB"/>
        </w:rPr>
        <w:t>S</w:t>
      </w:r>
      <w:r w:rsidR="00B1358D">
        <w:rPr>
          <w:lang w:val="en-GB"/>
        </w:rPr>
        <w:t>.</w:t>
      </w:r>
      <w:r w:rsidRPr="005E5A1A">
        <w:rPr>
          <w:lang w:val="en-GB"/>
        </w:rPr>
        <w:t xml:space="preserve"> poultry industry sales value for 2014 was estimated at </w:t>
      </w:r>
      <w:r w:rsidR="00B1358D">
        <w:rPr>
          <w:lang w:val="en-GB"/>
        </w:rPr>
        <w:t>US</w:t>
      </w:r>
      <w:r w:rsidRPr="005E5A1A">
        <w:rPr>
          <w:lang w:val="en-GB"/>
        </w:rPr>
        <w:t>$48 billion,</w:t>
      </w:r>
      <w:r w:rsidRPr="005E5A1A">
        <w:rPr>
          <w:rStyle w:val="EndnoteReference"/>
          <w:lang w:val="en-GB"/>
        </w:rPr>
        <w:endnoteReference w:id="7"/>
      </w:r>
      <w:r w:rsidRPr="005E5A1A">
        <w:rPr>
          <w:lang w:val="en-GB"/>
        </w:rPr>
        <w:t xml:space="preserve"> representing a 9</w:t>
      </w:r>
      <w:r w:rsidR="00B1358D">
        <w:rPr>
          <w:lang w:val="en-GB"/>
        </w:rPr>
        <w:t xml:space="preserve"> per cent</w:t>
      </w:r>
      <w:r w:rsidRPr="005E5A1A">
        <w:rPr>
          <w:lang w:val="en-GB"/>
        </w:rPr>
        <w:t xml:space="preserve"> growth from the previous year (</w:t>
      </w:r>
      <w:r w:rsidR="00B1358D">
        <w:rPr>
          <w:lang w:val="en-GB"/>
        </w:rPr>
        <w:t xml:space="preserve">see </w:t>
      </w:r>
      <w:r w:rsidRPr="005E5A1A">
        <w:rPr>
          <w:lang w:val="en-GB"/>
        </w:rPr>
        <w:t>Exhibit 2) and making the U</w:t>
      </w:r>
      <w:r w:rsidR="00B1358D">
        <w:rPr>
          <w:lang w:val="en-GB"/>
        </w:rPr>
        <w:t xml:space="preserve">nited </w:t>
      </w:r>
      <w:r w:rsidRPr="005E5A1A">
        <w:rPr>
          <w:lang w:val="en-GB"/>
        </w:rPr>
        <w:t>S</w:t>
      </w:r>
      <w:r w:rsidR="00B1358D">
        <w:rPr>
          <w:lang w:val="en-GB"/>
        </w:rPr>
        <w:t>tates</w:t>
      </w:r>
      <w:r w:rsidRPr="005E5A1A">
        <w:rPr>
          <w:lang w:val="en-GB"/>
        </w:rPr>
        <w:t xml:space="preserve"> the </w:t>
      </w:r>
      <w:r w:rsidR="00B1358D">
        <w:rPr>
          <w:lang w:val="en-GB"/>
        </w:rPr>
        <w:t xml:space="preserve">world’s </w:t>
      </w:r>
      <w:r w:rsidRPr="005E5A1A">
        <w:rPr>
          <w:lang w:val="en-GB"/>
        </w:rPr>
        <w:t xml:space="preserve">largest chicken producer. In contrast, </w:t>
      </w:r>
      <w:r w:rsidR="009B56D8">
        <w:rPr>
          <w:lang w:val="en-GB"/>
        </w:rPr>
        <w:t xml:space="preserve">in </w:t>
      </w:r>
      <w:r w:rsidRPr="005E5A1A">
        <w:rPr>
          <w:lang w:val="en-GB"/>
        </w:rPr>
        <w:t>Canada, poultry and egg production was valued at $4 billion in 2013,</w:t>
      </w:r>
      <w:r w:rsidRPr="005E5A1A">
        <w:rPr>
          <w:rStyle w:val="EndnoteReference"/>
          <w:lang w:val="en-GB"/>
        </w:rPr>
        <w:endnoteReference w:id="8"/>
      </w:r>
      <w:r w:rsidRPr="005E5A1A">
        <w:rPr>
          <w:lang w:val="en-GB"/>
        </w:rPr>
        <w:t xml:space="preserve"> with most production found in Ontario and Quebec. </w:t>
      </w:r>
    </w:p>
    <w:p w14:paraId="112A1121" w14:textId="77777777" w:rsidR="009D7CBE" w:rsidRPr="005E5A1A" w:rsidRDefault="009D7CBE" w:rsidP="0049593C">
      <w:pPr>
        <w:pStyle w:val="BodyTextMain"/>
        <w:rPr>
          <w:lang w:val="en-GB"/>
        </w:rPr>
      </w:pPr>
    </w:p>
    <w:p w14:paraId="15DFDC5C" w14:textId="18950A44" w:rsidR="009D7CBE" w:rsidRPr="005E5A1A" w:rsidRDefault="009D7CBE" w:rsidP="0049593C">
      <w:pPr>
        <w:pStyle w:val="BodyTextMain"/>
        <w:rPr>
          <w:lang w:val="en-GB"/>
        </w:rPr>
      </w:pPr>
      <w:r w:rsidRPr="005E5A1A">
        <w:rPr>
          <w:lang w:val="en-GB"/>
        </w:rPr>
        <w:t xml:space="preserve">By 2014, </w:t>
      </w:r>
      <w:r w:rsidR="004108E9">
        <w:rPr>
          <w:lang w:val="en-GB"/>
        </w:rPr>
        <w:t>approximately</w:t>
      </w:r>
      <w:r w:rsidRPr="005E5A1A">
        <w:rPr>
          <w:lang w:val="en-GB"/>
        </w:rPr>
        <w:t xml:space="preserve"> 40 companies </w:t>
      </w:r>
      <w:r w:rsidR="004108E9">
        <w:rPr>
          <w:lang w:val="en-GB"/>
        </w:rPr>
        <w:t xml:space="preserve">were </w:t>
      </w:r>
      <w:r w:rsidRPr="005E5A1A">
        <w:rPr>
          <w:lang w:val="en-GB"/>
        </w:rPr>
        <w:t>involved in the U</w:t>
      </w:r>
      <w:r w:rsidR="004108E9">
        <w:rPr>
          <w:lang w:val="en-GB"/>
        </w:rPr>
        <w:t>.</w:t>
      </w:r>
      <w:r w:rsidRPr="005E5A1A">
        <w:rPr>
          <w:lang w:val="en-GB"/>
        </w:rPr>
        <w:t>S</w:t>
      </w:r>
      <w:r w:rsidR="004108E9">
        <w:rPr>
          <w:lang w:val="en-GB"/>
        </w:rPr>
        <w:t>.</w:t>
      </w:r>
      <w:r w:rsidRPr="005E5A1A">
        <w:rPr>
          <w:lang w:val="en-GB"/>
        </w:rPr>
        <w:t xml:space="preserve"> poultry industry</w:t>
      </w:r>
      <w:r w:rsidR="004108E9">
        <w:rPr>
          <w:lang w:val="en-GB"/>
        </w:rPr>
        <w:t>,</w:t>
      </w:r>
      <w:r w:rsidRPr="005E5A1A">
        <w:rPr>
          <w:lang w:val="en-GB"/>
        </w:rPr>
        <w:t xml:space="preserve"> practi</w:t>
      </w:r>
      <w:r w:rsidR="004108E9">
        <w:rPr>
          <w:lang w:val="en-GB"/>
        </w:rPr>
        <w:t>s</w:t>
      </w:r>
      <w:r w:rsidRPr="005E5A1A">
        <w:rPr>
          <w:lang w:val="en-GB"/>
        </w:rPr>
        <w:t>ing vertical integration</w:t>
      </w:r>
      <w:r w:rsidR="004108E9">
        <w:rPr>
          <w:lang w:val="en-GB"/>
        </w:rPr>
        <w:t>, which</w:t>
      </w:r>
      <w:r w:rsidRPr="005E5A1A">
        <w:rPr>
          <w:lang w:val="en-GB"/>
        </w:rPr>
        <w:t xml:space="preserve"> </w:t>
      </w:r>
      <w:r w:rsidR="004108E9" w:rsidRPr="005E5A1A">
        <w:rPr>
          <w:lang w:val="en-GB"/>
        </w:rPr>
        <w:t>allow</w:t>
      </w:r>
      <w:r w:rsidR="004108E9">
        <w:rPr>
          <w:lang w:val="en-GB"/>
        </w:rPr>
        <w:t>ed</w:t>
      </w:r>
      <w:r w:rsidR="004108E9" w:rsidRPr="005E5A1A">
        <w:rPr>
          <w:lang w:val="en-GB"/>
        </w:rPr>
        <w:t xml:space="preserve"> </w:t>
      </w:r>
      <w:r w:rsidRPr="005E5A1A">
        <w:rPr>
          <w:lang w:val="en-GB"/>
        </w:rPr>
        <w:t>producers to manage and ensure quality at each of the many steps in the supply chain.</w:t>
      </w:r>
      <w:r w:rsidRPr="005E5A1A">
        <w:rPr>
          <w:rStyle w:val="EndnoteReference"/>
          <w:lang w:val="en-GB"/>
        </w:rPr>
        <w:endnoteReference w:id="9"/>
      </w:r>
      <w:r w:rsidRPr="005E5A1A">
        <w:rPr>
          <w:lang w:val="en-GB"/>
        </w:rPr>
        <w:t xml:space="preserve"> In 2012, the </w:t>
      </w:r>
      <w:r w:rsidR="004108E9">
        <w:rPr>
          <w:lang w:val="en-GB"/>
        </w:rPr>
        <w:t xml:space="preserve">U.S. </w:t>
      </w:r>
      <w:r w:rsidRPr="005E5A1A">
        <w:rPr>
          <w:lang w:val="en-GB"/>
        </w:rPr>
        <w:t xml:space="preserve">poultry industry represented 1.3 million jobs, </w:t>
      </w:r>
      <w:r w:rsidR="004108E9">
        <w:rPr>
          <w:lang w:val="en-GB"/>
        </w:rPr>
        <w:t>US</w:t>
      </w:r>
      <w:r w:rsidRPr="005E5A1A">
        <w:rPr>
          <w:lang w:val="en-GB"/>
        </w:rPr>
        <w:t xml:space="preserve">$63 billion in wages, and generated more than </w:t>
      </w:r>
      <w:r w:rsidR="004108E9">
        <w:rPr>
          <w:lang w:val="en-GB"/>
        </w:rPr>
        <w:t>US</w:t>
      </w:r>
      <w:r w:rsidRPr="005E5A1A">
        <w:rPr>
          <w:lang w:val="en-GB"/>
        </w:rPr>
        <w:t>$23 billion in taxes.</w:t>
      </w:r>
      <w:r w:rsidRPr="005E5A1A">
        <w:rPr>
          <w:rStyle w:val="EndnoteReference"/>
          <w:lang w:val="en-GB"/>
        </w:rPr>
        <w:endnoteReference w:id="10"/>
      </w:r>
      <w:r w:rsidRPr="005E5A1A">
        <w:rPr>
          <w:lang w:val="en-GB"/>
        </w:rPr>
        <w:t xml:space="preserve"> </w:t>
      </w:r>
    </w:p>
    <w:p w14:paraId="48155FD5" w14:textId="77777777" w:rsidR="009D7CBE" w:rsidRPr="005E5A1A" w:rsidRDefault="009D7CBE" w:rsidP="0049593C">
      <w:pPr>
        <w:pStyle w:val="BodyTextMain"/>
        <w:rPr>
          <w:lang w:val="en-GB"/>
        </w:rPr>
      </w:pPr>
    </w:p>
    <w:p w14:paraId="770A40DF" w14:textId="2B6C660F" w:rsidR="009D7CBE" w:rsidRPr="005E5A1A" w:rsidRDefault="009D7CBE" w:rsidP="0049593C">
      <w:pPr>
        <w:pStyle w:val="BodyTextMain"/>
        <w:rPr>
          <w:lang w:val="en-GB"/>
        </w:rPr>
      </w:pPr>
      <w:r w:rsidRPr="005E5A1A">
        <w:rPr>
          <w:lang w:val="en-GB"/>
        </w:rPr>
        <w:t>American chicken consumption was the highest in the world at 8</w:t>
      </w:r>
      <w:r w:rsidR="00F6500E">
        <w:rPr>
          <w:lang w:val="en-GB"/>
        </w:rPr>
        <w:t>4.7</w:t>
      </w:r>
      <w:r w:rsidRPr="005E5A1A">
        <w:rPr>
          <w:lang w:val="en-GB"/>
        </w:rPr>
        <w:t xml:space="preserve"> pounds </w:t>
      </w:r>
      <w:r w:rsidR="004108E9">
        <w:rPr>
          <w:lang w:val="en-GB"/>
        </w:rPr>
        <w:t>(38</w:t>
      </w:r>
      <w:r w:rsidR="005D3BF5">
        <w:rPr>
          <w:lang w:val="en-GB"/>
        </w:rPr>
        <w:t>.4</w:t>
      </w:r>
      <w:r w:rsidR="004108E9">
        <w:rPr>
          <w:lang w:val="en-GB"/>
        </w:rPr>
        <w:t xml:space="preserve"> kilograms) </w:t>
      </w:r>
      <w:r w:rsidRPr="005E5A1A">
        <w:rPr>
          <w:lang w:val="en-GB"/>
        </w:rPr>
        <w:t>per capita annually (</w:t>
      </w:r>
      <w:r w:rsidR="004108E9">
        <w:rPr>
          <w:lang w:val="en-GB"/>
        </w:rPr>
        <w:t xml:space="preserve">see </w:t>
      </w:r>
      <w:r w:rsidRPr="005E5A1A">
        <w:rPr>
          <w:lang w:val="en-GB"/>
        </w:rPr>
        <w:t>Exhibit 3</w:t>
      </w:r>
      <w:r w:rsidRPr="005E5A1A">
        <w:rPr>
          <w:color w:val="000000"/>
          <w:lang w:val="en-GB"/>
        </w:rPr>
        <w:t xml:space="preserve">). While consumption rates in developing countries were lower, they were growing at a faster rate than in </w:t>
      </w:r>
      <w:r w:rsidR="00AF448A">
        <w:rPr>
          <w:color w:val="000000"/>
          <w:lang w:val="en-GB"/>
        </w:rPr>
        <w:t>developed</w:t>
      </w:r>
      <w:r w:rsidRPr="005E5A1A">
        <w:rPr>
          <w:color w:val="000000"/>
          <w:lang w:val="en-GB"/>
        </w:rPr>
        <w:t xml:space="preserve"> countries.</w:t>
      </w:r>
      <w:r w:rsidRPr="005E5A1A">
        <w:rPr>
          <w:rStyle w:val="EndnoteReference"/>
          <w:color w:val="000000"/>
          <w:lang w:val="en-GB"/>
        </w:rPr>
        <w:endnoteReference w:id="11"/>
      </w:r>
      <w:r w:rsidRPr="005E5A1A">
        <w:rPr>
          <w:color w:val="000000"/>
          <w:lang w:val="en-GB"/>
        </w:rPr>
        <w:t xml:space="preserve"> This growth represented both a significant opportunity and a </w:t>
      </w:r>
      <w:r w:rsidR="006B64CF">
        <w:rPr>
          <w:color w:val="000000"/>
          <w:lang w:val="en-GB"/>
        </w:rPr>
        <w:t>challenge</w:t>
      </w:r>
      <w:r w:rsidRPr="005E5A1A">
        <w:rPr>
          <w:color w:val="000000"/>
          <w:lang w:val="en-GB"/>
        </w:rPr>
        <w:t xml:space="preserve"> for the chicken industry</w:t>
      </w:r>
      <w:r w:rsidR="00DF6E07">
        <w:rPr>
          <w:color w:val="000000"/>
          <w:lang w:val="en-GB"/>
        </w:rPr>
        <w:t>—an opportunity</w:t>
      </w:r>
      <w:r w:rsidRPr="005E5A1A">
        <w:rPr>
          <w:color w:val="000000"/>
          <w:lang w:val="en-GB"/>
        </w:rPr>
        <w:t xml:space="preserve"> to meet the growing demand </w:t>
      </w:r>
      <w:r w:rsidR="00DF6E07">
        <w:rPr>
          <w:color w:val="000000"/>
          <w:lang w:val="en-GB"/>
        </w:rPr>
        <w:t xml:space="preserve">and a </w:t>
      </w:r>
      <w:r w:rsidR="006B64CF">
        <w:rPr>
          <w:color w:val="000000"/>
          <w:lang w:val="en-GB"/>
        </w:rPr>
        <w:t>challenge</w:t>
      </w:r>
      <w:r w:rsidR="00DF6E07">
        <w:rPr>
          <w:color w:val="000000"/>
          <w:lang w:val="en-GB"/>
        </w:rPr>
        <w:t xml:space="preserve"> </w:t>
      </w:r>
      <w:r w:rsidRPr="005E5A1A">
        <w:rPr>
          <w:color w:val="000000"/>
          <w:lang w:val="en-GB"/>
        </w:rPr>
        <w:t xml:space="preserve">to maintain the health and safety standards required to ensure that chicken populations </w:t>
      </w:r>
      <w:r w:rsidR="006D43E0">
        <w:rPr>
          <w:color w:val="000000"/>
          <w:lang w:val="en-GB"/>
        </w:rPr>
        <w:t>were</w:t>
      </w:r>
      <w:r w:rsidR="006D43E0" w:rsidRPr="005E5A1A">
        <w:rPr>
          <w:color w:val="000000"/>
          <w:lang w:val="en-GB"/>
        </w:rPr>
        <w:t xml:space="preserve"> </w:t>
      </w:r>
      <w:r w:rsidRPr="005E5A1A">
        <w:rPr>
          <w:color w:val="000000"/>
          <w:lang w:val="en-GB"/>
        </w:rPr>
        <w:t>sustainable.</w:t>
      </w:r>
    </w:p>
    <w:p w14:paraId="5F67AAB0" w14:textId="77777777" w:rsidR="009D7CBE" w:rsidRPr="005E5A1A" w:rsidRDefault="009D7CBE" w:rsidP="0049593C">
      <w:pPr>
        <w:pStyle w:val="BodyTextMain"/>
        <w:rPr>
          <w:lang w:val="en-GB"/>
        </w:rPr>
      </w:pPr>
    </w:p>
    <w:p w14:paraId="270C0F8F" w14:textId="77777777" w:rsidR="009D7CBE" w:rsidRPr="005E5A1A" w:rsidRDefault="009D7CBE" w:rsidP="0049593C">
      <w:pPr>
        <w:pStyle w:val="BodyTextMain"/>
        <w:rPr>
          <w:lang w:val="en-GB"/>
        </w:rPr>
      </w:pPr>
    </w:p>
    <w:p w14:paraId="14BDB0D3" w14:textId="77777777" w:rsidR="009D7CBE" w:rsidRPr="005E5A1A" w:rsidRDefault="009D7CBE" w:rsidP="005D3BF5">
      <w:pPr>
        <w:pStyle w:val="BodyTextMain"/>
        <w:outlineLvl w:val="0"/>
        <w:rPr>
          <w:rFonts w:ascii="Arial" w:hAnsi="Arial" w:cs="Arial"/>
          <w:b/>
          <w:sz w:val="20"/>
          <w:szCs w:val="20"/>
          <w:lang w:val="en-GB"/>
        </w:rPr>
      </w:pPr>
      <w:r w:rsidRPr="005E5A1A">
        <w:rPr>
          <w:rFonts w:ascii="Arial" w:hAnsi="Arial" w:cs="Arial"/>
          <w:b/>
          <w:sz w:val="20"/>
          <w:szCs w:val="20"/>
          <w:lang w:val="en-GB"/>
        </w:rPr>
        <w:t>Industry Responsibility</w:t>
      </w:r>
    </w:p>
    <w:p w14:paraId="4C355A41" w14:textId="77777777" w:rsidR="009D7CBE" w:rsidRPr="005E5A1A" w:rsidRDefault="009D7CBE" w:rsidP="0049593C">
      <w:pPr>
        <w:pStyle w:val="BodyTextMain"/>
        <w:rPr>
          <w:lang w:val="en-GB"/>
        </w:rPr>
      </w:pPr>
    </w:p>
    <w:p w14:paraId="35D45405" w14:textId="4D2CFE11" w:rsidR="009D7CBE" w:rsidRPr="005E5A1A" w:rsidRDefault="009D7CBE" w:rsidP="0049593C">
      <w:pPr>
        <w:pStyle w:val="BodyTextMain"/>
        <w:rPr>
          <w:rStyle w:val="f70"/>
          <w:color w:val="222222"/>
          <w:spacing w:val="-2"/>
          <w:kern w:val="22"/>
          <w:shd w:val="clear" w:color="auto" w:fill="FFFFFF"/>
          <w:lang w:val="en-GB"/>
        </w:rPr>
      </w:pPr>
      <w:r w:rsidRPr="005E5A1A">
        <w:rPr>
          <w:spacing w:val="-2"/>
          <w:kern w:val="22"/>
          <w:lang w:val="en-GB"/>
        </w:rPr>
        <w:t xml:space="preserve">With the growth of the chicken industry, the responsibilities to address and mitigate the </w:t>
      </w:r>
      <w:r w:rsidR="006B64CF">
        <w:rPr>
          <w:spacing w:val="-2"/>
          <w:kern w:val="22"/>
          <w:lang w:val="en-GB"/>
        </w:rPr>
        <w:t xml:space="preserve">rising </w:t>
      </w:r>
      <w:r w:rsidRPr="005E5A1A">
        <w:rPr>
          <w:spacing w:val="-2"/>
          <w:kern w:val="22"/>
          <w:lang w:val="en-GB"/>
        </w:rPr>
        <w:t>challenges were not completely clear. Companies that produced poultry needed to maintain the value of their product, while also considering issues of animal welfare, resource use</w:t>
      </w:r>
      <w:r w:rsidR="006D43E0">
        <w:rPr>
          <w:spacing w:val="-2"/>
          <w:kern w:val="22"/>
          <w:lang w:val="en-GB"/>
        </w:rPr>
        <w:t>,</w:t>
      </w:r>
      <w:r w:rsidRPr="005E5A1A">
        <w:rPr>
          <w:spacing w:val="-2"/>
          <w:kern w:val="22"/>
          <w:lang w:val="en-GB"/>
        </w:rPr>
        <w:t xml:space="preserve"> and consumer demand. Businesses played a role in </w:t>
      </w:r>
      <w:r w:rsidRPr="005E5A1A">
        <w:rPr>
          <w:spacing w:val="-2"/>
          <w:kern w:val="22"/>
          <w:lang w:val="en-GB"/>
        </w:rPr>
        <w:lastRenderedPageBreak/>
        <w:t>shaping the economy by adhering to a set of goals and beliefs that govern</w:t>
      </w:r>
      <w:r w:rsidR="006D43E0">
        <w:rPr>
          <w:spacing w:val="-2"/>
          <w:kern w:val="22"/>
          <w:lang w:val="en-GB"/>
        </w:rPr>
        <w:t>ed</w:t>
      </w:r>
      <w:r w:rsidRPr="005E5A1A">
        <w:rPr>
          <w:spacing w:val="-2"/>
          <w:kern w:val="22"/>
          <w:lang w:val="en-GB"/>
        </w:rPr>
        <w:t xml:space="preserve"> their practice. </w:t>
      </w:r>
      <w:r w:rsidRPr="005E5A1A">
        <w:rPr>
          <w:rStyle w:val="f70"/>
          <w:color w:val="222222"/>
          <w:spacing w:val="-2"/>
          <w:kern w:val="22"/>
          <w:shd w:val="clear" w:color="auto" w:fill="FFFFFF"/>
          <w:lang w:val="en-GB"/>
        </w:rPr>
        <w:t xml:space="preserve">If a company said that </w:t>
      </w:r>
      <w:r w:rsidR="006D43E0">
        <w:rPr>
          <w:rStyle w:val="f70"/>
          <w:color w:val="222222"/>
          <w:spacing w:val="-2"/>
          <w:kern w:val="22"/>
          <w:shd w:val="clear" w:color="auto" w:fill="FFFFFF"/>
          <w:lang w:val="en-GB"/>
        </w:rPr>
        <w:t>it aimed</w:t>
      </w:r>
      <w:r w:rsidRPr="005E5A1A">
        <w:rPr>
          <w:rStyle w:val="f70"/>
          <w:color w:val="222222"/>
          <w:spacing w:val="-2"/>
          <w:kern w:val="22"/>
          <w:shd w:val="clear" w:color="auto" w:fill="FFFFFF"/>
          <w:lang w:val="en-GB"/>
        </w:rPr>
        <w:t xml:space="preserve"> to act in responsible and sustainable ways, but then failed to act in ways that supported that goal, </w:t>
      </w:r>
      <w:r w:rsidR="006D43E0">
        <w:rPr>
          <w:rStyle w:val="f70"/>
          <w:color w:val="222222"/>
          <w:spacing w:val="-2"/>
          <w:kern w:val="22"/>
          <w:shd w:val="clear" w:color="auto" w:fill="FFFFFF"/>
          <w:lang w:val="en-GB"/>
        </w:rPr>
        <w:t>its</w:t>
      </w:r>
      <w:r w:rsidR="006D43E0" w:rsidRPr="005E5A1A">
        <w:rPr>
          <w:rStyle w:val="f70"/>
          <w:color w:val="222222"/>
          <w:spacing w:val="-2"/>
          <w:kern w:val="22"/>
          <w:shd w:val="clear" w:color="auto" w:fill="FFFFFF"/>
          <w:lang w:val="en-GB"/>
        </w:rPr>
        <w:t xml:space="preserve"> </w:t>
      </w:r>
      <w:r w:rsidRPr="005E5A1A">
        <w:rPr>
          <w:rStyle w:val="f70"/>
          <w:color w:val="222222"/>
          <w:spacing w:val="-2"/>
          <w:kern w:val="22"/>
          <w:shd w:val="clear" w:color="auto" w:fill="FFFFFF"/>
          <w:lang w:val="en-GB"/>
        </w:rPr>
        <w:t>credibility could be diminished. A company</w:t>
      </w:r>
      <w:r w:rsidR="00942985">
        <w:rPr>
          <w:rStyle w:val="f70"/>
          <w:color w:val="222222"/>
          <w:spacing w:val="-2"/>
          <w:kern w:val="22"/>
          <w:shd w:val="clear" w:color="auto" w:fill="FFFFFF"/>
          <w:lang w:val="en-GB"/>
        </w:rPr>
        <w:t>’</w:t>
      </w:r>
      <w:r w:rsidRPr="005E5A1A">
        <w:rPr>
          <w:rStyle w:val="f70"/>
          <w:color w:val="222222"/>
          <w:spacing w:val="-2"/>
          <w:kern w:val="22"/>
          <w:shd w:val="clear" w:color="auto" w:fill="FFFFFF"/>
          <w:lang w:val="en-GB"/>
        </w:rPr>
        <w:t xml:space="preserve">s brand was critical to its future success, and, thus, its sustainability. </w:t>
      </w:r>
      <w:r w:rsidR="00942985">
        <w:rPr>
          <w:rStyle w:val="f70"/>
          <w:color w:val="222222"/>
          <w:spacing w:val="-2"/>
          <w:kern w:val="22"/>
          <w:shd w:val="clear" w:color="auto" w:fill="FFFFFF"/>
          <w:lang w:val="en-GB"/>
        </w:rPr>
        <w:t>Therefore,</w:t>
      </w:r>
      <w:r w:rsidR="00942985" w:rsidRPr="005E5A1A">
        <w:rPr>
          <w:rStyle w:val="f70"/>
          <w:color w:val="222222"/>
          <w:spacing w:val="-2"/>
          <w:kern w:val="22"/>
          <w:shd w:val="clear" w:color="auto" w:fill="FFFFFF"/>
          <w:lang w:val="en-GB"/>
        </w:rPr>
        <w:t xml:space="preserve"> </w:t>
      </w:r>
      <w:r w:rsidRPr="005E5A1A">
        <w:rPr>
          <w:rStyle w:val="f70"/>
          <w:color w:val="222222"/>
          <w:spacing w:val="-2"/>
          <w:kern w:val="22"/>
          <w:shd w:val="clear" w:color="auto" w:fill="FFFFFF"/>
          <w:lang w:val="en-GB"/>
        </w:rPr>
        <w:t>protecting that brand by adhering to a core set of values was important and a consideration for all business practices.</w:t>
      </w:r>
    </w:p>
    <w:p w14:paraId="2DA80694" w14:textId="77777777" w:rsidR="009D7CBE" w:rsidRPr="005E5A1A" w:rsidRDefault="009D7CBE" w:rsidP="0049593C">
      <w:pPr>
        <w:pStyle w:val="BodyTextMain"/>
        <w:rPr>
          <w:spacing w:val="-2"/>
          <w:kern w:val="22"/>
          <w:lang w:val="en-GB"/>
        </w:rPr>
      </w:pPr>
    </w:p>
    <w:p w14:paraId="22112F8A" w14:textId="789412AE" w:rsidR="009D7CBE" w:rsidRPr="005E5A1A" w:rsidRDefault="009D7CBE" w:rsidP="0049593C">
      <w:pPr>
        <w:pStyle w:val="BodyTextMain"/>
        <w:rPr>
          <w:rStyle w:val="f56"/>
          <w:color w:val="222222"/>
          <w:spacing w:val="-2"/>
          <w:kern w:val="22"/>
          <w:shd w:val="clear" w:color="auto" w:fill="FFFFFF"/>
          <w:lang w:val="en-GB"/>
        </w:rPr>
      </w:pPr>
      <w:r w:rsidRPr="005E5A1A">
        <w:rPr>
          <w:spacing w:val="-2"/>
          <w:kern w:val="22"/>
          <w:lang w:val="en-GB"/>
        </w:rPr>
        <w:t xml:space="preserve">According to </w:t>
      </w:r>
      <w:r w:rsidRPr="005E5A1A">
        <w:rPr>
          <w:rStyle w:val="f91"/>
          <w:color w:val="000000"/>
          <w:spacing w:val="-2"/>
          <w:kern w:val="22"/>
          <w:shd w:val="clear" w:color="auto" w:fill="FFFFFF"/>
          <w:lang w:val="en-GB"/>
        </w:rPr>
        <w:t>Valente and Crane, companies that worked in developing countries had an obligation to step into traditional government roles in providing services, infrastructure</w:t>
      </w:r>
      <w:r w:rsidR="00942985">
        <w:rPr>
          <w:rStyle w:val="f91"/>
          <w:color w:val="000000"/>
          <w:spacing w:val="-2"/>
          <w:kern w:val="22"/>
          <w:shd w:val="clear" w:color="auto" w:fill="FFFFFF"/>
          <w:lang w:val="en-GB"/>
        </w:rPr>
        <w:t>,</w:t>
      </w:r>
      <w:r w:rsidRPr="005E5A1A">
        <w:rPr>
          <w:rStyle w:val="f91"/>
          <w:color w:val="000000"/>
          <w:spacing w:val="-2"/>
          <w:kern w:val="22"/>
          <w:shd w:val="clear" w:color="auto" w:fill="FFFFFF"/>
          <w:lang w:val="en-GB"/>
        </w:rPr>
        <w:t xml:space="preserve"> and support.</w:t>
      </w:r>
      <w:r w:rsidRPr="005E5A1A">
        <w:rPr>
          <w:rStyle w:val="EndnoteReference"/>
          <w:color w:val="000000"/>
          <w:spacing w:val="-2"/>
          <w:kern w:val="22"/>
          <w:shd w:val="clear" w:color="auto" w:fill="FFFFFF"/>
          <w:lang w:val="en-GB"/>
        </w:rPr>
        <w:endnoteReference w:id="12"/>
      </w:r>
      <w:r w:rsidRPr="005E5A1A">
        <w:rPr>
          <w:rStyle w:val="f91"/>
          <w:color w:val="000000"/>
          <w:spacing w:val="-2"/>
          <w:kern w:val="22"/>
          <w:shd w:val="clear" w:color="auto" w:fill="FFFFFF"/>
          <w:lang w:val="en-GB"/>
        </w:rPr>
        <w:t xml:space="preserve"> Their thinking appeared to hold some relevance for the poultry industry.</w:t>
      </w:r>
      <w:r w:rsidRPr="005E5A1A">
        <w:rPr>
          <w:rStyle w:val="f70"/>
          <w:color w:val="222222"/>
          <w:spacing w:val="-2"/>
          <w:kern w:val="22"/>
          <w:shd w:val="clear" w:color="auto" w:fill="FFFFFF"/>
          <w:lang w:val="en-GB"/>
        </w:rPr>
        <w:t xml:space="preserve"> Essentially, the criteria that determine</w:t>
      </w:r>
      <w:r w:rsidR="00942985">
        <w:rPr>
          <w:rStyle w:val="f70"/>
          <w:color w:val="222222"/>
          <w:spacing w:val="-2"/>
          <w:kern w:val="22"/>
          <w:shd w:val="clear" w:color="auto" w:fill="FFFFFF"/>
          <w:lang w:val="en-GB"/>
        </w:rPr>
        <w:t>d</w:t>
      </w:r>
      <w:r w:rsidRPr="005E5A1A">
        <w:rPr>
          <w:rStyle w:val="f70"/>
          <w:color w:val="222222"/>
          <w:spacing w:val="-2"/>
          <w:kern w:val="22"/>
          <w:shd w:val="clear" w:color="auto" w:fill="FFFFFF"/>
          <w:lang w:val="en-GB"/>
        </w:rPr>
        <w:t xml:space="preserve"> whether a particular business was sustainable could change dramatically over time, which presented a need to continually evolve how businesses defined sustainability in the context of meeting current business needs without compromising the ability of future generations to meet their business needs. Consistent with an evolutionary perspective</w:t>
      </w:r>
      <w:r w:rsidRPr="005E5A1A">
        <w:rPr>
          <w:rStyle w:val="f56"/>
          <w:color w:val="222222"/>
          <w:spacing w:val="-2"/>
          <w:kern w:val="22"/>
          <w:shd w:val="clear" w:color="auto" w:fill="FFFFFF"/>
          <w:lang w:val="en-GB"/>
        </w:rPr>
        <w:t xml:space="preserve">, the needs of the public were apt to change over time, creating pressure for adjustment in </w:t>
      </w:r>
      <w:r w:rsidR="00942985">
        <w:rPr>
          <w:rStyle w:val="f56"/>
          <w:color w:val="222222"/>
          <w:spacing w:val="-2"/>
          <w:kern w:val="22"/>
          <w:shd w:val="clear" w:color="auto" w:fill="FFFFFF"/>
          <w:lang w:val="en-GB"/>
        </w:rPr>
        <w:t>an attempt</w:t>
      </w:r>
      <w:r w:rsidR="00942985" w:rsidRPr="005E5A1A">
        <w:rPr>
          <w:rStyle w:val="f56"/>
          <w:color w:val="222222"/>
          <w:spacing w:val="-2"/>
          <w:kern w:val="22"/>
          <w:shd w:val="clear" w:color="auto" w:fill="FFFFFF"/>
          <w:lang w:val="en-GB"/>
        </w:rPr>
        <w:t xml:space="preserve"> </w:t>
      </w:r>
      <w:r w:rsidRPr="005E5A1A">
        <w:rPr>
          <w:rStyle w:val="f56"/>
          <w:color w:val="222222"/>
          <w:spacing w:val="-2"/>
          <w:kern w:val="22"/>
          <w:shd w:val="clear" w:color="auto" w:fill="FFFFFF"/>
          <w:lang w:val="en-GB"/>
        </w:rPr>
        <w:t xml:space="preserve">to meet those changing needs. Businesses could adapt in two ways: first, they </w:t>
      </w:r>
      <w:r w:rsidR="00EB0B9A">
        <w:rPr>
          <w:rStyle w:val="f56"/>
          <w:color w:val="222222"/>
          <w:spacing w:val="-2"/>
          <w:kern w:val="22"/>
          <w:shd w:val="clear" w:color="auto" w:fill="FFFFFF"/>
          <w:lang w:val="en-GB"/>
        </w:rPr>
        <w:t>could act as</w:t>
      </w:r>
      <w:r w:rsidRPr="005E5A1A">
        <w:rPr>
          <w:rStyle w:val="f56"/>
          <w:color w:val="222222"/>
          <w:spacing w:val="-2"/>
          <w:kern w:val="22"/>
          <w:shd w:val="clear" w:color="auto" w:fill="FFFFFF"/>
          <w:lang w:val="en-GB"/>
        </w:rPr>
        <w:t xml:space="preserve"> drivers of change by identifying such trends and opportunities, and second, they </w:t>
      </w:r>
      <w:r w:rsidR="00EB0B9A">
        <w:rPr>
          <w:rStyle w:val="f56"/>
          <w:color w:val="222222"/>
          <w:spacing w:val="-2"/>
          <w:kern w:val="22"/>
          <w:shd w:val="clear" w:color="auto" w:fill="FFFFFF"/>
          <w:lang w:val="en-GB"/>
        </w:rPr>
        <w:t>could become</w:t>
      </w:r>
      <w:r w:rsidRPr="005E5A1A">
        <w:rPr>
          <w:rStyle w:val="f56"/>
          <w:color w:val="222222"/>
          <w:spacing w:val="-2"/>
          <w:kern w:val="22"/>
          <w:shd w:val="clear" w:color="auto" w:fill="FFFFFF"/>
          <w:lang w:val="en-GB"/>
        </w:rPr>
        <w:t xml:space="preserve"> partners in </w:t>
      </w:r>
      <w:r w:rsidR="00EB0B9A">
        <w:rPr>
          <w:rStyle w:val="f56"/>
          <w:color w:val="222222"/>
          <w:spacing w:val="-2"/>
          <w:kern w:val="22"/>
          <w:shd w:val="clear" w:color="auto" w:fill="FFFFFF"/>
          <w:lang w:val="en-GB"/>
        </w:rPr>
        <w:t xml:space="preserve">the </w:t>
      </w:r>
      <w:r w:rsidRPr="005E5A1A">
        <w:rPr>
          <w:rStyle w:val="f56"/>
          <w:color w:val="222222"/>
          <w:spacing w:val="-2"/>
          <w:kern w:val="22"/>
          <w:shd w:val="clear" w:color="auto" w:fill="FFFFFF"/>
          <w:lang w:val="en-GB"/>
        </w:rPr>
        <w:t>efforts to solve societal issues</w:t>
      </w:r>
      <w:r w:rsidR="00EB0B9A">
        <w:rPr>
          <w:rStyle w:val="f56"/>
          <w:color w:val="222222"/>
          <w:spacing w:val="-2"/>
          <w:kern w:val="22"/>
          <w:shd w:val="clear" w:color="auto" w:fill="FFFFFF"/>
          <w:lang w:val="en-GB"/>
        </w:rPr>
        <w:t>,</w:t>
      </w:r>
      <w:r w:rsidRPr="005E5A1A">
        <w:rPr>
          <w:rStyle w:val="f56"/>
          <w:color w:val="222222"/>
          <w:spacing w:val="-2"/>
          <w:kern w:val="22"/>
          <w:shd w:val="clear" w:color="auto" w:fill="FFFFFF"/>
          <w:lang w:val="en-GB"/>
        </w:rPr>
        <w:t xml:space="preserve"> </w:t>
      </w:r>
      <w:r w:rsidR="00EB0B9A">
        <w:rPr>
          <w:rStyle w:val="f56"/>
          <w:color w:val="222222"/>
          <w:spacing w:val="-2"/>
          <w:kern w:val="22"/>
          <w:shd w:val="clear" w:color="auto" w:fill="FFFFFF"/>
          <w:lang w:val="en-GB"/>
        </w:rPr>
        <w:t xml:space="preserve">especially </w:t>
      </w:r>
      <w:r w:rsidRPr="005E5A1A">
        <w:rPr>
          <w:rStyle w:val="f56"/>
          <w:color w:val="222222"/>
          <w:spacing w:val="-2"/>
          <w:kern w:val="22"/>
          <w:shd w:val="clear" w:color="auto" w:fill="FFFFFF"/>
          <w:lang w:val="en-GB"/>
        </w:rPr>
        <w:t xml:space="preserve">given their prominent role in </w:t>
      </w:r>
      <w:r w:rsidR="00EB0B9A">
        <w:rPr>
          <w:rStyle w:val="f56"/>
          <w:color w:val="222222"/>
          <w:spacing w:val="-2"/>
          <w:kern w:val="22"/>
          <w:shd w:val="clear" w:color="auto" w:fill="FFFFFF"/>
          <w:lang w:val="en-GB"/>
        </w:rPr>
        <w:t>those issues</w:t>
      </w:r>
      <w:r w:rsidRPr="005E5A1A">
        <w:rPr>
          <w:rStyle w:val="f56"/>
          <w:color w:val="222222"/>
          <w:spacing w:val="-2"/>
          <w:kern w:val="22"/>
          <w:shd w:val="clear" w:color="auto" w:fill="FFFFFF"/>
          <w:lang w:val="en-GB"/>
        </w:rPr>
        <w:t>.</w:t>
      </w:r>
    </w:p>
    <w:p w14:paraId="08597776" w14:textId="77777777" w:rsidR="009D7CBE" w:rsidRPr="005E5A1A" w:rsidRDefault="009D7CBE" w:rsidP="0049593C">
      <w:pPr>
        <w:pStyle w:val="BodyTextMain"/>
        <w:rPr>
          <w:lang w:val="en-GB"/>
        </w:rPr>
      </w:pPr>
    </w:p>
    <w:p w14:paraId="6B48916D" w14:textId="77777777" w:rsidR="009D7CBE" w:rsidRPr="005E5A1A" w:rsidRDefault="009D7CBE" w:rsidP="0049593C">
      <w:pPr>
        <w:pStyle w:val="BodyTextMain"/>
        <w:rPr>
          <w:lang w:val="en-GB"/>
        </w:rPr>
      </w:pPr>
    </w:p>
    <w:p w14:paraId="59FFFF34" w14:textId="7F698029" w:rsidR="009D7CBE" w:rsidRPr="005E5A1A" w:rsidRDefault="00942985" w:rsidP="005D3BF5">
      <w:pPr>
        <w:pStyle w:val="BodyTextMain"/>
        <w:outlineLvl w:val="0"/>
        <w:rPr>
          <w:rFonts w:ascii="Arial" w:hAnsi="Arial" w:cs="Arial"/>
          <w:b/>
          <w:sz w:val="20"/>
          <w:szCs w:val="20"/>
          <w:lang w:val="en-GB"/>
        </w:rPr>
      </w:pPr>
      <w:r>
        <w:rPr>
          <w:rFonts w:ascii="Arial" w:hAnsi="Arial" w:cs="Arial"/>
          <w:b/>
          <w:sz w:val="20"/>
          <w:szCs w:val="20"/>
          <w:lang w:val="en-GB"/>
        </w:rPr>
        <w:t xml:space="preserve">THE </w:t>
      </w:r>
      <w:r w:rsidR="009D7CBE" w:rsidRPr="005E5A1A">
        <w:rPr>
          <w:rFonts w:ascii="Arial" w:hAnsi="Arial" w:cs="Arial"/>
          <w:b/>
          <w:sz w:val="20"/>
          <w:szCs w:val="20"/>
          <w:lang w:val="en-GB"/>
        </w:rPr>
        <w:t>POULTRY SUPPLY CHAIN</w:t>
      </w:r>
    </w:p>
    <w:p w14:paraId="4CEE4A6D" w14:textId="77777777" w:rsidR="009D7CBE" w:rsidRPr="005E5A1A" w:rsidRDefault="009D7CBE" w:rsidP="00394280">
      <w:pPr>
        <w:pStyle w:val="BodyTextMain"/>
        <w:rPr>
          <w:lang w:val="en-GB"/>
        </w:rPr>
      </w:pPr>
    </w:p>
    <w:p w14:paraId="6CAA1DF3" w14:textId="639D971E" w:rsidR="009D7CBE" w:rsidRPr="005E5A1A" w:rsidRDefault="009D7CBE" w:rsidP="0049593C">
      <w:pPr>
        <w:pStyle w:val="BodyTextMain"/>
        <w:rPr>
          <w:spacing w:val="-2"/>
          <w:kern w:val="22"/>
          <w:lang w:val="en-GB"/>
        </w:rPr>
      </w:pPr>
      <w:r w:rsidRPr="005E5A1A">
        <w:rPr>
          <w:spacing w:val="-2"/>
          <w:kern w:val="22"/>
          <w:lang w:val="en-GB"/>
        </w:rPr>
        <w:t>The poultry supply chain consisted of parent or grandparent stocks (i.e.</w:t>
      </w:r>
      <w:r w:rsidR="00942985">
        <w:rPr>
          <w:spacing w:val="-2"/>
          <w:kern w:val="22"/>
          <w:lang w:val="en-GB"/>
        </w:rPr>
        <w:t>,</w:t>
      </w:r>
      <w:r w:rsidRPr="005E5A1A">
        <w:rPr>
          <w:spacing w:val="-2"/>
          <w:kern w:val="22"/>
          <w:lang w:val="en-GB"/>
        </w:rPr>
        <w:t xml:space="preserve"> chickens) that produced chicks</w:t>
      </w:r>
      <w:r w:rsidR="00942985">
        <w:rPr>
          <w:spacing w:val="-2"/>
          <w:kern w:val="22"/>
          <w:lang w:val="en-GB"/>
        </w:rPr>
        <w:t>,</w:t>
      </w:r>
      <w:r w:rsidRPr="005E5A1A">
        <w:rPr>
          <w:spacing w:val="-2"/>
          <w:kern w:val="22"/>
          <w:lang w:val="en-GB"/>
        </w:rPr>
        <w:t xml:space="preserve"> which were transported to pullet farms where they grew to </w:t>
      </w:r>
      <w:r w:rsidR="00942985">
        <w:rPr>
          <w:spacing w:val="-2"/>
          <w:kern w:val="22"/>
          <w:lang w:val="en-GB"/>
        </w:rPr>
        <w:t>approximately</w:t>
      </w:r>
      <w:r w:rsidR="00942985" w:rsidRPr="005E5A1A">
        <w:rPr>
          <w:spacing w:val="-2"/>
          <w:kern w:val="22"/>
          <w:lang w:val="en-GB"/>
        </w:rPr>
        <w:t xml:space="preserve"> </w:t>
      </w:r>
      <w:r w:rsidRPr="005E5A1A">
        <w:rPr>
          <w:spacing w:val="-2"/>
          <w:kern w:val="22"/>
          <w:lang w:val="en-GB"/>
        </w:rPr>
        <w:t>20 weeks of age (</w:t>
      </w:r>
      <w:r w:rsidR="00942985">
        <w:rPr>
          <w:spacing w:val="-2"/>
          <w:kern w:val="22"/>
          <w:lang w:val="en-GB"/>
        </w:rPr>
        <w:t xml:space="preserve">see </w:t>
      </w:r>
      <w:r w:rsidRPr="005E5A1A">
        <w:rPr>
          <w:spacing w:val="-2"/>
          <w:kern w:val="22"/>
          <w:lang w:val="en-GB"/>
        </w:rPr>
        <w:t>Exhibit 4). At that time, the chicks, now chickens, were artificially inseminated and moved to breeder farms where they started laying fertilized eggs at 26 weeks. These eggs then went to a hatchery</w:t>
      </w:r>
      <w:r w:rsidR="00942985">
        <w:rPr>
          <w:spacing w:val="-2"/>
          <w:kern w:val="22"/>
          <w:lang w:val="en-GB"/>
        </w:rPr>
        <w:t>,</w:t>
      </w:r>
      <w:r w:rsidRPr="005E5A1A">
        <w:rPr>
          <w:spacing w:val="-2"/>
          <w:kern w:val="22"/>
          <w:lang w:val="en-GB"/>
        </w:rPr>
        <w:t xml:space="preserve"> where they were raised for </w:t>
      </w:r>
      <w:r w:rsidR="00F65611">
        <w:rPr>
          <w:spacing w:val="-2"/>
          <w:kern w:val="22"/>
          <w:lang w:val="en-GB"/>
        </w:rPr>
        <w:t xml:space="preserve">either </w:t>
      </w:r>
      <w:r w:rsidRPr="005E5A1A">
        <w:rPr>
          <w:spacing w:val="-2"/>
          <w:kern w:val="22"/>
          <w:lang w:val="en-GB"/>
        </w:rPr>
        <w:t>egg production or broiler (</w:t>
      </w:r>
      <w:r w:rsidR="009C5205">
        <w:rPr>
          <w:spacing w:val="-2"/>
          <w:kern w:val="22"/>
          <w:lang w:val="en-GB"/>
        </w:rPr>
        <w:t xml:space="preserve">i.e., </w:t>
      </w:r>
      <w:r w:rsidRPr="005E5A1A">
        <w:rPr>
          <w:spacing w:val="-2"/>
          <w:kern w:val="22"/>
          <w:lang w:val="en-GB"/>
        </w:rPr>
        <w:t xml:space="preserve">meat) production. The chickens were given water and feed to maximize both </w:t>
      </w:r>
      <w:r w:rsidR="00F65611">
        <w:rPr>
          <w:spacing w:val="-2"/>
          <w:kern w:val="22"/>
          <w:lang w:val="en-GB"/>
        </w:rPr>
        <w:t xml:space="preserve">their </w:t>
      </w:r>
      <w:r w:rsidRPr="005E5A1A">
        <w:rPr>
          <w:spacing w:val="-2"/>
          <w:kern w:val="22"/>
          <w:lang w:val="en-GB"/>
        </w:rPr>
        <w:t xml:space="preserve">growth potential and </w:t>
      </w:r>
      <w:r w:rsidR="00F65611">
        <w:rPr>
          <w:spacing w:val="-2"/>
          <w:kern w:val="22"/>
          <w:lang w:val="en-GB"/>
        </w:rPr>
        <w:t xml:space="preserve">their </w:t>
      </w:r>
      <w:r w:rsidRPr="005E5A1A">
        <w:rPr>
          <w:spacing w:val="-2"/>
          <w:kern w:val="22"/>
          <w:lang w:val="en-GB"/>
        </w:rPr>
        <w:t>taste profile.</w:t>
      </w:r>
      <w:r w:rsidRPr="005E5A1A">
        <w:rPr>
          <w:rStyle w:val="EndnoteReference"/>
          <w:spacing w:val="-2"/>
          <w:kern w:val="22"/>
          <w:lang w:val="en-GB"/>
        </w:rPr>
        <w:endnoteReference w:id="13"/>
      </w:r>
      <w:r w:rsidRPr="005E5A1A">
        <w:rPr>
          <w:spacing w:val="-2"/>
          <w:kern w:val="22"/>
          <w:lang w:val="en-GB"/>
        </w:rPr>
        <w:t xml:space="preserve"> The diet also included the use of antibiotics and enzymes to control disease and potential digestive problems. Broiler chickens reached their maximum weight by </w:t>
      </w:r>
      <w:r w:rsidR="00F65611">
        <w:rPr>
          <w:spacing w:val="-2"/>
          <w:kern w:val="22"/>
          <w:lang w:val="en-GB"/>
        </w:rPr>
        <w:t>approximately</w:t>
      </w:r>
      <w:r w:rsidR="00F65611" w:rsidRPr="005E5A1A">
        <w:rPr>
          <w:spacing w:val="-2"/>
          <w:kern w:val="22"/>
          <w:lang w:val="en-GB"/>
        </w:rPr>
        <w:t xml:space="preserve"> </w:t>
      </w:r>
      <w:r w:rsidRPr="005E5A1A">
        <w:rPr>
          <w:spacing w:val="-2"/>
          <w:kern w:val="22"/>
          <w:lang w:val="en-GB"/>
        </w:rPr>
        <w:t>4</w:t>
      </w:r>
      <w:r w:rsidR="001028BE">
        <w:rPr>
          <w:spacing w:val="-2"/>
          <w:kern w:val="22"/>
          <w:lang w:val="en-GB"/>
        </w:rPr>
        <w:t>6</w:t>
      </w:r>
      <w:r w:rsidRPr="005E5A1A">
        <w:rPr>
          <w:spacing w:val="-2"/>
          <w:kern w:val="22"/>
          <w:lang w:val="en-GB"/>
        </w:rPr>
        <w:t xml:space="preserve"> days, at which time they were slaughtered and sold.</w:t>
      </w:r>
      <w:r w:rsidRPr="005E5A1A">
        <w:rPr>
          <w:rStyle w:val="EndnoteReference"/>
          <w:spacing w:val="-2"/>
          <w:kern w:val="22"/>
          <w:lang w:val="en-GB"/>
        </w:rPr>
        <w:endnoteReference w:id="14"/>
      </w:r>
      <w:r w:rsidRPr="005E5A1A">
        <w:rPr>
          <w:spacing w:val="-2"/>
          <w:kern w:val="22"/>
          <w:lang w:val="en-GB"/>
        </w:rPr>
        <w:t xml:space="preserve"> By that time, the next round of chickens was ready for the hatchery, and the cycle repeated itself.</w:t>
      </w:r>
    </w:p>
    <w:p w14:paraId="554BD1C3" w14:textId="77777777" w:rsidR="009D7CBE" w:rsidRPr="005E5A1A" w:rsidRDefault="009D7CBE" w:rsidP="0049593C">
      <w:pPr>
        <w:pStyle w:val="BodyTextMain"/>
        <w:rPr>
          <w:spacing w:val="-2"/>
          <w:kern w:val="22"/>
          <w:lang w:val="en-GB"/>
        </w:rPr>
      </w:pPr>
    </w:p>
    <w:p w14:paraId="58BB01A0" w14:textId="396AD6C6" w:rsidR="009D7CBE" w:rsidRPr="005E5A1A" w:rsidRDefault="009D7CBE" w:rsidP="0049593C">
      <w:pPr>
        <w:pStyle w:val="BodyTextMain"/>
        <w:rPr>
          <w:spacing w:val="-2"/>
          <w:kern w:val="22"/>
          <w:lang w:val="en-GB"/>
        </w:rPr>
      </w:pPr>
      <w:r w:rsidRPr="005E5A1A">
        <w:rPr>
          <w:spacing w:val="-2"/>
          <w:kern w:val="22"/>
          <w:lang w:val="en-GB"/>
        </w:rPr>
        <w:t xml:space="preserve">Many poultry companies were vertically integrated to enable control over many of the steps in the supply chain. </w:t>
      </w:r>
      <w:r w:rsidR="00942985">
        <w:rPr>
          <w:spacing w:val="-2"/>
          <w:kern w:val="22"/>
          <w:lang w:val="en-GB"/>
        </w:rPr>
        <w:t>Although vertical integration</w:t>
      </w:r>
      <w:r w:rsidR="00942985" w:rsidRPr="005E5A1A">
        <w:rPr>
          <w:spacing w:val="-2"/>
          <w:kern w:val="22"/>
          <w:lang w:val="en-GB"/>
        </w:rPr>
        <w:t xml:space="preserve"> allow</w:t>
      </w:r>
      <w:r w:rsidR="00942985">
        <w:rPr>
          <w:spacing w:val="-2"/>
          <w:kern w:val="22"/>
          <w:lang w:val="en-GB"/>
        </w:rPr>
        <w:t>ed</w:t>
      </w:r>
      <w:r w:rsidR="00942985" w:rsidRPr="005E5A1A">
        <w:rPr>
          <w:spacing w:val="-2"/>
          <w:kern w:val="22"/>
          <w:lang w:val="en-GB"/>
        </w:rPr>
        <w:t xml:space="preserve"> </w:t>
      </w:r>
      <w:r w:rsidRPr="005E5A1A">
        <w:rPr>
          <w:spacing w:val="-2"/>
          <w:kern w:val="22"/>
          <w:lang w:val="en-GB"/>
        </w:rPr>
        <w:t xml:space="preserve">for cost control and product uniformity, </w:t>
      </w:r>
      <w:r w:rsidR="00942985">
        <w:rPr>
          <w:spacing w:val="-2"/>
          <w:kern w:val="22"/>
          <w:lang w:val="en-GB"/>
        </w:rPr>
        <w:t>it</w:t>
      </w:r>
      <w:r w:rsidRPr="005E5A1A">
        <w:rPr>
          <w:spacing w:val="-2"/>
          <w:kern w:val="22"/>
          <w:lang w:val="en-GB"/>
        </w:rPr>
        <w:t xml:space="preserve"> resulted in the evolution of a narrowly defined standard for chicken output. </w:t>
      </w:r>
      <w:r w:rsidR="00942985">
        <w:rPr>
          <w:spacing w:val="-2"/>
          <w:kern w:val="22"/>
          <w:lang w:val="en-GB"/>
        </w:rPr>
        <w:t>U</w:t>
      </w:r>
      <w:r w:rsidRPr="005E5A1A">
        <w:rPr>
          <w:spacing w:val="-2"/>
          <w:kern w:val="22"/>
          <w:lang w:val="en-GB"/>
        </w:rPr>
        <w:t xml:space="preserve">niformity, however, </w:t>
      </w:r>
      <w:r w:rsidR="00942985">
        <w:rPr>
          <w:spacing w:val="-2"/>
          <w:kern w:val="22"/>
          <w:lang w:val="en-GB"/>
        </w:rPr>
        <w:t>l</w:t>
      </w:r>
      <w:r w:rsidR="00C75769">
        <w:rPr>
          <w:spacing w:val="-2"/>
          <w:kern w:val="22"/>
          <w:lang w:val="en-GB"/>
        </w:rPr>
        <w:t xml:space="preserve">ed to </w:t>
      </w:r>
      <w:r w:rsidRPr="005E5A1A">
        <w:rPr>
          <w:spacing w:val="-2"/>
          <w:kern w:val="22"/>
          <w:lang w:val="en-GB"/>
        </w:rPr>
        <w:t xml:space="preserve">issues </w:t>
      </w:r>
      <w:r w:rsidR="00C75769">
        <w:rPr>
          <w:spacing w:val="-2"/>
          <w:kern w:val="22"/>
          <w:lang w:val="en-GB"/>
        </w:rPr>
        <w:t xml:space="preserve">that could </w:t>
      </w:r>
      <w:r w:rsidRPr="005E5A1A">
        <w:rPr>
          <w:spacing w:val="-2"/>
          <w:kern w:val="22"/>
          <w:lang w:val="en-GB"/>
        </w:rPr>
        <w:t>potentially span the entire industry</w:t>
      </w:r>
      <w:r w:rsidR="00F65611">
        <w:rPr>
          <w:spacing w:val="-2"/>
          <w:kern w:val="22"/>
          <w:lang w:val="en-GB"/>
        </w:rPr>
        <w:t xml:space="preserve"> </w:t>
      </w:r>
      <w:r w:rsidR="00F65611" w:rsidRPr="005E5A1A">
        <w:rPr>
          <w:spacing w:val="-2"/>
          <w:kern w:val="22"/>
          <w:lang w:val="en-GB"/>
        </w:rPr>
        <w:t>(e.g.</w:t>
      </w:r>
      <w:r w:rsidR="00F65611">
        <w:rPr>
          <w:spacing w:val="-2"/>
          <w:kern w:val="22"/>
          <w:lang w:val="en-GB"/>
        </w:rPr>
        <w:t>,</w:t>
      </w:r>
      <w:r w:rsidR="00F65611" w:rsidRPr="005E5A1A">
        <w:rPr>
          <w:spacing w:val="-2"/>
          <w:kern w:val="22"/>
          <w:lang w:val="en-GB"/>
        </w:rPr>
        <w:t xml:space="preserve"> a salmonella outbreak)</w:t>
      </w:r>
      <w:r w:rsidRPr="005E5A1A">
        <w:rPr>
          <w:spacing w:val="-2"/>
          <w:kern w:val="22"/>
          <w:lang w:val="en-GB"/>
        </w:rPr>
        <w:t>, posing a major risk to consumers. In addition, vertical integration tended to constrain the development of innovative practices</w:t>
      </w:r>
      <w:r w:rsidR="00C75769">
        <w:rPr>
          <w:spacing w:val="-2"/>
          <w:kern w:val="22"/>
          <w:lang w:val="en-GB"/>
        </w:rPr>
        <w:t>,</w:t>
      </w:r>
      <w:r w:rsidRPr="005E5A1A">
        <w:rPr>
          <w:spacing w:val="-2"/>
          <w:kern w:val="22"/>
          <w:lang w:val="en-GB"/>
        </w:rPr>
        <w:t xml:space="preserve"> </w:t>
      </w:r>
      <w:r w:rsidR="00C75769">
        <w:rPr>
          <w:spacing w:val="-2"/>
          <w:kern w:val="22"/>
          <w:lang w:val="en-GB"/>
        </w:rPr>
        <w:t>which were</w:t>
      </w:r>
      <w:r w:rsidRPr="005E5A1A">
        <w:rPr>
          <w:spacing w:val="-2"/>
          <w:kern w:val="22"/>
          <w:lang w:val="en-GB"/>
        </w:rPr>
        <w:t xml:space="preserve"> often </w:t>
      </w:r>
      <w:r w:rsidR="00C75769">
        <w:rPr>
          <w:spacing w:val="-2"/>
          <w:kern w:val="22"/>
          <w:lang w:val="en-GB"/>
        </w:rPr>
        <w:t>an outcome of</w:t>
      </w:r>
      <w:r w:rsidRPr="005E5A1A">
        <w:rPr>
          <w:spacing w:val="-2"/>
          <w:kern w:val="22"/>
          <w:lang w:val="en-GB"/>
        </w:rPr>
        <w:t xml:space="preserve"> market competition.</w:t>
      </w:r>
      <w:r w:rsidRPr="005E5A1A">
        <w:rPr>
          <w:rStyle w:val="EndnoteReference"/>
          <w:spacing w:val="-2"/>
          <w:kern w:val="22"/>
          <w:lang w:val="en-GB"/>
        </w:rPr>
        <w:endnoteReference w:id="15"/>
      </w:r>
      <w:r w:rsidRPr="005E5A1A">
        <w:rPr>
          <w:spacing w:val="-2"/>
          <w:kern w:val="22"/>
          <w:lang w:val="en-GB"/>
        </w:rPr>
        <w:t xml:space="preserve"> </w:t>
      </w:r>
      <w:r w:rsidR="00C75769">
        <w:rPr>
          <w:spacing w:val="-2"/>
          <w:kern w:val="22"/>
          <w:lang w:val="en-GB"/>
        </w:rPr>
        <w:t>Thus,</w:t>
      </w:r>
      <w:r w:rsidR="00C75769" w:rsidRPr="005E5A1A">
        <w:rPr>
          <w:spacing w:val="-2"/>
          <w:kern w:val="22"/>
          <w:lang w:val="en-GB"/>
        </w:rPr>
        <w:t xml:space="preserve"> </w:t>
      </w:r>
      <w:r w:rsidRPr="005E5A1A">
        <w:rPr>
          <w:spacing w:val="-2"/>
          <w:kern w:val="22"/>
          <w:lang w:val="en-GB"/>
        </w:rPr>
        <w:t xml:space="preserve">a commodity market and high levels of vertical integration could </w:t>
      </w:r>
      <w:r w:rsidR="00C75769">
        <w:rPr>
          <w:spacing w:val="-2"/>
          <w:kern w:val="22"/>
          <w:lang w:val="en-GB"/>
        </w:rPr>
        <w:t>lead to</w:t>
      </w:r>
      <w:r w:rsidR="00C75769" w:rsidRPr="005E5A1A">
        <w:rPr>
          <w:spacing w:val="-2"/>
          <w:kern w:val="22"/>
          <w:lang w:val="en-GB"/>
        </w:rPr>
        <w:t xml:space="preserve"> </w:t>
      </w:r>
      <w:r w:rsidRPr="005E5A1A">
        <w:rPr>
          <w:spacing w:val="-2"/>
          <w:kern w:val="22"/>
          <w:lang w:val="en-GB"/>
        </w:rPr>
        <w:t xml:space="preserve">less investment in research and development and less competition with fewer competitors. </w:t>
      </w:r>
    </w:p>
    <w:p w14:paraId="193A4486" w14:textId="77777777" w:rsidR="009D7CBE" w:rsidRPr="005E5A1A" w:rsidRDefault="009D7CBE" w:rsidP="0049593C">
      <w:pPr>
        <w:pStyle w:val="BodyTextMain"/>
        <w:rPr>
          <w:spacing w:val="-2"/>
          <w:kern w:val="22"/>
          <w:lang w:val="en-GB"/>
        </w:rPr>
      </w:pPr>
    </w:p>
    <w:p w14:paraId="6B6383A5" w14:textId="7A09C2BA" w:rsidR="009D7CBE" w:rsidRPr="005E5A1A" w:rsidRDefault="009D7CBE" w:rsidP="0049593C">
      <w:pPr>
        <w:pStyle w:val="BodyTextMain"/>
        <w:rPr>
          <w:spacing w:val="-2"/>
          <w:kern w:val="22"/>
          <w:lang w:val="en-GB"/>
        </w:rPr>
      </w:pPr>
      <w:r w:rsidRPr="005E5A1A">
        <w:rPr>
          <w:spacing w:val="-2"/>
          <w:kern w:val="22"/>
          <w:lang w:val="en-GB"/>
        </w:rPr>
        <w:t xml:space="preserve">Commercial chickens </w:t>
      </w:r>
      <w:r w:rsidR="00C75769">
        <w:rPr>
          <w:spacing w:val="-2"/>
          <w:kern w:val="22"/>
          <w:lang w:val="en-GB"/>
        </w:rPr>
        <w:t xml:space="preserve">had </w:t>
      </w:r>
      <w:r w:rsidRPr="005E5A1A">
        <w:rPr>
          <w:spacing w:val="-2"/>
          <w:kern w:val="22"/>
          <w:lang w:val="en-GB"/>
        </w:rPr>
        <w:t xml:space="preserve">changed substantially over </w:t>
      </w:r>
      <w:r w:rsidR="00B42299">
        <w:rPr>
          <w:spacing w:val="-2"/>
          <w:kern w:val="22"/>
          <w:lang w:val="en-GB"/>
        </w:rPr>
        <w:t>more than</w:t>
      </w:r>
      <w:r w:rsidRPr="005E5A1A">
        <w:rPr>
          <w:spacing w:val="-2"/>
          <w:kern w:val="22"/>
          <w:lang w:val="en-GB"/>
        </w:rPr>
        <w:t xml:space="preserve"> half a century. </w:t>
      </w:r>
      <w:r w:rsidR="00C75769">
        <w:rPr>
          <w:spacing w:val="-2"/>
          <w:kern w:val="22"/>
          <w:lang w:val="en-GB"/>
        </w:rPr>
        <w:t xml:space="preserve">For example, </w:t>
      </w:r>
      <w:r w:rsidR="00F65611" w:rsidRPr="005E5A1A">
        <w:rPr>
          <w:spacing w:val="-2"/>
          <w:kern w:val="22"/>
          <w:lang w:val="en-GB"/>
        </w:rPr>
        <w:t xml:space="preserve">compared with </w:t>
      </w:r>
      <w:r w:rsidR="00F65611">
        <w:rPr>
          <w:spacing w:val="-2"/>
          <w:kern w:val="22"/>
          <w:lang w:val="en-GB"/>
        </w:rPr>
        <w:t>chickens</w:t>
      </w:r>
      <w:r w:rsidR="00F65611" w:rsidRPr="005E5A1A">
        <w:rPr>
          <w:spacing w:val="-2"/>
          <w:kern w:val="22"/>
          <w:lang w:val="en-GB"/>
        </w:rPr>
        <w:t xml:space="preserve"> in the 1950s, </w:t>
      </w:r>
      <w:r w:rsidR="00C75769">
        <w:rPr>
          <w:spacing w:val="-2"/>
          <w:kern w:val="22"/>
          <w:lang w:val="en-GB"/>
        </w:rPr>
        <w:t>c</w:t>
      </w:r>
      <w:r w:rsidRPr="005E5A1A">
        <w:rPr>
          <w:spacing w:val="-2"/>
          <w:kern w:val="22"/>
          <w:lang w:val="en-GB"/>
        </w:rPr>
        <w:t>hickens in 2008</w:t>
      </w:r>
      <w:r w:rsidR="00A1343F">
        <w:rPr>
          <w:spacing w:val="-2"/>
          <w:kern w:val="22"/>
          <w:lang w:val="en-GB"/>
        </w:rPr>
        <w:t xml:space="preserve"> </w:t>
      </w:r>
      <w:r w:rsidRPr="005E5A1A">
        <w:rPr>
          <w:spacing w:val="-2"/>
          <w:kern w:val="22"/>
          <w:lang w:val="en-GB"/>
        </w:rPr>
        <w:t>grew much larger and more quickly as a result of targeted and specific genetic</w:t>
      </w:r>
      <w:r w:rsidR="00C75769">
        <w:rPr>
          <w:spacing w:val="-2"/>
          <w:kern w:val="22"/>
          <w:lang w:val="en-GB"/>
        </w:rPr>
        <w:t>-</w:t>
      </w:r>
      <w:r w:rsidRPr="005E5A1A">
        <w:rPr>
          <w:spacing w:val="-2"/>
          <w:kern w:val="22"/>
          <w:lang w:val="en-GB"/>
        </w:rPr>
        <w:t xml:space="preserve">selection programs. </w:t>
      </w:r>
      <w:r w:rsidR="00C75769">
        <w:rPr>
          <w:spacing w:val="-2"/>
          <w:kern w:val="22"/>
          <w:lang w:val="en-GB"/>
        </w:rPr>
        <w:t>Th</w:t>
      </w:r>
      <w:r w:rsidR="00831A36">
        <w:rPr>
          <w:spacing w:val="-2"/>
          <w:kern w:val="22"/>
          <w:lang w:val="en-GB"/>
        </w:rPr>
        <w:t xml:space="preserve">is </w:t>
      </w:r>
      <w:r w:rsidRPr="005E5A1A">
        <w:rPr>
          <w:spacing w:val="-2"/>
          <w:kern w:val="22"/>
          <w:lang w:val="en-GB"/>
        </w:rPr>
        <w:t>relatively short amount of time</w:t>
      </w:r>
      <w:r w:rsidR="007637D1">
        <w:rPr>
          <w:spacing w:val="-2"/>
          <w:kern w:val="22"/>
          <w:lang w:val="en-GB"/>
        </w:rPr>
        <w:t>—</w:t>
      </w:r>
      <w:r w:rsidR="00831A36">
        <w:rPr>
          <w:spacing w:val="-2"/>
          <w:kern w:val="22"/>
          <w:lang w:val="en-GB"/>
        </w:rPr>
        <w:t>less than 60 years</w:t>
      </w:r>
      <w:r w:rsidR="00C75769">
        <w:rPr>
          <w:spacing w:val="-2"/>
          <w:kern w:val="22"/>
          <w:lang w:val="en-GB"/>
        </w:rPr>
        <w:t xml:space="preserve">, in which chickens had </w:t>
      </w:r>
      <w:r w:rsidRPr="005E5A1A">
        <w:rPr>
          <w:spacing w:val="-2"/>
          <w:kern w:val="22"/>
          <w:lang w:val="en-GB"/>
        </w:rPr>
        <w:t>“evolve</w:t>
      </w:r>
      <w:r w:rsidR="00C75769">
        <w:rPr>
          <w:spacing w:val="-2"/>
          <w:kern w:val="22"/>
          <w:lang w:val="en-GB"/>
        </w:rPr>
        <w:t>d</w:t>
      </w:r>
      <w:r w:rsidR="007637D1" w:rsidRPr="005E5A1A">
        <w:rPr>
          <w:spacing w:val="-2"/>
          <w:kern w:val="22"/>
          <w:lang w:val="en-GB"/>
        </w:rPr>
        <w:t>”</w:t>
      </w:r>
      <w:r w:rsidR="007637D1">
        <w:rPr>
          <w:spacing w:val="-2"/>
          <w:kern w:val="22"/>
          <w:lang w:val="en-GB"/>
        </w:rPr>
        <w:t>—</w:t>
      </w:r>
      <w:r w:rsidR="00C75769">
        <w:rPr>
          <w:spacing w:val="-2"/>
          <w:kern w:val="22"/>
          <w:lang w:val="en-GB"/>
        </w:rPr>
        <w:t xml:space="preserve">seemed </w:t>
      </w:r>
      <w:r w:rsidR="00831A36">
        <w:rPr>
          <w:spacing w:val="-2"/>
          <w:kern w:val="22"/>
          <w:lang w:val="en-GB"/>
        </w:rPr>
        <w:t>un</w:t>
      </w:r>
      <w:r w:rsidRPr="005E5A1A">
        <w:rPr>
          <w:spacing w:val="-2"/>
          <w:kern w:val="22"/>
          <w:lang w:val="en-GB"/>
        </w:rPr>
        <w:t>natural</w:t>
      </w:r>
      <w:r w:rsidR="00831A36">
        <w:rPr>
          <w:spacing w:val="-2"/>
          <w:kern w:val="22"/>
          <w:lang w:val="en-GB"/>
        </w:rPr>
        <w:t>, especially when compared with the length of time attributed to natural evolution, typically measured in thousands or millions of years</w:t>
      </w:r>
      <w:r w:rsidRPr="005E5A1A">
        <w:rPr>
          <w:spacing w:val="-2"/>
          <w:kern w:val="22"/>
          <w:lang w:val="en-GB"/>
        </w:rPr>
        <w:t>. Despite the rapid change, commercial chickens had not necessarily evolve</w:t>
      </w:r>
      <w:r w:rsidR="00831A36">
        <w:rPr>
          <w:spacing w:val="-2"/>
          <w:kern w:val="22"/>
          <w:lang w:val="en-GB"/>
        </w:rPr>
        <w:t>d</w:t>
      </w:r>
      <w:r w:rsidRPr="005E5A1A">
        <w:rPr>
          <w:spacing w:val="-2"/>
          <w:kern w:val="22"/>
          <w:lang w:val="en-GB"/>
        </w:rPr>
        <w:t xml:space="preserve"> in all aspects of their growth and development, meaning that the evolution was not balanced (e.g.</w:t>
      </w:r>
      <w:r w:rsidR="00831A36">
        <w:rPr>
          <w:spacing w:val="-2"/>
          <w:kern w:val="22"/>
          <w:lang w:val="en-GB"/>
        </w:rPr>
        <w:t>,</w:t>
      </w:r>
      <w:r w:rsidRPr="005E5A1A">
        <w:rPr>
          <w:spacing w:val="-2"/>
          <w:kern w:val="22"/>
          <w:lang w:val="en-GB"/>
        </w:rPr>
        <w:t xml:space="preserve"> body sizes grew significantly</w:t>
      </w:r>
      <w:r w:rsidR="00B42299">
        <w:rPr>
          <w:spacing w:val="-2"/>
          <w:kern w:val="22"/>
          <w:lang w:val="en-GB"/>
        </w:rPr>
        <w:t>,</w:t>
      </w:r>
      <w:r w:rsidRPr="005E5A1A">
        <w:rPr>
          <w:spacing w:val="-2"/>
          <w:kern w:val="22"/>
          <w:lang w:val="en-GB"/>
        </w:rPr>
        <w:t xml:space="preserve"> while leg size and </w:t>
      </w:r>
      <w:r w:rsidR="007637D1">
        <w:rPr>
          <w:spacing w:val="-2"/>
          <w:kern w:val="22"/>
          <w:lang w:val="en-GB"/>
        </w:rPr>
        <w:t xml:space="preserve">the </w:t>
      </w:r>
      <w:r w:rsidRPr="005E5A1A">
        <w:rPr>
          <w:spacing w:val="-2"/>
          <w:kern w:val="22"/>
          <w:lang w:val="en-GB"/>
        </w:rPr>
        <w:t>strength to hold the larger body sizes had not evolved</w:t>
      </w:r>
      <w:r w:rsidR="00831A36">
        <w:rPr>
          <w:spacing w:val="-2"/>
          <w:kern w:val="22"/>
          <w:lang w:val="en-GB"/>
        </w:rPr>
        <w:t xml:space="preserve"> commensurately</w:t>
      </w:r>
      <w:r w:rsidRPr="005E5A1A">
        <w:rPr>
          <w:spacing w:val="-2"/>
          <w:kern w:val="22"/>
          <w:lang w:val="en-GB"/>
        </w:rPr>
        <w:t xml:space="preserve">). </w:t>
      </w:r>
    </w:p>
    <w:p w14:paraId="63BE4F45" w14:textId="77777777" w:rsidR="009D7CBE" w:rsidRPr="005E5A1A" w:rsidRDefault="009D7CBE" w:rsidP="0049593C">
      <w:pPr>
        <w:pStyle w:val="BodyTextMain"/>
        <w:rPr>
          <w:spacing w:val="-2"/>
          <w:kern w:val="22"/>
          <w:lang w:val="en-GB"/>
        </w:rPr>
      </w:pPr>
    </w:p>
    <w:p w14:paraId="16F3ED80" w14:textId="77777777" w:rsidR="003F2D85" w:rsidRPr="005E5A1A" w:rsidRDefault="003F2D85" w:rsidP="0049593C">
      <w:pPr>
        <w:pStyle w:val="BodyTextMain"/>
        <w:rPr>
          <w:lang w:val="en-GB"/>
        </w:rPr>
      </w:pPr>
    </w:p>
    <w:p w14:paraId="26EAFC67" w14:textId="77777777" w:rsidR="009D7CBE" w:rsidRPr="005E5A1A" w:rsidRDefault="009D7CBE" w:rsidP="005D3BF5">
      <w:pPr>
        <w:pStyle w:val="BodyTextMain"/>
        <w:keepNext/>
        <w:outlineLvl w:val="0"/>
        <w:rPr>
          <w:rFonts w:ascii="Arial" w:hAnsi="Arial" w:cs="Arial"/>
          <w:b/>
          <w:sz w:val="20"/>
          <w:szCs w:val="20"/>
          <w:lang w:val="en-GB"/>
        </w:rPr>
      </w:pPr>
      <w:r w:rsidRPr="005E5A1A">
        <w:rPr>
          <w:rFonts w:ascii="Arial" w:hAnsi="Arial" w:cs="Arial"/>
          <w:b/>
          <w:sz w:val="20"/>
          <w:szCs w:val="20"/>
          <w:lang w:val="en-GB"/>
        </w:rPr>
        <w:lastRenderedPageBreak/>
        <w:t>Supply Chain Challenges of Antibiotic Resistance</w:t>
      </w:r>
    </w:p>
    <w:p w14:paraId="1FE1B80A" w14:textId="77777777" w:rsidR="009D7CBE" w:rsidRPr="005E5A1A" w:rsidRDefault="009D7CBE" w:rsidP="00AE190A">
      <w:pPr>
        <w:pStyle w:val="BodyTextMain"/>
        <w:keepNext/>
        <w:rPr>
          <w:lang w:val="en-GB"/>
        </w:rPr>
      </w:pPr>
    </w:p>
    <w:p w14:paraId="315E0916" w14:textId="493EF070" w:rsidR="009D7CBE" w:rsidRPr="005E5A1A" w:rsidRDefault="009D7CBE" w:rsidP="00AE190A">
      <w:pPr>
        <w:pStyle w:val="BodyTextMain"/>
        <w:keepNext/>
        <w:rPr>
          <w:lang w:val="en-GB"/>
        </w:rPr>
      </w:pPr>
      <w:r w:rsidRPr="005E5A1A">
        <w:rPr>
          <w:lang w:val="en-GB"/>
        </w:rPr>
        <w:t>The commercialized poultry industry had faced many challenges</w:t>
      </w:r>
      <w:r w:rsidR="00831A36">
        <w:rPr>
          <w:lang w:val="en-GB"/>
        </w:rPr>
        <w:t>,</w:t>
      </w:r>
      <w:r w:rsidRPr="005E5A1A">
        <w:rPr>
          <w:lang w:val="en-GB"/>
        </w:rPr>
        <w:t xml:space="preserve"> including </w:t>
      </w:r>
      <w:r w:rsidR="00831A36">
        <w:rPr>
          <w:lang w:val="en-GB"/>
        </w:rPr>
        <w:t xml:space="preserve">addressing </w:t>
      </w:r>
      <w:r w:rsidRPr="005E5A1A">
        <w:rPr>
          <w:lang w:val="en-GB"/>
        </w:rPr>
        <w:t xml:space="preserve">animal welfare issues, </w:t>
      </w:r>
      <w:r w:rsidR="00831A36">
        <w:rPr>
          <w:lang w:val="en-GB"/>
        </w:rPr>
        <w:t xml:space="preserve">the </w:t>
      </w:r>
      <w:r w:rsidRPr="005E5A1A">
        <w:rPr>
          <w:lang w:val="en-GB"/>
        </w:rPr>
        <w:t xml:space="preserve">increased incidence of deadly disease, </w:t>
      </w:r>
      <w:r w:rsidR="00831A36">
        <w:rPr>
          <w:lang w:val="en-GB"/>
        </w:rPr>
        <w:t>t</w:t>
      </w:r>
      <w:bookmarkStart w:id="0" w:name="_GoBack"/>
      <w:bookmarkEnd w:id="0"/>
      <w:r w:rsidR="00831A36">
        <w:rPr>
          <w:lang w:val="en-GB"/>
        </w:rPr>
        <w:t xml:space="preserve">he </w:t>
      </w:r>
      <w:r w:rsidRPr="005E5A1A">
        <w:rPr>
          <w:lang w:val="en-GB"/>
        </w:rPr>
        <w:t xml:space="preserve">reduction in genetic diversity, and </w:t>
      </w:r>
      <w:r w:rsidR="007637D1">
        <w:rPr>
          <w:lang w:val="en-GB"/>
        </w:rPr>
        <w:t>increased</w:t>
      </w:r>
      <w:r w:rsidR="007637D1" w:rsidRPr="005E5A1A">
        <w:rPr>
          <w:lang w:val="en-GB"/>
        </w:rPr>
        <w:t xml:space="preserve"> </w:t>
      </w:r>
      <w:r w:rsidRPr="005E5A1A">
        <w:rPr>
          <w:lang w:val="en-GB"/>
        </w:rPr>
        <w:t>product demand. While each of these areas had significant</w:t>
      </w:r>
      <w:r w:rsidR="00831A36">
        <w:rPr>
          <w:lang w:val="en-GB"/>
        </w:rPr>
        <w:t>ly</w:t>
      </w:r>
      <w:r w:rsidRPr="005E5A1A">
        <w:rPr>
          <w:lang w:val="en-GB"/>
        </w:rPr>
        <w:t xml:space="preserve"> </w:t>
      </w:r>
      <w:r w:rsidR="00831A36">
        <w:rPr>
          <w:lang w:val="en-GB"/>
        </w:rPr>
        <w:t>affected</w:t>
      </w:r>
      <w:r w:rsidR="00831A36" w:rsidRPr="005E5A1A">
        <w:rPr>
          <w:lang w:val="en-GB"/>
        </w:rPr>
        <w:t xml:space="preserve"> </w:t>
      </w:r>
      <w:r w:rsidRPr="005E5A1A">
        <w:rPr>
          <w:lang w:val="en-GB"/>
        </w:rPr>
        <w:t xml:space="preserve">the industry, antibiotic resistance featured prominently in the media. Antibiotic resistance, </w:t>
      </w:r>
      <w:r w:rsidR="00831A36">
        <w:rPr>
          <w:lang w:val="en-GB"/>
        </w:rPr>
        <w:t xml:space="preserve">which was </w:t>
      </w:r>
      <w:r w:rsidRPr="005E5A1A">
        <w:rPr>
          <w:lang w:val="en-GB"/>
        </w:rPr>
        <w:t>well documented in scientific literature</w:t>
      </w:r>
      <w:r w:rsidR="00831A36">
        <w:rPr>
          <w:lang w:val="en-GB"/>
        </w:rPr>
        <w:t>,</w:t>
      </w:r>
      <w:r w:rsidRPr="005E5A1A">
        <w:rPr>
          <w:rStyle w:val="EndnoteReference"/>
          <w:lang w:val="en-GB"/>
        </w:rPr>
        <w:endnoteReference w:id="16"/>
      </w:r>
      <w:r w:rsidRPr="005E5A1A">
        <w:rPr>
          <w:lang w:val="en-GB"/>
        </w:rPr>
        <w:t xml:space="preserve"> also made its way into mainstream media. Campaigns such as “Do Bugs Need Drugs</w:t>
      </w:r>
      <w:r w:rsidR="00831A36">
        <w:rPr>
          <w:lang w:val="en-GB"/>
        </w:rPr>
        <w:t>?</w:t>
      </w:r>
      <w:r w:rsidRPr="005E5A1A">
        <w:rPr>
          <w:lang w:val="en-GB"/>
        </w:rPr>
        <w:t>” highlighted how the overuse of antibiotics created resistant strains of bacteria.</w:t>
      </w:r>
      <w:r w:rsidRPr="005E5A1A">
        <w:rPr>
          <w:rStyle w:val="EndnoteReference"/>
          <w:lang w:val="en-GB"/>
        </w:rPr>
        <w:t xml:space="preserve"> </w:t>
      </w:r>
      <w:r w:rsidRPr="005E5A1A">
        <w:rPr>
          <w:rStyle w:val="EndnoteReference"/>
          <w:lang w:val="en-GB"/>
        </w:rPr>
        <w:endnoteReference w:id="17"/>
      </w:r>
    </w:p>
    <w:p w14:paraId="7F8F6655" w14:textId="77777777" w:rsidR="009D7CBE" w:rsidRPr="005E5A1A" w:rsidRDefault="009D7CBE" w:rsidP="0049593C">
      <w:pPr>
        <w:pStyle w:val="BodyTextMain"/>
        <w:rPr>
          <w:lang w:val="en-GB"/>
        </w:rPr>
      </w:pPr>
    </w:p>
    <w:p w14:paraId="3B55C6D0" w14:textId="48B31361" w:rsidR="009D7CBE" w:rsidRPr="005E5A1A" w:rsidRDefault="009D7CBE" w:rsidP="0049593C">
      <w:pPr>
        <w:pStyle w:val="BodyTextMain"/>
        <w:rPr>
          <w:lang w:val="en-GB"/>
        </w:rPr>
      </w:pPr>
      <w:r w:rsidRPr="005E5A1A">
        <w:rPr>
          <w:lang w:val="en-GB"/>
        </w:rPr>
        <w:t>The public, well aware of the potential issues with antibiotic use in poultry, increasingly demand</w:t>
      </w:r>
      <w:r w:rsidR="00871831">
        <w:rPr>
          <w:lang w:val="en-GB"/>
        </w:rPr>
        <w:t>ed</w:t>
      </w:r>
      <w:r w:rsidRPr="005E5A1A">
        <w:rPr>
          <w:lang w:val="en-GB"/>
        </w:rPr>
        <w:t xml:space="preserve"> products not treated with antibiotics. Companies </w:t>
      </w:r>
      <w:r w:rsidR="00871831">
        <w:rPr>
          <w:lang w:val="en-GB"/>
        </w:rPr>
        <w:t>such as</w:t>
      </w:r>
      <w:r w:rsidR="00871831" w:rsidRPr="005E5A1A">
        <w:rPr>
          <w:lang w:val="en-GB"/>
        </w:rPr>
        <w:t xml:space="preserve"> </w:t>
      </w:r>
      <w:r w:rsidRPr="005E5A1A">
        <w:rPr>
          <w:lang w:val="en-GB"/>
        </w:rPr>
        <w:t xml:space="preserve">A&amp;W </w:t>
      </w:r>
      <w:r w:rsidR="00B42299">
        <w:rPr>
          <w:lang w:val="en-GB"/>
        </w:rPr>
        <w:t xml:space="preserve">Restaurants, Inc. </w:t>
      </w:r>
      <w:r w:rsidRPr="005E5A1A">
        <w:rPr>
          <w:lang w:val="en-GB"/>
        </w:rPr>
        <w:t xml:space="preserve">responded by offering only antibiotic-free chicken and beef products, which created a large market for chickens raised without </w:t>
      </w:r>
      <w:r w:rsidR="00871831">
        <w:rPr>
          <w:lang w:val="en-GB"/>
        </w:rPr>
        <w:t>antibiotics</w:t>
      </w:r>
      <w:r w:rsidRPr="005E5A1A">
        <w:rPr>
          <w:lang w:val="en-GB"/>
        </w:rPr>
        <w:t>.</w:t>
      </w:r>
      <w:r w:rsidRPr="005E5A1A">
        <w:rPr>
          <w:rStyle w:val="EndnoteReference"/>
          <w:lang w:val="en-GB"/>
        </w:rPr>
        <w:endnoteReference w:id="18"/>
      </w:r>
      <w:r w:rsidRPr="005E5A1A">
        <w:rPr>
          <w:lang w:val="en-GB"/>
        </w:rPr>
        <w:t xml:space="preserve"> The practice of using only antibiotic-free poultry and beef was likely to become </w:t>
      </w:r>
      <w:r w:rsidR="00B42299">
        <w:rPr>
          <w:lang w:val="en-GB"/>
        </w:rPr>
        <w:t>the</w:t>
      </w:r>
      <w:r w:rsidRPr="005E5A1A">
        <w:rPr>
          <w:lang w:val="en-GB"/>
        </w:rPr>
        <w:t xml:space="preserve"> norm among restaurants wanting to maintain </w:t>
      </w:r>
      <w:r w:rsidR="00871831">
        <w:rPr>
          <w:lang w:val="en-GB"/>
        </w:rPr>
        <w:t xml:space="preserve">their </w:t>
      </w:r>
      <w:r w:rsidRPr="005E5A1A">
        <w:rPr>
          <w:lang w:val="en-GB"/>
        </w:rPr>
        <w:t xml:space="preserve">market share. This </w:t>
      </w:r>
      <w:r w:rsidR="00871831">
        <w:rPr>
          <w:lang w:val="en-GB"/>
        </w:rPr>
        <w:t xml:space="preserve">practice </w:t>
      </w:r>
      <w:r w:rsidRPr="005E5A1A">
        <w:rPr>
          <w:lang w:val="en-GB"/>
        </w:rPr>
        <w:t xml:space="preserve">could </w:t>
      </w:r>
      <w:r w:rsidR="00871831">
        <w:rPr>
          <w:lang w:val="en-GB"/>
        </w:rPr>
        <w:t>alter</w:t>
      </w:r>
      <w:r w:rsidR="00871831" w:rsidRPr="005E5A1A">
        <w:rPr>
          <w:lang w:val="en-GB"/>
        </w:rPr>
        <w:t xml:space="preserve"> </w:t>
      </w:r>
      <w:r w:rsidRPr="005E5A1A">
        <w:rPr>
          <w:lang w:val="en-GB"/>
        </w:rPr>
        <w:t xml:space="preserve">the supply chain model </w:t>
      </w:r>
      <w:r w:rsidR="007637D1">
        <w:rPr>
          <w:lang w:val="en-GB"/>
        </w:rPr>
        <w:t xml:space="preserve">by creating </w:t>
      </w:r>
      <w:r w:rsidRPr="005E5A1A">
        <w:rPr>
          <w:lang w:val="en-GB"/>
        </w:rPr>
        <w:t>a non-commodity</w:t>
      </w:r>
      <w:r w:rsidR="00871831">
        <w:rPr>
          <w:lang w:val="en-GB"/>
        </w:rPr>
        <w:t>-</w:t>
      </w:r>
      <w:r w:rsidRPr="005E5A1A">
        <w:rPr>
          <w:lang w:val="en-GB"/>
        </w:rPr>
        <w:t>like market</w:t>
      </w:r>
      <w:r w:rsidR="00871831">
        <w:rPr>
          <w:lang w:val="en-GB"/>
        </w:rPr>
        <w:t>,</w:t>
      </w:r>
      <w:r w:rsidRPr="005E5A1A">
        <w:rPr>
          <w:lang w:val="en-GB"/>
        </w:rPr>
        <w:t xml:space="preserve"> </w:t>
      </w:r>
      <w:r w:rsidR="00871831">
        <w:rPr>
          <w:lang w:val="en-GB"/>
        </w:rPr>
        <w:t>thereby revolutionizing not only</w:t>
      </w:r>
      <w:r w:rsidR="00871831" w:rsidRPr="005E5A1A">
        <w:rPr>
          <w:lang w:val="en-GB"/>
        </w:rPr>
        <w:t xml:space="preserve"> </w:t>
      </w:r>
      <w:r w:rsidRPr="005E5A1A">
        <w:rPr>
          <w:lang w:val="en-GB"/>
        </w:rPr>
        <w:t xml:space="preserve">specific aspects of the chicken supply chain </w:t>
      </w:r>
      <w:r w:rsidR="00871831">
        <w:rPr>
          <w:lang w:val="en-GB"/>
        </w:rPr>
        <w:t>but also</w:t>
      </w:r>
      <w:r w:rsidRPr="005E5A1A">
        <w:rPr>
          <w:lang w:val="en-GB"/>
        </w:rPr>
        <w:t xml:space="preserve"> the production capacity and the chicken products that were brought to market. </w:t>
      </w:r>
    </w:p>
    <w:p w14:paraId="64B8DDD2" w14:textId="77777777" w:rsidR="009D7CBE" w:rsidRPr="005E5A1A" w:rsidRDefault="009D7CBE" w:rsidP="0049593C">
      <w:pPr>
        <w:pStyle w:val="BodyTextMain"/>
        <w:rPr>
          <w:lang w:val="en-GB"/>
        </w:rPr>
      </w:pPr>
    </w:p>
    <w:p w14:paraId="2322AD56" w14:textId="77777777" w:rsidR="009D7CBE" w:rsidRPr="005E5A1A" w:rsidRDefault="009D7CBE" w:rsidP="0049593C">
      <w:pPr>
        <w:pStyle w:val="BodyTextMain"/>
        <w:rPr>
          <w:lang w:val="en-GB"/>
        </w:rPr>
      </w:pPr>
    </w:p>
    <w:p w14:paraId="0460933D" w14:textId="6507E4FF" w:rsidR="009D7CBE" w:rsidRPr="005E5A1A" w:rsidRDefault="009D7CBE" w:rsidP="005D3BF5">
      <w:pPr>
        <w:pStyle w:val="BodyTextMain"/>
        <w:outlineLvl w:val="0"/>
        <w:rPr>
          <w:rFonts w:ascii="Arial" w:hAnsi="Arial" w:cs="Arial"/>
          <w:b/>
          <w:sz w:val="20"/>
          <w:szCs w:val="20"/>
          <w:lang w:val="en-GB"/>
        </w:rPr>
      </w:pPr>
      <w:r w:rsidRPr="005E5A1A">
        <w:rPr>
          <w:rFonts w:ascii="Arial" w:hAnsi="Arial" w:cs="Arial"/>
          <w:b/>
          <w:sz w:val="20"/>
          <w:szCs w:val="20"/>
          <w:lang w:val="en-GB"/>
        </w:rPr>
        <w:t>HERITAGE CHICKENS</w:t>
      </w:r>
    </w:p>
    <w:p w14:paraId="07FD3A38" w14:textId="77777777" w:rsidR="009D7CBE" w:rsidRPr="005E5A1A" w:rsidRDefault="009D7CBE" w:rsidP="0021147C">
      <w:pPr>
        <w:pStyle w:val="BodyTextMain"/>
        <w:rPr>
          <w:lang w:val="en-GB"/>
        </w:rPr>
      </w:pPr>
    </w:p>
    <w:p w14:paraId="18AF2C85" w14:textId="18FB540C" w:rsidR="009D7CBE" w:rsidRPr="005E5A1A" w:rsidRDefault="009D7CBE" w:rsidP="0049593C">
      <w:pPr>
        <w:pStyle w:val="BodyTextMain"/>
        <w:rPr>
          <w:spacing w:val="-2"/>
          <w:kern w:val="22"/>
          <w:lang w:val="en-GB"/>
        </w:rPr>
      </w:pPr>
      <w:r w:rsidRPr="005E5A1A">
        <w:rPr>
          <w:spacing w:val="-2"/>
          <w:kern w:val="22"/>
          <w:lang w:val="en-GB"/>
        </w:rPr>
        <w:t xml:space="preserve">The Livestock Conservancy was a </w:t>
      </w:r>
      <w:r w:rsidR="00911825">
        <w:rPr>
          <w:spacing w:val="-2"/>
          <w:kern w:val="22"/>
          <w:lang w:val="en-GB"/>
        </w:rPr>
        <w:t xml:space="preserve">U.S. </w:t>
      </w:r>
      <w:r w:rsidRPr="005E5A1A">
        <w:rPr>
          <w:spacing w:val="-2"/>
          <w:kern w:val="22"/>
          <w:lang w:val="en-GB"/>
        </w:rPr>
        <w:t>non-profit agency with a mission “to protect endangered livestock and poultry breeds from extinction</w:t>
      </w:r>
      <w:r w:rsidR="006B64CF">
        <w:rPr>
          <w:spacing w:val="-2"/>
          <w:kern w:val="22"/>
          <w:lang w:val="en-GB"/>
        </w:rPr>
        <w:t>.</w:t>
      </w:r>
      <w:r w:rsidRPr="005E5A1A">
        <w:rPr>
          <w:spacing w:val="-2"/>
          <w:kern w:val="22"/>
          <w:lang w:val="en-GB"/>
        </w:rPr>
        <w:t>”</w:t>
      </w:r>
      <w:r w:rsidRPr="005E5A1A">
        <w:rPr>
          <w:spacing w:val="-2"/>
          <w:kern w:val="22"/>
          <w:vertAlign w:val="superscript"/>
          <w:lang w:val="en-GB"/>
        </w:rPr>
        <w:endnoteReference w:id="19"/>
      </w:r>
      <w:r w:rsidRPr="005E5A1A">
        <w:rPr>
          <w:spacing w:val="-2"/>
          <w:kern w:val="22"/>
          <w:lang w:val="en-GB"/>
        </w:rPr>
        <w:t xml:space="preserve"> </w:t>
      </w:r>
      <w:r w:rsidR="007922C0">
        <w:rPr>
          <w:spacing w:val="-2"/>
          <w:kern w:val="22"/>
          <w:lang w:val="en-GB"/>
        </w:rPr>
        <w:t>The Livestock Conservancy</w:t>
      </w:r>
      <w:r w:rsidRPr="005E5A1A">
        <w:rPr>
          <w:spacing w:val="-2"/>
          <w:kern w:val="22"/>
          <w:lang w:val="en-GB"/>
        </w:rPr>
        <w:t xml:space="preserve"> defined the </w:t>
      </w:r>
      <w:r w:rsidR="007637D1">
        <w:rPr>
          <w:spacing w:val="-2"/>
          <w:kern w:val="22"/>
          <w:lang w:val="en-GB"/>
        </w:rPr>
        <w:t xml:space="preserve">unique characteristics of </w:t>
      </w:r>
      <w:r w:rsidR="007922C0">
        <w:rPr>
          <w:spacing w:val="-2"/>
          <w:kern w:val="22"/>
          <w:lang w:val="en-GB"/>
        </w:rPr>
        <w:t>h</w:t>
      </w:r>
      <w:r w:rsidRPr="005E5A1A">
        <w:rPr>
          <w:spacing w:val="-2"/>
          <w:kern w:val="22"/>
          <w:lang w:val="en-GB"/>
        </w:rPr>
        <w:t xml:space="preserve">eritage </w:t>
      </w:r>
      <w:r w:rsidR="007922C0">
        <w:rPr>
          <w:spacing w:val="-2"/>
          <w:kern w:val="22"/>
          <w:lang w:val="en-GB"/>
        </w:rPr>
        <w:t>c</w:t>
      </w:r>
      <w:r w:rsidRPr="005E5A1A">
        <w:rPr>
          <w:spacing w:val="-2"/>
          <w:kern w:val="22"/>
          <w:lang w:val="en-GB"/>
        </w:rPr>
        <w:t>hicken</w:t>
      </w:r>
      <w:r w:rsidR="00B42299">
        <w:rPr>
          <w:spacing w:val="-2"/>
          <w:kern w:val="22"/>
          <w:lang w:val="en-GB"/>
        </w:rPr>
        <w:t>s</w:t>
      </w:r>
      <w:r w:rsidRPr="005E5A1A">
        <w:rPr>
          <w:spacing w:val="-2"/>
          <w:kern w:val="22"/>
          <w:lang w:val="en-GB"/>
        </w:rPr>
        <w:t xml:space="preserve"> as</w:t>
      </w:r>
      <w:r w:rsidR="007922C0">
        <w:rPr>
          <w:spacing w:val="-2"/>
          <w:kern w:val="22"/>
          <w:lang w:val="en-GB"/>
        </w:rPr>
        <w:t xml:space="preserve"> follows</w:t>
      </w:r>
      <w:r w:rsidRPr="005E5A1A">
        <w:rPr>
          <w:spacing w:val="-2"/>
          <w:kern w:val="22"/>
          <w:lang w:val="en-GB"/>
        </w:rPr>
        <w:t xml:space="preserve">: </w:t>
      </w:r>
    </w:p>
    <w:p w14:paraId="134BAA4F" w14:textId="77777777" w:rsidR="009D7CBE" w:rsidRPr="005E5A1A" w:rsidRDefault="009D7CBE" w:rsidP="0049593C">
      <w:pPr>
        <w:pStyle w:val="BodyTextMain"/>
        <w:rPr>
          <w:spacing w:val="-2"/>
          <w:kern w:val="22"/>
          <w:lang w:val="en-GB"/>
        </w:rPr>
      </w:pPr>
    </w:p>
    <w:p w14:paraId="58D150D2" w14:textId="5D13510F" w:rsidR="009D7CBE" w:rsidRPr="005E5A1A" w:rsidRDefault="00B42299" w:rsidP="00AB7485">
      <w:pPr>
        <w:pStyle w:val="BodyTextMain"/>
        <w:numPr>
          <w:ilvl w:val="0"/>
          <w:numId w:val="29"/>
        </w:numPr>
        <w:rPr>
          <w:color w:val="111111"/>
          <w:spacing w:val="-2"/>
          <w:kern w:val="22"/>
          <w:lang w:val="en-GB" w:eastAsia="en-CA"/>
        </w:rPr>
      </w:pPr>
      <w:r>
        <w:rPr>
          <w:bCs/>
          <w:i/>
          <w:color w:val="111111"/>
          <w:spacing w:val="-2"/>
          <w:kern w:val="22"/>
          <w:lang w:val="en-GB" w:eastAsia="en-CA"/>
        </w:rPr>
        <w:t>American Poultry Association (</w:t>
      </w:r>
      <w:r w:rsidR="009D7CBE" w:rsidRPr="005E5A1A">
        <w:rPr>
          <w:bCs/>
          <w:i/>
          <w:color w:val="111111"/>
          <w:spacing w:val="-2"/>
          <w:kern w:val="22"/>
          <w:lang w:val="en-GB" w:eastAsia="en-CA"/>
        </w:rPr>
        <w:t>APA</w:t>
      </w:r>
      <w:r>
        <w:rPr>
          <w:bCs/>
          <w:i/>
          <w:color w:val="111111"/>
          <w:spacing w:val="-2"/>
          <w:kern w:val="22"/>
          <w:lang w:val="en-GB" w:eastAsia="en-CA"/>
        </w:rPr>
        <w:t>)</w:t>
      </w:r>
      <w:r w:rsidR="009D7CBE" w:rsidRPr="005E5A1A">
        <w:rPr>
          <w:bCs/>
          <w:i/>
          <w:color w:val="111111"/>
          <w:spacing w:val="-2"/>
          <w:kern w:val="22"/>
          <w:lang w:val="en-GB" w:eastAsia="en-CA"/>
        </w:rPr>
        <w:t xml:space="preserve"> </w:t>
      </w:r>
      <w:r w:rsidR="00013D4E">
        <w:rPr>
          <w:bCs/>
          <w:i/>
          <w:color w:val="111111"/>
          <w:spacing w:val="-2"/>
          <w:kern w:val="22"/>
          <w:lang w:val="en-GB" w:eastAsia="en-CA"/>
        </w:rPr>
        <w:t>s</w:t>
      </w:r>
      <w:r w:rsidR="009D7CBE" w:rsidRPr="005E5A1A">
        <w:rPr>
          <w:bCs/>
          <w:i/>
          <w:color w:val="111111"/>
          <w:spacing w:val="-2"/>
          <w:kern w:val="22"/>
          <w:lang w:val="en-GB" w:eastAsia="en-CA"/>
        </w:rPr>
        <w:t xml:space="preserve">tandard </w:t>
      </w:r>
      <w:r w:rsidR="00013D4E">
        <w:rPr>
          <w:bCs/>
          <w:i/>
          <w:color w:val="111111"/>
          <w:spacing w:val="-2"/>
          <w:kern w:val="22"/>
          <w:lang w:val="en-GB" w:eastAsia="en-CA"/>
        </w:rPr>
        <w:t>b</w:t>
      </w:r>
      <w:r w:rsidR="009D7CBE" w:rsidRPr="005E5A1A">
        <w:rPr>
          <w:bCs/>
          <w:i/>
          <w:color w:val="111111"/>
          <w:spacing w:val="-2"/>
          <w:kern w:val="22"/>
          <w:lang w:val="en-GB" w:eastAsia="en-CA"/>
        </w:rPr>
        <w:t>reed</w:t>
      </w:r>
      <w:r w:rsidR="009D7CBE" w:rsidRPr="005E5A1A">
        <w:rPr>
          <w:color w:val="111111"/>
          <w:spacing w:val="-2"/>
          <w:kern w:val="22"/>
          <w:lang w:val="en-GB" w:eastAsia="en-CA"/>
        </w:rPr>
        <w:t xml:space="preserve">: A </w:t>
      </w:r>
      <w:r w:rsidR="00AF4790">
        <w:rPr>
          <w:color w:val="111111"/>
          <w:spacing w:val="-2"/>
          <w:kern w:val="22"/>
          <w:lang w:val="en-GB" w:eastAsia="en-CA"/>
        </w:rPr>
        <w:t>h</w:t>
      </w:r>
      <w:r w:rsidR="009D7CBE" w:rsidRPr="005E5A1A">
        <w:rPr>
          <w:color w:val="111111"/>
          <w:spacing w:val="-2"/>
          <w:kern w:val="22"/>
          <w:lang w:val="en-GB" w:eastAsia="en-CA"/>
        </w:rPr>
        <w:t xml:space="preserve">eritage </w:t>
      </w:r>
      <w:r w:rsidR="00AF4790">
        <w:rPr>
          <w:color w:val="111111"/>
          <w:spacing w:val="-2"/>
          <w:kern w:val="22"/>
          <w:lang w:val="en-GB" w:eastAsia="en-CA"/>
        </w:rPr>
        <w:t>c</w:t>
      </w:r>
      <w:r w:rsidR="009D7CBE" w:rsidRPr="005E5A1A">
        <w:rPr>
          <w:color w:val="111111"/>
          <w:spacing w:val="-2"/>
          <w:kern w:val="22"/>
          <w:lang w:val="en-GB" w:eastAsia="en-CA"/>
        </w:rPr>
        <w:t xml:space="preserve">hicken must be from </w:t>
      </w:r>
      <w:r w:rsidR="00AF4790">
        <w:rPr>
          <w:color w:val="111111"/>
          <w:spacing w:val="-2"/>
          <w:kern w:val="22"/>
          <w:lang w:val="en-GB" w:eastAsia="en-CA"/>
        </w:rPr>
        <w:t xml:space="preserve">the </w:t>
      </w:r>
      <w:r w:rsidR="009D7CBE" w:rsidRPr="005E5A1A">
        <w:rPr>
          <w:color w:val="111111"/>
          <w:spacing w:val="-2"/>
          <w:kern w:val="22"/>
          <w:lang w:val="en-GB" w:eastAsia="en-CA"/>
        </w:rPr>
        <w:t xml:space="preserve">parent and grandparent stock of breeds recognized by APA prior to the mid-20th century, whose genetic line </w:t>
      </w:r>
      <w:r>
        <w:rPr>
          <w:color w:val="111111"/>
          <w:spacing w:val="-2"/>
          <w:kern w:val="22"/>
          <w:lang w:val="en-GB" w:eastAsia="en-CA"/>
        </w:rPr>
        <w:t xml:space="preserve">could </w:t>
      </w:r>
      <w:r w:rsidR="009D7CBE" w:rsidRPr="005E5A1A">
        <w:rPr>
          <w:color w:val="111111"/>
          <w:spacing w:val="-2"/>
          <w:kern w:val="22"/>
          <w:lang w:val="en-GB" w:eastAsia="en-CA"/>
        </w:rPr>
        <w:t>be traced back multiple generations, and with traits that me</w:t>
      </w:r>
      <w:r>
        <w:rPr>
          <w:color w:val="111111"/>
          <w:spacing w:val="-2"/>
          <w:kern w:val="22"/>
          <w:lang w:val="en-GB" w:eastAsia="en-CA"/>
        </w:rPr>
        <w:t>t</w:t>
      </w:r>
      <w:r w:rsidR="009D7CBE" w:rsidRPr="005E5A1A">
        <w:rPr>
          <w:color w:val="111111"/>
          <w:spacing w:val="-2"/>
          <w:kern w:val="22"/>
          <w:lang w:val="en-GB" w:eastAsia="en-CA"/>
        </w:rPr>
        <w:t xml:space="preserve"> the APA Standard of Perfection guidelines for the breed.</w:t>
      </w:r>
    </w:p>
    <w:p w14:paraId="71166400" w14:textId="56492A56" w:rsidR="009D7CBE" w:rsidRPr="005E5A1A" w:rsidRDefault="009D7CBE" w:rsidP="00AB7485">
      <w:pPr>
        <w:pStyle w:val="BodyTextMain"/>
        <w:numPr>
          <w:ilvl w:val="0"/>
          <w:numId w:val="29"/>
        </w:numPr>
        <w:rPr>
          <w:color w:val="111111"/>
          <w:spacing w:val="-2"/>
          <w:kern w:val="22"/>
          <w:lang w:val="en-GB" w:eastAsia="en-CA"/>
        </w:rPr>
      </w:pPr>
      <w:r w:rsidRPr="005E5A1A">
        <w:rPr>
          <w:bCs/>
          <w:i/>
          <w:color w:val="111111"/>
          <w:spacing w:val="-2"/>
          <w:kern w:val="22"/>
          <w:lang w:val="en-GB" w:eastAsia="en-CA"/>
        </w:rPr>
        <w:t>Naturally mating</w:t>
      </w:r>
      <w:r w:rsidRPr="005E5A1A">
        <w:rPr>
          <w:color w:val="111111"/>
          <w:spacing w:val="-2"/>
          <w:kern w:val="22"/>
          <w:lang w:val="en-GB" w:eastAsia="en-CA"/>
        </w:rPr>
        <w:t xml:space="preserve">: Heritage </w:t>
      </w:r>
      <w:r w:rsidR="00AF4790">
        <w:rPr>
          <w:color w:val="111111"/>
          <w:spacing w:val="-2"/>
          <w:kern w:val="22"/>
          <w:lang w:val="en-GB" w:eastAsia="en-CA"/>
        </w:rPr>
        <w:t>c</w:t>
      </w:r>
      <w:r w:rsidRPr="005E5A1A">
        <w:rPr>
          <w:color w:val="111111"/>
          <w:spacing w:val="-2"/>
          <w:kern w:val="22"/>
          <w:lang w:val="en-GB" w:eastAsia="en-CA"/>
        </w:rPr>
        <w:t>hicken</w:t>
      </w:r>
      <w:r w:rsidR="00060F6A">
        <w:rPr>
          <w:color w:val="111111"/>
          <w:spacing w:val="-2"/>
          <w:kern w:val="22"/>
          <w:lang w:val="en-GB" w:eastAsia="en-CA"/>
        </w:rPr>
        <w:t>s</w:t>
      </w:r>
      <w:r w:rsidRPr="005E5A1A">
        <w:rPr>
          <w:color w:val="111111"/>
          <w:spacing w:val="-2"/>
          <w:kern w:val="22"/>
          <w:lang w:val="en-GB" w:eastAsia="en-CA"/>
        </w:rPr>
        <w:t xml:space="preserve"> </w:t>
      </w:r>
      <w:r w:rsidR="00060F6A">
        <w:rPr>
          <w:color w:val="111111"/>
          <w:spacing w:val="-2"/>
          <w:kern w:val="22"/>
          <w:lang w:val="en-GB" w:eastAsia="en-CA"/>
        </w:rPr>
        <w:t>had to</w:t>
      </w:r>
      <w:r w:rsidRPr="005E5A1A">
        <w:rPr>
          <w:color w:val="111111"/>
          <w:spacing w:val="-2"/>
          <w:kern w:val="22"/>
          <w:lang w:val="en-GB" w:eastAsia="en-CA"/>
        </w:rPr>
        <w:t xml:space="preserve"> be reproduced and genetically maintained through natural mating (as opposed to artificial insemination).</w:t>
      </w:r>
    </w:p>
    <w:p w14:paraId="03073A6E" w14:textId="37FA40C8" w:rsidR="009D7CBE" w:rsidRPr="005E5A1A" w:rsidRDefault="009D7CBE" w:rsidP="00AB7485">
      <w:pPr>
        <w:pStyle w:val="BodyTextMain"/>
        <w:numPr>
          <w:ilvl w:val="0"/>
          <w:numId w:val="29"/>
        </w:numPr>
        <w:rPr>
          <w:color w:val="111111"/>
          <w:spacing w:val="-2"/>
          <w:kern w:val="22"/>
          <w:lang w:val="en-GB" w:eastAsia="en-CA"/>
        </w:rPr>
      </w:pPr>
      <w:r w:rsidRPr="005E5A1A">
        <w:rPr>
          <w:bCs/>
          <w:i/>
          <w:color w:val="111111"/>
          <w:spacing w:val="-2"/>
          <w:kern w:val="22"/>
          <w:lang w:val="en-GB" w:eastAsia="en-CA"/>
        </w:rPr>
        <w:t>Long, productive outdoor lifespan</w:t>
      </w:r>
      <w:r w:rsidRPr="005E5A1A">
        <w:rPr>
          <w:color w:val="111111"/>
          <w:spacing w:val="-2"/>
          <w:kern w:val="22"/>
          <w:lang w:val="en-GB" w:eastAsia="en-CA"/>
        </w:rPr>
        <w:t xml:space="preserve">: Heritage </w:t>
      </w:r>
      <w:r w:rsidR="00AF4790">
        <w:rPr>
          <w:color w:val="111111"/>
          <w:spacing w:val="-2"/>
          <w:kern w:val="22"/>
          <w:lang w:val="en-GB" w:eastAsia="en-CA"/>
        </w:rPr>
        <w:t>c</w:t>
      </w:r>
      <w:r w:rsidRPr="005E5A1A">
        <w:rPr>
          <w:color w:val="111111"/>
          <w:spacing w:val="-2"/>
          <w:kern w:val="22"/>
          <w:lang w:val="en-GB" w:eastAsia="en-CA"/>
        </w:rPr>
        <w:t>hicken</w:t>
      </w:r>
      <w:r w:rsidR="00060F6A">
        <w:rPr>
          <w:color w:val="111111"/>
          <w:spacing w:val="-2"/>
          <w:kern w:val="22"/>
          <w:lang w:val="en-GB" w:eastAsia="en-CA"/>
        </w:rPr>
        <w:t xml:space="preserve">s had to </w:t>
      </w:r>
      <w:r w:rsidRPr="005E5A1A">
        <w:rPr>
          <w:color w:val="111111"/>
          <w:spacing w:val="-2"/>
          <w:kern w:val="22"/>
          <w:lang w:val="en-GB" w:eastAsia="en-CA"/>
        </w:rPr>
        <w:t>have the genetic ability to live a long, vigorous life and thrive in the rigo</w:t>
      </w:r>
      <w:r w:rsidR="00AF4790">
        <w:rPr>
          <w:color w:val="111111"/>
          <w:spacing w:val="-2"/>
          <w:kern w:val="22"/>
          <w:lang w:val="en-GB" w:eastAsia="en-CA"/>
        </w:rPr>
        <w:t>u</w:t>
      </w:r>
      <w:r w:rsidRPr="005E5A1A">
        <w:rPr>
          <w:color w:val="111111"/>
          <w:spacing w:val="-2"/>
          <w:kern w:val="22"/>
          <w:lang w:val="en-GB" w:eastAsia="en-CA"/>
        </w:rPr>
        <w:t xml:space="preserve">rs of pasture-based, outdoor production systems. Breeding hens should be productive for </w:t>
      </w:r>
      <w:r w:rsidR="00AF4790">
        <w:rPr>
          <w:color w:val="111111"/>
          <w:spacing w:val="-2"/>
          <w:kern w:val="22"/>
          <w:lang w:val="en-GB" w:eastAsia="en-CA"/>
        </w:rPr>
        <w:t>five to seven</w:t>
      </w:r>
      <w:r w:rsidRPr="005E5A1A">
        <w:rPr>
          <w:color w:val="111111"/>
          <w:spacing w:val="-2"/>
          <w:kern w:val="22"/>
          <w:lang w:val="en-GB" w:eastAsia="en-CA"/>
        </w:rPr>
        <w:t xml:space="preserve"> years and roosters for </w:t>
      </w:r>
      <w:r w:rsidR="00AF4790">
        <w:rPr>
          <w:color w:val="111111"/>
          <w:spacing w:val="-2"/>
          <w:kern w:val="22"/>
          <w:lang w:val="en-GB" w:eastAsia="en-CA"/>
        </w:rPr>
        <w:t>three to five</w:t>
      </w:r>
      <w:r w:rsidRPr="005E5A1A">
        <w:rPr>
          <w:color w:val="111111"/>
          <w:spacing w:val="-2"/>
          <w:kern w:val="22"/>
          <w:lang w:val="en-GB" w:eastAsia="en-CA"/>
        </w:rPr>
        <w:t xml:space="preserve"> years.</w:t>
      </w:r>
    </w:p>
    <w:p w14:paraId="47594D20" w14:textId="3B126D24" w:rsidR="009D7CBE" w:rsidRPr="005E5A1A" w:rsidRDefault="009D7CBE" w:rsidP="00AB7485">
      <w:pPr>
        <w:pStyle w:val="BodyTextMain"/>
        <w:numPr>
          <w:ilvl w:val="0"/>
          <w:numId w:val="29"/>
        </w:numPr>
        <w:rPr>
          <w:color w:val="111111"/>
          <w:spacing w:val="-2"/>
          <w:kern w:val="22"/>
          <w:lang w:val="en-GB" w:eastAsia="en-CA"/>
        </w:rPr>
      </w:pPr>
      <w:r w:rsidRPr="005E5A1A">
        <w:rPr>
          <w:bCs/>
          <w:i/>
          <w:color w:val="111111"/>
          <w:spacing w:val="-2"/>
          <w:kern w:val="22"/>
          <w:lang w:val="en-GB" w:eastAsia="en-CA"/>
        </w:rPr>
        <w:t>Slow growth rate</w:t>
      </w:r>
      <w:r w:rsidRPr="005E5A1A">
        <w:rPr>
          <w:color w:val="111111"/>
          <w:spacing w:val="-2"/>
          <w:kern w:val="22"/>
          <w:lang w:val="en-GB" w:eastAsia="en-CA"/>
        </w:rPr>
        <w:t xml:space="preserve">: Heritage </w:t>
      </w:r>
      <w:r w:rsidR="00AF4790">
        <w:rPr>
          <w:color w:val="111111"/>
          <w:spacing w:val="-2"/>
          <w:kern w:val="22"/>
          <w:lang w:val="en-GB" w:eastAsia="en-CA"/>
        </w:rPr>
        <w:t>c</w:t>
      </w:r>
      <w:r w:rsidRPr="005E5A1A">
        <w:rPr>
          <w:color w:val="111111"/>
          <w:spacing w:val="-2"/>
          <w:kern w:val="22"/>
          <w:lang w:val="en-GB" w:eastAsia="en-CA"/>
        </w:rPr>
        <w:t>hicken</w:t>
      </w:r>
      <w:r w:rsidR="0074620E">
        <w:rPr>
          <w:color w:val="111111"/>
          <w:spacing w:val="-2"/>
          <w:kern w:val="22"/>
          <w:lang w:val="en-GB" w:eastAsia="en-CA"/>
        </w:rPr>
        <w:t>s</w:t>
      </w:r>
      <w:r w:rsidRPr="005E5A1A">
        <w:rPr>
          <w:color w:val="111111"/>
          <w:spacing w:val="-2"/>
          <w:kern w:val="22"/>
          <w:lang w:val="en-GB" w:eastAsia="en-CA"/>
        </w:rPr>
        <w:t xml:space="preserve"> </w:t>
      </w:r>
      <w:r w:rsidR="0074620E">
        <w:rPr>
          <w:color w:val="111111"/>
          <w:spacing w:val="-2"/>
          <w:kern w:val="22"/>
          <w:lang w:val="en-GB" w:eastAsia="en-CA"/>
        </w:rPr>
        <w:t>had to</w:t>
      </w:r>
      <w:r w:rsidRPr="005E5A1A">
        <w:rPr>
          <w:color w:val="111111"/>
          <w:spacing w:val="-2"/>
          <w:kern w:val="22"/>
          <w:lang w:val="en-GB" w:eastAsia="en-CA"/>
        </w:rPr>
        <w:t xml:space="preserve"> have a moderate to slow rate of growth, reaching </w:t>
      </w:r>
      <w:r w:rsidR="00013D4E">
        <w:rPr>
          <w:color w:val="111111"/>
          <w:spacing w:val="-2"/>
          <w:kern w:val="22"/>
          <w:lang w:val="en-GB" w:eastAsia="en-CA"/>
        </w:rPr>
        <w:t xml:space="preserve">the </w:t>
      </w:r>
      <w:r w:rsidRPr="005E5A1A">
        <w:rPr>
          <w:color w:val="111111"/>
          <w:spacing w:val="-2"/>
          <w:kern w:val="22"/>
          <w:lang w:val="en-GB" w:eastAsia="en-CA"/>
        </w:rPr>
        <w:t xml:space="preserve">appropriate market weight for the breed in no less than 16 weeks. This </w:t>
      </w:r>
      <w:r w:rsidR="00AF4790">
        <w:rPr>
          <w:color w:val="111111"/>
          <w:spacing w:val="-2"/>
          <w:kern w:val="22"/>
          <w:lang w:val="en-GB" w:eastAsia="en-CA"/>
        </w:rPr>
        <w:t xml:space="preserve">slower growth rate </w:t>
      </w:r>
      <w:r w:rsidR="0074620E">
        <w:rPr>
          <w:color w:val="111111"/>
          <w:spacing w:val="-2"/>
          <w:kern w:val="22"/>
          <w:lang w:val="en-GB" w:eastAsia="en-CA"/>
        </w:rPr>
        <w:t>gave</w:t>
      </w:r>
      <w:r w:rsidRPr="005E5A1A">
        <w:rPr>
          <w:color w:val="111111"/>
          <w:spacing w:val="-2"/>
          <w:kern w:val="22"/>
          <w:lang w:val="en-GB" w:eastAsia="en-CA"/>
        </w:rPr>
        <w:t xml:space="preserve"> the chicken time to develop strong skeletal structure and healthy organs prior to building muscle mass.</w:t>
      </w:r>
    </w:p>
    <w:p w14:paraId="47F0A330" w14:textId="77777777" w:rsidR="009D7CBE" w:rsidRPr="005E5A1A" w:rsidRDefault="009D7CBE" w:rsidP="00AB7485">
      <w:pPr>
        <w:pStyle w:val="BodyTextMain"/>
        <w:rPr>
          <w:spacing w:val="-2"/>
          <w:kern w:val="22"/>
          <w:lang w:val="en-GB"/>
        </w:rPr>
      </w:pPr>
    </w:p>
    <w:p w14:paraId="75B13BC1" w14:textId="17F58992" w:rsidR="009D7CBE" w:rsidRPr="005E5A1A" w:rsidRDefault="009D7CBE" w:rsidP="00AB7485">
      <w:pPr>
        <w:pStyle w:val="BodyTextMain"/>
        <w:rPr>
          <w:spacing w:val="-2"/>
          <w:kern w:val="22"/>
          <w:lang w:val="en-GB"/>
        </w:rPr>
      </w:pPr>
      <w:r w:rsidRPr="005E5A1A">
        <w:rPr>
          <w:spacing w:val="-2"/>
          <w:kern w:val="22"/>
          <w:lang w:val="en-GB"/>
        </w:rPr>
        <w:t xml:space="preserve">Heritage chicken breeds </w:t>
      </w:r>
      <w:r w:rsidR="00AF4790">
        <w:rPr>
          <w:spacing w:val="-2"/>
          <w:kern w:val="22"/>
          <w:lang w:val="en-GB"/>
        </w:rPr>
        <w:t>differed markedly from</w:t>
      </w:r>
      <w:r w:rsidR="00AF4790" w:rsidRPr="005E5A1A">
        <w:rPr>
          <w:spacing w:val="-2"/>
          <w:kern w:val="22"/>
          <w:lang w:val="en-GB"/>
        </w:rPr>
        <w:t xml:space="preserve"> </w:t>
      </w:r>
      <w:r w:rsidRPr="005E5A1A">
        <w:rPr>
          <w:spacing w:val="-2"/>
          <w:kern w:val="22"/>
          <w:lang w:val="en-GB"/>
        </w:rPr>
        <w:t xml:space="preserve">commercial chickens. Commercial lines </w:t>
      </w:r>
      <w:r w:rsidR="00AF4790">
        <w:rPr>
          <w:spacing w:val="-2"/>
          <w:kern w:val="22"/>
          <w:lang w:val="en-GB"/>
        </w:rPr>
        <w:t>were</w:t>
      </w:r>
      <w:r w:rsidRPr="005E5A1A">
        <w:rPr>
          <w:spacing w:val="-2"/>
          <w:kern w:val="22"/>
          <w:lang w:val="en-GB"/>
        </w:rPr>
        <w:t xml:space="preserve"> relatively uniform</w:t>
      </w:r>
      <w:r w:rsidR="00AF4790">
        <w:rPr>
          <w:spacing w:val="-2"/>
          <w:kern w:val="22"/>
          <w:lang w:val="en-GB"/>
        </w:rPr>
        <w:t xml:space="preserve"> in terms of their</w:t>
      </w:r>
      <w:r w:rsidRPr="005E5A1A">
        <w:rPr>
          <w:spacing w:val="-2"/>
          <w:kern w:val="22"/>
          <w:lang w:val="en-GB"/>
        </w:rPr>
        <w:t xml:space="preserve"> look and genetic profile. They were hybrids of different breeds that were chosen to cross-breed in </w:t>
      </w:r>
      <w:r w:rsidR="00AF4790">
        <w:rPr>
          <w:spacing w:val="-2"/>
          <w:kern w:val="22"/>
          <w:lang w:val="en-GB"/>
        </w:rPr>
        <w:t>an effort</w:t>
      </w:r>
      <w:r w:rsidR="00AF4790" w:rsidRPr="005E5A1A">
        <w:rPr>
          <w:spacing w:val="-2"/>
          <w:kern w:val="22"/>
          <w:lang w:val="en-GB"/>
        </w:rPr>
        <w:t xml:space="preserve"> </w:t>
      </w:r>
      <w:r w:rsidRPr="005E5A1A">
        <w:rPr>
          <w:spacing w:val="-2"/>
          <w:kern w:val="22"/>
          <w:lang w:val="en-GB"/>
        </w:rPr>
        <w:t>to amplify the most desirable commercial traits (</w:t>
      </w:r>
      <w:r w:rsidR="00AF4790">
        <w:rPr>
          <w:spacing w:val="-2"/>
          <w:kern w:val="22"/>
          <w:lang w:val="en-GB"/>
        </w:rPr>
        <w:t xml:space="preserve">e.g., </w:t>
      </w:r>
      <w:r w:rsidRPr="005E5A1A">
        <w:rPr>
          <w:spacing w:val="-2"/>
          <w:kern w:val="22"/>
          <w:lang w:val="en-GB"/>
        </w:rPr>
        <w:t>egg production</w:t>
      </w:r>
      <w:r w:rsidR="00AF4790">
        <w:rPr>
          <w:spacing w:val="-2"/>
          <w:kern w:val="22"/>
          <w:lang w:val="en-GB"/>
        </w:rPr>
        <w:t xml:space="preserve"> and</w:t>
      </w:r>
      <w:r w:rsidRPr="005E5A1A">
        <w:rPr>
          <w:spacing w:val="-2"/>
          <w:kern w:val="22"/>
          <w:lang w:val="en-GB"/>
        </w:rPr>
        <w:t xml:space="preserve"> growth rate). They </w:t>
      </w:r>
      <w:r w:rsidR="00AF4790">
        <w:rPr>
          <w:spacing w:val="-2"/>
          <w:kern w:val="22"/>
          <w:lang w:val="en-GB"/>
        </w:rPr>
        <w:t>did</w:t>
      </w:r>
      <w:r w:rsidR="00AF4790" w:rsidRPr="005E5A1A">
        <w:rPr>
          <w:spacing w:val="-2"/>
          <w:kern w:val="22"/>
          <w:lang w:val="en-GB"/>
        </w:rPr>
        <w:t xml:space="preserve"> </w:t>
      </w:r>
      <w:r w:rsidRPr="005E5A1A">
        <w:rPr>
          <w:spacing w:val="-2"/>
          <w:kern w:val="22"/>
          <w:lang w:val="en-GB"/>
        </w:rPr>
        <w:t xml:space="preserve">not </w:t>
      </w:r>
      <w:r w:rsidR="00013D4E" w:rsidRPr="005E5A1A">
        <w:rPr>
          <w:spacing w:val="-2"/>
          <w:kern w:val="22"/>
          <w:lang w:val="en-GB"/>
        </w:rPr>
        <w:t>mat</w:t>
      </w:r>
      <w:r w:rsidR="00013D4E">
        <w:rPr>
          <w:spacing w:val="-2"/>
          <w:kern w:val="22"/>
          <w:lang w:val="en-GB"/>
        </w:rPr>
        <w:t>e</w:t>
      </w:r>
      <w:r w:rsidR="00013D4E" w:rsidRPr="005E5A1A">
        <w:rPr>
          <w:spacing w:val="-2"/>
          <w:kern w:val="22"/>
          <w:lang w:val="en-GB"/>
        </w:rPr>
        <w:t xml:space="preserve"> </w:t>
      </w:r>
      <w:r w:rsidRPr="005E5A1A">
        <w:rPr>
          <w:spacing w:val="-2"/>
          <w:kern w:val="22"/>
          <w:lang w:val="en-GB"/>
        </w:rPr>
        <w:t xml:space="preserve">naturally and grew primarily in indoor, high-volume facilities. </w:t>
      </w:r>
    </w:p>
    <w:p w14:paraId="2B4E5AB8" w14:textId="77777777" w:rsidR="009D7CBE" w:rsidRPr="005E5A1A" w:rsidRDefault="009D7CBE" w:rsidP="0049593C">
      <w:pPr>
        <w:pStyle w:val="BodyTextMain"/>
        <w:rPr>
          <w:spacing w:val="-2"/>
          <w:kern w:val="22"/>
          <w:lang w:val="en-GB"/>
        </w:rPr>
      </w:pPr>
    </w:p>
    <w:p w14:paraId="77FB0534" w14:textId="3796AA16" w:rsidR="009D7CBE" w:rsidRPr="005E5A1A" w:rsidRDefault="009D7CBE" w:rsidP="0049593C">
      <w:pPr>
        <w:pStyle w:val="BodyTextMain"/>
        <w:rPr>
          <w:spacing w:val="-2"/>
          <w:kern w:val="22"/>
          <w:lang w:val="en-GB"/>
        </w:rPr>
      </w:pPr>
      <w:r w:rsidRPr="005E5A1A">
        <w:rPr>
          <w:spacing w:val="-2"/>
          <w:kern w:val="22"/>
          <w:lang w:val="en-GB"/>
        </w:rPr>
        <w:t>Heritage chickens were important because they represent</w:t>
      </w:r>
      <w:r w:rsidR="00AF4790">
        <w:rPr>
          <w:spacing w:val="-2"/>
          <w:kern w:val="22"/>
          <w:lang w:val="en-GB"/>
        </w:rPr>
        <w:t>ed</w:t>
      </w:r>
      <w:r w:rsidRPr="005E5A1A">
        <w:rPr>
          <w:spacing w:val="-2"/>
          <w:kern w:val="22"/>
          <w:lang w:val="en-GB"/>
        </w:rPr>
        <w:t xml:space="preserve"> a wide range of genetic diversity and different characteristics. Commercial lines had lost </w:t>
      </w:r>
      <w:r w:rsidR="00AF4790">
        <w:rPr>
          <w:spacing w:val="-2"/>
          <w:kern w:val="22"/>
          <w:lang w:val="en-GB"/>
        </w:rPr>
        <w:t>approximately</w:t>
      </w:r>
      <w:r w:rsidR="00AF4790" w:rsidRPr="005E5A1A">
        <w:rPr>
          <w:spacing w:val="-2"/>
          <w:kern w:val="22"/>
          <w:lang w:val="en-GB"/>
        </w:rPr>
        <w:t xml:space="preserve"> </w:t>
      </w:r>
      <w:r w:rsidRPr="005E5A1A">
        <w:rPr>
          <w:spacing w:val="-2"/>
          <w:kern w:val="22"/>
          <w:lang w:val="en-GB"/>
        </w:rPr>
        <w:t>50</w:t>
      </w:r>
      <w:r w:rsidR="00AF4790">
        <w:rPr>
          <w:spacing w:val="-2"/>
          <w:kern w:val="22"/>
          <w:lang w:val="en-GB"/>
        </w:rPr>
        <w:t xml:space="preserve"> per cent</w:t>
      </w:r>
      <w:r w:rsidRPr="005E5A1A">
        <w:rPr>
          <w:spacing w:val="-2"/>
          <w:kern w:val="22"/>
          <w:lang w:val="en-GB"/>
        </w:rPr>
        <w:t xml:space="preserve"> of their genetic diversity, which limited their ability to adapt to changing conditions.</w:t>
      </w:r>
      <w:r w:rsidRPr="005E5A1A">
        <w:rPr>
          <w:rStyle w:val="EndnoteReference"/>
          <w:spacing w:val="-2"/>
          <w:kern w:val="22"/>
          <w:lang w:val="en-GB"/>
        </w:rPr>
        <w:endnoteReference w:id="20"/>
      </w:r>
      <w:r w:rsidRPr="005E5A1A">
        <w:rPr>
          <w:spacing w:val="-2"/>
          <w:kern w:val="22"/>
          <w:lang w:val="en-GB"/>
        </w:rPr>
        <w:t xml:space="preserve"> </w:t>
      </w:r>
      <w:r w:rsidR="00AF4790">
        <w:rPr>
          <w:spacing w:val="-2"/>
          <w:kern w:val="22"/>
          <w:lang w:val="en-GB"/>
        </w:rPr>
        <w:t>More than</w:t>
      </w:r>
      <w:r w:rsidR="00AF4790" w:rsidRPr="005E5A1A">
        <w:rPr>
          <w:spacing w:val="-2"/>
          <w:kern w:val="22"/>
          <w:lang w:val="en-GB"/>
        </w:rPr>
        <w:t xml:space="preserve"> </w:t>
      </w:r>
      <w:r w:rsidRPr="005E5A1A">
        <w:rPr>
          <w:spacing w:val="-2"/>
          <w:kern w:val="22"/>
          <w:lang w:val="en-GB"/>
        </w:rPr>
        <w:t>60</w:t>
      </w:r>
      <w:r w:rsidR="00AF4790">
        <w:rPr>
          <w:spacing w:val="-2"/>
          <w:kern w:val="22"/>
          <w:lang w:val="en-GB"/>
        </w:rPr>
        <w:t xml:space="preserve"> per cent</w:t>
      </w:r>
      <w:r w:rsidRPr="005E5A1A">
        <w:rPr>
          <w:spacing w:val="-2"/>
          <w:kern w:val="22"/>
          <w:lang w:val="en-GB"/>
        </w:rPr>
        <w:t xml:space="preserve"> of chicken breeds were extinct or endangered.</w:t>
      </w:r>
      <w:r w:rsidRPr="005E5A1A">
        <w:rPr>
          <w:rStyle w:val="EndnoteReference"/>
          <w:spacing w:val="-2"/>
          <w:kern w:val="22"/>
          <w:lang w:val="en-GB"/>
        </w:rPr>
        <w:endnoteReference w:id="21"/>
      </w:r>
      <w:r w:rsidRPr="005E5A1A">
        <w:rPr>
          <w:spacing w:val="-2"/>
          <w:kern w:val="22"/>
          <w:lang w:val="en-GB"/>
        </w:rPr>
        <w:t xml:space="preserve"> </w:t>
      </w:r>
      <w:r w:rsidR="0074620E">
        <w:rPr>
          <w:spacing w:val="-2"/>
          <w:kern w:val="22"/>
          <w:lang w:val="en-GB"/>
        </w:rPr>
        <w:t>Since the 1990s</w:t>
      </w:r>
      <w:r w:rsidRPr="005E5A1A">
        <w:rPr>
          <w:spacing w:val="-2"/>
          <w:kern w:val="22"/>
          <w:lang w:val="en-GB"/>
        </w:rPr>
        <w:t>, 238 chicken breeds had been lost.</w:t>
      </w:r>
      <w:r w:rsidRPr="005E5A1A">
        <w:rPr>
          <w:rStyle w:val="EndnoteReference"/>
          <w:spacing w:val="-2"/>
          <w:kern w:val="22"/>
          <w:lang w:val="en-GB"/>
        </w:rPr>
        <w:endnoteReference w:id="22"/>
      </w:r>
      <w:r w:rsidRPr="005E5A1A">
        <w:rPr>
          <w:spacing w:val="-2"/>
          <w:kern w:val="22"/>
          <w:lang w:val="en-GB"/>
        </w:rPr>
        <w:t xml:space="preserve"> </w:t>
      </w:r>
      <w:r w:rsidR="00AF4790">
        <w:rPr>
          <w:spacing w:val="-2"/>
          <w:kern w:val="22"/>
          <w:lang w:val="en-GB"/>
        </w:rPr>
        <w:t>To</w:t>
      </w:r>
      <w:r w:rsidRPr="005E5A1A">
        <w:rPr>
          <w:spacing w:val="-2"/>
          <w:kern w:val="22"/>
          <w:lang w:val="en-GB"/>
        </w:rPr>
        <w:t xml:space="preserve"> preserve the remaining genes, </w:t>
      </w:r>
      <w:r w:rsidR="00AF4790">
        <w:rPr>
          <w:spacing w:val="-2"/>
          <w:kern w:val="22"/>
          <w:lang w:val="en-GB"/>
        </w:rPr>
        <w:t>h</w:t>
      </w:r>
      <w:r w:rsidRPr="005E5A1A">
        <w:rPr>
          <w:spacing w:val="-2"/>
          <w:kern w:val="22"/>
          <w:lang w:val="en-GB"/>
        </w:rPr>
        <w:t xml:space="preserve">eritage chickens were maintained, in part to provide research opportunities to study </w:t>
      </w:r>
      <w:r w:rsidR="00013D4E">
        <w:rPr>
          <w:spacing w:val="-2"/>
          <w:kern w:val="22"/>
          <w:lang w:val="en-GB"/>
        </w:rPr>
        <w:t>various</w:t>
      </w:r>
      <w:r w:rsidR="00013D4E" w:rsidRPr="005E5A1A">
        <w:rPr>
          <w:spacing w:val="-2"/>
          <w:kern w:val="22"/>
          <w:lang w:val="en-GB"/>
        </w:rPr>
        <w:t xml:space="preserve"> </w:t>
      </w:r>
      <w:r w:rsidRPr="005E5A1A">
        <w:rPr>
          <w:spacing w:val="-2"/>
          <w:kern w:val="22"/>
          <w:lang w:val="en-GB"/>
        </w:rPr>
        <w:t xml:space="preserve">genes, </w:t>
      </w:r>
      <w:r w:rsidR="00A229CB">
        <w:rPr>
          <w:spacing w:val="-2"/>
          <w:kern w:val="22"/>
          <w:lang w:val="en-GB"/>
        </w:rPr>
        <w:t>the function of</w:t>
      </w:r>
      <w:r w:rsidR="00A229CB" w:rsidRPr="005E5A1A">
        <w:rPr>
          <w:spacing w:val="-2"/>
          <w:kern w:val="22"/>
          <w:lang w:val="en-GB"/>
        </w:rPr>
        <w:t xml:space="preserve"> </w:t>
      </w:r>
      <w:r w:rsidRPr="005E5A1A">
        <w:rPr>
          <w:spacing w:val="-2"/>
          <w:kern w:val="22"/>
          <w:lang w:val="en-GB"/>
        </w:rPr>
        <w:t>those genes</w:t>
      </w:r>
      <w:r w:rsidR="00A229CB">
        <w:rPr>
          <w:spacing w:val="-2"/>
          <w:kern w:val="22"/>
          <w:lang w:val="en-GB"/>
        </w:rPr>
        <w:t>,</w:t>
      </w:r>
      <w:r w:rsidRPr="005E5A1A">
        <w:rPr>
          <w:spacing w:val="-2"/>
          <w:kern w:val="22"/>
          <w:lang w:val="en-GB"/>
        </w:rPr>
        <w:t xml:space="preserve"> and their potential to solve future problems. </w:t>
      </w:r>
      <w:r w:rsidR="00A229CB">
        <w:rPr>
          <w:spacing w:val="-2"/>
          <w:kern w:val="22"/>
          <w:lang w:val="en-GB"/>
        </w:rPr>
        <w:t>The p</w:t>
      </w:r>
      <w:r w:rsidRPr="005E5A1A">
        <w:rPr>
          <w:spacing w:val="-2"/>
          <w:kern w:val="22"/>
          <w:lang w:val="en-GB"/>
        </w:rPr>
        <w:t xml:space="preserve">rotection of </w:t>
      </w:r>
      <w:r w:rsidR="00A229CB">
        <w:rPr>
          <w:spacing w:val="-2"/>
          <w:kern w:val="22"/>
          <w:lang w:val="en-GB"/>
        </w:rPr>
        <w:t>h</w:t>
      </w:r>
      <w:r w:rsidRPr="005E5A1A">
        <w:rPr>
          <w:spacing w:val="-2"/>
          <w:kern w:val="22"/>
          <w:lang w:val="en-GB"/>
        </w:rPr>
        <w:t>eritage chickens also provided important options relative to changing consumer preferences and innovative problem</w:t>
      </w:r>
      <w:r w:rsidR="00A229CB">
        <w:rPr>
          <w:spacing w:val="-2"/>
          <w:kern w:val="22"/>
          <w:lang w:val="en-GB"/>
        </w:rPr>
        <w:t>-</w:t>
      </w:r>
      <w:r w:rsidRPr="005E5A1A">
        <w:rPr>
          <w:spacing w:val="-2"/>
          <w:kern w:val="22"/>
          <w:lang w:val="en-GB"/>
        </w:rPr>
        <w:t xml:space="preserve">solving opportunities. In effect, </w:t>
      </w:r>
      <w:r w:rsidR="00A229CB">
        <w:rPr>
          <w:spacing w:val="-2"/>
          <w:kern w:val="22"/>
          <w:lang w:val="en-GB"/>
        </w:rPr>
        <w:t>h</w:t>
      </w:r>
      <w:r w:rsidRPr="005E5A1A">
        <w:rPr>
          <w:spacing w:val="-2"/>
          <w:kern w:val="22"/>
          <w:lang w:val="en-GB"/>
        </w:rPr>
        <w:t xml:space="preserve">eritage chickens were </w:t>
      </w:r>
      <w:r w:rsidR="00A229CB">
        <w:rPr>
          <w:spacing w:val="-2"/>
          <w:kern w:val="22"/>
          <w:lang w:val="en-GB"/>
        </w:rPr>
        <w:t xml:space="preserve">both </w:t>
      </w:r>
      <w:r w:rsidRPr="005E5A1A">
        <w:rPr>
          <w:spacing w:val="-2"/>
          <w:kern w:val="22"/>
          <w:lang w:val="en-GB"/>
        </w:rPr>
        <w:t xml:space="preserve">a form of insurance against potential disease and a way to maintain </w:t>
      </w:r>
      <w:r w:rsidRPr="005E5A1A">
        <w:rPr>
          <w:spacing w:val="-2"/>
          <w:kern w:val="22"/>
          <w:lang w:val="en-GB"/>
        </w:rPr>
        <w:lastRenderedPageBreak/>
        <w:t xml:space="preserve">copies of genetic material that would otherwise have been lost. In the same way that we link value to original </w:t>
      </w:r>
      <w:r w:rsidR="00A229CB">
        <w:rPr>
          <w:spacing w:val="-2"/>
          <w:kern w:val="22"/>
          <w:lang w:val="en-GB"/>
        </w:rPr>
        <w:t>works</w:t>
      </w:r>
      <w:r w:rsidRPr="005E5A1A">
        <w:rPr>
          <w:spacing w:val="-2"/>
          <w:kern w:val="22"/>
          <w:lang w:val="en-GB"/>
        </w:rPr>
        <w:t xml:space="preserve">, </w:t>
      </w:r>
      <w:r w:rsidR="00A229CB">
        <w:rPr>
          <w:spacing w:val="-2"/>
          <w:kern w:val="22"/>
          <w:lang w:val="en-GB"/>
        </w:rPr>
        <w:t>such as</w:t>
      </w:r>
      <w:r w:rsidR="00A229CB" w:rsidRPr="005E5A1A">
        <w:rPr>
          <w:spacing w:val="-2"/>
          <w:kern w:val="22"/>
          <w:lang w:val="en-GB"/>
        </w:rPr>
        <w:t xml:space="preserve"> </w:t>
      </w:r>
      <w:r w:rsidRPr="005E5A1A">
        <w:rPr>
          <w:spacing w:val="-2"/>
          <w:kern w:val="22"/>
          <w:lang w:val="en-GB"/>
        </w:rPr>
        <w:t>paintings or documents, heritage chickens had the original copies of many genes</w:t>
      </w:r>
      <w:r w:rsidR="00A229CB">
        <w:rPr>
          <w:spacing w:val="-2"/>
          <w:kern w:val="22"/>
          <w:lang w:val="en-GB"/>
        </w:rPr>
        <w:t>,</w:t>
      </w:r>
      <w:r w:rsidRPr="005E5A1A">
        <w:rPr>
          <w:spacing w:val="-2"/>
          <w:kern w:val="22"/>
          <w:lang w:val="en-GB"/>
        </w:rPr>
        <w:t xml:space="preserve"> </w:t>
      </w:r>
      <w:r w:rsidR="00013D4E">
        <w:rPr>
          <w:spacing w:val="-2"/>
          <w:kern w:val="22"/>
          <w:lang w:val="en-GB"/>
        </w:rPr>
        <w:t>which led to</w:t>
      </w:r>
      <w:r w:rsidR="00013D4E" w:rsidRPr="005E5A1A">
        <w:rPr>
          <w:spacing w:val="-2"/>
          <w:kern w:val="22"/>
          <w:lang w:val="en-GB"/>
        </w:rPr>
        <w:t xml:space="preserve"> </w:t>
      </w:r>
      <w:r w:rsidRPr="005E5A1A">
        <w:rPr>
          <w:spacing w:val="-2"/>
          <w:kern w:val="22"/>
          <w:lang w:val="en-GB"/>
        </w:rPr>
        <w:t>their inherent value.</w:t>
      </w:r>
      <w:r w:rsidR="005E5A1A" w:rsidRPr="005E5A1A">
        <w:rPr>
          <w:spacing w:val="-2"/>
          <w:kern w:val="22"/>
          <w:lang w:val="en-GB"/>
        </w:rPr>
        <w:t xml:space="preserve"> </w:t>
      </w:r>
    </w:p>
    <w:p w14:paraId="74039D37" w14:textId="77777777" w:rsidR="009D7CBE" w:rsidRPr="005E5A1A" w:rsidRDefault="009D7CBE" w:rsidP="0049593C">
      <w:pPr>
        <w:pStyle w:val="BodyTextMain"/>
        <w:rPr>
          <w:spacing w:val="-2"/>
          <w:kern w:val="22"/>
          <w:lang w:val="en-GB"/>
        </w:rPr>
      </w:pPr>
    </w:p>
    <w:p w14:paraId="49B3349A" w14:textId="657EFE48" w:rsidR="009D7CBE" w:rsidRPr="005E5A1A" w:rsidRDefault="009D7CBE" w:rsidP="0049593C">
      <w:pPr>
        <w:pStyle w:val="BodyTextMain"/>
        <w:rPr>
          <w:spacing w:val="-2"/>
          <w:kern w:val="22"/>
          <w:lang w:val="en-GB"/>
        </w:rPr>
      </w:pPr>
      <w:r w:rsidRPr="005E5A1A">
        <w:rPr>
          <w:spacing w:val="-2"/>
          <w:kern w:val="22"/>
          <w:lang w:val="en-GB"/>
        </w:rPr>
        <w:t xml:space="preserve">In addition to maintaining diversity, </w:t>
      </w:r>
      <w:r w:rsidR="00A229CB">
        <w:rPr>
          <w:spacing w:val="-2"/>
          <w:kern w:val="22"/>
          <w:lang w:val="en-GB"/>
        </w:rPr>
        <w:t>h</w:t>
      </w:r>
      <w:r w:rsidRPr="005E5A1A">
        <w:rPr>
          <w:spacing w:val="-2"/>
          <w:kern w:val="22"/>
          <w:lang w:val="en-GB"/>
        </w:rPr>
        <w:t>eritage chickens also offered opportunities to engage students in learning about genetics and history, not only from a scientific perspective but also regarding the business value they offer</w:t>
      </w:r>
      <w:r w:rsidR="00A229CB">
        <w:rPr>
          <w:spacing w:val="-2"/>
          <w:kern w:val="22"/>
          <w:lang w:val="en-GB"/>
        </w:rPr>
        <w:t>ed</w:t>
      </w:r>
      <w:r w:rsidRPr="005E5A1A">
        <w:rPr>
          <w:spacing w:val="-2"/>
          <w:kern w:val="22"/>
          <w:lang w:val="en-GB"/>
        </w:rPr>
        <w:t>. The intersection of science and business education offered true learning opportunities about the natural world</w:t>
      </w:r>
      <w:r w:rsidR="00A229CB">
        <w:rPr>
          <w:spacing w:val="-2"/>
          <w:kern w:val="22"/>
          <w:lang w:val="en-GB"/>
        </w:rPr>
        <w:t>’s</w:t>
      </w:r>
      <w:r w:rsidRPr="005E5A1A">
        <w:rPr>
          <w:spacing w:val="-2"/>
          <w:kern w:val="22"/>
          <w:lang w:val="en-GB"/>
        </w:rPr>
        <w:t xml:space="preserve"> clear and measurable impact on the business world. </w:t>
      </w:r>
    </w:p>
    <w:p w14:paraId="7AF5C7E4" w14:textId="77777777" w:rsidR="009D7CBE" w:rsidRPr="005E5A1A" w:rsidRDefault="009D7CBE" w:rsidP="0049593C">
      <w:pPr>
        <w:pStyle w:val="BodyTextMain"/>
        <w:rPr>
          <w:spacing w:val="-2"/>
          <w:kern w:val="22"/>
          <w:lang w:val="en-GB"/>
        </w:rPr>
      </w:pPr>
    </w:p>
    <w:p w14:paraId="42026EC3" w14:textId="7E95D10E" w:rsidR="009D7CBE" w:rsidRPr="005E5A1A" w:rsidRDefault="009D7CBE" w:rsidP="0049593C">
      <w:pPr>
        <w:pStyle w:val="BodyTextMain"/>
        <w:rPr>
          <w:spacing w:val="-2"/>
          <w:kern w:val="22"/>
          <w:lang w:val="en-GB"/>
        </w:rPr>
      </w:pPr>
      <w:r w:rsidRPr="005E5A1A">
        <w:rPr>
          <w:spacing w:val="-2"/>
          <w:kern w:val="22"/>
          <w:lang w:val="en-GB"/>
        </w:rPr>
        <w:t>Heritage chickens offered an opportunity to connect with those who wanted to know more about the food they ate and where it came from</w:t>
      </w:r>
      <w:r w:rsidR="00F07E99">
        <w:rPr>
          <w:spacing w:val="-2"/>
          <w:kern w:val="22"/>
          <w:lang w:val="en-GB"/>
        </w:rPr>
        <w:t>,</w:t>
      </w:r>
      <w:r w:rsidR="00013D4E">
        <w:rPr>
          <w:spacing w:val="-2"/>
          <w:kern w:val="22"/>
          <w:lang w:val="en-GB"/>
        </w:rPr>
        <w:t xml:space="preserve"> through</w:t>
      </w:r>
      <w:r w:rsidRPr="005E5A1A">
        <w:rPr>
          <w:spacing w:val="-2"/>
          <w:kern w:val="22"/>
          <w:lang w:val="en-GB"/>
        </w:rPr>
        <w:t xml:space="preserve"> public awareness and marketing campaigns for </w:t>
      </w:r>
      <w:r w:rsidR="00013D4E">
        <w:rPr>
          <w:spacing w:val="-2"/>
          <w:kern w:val="22"/>
          <w:lang w:val="en-GB"/>
        </w:rPr>
        <w:t>this</w:t>
      </w:r>
      <w:r w:rsidR="00013D4E" w:rsidRPr="005E5A1A">
        <w:rPr>
          <w:spacing w:val="-2"/>
          <w:kern w:val="22"/>
          <w:lang w:val="en-GB"/>
        </w:rPr>
        <w:t xml:space="preserve"> </w:t>
      </w:r>
      <w:r w:rsidRPr="005E5A1A">
        <w:rPr>
          <w:spacing w:val="-2"/>
          <w:kern w:val="22"/>
          <w:lang w:val="en-GB"/>
        </w:rPr>
        <w:t xml:space="preserve">new market. In terms of raising chickens, the commercial industry had such large production facilities that small farms </w:t>
      </w:r>
      <w:r w:rsidR="00013D4E">
        <w:rPr>
          <w:spacing w:val="-2"/>
          <w:kern w:val="22"/>
          <w:lang w:val="en-GB"/>
        </w:rPr>
        <w:t xml:space="preserve">faced challenges </w:t>
      </w:r>
      <w:r w:rsidRPr="005E5A1A">
        <w:rPr>
          <w:spacing w:val="-2"/>
          <w:kern w:val="22"/>
          <w:lang w:val="en-GB"/>
        </w:rPr>
        <w:t xml:space="preserve">to enter the chicken market. However, </w:t>
      </w:r>
      <w:r w:rsidR="00A229CB">
        <w:rPr>
          <w:spacing w:val="-2"/>
          <w:kern w:val="22"/>
          <w:lang w:val="en-GB"/>
        </w:rPr>
        <w:t xml:space="preserve">a growing trend was </w:t>
      </w:r>
      <w:r w:rsidRPr="005E5A1A">
        <w:rPr>
          <w:spacing w:val="-2"/>
          <w:kern w:val="22"/>
          <w:lang w:val="en-GB"/>
        </w:rPr>
        <w:t>the emergence of small</w:t>
      </w:r>
      <w:r w:rsidR="00A229CB">
        <w:rPr>
          <w:spacing w:val="-2"/>
          <w:kern w:val="22"/>
          <w:lang w:val="en-GB"/>
        </w:rPr>
        <w:t>-</w:t>
      </w:r>
      <w:r w:rsidRPr="005E5A1A">
        <w:rPr>
          <w:spacing w:val="-2"/>
          <w:kern w:val="22"/>
          <w:lang w:val="en-GB"/>
        </w:rPr>
        <w:t xml:space="preserve">flock owners who were interested in raising their own chickens and entering the niche </w:t>
      </w:r>
      <w:r w:rsidR="00F07E99">
        <w:rPr>
          <w:spacing w:val="-2"/>
          <w:kern w:val="22"/>
          <w:lang w:val="en-GB"/>
        </w:rPr>
        <w:t xml:space="preserve">market for farm-raised </w:t>
      </w:r>
      <w:r w:rsidR="00A229CB">
        <w:rPr>
          <w:spacing w:val="-2"/>
          <w:kern w:val="22"/>
          <w:lang w:val="en-GB"/>
        </w:rPr>
        <w:t>h</w:t>
      </w:r>
      <w:r w:rsidRPr="005E5A1A">
        <w:rPr>
          <w:spacing w:val="-2"/>
          <w:kern w:val="22"/>
          <w:lang w:val="en-GB"/>
        </w:rPr>
        <w:t xml:space="preserve">eritage chicken. This market was not likely to affect global capacity issues related to food supply, particularly in developing countries. Yet there was a growing demand from consumers interested in animal welfare. The sale of </w:t>
      </w:r>
      <w:r w:rsidR="00A229CB">
        <w:rPr>
          <w:spacing w:val="-2"/>
          <w:kern w:val="22"/>
          <w:lang w:val="en-GB"/>
        </w:rPr>
        <w:t>h</w:t>
      </w:r>
      <w:r w:rsidRPr="005E5A1A">
        <w:rPr>
          <w:spacing w:val="-2"/>
          <w:kern w:val="22"/>
          <w:lang w:val="en-GB"/>
        </w:rPr>
        <w:t xml:space="preserve">eritage chicks represented another opportunity for growth. </w:t>
      </w:r>
    </w:p>
    <w:p w14:paraId="72600F45" w14:textId="77777777" w:rsidR="009D7CBE" w:rsidRPr="005E5A1A" w:rsidRDefault="009D7CBE" w:rsidP="0049593C">
      <w:pPr>
        <w:pStyle w:val="BodyTextMain"/>
        <w:rPr>
          <w:spacing w:val="-2"/>
          <w:kern w:val="22"/>
          <w:sz w:val="20"/>
          <w:lang w:val="en-GB"/>
        </w:rPr>
      </w:pPr>
    </w:p>
    <w:p w14:paraId="6A36C180" w14:textId="77777777" w:rsidR="009D7CBE" w:rsidRPr="005E5A1A" w:rsidRDefault="009D7CBE" w:rsidP="0049593C">
      <w:pPr>
        <w:pStyle w:val="BodyTextMain"/>
        <w:rPr>
          <w:sz w:val="20"/>
          <w:lang w:val="en-GB"/>
        </w:rPr>
      </w:pPr>
    </w:p>
    <w:p w14:paraId="51AA3A05" w14:textId="77777777" w:rsidR="009D7CBE" w:rsidRPr="005E5A1A" w:rsidRDefault="009D7CBE" w:rsidP="005D3BF5">
      <w:pPr>
        <w:pStyle w:val="BodyTextMain"/>
        <w:outlineLvl w:val="0"/>
        <w:rPr>
          <w:rFonts w:ascii="Arial" w:hAnsi="Arial" w:cs="Arial"/>
          <w:b/>
          <w:sz w:val="20"/>
          <w:szCs w:val="20"/>
          <w:lang w:val="en-GB"/>
        </w:rPr>
      </w:pPr>
      <w:r w:rsidRPr="005E5A1A">
        <w:rPr>
          <w:rFonts w:ascii="Arial" w:hAnsi="Arial" w:cs="Arial"/>
          <w:b/>
          <w:sz w:val="20"/>
          <w:szCs w:val="20"/>
          <w:lang w:val="en-GB"/>
        </w:rPr>
        <w:t>HYBRID MODELS</w:t>
      </w:r>
    </w:p>
    <w:p w14:paraId="0A80A896" w14:textId="77777777" w:rsidR="009D7CBE" w:rsidRPr="005E5A1A" w:rsidRDefault="009D7CBE" w:rsidP="0049593C">
      <w:pPr>
        <w:pStyle w:val="BodyTextMain"/>
        <w:rPr>
          <w:sz w:val="20"/>
          <w:lang w:val="en-GB"/>
        </w:rPr>
      </w:pPr>
    </w:p>
    <w:p w14:paraId="04D04302" w14:textId="5481F08F" w:rsidR="009D7CBE" w:rsidRPr="005E5A1A" w:rsidRDefault="009D7CBE" w:rsidP="0049593C">
      <w:pPr>
        <w:pStyle w:val="BodyTextMain"/>
        <w:rPr>
          <w:lang w:val="en-GB"/>
        </w:rPr>
      </w:pPr>
      <w:r w:rsidRPr="005E5A1A">
        <w:rPr>
          <w:lang w:val="en-GB"/>
        </w:rPr>
        <w:t xml:space="preserve">The concept of a hybrid model of business had emerged as a different way to do business that addressed sustainability as part of the fundamental model. Haigh and Hoffman </w:t>
      </w:r>
      <w:r w:rsidR="00F07E99">
        <w:rPr>
          <w:lang w:val="en-GB"/>
        </w:rPr>
        <w:t>noted</w:t>
      </w:r>
      <w:r w:rsidRPr="005E5A1A">
        <w:rPr>
          <w:lang w:val="en-GB"/>
        </w:rPr>
        <w:t xml:space="preserve"> how the hybrid model was the next stage in sustainable business</w:t>
      </w:r>
      <w:r w:rsidR="00A229CB">
        <w:rPr>
          <w:lang w:val="en-GB"/>
        </w:rPr>
        <w:t>,</w:t>
      </w:r>
      <w:r w:rsidRPr="005E5A1A">
        <w:rPr>
          <w:lang w:val="en-GB"/>
        </w:rPr>
        <w:t xml:space="preserve"> in that it blurred non-profit social engagement with for-profit business techniques.</w:t>
      </w:r>
      <w:r w:rsidRPr="005E5A1A">
        <w:rPr>
          <w:rStyle w:val="EndnoteReference"/>
          <w:lang w:val="en-GB"/>
        </w:rPr>
        <w:endnoteReference w:id="23"/>
      </w:r>
      <w:r w:rsidRPr="005E5A1A">
        <w:rPr>
          <w:lang w:val="en-GB"/>
        </w:rPr>
        <w:t xml:space="preserve"> In other words, a hybrid business combined both a profit motive and a social purpose. Hybrid companies valued </w:t>
      </w:r>
      <w:r w:rsidR="00F07E99">
        <w:rPr>
          <w:lang w:val="en-GB"/>
        </w:rPr>
        <w:t xml:space="preserve">their </w:t>
      </w:r>
      <w:r w:rsidRPr="005E5A1A">
        <w:rPr>
          <w:lang w:val="en-GB"/>
        </w:rPr>
        <w:t>relationships with experts outside the company, including politicians, scientists, lay people</w:t>
      </w:r>
      <w:r w:rsidR="00A229CB">
        <w:rPr>
          <w:lang w:val="en-GB"/>
        </w:rPr>
        <w:t>,</w:t>
      </w:r>
      <w:r w:rsidRPr="005E5A1A">
        <w:rPr>
          <w:lang w:val="en-GB"/>
        </w:rPr>
        <w:t xml:space="preserve"> and others who were interested in the outcomes of the business.</w:t>
      </w:r>
      <w:r w:rsidR="005E5A1A" w:rsidRPr="005E5A1A">
        <w:rPr>
          <w:lang w:val="en-GB"/>
        </w:rPr>
        <w:t xml:space="preserve"> </w:t>
      </w:r>
      <w:r w:rsidRPr="005E5A1A">
        <w:rPr>
          <w:lang w:val="en-GB"/>
        </w:rPr>
        <w:t>The idea that a hybrid model would lead to a stronger product or service model emerged as a po</w:t>
      </w:r>
      <w:r w:rsidR="006D2C81" w:rsidRPr="005E5A1A">
        <w:rPr>
          <w:lang w:val="en-GB"/>
        </w:rPr>
        <w:t>tential competitive advantage.</w:t>
      </w:r>
    </w:p>
    <w:p w14:paraId="44A76643" w14:textId="77777777" w:rsidR="009D7CBE" w:rsidRPr="005E5A1A" w:rsidRDefault="009D7CBE" w:rsidP="0049593C">
      <w:pPr>
        <w:pStyle w:val="BodyTextMain"/>
        <w:rPr>
          <w:lang w:val="en-GB"/>
        </w:rPr>
      </w:pPr>
    </w:p>
    <w:p w14:paraId="650AFD91" w14:textId="2C3462C4" w:rsidR="009D7CBE" w:rsidRPr="005E5A1A" w:rsidRDefault="009D7CBE" w:rsidP="0049593C">
      <w:pPr>
        <w:pStyle w:val="BodyTextMain"/>
        <w:rPr>
          <w:lang w:val="en-GB"/>
        </w:rPr>
      </w:pPr>
      <w:r w:rsidRPr="005E5A1A">
        <w:rPr>
          <w:lang w:val="en-GB"/>
        </w:rPr>
        <w:t xml:space="preserve">In biology, the concept of a hybrid carried </w:t>
      </w:r>
      <w:r w:rsidR="0074620E">
        <w:rPr>
          <w:lang w:val="en-GB"/>
        </w:rPr>
        <w:t xml:space="preserve">a </w:t>
      </w:r>
      <w:r w:rsidRPr="005E5A1A">
        <w:rPr>
          <w:lang w:val="en-GB"/>
        </w:rPr>
        <w:t xml:space="preserve">different meaning. In the poultry industry, commercial hybrid breeds were a combination of desirable traits that had been selected to </w:t>
      </w:r>
      <w:r w:rsidR="00F07E99">
        <w:rPr>
          <w:lang w:val="en-GB"/>
        </w:rPr>
        <w:t xml:space="preserve">both </w:t>
      </w:r>
      <w:r w:rsidRPr="005E5A1A">
        <w:rPr>
          <w:lang w:val="en-GB"/>
        </w:rPr>
        <w:t xml:space="preserve">provide the most economic benefit and meet consumer demand. Hybrid animals helped to amplify desirable traits in a profitable way. However, hybrid chickens had a lower amount of genetic diversity and, thus, less ability to adapt to changing environments. By comparison, </w:t>
      </w:r>
      <w:r w:rsidR="00A229CB">
        <w:rPr>
          <w:lang w:val="en-GB"/>
        </w:rPr>
        <w:t>h</w:t>
      </w:r>
      <w:r w:rsidRPr="005E5A1A">
        <w:rPr>
          <w:lang w:val="en-GB"/>
        </w:rPr>
        <w:t>eritage chickens maintained the</w:t>
      </w:r>
      <w:r w:rsidR="0045632C">
        <w:rPr>
          <w:lang w:val="en-GB"/>
        </w:rPr>
        <w:t>ir</w:t>
      </w:r>
      <w:r w:rsidRPr="005E5A1A">
        <w:rPr>
          <w:lang w:val="en-GB"/>
        </w:rPr>
        <w:t xml:space="preserve"> genetic diversity and allowed for the retention of genes that were important</w:t>
      </w:r>
      <w:r w:rsidR="00A229CB">
        <w:rPr>
          <w:lang w:val="en-GB"/>
        </w:rPr>
        <w:t>,</w:t>
      </w:r>
      <w:r w:rsidRPr="005E5A1A">
        <w:rPr>
          <w:lang w:val="en-GB"/>
        </w:rPr>
        <w:t xml:space="preserve"> both then and likely for the future. </w:t>
      </w:r>
      <w:r w:rsidR="006B64CF">
        <w:rPr>
          <w:lang w:val="en-GB"/>
        </w:rPr>
        <w:t>However</w:t>
      </w:r>
      <w:r w:rsidRPr="005E5A1A">
        <w:rPr>
          <w:lang w:val="en-GB"/>
        </w:rPr>
        <w:t xml:space="preserve">, there was a need for both hybrids and purebreds. The complex combination of genes generated almost endless possibilities </w:t>
      </w:r>
      <w:r w:rsidR="0074620E">
        <w:rPr>
          <w:lang w:val="en-GB"/>
        </w:rPr>
        <w:t>for</w:t>
      </w:r>
      <w:r w:rsidRPr="005E5A1A">
        <w:rPr>
          <w:lang w:val="en-GB"/>
        </w:rPr>
        <w:t xml:space="preserve"> traits, but the retention of the original copies from which to allow for adaptability was critically important to the long-term sustainability of the industry. Hybrid and purebred chickens were thus both important.</w:t>
      </w:r>
    </w:p>
    <w:p w14:paraId="71AE8CB9" w14:textId="77777777" w:rsidR="009D7CBE" w:rsidRPr="005E5A1A" w:rsidRDefault="009D7CBE" w:rsidP="0049593C">
      <w:pPr>
        <w:pStyle w:val="BodyTextMain"/>
        <w:rPr>
          <w:sz w:val="20"/>
          <w:lang w:val="en-GB"/>
        </w:rPr>
      </w:pPr>
    </w:p>
    <w:p w14:paraId="5059885F" w14:textId="77777777" w:rsidR="009D7CBE" w:rsidRPr="005E5A1A" w:rsidRDefault="009D7CBE" w:rsidP="0049593C">
      <w:pPr>
        <w:pStyle w:val="BodyTextMain"/>
        <w:rPr>
          <w:sz w:val="20"/>
          <w:lang w:val="en-GB"/>
        </w:rPr>
      </w:pPr>
    </w:p>
    <w:p w14:paraId="15D18566" w14:textId="66050A8D" w:rsidR="009D7CBE" w:rsidRPr="005E5A1A" w:rsidRDefault="009D7CBE" w:rsidP="005D3BF5">
      <w:pPr>
        <w:pStyle w:val="BodyTextMain"/>
        <w:outlineLvl w:val="0"/>
        <w:rPr>
          <w:rFonts w:ascii="Arial" w:hAnsi="Arial" w:cs="Arial"/>
          <w:b/>
          <w:sz w:val="20"/>
          <w:szCs w:val="20"/>
          <w:lang w:val="en-GB"/>
        </w:rPr>
      </w:pPr>
      <w:r w:rsidRPr="005E5A1A">
        <w:rPr>
          <w:rFonts w:ascii="Arial" w:hAnsi="Arial" w:cs="Arial"/>
          <w:b/>
          <w:sz w:val="20"/>
          <w:szCs w:val="20"/>
          <w:lang w:val="en-GB"/>
        </w:rPr>
        <w:t>DECISION</w:t>
      </w:r>
      <w:r w:rsidR="0045632C">
        <w:rPr>
          <w:rFonts w:ascii="Arial" w:hAnsi="Arial" w:cs="Arial"/>
          <w:b/>
          <w:sz w:val="20"/>
          <w:szCs w:val="20"/>
          <w:lang w:val="en-GB"/>
        </w:rPr>
        <w:t xml:space="preserve"> </w:t>
      </w:r>
      <w:r w:rsidRPr="005E5A1A">
        <w:rPr>
          <w:rFonts w:ascii="Arial" w:hAnsi="Arial" w:cs="Arial"/>
          <w:b/>
          <w:sz w:val="20"/>
          <w:szCs w:val="20"/>
          <w:lang w:val="en-GB"/>
        </w:rPr>
        <w:t>TIME</w:t>
      </w:r>
    </w:p>
    <w:p w14:paraId="21F74836" w14:textId="77777777" w:rsidR="009D7CBE" w:rsidRPr="005E5A1A" w:rsidRDefault="009D7CBE" w:rsidP="0049593C">
      <w:pPr>
        <w:pStyle w:val="BodyTextMain"/>
        <w:rPr>
          <w:lang w:val="en-GB"/>
        </w:rPr>
      </w:pPr>
    </w:p>
    <w:p w14:paraId="269A1543" w14:textId="70BDB5D1" w:rsidR="009D7CBE" w:rsidRPr="005E5A1A" w:rsidRDefault="00EF17E6" w:rsidP="008F2E9A">
      <w:pPr>
        <w:pStyle w:val="BodyTextMain"/>
        <w:rPr>
          <w:rFonts w:ascii="Arial" w:hAnsi="Arial" w:cs="Arial"/>
          <w:sz w:val="17"/>
          <w:szCs w:val="17"/>
          <w:lang w:val="en-GB"/>
        </w:rPr>
      </w:pPr>
      <w:r w:rsidRPr="005E5A1A">
        <w:rPr>
          <w:noProof/>
          <w:sz w:val="24"/>
          <w:szCs w:val="24"/>
        </w:rPr>
        <mc:AlternateContent>
          <mc:Choice Requires="wps">
            <w:drawing>
              <wp:anchor distT="0" distB="0" distL="114300" distR="114300" simplePos="0" relativeHeight="251661312" behindDoc="0" locked="0" layoutInCell="1" allowOverlap="1" wp14:anchorId="59708FEA" wp14:editId="2FBFD487">
                <wp:simplePos x="0" y="0"/>
                <wp:positionH relativeFrom="column">
                  <wp:posOffset>524841</wp:posOffset>
                </wp:positionH>
                <wp:positionV relativeFrom="paragraph">
                  <wp:posOffset>668324</wp:posOffset>
                </wp:positionV>
                <wp:extent cx="4699221" cy="358140"/>
                <wp:effectExtent l="0" t="0" r="25400" b="22860"/>
                <wp:wrapNone/>
                <wp:docPr id="2" name="Text Box 2"/>
                <wp:cNvGraphicFramePr/>
                <a:graphic xmlns:a="http://schemas.openxmlformats.org/drawingml/2006/main">
                  <a:graphicData uri="http://schemas.microsoft.com/office/word/2010/wordprocessingShape">
                    <wps:wsp>
                      <wps:cNvSpPr txBox="1"/>
                      <wps:spPr>
                        <a:xfrm>
                          <a:off x="0" y="0"/>
                          <a:ext cx="4699221"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56E65" w14:textId="38F5111B" w:rsidR="008234B5" w:rsidRPr="00EF17E6" w:rsidRDefault="008234B5">
                            <w:pPr>
                              <w:rPr>
                                <w:rFonts w:ascii="Arial" w:hAnsi="Arial" w:cs="Arial"/>
                                <w:sz w:val="17"/>
                                <w:szCs w:val="17"/>
                              </w:rPr>
                            </w:pPr>
                            <w:r w:rsidRPr="00EF17E6">
                              <w:rPr>
                                <w:rFonts w:ascii="Arial" w:hAnsi="Arial" w:cs="Arial"/>
                                <w:sz w:val="17"/>
                                <w:szCs w:val="17"/>
                                <w:lang w:bidi="en-US"/>
                              </w:rPr>
                              <w:t>We thank the Alberta School of Business Canadian Centre for Corporate Social Responsibility at the University of Alberta for helping to support the development of this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08FEA" id="_x0000_t202" coordsize="21600,21600" o:spt="202" path="m,l,21600r21600,l21600,xe">
                <v:stroke joinstyle="miter"/>
                <v:path gradientshapeok="t" o:connecttype="rect"/>
              </v:shapetype>
              <v:shape id="Text Box 2" o:spid="_x0000_s1026" type="#_x0000_t202" style="position:absolute;left:0;text-align:left;margin-left:41.35pt;margin-top:52.6pt;width:370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" fillcolor="white [3201]" strokeweight=".5pt">
                <v:textbox>
                  <w:txbxContent>
                    <w:p w14:paraId="2E856E65" w14:textId="38F5111B" w:rsidR="008234B5" w:rsidRPr="00EF17E6" w:rsidRDefault="008234B5">
                      <w:pPr>
                        <w:rPr>
                          <w:rFonts w:ascii="Arial" w:hAnsi="Arial" w:cs="Arial"/>
                          <w:sz w:val="17"/>
                          <w:szCs w:val="17"/>
                        </w:rPr>
                      </w:pPr>
                      <w:r w:rsidRPr="00EF17E6">
                        <w:rPr>
                          <w:rFonts w:ascii="Arial" w:hAnsi="Arial" w:cs="Arial"/>
                          <w:sz w:val="17"/>
                          <w:szCs w:val="17"/>
                          <w:lang w:bidi="en-US"/>
                        </w:rPr>
                        <w:t>We thank the Alberta School of Business Canadian Centre for Corporate Social Responsibility at the University of Alberta for helping to support the development of this case.</w:t>
                      </w:r>
                    </w:p>
                  </w:txbxContent>
                </v:textbox>
              </v:shape>
            </w:pict>
          </mc:Fallback>
        </mc:AlternateContent>
      </w:r>
      <w:r w:rsidR="009D7CBE" w:rsidRPr="005E5A1A">
        <w:rPr>
          <w:lang w:val="en-GB"/>
        </w:rPr>
        <w:t>What should Zuidhof do to preserve the</w:t>
      </w:r>
      <w:r w:rsidR="0045632C">
        <w:rPr>
          <w:lang w:val="en-GB"/>
        </w:rPr>
        <w:t xml:space="preserve"> Rare Poultry Conservancy Program</w:t>
      </w:r>
      <w:r w:rsidR="009D7CBE" w:rsidRPr="005E5A1A">
        <w:rPr>
          <w:lang w:val="en-GB"/>
        </w:rPr>
        <w:t>? What type of business model would enable the program to pay for itself? Or should he consider scaling down the program? One final option might be to seek other funding.</w:t>
      </w:r>
      <w:r w:rsidR="009D7CBE" w:rsidRPr="005E5A1A">
        <w:rPr>
          <w:lang w:val="en-GB"/>
        </w:rPr>
        <w:br w:type="page"/>
      </w:r>
    </w:p>
    <w:p w14:paraId="502617D9" w14:textId="74FDE293" w:rsidR="002E5310" w:rsidRDefault="009D7CBE" w:rsidP="005D3BF5">
      <w:pPr>
        <w:pStyle w:val="ExhibitHeading"/>
        <w:outlineLvl w:val="0"/>
        <w:rPr>
          <w:lang w:val="en-GB"/>
        </w:rPr>
      </w:pPr>
      <w:r w:rsidRPr="005E5A1A">
        <w:rPr>
          <w:lang w:val="en-GB"/>
        </w:rPr>
        <w:lastRenderedPageBreak/>
        <w:t>Exhibit 1</w:t>
      </w:r>
      <w:r w:rsidR="00E0519E" w:rsidRPr="005E5A1A">
        <w:rPr>
          <w:lang w:val="en-GB"/>
        </w:rPr>
        <w:t>: Global Poultry Trends: Chicken meat production</w:t>
      </w:r>
      <w:r w:rsidR="002E5310">
        <w:rPr>
          <w:lang w:val="en-GB"/>
        </w:rPr>
        <w:t>, 2000–2014</w:t>
      </w:r>
      <w:r w:rsidR="00E0519E" w:rsidRPr="005E5A1A">
        <w:rPr>
          <w:lang w:val="en-GB"/>
        </w:rPr>
        <w:t xml:space="preserve"> </w:t>
      </w:r>
    </w:p>
    <w:p w14:paraId="002E766C" w14:textId="606DAFC7" w:rsidR="009D7CBE" w:rsidRPr="005E5A1A" w:rsidRDefault="00E0519E" w:rsidP="00E0519E">
      <w:pPr>
        <w:pStyle w:val="ExhibitHeading"/>
        <w:rPr>
          <w:lang w:val="en-GB"/>
        </w:rPr>
      </w:pPr>
      <w:r w:rsidRPr="005E5A1A">
        <w:rPr>
          <w:lang w:val="en-GB"/>
        </w:rPr>
        <w:t>(</w:t>
      </w:r>
      <w:r w:rsidR="002E5310">
        <w:rPr>
          <w:lang w:val="en-GB"/>
        </w:rPr>
        <w:t xml:space="preserve">in </w:t>
      </w:r>
      <w:r w:rsidRPr="005E5A1A">
        <w:rPr>
          <w:lang w:val="en-GB"/>
        </w:rPr>
        <w:t>million</w:t>
      </w:r>
      <w:r w:rsidR="002E5310">
        <w:rPr>
          <w:lang w:val="en-GB"/>
        </w:rPr>
        <w:t>s of</w:t>
      </w:r>
      <w:r w:rsidRPr="005E5A1A">
        <w:rPr>
          <w:lang w:val="en-GB"/>
        </w:rPr>
        <w:t xml:space="preserve"> tonnes)</w:t>
      </w:r>
    </w:p>
    <w:p w14:paraId="1181C0DD" w14:textId="77777777" w:rsidR="009D7CBE" w:rsidRPr="005E5A1A" w:rsidRDefault="009D7CBE" w:rsidP="00E0519E">
      <w:pPr>
        <w:pStyle w:val="ExhibitHeading"/>
        <w:rPr>
          <w:lang w:val="en-GB"/>
        </w:rPr>
      </w:pPr>
    </w:p>
    <w:tbl>
      <w:tblPr>
        <w:tblStyle w:val="TableGrid"/>
        <w:tblW w:w="0" w:type="auto"/>
        <w:tblInd w:w="108" w:type="dxa"/>
        <w:tblLook w:val="04A0" w:firstRow="1" w:lastRow="0" w:firstColumn="1" w:lastColumn="0" w:noHBand="0" w:noVBand="1"/>
      </w:tblPr>
      <w:tblGrid>
        <w:gridCol w:w="1008"/>
        <w:gridCol w:w="813"/>
        <w:gridCol w:w="815"/>
        <w:gridCol w:w="817"/>
        <w:gridCol w:w="819"/>
        <w:gridCol w:w="821"/>
        <w:gridCol w:w="822"/>
        <w:gridCol w:w="824"/>
        <w:gridCol w:w="876"/>
        <w:gridCol w:w="872"/>
        <w:gridCol w:w="755"/>
      </w:tblGrid>
      <w:tr w:rsidR="009D7CBE" w:rsidRPr="005E5A1A" w14:paraId="625C1ADB" w14:textId="77777777" w:rsidTr="001530CC">
        <w:tc>
          <w:tcPr>
            <w:tcW w:w="900" w:type="dxa"/>
            <w:tcBorders>
              <w:top w:val="single" w:sz="4" w:space="0" w:color="auto"/>
              <w:left w:val="single" w:sz="4" w:space="0" w:color="auto"/>
              <w:bottom w:val="single" w:sz="4" w:space="0" w:color="auto"/>
              <w:right w:val="single" w:sz="4" w:space="0" w:color="auto"/>
            </w:tcBorders>
            <w:hideMark/>
          </w:tcPr>
          <w:p w14:paraId="39D09788"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Region</w:t>
            </w:r>
          </w:p>
        </w:tc>
        <w:tc>
          <w:tcPr>
            <w:tcW w:w="831" w:type="dxa"/>
            <w:tcBorders>
              <w:top w:val="single" w:sz="4" w:space="0" w:color="auto"/>
              <w:left w:val="single" w:sz="4" w:space="0" w:color="auto"/>
              <w:bottom w:val="single" w:sz="4" w:space="0" w:color="auto"/>
              <w:right w:val="single" w:sz="4" w:space="0" w:color="auto"/>
            </w:tcBorders>
            <w:hideMark/>
          </w:tcPr>
          <w:p w14:paraId="12521BED"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2000</w:t>
            </w:r>
          </w:p>
        </w:tc>
        <w:tc>
          <w:tcPr>
            <w:tcW w:w="831" w:type="dxa"/>
            <w:tcBorders>
              <w:top w:val="single" w:sz="4" w:space="0" w:color="auto"/>
              <w:left w:val="single" w:sz="4" w:space="0" w:color="auto"/>
              <w:bottom w:val="single" w:sz="4" w:space="0" w:color="auto"/>
              <w:right w:val="single" w:sz="4" w:space="0" w:color="auto"/>
            </w:tcBorders>
            <w:hideMark/>
          </w:tcPr>
          <w:p w14:paraId="7305FEC7"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2005</w:t>
            </w:r>
          </w:p>
        </w:tc>
        <w:tc>
          <w:tcPr>
            <w:tcW w:w="831" w:type="dxa"/>
            <w:tcBorders>
              <w:top w:val="single" w:sz="4" w:space="0" w:color="auto"/>
              <w:left w:val="single" w:sz="4" w:space="0" w:color="auto"/>
              <w:bottom w:val="single" w:sz="4" w:space="0" w:color="auto"/>
              <w:right w:val="single" w:sz="4" w:space="0" w:color="auto"/>
            </w:tcBorders>
            <w:hideMark/>
          </w:tcPr>
          <w:p w14:paraId="480C1486"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2007</w:t>
            </w:r>
          </w:p>
        </w:tc>
        <w:tc>
          <w:tcPr>
            <w:tcW w:w="831" w:type="dxa"/>
            <w:tcBorders>
              <w:top w:val="single" w:sz="4" w:space="0" w:color="auto"/>
              <w:left w:val="single" w:sz="4" w:space="0" w:color="auto"/>
              <w:bottom w:val="single" w:sz="4" w:space="0" w:color="auto"/>
              <w:right w:val="single" w:sz="4" w:space="0" w:color="auto"/>
            </w:tcBorders>
            <w:hideMark/>
          </w:tcPr>
          <w:p w14:paraId="127C38D1"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2008</w:t>
            </w:r>
          </w:p>
        </w:tc>
        <w:tc>
          <w:tcPr>
            <w:tcW w:w="831" w:type="dxa"/>
            <w:tcBorders>
              <w:top w:val="single" w:sz="4" w:space="0" w:color="auto"/>
              <w:left w:val="single" w:sz="4" w:space="0" w:color="auto"/>
              <w:bottom w:val="single" w:sz="4" w:space="0" w:color="auto"/>
              <w:right w:val="single" w:sz="4" w:space="0" w:color="auto"/>
            </w:tcBorders>
            <w:hideMark/>
          </w:tcPr>
          <w:p w14:paraId="429C5F20"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2009</w:t>
            </w:r>
          </w:p>
        </w:tc>
        <w:tc>
          <w:tcPr>
            <w:tcW w:w="831" w:type="dxa"/>
            <w:tcBorders>
              <w:top w:val="single" w:sz="4" w:space="0" w:color="auto"/>
              <w:left w:val="single" w:sz="4" w:space="0" w:color="auto"/>
              <w:bottom w:val="single" w:sz="4" w:space="0" w:color="auto"/>
              <w:right w:val="single" w:sz="4" w:space="0" w:color="auto"/>
            </w:tcBorders>
            <w:hideMark/>
          </w:tcPr>
          <w:p w14:paraId="03FA271F"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2010</w:t>
            </w:r>
          </w:p>
        </w:tc>
        <w:tc>
          <w:tcPr>
            <w:tcW w:w="831" w:type="dxa"/>
            <w:tcBorders>
              <w:top w:val="single" w:sz="4" w:space="0" w:color="auto"/>
              <w:left w:val="single" w:sz="4" w:space="0" w:color="auto"/>
              <w:bottom w:val="single" w:sz="4" w:space="0" w:color="auto"/>
              <w:right w:val="single" w:sz="4" w:space="0" w:color="auto"/>
            </w:tcBorders>
            <w:hideMark/>
          </w:tcPr>
          <w:p w14:paraId="2EBB713B"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2011</w:t>
            </w:r>
          </w:p>
        </w:tc>
        <w:tc>
          <w:tcPr>
            <w:tcW w:w="886" w:type="dxa"/>
            <w:tcBorders>
              <w:top w:val="single" w:sz="4" w:space="0" w:color="auto"/>
              <w:left w:val="single" w:sz="4" w:space="0" w:color="auto"/>
              <w:bottom w:val="single" w:sz="4" w:space="0" w:color="auto"/>
              <w:right w:val="single" w:sz="4" w:space="0" w:color="auto"/>
            </w:tcBorders>
            <w:hideMark/>
          </w:tcPr>
          <w:p w14:paraId="67F3BB46"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2012E</w:t>
            </w:r>
          </w:p>
        </w:tc>
        <w:tc>
          <w:tcPr>
            <w:tcW w:w="884" w:type="dxa"/>
            <w:tcBorders>
              <w:top w:val="single" w:sz="4" w:space="0" w:color="auto"/>
              <w:left w:val="single" w:sz="4" w:space="0" w:color="auto"/>
              <w:bottom w:val="single" w:sz="4" w:space="0" w:color="auto"/>
              <w:right w:val="single" w:sz="4" w:space="0" w:color="auto"/>
            </w:tcBorders>
            <w:hideMark/>
          </w:tcPr>
          <w:p w14:paraId="0C645A47"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2013F</w:t>
            </w:r>
          </w:p>
        </w:tc>
        <w:tc>
          <w:tcPr>
            <w:tcW w:w="755" w:type="dxa"/>
            <w:tcBorders>
              <w:top w:val="single" w:sz="4" w:space="0" w:color="auto"/>
              <w:left w:val="single" w:sz="4" w:space="0" w:color="auto"/>
              <w:bottom w:val="single" w:sz="4" w:space="0" w:color="auto"/>
              <w:right w:val="single" w:sz="4" w:space="0" w:color="auto"/>
            </w:tcBorders>
            <w:hideMark/>
          </w:tcPr>
          <w:p w14:paraId="00E81436" w14:textId="77777777" w:rsidR="009D7CBE" w:rsidRPr="005E5A1A" w:rsidRDefault="009D7CBE" w:rsidP="001530CC">
            <w:pPr>
              <w:jc w:val="center"/>
              <w:rPr>
                <w:rFonts w:ascii="Arial" w:hAnsi="Arial" w:cs="Arial"/>
                <w:b/>
                <w:sz w:val="19"/>
                <w:szCs w:val="19"/>
                <w:lang w:val="en-GB"/>
              </w:rPr>
            </w:pPr>
            <w:r w:rsidRPr="005E5A1A">
              <w:rPr>
                <w:rFonts w:ascii="Arial" w:hAnsi="Arial" w:cs="Arial"/>
                <w:b/>
                <w:sz w:val="19"/>
                <w:szCs w:val="19"/>
                <w:lang w:val="en-GB"/>
              </w:rPr>
              <w:t>2014F</w:t>
            </w:r>
          </w:p>
        </w:tc>
      </w:tr>
      <w:tr w:rsidR="009D7CBE" w:rsidRPr="005E5A1A" w14:paraId="2A3A9876" w14:textId="77777777" w:rsidTr="001530CC">
        <w:tc>
          <w:tcPr>
            <w:tcW w:w="900" w:type="dxa"/>
            <w:tcBorders>
              <w:top w:val="single" w:sz="4" w:space="0" w:color="auto"/>
              <w:left w:val="single" w:sz="4" w:space="0" w:color="auto"/>
              <w:bottom w:val="single" w:sz="4" w:space="0" w:color="auto"/>
              <w:right w:val="single" w:sz="4" w:space="0" w:color="auto"/>
            </w:tcBorders>
            <w:hideMark/>
          </w:tcPr>
          <w:p w14:paraId="027F2917" w14:textId="77777777" w:rsidR="009D7CBE" w:rsidRPr="005E5A1A" w:rsidRDefault="009D7CBE">
            <w:pPr>
              <w:rPr>
                <w:rFonts w:ascii="Arial" w:hAnsi="Arial" w:cs="Arial"/>
                <w:sz w:val="19"/>
                <w:szCs w:val="19"/>
                <w:lang w:val="en-GB"/>
              </w:rPr>
            </w:pPr>
            <w:r w:rsidRPr="005E5A1A">
              <w:rPr>
                <w:rFonts w:ascii="Arial" w:hAnsi="Arial" w:cs="Arial"/>
                <w:sz w:val="19"/>
                <w:szCs w:val="19"/>
                <w:lang w:val="en-GB"/>
              </w:rPr>
              <w:t>Africa</w:t>
            </w:r>
          </w:p>
        </w:tc>
        <w:tc>
          <w:tcPr>
            <w:tcW w:w="831" w:type="dxa"/>
            <w:tcBorders>
              <w:top w:val="single" w:sz="4" w:space="0" w:color="auto"/>
              <w:left w:val="single" w:sz="4" w:space="0" w:color="auto"/>
              <w:bottom w:val="single" w:sz="4" w:space="0" w:color="auto"/>
              <w:right w:val="single" w:sz="4" w:space="0" w:color="auto"/>
            </w:tcBorders>
            <w:hideMark/>
          </w:tcPr>
          <w:p w14:paraId="63581B04" w14:textId="77777777" w:rsidR="009D7CBE" w:rsidRPr="005E5A1A" w:rsidRDefault="009D7CBE" w:rsidP="001530CC">
            <w:pPr>
              <w:tabs>
                <w:tab w:val="decimal" w:pos="268"/>
              </w:tabs>
              <w:rPr>
                <w:rFonts w:ascii="Arial" w:hAnsi="Arial" w:cs="Arial"/>
                <w:sz w:val="19"/>
                <w:szCs w:val="19"/>
                <w:lang w:val="en-GB"/>
              </w:rPr>
            </w:pPr>
            <w:r w:rsidRPr="005E5A1A">
              <w:rPr>
                <w:rFonts w:ascii="Arial" w:hAnsi="Arial" w:cs="Arial"/>
                <w:sz w:val="19"/>
                <w:szCs w:val="19"/>
                <w:lang w:val="en-GB"/>
              </w:rPr>
              <w:t>2.8</w:t>
            </w:r>
          </w:p>
        </w:tc>
        <w:tc>
          <w:tcPr>
            <w:tcW w:w="831" w:type="dxa"/>
            <w:tcBorders>
              <w:top w:val="single" w:sz="4" w:space="0" w:color="auto"/>
              <w:left w:val="single" w:sz="4" w:space="0" w:color="auto"/>
              <w:bottom w:val="single" w:sz="4" w:space="0" w:color="auto"/>
              <w:right w:val="single" w:sz="4" w:space="0" w:color="auto"/>
            </w:tcBorders>
            <w:hideMark/>
          </w:tcPr>
          <w:p w14:paraId="4611431E" w14:textId="77777777" w:rsidR="009D7CBE" w:rsidRPr="005E5A1A" w:rsidRDefault="009D7CBE" w:rsidP="001530CC">
            <w:pPr>
              <w:tabs>
                <w:tab w:val="decimal" w:pos="288"/>
              </w:tabs>
              <w:rPr>
                <w:rFonts w:ascii="Arial" w:hAnsi="Arial" w:cs="Arial"/>
                <w:sz w:val="19"/>
                <w:szCs w:val="19"/>
                <w:lang w:val="en-GB"/>
              </w:rPr>
            </w:pPr>
            <w:r w:rsidRPr="005E5A1A">
              <w:rPr>
                <w:rFonts w:ascii="Arial" w:hAnsi="Arial" w:cs="Arial"/>
                <w:sz w:val="19"/>
                <w:szCs w:val="19"/>
                <w:lang w:val="en-GB"/>
              </w:rPr>
              <w:t>3.3</w:t>
            </w:r>
          </w:p>
        </w:tc>
        <w:tc>
          <w:tcPr>
            <w:tcW w:w="831" w:type="dxa"/>
            <w:tcBorders>
              <w:top w:val="single" w:sz="4" w:space="0" w:color="auto"/>
              <w:left w:val="single" w:sz="4" w:space="0" w:color="auto"/>
              <w:bottom w:val="single" w:sz="4" w:space="0" w:color="auto"/>
              <w:right w:val="single" w:sz="4" w:space="0" w:color="auto"/>
            </w:tcBorders>
            <w:hideMark/>
          </w:tcPr>
          <w:p w14:paraId="1F48BE80" w14:textId="77777777" w:rsidR="009D7CBE" w:rsidRPr="005E5A1A" w:rsidRDefault="009D7CBE" w:rsidP="001530CC">
            <w:pPr>
              <w:tabs>
                <w:tab w:val="decimal" w:pos="307"/>
              </w:tabs>
              <w:rPr>
                <w:rFonts w:ascii="Arial" w:hAnsi="Arial" w:cs="Arial"/>
                <w:sz w:val="19"/>
                <w:szCs w:val="19"/>
                <w:lang w:val="en-GB"/>
              </w:rPr>
            </w:pPr>
            <w:r w:rsidRPr="005E5A1A">
              <w:rPr>
                <w:rFonts w:ascii="Arial" w:hAnsi="Arial" w:cs="Arial"/>
                <w:sz w:val="19"/>
                <w:szCs w:val="19"/>
                <w:lang w:val="en-GB"/>
              </w:rPr>
              <w:t>3.7</w:t>
            </w:r>
          </w:p>
        </w:tc>
        <w:tc>
          <w:tcPr>
            <w:tcW w:w="831" w:type="dxa"/>
            <w:tcBorders>
              <w:top w:val="single" w:sz="4" w:space="0" w:color="auto"/>
              <w:left w:val="single" w:sz="4" w:space="0" w:color="auto"/>
              <w:bottom w:val="single" w:sz="4" w:space="0" w:color="auto"/>
              <w:right w:val="single" w:sz="4" w:space="0" w:color="auto"/>
            </w:tcBorders>
            <w:hideMark/>
          </w:tcPr>
          <w:p w14:paraId="44C0FDDB" w14:textId="77777777" w:rsidR="009D7CBE" w:rsidRPr="005E5A1A" w:rsidRDefault="009D7CBE" w:rsidP="001530CC">
            <w:pPr>
              <w:tabs>
                <w:tab w:val="decimal" w:pos="327"/>
              </w:tabs>
              <w:rPr>
                <w:rFonts w:ascii="Arial" w:hAnsi="Arial" w:cs="Arial"/>
                <w:sz w:val="19"/>
                <w:szCs w:val="19"/>
                <w:lang w:val="en-GB"/>
              </w:rPr>
            </w:pPr>
            <w:r w:rsidRPr="005E5A1A">
              <w:rPr>
                <w:rFonts w:ascii="Arial" w:hAnsi="Arial" w:cs="Arial"/>
                <w:sz w:val="19"/>
                <w:szCs w:val="19"/>
                <w:lang w:val="en-GB"/>
              </w:rPr>
              <w:t>4.0</w:t>
            </w:r>
          </w:p>
        </w:tc>
        <w:tc>
          <w:tcPr>
            <w:tcW w:w="831" w:type="dxa"/>
            <w:tcBorders>
              <w:top w:val="single" w:sz="4" w:space="0" w:color="auto"/>
              <w:left w:val="single" w:sz="4" w:space="0" w:color="auto"/>
              <w:bottom w:val="single" w:sz="4" w:space="0" w:color="auto"/>
              <w:right w:val="single" w:sz="4" w:space="0" w:color="auto"/>
            </w:tcBorders>
            <w:hideMark/>
          </w:tcPr>
          <w:p w14:paraId="3AD78DBB" w14:textId="77777777" w:rsidR="009D7CBE" w:rsidRPr="005E5A1A" w:rsidRDefault="009D7CBE" w:rsidP="001530CC">
            <w:pPr>
              <w:tabs>
                <w:tab w:val="decimal" w:pos="346"/>
              </w:tabs>
              <w:rPr>
                <w:rFonts w:ascii="Arial" w:hAnsi="Arial" w:cs="Arial"/>
                <w:sz w:val="19"/>
                <w:szCs w:val="19"/>
                <w:lang w:val="en-GB"/>
              </w:rPr>
            </w:pPr>
            <w:r w:rsidRPr="005E5A1A">
              <w:rPr>
                <w:rFonts w:ascii="Arial" w:hAnsi="Arial" w:cs="Arial"/>
                <w:sz w:val="19"/>
                <w:szCs w:val="19"/>
                <w:lang w:val="en-GB"/>
              </w:rPr>
              <w:t>4.2</w:t>
            </w:r>
          </w:p>
        </w:tc>
        <w:tc>
          <w:tcPr>
            <w:tcW w:w="831" w:type="dxa"/>
            <w:tcBorders>
              <w:top w:val="single" w:sz="4" w:space="0" w:color="auto"/>
              <w:left w:val="single" w:sz="4" w:space="0" w:color="auto"/>
              <w:bottom w:val="single" w:sz="4" w:space="0" w:color="auto"/>
              <w:right w:val="single" w:sz="4" w:space="0" w:color="auto"/>
            </w:tcBorders>
            <w:hideMark/>
          </w:tcPr>
          <w:p w14:paraId="7A650A3C" w14:textId="77777777" w:rsidR="009D7CBE" w:rsidRPr="005E5A1A" w:rsidRDefault="009D7CBE" w:rsidP="001530CC">
            <w:pPr>
              <w:tabs>
                <w:tab w:val="decimal" w:pos="366"/>
              </w:tabs>
              <w:rPr>
                <w:rFonts w:ascii="Arial" w:hAnsi="Arial" w:cs="Arial"/>
                <w:sz w:val="19"/>
                <w:szCs w:val="19"/>
                <w:lang w:val="en-GB"/>
              </w:rPr>
            </w:pPr>
            <w:r w:rsidRPr="005E5A1A">
              <w:rPr>
                <w:rFonts w:ascii="Arial" w:hAnsi="Arial" w:cs="Arial"/>
                <w:sz w:val="19"/>
                <w:szCs w:val="19"/>
                <w:lang w:val="en-GB"/>
              </w:rPr>
              <w:t>4.5</w:t>
            </w:r>
          </w:p>
        </w:tc>
        <w:tc>
          <w:tcPr>
            <w:tcW w:w="831" w:type="dxa"/>
            <w:tcBorders>
              <w:top w:val="single" w:sz="4" w:space="0" w:color="auto"/>
              <w:left w:val="single" w:sz="4" w:space="0" w:color="auto"/>
              <w:bottom w:val="single" w:sz="4" w:space="0" w:color="auto"/>
              <w:right w:val="single" w:sz="4" w:space="0" w:color="auto"/>
            </w:tcBorders>
            <w:hideMark/>
          </w:tcPr>
          <w:p w14:paraId="11468EB2" w14:textId="77777777" w:rsidR="009D7CBE" w:rsidRPr="005E5A1A" w:rsidRDefault="009D7CBE" w:rsidP="001530CC">
            <w:pPr>
              <w:tabs>
                <w:tab w:val="decimal" w:pos="385"/>
              </w:tabs>
              <w:rPr>
                <w:rFonts w:ascii="Arial" w:hAnsi="Arial" w:cs="Arial"/>
                <w:sz w:val="19"/>
                <w:szCs w:val="19"/>
                <w:lang w:val="en-GB"/>
              </w:rPr>
            </w:pPr>
            <w:r w:rsidRPr="005E5A1A">
              <w:rPr>
                <w:rFonts w:ascii="Arial" w:hAnsi="Arial" w:cs="Arial"/>
                <w:sz w:val="19"/>
                <w:szCs w:val="19"/>
                <w:lang w:val="en-GB"/>
              </w:rPr>
              <w:t>4.6</w:t>
            </w:r>
          </w:p>
        </w:tc>
        <w:tc>
          <w:tcPr>
            <w:tcW w:w="886" w:type="dxa"/>
            <w:tcBorders>
              <w:top w:val="single" w:sz="4" w:space="0" w:color="auto"/>
              <w:left w:val="single" w:sz="4" w:space="0" w:color="auto"/>
              <w:bottom w:val="single" w:sz="4" w:space="0" w:color="auto"/>
              <w:right w:val="single" w:sz="4" w:space="0" w:color="auto"/>
            </w:tcBorders>
            <w:hideMark/>
          </w:tcPr>
          <w:p w14:paraId="5ADCEF8B" w14:textId="77777777" w:rsidR="009D7CBE" w:rsidRPr="005E5A1A" w:rsidRDefault="009D7CBE" w:rsidP="001530CC">
            <w:pPr>
              <w:tabs>
                <w:tab w:val="decimal" w:pos="405"/>
              </w:tabs>
              <w:rPr>
                <w:rFonts w:ascii="Arial" w:hAnsi="Arial" w:cs="Arial"/>
                <w:sz w:val="19"/>
                <w:szCs w:val="19"/>
                <w:lang w:val="en-GB"/>
              </w:rPr>
            </w:pPr>
            <w:r w:rsidRPr="005E5A1A">
              <w:rPr>
                <w:rFonts w:ascii="Arial" w:hAnsi="Arial" w:cs="Arial"/>
                <w:sz w:val="19"/>
                <w:szCs w:val="19"/>
                <w:lang w:val="en-GB"/>
              </w:rPr>
              <w:t>4.7</w:t>
            </w:r>
          </w:p>
        </w:tc>
        <w:tc>
          <w:tcPr>
            <w:tcW w:w="884" w:type="dxa"/>
            <w:tcBorders>
              <w:top w:val="single" w:sz="4" w:space="0" w:color="auto"/>
              <w:left w:val="single" w:sz="4" w:space="0" w:color="auto"/>
              <w:bottom w:val="single" w:sz="4" w:space="0" w:color="auto"/>
              <w:right w:val="single" w:sz="4" w:space="0" w:color="auto"/>
            </w:tcBorders>
            <w:hideMark/>
          </w:tcPr>
          <w:p w14:paraId="68DEA021" w14:textId="77777777" w:rsidR="009D7CBE" w:rsidRPr="005E5A1A" w:rsidRDefault="009D7CBE" w:rsidP="001530CC">
            <w:pPr>
              <w:tabs>
                <w:tab w:val="decimal" w:pos="369"/>
              </w:tabs>
              <w:rPr>
                <w:rFonts w:ascii="Arial" w:hAnsi="Arial" w:cs="Arial"/>
                <w:sz w:val="19"/>
                <w:szCs w:val="19"/>
                <w:lang w:val="en-GB"/>
              </w:rPr>
            </w:pPr>
            <w:r w:rsidRPr="005E5A1A">
              <w:rPr>
                <w:rFonts w:ascii="Arial" w:hAnsi="Arial" w:cs="Arial"/>
                <w:sz w:val="19"/>
                <w:szCs w:val="19"/>
                <w:lang w:val="en-GB"/>
              </w:rPr>
              <w:t>4.7</w:t>
            </w:r>
          </w:p>
        </w:tc>
        <w:tc>
          <w:tcPr>
            <w:tcW w:w="755" w:type="dxa"/>
            <w:tcBorders>
              <w:top w:val="single" w:sz="4" w:space="0" w:color="auto"/>
              <w:left w:val="single" w:sz="4" w:space="0" w:color="auto"/>
              <w:bottom w:val="single" w:sz="4" w:space="0" w:color="auto"/>
              <w:right w:val="single" w:sz="4" w:space="0" w:color="auto"/>
            </w:tcBorders>
            <w:hideMark/>
          </w:tcPr>
          <w:p w14:paraId="3FB1FCC3" w14:textId="77777777" w:rsidR="009D7CBE" w:rsidRPr="005E5A1A" w:rsidRDefault="009D7CBE" w:rsidP="001530CC">
            <w:pPr>
              <w:tabs>
                <w:tab w:val="decimal" w:pos="336"/>
              </w:tabs>
              <w:rPr>
                <w:rFonts w:ascii="Arial" w:hAnsi="Arial" w:cs="Arial"/>
                <w:sz w:val="19"/>
                <w:szCs w:val="19"/>
                <w:lang w:val="en-GB"/>
              </w:rPr>
            </w:pPr>
            <w:r w:rsidRPr="005E5A1A">
              <w:rPr>
                <w:rFonts w:ascii="Arial" w:hAnsi="Arial" w:cs="Arial"/>
                <w:sz w:val="19"/>
                <w:szCs w:val="19"/>
                <w:lang w:val="en-GB"/>
              </w:rPr>
              <w:t>4.8</w:t>
            </w:r>
          </w:p>
        </w:tc>
      </w:tr>
      <w:tr w:rsidR="009D7CBE" w:rsidRPr="005E5A1A" w14:paraId="2A4DC98F" w14:textId="77777777" w:rsidTr="001530CC">
        <w:tc>
          <w:tcPr>
            <w:tcW w:w="900" w:type="dxa"/>
            <w:tcBorders>
              <w:top w:val="single" w:sz="4" w:space="0" w:color="auto"/>
              <w:left w:val="single" w:sz="4" w:space="0" w:color="auto"/>
              <w:bottom w:val="single" w:sz="4" w:space="0" w:color="auto"/>
              <w:right w:val="single" w:sz="4" w:space="0" w:color="auto"/>
            </w:tcBorders>
            <w:hideMark/>
          </w:tcPr>
          <w:p w14:paraId="24F7B59E" w14:textId="77777777" w:rsidR="009D7CBE" w:rsidRPr="005E5A1A" w:rsidRDefault="009D7CBE">
            <w:pPr>
              <w:rPr>
                <w:rFonts w:ascii="Arial" w:hAnsi="Arial" w:cs="Arial"/>
                <w:sz w:val="19"/>
                <w:szCs w:val="19"/>
                <w:lang w:val="en-GB"/>
              </w:rPr>
            </w:pPr>
            <w:r w:rsidRPr="005E5A1A">
              <w:rPr>
                <w:rFonts w:ascii="Arial" w:hAnsi="Arial" w:cs="Arial"/>
                <w:sz w:val="19"/>
                <w:szCs w:val="19"/>
                <w:lang w:val="en-GB"/>
              </w:rPr>
              <w:t>Americas</w:t>
            </w:r>
          </w:p>
        </w:tc>
        <w:tc>
          <w:tcPr>
            <w:tcW w:w="831" w:type="dxa"/>
            <w:tcBorders>
              <w:top w:val="single" w:sz="4" w:space="0" w:color="auto"/>
              <w:left w:val="single" w:sz="4" w:space="0" w:color="auto"/>
              <w:bottom w:val="single" w:sz="4" w:space="0" w:color="auto"/>
              <w:right w:val="single" w:sz="4" w:space="0" w:color="auto"/>
            </w:tcBorders>
            <w:hideMark/>
          </w:tcPr>
          <w:p w14:paraId="4DFF4491" w14:textId="77777777" w:rsidR="009D7CBE" w:rsidRPr="005E5A1A" w:rsidRDefault="009D7CBE" w:rsidP="001530CC">
            <w:pPr>
              <w:tabs>
                <w:tab w:val="decimal" w:pos="268"/>
              </w:tabs>
              <w:rPr>
                <w:rFonts w:ascii="Arial" w:hAnsi="Arial" w:cs="Arial"/>
                <w:sz w:val="19"/>
                <w:szCs w:val="19"/>
                <w:lang w:val="en-GB"/>
              </w:rPr>
            </w:pPr>
            <w:r w:rsidRPr="005E5A1A">
              <w:rPr>
                <w:rFonts w:ascii="Arial" w:hAnsi="Arial" w:cs="Arial"/>
                <w:sz w:val="19"/>
                <w:szCs w:val="19"/>
                <w:lang w:val="en-GB"/>
              </w:rPr>
              <w:t>27.1</w:t>
            </w:r>
          </w:p>
        </w:tc>
        <w:tc>
          <w:tcPr>
            <w:tcW w:w="831" w:type="dxa"/>
            <w:tcBorders>
              <w:top w:val="single" w:sz="4" w:space="0" w:color="auto"/>
              <w:left w:val="single" w:sz="4" w:space="0" w:color="auto"/>
              <w:bottom w:val="single" w:sz="4" w:space="0" w:color="auto"/>
              <w:right w:val="single" w:sz="4" w:space="0" w:color="auto"/>
            </w:tcBorders>
            <w:hideMark/>
          </w:tcPr>
          <w:p w14:paraId="54F6442B" w14:textId="77777777" w:rsidR="009D7CBE" w:rsidRPr="005E5A1A" w:rsidRDefault="009D7CBE" w:rsidP="001530CC">
            <w:pPr>
              <w:tabs>
                <w:tab w:val="decimal" w:pos="288"/>
              </w:tabs>
              <w:rPr>
                <w:rFonts w:ascii="Arial" w:hAnsi="Arial" w:cs="Arial"/>
                <w:sz w:val="19"/>
                <w:szCs w:val="19"/>
                <w:lang w:val="en-GB"/>
              </w:rPr>
            </w:pPr>
            <w:r w:rsidRPr="005E5A1A">
              <w:rPr>
                <w:rFonts w:ascii="Arial" w:hAnsi="Arial" w:cs="Arial"/>
                <w:sz w:val="19"/>
                <w:szCs w:val="19"/>
                <w:lang w:val="en-GB"/>
              </w:rPr>
              <w:t>32.7</w:t>
            </w:r>
          </w:p>
        </w:tc>
        <w:tc>
          <w:tcPr>
            <w:tcW w:w="831" w:type="dxa"/>
            <w:tcBorders>
              <w:top w:val="single" w:sz="4" w:space="0" w:color="auto"/>
              <w:left w:val="single" w:sz="4" w:space="0" w:color="auto"/>
              <w:bottom w:val="single" w:sz="4" w:space="0" w:color="auto"/>
              <w:right w:val="single" w:sz="4" w:space="0" w:color="auto"/>
            </w:tcBorders>
            <w:hideMark/>
          </w:tcPr>
          <w:p w14:paraId="06A20921" w14:textId="77777777" w:rsidR="009D7CBE" w:rsidRPr="005E5A1A" w:rsidRDefault="009D7CBE" w:rsidP="001530CC">
            <w:pPr>
              <w:tabs>
                <w:tab w:val="decimal" w:pos="307"/>
              </w:tabs>
              <w:rPr>
                <w:rFonts w:ascii="Arial" w:hAnsi="Arial" w:cs="Arial"/>
                <w:sz w:val="19"/>
                <w:szCs w:val="19"/>
                <w:lang w:val="en-GB"/>
              </w:rPr>
            </w:pPr>
            <w:r w:rsidRPr="005E5A1A">
              <w:rPr>
                <w:rFonts w:ascii="Arial" w:hAnsi="Arial" w:cs="Arial"/>
                <w:sz w:val="19"/>
                <w:szCs w:val="19"/>
                <w:lang w:val="en-GB"/>
              </w:rPr>
              <w:t>35.0</w:t>
            </w:r>
          </w:p>
        </w:tc>
        <w:tc>
          <w:tcPr>
            <w:tcW w:w="831" w:type="dxa"/>
            <w:tcBorders>
              <w:top w:val="single" w:sz="4" w:space="0" w:color="auto"/>
              <w:left w:val="single" w:sz="4" w:space="0" w:color="auto"/>
              <w:bottom w:val="single" w:sz="4" w:space="0" w:color="auto"/>
              <w:right w:val="single" w:sz="4" w:space="0" w:color="auto"/>
            </w:tcBorders>
            <w:hideMark/>
          </w:tcPr>
          <w:p w14:paraId="1144F2DC" w14:textId="77777777" w:rsidR="009D7CBE" w:rsidRPr="005E5A1A" w:rsidRDefault="009D7CBE" w:rsidP="001530CC">
            <w:pPr>
              <w:tabs>
                <w:tab w:val="decimal" w:pos="327"/>
              </w:tabs>
              <w:rPr>
                <w:rFonts w:ascii="Arial" w:hAnsi="Arial" w:cs="Arial"/>
                <w:sz w:val="19"/>
                <w:szCs w:val="19"/>
                <w:lang w:val="en-GB"/>
              </w:rPr>
            </w:pPr>
            <w:r w:rsidRPr="005E5A1A">
              <w:rPr>
                <w:rFonts w:ascii="Arial" w:hAnsi="Arial" w:cs="Arial"/>
                <w:sz w:val="19"/>
                <w:szCs w:val="19"/>
                <w:lang w:val="en-GB"/>
              </w:rPr>
              <w:t>37.4</w:t>
            </w:r>
          </w:p>
        </w:tc>
        <w:tc>
          <w:tcPr>
            <w:tcW w:w="831" w:type="dxa"/>
            <w:tcBorders>
              <w:top w:val="single" w:sz="4" w:space="0" w:color="auto"/>
              <w:left w:val="single" w:sz="4" w:space="0" w:color="auto"/>
              <w:bottom w:val="single" w:sz="4" w:space="0" w:color="auto"/>
              <w:right w:val="single" w:sz="4" w:space="0" w:color="auto"/>
            </w:tcBorders>
            <w:hideMark/>
          </w:tcPr>
          <w:p w14:paraId="1D259A6C" w14:textId="77777777" w:rsidR="009D7CBE" w:rsidRPr="005E5A1A" w:rsidRDefault="009D7CBE" w:rsidP="001530CC">
            <w:pPr>
              <w:tabs>
                <w:tab w:val="decimal" w:pos="346"/>
              </w:tabs>
              <w:rPr>
                <w:rFonts w:ascii="Arial" w:hAnsi="Arial" w:cs="Arial"/>
                <w:sz w:val="19"/>
                <w:szCs w:val="19"/>
                <w:lang w:val="en-GB"/>
              </w:rPr>
            </w:pPr>
            <w:r w:rsidRPr="005E5A1A">
              <w:rPr>
                <w:rFonts w:ascii="Arial" w:hAnsi="Arial" w:cs="Arial"/>
                <w:sz w:val="19"/>
                <w:szCs w:val="19"/>
                <w:lang w:val="en-GB"/>
              </w:rPr>
              <w:t>36.7</w:t>
            </w:r>
          </w:p>
        </w:tc>
        <w:tc>
          <w:tcPr>
            <w:tcW w:w="831" w:type="dxa"/>
            <w:tcBorders>
              <w:top w:val="single" w:sz="4" w:space="0" w:color="auto"/>
              <w:left w:val="single" w:sz="4" w:space="0" w:color="auto"/>
              <w:bottom w:val="single" w:sz="4" w:space="0" w:color="auto"/>
              <w:right w:val="single" w:sz="4" w:space="0" w:color="auto"/>
            </w:tcBorders>
            <w:hideMark/>
          </w:tcPr>
          <w:p w14:paraId="46A1D310" w14:textId="77777777" w:rsidR="009D7CBE" w:rsidRPr="005E5A1A" w:rsidRDefault="009D7CBE" w:rsidP="001530CC">
            <w:pPr>
              <w:tabs>
                <w:tab w:val="decimal" w:pos="366"/>
              </w:tabs>
              <w:rPr>
                <w:rFonts w:ascii="Arial" w:hAnsi="Arial" w:cs="Arial"/>
                <w:sz w:val="19"/>
                <w:szCs w:val="19"/>
                <w:lang w:val="en-GB"/>
              </w:rPr>
            </w:pPr>
            <w:r w:rsidRPr="005E5A1A">
              <w:rPr>
                <w:rFonts w:ascii="Arial" w:hAnsi="Arial" w:cs="Arial"/>
                <w:sz w:val="19"/>
                <w:szCs w:val="19"/>
                <w:lang w:val="en-GB"/>
              </w:rPr>
              <w:t>38.6</w:t>
            </w:r>
          </w:p>
        </w:tc>
        <w:tc>
          <w:tcPr>
            <w:tcW w:w="831" w:type="dxa"/>
            <w:tcBorders>
              <w:top w:val="single" w:sz="4" w:space="0" w:color="auto"/>
              <w:left w:val="single" w:sz="4" w:space="0" w:color="auto"/>
              <w:bottom w:val="single" w:sz="4" w:space="0" w:color="auto"/>
              <w:right w:val="single" w:sz="4" w:space="0" w:color="auto"/>
            </w:tcBorders>
            <w:hideMark/>
          </w:tcPr>
          <w:p w14:paraId="492ADEA2" w14:textId="77777777" w:rsidR="009D7CBE" w:rsidRPr="005E5A1A" w:rsidRDefault="009D7CBE" w:rsidP="001530CC">
            <w:pPr>
              <w:tabs>
                <w:tab w:val="decimal" w:pos="385"/>
              </w:tabs>
              <w:rPr>
                <w:rFonts w:ascii="Arial" w:hAnsi="Arial" w:cs="Arial"/>
                <w:sz w:val="19"/>
                <w:szCs w:val="19"/>
                <w:lang w:val="en-GB"/>
              </w:rPr>
            </w:pPr>
            <w:r w:rsidRPr="005E5A1A">
              <w:rPr>
                <w:rFonts w:ascii="Arial" w:hAnsi="Arial" w:cs="Arial"/>
                <w:sz w:val="19"/>
                <w:szCs w:val="19"/>
                <w:lang w:val="en-GB"/>
              </w:rPr>
              <w:t>39.9</w:t>
            </w:r>
          </w:p>
        </w:tc>
        <w:tc>
          <w:tcPr>
            <w:tcW w:w="886" w:type="dxa"/>
            <w:tcBorders>
              <w:top w:val="single" w:sz="4" w:space="0" w:color="auto"/>
              <w:left w:val="single" w:sz="4" w:space="0" w:color="auto"/>
              <w:bottom w:val="single" w:sz="4" w:space="0" w:color="auto"/>
              <w:right w:val="single" w:sz="4" w:space="0" w:color="auto"/>
            </w:tcBorders>
            <w:hideMark/>
          </w:tcPr>
          <w:p w14:paraId="0CABD42E" w14:textId="77777777" w:rsidR="009D7CBE" w:rsidRPr="005E5A1A" w:rsidRDefault="009D7CBE" w:rsidP="001530CC">
            <w:pPr>
              <w:tabs>
                <w:tab w:val="decimal" w:pos="405"/>
              </w:tabs>
              <w:rPr>
                <w:rFonts w:ascii="Arial" w:hAnsi="Arial" w:cs="Arial"/>
                <w:sz w:val="19"/>
                <w:szCs w:val="19"/>
                <w:lang w:val="en-GB"/>
              </w:rPr>
            </w:pPr>
            <w:r w:rsidRPr="005E5A1A">
              <w:rPr>
                <w:rFonts w:ascii="Arial" w:hAnsi="Arial" w:cs="Arial"/>
                <w:sz w:val="19"/>
                <w:szCs w:val="19"/>
                <w:lang w:val="en-GB"/>
              </w:rPr>
              <w:t>40.4</w:t>
            </w:r>
          </w:p>
        </w:tc>
        <w:tc>
          <w:tcPr>
            <w:tcW w:w="884" w:type="dxa"/>
            <w:tcBorders>
              <w:top w:val="single" w:sz="4" w:space="0" w:color="auto"/>
              <w:left w:val="single" w:sz="4" w:space="0" w:color="auto"/>
              <w:bottom w:val="single" w:sz="4" w:space="0" w:color="auto"/>
              <w:right w:val="single" w:sz="4" w:space="0" w:color="auto"/>
            </w:tcBorders>
            <w:hideMark/>
          </w:tcPr>
          <w:p w14:paraId="36F7AEB2" w14:textId="77777777" w:rsidR="009D7CBE" w:rsidRPr="005E5A1A" w:rsidRDefault="009D7CBE" w:rsidP="001530CC">
            <w:pPr>
              <w:tabs>
                <w:tab w:val="decimal" w:pos="369"/>
              </w:tabs>
              <w:rPr>
                <w:rFonts w:ascii="Arial" w:hAnsi="Arial" w:cs="Arial"/>
                <w:sz w:val="19"/>
                <w:szCs w:val="19"/>
                <w:lang w:val="en-GB"/>
              </w:rPr>
            </w:pPr>
            <w:r w:rsidRPr="005E5A1A">
              <w:rPr>
                <w:rFonts w:ascii="Arial" w:hAnsi="Arial" w:cs="Arial"/>
                <w:sz w:val="19"/>
                <w:szCs w:val="19"/>
                <w:lang w:val="en-GB"/>
              </w:rPr>
              <w:t>41.2</w:t>
            </w:r>
          </w:p>
        </w:tc>
        <w:tc>
          <w:tcPr>
            <w:tcW w:w="755" w:type="dxa"/>
            <w:tcBorders>
              <w:top w:val="single" w:sz="4" w:space="0" w:color="auto"/>
              <w:left w:val="single" w:sz="4" w:space="0" w:color="auto"/>
              <w:bottom w:val="single" w:sz="4" w:space="0" w:color="auto"/>
              <w:right w:val="single" w:sz="4" w:space="0" w:color="auto"/>
            </w:tcBorders>
            <w:hideMark/>
          </w:tcPr>
          <w:p w14:paraId="56F5AF2A" w14:textId="77777777" w:rsidR="009D7CBE" w:rsidRPr="005E5A1A" w:rsidRDefault="009D7CBE" w:rsidP="001530CC">
            <w:pPr>
              <w:tabs>
                <w:tab w:val="decimal" w:pos="336"/>
              </w:tabs>
              <w:rPr>
                <w:rFonts w:ascii="Arial" w:hAnsi="Arial" w:cs="Arial"/>
                <w:sz w:val="19"/>
                <w:szCs w:val="19"/>
                <w:lang w:val="en-GB"/>
              </w:rPr>
            </w:pPr>
            <w:r w:rsidRPr="005E5A1A">
              <w:rPr>
                <w:rFonts w:ascii="Arial" w:hAnsi="Arial" w:cs="Arial"/>
                <w:sz w:val="19"/>
                <w:szCs w:val="19"/>
                <w:lang w:val="en-GB"/>
              </w:rPr>
              <w:t>41.9</w:t>
            </w:r>
          </w:p>
        </w:tc>
      </w:tr>
      <w:tr w:rsidR="009D7CBE" w:rsidRPr="005E5A1A" w14:paraId="7663F7AE" w14:textId="77777777" w:rsidTr="001530CC">
        <w:tc>
          <w:tcPr>
            <w:tcW w:w="900" w:type="dxa"/>
            <w:tcBorders>
              <w:top w:val="single" w:sz="4" w:space="0" w:color="auto"/>
              <w:left w:val="single" w:sz="4" w:space="0" w:color="auto"/>
              <w:bottom w:val="single" w:sz="4" w:space="0" w:color="auto"/>
              <w:right w:val="single" w:sz="4" w:space="0" w:color="auto"/>
            </w:tcBorders>
            <w:hideMark/>
          </w:tcPr>
          <w:p w14:paraId="053A2AA0" w14:textId="77777777" w:rsidR="009D7CBE" w:rsidRPr="005E5A1A" w:rsidRDefault="009D7CBE">
            <w:pPr>
              <w:rPr>
                <w:rFonts w:ascii="Arial" w:hAnsi="Arial" w:cs="Arial"/>
                <w:sz w:val="19"/>
                <w:szCs w:val="19"/>
                <w:lang w:val="en-GB"/>
              </w:rPr>
            </w:pPr>
            <w:r w:rsidRPr="005E5A1A">
              <w:rPr>
                <w:rFonts w:ascii="Arial" w:hAnsi="Arial" w:cs="Arial"/>
                <w:sz w:val="19"/>
                <w:szCs w:val="19"/>
                <w:lang w:val="en-GB"/>
              </w:rPr>
              <w:t>Asia</w:t>
            </w:r>
          </w:p>
        </w:tc>
        <w:tc>
          <w:tcPr>
            <w:tcW w:w="831" w:type="dxa"/>
            <w:tcBorders>
              <w:top w:val="single" w:sz="4" w:space="0" w:color="auto"/>
              <w:left w:val="single" w:sz="4" w:space="0" w:color="auto"/>
              <w:bottom w:val="single" w:sz="4" w:space="0" w:color="auto"/>
              <w:right w:val="single" w:sz="4" w:space="0" w:color="auto"/>
            </w:tcBorders>
            <w:hideMark/>
          </w:tcPr>
          <w:p w14:paraId="2381EE08" w14:textId="77777777" w:rsidR="009D7CBE" w:rsidRPr="005E5A1A" w:rsidRDefault="009D7CBE" w:rsidP="001530CC">
            <w:pPr>
              <w:tabs>
                <w:tab w:val="decimal" w:pos="268"/>
              </w:tabs>
              <w:rPr>
                <w:rFonts w:ascii="Arial" w:hAnsi="Arial" w:cs="Arial"/>
                <w:sz w:val="19"/>
                <w:szCs w:val="19"/>
                <w:lang w:val="en-GB"/>
              </w:rPr>
            </w:pPr>
            <w:r w:rsidRPr="005E5A1A">
              <w:rPr>
                <w:rFonts w:ascii="Arial" w:hAnsi="Arial" w:cs="Arial"/>
                <w:sz w:val="19"/>
                <w:szCs w:val="19"/>
                <w:lang w:val="en-GB"/>
              </w:rPr>
              <w:t>18.6</w:t>
            </w:r>
          </w:p>
        </w:tc>
        <w:tc>
          <w:tcPr>
            <w:tcW w:w="831" w:type="dxa"/>
            <w:tcBorders>
              <w:top w:val="single" w:sz="4" w:space="0" w:color="auto"/>
              <w:left w:val="single" w:sz="4" w:space="0" w:color="auto"/>
              <w:bottom w:val="single" w:sz="4" w:space="0" w:color="auto"/>
              <w:right w:val="single" w:sz="4" w:space="0" w:color="auto"/>
            </w:tcBorders>
            <w:hideMark/>
          </w:tcPr>
          <w:p w14:paraId="4A955B55" w14:textId="77777777" w:rsidR="009D7CBE" w:rsidRPr="005E5A1A" w:rsidRDefault="009D7CBE" w:rsidP="001530CC">
            <w:pPr>
              <w:tabs>
                <w:tab w:val="decimal" w:pos="288"/>
              </w:tabs>
              <w:rPr>
                <w:rFonts w:ascii="Arial" w:hAnsi="Arial" w:cs="Arial"/>
                <w:sz w:val="19"/>
                <w:szCs w:val="19"/>
                <w:lang w:val="en-GB"/>
              </w:rPr>
            </w:pPr>
            <w:r w:rsidRPr="005E5A1A">
              <w:rPr>
                <w:rFonts w:ascii="Arial" w:hAnsi="Arial" w:cs="Arial"/>
                <w:sz w:val="19"/>
                <w:szCs w:val="19"/>
                <w:lang w:val="en-GB"/>
              </w:rPr>
              <w:t>22.4</w:t>
            </w:r>
          </w:p>
        </w:tc>
        <w:tc>
          <w:tcPr>
            <w:tcW w:w="831" w:type="dxa"/>
            <w:tcBorders>
              <w:top w:val="single" w:sz="4" w:space="0" w:color="auto"/>
              <w:left w:val="single" w:sz="4" w:space="0" w:color="auto"/>
              <w:bottom w:val="single" w:sz="4" w:space="0" w:color="auto"/>
              <w:right w:val="single" w:sz="4" w:space="0" w:color="auto"/>
            </w:tcBorders>
            <w:hideMark/>
          </w:tcPr>
          <w:p w14:paraId="5EDDAF15" w14:textId="77777777" w:rsidR="009D7CBE" w:rsidRPr="005E5A1A" w:rsidRDefault="009D7CBE" w:rsidP="001530CC">
            <w:pPr>
              <w:tabs>
                <w:tab w:val="decimal" w:pos="307"/>
              </w:tabs>
              <w:rPr>
                <w:rFonts w:ascii="Arial" w:hAnsi="Arial" w:cs="Arial"/>
                <w:sz w:val="19"/>
                <w:szCs w:val="19"/>
                <w:lang w:val="en-GB"/>
              </w:rPr>
            </w:pPr>
            <w:r w:rsidRPr="005E5A1A">
              <w:rPr>
                <w:rFonts w:ascii="Arial" w:hAnsi="Arial" w:cs="Arial"/>
                <w:sz w:val="19"/>
                <w:szCs w:val="19"/>
                <w:lang w:val="en-GB"/>
              </w:rPr>
              <w:t>25.0</w:t>
            </w:r>
          </w:p>
        </w:tc>
        <w:tc>
          <w:tcPr>
            <w:tcW w:w="831" w:type="dxa"/>
            <w:tcBorders>
              <w:top w:val="single" w:sz="4" w:space="0" w:color="auto"/>
              <w:left w:val="single" w:sz="4" w:space="0" w:color="auto"/>
              <w:bottom w:val="single" w:sz="4" w:space="0" w:color="auto"/>
              <w:right w:val="single" w:sz="4" w:space="0" w:color="auto"/>
            </w:tcBorders>
            <w:hideMark/>
          </w:tcPr>
          <w:p w14:paraId="7992A559" w14:textId="77777777" w:rsidR="009D7CBE" w:rsidRPr="005E5A1A" w:rsidRDefault="009D7CBE" w:rsidP="001530CC">
            <w:pPr>
              <w:tabs>
                <w:tab w:val="decimal" w:pos="327"/>
              </w:tabs>
              <w:rPr>
                <w:rFonts w:ascii="Arial" w:hAnsi="Arial" w:cs="Arial"/>
                <w:sz w:val="19"/>
                <w:szCs w:val="19"/>
                <w:lang w:val="en-GB"/>
              </w:rPr>
            </w:pPr>
            <w:r w:rsidRPr="005E5A1A">
              <w:rPr>
                <w:rFonts w:ascii="Arial" w:hAnsi="Arial" w:cs="Arial"/>
                <w:sz w:val="19"/>
                <w:szCs w:val="19"/>
                <w:lang w:val="en-GB"/>
              </w:rPr>
              <w:t>26.2</w:t>
            </w:r>
          </w:p>
        </w:tc>
        <w:tc>
          <w:tcPr>
            <w:tcW w:w="831" w:type="dxa"/>
            <w:tcBorders>
              <w:top w:val="single" w:sz="4" w:space="0" w:color="auto"/>
              <w:left w:val="single" w:sz="4" w:space="0" w:color="auto"/>
              <w:bottom w:val="single" w:sz="4" w:space="0" w:color="auto"/>
              <w:right w:val="single" w:sz="4" w:space="0" w:color="auto"/>
            </w:tcBorders>
            <w:hideMark/>
          </w:tcPr>
          <w:p w14:paraId="09DE36AE" w14:textId="77777777" w:rsidR="009D7CBE" w:rsidRPr="005E5A1A" w:rsidRDefault="009D7CBE" w:rsidP="001530CC">
            <w:pPr>
              <w:tabs>
                <w:tab w:val="decimal" w:pos="346"/>
              </w:tabs>
              <w:rPr>
                <w:rFonts w:ascii="Arial" w:hAnsi="Arial" w:cs="Arial"/>
                <w:sz w:val="19"/>
                <w:szCs w:val="19"/>
                <w:lang w:val="en-GB"/>
              </w:rPr>
            </w:pPr>
            <w:r w:rsidRPr="005E5A1A">
              <w:rPr>
                <w:rFonts w:ascii="Arial" w:hAnsi="Arial" w:cs="Arial"/>
                <w:sz w:val="19"/>
                <w:szCs w:val="19"/>
                <w:lang w:val="en-GB"/>
              </w:rPr>
              <w:t>28.0</w:t>
            </w:r>
          </w:p>
        </w:tc>
        <w:tc>
          <w:tcPr>
            <w:tcW w:w="831" w:type="dxa"/>
            <w:tcBorders>
              <w:top w:val="single" w:sz="4" w:space="0" w:color="auto"/>
              <w:left w:val="single" w:sz="4" w:space="0" w:color="auto"/>
              <w:bottom w:val="single" w:sz="4" w:space="0" w:color="auto"/>
              <w:right w:val="single" w:sz="4" w:space="0" w:color="auto"/>
            </w:tcBorders>
            <w:hideMark/>
          </w:tcPr>
          <w:p w14:paraId="2CE461B1" w14:textId="77777777" w:rsidR="009D7CBE" w:rsidRPr="005E5A1A" w:rsidRDefault="009D7CBE" w:rsidP="001530CC">
            <w:pPr>
              <w:tabs>
                <w:tab w:val="decimal" w:pos="366"/>
              </w:tabs>
              <w:rPr>
                <w:rFonts w:ascii="Arial" w:hAnsi="Arial" w:cs="Arial"/>
                <w:sz w:val="19"/>
                <w:szCs w:val="19"/>
                <w:lang w:val="en-GB"/>
              </w:rPr>
            </w:pPr>
            <w:r w:rsidRPr="005E5A1A">
              <w:rPr>
                <w:rFonts w:ascii="Arial" w:hAnsi="Arial" w:cs="Arial"/>
                <w:sz w:val="19"/>
                <w:szCs w:val="19"/>
                <w:lang w:val="en-GB"/>
              </w:rPr>
              <w:t>29.1</w:t>
            </w:r>
          </w:p>
        </w:tc>
        <w:tc>
          <w:tcPr>
            <w:tcW w:w="831" w:type="dxa"/>
            <w:tcBorders>
              <w:top w:val="single" w:sz="4" w:space="0" w:color="auto"/>
              <w:left w:val="single" w:sz="4" w:space="0" w:color="auto"/>
              <w:bottom w:val="single" w:sz="4" w:space="0" w:color="auto"/>
              <w:right w:val="single" w:sz="4" w:space="0" w:color="auto"/>
            </w:tcBorders>
            <w:hideMark/>
          </w:tcPr>
          <w:p w14:paraId="50848AC8" w14:textId="77777777" w:rsidR="009D7CBE" w:rsidRPr="005E5A1A" w:rsidRDefault="009D7CBE" w:rsidP="001530CC">
            <w:pPr>
              <w:tabs>
                <w:tab w:val="decimal" w:pos="385"/>
              </w:tabs>
              <w:rPr>
                <w:rFonts w:ascii="Arial" w:hAnsi="Arial" w:cs="Arial"/>
                <w:sz w:val="19"/>
                <w:szCs w:val="19"/>
                <w:lang w:val="en-GB"/>
              </w:rPr>
            </w:pPr>
            <w:r w:rsidRPr="005E5A1A">
              <w:rPr>
                <w:rFonts w:ascii="Arial" w:hAnsi="Arial" w:cs="Arial"/>
                <w:sz w:val="19"/>
                <w:szCs w:val="19"/>
                <w:lang w:val="en-GB"/>
              </w:rPr>
              <w:t>29.8</w:t>
            </w:r>
          </w:p>
        </w:tc>
        <w:tc>
          <w:tcPr>
            <w:tcW w:w="886" w:type="dxa"/>
            <w:tcBorders>
              <w:top w:val="single" w:sz="4" w:space="0" w:color="auto"/>
              <w:left w:val="single" w:sz="4" w:space="0" w:color="auto"/>
              <w:bottom w:val="single" w:sz="4" w:space="0" w:color="auto"/>
              <w:right w:val="single" w:sz="4" w:space="0" w:color="auto"/>
            </w:tcBorders>
            <w:hideMark/>
          </w:tcPr>
          <w:p w14:paraId="07CCFF70" w14:textId="77777777" w:rsidR="009D7CBE" w:rsidRPr="005E5A1A" w:rsidRDefault="009D7CBE" w:rsidP="001530CC">
            <w:pPr>
              <w:tabs>
                <w:tab w:val="decimal" w:pos="405"/>
              </w:tabs>
              <w:rPr>
                <w:rFonts w:ascii="Arial" w:hAnsi="Arial" w:cs="Arial"/>
                <w:sz w:val="19"/>
                <w:szCs w:val="19"/>
                <w:lang w:val="en-GB"/>
              </w:rPr>
            </w:pPr>
            <w:r w:rsidRPr="005E5A1A">
              <w:rPr>
                <w:rFonts w:ascii="Arial" w:hAnsi="Arial" w:cs="Arial"/>
                <w:sz w:val="19"/>
                <w:szCs w:val="19"/>
                <w:lang w:val="en-GB"/>
              </w:rPr>
              <w:t>30.3</w:t>
            </w:r>
          </w:p>
        </w:tc>
        <w:tc>
          <w:tcPr>
            <w:tcW w:w="884" w:type="dxa"/>
            <w:tcBorders>
              <w:top w:val="single" w:sz="4" w:space="0" w:color="auto"/>
              <w:left w:val="single" w:sz="4" w:space="0" w:color="auto"/>
              <w:bottom w:val="single" w:sz="4" w:space="0" w:color="auto"/>
              <w:right w:val="single" w:sz="4" w:space="0" w:color="auto"/>
            </w:tcBorders>
            <w:hideMark/>
          </w:tcPr>
          <w:p w14:paraId="5E702AED" w14:textId="77777777" w:rsidR="009D7CBE" w:rsidRPr="005E5A1A" w:rsidRDefault="009D7CBE" w:rsidP="001530CC">
            <w:pPr>
              <w:tabs>
                <w:tab w:val="decimal" w:pos="369"/>
              </w:tabs>
              <w:rPr>
                <w:rFonts w:ascii="Arial" w:hAnsi="Arial" w:cs="Arial"/>
                <w:sz w:val="19"/>
                <w:szCs w:val="19"/>
                <w:lang w:val="en-GB"/>
              </w:rPr>
            </w:pPr>
            <w:r w:rsidRPr="005E5A1A">
              <w:rPr>
                <w:rFonts w:ascii="Arial" w:hAnsi="Arial" w:cs="Arial"/>
                <w:sz w:val="19"/>
                <w:szCs w:val="19"/>
                <w:lang w:val="en-GB"/>
              </w:rPr>
              <w:t>30.7</w:t>
            </w:r>
          </w:p>
        </w:tc>
        <w:tc>
          <w:tcPr>
            <w:tcW w:w="755" w:type="dxa"/>
            <w:tcBorders>
              <w:top w:val="single" w:sz="4" w:space="0" w:color="auto"/>
              <w:left w:val="single" w:sz="4" w:space="0" w:color="auto"/>
              <w:bottom w:val="single" w:sz="4" w:space="0" w:color="auto"/>
              <w:right w:val="single" w:sz="4" w:space="0" w:color="auto"/>
            </w:tcBorders>
            <w:hideMark/>
          </w:tcPr>
          <w:p w14:paraId="102BABA1" w14:textId="77777777" w:rsidR="009D7CBE" w:rsidRPr="005E5A1A" w:rsidRDefault="009D7CBE" w:rsidP="001530CC">
            <w:pPr>
              <w:tabs>
                <w:tab w:val="decimal" w:pos="336"/>
              </w:tabs>
              <w:rPr>
                <w:rFonts w:ascii="Arial" w:hAnsi="Arial" w:cs="Arial"/>
                <w:sz w:val="19"/>
                <w:szCs w:val="19"/>
                <w:lang w:val="en-GB"/>
              </w:rPr>
            </w:pPr>
            <w:r w:rsidRPr="005E5A1A">
              <w:rPr>
                <w:rFonts w:ascii="Arial" w:hAnsi="Arial" w:cs="Arial"/>
                <w:sz w:val="19"/>
                <w:szCs w:val="19"/>
                <w:lang w:val="en-GB"/>
              </w:rPr>
              <w:t>31.2</w:t>
            </w:r>
          </w:p>
        </w:tc>
      </w:tr>
      <w:tr w:rsidR="009D7CBE" w:rsidRPr="005E5A1A" w14:paraId="19798D68" w14:textId="77777777" w:rsidTr="001530CC">
        <w:tc>
          <w:tcPr>
            <w:tcW w:w="900" w:type="dxa"/>
            <w:tcBorders>
              <w:top w:val="single" w:sz="4" w:space="0" w:color="auto"/>
              <w:left w:val="single" w:sz="4" w:space="0" w:color="auto"/>
              <w:bottom w:val="single" w:sz="4" w:space="0" w:color="auto"/>
              <w:right w:val="single" w:sz="4" w:space="0" w:color="auto"/>
            </w:tcBorders>
            <w:hideMark/>
          </w:tcPr>
          <w:p w14:paraId="7421D740" w14:textId="77777777" w:rsidR="009D7CBE" w:rsidRPr="005E5A1A" w:rsidRDefault="009D7CBE">
            <w:pPr>
              <w:rPr>
                <w:rFonts w:ascii="Arial" w:hAnsi="Arial" w:cs="Arial"/>
                <w:sz w:val="19"/>
                <w:szCs w:val="19"/>
                <w:lang w:val="en-GB"/>
              </w:rPr>
            </w:pPr>
            <w:r w:rsidRPr="005E5A1A">
              <w:rPr>
                <w:rFonts w:ascii="Arial" w:hAnsi="Arial" w:cs="Arial"/>
                <w:sz w:val="19"/>
                <w:szCs w:val="19"/>
                <w:lang w:val="en-GB"/>
              </w:rPr>
              <w:t>Europe</w:t>
            </w:r>
          </w:p>
        </w:tc>
        <w:tc>
          <w:tcPr>
            <w:tcW w:w="831" w:type="dxa"/>
            <w:tcBorders>
              <w:top w:val="single" w:sz="4" w:space="0" w:color="auto"/>
              <w:left w:val="single" w:sz="4" w:space="0" w:color="auto"/>
              <w:bottom w:val="single" w:sz="4" w:space="0" w:color="auto"/>
              <w:right w:val="single" w:sz="4" w:space="0" w:color="auto"/>
            </w:tcBorders>
            <w:hideMark/>
          </w:tcPr>
          <w:p w14:paraId="514BBAFE" w14:textId="77777777" w:rsidR="009D7CBE" w:rsidRPr="005E5A1A" w:rsidRDefault="009D7CBE" w:rsidP="001530CC">
            <w:pPr>
              <w:tabs>
                <w:tab w:val="decimal" w:pos="268"/>
              </w:tabs>
              <w:rPr>
                <w:rFonts w:ascii="Arial" w:hAnsi="Arial" w:cs="Arial"/>
                <w:sz w:val="19"/>
                <w:szCs w:val="19"/>
                <w:lang w:val="en-GB"/>
              </w:rPr>
            </w:pPr>
            <w:r w:rsidRPr="005E5A1A">
              <w:rPr>
                <w:rFonts w:ascii="Arial" w:hAnsi="Arial" w:cs="Arial"/>
                <w:sz w:val="19"/>
                <w:szCs w:val="19"/>
                <w:lang w:val="en-GB"/>
              </w:rPr>
              <w:t>9.3</w:t>
            </w:r>
          </w:p>
        </w:tc>
        <w:tc>
          <w:tcPr>
            <w:tcW w:w="831" w:type="dxa"/>
            <w:tcBorders>
              <w:top w:val="single" w:sz="4" w:space="0" w:color="auto"/>
              <w:left w:val="single" w:sz="4" w:space="0" w:color="auto"/>
              <w:bottom w:val="single" w:sz="4" w:space="0" w:color="auto"/>
              <w:right w:val="single" w:sz="4" w:space="0" w:color="auto"/>
            </w:tcBorders>
            <w:hideMark/>
          </w:tcPr>
          <w:p w14:paraId="61518F24" w14:textId="77777777" w:rsidR="009D7CBE" w:rsidRPr="005E5A1A" w:rsidRDefault="009D7CBE" w:rsidP="001530CC">
            <w:pPr>
              <w:tabs>
                <w:tab w:val="decimal" w:pos="288"/>
              </w:tabs>
              <w:rPr>
                <w:rFonts w:ascii="Arial" w:hAnsi="Arial" w:cs="Arial"/>
                <w:sz w:val="19"/>
                <w:szCs w:val="19"/>
                <w:lang w:val="en-GB"/>
              </w:rPr>
            </w:pPr>
            <w:r w:rsidRPr="005E5A1A">
              <w:rPr>
                <w:rFonts w:ascii="Arial" w:hAnsi="Arial" w:cs="Arial"/>
                <w:sz w:val="19"/>
                <w:szCs w:val="19"/>
                <w:lang w:val="en-GB"/>
              </w:rPr>
              <w:t>10.9</w:t>
            </w:r>
          </w:p>
        </w:tc>
        <w:tc>
          <w:tcPr>
            <w:tcW w:w="831" w:type="dxa"/>
            <w:tcBorders>
              <w:top w:val="single" w:sz="4" w:space="0" w:color="auto"/>
              <w:left w:val="single" w:sz="4" w:space="0" w:color="auto"/>
              <w:bottom w:val="single" w:sz="4" w:space="0" w:color="auto"/>
              <w:right w:val="single" w:sz="4" w:space="0" w:color="auto"/>
            </w:tcBorders>
            <w:hideMark/>
          </w:tcPr>
          <w:p w14:paraId="10ED555D" w14:textId="77777777" w:rsidR="009D7CBE" w:rsidRPr="005E5A1A" w:rsidRDefault="009D7CBE" w:rsidP="001530CC">
            <w:pPr>
              <w:tabs>
                <w:tab w:val="decimal" w:pos="307"/>
              </w:tabs>
              <w:rPr>
                <w:rFonts w:ascii="Arial" w:hAnsi="Arial" w:cs="Arial"/>
                <w:sz w:val="19"/>
                <w:szCs w:val="19"/>
                <w:lang w:val="en-GB"/>
              </w:rPr>
            </w:pPr>
            <w:r w:rsidRPr="005E5A1A">
              <w:rPr>
                <w:rFonts w:ascii="Arial" w:hAnsi="Arial" w:cs="Arial"/>
                <w:sz w:val="19"/>
                <w:szCs w:val="19"/>
                <w:lang w:val="en-GB"/>
              </w:rPr>
              <w:t>11.6</w:t>
            </w:r>
          </w:p>
        </w:tc>
        <w:tc>
          <w:tcPr>
            <w:tcW w:w="831" w:type="dxa"/>
            <w:tcBorders>
              <w:top w:val="single" w:sz="4" w:space="0" w:color="auto"/>
              <w:left w:val="single" w:sz="4" w:space="0" w:color="auto"/>
              <w:bottom w:val="single" w:sz="4" w:space="0" w:color="auto"/>
              <w:right w:val="single" w:sz="4" w:space="0" w:color="auto"/>
            </w:tcBorders>
            <w:hideMark/>
          </w:tcPr>
          <w:p w14:paraId="7BF078DE" w14:textId="77777777" w:rsidR="009D7CBE" w:rsidRPr="005E5A1A" w:rsidRDefault="009D7CBE" w:rsidP="001530CC">
            <w:pPr>
              <w:tabs>
                <w:tab w:val="decimal" w:pos="327"/>
              </w:tabs>
              <w:rPr>
                <w:rFonts w:ascii="Arial" w:hAnsi="Arial" w:cs="Arial"/>
                <w:sz w:val="19"/>
                <w:szCs w:val="19"/>
                <w:lang w:val="en-GB"/>
              </w:rPr>
            </w:pPr>
            <w:r w:rsidRPr="005E5A1A">
              <w:rPr>
                <w:rFonts w:ascii="Arial" w:hAnsi="Arial" w:cs="Arial"/>
                <w:sz w:val="19"/>
                <w:szCs w:val="19"/>
                <w:lang w:val="en-GB"/>
              </w:rPr>
              <w:t>12.1</w:t>
            </w:r>
          </w:p>
        </w:tc>
        <w:tc>
          <w:tcPr>
            <w:tcW w:w="831" w:type="dxa"/>
            <w:tcBorders>
              <w:top w:val="single" w:sz="4" w:space="0" w:color="auto"/>
              <w:left w:val="single" w:sz="4" w:space="0" w:color="auto"/>
              <w:bottom w:val="single" w:sz="4" w:space="0" w:color="auto"/>
              <w:right w:val="single" w:sz="4" w:space="0" w:color="auto"/>
            </w:tcBorders>
            <w:hideMark/>
          </w:tcPr>
          <w:p w14:paraId="5359E3AB" w14:textId="77777777" w:rsidR="009D7CBE" w:rsidRPr="005E5A1A" w:rsidRDefault="009D7CBE" w:rsidP="001530CC">
            <w:pPr>
              <w:tabs>
                <w:tab w:val="decimal" w:pos="346"/>
              </w:tabs>
              <w:rPr>
                <w:rFonts w:ascii="Arial" w:hAnsi="Arial" w:cs="Arial"/>
                <w:sz w:val="19"/>
                <w:szCs w:val="19"/>
                <w:lang w:val="en-GB"/>
              </w:rPr>
            </w:pPr>
            <w:r w:rsidRPr="005E5A1A">
              <w:rPr>
                <w:rFonts w:ascii="Arial" w:hAnsi="Arial" w:cs="Arial"/>
                <w:sz w:val="19"/>
                <w:szCs w:val="19"/>
                <w:lang w:val="en-GB"/>
              </w:rPr>
              <w:t>13.3</w:t>
            </w:r>
          </w:p>
        </w:tc>
        <w:tc>
          <w:tcPr>
            <w:tcW w:w="831" w:type="dxa"/>
            <w:tcBorders>
              <w:top w:val="single" w:sz="4" w:space="0" w:color="auto"/>
              <w:left w:val="single" w:sz="4" w:space="0" w:color="auto"/>
              <w:bottom w:val="single" w:sz="4" w:space="0" w:color="auto"/>
              <w:right w:val="single" w:sz="4" w:space="0" w:color="auto"/>
            </w:tcBorders>
            <w:hideMark/>
          </w:tcPr>
          <w:p w14:paraId="3A7FFD40" w14:textId="77777777" w:rsidR="009D7CBE" w:rsidRPr="005E5A1A" w:rsidRDefault="009D7CBE" w:rsidP="001530CC">
            <w:pPr>
              <w:tabs>
                <w:tab w:val="decimal" w:pos="366"/>
              </w:tabs>
              <w:rPr>
                <w:rFonts w:ascii="Arial" w:hAnsi="Arial" w:cs="Arial"/>
                <w:sz w:val="19"/>
                <w:szCs w:val="19"/>
                <w:lang w:val="en-GB"/>
              </w:rPr>
            </w:pPr>
            <w:r w:rsidRPr="005E5A1A">
              <w:rPr>
                <w:rFonts w:ascii="Arial" w:hAnsi="Arial" w:cs="Arial"/>
                <w:sz w:val="19"/>
                <w:szCs w:val="19"/>
                <w:lang w:val="en-GB"/>
              </w:rPr>
              <w:t>13.9</w:t>
            </w:r>
          </w:p>
        </w:tc>
        <w:tc>
          <w:tcPr>
            <w:tcW w:w="831" w:type="dxa"/>
            <w:tcBorders>
              <w:top w:val="single" w:sz="4" w:space="0" w:color="auto"/>
              <w:left w:val="single" w:sz="4" w:space="0" w:color="auto"/>
              <w:bottom w:val="single" w:sz="4" w:space="0" w:color="auto"/>
              <w:right w:val="single" w:sz="4" w:space="0" w:color="auto"/>
            </w:tcBorders>
            <w:hideMark/>
          </w:tcPr>
          <w:p w14:paraId="5B2349D4" w14:textId="77777777" w:rsidR="009D7CBE" w:rsidRPr="005E5A1A" w:rsidRDefault="009D7CBE" w:rsidP="001530CC">
            <w:pPr>
              <w:tabs>
                <w:tab w:val="decimal" w:pos="385"/>
              </w:tabs>
              <w:rPr>
                <w:rFonts w:ascii="Arial" w:hAnsi="Arial" w:cs="Arial"/>
                <w:sz w:val="19"/>
                <w:szCs w:val="19"/>
                <w:lang w:val="en-GB"/>
              </w:rPr>
            </w:pPr>
            <w:r w:rsidRPr="005E5A1A">
              <w:rPr>
                <w:rFonts w:ascii="Arial" w:hAnsi="Arial" w:cs="Arial"/>
                <w:sz w:val="19"/>
                <w:szCs w:val="19"/>
                <w:lang w:val="en-GB"/>
              </w:rPr>
              <w:t>14.6</w:t>
            </w:r>
          </w:p>
        </w:tc>
        <w:tc>
          <w:tcPr>
            <w:tcW w:w="886" w:type="dxa"/>
            <w:tcBorders>
              <w:top w:val="single" w:sz="4" w:space="0" w:color="auto"/>
              <w:left w:val="single" w:sz="4" w:space="0" w:color="auto"/>
              <w:bottom w:val="single" w:sz="4" w:space="0" w:color="auto"/>
              <w:right w:val="single" w:sz="4" w:space="0" w:color="auto"/>
            </w:tcBorders>
            <w:hideMark/>
          </w:tcPr>
          <w:p w14:paraId="73D43217" w14:textId="77777777" w:rsidR="009D7CBE" w:rsidRPr="005E5A1A" w:rsidRDefault="009D7CBE" w:rsidP="001530CC">
            <w:pPr>
              <w:tabs>
                <w:tab w:val="decimal" w:pos="405"/>
              </w:tabs>
              <w:rPr>
                <w:rFonts w:ascii="Arial" w:hAnsi="Arial" w:cs="Arial"/>
                <w:sz w:val="19"/>
                <w:szCs w:val="19"/>
                <w:lang w:val="en-GB"/>
              </w:rPr>
            </w:pPr>
            <w:r w:rsidRPr="005E5A1A">
              <w:rPr>
                <w:rFonts w:ascii="Arial" w:hAnsi="Arial" w:cs="Arial"/>
                <w:sz w:val="19"/>
                <w:szCs w:val="19"/>
                <w:lang w:val="en-GB"/>
              </w:rPr>
              <w:t>14.9</w:t>
            </w:r>
          </w:p>
        </w:tc>
        <w:tc>
          <w:tcPr>
            <w:tcW w:w="884" w:type="dxa"/>
            <w:tcBorders>
              <w:top w:val="single" w:sz="4" w:space="0" w:color="auto"/>
              <w:left w:val="single" w:sz="4" w:space="0" w:color="auto"/>
              <w:bottom w:val="single" w:sz="4" w:space="0" w:color="auto"/>
              <w:right w:val="single" w:sz="4" w:space="0" w:color="auto"/>
            </w:tcBorders>
            <w:hideMark/>
          </w:tcPr>
          <w:p w14:paraId="2E9281A9" w14:textId="77777777" w:rsidR="009D7CBE" w:rsidRPr="005E5A1A" w:rsidRDefault="009D7CBE" w:rsidP="001530CC">
            <w:pPr>
              <w:tabs>
                <w:tab w:val="decimal" w:pos="369"/>
              </w:tabs>
              <w:rPr>
                <w:rFonts w:ascii="Arial" w:hAnsi="Arial" w:cs="Arial"/>
                <w:sz w:val="19"/>
                <w:szCs w:val="19"/>
                <w:lang w:val="en-GB"/>
              </w:rPr>
            </w:pPr>
            <w:r w:rsidRPr="005E5A1A">
              <w:rPr>
                <w:rFonts w:ascii="Arial" w:hAnsi="Arial" w:cs="Arial"/>
                <w:sz w:val="19"/>
                <w:szCs w:val="19"/>
                <w:lang w:val="en-GB"/>
              </w:rPr>
              <w:t>15.2</w:t>
            </w:r>
          </w:p>
        </w:tc>
        <w:tc>
          <w:tcPr>
            <w:tcW w:w="755" w:type="dxa"/>
            <w:tcBorders>
              <w:top w:val="single" w:sz="4" w:space="0" w:color="auto"/>
              <w:left w:val="single" w:sz="4" w:space="0" w:color="auto"/>
              <w:bottom w:val="single" w:sz="4" w:space="0" w:color="auto"/>
              <w:right w:val="single" w:sz="4" w:space="0" w:color="auto"/>
            </w:tcBorders>
            <w:hideMark/>
          </w:tcPr>
          <w:p w14:paraId="4584FA0D" w14:textId="77777777" w:rsidR="009D7CBE" w:rsidRPr="005E5A1A" w:rsidRDefault="009D7CBE" w:rsidP="001530CC">
            <w:pPr>
              <w:tabs>
                <w:tab w:val="decimal" w:pos="336"/>
              </w:tabs>
              <w:rPr>
                <w:rFonts w:ascii="Arial" w:hAnsi="Arial" w:cs="Arial"/>
                <w:sz w:val="19"/>
                <w:szCs w:val="19"/>
                <w:lang w:val="en-GB"/>
              </w:rPr>
            </w:pPr>
            <w:r w:rsidRPr="005E5A1A">
              <w:rPr>
                <w:rFonts w:ascii="Arial" w:hAnsi="Arial" w:cs="Arial"/>
                <w:sz w:val="19"/>
                <w:szCs w:val="19"/>
                <w:lang w:val="en-GB"/>
              </w:rPr>
              <w:t>15.5</w:t>
            </w:r>
          </w:p>
        </w:tc>
      </w:tr>
      <w:tr w:rsidR="009D7CBE" w:rsidRPr="005E5A1A" w14:paraId="5D695A0D" w14:textId="77777777" w:rsidTr="001530CC">
        <w:tc>
          <w:tcPr>
            <w:tcW w:w="900" w:type="dxa"/>
            <w:tcBorders>
              <w:top w:val="single" w:sz="4" w:space="0" w:color="auto"/>
              <w:left w:val="single" w:sz="4" w:space="0" w:color="auto"/>
              <w:bottom w:val="single" w:sz="4" w:space="0" w:color="auto"/>
              <w:right w:val="single" w:sz="4" w:space="0" w:color="auto"/>
            </w:tcBorders>
            <w:hideMark/>
          </w:tcPr>
          <w:p w14:paraId="67328999" w14:textId="77777777" w:rsidR="009D7CBE" w:rsidRPr="005E5A1A" w:rsidRDefault="009D7CBE">
            <w:pPr>
              <w:rPr>
                <w:rFonts w:ascii="Arial" w:hAnsi="Arial" w:cs="Arial"/>
                <w:sz w:val="19"/>
                <w:szCs w:val="19"/>
                <w:lang w:val="en-GB"/>
              </w:rPr>
            </w:pPr>
            <w:r w:rsidRPr="005E5A1A">
              <w:rPr>
                <w:rFonts w:ascii="Arial" w:hAnsi="Arial" w:cs="Arial"/>
                <w:sz w:val="19"/>
                <w:szCs w:val="19"/>
                <w:lang w:val="en-GB"/>
              </w:rPr>
              <w:t>Oceania</w:t>
            </w:r>
          </w:p>
        </w:tc>
        <w:tc>
          <w:tcPr>
            <w:tcW w:w="831" w:type="dxa"/>
            <w:tcBorders>
              <w:top w:val="single" w:sz="4" w:space="0" w:color="auto"/>
              <w:left w:val="single" w:sz="4" w:space="0" w:color="auto"/>
              <w:bottom w:val="single" w:sz="4" w:space="0" w:color="auto"/>
              <w:right w:val="single" w:sz="4" w:space="0" w:color="auto"/>
            </w:tcBorders>
            <w:hideMark/>
          </w:tcPr>
          <w:p w14:paraId="18D5A2FA" w14:textId="77777777" w:rsidR="009D7CBE" w:rsidRPr="005E5A1A" w:rsidRDefault="009D7CBE" w:rsidP="001530CC">
            <w:pPr>
              <w:tabs>
                <w:tab w:val="decimal" w:pos="268"/>
              </w:tabs>
              <w:rPr>
                <w:rFonts w:ascii="Arial" w:hAnsi="Arial" w:cs="Arial"/>
                <w:sz w:val="19"/>
                <w:szCs w:val="19"/>
                <w:lang w:val="en-GB"/>
              </w:rPr>
            </w:pPr>
            <w:r w:rsidRPr="005E5A1A">
              <w:rPr>
                <w:rFonts w:ascii="Arial" w:hAnsi="Arial" w:cs="Arial"/>
                <w:sz w:val="19"/>
                <w:szCs w:val="19"/>
                <w:lang w:val="en-GB"/>
              </w:rPr>
              <w:t>0.7</w:t>
            </w:r>
          </w:p>
        </w:tc>
        <w:tc>
          <w:tcPr>
            <w:tcW w:w="831" w:type="dxa"/>
            <w:tcBorders>
              <w:top w:val="single" w:sz="4" w:space="0" w:color="auto"/>
              <w:left w:val="single" w:sz="4" w:space="0" w:color="auto"/>
              <w:bottom w:val="single" w:sz="4" w:space="0" w:color="auto"/>
              <w:right w:val="single" w:sz="4" w:space="0" w:color="auto"/>
            </w:tcBorders>
            <w:hideMark/>
          </w:tcPr>
          <w:p w14:paraId="56DA15FA" w14:textId="77777777" w:rsidR="009D7CBE" w:rsidRPr="005E5A1A" w:rsidRDefault="009D7CBE" w:rsidP="001530CC">
            <w:pPr>
              <w:tabs>
                <w:tab w:val="decimal" w:pos="288"/>
              </w:tabs>
              <w:rPr>
                <w:rFonts w:ascii="Arial" w:hAnsi="Arial" w:cs="Arial"/>
                <w:sz w:val="19"/>
                <w:szCs w:val="19"/>
                <w:lang w:val="en-GB"/>
              </w:rPr>
            </w:pPr>
            <w:r w:rsidRPr="005E5A1A">
              <w:rPr>
                <w:rFonts w:ascii="Arial" w:hAnsi="Arial" w:cs="Arial"/>
                <w:sz w:val="19"/>
                <w:szCs w:val="19"/>
                <w:lang w:val="en-GB"/>
              </w:rPr>
              <w:t>0.9</w:t>
            </w:r>
          </w:p>
        </w:tc>
        <w:tc>
          <w:tcPr>
            <w:tcW w:w="831" w:type="dxa"/>
            <w:tcBorders>
              <w:top w:val="single" w:sz="4" w:space="0" w:color="auto"/>
              <w:left w:val="single" w:sz="4" w:space="0" w:color="auto"/>
              <w:bottom w:val="single" w:sz="4" w:space="0" w:color="auto"/>
              <w:right w:val="single" w:sz="4" w:space="0" w:color="auto"/>
            </w:tcBorders>
            <w:hideMark/>
          </w:tcPr>
          <w:p w14:paraId="078A0AC4" w14:textId="77777777" w:rsidR="009D7CBE" w:rsidRPr="005E5A1A" w:rsidRDefault="009D7CBE" w:rsidP="001530CC">
            <w:pPr>
              <w:tabs>
                <w:tab w:val="decimal" w:pos="307"/>
              </w:tabs>
              <w:rPr>
                <w:rFonts w:ascii="Arial" w:hAnsi="Arial" w:cs="Arial"/>
                <w:sz w:val="19"/>
                <w:szCs w:val="19"/>
                <w:lang w:val="en-GB"/>
              </w:rPr>
            </w:pPr>
            <w:r w:rsidRPr="005E5A1A">
              <w:rPr>
                <w:rFonts w:ascii="Arial" w:hAnsi="Arial" w:cs="Arial"/>
                <w:sz w:val="19"/>
                <w:szCs w:val="19"/>
                <w:lang w:val="en-GB"/>
              </w:rPr>
              <w:t>1.0</w:t>
            </w:r>
          </w:p>
        </w:tc>
        <w:tc>
          <w:tcPr>
            <w:tcW w:w="831" w:type="dxa"/>
            <w:tcBorders>
              <w:top w:val="single" w:sz="4" w:space="0" w:color="auto"/>
              <w:left w:val="single" w:sz="4" w:space="0" w:color="auto"/>
              <w:bottom w:val="single" w:sz="4" w:space="0" w:color="auto"/>
              <w:right w:val="single" w:sz="4" w:space="0" w:color="auto"/>
            </w:tcBorders>
            <w:hideMark/>
          </w:tcPr>
          <w:p w14:paraId="55CBA6BE" w14:textId="77777777" w:rsidR="009D7CBE" w:rsidRPr="005E5A1A" w:rsidRDefault="009D7CBE" w:rsidP="001530CC">
            <w:pPr>
              <w:tabs>
                <w:tab w:val="decimal" w:pos="327"/>
              </w:tabs>
              <w:rPr>
                <w:rFonts w:ascii="Arial" w:hAnsi="Arial" w:cs="Arial"/>
                <w:sz w:val="19"/>
                <w:szCs w:val="19"/>
                <w:lang w:val="en-GB"/>
              </w:rPr>
            </w:pPr>
            <w:r w:rsidRPr="005E5A1A">
              <w:rPr>
                <w:rFonts w:ascii="Arial" w:hAnsi="Arial" w:cs="Arial"/>
                <w:sz w:val="19"/>
                <w:szCs w:val="19"/>
                <w:lang w:val="en-GB"/>
              </w:rPr>
              <w:t>1.0</w:t>
            </w:r>
          </w:p>
        </w:tc>
        <w:tc>
          <w:tcPr>
            <w:tcW w:w="831" w:type="dxa"/>
            <w:tcBorders>
              <w:top w:val="single" w:sz="4" w:space="0" w:color="auto"/>
              <w:left w:val="single" w:sz="4" w:space="0" w:color="auto"/>
              <w:bottom w:val="single" w:sz="4" w:space="0" w:color="auto"/>
              <w:right w:val="single" w:sz="4" w:space="0" w:color="auto"/>
            </w:tcBorders>
            <w:hideMark/>
          </w:tcPr>
          <w:p w14:paraId="00C8A0F1" w14:textId="77777777" w:rsidR="009D7CBE" w:rsidRPr="005E5A1A" w:rsidRDefault="009D7CBE" w:rsidP="001530CC">
            <w:pPr>
              <w:tabs>
                <w:tab w:val="decimal" w:pos="346"/>
              </w:tabs>
              <w:rPr>
                <w:rFonts w:ascii="Arial" w:hAnsi="Arial" w:cs="Arial"/>
                <w:sz w:val="19"/>
                <w:szCs w:val="19"/>
                <w:lang w:val="en-GB"/>
              </w:rPr>
            </w:pPr>
            <w:r w:rsidRPr="005E5A1A">
              <w:rPr>
                <w:rFonts w:ascii="Arial" w:hAnsi="Arial" w:cs="Arial"/>
                <w:sz w:val="19"/>
                <w:szCs w:val="19"/>
                <w:lang w:val="en-GB"/>
              </w:rPr>
              <w:t>1.0</w:t>
            </w:r>
          </w:p>
        </w:tc>
        <w:tc>
          <w:tcPr>
            <w:tcW w:w="831" w:type="dxa"/>
            <w:tcBorders>
              <w:top w:val="single" w:sz="4" w:space="0" w:color="auto"/>
              <w:left w:val="single" w:sz="4" w:space="0" w:color="auto"/>
              <w:bottom w:val="single" w:sz="4" w:space="0" w:color="auto"/>
              <w:right w:val="single" w:sz="4" w:space="0" w:color="auto"/>
            </w:tcBorders>
            <w:hideMark/>
          </w:tcPr>
          <w:p w14:paraId="2BD2EFD4" w14:textId="77777777" w:rsidR="009D7CBE" w:rsidRPr="005E5A1A" w:rsidRDefault="009D7CBE" w:rsidP="001530CC">
            <w:pPr>
              <w:tabs>
                <w:tab w:val="decimal" w:pos="366"/>
              </w:tabs>
              <w:rPr>
                <w:rFonts w:ascii="Arial" w:hAnsi="Arial" w:cs="Arial"/>
                <w:sz w:val="19"/>
                <w:szCs w:val="19"/>
                <w:lang w:val="en-GB"/>
              </w:rPr>
            </w:pPr>
            <w:r w:rsidRPr="005E5A1A">
              <w:rPr>
                <w:rFonts w:ascii="Arial" w:hAnsi="Arial" w:cs="Arial"/>
                <w:sz w:val="19"/>
                <w:szCs w:val="19"/>
                <w:lang w:val="en-GB"/>
              </w:rPr>
              <w:t>1.1</w:t>
            </w:r>
          </w:p>
        </w:tc>
        <w:tc>
          <w:tcPr>
            <w:tcW w:w="831" w:type="dxa"/>
            <w:tcBorders>
              <w:top w:val="single" w:sz="4" w:space="0" w:color="auto"/>
              <w:left w:val="single" w:sz="4" w:space="0" w:color="auto"/>
              <w:bottom w:val="single" w:sz="4" w:space="0" w:color="auto"/>
              <w:right w:val="single" w:sz="4" w:space="0" w:color="auto"/>
            </w:tcBorders>
            <w:hideMark/>
          </w:tcPr>
          <w:p w14:paraId="56476D49" w14:textId="77777777" w:rsidR="009D7CBE" w:rsidRPr="005E5A1A" w:rsidRDefault="009D7CBE" w:rsidP="001530CC">
            <w:pPr>
              <w:tabs>
                <w:tab w:val="decimal" w:pos="385"/>
              </w:tabs>
              <w:rPr>
                <w:rFonts w:ascii="Arial" w:hAnsi="Arial" w:cs="Arial"/>
                <w:sz w:val="19"/>
                <w:szCs w:val="19"/>
                <w:lang w:val="en-GB"/>
              </w:rPr>
            </w:pPr>
            <w:r w:rsidRPr="005E5A1A">
              <w:rPr>
                <w:rFonts w:ascii="Arial" w:hAnsi="Arial" w:cs="Arial"/>
                <w:sz w:val="19"/>
                <w:szCs w:val="19"/>
                <w:lang w:val="en-GB"/>
              </w:rPr>
              <w:t>1.2</w:t>
            </w:r>
          </w:p>
        </w:tc>
        <w:tc>
          <w:tcPr>
            <w:tcW w:w="886" w:type="dxa"/>
            <w:tcBorders>
              <w:top w:val="single" w:sz="4" w:space="0" w:color="auto"/>
              <w:left w:val="single" w:sz="4" w:space="0" w:color="auto"/>
              <w:bottom w:val="single" w:sz="4" w:space="0" w:color="auto"/>
              <w:right w:val="single" w:sz="4" w:space="0" w:color="auto"/>
            </w:tcBorders>
            <w:hideMark/>
          </w:tcPr>
          <w:p w14:paraId="0D3863A0" w14:textId="77777777" w:rsidR="009D7CBE" w:rsidRPr="005E5A1A" w:rsidRDefault="009D7CBE" w:rsidP="001530CC">
            <w:pPr>
              <w:tabs>
                <w:tab w:val="decimal" w:pos="405"/>
              </w:tabs>
              <w:rPr>
                <w:rFonts w:ascii="Arial" w:hAnsi="Arial" w:cs="Arial"/>
                <w:sz w:val="19"/>
                <w:szCs w:val="19"/>
                <w:lang w:val="en-GB"/>
              </w:rPr>
            </w:pPr>
            <w:r w:rsidRPr="005E5A1A">
              <w:rPr>
                <w:rFonts w:ascii="Arial" w:hAnsi="Arial" w:cs="Arial"/>
                <w:sz w:val="19"/>
                <w:szCs w:val="19"/>
                <w:lang w:val="en-GB"/>
              </w:rPr>
              <w:t>1.3</w:t>
            </w:r>
          </w:p>
        </w:tc>
        <w:tc>
          <w:tcPr>
            <w:tcW w:w="884" w:type="dxa"/>
            <w:tcBorders>
              <w:top w:val="single" w:sz="4" w:space="0" w:color="auto"/>
              <w:left w:val="single" w:sz="4" w:space="0" w:color="auto"/>
              <w:bottom w:val="single" w:sz="4" w:space="0" w:color="auto"/>
              <w:right w:val="single" w:sz="4" w:space="0" w:color="auto"/>
            </w:tcBorders>
            <w:hideMark/>
          </w:tcPr>
          <w:p w14:paraId="4752A1AE" w14:textId="77777777" w:rsidR="009D7CBE" w:rsidRPr="005E5A1A" w:rsidRDefault="009D7CBE" w:rsidP="001530CC">
            <w:pPr>
              <w:tabs>
                <w:tab w:val="decimal" w:pos="369"/>
              </w:tabs>
              <w:rPr>
                <w:rFonts w:ascii="Arial" w:hAnsi="Arial" w:cs="Arial"/>
                <w:sz w:val="19"/>
                <w:szCs w:val="19"/>
                <w:lang w:val="en-GB"/>
              </w:rPr>
            </w:pPr>
            <w:r w:rsidRPr="005E5A1A">
              <w:rPr>
                <w:rFonts w:ascii="Arial" w:hAnsi="Arial" w:cs="Arial"/>
                <w:sz w:val="19"/>
                <w:szCs w:val="19"/>
                <w:lang w:val="en-GB"/>
              </w:rPr>
              <w:t>1.3</w:t>
            </w:r>
          </w:p>
        </w:tc>
        <w:tc>
          <w:tcPr>
            <w:tcW w:w="755" w:type="dxa"/>
            <w:tcBorders>
              <w:top w:val="single" w:sz="4" w:space="0" w:color="auto"/>
              <w:left w:val="single" w:sz="4" w:space="0" w:color="auto"/>
              <w:bottom w:val="single" w:sz="4" w:space="0" w:color="auto"/>
              <w:right w:val="single" w:sz="4" w:space="0" w:color="auto"/>
            </w:tcBorders>
            <w:hideMark/>
          </w:tcPr>
          <w:p w14:paraId="48115EA9" w14:textId="77777777" w:rsidR="009D7CBE" w:rsidRPr="005E5A1A" w:rsidRDefault="009D7CBE" w:rsidP="001530CC">
            <w:pPr>
              <w:tabs>
                <w:tab w:val="decimal" w:pos="336"/>
              </w:tabs>
              <w:rPr>
                <w:rFonts w:ascii="Arial" w:hAnsi="Arial" w:cs="Arial"/>
                <w:sz w:val="19"/>
                <w:szCs w:val="19"/>
                <w:lang w:val="en-GB"/>
              </w:rPr>
            </w:pPr>
            <w:r w:rsidRPr="005E5A1A">
              <w:rPr>
                <w:rFonts w:ascii="Arial" w:hAnsi="Arial" w:cs="Arial"/>
                <w:sz w:val="19"/>
                <w:szCs w:val="19"/>
                <w:lang w:val="en-GB"/>
              </w:rPr>
              <w:t>1.4</w:t>
            </w:r>
          </w:p>
        </w:tc>
      </w:tr>
      <w:tr w:rsidR="009D7CBE" w:rsidRPr="005E5A1A" w14:paraId="566D23B5" w14:textId="77777777" w:rsidTr="001530CC">
        <w:tc>
          <w:tcPr>
            <w:tcW w:w="900" w:type="dxa"/>
            <w:tcBorders>
              <w:top w:val="single" w:sz="4" w:space="0" w:color="auto"/>
              <w:left w:val="single" w:sz="4" w:space="0" w:color="auto"/>
              <w:bottom w:val="single" w:sz="4" w:space="0" w:color="auto"/>
              <w:right w:val="single" w:sz="4" w:space="0" w:color="auto"/>
            </w:tcBorders>
            <w:hideMark/>
          </w:tcPr>
          <w:p w14:paraId="2DB08AB4" w14:textId="4691C3BC" w:rsidR="009D7CBE" w:rsidRPr="005E5A1A" w:rsidRDefault="009D7CBE">
            <w:pPr>
              <w:rPr>
                <w:rFonts w:ascii="Arial" w:hAnsi="Arial" w:cs="Arial"/>
                <w:b/>
                <w:sz w:val="19"/>
                <w:szCs w:val="19"/>
                <w:lang w:val="en-GB"/>
              </w:rPr>
            </w:pPr>
            <w:r w:rsidRPr="005E5A1A">
              <w:rPr>
                <w:rFonts w:ascii="Arial" w:hAnsi="Arial" w:cs="Arial"/>
                <w:b/>
                <w:sz w:val="19"/>
                <w:szCs w:val="19"/>
                <w:lang w:val="en-GB"/>
              </w:rPr>
              <w:t>W</w:t>
            </w:r>
            <w:r w:rsidR="0074620E" w:rsidRPr="005E5A1A">
              <w:rPr>
                <w:rFonts w:ascii="Arial" w:hAnsi="Arial" w:cs="Arial"/>
                <w:b/>
                <w:sz w:val="19"/>
                <w:szCs w:val="19"/>
                <w:lang w:val="en-GB"/>
              </w:rPr>
              <w:t>orld</w:t>
            </w:r>
          </w:p>
        </w:tc>
        <w:tc>
          <w:tcPr>
            <w:tcW w:w="831" w:type="dxa"/>
            <w:tcBorders>
              <w:top w:val="single" w:sz="4" w:space="0" w:color="auto"/>
              <w:left w:val="single" w:sz="4" w:space="0" w:color="auto"/>
              <w:bottom w:val="single" w:sz="4" w:space="0" w:color="auto"/>
              <w:right w:val="single" w:sz="4" w:space="0" w:color="auto"/>
            </w:tcBorders>
            <w:hideMark/>
          </w:tcPr>
          <w:p w14:paraId="68C5D708" w14:textId="77777777" w:rsidR="009D7CBE" w:rsidRPr="005E5A1A" w:rsidRDefault="009D7CBE" w:rsidP="001530CC">
            <w:pPr>
              <w:tabs>
                <w:tab w:val="decimal" w:pos="268"/>
              </w:tabs>
              <w:rPr>
                <w:rFonts w:ascii="Arial" w:hAnsi="Arial" w:cs="Arial"/>
                <w:b/>
                <w:sz w:val="19"/>
                <w:szCs w:val="19"/>
                <w:lang w:val="en-GB"/>
              </w:rPr>
            </w:pPr>
            <w:r w:rsidRPr="005E5A1A">
              <w:rPr>
                <w:rFonts w:ascii="Arial" w:hAnsi="Arial" w:cs="Arial"/>
                <w:b/>
                <w:sz w:val="19"/>
                <w:szCs w:val="19"/>
                <w:lang w:val="en-GB"/>
              </w:rPr>
              <w:t>58.5</w:t>
            </w:r>
          </w:p>
        </w:tc>
        <w:tc>
          <w:tcPr>
            <w:tcW w:w="831" w:type="dxa"/>
            <w:tcBorders>
              <w:top w:val="single" w:sz="4" w:space="0" w:color="auto"/>
              <w:left w:val="single" w:sz="4" w:space="0" w:color="auto"/>
              <w:bottom w:val="single" w:sz="4" w:space="0" w:color="auto"/>
              <w:right w:val="single" w:sz="4" w:space="0" w:color="auto"/>
            </w:tcBorders>
            <w:hideMark/>
          </w:tcPr>
          <w:p w14:paraId="08D73E3A" w14:textId="77777777" w:rsidR="009D7CBE" w:rsidRPr="005E5A1A" w:rsidRDefault="009D7CBE" w:rsidP="001530CC">
            <w:pPr>
              <w:tabs>
                <w:tab w:val="decimal" w:pos="288"/>
              </w:tabs>
              <w:rPr>
                <w:rFonts w:ascii="Arial" w:hAnsi="Arial" w:cs="Arial"/>
                <w:b/>
                <w:sz w:val="19"/>
                <w:szCs w:val="19"/>
                <w:lang w:val="en-GB"/>
              </w:rPr>
            </w:pPr>
            <w:r w:rsidRPr="005E5A1A">
              <w:rPr>
                <w:rFonts w:ascii="Arial" w:hAnsi="Arial" w:cs="Arial"/>
                <w:b/>
                <w:sz w:val="19"/>
                <w:szCs w:val="19"/>
                <w:lang w:val="en-GB"/>
              </w:rPr>
              <w:t>70.2</w:t>
            </w:r>
          </w:p>
        </w:tc>
        <w:tc>
          <w:tcPr>
            <w:tcW w:w="831" w:type="dxa"/>
            <w:tcBorders>
              <w:top w:val="single" w:sz="4" w:space="0" w:color="auto"/>
              <w:left w:val="single" w:sz="4" w:space="0" w:color="auto"/>
              <w:bottom w:val="single" w:sz="4" w:space="0" w:color="auto"/>
              <w:right w:val="single" w:sz="4" w:space="0" w:color="auto"/>
            </w:tcBorders>
            <w:hideMark/>
          </w:tcPr>
          <w:p w14:paraId="447AF543" w14:textId="77777777" w:rsidR="009D7CBE" w:rsidRPr="005E5A1A" w:rsidRDefault="009D7CBE" w:rsidP="001530CC">
            <w:pPr>
              <w:tabs>
                <w:tab w:val="decimal" w:pos="307"/>
              </w:tabs>
              <w:rPr>
                <w:rFonts w:ascii="Arial" w:hAnsi="Arial" w:cs="Arial"/>
                <w:b/>
                <w:sz w:val="19"/>
                <w:szCs w:val="19"/>
                <w:lang w:val="en-GB"/>
              </w:rPr>
            </w:pPr>
            <w:r w:rsidRPr="005E5A1A">
              <w:rPr>
                <w:rFonts w:ascii="Arial" w:hAnsi="Arial" w:cs="Arial"/>
                <w:b/>
                <w:sz w:val="19"/>
                <w:szCs w:val="19"/>
                <w:lang w:val="en-GB"/>
              </w:rPr>
              <w:t>76.2</w:t>
            </w:r>
          </w:p>
        </w:tc>
        <w:tc>
          <w:tcPr>
            <w:tcW w:w="831" w:type="dxa"/>
            <w:tcBorders>
              <w:top w:val="single" w:sz="4" w:space="0" w:color="auto"/>
              <w:left w:val="single" w:sz="4" w:space="0" w:color="auto"/>
              <w:bottom w:val="single" w:sz="4" w:space="0" w:color="auto"/>
              <w:right w:val="single" w:sz="4" w:space="0" w:color="auto"/>
            </w:tcBorders>
            <w:hideMark/>
          </w:tcPr>
          <w:p w14:paraId="3C1FDC0A" w14:textId="77777777" w:rsidR="009D7CBE" w:rsidRPr="005E5A1A" w:rsidRDefault="009D7CBE" w:rsidP="001530CC">
            <w:pPr>
              <w:tabs>
                <w:tab w:val="decimal" w:pos="327"/>
              </w:tabs>
              <w:rPr>
                <w:rFonts w:ascii="Arial" w:hAnsi="Arial" w:cs="Arial"/>
                <w:b/>
                <w:sz w:val="19"/>
                <w:szCs w:val="19"/>
                <w:lang w:val="en-GB"/>
              </w:rPr>
            </w:pPr>
            <w:r w:rsidRPr="005E5A1A">
              <w:rPr>
                <w:rFonts w:ascii="Arial" w:hAnsi="Arial" w:cs="Arial"/>
                <w:b/>
                <w:sz w:val="19"/>
                <w:szCs w:val="19"/>
                <w:lang w:val="en-GB"/>
              </w:rPr>
              <w:t>80.6</w:t>
            </w:r>
          </w:p>
        </w:tc>
        <w:tc>
          <w:tcPr>
            <w:tcW w:w="831" w:type="dxa"/>
            <w:tcBorders>
              <w:top w:val="single" w:sz="4" w:space="0" w:color="auto"/>
              <w:left w:val="single" w:sz="4" w:space="0" w:color="auto"/>
              <w:bottom w:val="single" w:sz="4" w:space="0" w:color="auto"/>
              <w:right w:val="single" w:sz="4" w:space="0" w:color="auto"/>
            </w:tcBorders>
            <w:hideMark/>
          </w:tcPr>
          <w:p w14:paraId="2D493729" w14:textId="77777777" w:rsidR="009D7CBE" w:rsidRPr="005E5A1A" w:rsidRDefault="009D7CBE" w:rsidP="001530CC">
            <w:pPr>
              <w:tabs>
                <w:tab w:val="decimal" w:pos="346"/>
              </w:tabs>
              <w:rPr>
                <w:rFonts w:ascii="Arial" w:hAnsi="Arial" w:cs="Arial"/>
                <w:b/>
                <w:sz w:val="19"/>
                <w:szCs w:val="19"/>
                <w:lang w:val="en-GB"/>
              </w:rPr>
            </w:pPr>
            <w:r w:rsidRPr="005E5A1A">
              <w:rPr>
                <w:rFonts w:ascii="Arial" w:hAnsi="Arial" w:cs="Arial"/>
                <w:b/>
                <w:sz w:val="19"/>
                <w:szCs w:val="19"/>
                <w:lang w:val="en-GB"/>
              </w:rPr>
              <w:t>83.2</w:t>
            </w:r>
          </w:p>
        </w:tc>
        <w:tc>
          <w:tcPr>
            <w:tcW w:w="831" w:type="dxa"/>
            <w:tcBorders>
              <w:top w:val="single" w:sz="4" w:space="0" w:color="auto"/>
              <w:left w:val="single" w:sz="4" w:space="0" w:color="auto"/>
              <w:bottom w:val="single" w:sz="4" w:space="0" w:color="auto"/>
              <w:right w:val="single" w:sz="4" w:space="0" w:color="auto"/>
            </w:tcBorders>
            <w:hideMark/>
          </w:tcPr>
          <w:p w14:paraId="6CD5FD54" w14:textId="77777777" w:rsidR="009D7CBE" w:rsidRPr="005E5A1A" w:rsidRDefault="009D7CBE" w:rsidP="001530CC">
            <w:pPr>
              <w:tabs>
                <w:tab w:val="decimal" w:pos="366"/>
              </w:tabs>
              <w:rPr>
                <w:rFonts w:ascii="Arial" w:hAnsi="Arial" w:cs="Arial"/>
                <w:b/>
                <w:sz w:val="19"/>
                <w:szCs w:val="19"/>
                <w:lang w:val="en-GB"/>
              </w:rPr>
            </w:pPr>
            <w:r w:rsidRPr="005E5A1A">
              <w:rPr>
                <w:rFonts w:ascii="Arial" w:hAnsi="Arial" w:cs="Arial"/>
                <w:b/>
                <w:sz w:val="19"/>
                <w:szCs w:val="19"/>
                <w:lang w:val="en-GB"/>
              </w:rPr>
              <w:t>87.2</w:t>
            </w:r>
          </w:p>
        </w:tc>
        <w:tc>
          <w:tcPr>
            <w:tcW w:w="831" w:type="dxa"/>
            <w:tcBorders>
              <w:top w:val="single" w:sz="4" w:space="0" w:color="auto"/>
              <w:left w:val="single" w:sz="4" w:space="0" w:color="auto"/>
              <w:bottom w:val="single" w:sz="4" w:space="0" w:color="auto"/>
              <w:right w:val="single" w:sz="4" w:space="0" w:color="auto"/>
            </w:tcBorders>
            <w:hideMark/>
          </w:tcPr>
          <w:p w14:paraId="68646CC2" w14:textId="77777777" w:rsidR="009D7CBE" w:rsidRPr="005E5A1A" w:rsidRDefault="009D7CBE" w:rsidP="001530CC">
            <w:pPr>
              <w:tabs>
                <w:tab w:val="decimal" w:pos="385"/>
              </w:tabs>
              <w:rPr>
                <w:rFonts w:ascii="Arial" w:hAnsi="Arial" w:cs="Arial"/>
                <w:b/>
                <w:sz w:val="19"/>
                <w:szCs w:val="19"/>
                <w:lang w:val="en-GB"/>
              </w:rPr>
            </w:pPr>
            <w:r w:rsidRPr="005E5A1A">
              <w:rPr>
                <w:rFonts w:ascii="Arial" w:hAnsi="Arial" w:cs="Arial"/>
                <w:b/>
                <w:sz w:val="19"/>
                <w:szCs w:val="19"/>
                <w:lang w:val="en-GB"/>
              </w:rPr>
              <w:t>90.0</w:t>
            </w:r>
          </w:p>
        </w:tc>
        <w:tc>
          <w:tcPr>
            <w:tcW w:w="886" w:type="dxa"/>
            <w:tcBorders>
              <w:top w:val="single" w:sz="4" w:space="0" w:color="auto"/>
              <w:left w:val="single" w:sz="4" w:space="0" w:color="auto"/>
              <w:bottom w:val="single" w:sz="4" w:space="0" w:color="auto"/>
              <w:right w:val="single" w:sz="4" w:space="0" w:color="auto"/>
            </w:tcBorders>
            <w:hideMark/>
          </w:tcPr>
          <w:p w14:paraId="6FAD4862" w14:textId="77777777" w:rsidR="009D7CBE" w:rsidRPr="005E5A1A" w:rsidRDefault="009D7CBE" w:rsidP="001530CC">
            <w:pPr>
              <w:tabs>
                <w:tab w:val="decimal" w:pos="405"/>
              </w:tabs>
              <w:rPr>
                <w:rFonts w:ascii="Arial" w:hAnsi="Arial" w:cs="Arial"/>
                <w:b/>
                <w:sz w:val="19"/>
                <w:szCs w:val="19"/>
                <w:lang w:val="en-GB"/>
              </w:rPr>
            </w:pPr>
            <w:r w:rsidRPr="005E5A1A">
              <w:rPr>
                <w:rFonts w:ascii="Arial" w:hAnsi="Arial" w:cs="Arial"/>
                <w:b/>
                <w:sz w:val="19"/>
                <w:szCs w:val="19"/>
                <w:lang w:val="en-GB"/>
              </w:rPr>
              <w:t>91.6</w:t>
            </w:r>
          </w:p>
        </w:tc>
        <w:tc>
          <w:tcPr>
            <w:tcW w:w="884" w:type="dxa"/>
            <w:tcBorders>
              <w:top w:val="single" w:sz="4" w:space="0" w:color="auto"/>
              <w:left w:val="single" w:sz="4" w:space="0" w:color="auto"/>
              <w:bottom w:val="single" w:sz="4" w:space="0" w:color="auto"/>
              <w:right w:val="single" w:sz="4" w:space="0" w:color="auto"/>
            </w:tcBorders>
            <w:hideMark/>
          </w:tcPr>
          <w:p w14:paraId="65BEC5BF" w14:textId="77777777" w:rsidR="009D7CBE" w:rsidRPr="005E5A1A" w:rsidRDefault="009D7CBE" w:rsidP="001530CC">
            <w:pPr>
              <w:tabs>
                <w:tab w:val="decimal" w:pos="369"/>
              </w:tabs>
              <w:rPr>
                <w:rFonts w:ascii="Arial" w:hAnsi="Arial" w:cs="Arial"/>
                <w:b/>
                <w:sz w:val="19"/>
                <w:szCs w:val="19"/>
                <w:lang w:val="en-GB"/>
              </w:rPr>
            </w:pPr>
            <w:r w:rsidRPr="005E5A1A">
              <w:rPr>
                <w:rFonts w:ascii="Arial" w:hAnsi="Arial" w:cs="Arial"/>
                <w:b/>
                <w:sz w:val="19"/>
                <w:szCs w:val="19"/>
                <w:lang w:val="en-GB"/>
              </w:rPr>
              <w:t>93.2</w:t>
            </w:r>
          </w:p>
        </w:tc>
        <w:tc>
          <w:tcPr>
            <w:tcW w:w="755" w:type="dxa"/>
            <w:tcBorders>
              <w:top w:val="single" w:sz="4" w:space="0" w:color="auto"/>
              <w:left w:val="single" w:sz="4" w:space="0" w:color="auto"/>
              <w:bottom w:val="single" w:sz="4" w:space="0" w:color="auto"/>
              <w:right w:val="single" w:sz="4" w:space="0" w:color="auto"/>
            </w:tcBorders>
            <w:hideMark/>
          </w:tcPr>
          <w:p w14:paraId="62B50AD3" w14:textId="77777777" w:rsidR="009D7CBE" w:rsidRPr="005E5A1A" w:rsidRDefault="009D7CBE" w:rsidP="001530CC">
            <w:pPr>
              <w:tabs>
                <w:tab w:val="decimal" w:pos="336"/>
              </w:tabs>
              <w:rPr>
                <w:rFonts w:ascii="Arial" w:hAnsi="Arial" w:cs="Arial"/>
                <w:b/>
                <w:sz w:val="19"/>
                <w:szCs w:val="19"/>
                <w:lang w:val="en-GB"/>
              </w:rPr>
            </w:pPr>
            <w:r w:rsidRPr="005E5A1A">
              <w:rPr>
                <w:rFonts w:ascii="Arial" w:hAnsi="Arial" w:cs="Arial"/>
                <w:b/>
                <w:sz w:val="19"/>
                <w:szCs w:val="19"/>
                <w:lang w:val="en-GB"/>
              </w:rPr>
              <w:t>94.8</w:t>
            </w:r>
          </w:p>
        </w:tc>
      </w:tr>
    </w:tbl>
    <w:p w14:paraId="33FFB58A" w14:textId="77777777" w:rsidR="009D7CBE" w:rsidRPr="005E5A1A" w:rsidRDefault="009D7CBE" w:rsidP="009D7CBE">
      <w:pPr>
        <w:jc w:val="right"/>
        <w:rPr>
          <w:rFonts w:ascii="Arial" w:hAnsi="Arial" w:cs="Arial"/>
          <w:i/>
          <w:sz w:val="18"/>
          <w:lang w:val="en-GB"/>
        </w:rPr>
      </w:pPr>
    </w:p>
    <w:p w14:paraId="73E4405A" w14:textId="296F2C04" w:rsidR="009D7CBE" w:rsidRPr="001530CC" w:rsidRDefault="002E5310" w:rsidP="005D3BF5">
      <w:pPr>
        <w:outlineLvl w:val="0"/>
        <w:rPr>
          <w:rFonts w:ascii="Arial" w:hAnsi="Arial" w:cs="Arial"/>
          <w:sz w:val="18"/>
          <w:lang w:val="en-GB"/>
        </w:rPr>
      </w:pPr>
      <w:r>
        <w:rPr>
          <w:rFonts w:ascii="Arial" w:hAnsi="Arial" w:cs="Arial"/>
          <w:sz w:val="18"/>
          <w:lang w:val="en-GB"/>
        </w:rPr>
        <w:t xml:space="preserve">Note: </w:t>
      </w:r>
      <w:r w:rsidR="009D7CBE" w:rsidRPr="001530CC">
        <w:rPr>
          <w:rFonts w:ascii="Arial" w:hAnsi="Arial" w:cs="Arial"/>
          <w:sz w:val="18"/>
          <w:lang w:val="en-GB"/>
        </w:rPr>
        <w:t>E</w:t>
      </w:r>
      <w:r>
        <w:rPr>
          <w:rFonts w:ascii="Arial" w:hAnsi="Arial" w:cs="Arial"/>
          <w:sz w:val="18"/>
          <w:lang w:val="en-GB"/>
        </w:rPr>
        <w:t xml:space="preserve"> </w:t>
      </w:r>
      <w:r w:rsidR="009D7CBE" w:rsidRPr="001530CC">
        <w:rPr>
          <w:rFonts w:ascii="Arial" w:hAnsi="Arial" w:cs="Arial"/>
          <w:sz w:val="18"/>
          <w:lang w:val="en-GB"/>
        </w:rPr>
        <w:t>=</w:t>
      </w:r>
      <w:r>
        <w:rPr>
          <w:rFonts w:ascii="Arial" w:hAnsi="Arial" w:cs="Arial"/>
          <w:sz w:val="18"/>
          <w:lang w:val="en-GB"/>
        </w:rPr>
        <w:t xml:space="preserve"> </w:t>
      </w:r>
      <w:r w:rsidR="009D7CBE" w:rsidRPr="001530CC">
        <w:rPr>
          <w:rFonts w:ascii="Arial" w:hAnsi="Arial" w:cs="Arial"/>
          <w:sz w:val="18"/>
          <w:lang w:val="en-GB"/>
        </w:rPr>
        <w:t>estimate; F</w:t>
      </w:r>
      <w:r>
        <w:rPr>
          <w:rFonts w:ascii="Arial" w:hAnsi="Arial" w:cs="Arial"/>
          <w:sz w:val="18"/>
          <w:lang w:val="en-GB"/>
        </w:rPr>
        <w:t xml:space="preserve"> </w:t>
      </w:r>
      <w:r w:rsidR="009D7CBE" w:rsidRPr="001530CC">
        <w:rPr>
          <w:rFonts w:ascii="Arial" w:hAnsi="Arial" w:cs="Arial"/>
          <w:sz w:val="18"/>
          <w:lang w:val="en-GB"/>
        </w:rPr>
        <w:t>=</w:t>
      </w:r>
      <w:r>
        <w:rPr>
          <w:rFonts w:ascii="Arial" w:hAnsi="Arial" w:cs="Arial"/>
          <w:sz w:val="18"/>
          <w:lang w:val="en-GB"/>
        </w:rPr>
        <w:t xml:space="preserve"> </w:t>
      </w:r>
      <w:r w:rsidR="009D7CBE" w:rsidRPr="001530CC">
        <w:rPr>
          <w:rFonts w:ascii="Arial" w:hAnsi="Arial" w:cs="Arial"/>
          <w:sz w:val="18"/>
          <w:lang w:val="en-GB"/>
        </w:rPr>
        <w:t>forecast</w:t>
      </w:r>
    </w:p>
    <w:p w14:paraId="23171C07" w14:textId="4E2B2343" w:rsidR="009D7CBE" w:rsidRPr="005E5A1A" w:rsidRDefault="00651721" w:rsidP="00651721">
      <w:pPr>
        <w:pStyle w:val="Footnote"/>
        <w:rPr>
          <w:vertAlign w:val="superscript"/>
          <w:lang w:val="en-GB"/>
        </w:rPr>
      </w:pPr>
      <w:r w:rsidRPr="005E5A1A">
        <w:rPr>
          <w:lang w:val="en-GB"/>
        </w:rPr>
        <w:t xml:space="preserve">Source: </w:t>
      </w:r>
      <w:r w:rsidR="009D7CBE" w:rsidRPr="005E5A1A">
        <w:rPr>
          <w:lang w:val="en-GB"/>
        </w:rPr>
        <w:t xml:space="preserve">Created by authors using data from </w:t>
      </w:r>
      <w:r w:rsidR="002E5310">
        <w:rPr>
          <w:lang w:val="en-GB"/>
        </w:rPr>
        <w:t>“</w:t>
      </w:r>
      <w:r w:rsidR="009D7CBE" w:rsidRPr="005E5A1A">
        <w:rPr>
          <w:lang w:val="en-GB"/>
        </w:rPr>
        <w:t>Global Poultry Trends 2013</w:t>
      </w:r>
      <w:r w:rsidR="002E5310">
        <w:rPr>
          <w:lang w:val="en-GB"/>
        </w:rPr>
        <w:t>—</w:t>
      </w:r>
      <w:r w:rsidR="009D7CBE" w:rsidRPr="005E5A1A">
        <w:rPr>
          <w:lang w:val="en-GB"/>
        </w:rPr>
        <w:t>Asia Produces One-third of World</w:t>
      </w:r>
      <w:r w:rsidR="002E5310">
        <w:rPr>
          <w:lang w:val="en-GB"/>
        </w:rPr>
        <w:t>’</w:t>
      </w:r>
      <w:r w:rsidR="009D7CBE" w:rsidRPr="005E5A1A">
        <w:rPr>
          <w:lang w:val="en-GB"/>
        </w:rPr>
        <w:t>s Broilers</w:t>
      </w:r>
      <w:r w:rsidR="002E5310">
        <w:rPr>
          <w:lang w:val="en-GB"/>
        </w:rPr>
        <w:t xml:space="preserve">,” The Poultry Site, September 2, 2013, </w:t>
      </w:r>
      <w:r w:rsidR="002E5310">
        <w:rPr>
          <w:lang w:eastAsia="en-CA"/>
        </w:rPr>
        <w:t>a</w:t>
      </w:r>
      <w:r w:rsidR="002E5310" w:rsidRPr="00350F2E">
        <w:rPr>
          <w:lang w:eastAsia="en-CA"/>
        </w:rPr>
        <w:t xml:space="preserve">ccessed November 12, 2015, </w:t>
      </w:r>
      <w:r w:rsidR="002E5310" w:rsidRPr="005601D0">
        <w:rPr>
          <w:lang w:eastAsia="en-CA"/>
        </w:rPr>
        <w:t>www.thepoultrysite.com/articles/2928/global-poultry-trends-2013-asia-produces-onethird-of-worlds-broilers/</w:t>
      </w:r>
      <w:r w:rsidR="009D7CBE" w:rsidRPr="005E5A1A">
        <w:rPr>
          <w:lang w:val="en-GB"/>
        </w:rPr>
        <w:t>.</w:t>
      </w:r>
      <w:r w:rsidR="009D7CBE" w:rsidRPr="005E5A1A">
        <w:rPr>
          <w:rStyle w:val="EndnoteReference"/>
          <w:vertAlign w:val="baseline"/>
          <w:lang w:val="en-GB"/>
        </w:rPr>
        <w:t xml:space="preserve"> </w:t>
      </w:r>
    </w:p>
    <w:p w14:paraId="489B0904" w14:textId="77777777" w:rsidR="009D7CBE" w:rsidRPr="005E5A1A" w:rsidRDefault="009D7CBE" w:rsidP="00651721">
      <w:pPr>
        <w:pStyle w:val="Footnote"/>
        <w:rPr>
          <w:lang w:val="en-GB"/>
        </w:rPr>
      </w:pPr>
    </w:p>
    <w:p w14:paraId="7EB5BB70" w14:textId="77777777" w:rsidR="00651721" w:rsidRPr="005E5A1A" w:rsidRDefault="00651721" w:rsidP="00651721">
      <w:pPr>
        <w:pStyle w:val="Footnote"/>
        <w:rPr>
          <w:lang w:val="en-GB"/>
        </w:rPr>
      </w:pPr>
    </w:p>
    <w:p w14:paraId="4B28EDEF" w14:textId="31367FC0" w:rsidR="002E5310" w:rsidRDefault="009D7CBE" w:rsidP="005D3BF5">
      <w:pPr>
        <w:pStyle w:val="ExhibitHeading"/>
        <w:outlineLvl w:val="0"/>
        <w:rPr>
          <w:bCs/>
          <w:sz w:val="19"/>
          <w:szCs w:val="19"/>
          <w:lang w:val="en-GB"/>
        </w:rPr>
      </w:pPr>
      <w:r w:rsidRPr="005E5A1A">
        <w:rPr>
          <w:lang w:val="en-GB"/>
        </w:rPr>
        <w:t>Exhibit 2</w:t>
      </w:r>
      <w:r w:rsidR="00E0519E" w:rsidRPr="005E5A1A">
        <w:rPr>
          <w:lang w:val="en-GB"/>
        </w:rPr>
        <w:t xml:space="preserve">: </w:t>
      </w:r>
      <w:r w:rsidR="00E0519E" w:rsidRPr="005E5A1A">
        <w:rPr>
          <w:bCs/>
          <w:sz w:val="19"/>
          <w:szCs w:val="19"/>
          <w:lang w:val="en-GB"/>
        </w:rPr>
        <w:t xml:space="preserve">Value of </w:t>
      </w:r>
      <w:r w:rsidR="002E5310">
        <w:rPr>
          <w:bCs/>
          <w:sz w:val="19"/>
          <w:szCs w:val="19"/>
          <w:lang w:val="en-GB"/>
        </w:rPr>
        <w:t xml:space="preserve">U.S. Poultry </w:t>
      </w:r>
      <w:r w:rsidR="00E0519E" w:rsidRPr="005E5A1A">
        <w:rPr>
          <w:bCs/>
          <w:sz w:val="19"/>
          <w:szCs w:val="19"/>
          <w:lang w:val="en-GB"/>
        </w:rPr>
        <w:t>Production</w:t>
      </w:r>
      <w:r w:rsidR="002E5310">
        <w:rPr>
          <w:bCs/>
          <w:sz w:val="19"/>
          <w:szCs w:val="19"/>
          <w:lang w:val="en-GB"/>
        </w:rPr>
        <w:t>,</w:t>
      </w:r>
      <w:r w:rsidR="00E0519E" w:rsidRPr="005E5A1A">
        <w:rPr>
          <w:bCs/>
          <w:sz w:val="19"/>
          <w:szCs w:val="19"/>
          <w:lang w:val="en-GB"/>
        </w:rPr>
        <w:t xml:space="preserve"> 2013 and 2014 </w:t>
      </w:r>
    </w:p>
    <w:p w14:paraId="1CE4A17D" w14:textId="12CFB82D" w:rsidR="009D7CBE" w:rsidRPr="005E5A1A" w:rsidRDefault="00E0519E" w:rsidP="00AD04D1">
      <w:pPr>
        <w:pStyle w:val="ExhibitHeading"/>
        <w:rPr>
          <w:lang w:val="en-GB"/>
        </w:rPr>
      </w:pPr>
      <w:r w:rsidRPr="005E5A1A">
        <w:rPr>
          <w:bCs/>
          <w:sz w:val="19"/>
          <w:szCs w:val="19"/>
          <w:lang w:val="en-GB"/>
        </w:rPr>
        <w:t xml:space="preserve">(in </w:t>
      </w:r>
      <w:r w:rsidR="002E5310">
        <w:rPr>
          <w:bCs/>
          <w:sz w:val="19"/>
          <w:szCs w:val="19"/>
          <w:lang w:val="en-GB"/>
        </w:rPr>
        <w:t>THOUSAND</w:t>
      </w:r>
      <w:r w:rsidR="002E5310" w:rsidRPr="005E5A1A">
        <w:rPr>
          <w:bCs/>
          <w:sz w:val="19"/>
          <w:szCs w:val="19"/>
          <w:lang w:val="en-GB"/>
        </w:rPr>
        <w:t xml:space="preserve">s </w:t>
      </w:r>
      <w:r w:rsidRPr="005E5A1A">
        <w:rPr>
          <w:bCs/>
          <w:sz w:val="19"/>
          <w:szCs w:val="19"/>
          <w:lang w:val="en-GB"/>
        </w:rPr>
        <w:t>of dollars)</w:t>
      </w:r>
    </w:p>
    <w:p w14:paraId="0A13FE2C" w14:textId="77777777" w:rsidR="009D7CBE" w:rsidRPr="005E5A1A" w:rsidRDefault="009D7CBE" w:rsidP="009D7CBE">
      <w:pPr>
        <w:rPr>
          <w:b/>
          <w:sz w:val="22"/>
          <w:szCs w:val="22"/>
          <w:lang w:val="en-GB"/>
        </w:rPr>
      </w:pPr>
    </w:p>
    <w:tbl>
      <w:tblPr>
        <w:tblW w:w="8460" w:type="dxa"/>
        <w:jc w:val="center"/>
        <w:tblLayout w:type="fixed"/>
        <w:tblLook w:val="04A0" w:firstRow="1" w:lastRow="0" w:firstColumn="1" w:lastColumn="0" w:noHBand="0" w:noVBand="1"/>
      </w:tblPr>
      <w:tblGrid>
        <w:gridCol w:w="1006"/>
        <w:gridCol w:w="1750"/>
        <w:gridCol w:w="1564"/>
        <w:gridCol w:w="1350"/>
        <w:gridCol w:w="1350"/>
        <w:gridCol w:w="1440"/>
      </w:tblGrid>
      <w:tr w:rsidR="009D7CBE" w:rsidRPr="005E5A1A" w14:paraId="2ACE6544" w14:textId="77777777" w:rsidTr="00E0519E">
        <w:trPr>
          <w:trHeight w:val="197"/>
          <w:jc w:val="center"/>
        </w:trPr>
        <w:tc>
          <w:tcPr>
            <w:tcW w:w="1006" w:type="dxa"/>
            <w:tcBorders>
              <w:top w:val="single" w:sz="4" w:space="0" w:color="auto"/>
              <w:left w:val="single" w:sz="4" w:space="0" w:color="auto"/>
              <w:bottom w:val="single" w:sz="4" w:space="0" w:color="auto"/>
              <w:right w:val="single" w:sz="4" w:space="0" w:color="auto"/>
            </w:tcBorders>
            <w:hideMark/>
          </w:tcPr>
          <w:p w14:paraId="3C0A9595" w14:textId="5312FFFC" w:rsidR="009D7CBE" w:rsidRPr="005E5A1A" w:rsidRDefault="009D7CBE" w:rsidP="001530CC">
            <w:pPr>
              <w:pStyle w:val="Default"/>
              <w:jc w:val="center"/>
              <w:rPr>
                <w:sz w:val="19"/>
                <w:szCs w:val="19"/>
                <w:lang w:val="en-GB"/>
              </w:rPr>
            </w:pPr>
            <w:r w:rsidRPr="005E5A1A">
              <w:rPr>
                <w:sz w:val="19"/>
                <w:szCs w:val="19"/>
                <w:lang w:val="en-GB"/>
              </w:rPr>
              <w:t>Year</w:t>
            </w:r>
          </w:p>
        </w:tc>
        <w:tc>
          <w:tcPr>
            <w:tcW w:w="1750" w:type="dxa"/>
            <w:tcBorders>
              <w:top w:val="single" w:sz="4" w:space="0" w:color="auto"/>
              <w:left w:val="single" w:sz="4" w:space="0" w:color="auto"/>
              <w:bottom w:val="single" w:sz="4" w:space="0" w:color="auto"/>
              <w:right w:val="single" w:sz="4" w:space="0" w:color="auto"/>
            </w:tcBorders>
            <w:hideMark/>
          </w:tcPr>
          <w:p w14:paraId="7D19466C" w14:textId="45D95E81" w:rsidR="009D7CBE" w:rsidRPr="005E5A1A" w:rsidRDefault="009D7CBE" w:rsidP="001530CC">
            <w:pPr>
              <w:pStyle w:val="Default"/>
              <w:jc w:val="center"/>
              <w:rPr>
                <w:sz w:val="19"/>
                <w:szCs w:val="19"/>
                <w:lang w:val="en-GB"/>
              </w:rPr>
            </w:pPr>
            <w:r w:rsidRPr="005E5A1A">
              <w:rPr>
                <w:sz w:val="19"/>
                <w:szCs w:val="19"/>
                <w:lang w:val="en-GB"/>
              </w:rPr>
              <w:t>Broilers</w:t>
            </w:r>
          </w:p>
        </w:tc>
        <w:tc>
          <w:tcPr>
            <w:tcW w:w="1564" w:type="dxa"/>
            <w:tcBorders>
              <w:top w:val="single" w:sz="4" w:space="0" w:color="auto"/>
              <w:left w:val="single" w:sz="4" w:space="0" w:color="auto"/>
              <w:bottom w:val="single" w:sz="4" w:space="0" w:color="auto"/>
              <w:right w:val="single" w:sz="4" w:space="0" w:color="auto"/>
            </w:tcBorders>
            <w:hideMark/>
          </w:tcPr>
          <w:p w14:paraId="4DAFA082" w14:textId="012AC571" w:rsidR="009D7CBE" w:rsidRPr="005E5A1A" w:rsidRDefault="009D7CBE" w:rsidP="001530CC">
            <w:pPr>
              <w:pStyle w:val="Default"/>
              <w:jc w:val="center"/>
              <w:rPr>
                <w:sz w:val="19"/>
                <w:szCs w:val="19"/>
                <w:lang w:val="en-GB"/>
              </w:rPr>
            </w:pPr>
            <w:r w:rsidRPr="005E5A1A">
              <w:rPr>
                <w:sz w:val="19"/>
                <w:szCs w:val="19"/>
                <w:lang w:val="en-GB"/>
              </w:rPr>
              <w:t>Turkeys</w:t>
            </w:r>
          </w:p>
        </w:tc>
        <w:tc>
          <w:tcPr>
            <w:tcW w:w="1350" w:type="dxa"/>
            <w:tcBorders>
              <w:top w:val="single" w:sz="4" w:space="0" w:color="auto"/>
              <w:left w:val="single" w:sz="4" w:space="0" w:color="auto"/>
              <w:bottom w:val="single" w:sz="4" w:space="0" w:color="auto"/>
              <w:right w:val="single" w:sz="4" w:space="0" w:color="auto"/>
            </w:tcBorders>
            <w:hideMark/>
          </w:tcPr>
          <w:p w14:paraId="65AD7E0E" w14:textId="3F0B51A1" w:rsidR="009D7CBE" w:rsidRPr="005E5A1A" w:rsidRDefault="009D7CBE" w:rsidP="001530CC">
            <w:pPr>
              <w:pStyle w:val="Default"/>
              <w:jc w:val="center"/>
              <w:rPr>
                <w:sz w:val="19"/>
                <w:szCs w:val="19"/>
                <w:lang w:val="en-GB"/>
              </w:rPr>
            </w:pPr>
            <w:r w:rsidRPr="005E5A1A">
              <w:rPr>
                <w:sz w:val="19"/>
                <w:szCs w:val="19"/>
                <w:lang w:val="en-GB"/>
              </w:rPr>
              <w:t>Chickens</w:t>
            </w:r>
          </w:p>
        </w:tc>
        <w:tc>
          <w:tcPr>
            <w:tcW w:w="1350" w:type="dxa"/>
            <w:tcBorders>
              <w:top w:val="single" w:sz="4" w:space="0" w:color="auto"/>
              <w:left w:val="single" w:sz="4" w:space="0" w:color="auto"/>
              <w:bottom w:val="single" w:sz="4" w:space="0" w:color="auto"/>
              <w:right w:val="single" w:sz="4" w:space="0" w:color="auto"/>
            </w:tcBorders>
            <w:hideMark/>
          </w:tcPr>
          <w:p w14:paraId="4BC9CF54" w14:textId="54E528FB" w:rsidR="009D7CBE" w:rsidRPr="005E5A1A" w:rsidRDefault="009D7CBE" w:rsidP="001530CC">
            <w:pPr>
              <w:pStyle w:val="Default"/>
              <w:jc w:val="center"/>
              <w:rPr>
                <w:sz w:val="19"/>
                <w:szCs w:val="19"/>
                <w:lang w:val="en-GB"/>
              </w:rPr>
            </w:pPr>
            <w:r w:rsidRPr="005E5A1A">
              <w:rPr>
                <w:sz w:val="19"/>
                <w:szCs w:val="19"/>
                <w:lang w:val="en-GB"/>
              </w:rPr>
              <w:t>Eggs</w:t>
            </w:r>
          </w:p>
        </w:tc>
        <w:tc>
          <w:tcPr>
            <w:tcW w:w="1440" w:type="dxa"/>
            <w:tcBorders>
              <w:top w:val="single" w:sz="4" w:space="0" w:color="auto"/>
              <w:left w:val="single" w:sz="4" w:space="0" w:color="auto"/>
              <w:bottom w:val="single" w:sz="4" w:space="0" w:color="auto"/>
              <w:right w:val="single" w:sz="4" w:space="0" w:color="auto"/>
            </w:tcBorders>
            <w:hideMark/>
          </w:tcPr>
          <w:p w14:paraId="1823A71B" w14:textId="76620D42" w:rsidR="009D7CBE" w:rsidRPr="005E5A1A" w:rsidRDefault="009D7CBE" w:rsidP="001530CC">
            <w:pPr>
              <w:pStyle w:val="Default"/>
              <w:jc w:val="center"/>
              <w:rPr>
                <w:sz w:val="19"/>
                <w:szCs w:val="19"/>
                <w:lang w:val="en-GB"/>
              </w:rPr>
            </w:pPr>
            <w:r w:rsidRPr="005E5A1A">
              <w:rPr>
                <w:sz w:val="19"/>
                <w:szCs w:val="19"/>
                <w:lang w:val="en-GB"/>
              </w:rPr>
              <w:t>Total</w:t>
            </w:r>
          </w:p>
        </w:tc>
      </w:tr>
      <w:tr w:rsidR="009D7CBE" w:rsidRPr="005E5A1A" w14:paraId="254AF470" w14:textId="77777777" w:rsidTr="00E0519E">
        <w:trPr>
          <w:trHeight w:val="167"/>
          <w:jc w:val="center"/>
        </w:trPr>
        <w:tc>
          <w:tcPr>
            <w:tcW w:w="1006" w:type="dxa"/>
            <w:tcBorders>
              <w:top w:val="single" w:sz="4" w:space="0" w:color="auto"/>
              <w:left w:val="single" w:sz="4" w:space="0" w:color="auto"/>
              <w:bottom w:val="single" w:sz="4" w:space="0" w:color="auto"/>
              <w:right w:val="single" w:sz="4" w:space="0" w:color="auto"/>
            </w:tcBorders>
            <w:hideMark/>
          </w:tcPr>
          <w:p w14:paraId="4B0FACDB" w14:textId="1C052E1E" w:rsidR="009D7CBE" w:rsidRPr="0074620E" w:rsidRDefault="009D7CBE">
            <w:pPr>
              <w:pStyle w:val="Default"/>
              <w:rPr>
                <w:b/>
                <w:sz w:val="19"/>
                <w:szCs w:val="19"/>
                <w:lang w:val="en-GB"/>
              </w:rPr>
            </w:pPr>
            <w:r w:rsidRPr="0074620E">
              <w:rPr>
                <w:b/>
                <w:sz w:val="19"/>
                <w:szCs w:val="19"/>
                <w:lang w:val="en-GB"/>
              </w:rPr>
              <w:t>2013</w:t>
            </w:r>
          </w:p>
          <w:p w14:paraId="33672E84" w14:textId="0DC6F4F7" w:rsidR="009D7CBE" w:rsidRPr="0074620E" w:rsidRDefault="009D7CBE" w:rsidP="0074620E">
            <w:pPr>
              <w:pStyle w:val="Default"/>
              <w:rPr>
                <w:b/>
                <w:sz w:val="19"/>
                <w:szCs w:val="19"/>
                <w:lang w:val="en-GB"/>
              </w:rPr>
            </w:pPr>
            <w:r w:rsidRPr="0074620E">
              <w:rPr>
                <w:b/>
                <w:sz w:val="19"/>
                <w:szCs w:val="19"/>
                <w:lang w:val="en-GB"/>
              </w:rPr>
              <w:t>2014</w:t>
            </w:r>
          </w:p>
        </w:tc>
        <w:tc>
          <w:tcPr>
            <w:tcW w:w="1750" w:type="dxa"/>
            <w:tcBorders>
              <w:top w:val="single" w:sz="4" w:space="0" w:color="auto"/>
              <w:left w:val="single" w:sz="4" w:space="0" w:color="auto"/>
              <w:bottom w:val="single" w:sz="4" w:space="0" w:color="auto"/>
              <w:right w:val="single" w:sz="4" w:space="0" w:color="auto"/>
            </w:tcBorders>
            <w:hideMark/>
          </w:tcPr>
          <w:p w14:paraId="18705971" w14:textId="3DE8284D" w:rsidR="009D7CBE" w:rsidRPr="005E5A1A" w:rsidRDefault="009D7CBE" w:rsidP="001530CC">
            <w:pPr>
              <w:pStyle w:val="Default"/>
              <w:jc w:val="center"/>
              <w:rPr>
                <w:rFonts w:eastAsiaTheme="majorEastAsia"/>
                <w:i/>
                <w:iCs/>
                <w:sz w:val="19"/>
                <w:szCs w:val="19"/>
                <w:lang w:val="en-GB"/>
              </w:rPr>
            </w:pPr>
            <w:r w:rsidRPr="005E5A1A">
              <w:rPr>
                <w:sz w:val="19"/>
                <w:szCs w:val="19"/>
                <w:lang w:val="en-GB"/>
              </w:rPr>
              <w:t>30,761,669</w:t>
            </w:r>
          </w:p>
          <w:p w14:paraId="29241593" w14:textId="0E5EE093" w:rsidR="009D7CBE" w:rsidRPr="005E5A1A" w:rsidRDefault="009D7CBE" w:rsidP="001530CC">
            <w:pPr>
              <w:pStyle w:val="Default"/>
              <w:jc w:val="center"/>
              <w:rPr>
                <w:rFonts w:eastAsiaTheme="majorEastAsia"/>
                <w:i/>
                <w:iCs/>
                <w:sz w:val="19"/>
                <w:szCs w:val="19"/>
                <w:lang w:val="en-GB"/>
              </w:rPr>
            </w:pPr>
            <w:r w:rsidRPr="005E5A1A">
              <w:rPr>
                <w:sz w:val="19"/>
                <w:szCs w:val="19"/>
                <w:lang w:val="en-GB"/>
              </w:rPr>
              <w:t>32,724,667</w:t>
            </w:r>
          </w:p>
        </w:tc>
        <w:tc>
          <w:tcPr>
            <w:tcW w:w="1564" w:type="dxa"/>
            <w:tcBorders>
              <w:top w:val="single" w:sz="4" w:space="0" w:color="auto"/>
              <w:left w:val="single" w:sz="4" w:space="0" w:color="auto"/>
              <w:bottom w:val="single" w:sz="4" w:space="0" w:color="auto"/>
              <w:right w:val="single" w:sz="4" w:space="0" w:color="auto"/>
            </w:tcBorders>
            <w:hideMark/>
          </w:tcPr>
          <w:p w14:paraId="685C73DA" w14:textId="68DA2FA2" w:rsidR="009D7CBE" w:rsidRPr="005E5A1A" w:rsidRDefault="009D7CBE" w:rsidP="001530CC">
            <w:pPr>
              <w:pStyle w:val="Default"/>
              <w:jc w:val="center"/>
              <w:rPr>
                <w:rFonts w:eastAsiaTheme="majorEastAsia"/>
                <w:i/>
                <w:iCs/>
                <w:sz w:val="19"/>
                <w:szCs w:val="19"/>
                <w:lang w:val="en-GB"/>
              </w:rPr>
            </w:pPr>
            <w:r w:rsidRPr="005E5A1A">
              <w:rPr>
                <w:sz w:val="19"/>
                <w:szCs w:val="19"/>
                <w:lang w:val="en-GB"/>
              </w:rPr>
              <w:t>4,839,562</w:t>
            </w:r>
          </w:p>
          <w:p w14:paraId="3DD56F07" w14:textId="15623797" w:rsidR="009D7CBE" w:rsidRPr="005E5A1A" w:rsidRDefault="009D7CBE" w:rsidP="001530CC">
            <w:pPr>
              <w:pStyle w:val="Default"/>
              <w:jc w:val="center"/>
              <w:rPr>
                <w:rFonts w:eastAsiaTheme="majorEastAsia"/>
                <w:i/>
                <w:iCs/>
                <w:sz w:val="19"/>
                <w:szCs w:val="19"/>
                <w:lang w:val="en-GB"/>
              </w:rPr>
            </w:pPr>
            <w:r w:rsidRPr="005E5A1A">
              <w:rPr>
                <w:sz w:val="19"/>
                <w:szCs w:val="19"/>
                <w:lang w:val="en-GB"/>
              </w:rPr>
              <w:t>5,304,537</w:t>
            </w:r>
          </w:p>
        </w:tc>
        <w:tc>
          <w:tcPr>
            <w:tcW w:w="1350" w:type="dxa"/>
            <w:tcBorders>
              <w:top w:val="single" w:sz="4" w:space="0" w:color="auto"/>
              <w:left w:val="single" w:sz="4" w:space="0" w:color="auto"/>
              <w:bottom w:val="single" w:sz="4" w:space="0" w:color="auto"/>
              <w:right w:val="single" w:sz="4" w:space="0" w:color="auto"/>
            </w:tcBorders>
            <w:hideMark/>
          </w:tcPr>
          <w:p w14:paraId="40112A8C" w14:textId="73FB583F" w:rsidR="009D7CBE" w:rsidRPr="005E5A1A" w:rsidRDefault="009D7CBE" w:rsidP="001530CC">
            <w:pPr>
              <w:pStyle w:val="Default"/>
              <w:jc w:val="center"/>
              <w:rPr>
                <w:rFonts w:eastAsiaTheme="majorEastAsia"/>
                <w:i/>
                <w:iCs/>
                <w:sz w:val="19"/>
                <w:szCs w:val="19"/>
                <w:lang w:val="en-GB"/>
              </w:rPr>
            </w:pPr>
            <w:r w:rsidRPr="005E5A1A">
              <w:rPr>
                <w:sz w:val="19"/>
                <w:szCs w:val="19"/>
                <w:lang w:val="en-GB"/>
              </w:rPr>
              <w:t>87,939</w:t>
            </w:r>
          </w:p>
          <w:p w14:paraId="6D9A0FE1" w14:textId="0C75522A" w:rsidR="009D7CBE" w:rsidRPr="005E5A1A" w:rsidRDefault="009D7CBE" w:rsidP="001530CC">
            <w:pPr>
              <w:pStyle w:val="Default"/>
              <w:jc w:val="center"/>
              <w:rPr>
                <w:sz w:val="19"/>
                <w:szCs w:val="19"/>
                <w:lang w:val="en-GB"/>
              </w:rPr>
            </w:pPr>
            <w:r w:rsidRPr="005E5A1A">
              <w:rPr>
                <w:sz w:val="19"/>
                <w:szCs w:val="19"/>
                <w:lang w:val="en-GB"/>
              </w:rPr>
              <w:t>96,557</w:t>
            </w:r>
          </w:p>
        </w:tc>
        <w:tc>
          <w:tcPr>
            <w:tcW w:w="1350" w:type="dxa"/>
            <w:tcBorders>
              <w:top w:val="single" w:sz="4" w:space="0" w:color="auto"/>
              <w:left w:val="single" w:sz="4" w:space="0" w:color="auto"/>
              <w:bottom w:val="single" w:sz="4" w:space="0" w:color="auto"/>
              <w:right w:val="single" w:sz="4" w:space="0" w:color="auto"/>
            </w:tcBorders>
            <w:hideMark/>
          </w:tcPr>
          <w:p w14:paraId="4A600E78" w14:textId="77777777" w:rsidR="009D7CBE" w:rsidRPr="005E5A1A" w:rsidRDefault="009D7CBE">
            <w:pPr>
              <w:pStyle w:val="Default"/>
              <w:jc w:val="right"/>
              <w:rPr>
                <w:rFonts w:eastAsiaTheme="majorEastAsia"/>
                <w:i/>
                <w:iCs/>
                <w:sz w:val="19"/>
                <w:szCs w:val="19"/>
                <w:lang w:val="en-GB"/>
              </w:rPr>
            </w:pPr>
            <w:r w:rsidRPr="005E5A1A">
              <w:rPr>
                <w:sz w:val="19"/>
                <w:szCs w:val="19"/>
                <w:lang w:val="en-GB"/>
              </w:rPr>
              <w:t xml:space="preserve">8,678,859 </w:t>
            </w:r>
          </w:p>
          <w:p w14:paraId="6217E271" w14:textId="77777777" w:rsidR="009D7CBE" w:rsidRPr="005E5A1A" w:rsidRDefault="009D7CBE">
            <w:pPr>
              <w:pStyle w:val="Default"/>
              <w:jc w:val="right"/>
              <w:rPr>
                <w:rFonts w:eastAsiaTheme="majorEastAsia"/>
                <w:i/>
                <w:iCs/>
                <w:sz w:val="19"/>
                <w:szCs w:val="19"/>
                <w:lang w:val="en-GB"/>
              </w:rPr>
            </w:pPr>
            <w:r w:rsidRPr="005E5A1A">
              <w:rPr>
                <w:sz w:val="19"/>
                <w:szCs w:val="19"/>
                <w:lang w:val="en-GB"/>
              </w:rPr>
              <w:t xml:space="preserve">10,166,321 </w:t>
            </w:r>
          </w:p>
        </w:tc>
        <w:tc>
          <w:tcPr>
            <w:tcW w:w="1440" w:type="dxa"/>
            <w:tcBorders>
              <w:top w:val="single" w:sz="4" w:space="0" w:color="auto"/>
              <w:left w:val="single" w:sz="4" w:space="0" w:color="auto"/>
              <w:bottom w:val="single" w:sz="4" w:space="0" w:color="auto"/>
              <w:right w:val="single" w:sz="4" w:space="0" w:color="auto"/>
            </w:tcBorders>
            <w:hideMark/>
          </w:tcPr>
          <w:p w14:paraId="4956E284" w14:textId="4B40571F" w:rsidR="009D7CBE" w:rsidRPr="005E5A1A" w:rsidRDefault="009D7CBE" w:rsidP="001530CC">
            <w:pPr>
              <w:pStyle w:val="Default"/>
              <w:jc w:val="center"/>
              <w:rPr>
                <w:rFonts w:eastAsiaTheme="majorEastAsia"/>
                <w:i/>
                <w:iCs/>
                <w:sz w:val="19"/>
                <w:szCs w:val="19"/>
                <w:lang w:val="en-GB"/>
              </w:rPr>
            </w:pPr>
            <w:r w:rsidRPr="005E5A1A">
              <w:rPr>
                <w:sz w:val="19"/>
                <w:szCs w:val="19"/>
                <w:lang w:val="en-GB"/>
              </w:rPr>
              <w:t>44,368,029</w:t>
            </w:r>
          </w:p>
          <w:p w14:paraId="253CB726" w14:textId="7E5B0BB6" w:rsidR="009D7CBE" w:rsidRPr="005E5A1A" w:rsidRDefault="009D7CBE" w:rsidP="001530CC">
            <w:pPr>
              <w:pStyle w:val="Default"/>
              <w:jc w:val="center"/>
              <w:rPr>
                <w:rFonts w:eastAsiaTheme="majorEastAsia"/>
                <w:i/>
                <w:iCs/>
                <w:sz w:val="19"/>
                <w:szCs w:val="19"/>
                <w:lang w:val="en-GB"/>
              </w:rPr>
            </w:pPr>
            <w:r w:rsidRPr="005E5A1A">
              <w:rPr>
                <w:sz w:val="19"/>
                <w:szCs w:val="19"/>
                <w:lang w:val="en-GB"/>
              </w:rPr>
              <w:t>48,292,082</w:t>
            </w:r>
          </w:p>
        </w:tc>
      </w:tr>
    </w:tbl>
    <w:p w14:paraId="4790390A" w14:textId="77777777" w:rsidR="009D7CBE" w:rsidRPr="005E5A1A" w:rsidRDefault="009D7CBE" w:rsidP="00A43815">
      <w:pPr>
        <w:pStyle w:val="BodyTextMain"/>
        <w:rPr>
          <w:lang w:val="en-GB"/>
        </w:rPr>
      </w:pPr>
    </w:p>
    <w:p w14:paraId="02E911FF" w14:textId="43F1C77E" w:rsidR="009D7CBE" w:rsidRPr="005E5A1A" w:rsidRDefault="00B633A0" w:rsidP="00E0519E">
      <w:pPr>
        <w:pStyle w:val="Footnote"/>
        <w:rPr>
          <w:b/>
          <w:lang w:val="en-GB"/>
        </w:rPr>
      </w:pPr>
      <w:r>
        <w:rPr>
          <w:lang w:val="en-GB"/>
        </w:rPr>
        <w:t>Note: The data on broilers e</w:t>
      </w:r>
      <w:r w:rsidR="00E0519E" w:rsidRPr="005E5A1A">
        <w:rPr>
          <w:lang w:val="en-GB"/>
        </w:rPr>
        <w:t xml:space="preserve">xcludes </w:t>
      </w:r>
      <w:r>
        <w:rPr>
          <w:lang w:val="en-GB"/>
        </w:rPr>
        <w:t>s</w:t>
      </w:r>
      <w:r w:rsidR="00E0519E" w:rsidRPr="005E5A1A">
        <w:rPr>
          <w:lang w:val="en-GB"/>
        </w:rPr>
        <w:t xml:space="preserve">tates </w:t>
      </w:r>
      <w:r>
        <w:rPr>
          <w:lang w:val="en-GB"/>
        </w:rPr>
        <w:t>that</w:t>
      </w:r>
      <w:r w:rsidRPr="005E5A1A">
        <w:rPr>
          <w:lang w:val="en-GB"/>
        </w:rPr>
        <w:t xml:space="preserve"> </w:t>
      </w:r>
      <w:r w:rsidR="00E0519E" w:rsidRPr="005E5A1A">
        <w:rPr>
          <w:lang w:val="en-GB"/>
        </w:rPr>
        <w:t xml:space="preserve">produced </w:t>
      </w:r>
      <w:r>
        <w:rPr>
          <w:lang w:val="en-GB"/>
        </w:rPr>
        <w:t>fewer</w:t>
      </w:r>
      <w:r w:rsidRPr="005E5A1A">
        <w:rPr>
          <w:lang w:val="en-GB"/>
        </w:rPr>
        <w:t xml:space="preserve"> </w:t>
      </w:r>
      <w:r w:rsidR="00E0519E" w:rsidRPr="005E5A1A">
        <w:rPr>
          <w:lang w:val="en-GB"/>
        </w:rPr>
        <w:t>than 500,000 broilers</w:t>
      </w:r>
      <w:r>
        <w:rPr>
          <w:lang w:val="en-GB"/>
        </w:rPr>
        <w:t>; the data on chickens refers to the value of sales, not production</w:t>
      </w:r>
      <w:r w:rsidR="0045632C">
        <w:rPr>
          <w:lang w:val="en-GB"/>
        </w:rPr>
        <w:t>.</w:t>
      </w:r>
    </w:p>
    <w:p w14:paraId="14C47CAE" w14:textId="7B26D6A3" w:rsidR="0074620E" w:rsidRDefault="00E0519E" w:rsidP="00E0519E">
      <w:pPr>
        <w:pStyle w:val="Footnote"/>
        <w:rPr>
          <w:lang w:val="en-GB" w:eastAsia="en-CA"/>
        </w:rPr>
      </w:pPr>
      <w:r w:rsidRPr="005E5A1A">
        <w:rPr>
          <w:lang w:val="en-GB" w:eastAsia="en-CA"/>
        </w:rPr>
        <w:t xml:space="preserve">Source: </w:t>
      </w:r>
      <w:r w:rsidR="00573045">
        <w:rPr>
          <w:lang w:val="en-GB" w:eastAsia="en-CA"/>
        </w:rPr>
        <w:t xml:space="preserve">Created by the authors with data from </w:t>
      </w:r>
      <w:r w:rsidR="00AB093E">
        <w:rPr>
          <w:lang w:val="en-GB" w:eastAsia="en-CA"/>
        </w:rPr>
        <w:t xml:space="preserve">United States Department of Agriculture, </w:t>
      </w:r>
      <w:r w:rsidRPr="001530CC">
        <w:rPr>
          <w:i/>
          <w:lang w:val="en-GB" w:eastAsia="en-CA"/>
        </w:rPr>
        <w:t>Poultry</w:t>
      </w:r>
      <w:r w:rsidR="00B633A0" w:rsidRPr="001530CC">
        <w:rPr>
          <w:i/>
          <w:lang w:val="en-GB" w:eastAsia="en-CA"/>
        </w:rPr>
        <w:t>—</w:t>
      </w:r>
      <w:r w:rsidRPr="001530CC">
        <w:rPr>
          <w:i/>
          <w:lang w:val="en-GB" w:eastAsia="en-CA"/>
        </w:rPr>
        <w:t>Production and Value: 2014 Summary</w:t>
      </w:r>
      <w:r w:rsidRPr="005E5A1A">
        <w:rPr>
          <w:lang w:val="en-GB" w:eastAsia="en-CA"/>
        </w:rPr>
        <w:t>,</w:t>
      </w:r>
      <w:r w:rsidR="00AB093E">
        <w:rPr>
          <w:lang w:val="en-GB" w:eastAsia="en-CA"/>
        </w:rPr>
        <w:t xml:space="preserve"> April 2015,</w:t>
      </w:r>
      <w:r w:rsidRPr="005E5A1A">
        <w:rPr>
          <w:lang w:val="en-GB" w:eastAsia="en-CA"/>
        </w:rPr>
        <w:t xml:space="preserve"> accessed </w:t>
      </w:r>
      <w:r w:rsidR="00573045">
        <w:rPr>
          <w:lang w:val="en-GB" w:eastAsia="en-CA"/>
        </w:rPr>
        <w:t>April 2, 2017</w:t>
      </w:r>
      <w:r w:rsidR="00AB093E">
        <w:rPr>
          <w:lang w:val="en-GB" w:eastAsia="en-CA"/>
        </w:rPr>
        <w:t xml:space="preserve">, </w:t>
      </w:r>
      <w:r w:rsidR="0074620E" w:rsidRPr="0074620E">
        <w:rPr>
          <w:lang w:val="en-GB" w:eastAsia="en-CA"/>
        </w:rPr>
        <w:t>http://usda.mannlib.cornell.edu/usda/nass/PoulProdVa//2010s/2015/</w:t>
      </w:r>
    </w:p>
    <w:p w14:paraId="16B4AFBE" w14:textId="50EFD815" w:rsidR="00E0519E" w:rsidRPr="005E5A1A" w:rsidRDefault="00573045" w:rsidP="00E0519E">
      <w:pPr>
        <w:pStyle w:val="Footnote"/>
        <w:rPr>
          <w:b/>
          <w:lang w:val="en-GB"/>
        </w:rPr>
      </w:pPr>
      <w:r w:rsidRPr="00573045">
        <w:rPr>
          <w:lang w:val="en-GB" w:eastAsia="en-CA"/>
        </w:rPr>
        <w:t>PoulProdVa-04-30-2015.pdf</w:t>
      </w:r>
      <w:r w:rsidR="00AB093E">
        <w:rPr>
          <w:lang w:val="en-GB" w:eastAsia="en-CA"/>
        </w:rPr>
        <w:t>.</w:t>
      </w:r>
    </w:p>
    <w:p w14:paraId="2CC6DC7F" w14:textId="77777777" w:rsidR="00E0519E" w:rsidRPr="005E5A1A" w:rsidRDefault="00E0519E" w:rsidP="009D7CBE">
      <w:pPr>
        <w:rPr>
          <w:b/>
          <w:lang w:val="en-GB"/>
        </w:rPr>
      </w:pPr>
    </w:p>
    <w:p w14:paraId="6F6A74EF" w14:textId="77777777" w:rsidR="003350F7" w:rsidRDefault="003350F7">
      <w:pPr>
        <w:spacing w:after="200" w:line="276" w:lineRule="auto"/>
        <w:rPr>
          <w:rFonts w:ascii="Arial" w:hAnsi="Arial" w:cs="Arial"/>
          <w:b/>
          <w:caps/>
          <w:lang w:val="en-GB"/>
        </w:rPr>
      </w:pPr>
      <w:r>
        <w:rPr>
          <w:lang w:val="en-GB"/>
        </w:rPr>
        <w:br w:type="page"/>
      </w:r>
    </w:p>
    <w:p w14:paraId="63A4D101" w14:textId="77777777" w:rsidR="006B64CF" w:rsidRDefault="009D7CBE" w:rsidP="00044B2F">
      <w:pPr>
        <w:pStyle w:val="ExhibitHeading"/>
        <w:rPr>
          <w:lang w:val="en-GB"/>
        </w:rPr>
      </w:pPr>
      <w:r w:rsidRPr="005E5A1A">
        <w:rPr>
          <w:lang w:val="en-GB"/>
        </w:rPr>
        <w:lastRenderedPageBreak/>
        <w:t>Exhibit 3</w:t>
      </w:r>
      <w:r w:rsidR="00044B2F" w:rsidRPr="005E5A1A">
        <w:rPr>
          <w:lang w:val="en-GB"/>
        </w:rPr>
        <w:t xml:space="preserve">: </w:t>
      </w:r>
      <w:r w:rsidRPr="005E5A1A">
        <w:rPr>
          <w:lang w:val="en-GB"/>
        </w:rPr>
        <w:t xml:space="preserve">Per Capita Consumption of Poultry and Livestock, </w:t>
      </w:r>
    </w:p>
    <w:p w14:paraId="6405D11F" w14:textId="44F2F0A6" w:rsidR="009D7CBE" w:rsidRPr="005E5A1A" w:rsidRDefault="009D7CBE" w:rsidP="00044B2F">
      <w:pPr>
        <w:pStyle w:val="ExhibitHeading"/>
        <w:rPr>
          <w:lang w:val="en-GB"/>
        </w:rPr>
      </w:pPr>
      <w:r w:rsidRPr="005E5A1A">
        <w:rPr>
          <w:lang w:val="en-GB"/>
        </w:rPr>
        <w:t xml:space="preserve">1965 to Estimated 2016 </w:t>
      </w:r>
      <w:r w:rsidR="00B633A0">
        <w:rPr>
          <w:lang w:val="en-GB"/>
        </w:rPr>
        <w:t>(</w:t>
      </w:r>
      <w:r w:rsidRPr="005E5A1A">
        <w:rPr>
          <w:lang w:val="en-GB"/>
        </w:rPr>
        <w:t>in Pounds</w:t>
      </w:r>
      <w:r w:rsidR="00B633A0">
        <w:rPr>
          <w:lang w:val="en-GB"/>
        </w:rPr>
        <w:t>)</w:t>
      </w:r>
    </w:p>
    <w:p w14:paraId="4E347C0F" w14:textId="77777777" w:rsidR="00044B2F" w:rsidRPr="005E5A1A" w:rsidRDefault="00044B2F" w:rsidP="00044B2F">
      <w:pPr>
        <w:pStyle w:val="ExhibitHeading"/>
        <w:rPr>
          <w:lang w:val="en-GB"/>
        </w:rPr>
      </w:pPr>
    </w:p>
    <w:tbl>
      <w:tblPr>
        <w:tblStyle w:val="TableGrid"/>
        <w:tblW w:w="4357" w:type="pct"/>
        <w:jc w:val="center"/>
        <w:tblLayout w:type="fixed"/>
        <w:tblLook w:val="04A0" w:firstRow="1" w:lastRow="0" w:firstColumn="1" w:lastColumn="0" w:noHBand="0" w:noVBand="1"/>
      </w:tblPr>
      <w:tblGrid>
        <w:gridCol w:w="791"/>
        <w:gridCol w:w="618"/>
        <w:gridCol w:w="704"/>
        <w:gridCol w:w="704"/>
        <w:gridCol w:w="703"/>
        <w:gridCol w:w="703"/>
        <w:gridCol w:w="877"/>
        <w:gridCol w:w="703"/>
        <w:gridCol w:w="703"/>
        <w:gridCol w:w="790"/>
        <w:gridCol w:w="852"/>
      </w:tblGrid>
      <w:tr w:rsidR="001530CC" w:rsidRPr="001530CC" w14:paraId="5E3A9675" w14:textId="77777777" w:rsidTr="000519A5">
        <w:trPr>
          <w:cantSplit/>
          <w:trHeight w:val="1295"/>
          <w:jc w:val="center"/>
        </w:trPr>
        <w:tc>
          <w:tcPr>
            <w:tcW w:w="810" w:type="dxa"/>
            <w:textDirection w:val="tbRl"/>
            <w:hideMark/>
          </w:tcPr>
          <w:p w14:paraId="4E883792"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Year</w:t>
            </w:r>
          </w:p>
        </w:tc>
        <w:tc>
          <w:tcPr>
            <w:tcW w:w="630" w:type="dxa"/>
            <w:textDirection w:val="tbRl"/>
            <w:hideMark/>
          </w:tcPr>
          <w:p w14:paraId="5AC8B9FF"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Beef</w:t>
            </w:r>
          </w:p>
        </w:tc>
        <w:tc>
          <w:tcPr>
            <w:tcW w:w="720" w:type="dxa"/>
            <w:textDirection w:val="tbRl"/>
            <w:hideMark/>
          </w:tcPr>
          <w:p w14:paraId="6194634C"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Pork</w:t>
            </w:r>
          </w:p>
        </w:tc>
        <w:tc>
          <w:tcPr>
            <w:tcW w:w="720" w:type="dxa"/>
            <w:textDirection w:val="tbRl"/>
            <w:hideMark/>
          </w:tcPr>
          <w:p w14:paraId="14B23786"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Total Red Meat</w:t>
            </w:r>
          </w:p>
        </w:tc>
        <w:tc>
          <w:tcPr>
            <w:tcW w:w="720" w:type="dxa"/>
            <w:textDirection w:val="tbRl"/>
            <w:hideMark/>
          </w:tcPr>
          <w:p w14:paraId="1408CC26"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Broilers</w:t>
            </w:r>
          </w:p>
        </w:tc>
        <w:tc>
          <w:tcPr>
            <w:tcW w:w="720" w:type="dxa"/>
            <w:textDirection w:val="tbRl"/>
            <w:hideMark/>
          </w:tcPr>
          <w:p w14:paraId="308C97AF"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Other Chicken</w:t>
            </w:r>
          </w:p>
        </w:tc>
        <w:tc>
          <w:tcPr>
            <w:tcW w:w="900" w:type="dxa"/>
            <w:textDirection w:val="tbRl"/>
            <w:hideMark/>
          </w:tcPr>
          <w:p w14:paraId="1CA3F22A"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Total Chicken</w:t>
            </w:r>
          </w:p>
        </w:tc>
        <w:tc>
          <w:tcPr>
            <w:tcW w:w="720" w:type="dxa"/>
            <w:textDirection w:val="tbRl"/>
            <w:hideMark/>
          </w:tcPr>
          <w:p w14:paraId="588DE3B6"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Turkey</w:t>
            </w:r>
          </w:p>
        </w:tc>
        <w:tc>
          <w:tcPr>
            <w:tcW w:w="720" w:type="dxa"/>
            <w:textDirection w:val="tbRl"/>
            <w:hideMark/>
          </w:tcPr>
          <w:p w14:paraId="5665AEA2"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Total Poultry</w:t>
            </w:r>
          </w:p>
        </w:tc>
        <w:tc>
          <w:tcPr>
            <w:tcW w:w="810" w:type="dxa"/>
            <w:textDirection w:val="tbRl"/>
            <w:hideMark/>
          </w:tcPr>
          <w:p w14:paraId="15E95DD0"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Total Red Meat and Poultry</w:t>
            </w:r>
          </w:p>
        </w:tc>
        <w:tc>
          <w:tcPr>
            <w:tcW w:w="874" w:type="dxa"/>
            <w:textDirection w:val="tbRl"/>
            <w:hideMark/>
          </w:tcPr>
          <w:p w14:paraId="34C0A9B0" w14:textId="77777777" w:rsidR="009D7CBE" w:rsidRPr="001530CC" w:rsidRDefault="009D7CBE" w:rsidP="000519A5">
            <w:pPr>
              <w:pStyle w:val="ExhibitText"/>
              <w:ind w:left="113" w:right="113"/>
              <w:jc w:val="left"/>
              <w:rPr>
                <w:b/>
                <w:bCs/>
                <w:sz w:val="18"/>
                <w:szCs w:val="18"/>
                <w:lang w:val="en-GB" w:eastAsia="en-CA"/>
              </w:rPr>
            </w:pPr>
            <w:r w:rsidRPr="001530CC">
              <w:rPr>
                <w:sz w:val="18"/>
                <w:szCs w:val="18"/>
                <w:lang w:val="en-GB" w:eastAsia="en-CA"/>
              </w:rPr>
              <w:t>Commercial Fish and Shellfish</w:t>
            </w:r>
          </w:p>
        </w:tc>
      </w:tr>
      <w:tr w:rsidR="001530CC" w:rsidRPr="001530CC" w14:paraId="62F3ED98" w14:textId="77777777" w:rsidTr="001530CC">
        <w:trPr>
          <w:trHeight w:val="137"/>
          <w:jc w:val="center"/>
        </w:trPr>
        <w:tc>
          <w:tcPr>
            <w:tcW w:w="810" w:type="dxa"/>
            <w:hideMark/>
          </w:tcPr>
          <w:p w14:paraId="08AAF853" w14:textId="77777777" w:rsidR="009D7CBE" w:rsidRPr="001530CC" w:rsidRDefault="009D7CBE" w:rsidP="00044B2F">
            <w:pPr>
              <w:pStyle w:val="ExhibitText"/>
              <w:rPr>
                <w:sz w:val="18"/>
                <w:szCs w:val="18"/>
                <w:lang w:val="en-GB" w:eastAsia="en-CA"/>
              </w:rPr>
            </w:pPr>
            <w:r w:rsidRPr="001530CC">
              <w:rPr>
                <w:sz w:val="18"/>
                <w:szCs w:val="18"/>
                <w:lang w:val="en-GB" w:eastAsia="en-CA"/>
              </w:rPr>
              <w:t>1965</w:t>
            </w:r>
          </w:p>
        </w:tc>
        <w:tc>
          <w:tcPr>
            <w:tcW w:w="630" w:type="dxa"/>
            <w:hideMark/>
          </w:tcPr>
          <w:p w14:paraId="22053842"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74.7</w:t>
            </w:r>
          </w:p>
        </w:tc>
        <w:tc>
          <w:tcPr>
            <w:tcW w:w="720" w:type="dxa"/>
            <w:hideMark/>
          </w:tcPr>
          <w:p w14:paraId="3D4C06FB"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51.5</w:t>
            </w:r>
          </w:p>
        </w:tc>
        <w:tc>
          <w:tcPr>
            <w:tcW w:w="720" w:type="dxa"/>
            <w:hideMark/>
          </w:tcPr>
          <w:p w14:paraId="28B49E35"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133.9</w:t>
            </w:r>
          </w:p>
        </w:tc>
        <w:tc>
          <w:tcPr>
            <w:tcW w:w="720" w:type="dxa"/>
            <w:hideMark/>
          </w:tcPr>
          <w:p w14:paraId="3426149F"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NA</w:t>
            </w:r>
          </w:p>
        </w:tc>
        <w:tc>
          <w:tcPr>
            <w:tcW w:w="720" w:type="dxa"/>
            <w:hideMark/>
          </w:tcPr>
          <w:p w14:paraId="33F1E889"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NA</w:t>
            </w:r>
          </w:p>
        </w:tc>
        <w:tc>
          <w:tcPr>
            <w:tcW w:w="900" w:type="dxa"/>
            <w:hideMark/>
          </w:tcPr>
          <w:p w14:paraId="6272A244"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36.9</w:t>
            </w:r>
          </w:p>
        </w:tc>
        <w:tc>
          <w:tcPr>
            <w:tcW w:w="720" w:type="dxa"/>
            <w:hideMark/>
          </w:tcPr>
          <w:p w14:paraId="62C7E404"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7.6</w:t>
            </w:r>
          </w:p>
        </w:tc>
        <w:tc>
          <w:tcPr>
            <w:tcW w:w="720" w:type="dxa"/>
            <w:hideMark/>
          </w:tcPr>
          <w:p w14:paraId="29835B13"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44.4</w:t>
            </w:r>
          </w:p>
        </w:tc>
        <w:tc>
          <w:tcPr>
            <w:tcW w:w="810" w:type="dxa"/>
            <w:hideMark/>
          </w:tcPr>
          <w:p w14:paraId="2F49B7C7"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178.4</w:t>
            </w:r>
          </w:p>
        </w:tc>
        <w:tc>
          <w:tcPr>
            <w:tcW w:w="874" w:type="dxa"/>
            <w:hideMark/>
          </w:tcPr>
          <w:p w14:paraId="3A1C18E5"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10.9</w:t>
            </w:r>
          </w:p>
        </w:tc>
      </w:tr>
      <w:tr w:rsidR="001530CC" w:rsidRPr="001530CC" w14:paraId="5127B13E" w14:textId="77777777" w:rsidTr="001530CC">
        <w:trPr>
          <w:trHeight w:val="137"/>
          <w:jc w:val="center"/>
        </w:trPr>
        <w:tc>
          <w:tcPr>
            <w:tcW w:w="810" w:type="dxa"/>
            <w:hideMark/>
          </w:tcPr>
          <w:p w14:paraId="42EEC958" w14:textId="77777777" w:rsidR="009D7CBE" w:rsidRPr="001530CC" w:rsidRDefault="009D7CBE" w:rsidP="00044B2F">
            <w:pPr>
              <w:pStyle w:val="ExhibitText"/>
              <w:rPr>
                <w:sz w:val="18"/>
                <w:szCs w:val="18"/>
                <w:lang w:val="en-GB" w:eastAsia="en-CA"/>
              </w:rPr>
            </w:pPr>
            <w:r w:rsidRPr="001530CC">
              <w:rPr>
                <w:sz w:val="18"/>
                <w:szCs w:val="18"/>
                <w:lang w:val="en-GB" w:eastAsia="en-CA"/>
              </w:rPr>
              <w:t>1970</w:t>
            </w:r>
          </w:p>
        </w:tc>
        <w:tc>
          <w:tcPr>
            <w:tcW w:w="630" w:type="dxa"/>
            <w:hideMark/>
          </w:tcPr>
          <w:p w14:paraId="5DAF08BD"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84.4</w:t>
            </w:r>
          </w:p>
        </w:tc>
        <w:tc>
          <w:tcPr>
            <w:tcW w:w="720" w:type="dxa"/>
            <w:hideMark/>
          </w:tcPr>
          <w:p w14:paraId="1EEF1759"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55.4</w:t>
            </w:r>
          </w:p>
        </w:tc>
        <w:tc>
          <w:tcPr>
            <w:tcW w:w="720" w:type="dxa"/>
            <w:hideMark/>
          </w:tcPr>
          <w:p w14:paraId="555F7F42"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145.1</w:t>
            </w:r>
          </w:p>
        </w:tc>
        <w:tc>
          <w:tcPr>
            <w:tcW w:w="720" w:type="dxa"/>
            <w:hideMark/>
          </w:tcPr>
          <w:p w14:paraId="4BA1DD3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36.5</w:t>
            </w:r>
          </w:p>
        </w:tc>
        <w:tc>
          <w:tcPr>
            <w:tcW w:w="720" w:type="dxa"/>
            <w:hideMark/>
          </w:tcPr>
          <w:p w14:paraId="1BB089CF"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3.7</w:t>
            </w:r>
          </w:p>
        </w:tc>
        <w:tc>
          <w:tcPr>
            <w:tcW w:w="900" w:type="dxa"/>
            <w:hideMark/>
          </w:tcPr>
          <w:p w14:paraId="5EA3833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40.1</w:t>
            </w:r>
          </w:p>
        </w:tc>
        <w:tc>
          <w:tcPr>
            <w:tcW w:w="720" w:type="dxa"/>
            <w:hideMark/>
          </w:tcPr>
          <w:p w14:paraId="41EDDDF3"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8.1</w:t>
            </w:r>
          </w:p>
        </w:tc>
        <w:tc>
          <w:tcPr>
            <w:tcW w:w="720" w:type="dxa"/>
            <w:hideMark/>
          </w:tcPr>
          <w:p w14:paraId="5D688E9D"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48.2</w:t>
            </w:r>
          </w:p>
        </w:tc>
        <w:tc>
          <w:tcPr>
            <w:tcW w:w="810" w:type="dxa"/>
            <w:hideMark/>
          </w:tcPr>
          <w:p w14:paraId="0F3406FD"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193.4</w:t>
            </w:r>
          </w:p>
        </w:tc>
        <w:tc>
          <w:tcPr>
            <w:tcW w:w="874" w:type="dxa"/>
            <w:hideMark/>
          </w:tcPr>
          <w:p w14:paraId="59FCC53E"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11.7</w:t>
            </w:r>
          </w:p>
        </w:tc>
      </w:tr>
      <w:tr w:rsidR="001530CC" w:rsidRPr="001530CC" w14:paraId="481ED96F" w14:textId="77777777" w:rsidTr="001530CC">
        <w:trPr>
          <w:trHeight w:val="137"/>
          <w:jc w:val="center"/>
        </w:trPr>
        <w:tc>
          <w:tcPr>
            <w:tcW w:w="810" w:type="dxa"/>
            <w:hideMark/>
          </w:tcPr>
          <w:p w14:paraId="7AC76991" w14:textId="77777777" w:rsidR="009D7CBE" w:rsidRPr="001530CC" w:rsidRDefault="009D7CBE" w:rsidP="00044B2F">
            <w:pPr>
              <w:pStyle w:val="ExhibitText"/>
              <w:rPr>
                <w:sz w:val="18"/>
                <w:szCs w:val="18"/>
                <w:lang w:val="en-GB" w:eastAsia="en-CA"/>
              </w:rPr>
            </w:pPr>
            <w:r w:rsidRPr="001530CC">
              <w:rPr>
                <w:sz w:val="18"/>
                <w:szCs w:val="18"/>
                <w:lang w:val="en-GB" w:eastAsia="en-CA"/>
              </w:rPr>
              <w:t>1975</w:t>
            </w:r>
          </w:p>
        </w:tc>
        <w:tc>
          <w:tcPr>
            <w:tcW w:w="630" w:type="dxa"/>
            <w:hideMark/>
          </w:tcPr>
          <w:p w14:paraId="4F29DBE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88.2</w:t>
            </w:r>
          </w:p>
        </w:tc>
        <w:tc>
          <w:tcPr>
            <w:tcW w:w="720" w:type="dxa"/>
            <w:hideMark/>
          </w:tcPr>
          <w:p w14:paraId="13E6336B"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42.9</w:t>
            </w:r>
          </w:p>
        </w:tc>
        <w:tc>
          <w:tcPr>
            <w:tcW w:w="720" w:type="dxa"/>
            <w:hideMark/>
          </w:tcPr>
          <w:p w14:paraId="014F4513"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136.3</w:t>
            </w:r>
          </w:p>
        </w:tc>
        <w:tc>
          <w:tcPr>
            <w:tcW w:w="720" w:type="dxa"/>
            <w:hideMark/>
          </w:tcPr>
          <w:p w14:paraId="59199C07"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36.0</w:t>
            </w:r>
          </w:p>
        </w:tc>
        <w:tc>
          <w:tcPr>
            <w:tcW w:w="720" w:type="dxa"/>
            <w:hideMark/>
          </w:tcPr>
          <w:p w14:paraId="4683A63D"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2.7</w:t>
            </w:r>
          </w:p>
        </w:tc>
        <w:tc>
          <w:tcPr>
            <w:tcW w:w="900" w:type="dxa"/>
            <w:hideMark/>
          </w:tcPr>
          <w:p w14:paraId="438D5477"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38.7</w:t>
            </w:r>
          </w:p>
        </w:tc>
        <w:tc>
          <w:tcPr>
            <w:tcW w:w="720" w:type="dxa"/>
            <w:hideMark/>
          </w:tcPr>
          <w:p w14:paraId="1FEE3F0F"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8.3</w:t>
            </w:r>
          </w:p>
        </w:tc>
        <w:tc>
          <w:tcPr>
            <w:tcW w:w="720" w:type="dxa"/>
            <w:hideMark/>
          </w:tcPr>
          <w:p w14:paraId="11F5F686"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46.9</w:t>
            </w:r>
          </w:p>
        </w:tc>
        <w:tc>
          <w:tcPr>
            <w:tcW w:w="810" w:type="dxa"/>
            <w:hideMark/>
          </w:tcPr>
          <w:p w14:paraId="23FF1E84"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183.3</w:t>
            </w:r>
          </w:p>
        </w:tc>
        <w:tc>
          <w:tcPr>
            <w:tcW w:w="874" w:type="dxa"/>
            <w:hideMark/>
          </w:tcPr>
          <w:p w14:paraId="0D426B66"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12.1</w:t>
            </w:r>
          </w:p>
        </w:tc>
      </w:tr>
      <w:tr w:rsidR="001530CC" w:rsidRPr="001530CC" w14:paraId="5D7706A9" w14:textId="77777777" w:rsidTr="001530CC">
        <w:trPr>
          <w:trHeight w:val="137"/>
          <w:jc w:val="center"/>
        </w:trPr>
        <w:tc>
          <w:tcPr>
            <w:tcW w:w="810" w:type="dxa"/>
            <w:hideMark/>
          </w:tcPr>
          <w:p w14:paraId="628845B3" w14:textId="77777777" w:rsidR="009D7CBE" w:rsidRPr="001530CC" w:rsidRDefault="009D7CBE" w:rsidP="00044B2F">
            <w:pPr>
              <w:pStyle w:val="ExhibitText"/>
              <w:rPr>
                <w:sz w:val="18"/>
                <w:szCs w:val="18"/>
                <w:lang w:val="en-GB" w:eastAsia="en-CA"/>
              </w:rPr>
            </w:pPr>
            <w:r w:rsidRPr="001530CC">
              <w:rPr>
                <w:sz w:val="18"/>
                <w:szCs w:val="18"/>
                <w:lang w:val="en-GB" w:eastAsia="en-CA"/>
              </w:rPr>
              <w:t>1980</w:t>
            </w:r>
          </w:p>
        </w:tc>
        <w:tc>
          <w:tcPr>
            <w:tcW w:w="630" w:type="dxa"/>
            <w:hideMark/>
          </w:tcPr>
          <w:p w14:paraId="20E6BDB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76.4</w:t>
            </w:r>
          </w:p>
        </w:tc>
        <w:tc>
          <w:tcPr>
            <w:tcW w:w="720" w:type="dxa"/>
            <w:hideMark/>
          </w:tcPr>
          <w:p w14:paraId="4F08FF94"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56.8</w:t>
            </w:r>
          </w:p>
        </w:tc>
        <w:tc>
          <w:tcPr>
            <w:tcW w:w="720" w:type="dxa"/>
            <w:hideMark/>
          </w:tcPr>
          <w:p w14:paraId="2741B266"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136.1</w:t>
            </w:r>
          </w:p>
        </w:tc>
        <w:tc>
          <w:tcPr>
            <w:tcW w:w="720" w:type="dxa"/>
            <w:hideMark/>
          </w:tcPr>
          <w:p w14:paraId="1E65C08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45.2</w:t>
            </w:r>
          </w:p>
        </w:tc>
        <w:tc>
          <w:tcPr>
            <w:tcW w:w="720" w:type="dxa"/>
            <w:hideMark/>
          </w:tcPr>
          <w:p w14:paraId="4097F434"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2.1</w:t>
            </w:r>
          </w:p>
        </w:tc>
        <w:tc>
          <w:tcPr>
            <w:tcW w:w="900" w:type="dxa"/>
            <w:hideMark/>
          </w:tcPr>
          <w:p w14:paraId="20803DB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47.4</w:t>
            </w:r>
          </w:p>
        </w:tc>
        <w:tc>
          <w:tcPr>
            <w:tcW w:w="720" w:type="dxa"/>
            <w:hideMark/>
          </w:tcPr>
          <w:p w14:paraId="72CC729D"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10.2</w:t>
            </w:r>
          </w:p>
        </w:tc>
        <w:tc>
          <w:tcPr>
            <w:tcW w:w="720" w:type="dxa"/>
            <w:hideMark/>
          </w:tcPr>
          <w:p w14:paraId="2855E8C6"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57.6</w:t>
            </w:r>
          </w:p>
        </w:tc>
        <w:tc>
          <w:tcPr>
            <w:tcW w:w="810" w:type="dxa"/>
            <w:hideMark/>
          </w:tcPr>
          <w:p w14:paraId="02CFB19A"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193.7</w:t>
            </w:r>
          </w:p>
        </w:tc>
        <w:tc>
          <w:tcPr>
            <w:tcW w:w="874" w:type="dxa"/>
            <w:hideMark/>
          </w:tcPr>
          <w:p w14:paraId="74DD00DD"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12.4</w:t>
            </w:r>
          </w:p>
        </w:tc>
      </w:tr>
      <w:tr w:rsidR="001530CC" w:rsidRPr="001530CC" w14:paraId="352B3411" w14:textId="77777777" w:rsidTr="001530CC">
        <w:trPr>
          <w:trHeight w:val="137"/>
          <w:jc w:val="center"/>
        </w:trPr>
        <w:tc>
          <w:tcPr>
            <w:tcW w:w="810" w:type="dxa"/>
            <w:hideMark/>
          </w:tcPr>
          <w:p w14:paraId="3A477336" w14:textId="77777777" w:rsidR="009D7CBE" w:rsidRPr="001530CC" w:rsidRDefault="009D7CBE" w:rsidP="00044B2F">
            <w:pPr>
              <w:pStyle w:val="ExhibitText"/>
              <w:rPr>
                <w:sz w:val="18"/>
                <w:szCs w:val="18"/>
                <w:lang w:val="en-GB" w:eastAsia="en-CA"/>
              </w:rPr>
            </w:pPr>
            <w:r w:rsidRPr="001530CC">
              <w:rPr>
                <w:sz w:val="18"/>
                <w:szCs w:val="18"/>
                <w:lang w:val="en-GB" w:eastAsia="en-CA"/>
              </w:rPr>
              <w:t>1985</w:t>
            </w:r>
          </w:p>
        </w:tc>
        <w:tc>
          <w:tcPr>
            <w:tcW w:w="630" w:type="dxa"/>
            <w:hideMark/>
          </w:tcPr>
          <w:p w14:paraId="621BB515"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79.0</w:t>
            </w:r>
          </w:p>
        </w:tc>
        <w:tc>
          <w:tcPr>
            <w:tcW w:w="720" w:type="dxa"/>
            <w:hideMark/>
          </w:tcPr>
          <w:p w14:paraId="5BFED7FE"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51.5</w:t>
            </w:r>
          </w:p>
        </w:tc>
        <w:tc>
          <w:tcPr>
            <w:tcW w:w="720" w:type="dxa"/>
            <w:hideMark/>
          </w:tcPr>
          <w:p w14:paraId="5AB124A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133.8</w:t>
            </w:r>
          </w:p>
        </w:tc>
        <w:tc>
          <w:tcPr>
            <w:tcW w:w="720" w:type="dxa"/>
            <w:hideMark/>
          </w:tcPr>
          <w:p w14:paraId="58D824C2"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50.5</w:t>
            </w:r>
          </w:p>
        </w:tc>
        <w:tc>
          <w:tcPr>
            <w:tcW w:w="720" w:type="dxa"/>
            <w:hideMark/>
          </w:tcPr>
          <w:p w14:paraId="77071D9C"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2.0</w:t>
            </w:r>
          </w:p>
        </w:tc>
        <w:tc>
          <w:tcPr>
            <w:tcW w:w="900" w:type="dxa"/>
            <w:hideMark/>
          </w:tcPr>
          <w:p w14:paraId="6707E287"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52.5</w:t>
            </w:r>
          </w:p>
        </w:tc>
        <w:tc>
          <w:tcPr>
            <w:tcW w:w="720" w:type="dxa"/>
            <w:hideMark/>
          </w:tcPr>
          <w:p w14:paraId="348A54CC"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11.6</w:t>
            </w:r>
          </w:p>
        </w:tc>
        <w:tc>
          <w:tcPr>
            <w:tcW w:w="720" w:type="dxa"/>
            <w:hideMark/>
          </w:tcPr>
          <w:p w14:paraId="39E3E456"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64.0</w:t>
            </w:r>
          </w:p>
        </w:tc>
        <w:tc>
          <w:tcPr>
            <w:tcW w:w="810" w:type="dxa"/>
            <w:hideMark/>
          </w:tcPr>
          <w:p w14:paraId="76BB82FE"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197.8</w:t>
            </w:r>
          </w:p>
        </w:tc>
        <w:tc>
          <w:tcPr>
            <w:tcW w:w="874" w:type="dxa"/>
            <w:hideMark/>
          </w:tcPr>
          <w:p w14:paraId="129D3C9E"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15.0</w:t>
            </w:r>
          </w:p>
        </w:tc>
      </w:tr>
      <w:tr w:rsidR="001530CC" w:rsidRPr="001530CC" w14:paraId="05A6A9EE" w14:textId="77777777" w:rsidTr="001530CC">
        <w:trPr>
          <w:trHeight w:val="161"/>
          <w:jc w:val="center"/>
        </w:trPr>
        <w:tc>
          <w:tcPr>
            <w:tcW w:w="810" w:type="dxa"/>
            <w:hideMark/>
          </w:tcPr>
          <w:p w14:paraId="557952A1" w14:textId="77777777" w:rsidR="009D7CBE" w:rsidRPr="001530CC" w:rsidRDefault="009D7CBE" w:rsidP="00044B2F">
            <w:pPr>
              <w:pStyle w:val="ExhibitText"/>
              <w:rPr>
                <w:sz w:val="18"/>
                <w:szCs w:val="18"/>
                <w:lang w:val="en-GB" w:eastAsia="en-CA"/>
              </w:rPr>
            </w:pPr>
            <w:r w:rsidRPr="001530CC">
              <w:rPr>
                <w:sz w:val="18"/>
                <w:szCs w:val="18"/>
                <w:lang w:val="en-GB" w:eastAsia="en-CA"/>
              </w:rPr>
              <w:t>1990</w:t>
            </w:r>
          </w:p>
        </w:tc>
        <w:tc>
          <w:tcPr>
            <w:tcW w:w="630" w:type="dxa"/>
            <w:hideMark/>
          </w:tcPr>
          <w:p w14:paraId="2A63DE41"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67.5</w:t>
            </w:r>
          </w:p>
        </w:tc>
        <w:tc>
          <w:tcPr>
            <w:tcW w:w="720" w:type="dxa"/>
            <w:hideMark/>
          </w:tcPr>
          <w:p w14:paraId="54522F71"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49.4</w:t>
            </w:r>
          </w:p>
        </w:tc>
        <w:tc>
          <w:tcPr>
            <w:tcW w:w="720" w:type="dxa"/>
            <w:hideMark/>
          </w:tcPr>
          <w:p w14:paraId="6FF2D4FE"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119.4</w:t>
            </w:r>
          </w:p>
        </w:tc>
        <w:tc>
          <w:tcPr>
            <w:tcW w:w="720" w:type="dxa"/>
            <w:hideMark/>
          </w:tcPr>
          <w:p w14:paraId="51E21766"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59.0</w:t>
            </w:r>
          </w:p>
        </w:tc>
        <w:tc>
          <w:tcPr>
            <w:tcW w:w="720" w:type="dxa"/>
            <w:hideMark/>
          </w:tcPr>
          <w:p w14:paraId="69A87919"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1.7</w:t>
            </w:r>
          </w:p>
        </w:tc>
        <w:tc>
          <w:tcPr>
            <w:tcW w:w="900" w:type="dxa"/>
            <w:hideMark/>
          </w:tcPr>
          <w:p w14:paraId="7F3A9423"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60.6</w:t>
            </w:r>
          </w:p>
        </w:tc>
        <w:tc>
          <w:tcPr>
            <w:tcW w:w="720" w:type="dxa"/>
            <w:hideMark/>
          </w:tcPr>
          <w:p w14:paraId="0551FDAD"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17.5</w:t>
            </w:r>
          </w:p>
        </w:tc>
        <w:tc>
          <w:tcPr>
            <w:tcW w:w="720" w:type="dxa"/>
            <w:hideMark/>
          </w:tcPr>
          <w:p w14:paraId="357D8C2C"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78.1</w:t>
            </w:r>
          </w:p>
        </w:tc>
        <w:tc>
          <w:tcPr>
            <w:tcW w:w="810" w:type="dxa"/>
            <w:hideMark/>
          </w:tcPr>
          <w:p w14:paraId="2C7741E9"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197.5</w:t>
            </w:r>
          </w:p>
        </w:tc>
        <w:tc>
          <w:tcPr>
            <w:tcW w:w="874" w:type="dxa"/>
            <w:hideMark/>
          </w:tcPr>
          <w:p w14:paraId="76285DE2"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14.9</w:t>
            </w:r>
          </w:p>
        </w:tc>
      </w:tr>
      <w:tr w:rsidR="001530CC" w:rsidRPr="001530CC" w14:paraId="4B04A67A" w14:textId="77777777" w:rsidTr="001530CC">
        <w:trPr>
          <w:trHeight w:val="188"/>
          <w:jc w:val="center"/>
        </w:trPr>
        <w:tc>
          <w:tcPr>
            <w:tcW w:w="810" w:type="dxa"/>
            <w:hideMark/>
          </w:tcPr>
          <w:p w14:paraId="65D1C8A1" w14:textId="77777777" w:rsidR="009D7CBE" w:rsidRPr="001530CC" w:rsidRDefault="009D7CBE" w:rsidP="00044B2F">
            <w:pPr>
              <w:pStyle w:val="ExhibitText"/>
              <w:rPr>
                <w:sz w:val="18"/>
                <w:szCs w:val="18"/>
                <w:lang w:val="en-GB" w:eastAsia="en-CA"/>
              </w:rPr>
            </w:pPr>
            <w:r w:rsidRPr="001530CC">
              <w:rPr>
                <w:sz w:val="18"/>
                <w:szCs w:val="18"/>
                <w:lang w:val="en-GB" w:eastAsia="en-CA"/>
              </w:rPr>
              <w:t>1995</w:t>
            </w:r>
          </w:p>
        </w:tc>
        <w:tc>
          <w:tcPr>
            <w:tcW w:w="630" w:type="dxa"/>
            <w:hideMark/>
          </w:tcPr>
          <w:p w14:paraId="3C0AB90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66.4</w:t>
            </w:r>
          </w:p>
        </w:tc>
        <w:tc>
          <w:tcPr>
            <w:tcW w:w="720" w:type="dxa"/>
            <w:hideMark/>
          </w:tcPr>
          <w:p w14:paraId="02693B01"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51.5</w:t>
            </w:r>
          </w:p>
        </w:tc>
        <w:tc>
          <w:tcPr>
            <w:tcW w:w="720" w:type="dxa"/>
            <w:hideMark/>
          </w:tcPr>
          <w:p w14:paraId="1A0959B3"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120.0</w:t>
            </w:r>
          </w:p>
        </w:tc>
        <w:tc>
          <w:tcPr>
            <w:tcW w:w="720" w:type="dxa"/>
            <w:hideMark/>
          </w:tcPr>
          <w:p w14:paraId="73C2F4AE"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67.6</w:t>
            </w:r>
          </w:p>
        </w:tc>
        <w:tc>
          <w:tcPr>
            <w:tcW w:w="720" w:type="dxa"/>
            <w:hideMark/>
          </w:tcPr>
          <w:p w14:paraId="1931A116"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1.3</w:t>
            </w:r>
          </w:p>
        </w:tc>
        <w:tc>
          <w:tcPr>
            <w:tcW w:w="900" w:type="dxa"/>
            <w:hideMark/>
          </w:tcPr>
          <w:p w14:paraId="1FFD95CC"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68.9</w:t>
            </w:r>
          </w:p>
        </w:tc>
        <w:tc>
          <w:tcPr>
            <w:tcW w:w="720" w:type="dxa"/>
            <w:hideMark/>
          </w:tcPr>
          <w:p w14:paraId="5E686D8D"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17.6</w:t>
            </w:r>
          </w:p>
        </w:tc>
        <w:tc>
          <w:tcPr>
            <w:tcW w:w="720" w:type="dxa"/>
            <w:hideMark/>
          </w:tcPr>
          <w:p w14:paraId="673FAE22"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86.5</w:t>
            </w:r>
          </w:p>
        </w:tc>
        <w:tc>
          <w:tcPr>
            <w:tcW w:w="810" w:type="dxa"/>
            <w:hideMark/>
          </w:tcPr>
          <w:p w14:paraId="11084E7B"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206.5</w:t>
            </w:r>
          </w:p>
        </w:tc>
        <w:tc>
          <w:tcPr>
            <w:tcW w:w="874" w:type="dxa"/>
            <w:hideMark/>
          </w:tcPr>
          <w:p w14:paraId="06B78F64"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14.8</w:t>
            </w:r>
          </w:p>
        </w:tc>
      </w:tr>
      <w:tr w:rsidR="001530CC" w:rsidRPr="001530CC" w14:paraId="6E81B196" w14:textId="77777777" w:rsidTr="001530CC">
        <w:trPr>
          <w:trHeight w:val="224"/>
          <w:jc w:val="center"/>
        </w:trPr>
        <w:tc>
          <w:tcPr>
            <w:tcW w:w="810" w:type="dxa"/>
            <w:hideMark/>
          </w:tcPr>
          <w:p w14:paraId="0C73642D" w14:textId="77777777" w:rsidR="009D7CBE" w:rsidRPr="001530CC" w:rsidRDefault="009D7CBE" w:rsidP="00044B2F">
            <w:pPr>
              <w:pStyle w:val="ExhibitText"/>
              <w:rPr>
                <w:sz w:val="18"/>
                <w:szCs w:val="18"/>
                <w:lang w:val="en-GB" w:eastAsia="en-CA"/>
              </w:rPr>
            </w:pPr>
            <w:r w:rsidRPr="001530CC">
              <w:rPr>
                <w:sz w:val="18"/>
                <w:szCs w:val="18"/>
                <w:lang w:val="en-GB" w:eastAsia="en-CA"/>
              </w:rPr>
              <w:t>2000</w:t>
            </w:r>
          </w:p>
        </w:tc>
        <w:tc>
          <w:tcPr>
            <w:tcW w:w="630" w:type="dxa"/>
            <w:hideMark/>
          </w:tcPr>
          <w:p w14:paraId="41D6BB42"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67.5</w:t>
            </w:r>
          </w:p>
        </w:tc>
        <w:tc>
          <w:tcPr>
            <w:tcW w:w="720" w:type="dxa"/>
            <w:hideMark/>
          </w:tcPr>
          <w:p w14:paraId="65DAB38F"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50.8</w:t>
            </w:r>
          </w:p>
        </w:tc>
        <w:tc>
          <w:tcPr>
            <w:tcW w:w="720" w:type="dxa"/>
            <w:hideMark/>
          </w:tcPr>
          <w:p w14:paraId="122753F6"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120.2</w:t>
            </w:r>
          </w:p>
        </w:tc>
        <w:tc>
          <w:tcPr>
            <w:tcW w:w="720" w:type="dxa"/>
            <w:hideMark/>
          </w:tcPr>
          <w:p w14:paraId="09CCC423"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76.6</w:t>
            </w:r>
          </w:p>
        </w:tc>
        <w:tc>
          <w:tcPr>
            <w:tcW w:w="720" w:type="dxa"/>
            <w:hideMark/>
          </w:tcPr>
          <w:p w14:paraId="0F8D15EF"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0.8</w:t>
            </w:r>
          </w:p>
        </w:tc>
        <w:tc>
          <w:tcPr>
            <w:tcW w:w="900" w:type="dxa"/>
            <w:hideMark/>
          </w:tcPr>
          <w:p w14:paraId="328F338A"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77.4</w:t>
            </w:r>
          </w:p>
        </w:tc>
        <w:tc>
          <w:tcPr>
            <w:tcW w:w="720" w:type="dxa"/>
            <w:hideMark/>
          </w:tcPr>
          <w:p w14:paraId="3AB8F413"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17.3</w:t>
            </w:r>
          </w:p>
        </w:tc>
        <w:tc>
          <w:tcPr>
            <w:tcW w:w="720" w:type="dxa"/>
            <w:hideMark/>
          </w:tcPr>
          <w:p w14:paraId="6478468E"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94.7</w:t>
            </w:r>
          </w:p>
        </w:tc>
        <w:tc>
          <w:tcPr>
            <w:tcW w:w="810" w:type="dxa"/>
            <w:hideMark/>
          </w:tcPr>
          <w:p w14:paraId="7537A4A0"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214.8</w:t>
            </w:r>
          </w:p>
        </w:tc>
        <w:tc>
          <w:tcPr>
            <w:tcW w:w="874" w:type="dxa"/>
            <w:hideMark/>
          </w:tcPr>
          <w:p w14:paraId="72B395AB"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15.2</w:t>
            </w:r>
          </w:p>
        </w:tc>
      </w:tr>
      <w:tr w:rsidR="001530CC" w:rsidRPr="001530CC" w14:paraId="0C8A904D" w14:textId="77777777" w:rsidTr="001530CC">
        <w:trPr>
          <w:trHeight w:val="251"/>
          <w:jc w:val="center"/>
        </w:trPr>
        <w:tc>
          <w:tcPr>
            <w:tcW w:w="810" w:type="dxa"/>
            <w:hideMark/>
          </w:tcPr>
          <w:p w14:paraId="0086BA10" w14:textId="77777777" w:rsidR="009D7CBE" w:rsidRPr="001530CC" w:rsidRDefault="009D7CBE" w:rsidP="00044B2F">
            <w:pPr>
              <w:pStyle w:val="ExhibitText"/>
              <w:rPr>
                <w:sz w:val="18"/>
                <w:szCs w:val="18"/>
                <w:lang w:val="en-GB" w:eastAsia="en-CA"/>
              </w:rPr>
            </w:pPr>
            <w:r w:rsidRPr="001530CC">
              <w:rPr>
                <w:sz w:val="18"/>
                <w:szCs w:val="18"/>
                <w:lang w:val="en-GB" w:eastAsia="en-CA"/>
              </w:rPr>
              <w:t>2005</w:t>
            </w:r>
          </w:p>
        </w:tc>
        <w:tc>
          <w:tcPr>
            <w:tcW w:w="630" w:type="dxa"/>
            <w:hideMark/>
          </w:tcPr>
          <w:p w14:paraId="4B9CA0F3"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65.4</w:t>
            </w:r>
          </w:p>
        </w:tc>
        <w:tc>
          <w:tcPr>
            <w:tcW w:w="720" w:type="dxa"/>
            <w:hideMark/>
          </w:tcPr>
          <w:p w14:paraId="52D75967"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49.6</w:t>
            </w:r>
          </w:p>
        </w:tc>
        <w:tc>
          <w:tcPr>
            <w:tcW w:w="720" w:type="dxa"/>
            <w:hideMark/>
          </w:tcPr>
          <w:p w14:paraId="2A8DA28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116.5</w:t>
            </w:r>
          </w:p>
        </w:tc>
        <w:tc>
          <w:tcPr>
            <w:tcW w:w="720" w:type="dxa"/>
            <w:hideMark/>
          </w:tcPr>
          <w:p w14:paraId="16A0F44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85.4</w:t>
            </w:r>
          </w:p>
        </w:tc>
        <w:tc>
          <w:tcPr>
            <w:tcW w:w="720" w:type="dxa"/>
            <w:hideMark/>
          </w:tcPr>
          <w:p w14:paraId="37C81C76"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1.0</w:t>
            </w:r>
          </w:p>
        </w:tc>
        <w:tc>
          <w:tcPr>
            <w:tcW w:w="900" w:type="dxa"/>
            <w:hideMark/>
          </w:tcPr>
          <w:p w14:paraId="12F8BE73"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86.4</w:t>
            </w:r>
          </w:p>
        </w:tc>
        <w:tc>
          <w:tcPr>
            <w:tcW w:w="720" w:type="dxa"/>
            <w:hideMark/>
          </w:tcPr>
          <w:p w14:paraId="6BAF049C"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16.7</w:t>
            </w:r>
          </w:p>
        </w:tc>
        <w:tc>
          <w:tcPr>
            <w:tcW w:w="720" w:type="dxa"/>
            <w:hideMark/>
          </w:tcPr>
          <w:p w14:paraId="3450D5C6"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103.0</w:t>
            </w:r>
          </w:p>
        </w:tc>
        <w:tc>
          <w:tcPr>
            <w:tcW w:w="810" w:type="dxa"/>
            <w:hideMark/>
          </w:tcPr>
          <w:p w14:paraId="1C25E593"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219.5</w:t>
            </w:r>
          </w:p>
        </w:tc>
        <w:tc>
          <w:tcPr>
            <w:tcW w:w="874" w:type="dxa"/>
            <w:hideMark/>
          </w:tcPr>
          <w:p w14:paraId="74E4E74E"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16.2</w:t>
            </w:r>
          </w:p>
        </w:tc>
      </w:tr>
      <w:tr w:rsidR="001530CC" w:rsidRPr="001530CC" w14:paraId="7630438A" w14:textId="77777777" w:rsidTr="001530CC">
        <w:trPr>
          <w:trHeight w:val="260"/>
          <w:jc w:val="center"/>
        </w:trPr>
        <w:tc>
          <w:tcPr>
            <w:tcW w:w="810" w:type="dxa"/>
            <w:hideMark/>
          </w:tcPr>
          <w:p w14:paraId="3ACEA247" w14:textId="77777777" w:rsidR="009D7CBE" w:rsidRPr="001530CC" w:rsidRDefault="009D7CBE" w:rsidP="00044B2F">
            <w:pPr>
              <w:pStyle w:val="ExhibitText"/>
              <w:rPr>
                <w:sz w:val="18"/>
                <w:szCs w:val="18"/>
                <w:lang w:val="en-GB" w:eastAsia="en-CA"/>
              </w:rPr>
            </w:pPr>
            <w:r w:rsidRPr="001530CC">
              <w:rPr>
                <w:sz w:val="18"/>
                <w:szCs w:val="18"/>
                <w:lang w:val="en-GB" w:eastAsia="en-CA"/>
              </w:rPr>
              <w:t>2010</w:t>
            </w:r>
          </w:p>
        </w:tc>
        <w:tc>
          <w:tcPr>
            <w:tcW w:w="630" w:type="dxa"/>
            <w:hideMark/>
          </w:tcPr>
          <w:p w14:paraId="24346280"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59.4</w:t>
            </w:r>
          </w:p>
        </w:tc>
        <w:tc>
          <w:tcPr>
            <w:tcW w:w="720" w:type="dxa"/>
            <w:hideMark/>
          </w:tcPr>
          <w:p w14:paraId="08B380C6"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47.2</w:t>
            </w:r>
          </w:p>
        </w:tc>
        <w:tc>
          <w:tcPr>
            <w:tcW w:w="720" w:type="dxa"/>
            <w:hideMark/>
          </w:tcPr>
          <w:p w14:paraId="695FEF37"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107.9</w:t>
            </w:r>
          </w:p>
        </w:tc>
        <w:tc>
          <w:tcPr>
            <w:tcW w:w="720" w:type="dxa"/>
            <w:hideMark/>
          </w:tcPr>
          <w:p w14:paraId="2068EF2B"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81.8</w:t>
            </w:r>
          </w:p>
        </w:tc>
        <w:tc>
          <w:tcPr>
            <w:tcW w:w="720" w:type="dxa"/>
            <w:hideMark/>
          </w:tcPr>
          <w:p w14:paraId="74AC0475"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1.0</w:t>
            </w:r>
          </w:p>
        </w:tc>
        <w:tc>
          <w:tcPr>
            <w:tcW w:w="900" w:type="dxa"/>
            <w:hideMark/>
          </w:tcPr>
          <w:p w14:paraId="0633F36B"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82.8</w:t>
            </w:r>
          </w:p>
        </w:tc>
        <w:tc>
          <w:tcPr>
            <w:tcW w:w="720" w:type="dxa"/>
            <w:hideMark/>
          </w:tcPr>
          <w:p w14:paraId="120E0D8A"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16.4</w:t>
            </w:r>
          </w:p>
        </w:tc>
        <w:tc>
          <w:tcPr>
            <w:tcW w:w="720" w:type="dxa"/>
            <w:hideMark/>
          </w:tcPr>
          <w:p w14:paraId="402A2D6A"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99.1</w:t>
            </w:r>
          </w:p>
        </w:tc>
        <w:tc>
          <w:tcPr>
            <w:tcW w:w="810" w:type="dxa"/>
            <w:hideMark/>
          </w:tcPr>
          <w:p w14:paraId="2D1D23E2"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207.0</w:t>
            </w:r>
          </w:p>
        </w:tc>
        <w:tc>
          <w:tcPr>
            <w:tcW w:w="874" w:type="dxa"/>
            <w:hideMark/>
          </w:tcPr>
          <w:p w14:paraId="51F66FEA"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15.8</w:t>
            </w:r>
          </w:p>
        </w:tc>
      </w:tr>
      <w:tr w:rsidR="001530CC" w:rsidRPr="001530CC" w14:paraId="1EBCC04D" w14:textId="77777777" w:rsidTr="001530CC">
        <w:trPr>
          <w:trHeight w:val="269"/>
          <w:jc w:val="center"/>
        </w:trPr>
        <w:tc>
          <w:tcPr>
            <w:tcW w:w="810" w:type="dxa"/>
            <w:hideMark/>
          </w:tcPr>
          <w:p w14:paraId="349BF5AD" w14:textId="77777777" w:rsidR="009D7CBE" w:rsidRPr="001530CC" w:rsidRDefault="009D7CBE" w:rsidP="00044B2F">
            <w:pPr>
              <w:pStyle w:val="ExhibitText"/>
              <w:rPr>
                <w:sz w:val="18"/>
                <w:szCs w:val="18"/>
                <w:lang w:val="en-GB" w:eastAsia="en-CA"/>
              </w:rPr>
            </w:pPr>
            <w:r w:rsidRPr="001530CC">
              <w:rPr>
                <w:sz w:val="18"/>
                <w:szCs w:val="18"/>
                <w:lang w:val="en-GB" w:eastAsia="en-CA"/>
              </w:rPr>
              <w:t>2014</w:t>
            </w:r>
          </w:p>
        </w:tc>
        <w:tc>
          <w:tcPr>
            <w:tcW w:w="630" w:type="dxa"/>
            <w:hideMark/>
          </w:tcPr>
          <w:p w14:paraId="5E2CC117"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54.2</w:t>
            </w:r>
          </w:p>
        </w:tc>
        <w:tc>
          <w:tcPr>
            <w:tcW w:w="720" w:type="dxa"/>
            <w:hideMark/>
          </w:tcPr>
          <w:p w14:paraId="75F887FD"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46.4</w:t>
            </w:r>
          </w:p>
        </w:tc>
        <w:tc>
          <w:tcPr>
            <w:tcW w:w="720" w:type="dxa"/>
            <w:hideMark/>
          </w:tcPr>
          <w:p w14:paraId="5A85DFAF"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101.9</w:t>
            </w:r>
          </w:p>
        </w:tc>
        <w:tc>
          <w:tcPr>
            <w:tcW w:w="720" w:type="dxa"/>
            <w:hideMark/>
          </w:tcPr>
          <w:p w14:paraId="5CE31045"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83.4</w:t>
            </w:r>
          </w:p>
        </w:tc>
        <w:tc>
          <w:tcPr>
            <w:tcW w:w="720" w:type="dxa"/>
            <w:hideMark/>
          </w:tcPr>
          <w:p w14:paraId="0DF3FCCA"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1.3</w:t>
            </w:r>
          </w:p>
        </w:tc>
        <w:tc>
          <w:tcPr>
            <w:tcW w:w="900" w:type="dxa"/>
            <w:hideMark/>
          </w:tcPr>
          <w:p w14:paraId="64357D10"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84.7</w:t>
            </w:r>
          </w:p>
        </w:tc>
        <w:tc>
          <w:tcPr>
            <w:tcW w:w="720" w:type="dxa"/>
            <w:hideMark/>
          </w:tcPr>
          <w:p w14:paraId="730BCB0A"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15.8</w:t>
            </w:r>
          </w:p>
        </w:tc>
        <w:tc>
          <w:tcPr>
            <w:tcW w:w="720" w:type="dxa"/>
            <w:hideMark/>
          </w:tcPr>
          <w:p w14:paraId="267944FB"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100.5</w:t>
            </w:r>
          </w:p>
        </w:tc>
        <w:tc>
          <w:tcPr>
            <w:tcW w:w="810" w:type="dxa"/>
            <w:hideMark/>
          </w:tcPr>
          <w:p w14:paraId="15581EE3"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202.3</w:t>
            </w:r>
          </w:p>
        </w:tc>
        <w:tc>
          <w:tcPr>
            <w:tcW w:w="874" w:type="dxa"/>
            <w:hideMark/>
          </w:tcPr>
          <w:p w14:paraId="70A5ABCD" w14:textId="24B066D2" w:rsidR="009D7CBE" w:rsidRPr="001530CC" w:rsidRDefault="0074620E" w:rsidP="007B7028">
            <w:pPr>
              <w:pStyle w:val="ExhibitText"/>
              <w:jc w:val="center"/>
              <w:rPr>
                <w:sz w:val="18"/>
                <w:szCs w:val="18"/>
                <w:lang w:val="en-GB" w:eastAsia="en-CA"/>
              </w:rPr>
            </w:pPr>
            <w:r>
              <w:rPr>
                <w:sz w:val="18"/>
                <w:szCs w:val="18"/>
                <w:lang w:val="en-GB" w:eastAsia="en-CA"/>
              </w:rPr>
              <w:t xml:space="preserve">  </w:t>
            </w:r>
            <w:r w:rsidR="009D7CBE" w:rsidRPr="001530CC">
              <w:rPr>
                <w:sz w:val="18"/>
                <w:szCs w:val="18"/>
                <w:lang w:val="en-GB" w:eastAsia="en-CA"/>
              </w:rPr>
              <w:t>NA</w:t>
            </w:r>
          </w:p>
        </w:tc>
      </w:tr>
      <w:tr w:rsidR="001530CC" w:rsidRPr="001530CC" w14:paraId="0568DD03" w14:textId="77777777" w:rsidTr="001530CC">
        <w:trPr>
          <w:trHeight w:val="341"/>
          <w:jc w:val="center"/>
        </w:trPr>
        <w:tc>
          <w:tcPr>
            <w:tcW w:w="810" w:type="dxa"/>
            <w:hideMark/>
          </w:tcPr>
          <w:p w14:paraId="4A2A01F2" w14:textId="2F178A9E" w:rsidR="009D7CBE" w:rsidRPr="001530CC" w:rsidRDefault="009D7CBE" w:rsidP="0074620E">
            <w:pPr>
              <w:pStyle w:val="ExhibitText"/>
              <w:rPr>
                <w:sz w:val="18"/>
                <w:szCs w:val="18"/>
                <w:lang w:val="en-GB" w:eastAsia="en-CA"/>
              </w:rPr>
            </w:pPr>
            <w:r w:rsidRPr="001530CC">
              <w:rPr>
                <w:sz w:val="18"/>
                <w:szCs w:val="18"/>
                <w:lang w:val="en-GB" w:eastAsia="en-CA"/>
              </w:rPr>
              <w:t xml:space="preserve">2015 </w:t>
            </w:r>
            <w:r w:rsidR="0074620E">
              <w:rPr>
                <w:sz w:val="18"/>
                <w:szCs w:val="18"/>
                <w:lang w:val="en-GB" w:eastAsia="en-CA"/>
              </w:rPr>
              <w:t>E</w:t>
            </w:r>
          </w:p>
        </w:tc>
        <w:tc>
          <w:tcPr>
            <w:tcW w:w="630" w:type="dxa"/>
            <w:hideMark/>
          </w:tcPr>
          <w:p w14:paraId="48996EB0"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54.3</w:t>
            </w:r>
          </w:p>
        </w:tc>
        <w:tc>
          <w:tcPr>
            <w:tcW w:w="720" w:type="dxa"/>
            <w:hideMark/>
          </w:tcPr>
          <w:p w14:paraId="4138449B"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49.7</w:t>
            </w:r>
          </w:p>
        </w:tc>
        <w:tc>
          <w:tcPr>
            <w:tcW w:w="720" w:type="dxa"/>
            <w:hideMark/>
          </w:tcPr>
          <w:p w14:paraId="26ACD304"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105.2</w:t>
            </w:r>
          </w:p>
        </w:tc>
        <w:tc>
          <w:tcPr>
            <w:tcW w:w="720" w:type="dxa"/>
            <w:hideMark/>
          </w:tcPr>
          <w:p w14:paraId="4F27F8B9"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88.8</w:t>
            </w:r>
          </w:p>
        </w:tc>
        <w:tc>
          <w:tcPr>
            <w:tcW w:w="720" w:type="dxa"/>
            <w:hideMark/>
          </w:tcPr>
          <w:p w14:paraId="4B7DBADB"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1.3</w:t>
            </w:r>
          </w:p>
        </w:tc>
        <w:tc>
          <w:tcPr>
            <w:tcW w:w="900" w:type="dxa"/>
            <w:hideMark/>
          </w:tcPr>
          <w:p w14:paraId="317641BF"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90.1</w:t>
            </w:r>
          </w:p>
        </w:tc>
        <w:tc>
          <w:tcPr>
            <w:tcW w:w="720" w:type="dxa"/>
            <w:hideMark/>
          </w:tcPr>
          <w:p w14:paraId="20C4FC3A"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15.5</w:t>
            </w:r>
          </w:p>
        </w:tc>
        <w:tc>
          <w:tcPr>
            <w:tcW w:w="720" w:type="dxa"/>
            <w:hideMark/>
          </w:tcPr>
          <w:p w14:paraId="400D0D9E"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105.6</w:t>
            </w:r>
          </w:p>
        </w:tc>
        <w:tc>
          <w:tcPr>
            <w:tcW w:w="810" w:type="dxa"/>
            <w:hideMark/>
          </w:tcPr>
          <w:p w14:paraId="4FD04A5A"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210.8</w:t>
            </w:r>
          </w:p>
        </w:tc>
        <w:tc>
          <w:tcPr>
            <w:tcW w:w="874" w:type="dxa"/>
            <w:hideMark/>
          </w:tcPr>
          <w:p w14:paraId="04C14460" w14:textId="1E655DE2" w:rsidR="009D7CBE" w:rsidRPr="001530CC" w:rsidRDefault="0074620E" w:rsidP="007B7028">
            <w:pPr>
              <w:pStyle w:val="ExhibitText"/>
              <w:jc w:val="center"/>
              <w:rPr>
                <w:sz w:val="18"/>
                <w:szCs w:val="18"/>
                <w:lang w:val="en-GB" w:eastAsia="en-CA"/>
              </w:rPr>
            </w:pPr>
            <w:r>
              <w:rPr>
                <w:sz w:val="18"/>
                <w:szCs w:val="18"/>
                <w:lang w:val="en-GB" w:eastAsia="en-CA"/>
              </w:rPr>
              <w:t xml:space="preserve">  </w:t>
            </w:r>
            <w:r w:rsidR="009D7CBE" w:rsidRPr="001530CC">
              <w:rPr>
                <w:sz w:val="18"/>
                <w:szCs w:val="18"/>
                <w:lang w:val="en-GB" w:eastAsia="en-CA"/>
              </w:rPr>
              <w:t>NA</w:t>
            </w:r>
          </w:p>
        </w:tc>
      </w:tr>
      <w:tr w:rsidR="001530CC" w:rsidRPr="001530CC" w14:paraId="3F1416A5" w14:textId="77777777" w:rsidTr="001530CC">
        <w:trPr>
          <w:trHeight w:val="233"/>
          <w:jc w:val="center"/>
        </w:trPr>
        <w:tc>
          <w:tcPr>
            <w:tcW w:w="810" w:type="dxa"/>
            <w:hideMark/>
          </w:tcPr>
          <w:p w14:paraId="22F3702B" w14:textId="455C6D73" w:rsidR="009D7CBE" w:rsidRPr="001530CC" w:rsidRDefault="009D7CBE" w:rsidP="0074620E">
            <w:pPr>
              <w:pStyle w:val="ExhibitText"/>
              <w:rPr>
                <w:sz w:val="18"/>
                <w:szCs w:val="18"/>
                <w:lang w:val="en-GB" w:eastAsia="en-CA"/>
              </w:rPr>
            </w:pPr>
            <w:r w:rsidRPr="001530CC">
              <w:rPr>
                <w:sz w:val="18"/>
                <w:szCs w:val="18"/>
                <w:lang w:val="en-GB" w:eastAsia="en-CA"/>
              </w:rPr>
              <w:t xml:space="preserve">2016 </w:t>
            </w:r>
            <w:r w:rsidR="0074620E">
              <w:rPr>
                <w:sz w:val="18"/>
                <w:szCs w:val="18"/>
                <w:lang w:val="en-GB" w:eastAsia="en-CA"/>
              </w:rPr>
              <w:t>E</w:t>
            </w:r>
          </w:p>
        </w:tc>
        <w:tc>
          <w:tcPr>
            <w:tcW w:w="630" w:type="dxa"/>
            <w:hideMark/>
          </w:tcPr>
          <w:p w14:paraId="7022DE4F"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55.0</w:t>
            </w:r>
          </w:p>
        </w:tc>
        <w:tc>
          <w:tcPr>
            <w:tcW w:w="720" w:type="dxa"/>
            <w:hideMark/>
          </w:tcPr>
          <w:p w14:paraId="04B781DA"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49.2</w:t>
            </w:r>
          </w:p>
        </w:tc>
        <w:tc>
          <w:tcPr>
            <w:tcW w:w="720" w:type="dxa"/>
            <w:hideMark/>
          </w:tcPr>
          <w:p w14:paraId="0EFD3322"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105.3</w:t>
            </w:r>
          </w:p>
        </w:tc>
        <w:tc>
          <w:tcPr>
            <w:tcW w:w="720" w:type="dxa"/>
            <w:hideMark/>
          </w:tcPr>
          <w:p w14:paraId="229F55E7"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90.1</w:t>
            </w:r>
          </w:p>
        </w:tc>
        <w:tc>
          <w:tcPr>
            <w:tcW w:w="720" w:type="dxa"/>
            <w:hideMark/>
          </w:tcPr>
          <w:p w14:paraId="55AF3B62"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1.3</w:t>
            </w:r>
          </w:p>
        </w:tc>
        <w:tc>
          <w:tcPr>
            <w:tcW w:w="900" w:type="dxa"/>
            <w:hideMark/>
          </w:tcPr>
          <w:p w14:paraId="3E860ED8" w14:textId="77777777" w:rsidR="009D7CBE" w:rsidRPr="001530CC" w:rsidRDefault="009D7CBE" w:rsidP="007B7028">
            <w:pPr>
              <w:pStyle w:val="ExhibitText"/>
              <w:jc w:val="center"/>
              <w:rPr>
                <w:sz w:val="18"/>
                <w:szCs w:val="18"/>
                <w:lang w:val="en-GB" w:eastAsia="en-CA"/>
              </w:rPr>
            </w:pPr>
            <w:r w:rsidRPr="001530CC">
              <w:rPr>
                <w:sz w:val="18"/>
                <w:szCs w:val="18"/>
                <w:lang w:val="en-GB" w:eastAsia="en-CA"/>
              </w:rPr>
              <w:t>91.4</w:t>
            </w:r>
          </w:p>
        </w:tc>
        <w:tc>
          <w:tcPr>
            <w:tcW w:w="720" w:type="dxa"/>
            <w:hideMark/>
          </w:tcPr>
          <w:p w14:paraId="37F4520E" w14:textId="77777777" w:rsidR="009D7CBE" w:rsidRPr="001530CC" w:rsidRDefault="009D7CBE" w:rsidP="001530CC">
            <w:pPr>
              <w:pStyle w:val="ExhibitText"/>
              <w:tabs>
                <w:tab w:val="decimal" w:pos="319"/>
              </w:tabs>
              <w:jc w:val="center"/>
              <w:rPr>
                <w:sz w:val="18"/>
                <w:szCs w:val="18"/>
                <w:lang w:val="en-GB" w:eastAsia="en-CA"/>
              </w:rPr>
            </w:pPr>
            <w:r w:rsidRPr="001530CC">
              <w:rPr>
                <w:sz w:val="18"/>
                <w:szCs w:val="18"/>
                <w:lang w:val="en-GB" w:eastAsia="en-CA"/>
              </w:rPr>
              <w:t>16.2</w:t>
            </w:r>
          </w:p>
        </w:tc>
        <w:tc>
          <w:tcPr>
            <w:tcW w:w="720" w:type="dxa"/>
            <w:hideMark/>
          </w:tcPr>
          <w:p w14:paraId="32FCB7E8" w14:textId="77777777" w:rsidR="009D7CBE" w:rsidRPr="001530CC" w:rsidRDefault="009D7CBE" w:rsidP="001530CC">
            <w:pPr>
              <w:pStyle w:val="ExhibitText"/>
              <w:tabs>
                <w:tab w:val="decimal" w:pos="317"/>
              </w:tabs>
              <w:jc w:val="center"/>
              <w:rPr>
                <w:sz w:val="18"/>
                <w:szCs w:val="18"/>
                <w:lang w:val="en-GB" w:eastAsia="en-CA"/>
              </w:rPr>
            </w:pPr>
            <w:r w:rsidRPr="001530CC">
              <w:rPr>
                <w:sz w:val="18"/>
                <w:szCs w:val="18"/>
                <w:lang w:val="en-GB" w:eastAsia="en-CA"/>
              </w:rPr>
              <w:t>107.6</w:t>
            </w:r>
          </w:p>
        </w:tc>
        <w:tc>
          <w:tcPr>
            <w:tcW w:w="810" w:type="dxa"/>
            <w:hideMark/>
          </w:tcPr>
          <w:p w14:paraId="24280A70" w14:textId="77777777" w:rsidR="009D7CBE" w:rsidRPr="001530CC" w:rsidRDefault="009D7CBE" w:rsidP="001530CC">
            <w:pPr>
              <w:pStyle w:val="ExhibitText"/>
              <w:tabs>
                <w:tab w:val="decimal" w:pos="588"/>
              </w:tabs>
              <w:rPr>
                <w:sz w:val="18"/>
                <w:szCs w:val="18"/>
                <w:lang w:val="en-GB" w:eastAsia="en-CA"/>
              </w:rPr>
            </w:pPr>
            <w:r w:rsidRPr="001530CC">
              <w:rPr>
                <w:sz w:val="18"/>
                <w:szCs w:val="18"/>
                <w:lang w:val="en-GB" w:eastAsia="en-CA"/>
              </w:rPr>
              <w:t>213</w:t>
            </w:r>
          </w:p>
        </w:tc>
        <w:tc>
          <w:tcPr>
            <w:tcW w:w="874" w:type="dxa"/>
            <w:hideMark/>
          </w:tcPr>
          <w:p w14:paraId="2F252548" w14:textId="31CF678B" w:rsidR="009D7CBE" w:rsidRPr="001530CC" w:rsidRDefault="0074620E" w:rsidP="007B7028">
            <w:pPr>
              <w:pStyle w:val="ExhibitText"/>
              <w:jc w:val="center"/>
              <w:rPr>
                <w:sz w:val="18"/>
                <w:szCs w:val="18"/>
                <w:lang w:val="en-GB" w:eastAsia="en-CA"/>
              </w:rPr>
            </w:pPr>
            <w:r>
              <w:rPr>
                <w:sz w:val="18"/>
                <w:szCs w:val="18"/>
                <w:lang w:val="en-GB" w:eastAsia="en-CA"/>
              </w:rPr>
              <w:t xml:space="preserve">  </w:t>
            </w:r>
            <w:r w:rsidR="009D7CBE" w:rsidRPr="001530CC">
              <w:rPr>
                <w:sz w:val="18"/>
                <w:szCs w:val="18"/>
                <w:lang w:val="en-GB" w:eastAsia="en-CA"/>
              </w:rPr>
              <w:t>NA</w:t>
            </w:r>
          </w:p>
        </w:tc>
      </w:tr>
    </w:tbl>
    <w:p w14:paraId="00B58978" w14:textId="77777777" w:rsidR="00044B2F" w:rsidRPr="005E5A1A" w:rsidRDefault="00044B2F" w:rsidP="00044B2F">
      <w:pPr>
        <w:pStyle w:val="Footnote"/>
        <w:rPr>
          <w:lang w:val="en-GB"/>
        </w:rPr>
      </w:pPr>
    </w:p>
    <w:p w14:paraId="1C04D7EA" w14:textId="548D7D70" w:rsidR="00B633A0" w:rsidRDefault="00B633A0" w:rsidP="005D3BF5">
      <w:pPr>
        <w:pStyle w:val="Footnote"/>
        <w:outlineLvl w:val="0"/>
        <w:rPr>
          <w:lang w:val="en-GB"/>
        </w:rPr>
      </w:pPr>
      <w:r>
        <w:rPr>
          <w:lang w:val="en-GB"/>
        </w:rPr>
        <w:t>Note: NA = not applicable</w:t>
      </w:r>
    </w:p>
    <w:p w14:paraId="4F6765AF" w14:textId="4C76C8DD" w:rsidR="009D7CBE" w:rsidRPr="005E5A1A" w:rsidRDefault="00044B2F" w:rsidP="00044B2F">
      <w:pPr>
        <w:pStyle w:val="Footnote"/>
        <w:rPr>
          <w:lang w:val="en-GB"/>
        </w:rPr>
      </w:pPr>
      <w:r w:rsidRPr="005E5A1A">
        <w:rPr>
          <w:lang w:val="en-GB"/>
        </w:rPr>
        <w:t xml:space="preserve">Source: </w:t>
      </w:r>
      <w:r w:rsidR="009D7CBE" w:rsidRPr="005E5A1A">
        <w:rPr>
          <w:lang w:val="en-GB"/>
        </w:rPr>
        <w:t xml:space="preserve">Created by the authors using data from </w:t>
      </w:r>
      <w:r w:rsidR="004108E9">
        <w:rPr>
          <w:lang w:val="en-GB"/>
        </w:rPr>
        <w:t>“</w:t>
      </w:r>
      <w:r w:rsidR="009D7CBE" w:rsidRPr="005E5A1A">
        <w:rPr>
          <w:lang w:val="en-GB"/>
        </w:rPr>
        <w:t>Per Capita Consumption of Poultry and Livestock, 1965 to Estimated 2016, in Pounds</w:t>
      </w:r>
      <w:r w:rsidR="004108E9">
        <w:rPr>
          <w:lang w:val="en-GB"/>
        </w:rPr>
        <w:t>,”</w:t>
      </w:r>
      <w:r w:rsidR="009D7CBE" w:rsidRPr="005E5A1A">
        <w:rPr>
          <w:lang w:val="en-GB"/>
        </w:rPr>
        <w:t xml:space="preserve"> The National Chicken Council</w:t>
      </w:r>
      <w:r w:rsidR="004108E9">
        <w:rPr>
          <w:lang w:val="en-GB"/>
        </w:rPr>
        <w:t>,</w:t>
      </w:r>
      <w:r w:rsidR="00385E79" w:rsidRPr="005E5A1A">
        <w:rPr>
          <w:lang w:val="en-GB"/>
        </w:rPr>
        <w:t xml:space="preserve"> </w:t>
      </w:r>
      <w:r w:rsidR="001530CC">
        <w:rPr>
          <w:lang w:val="en-GB"/>
        </w:rPr>
        <w:t xml:space="preserve">accessed </w:t>
      </w:r>
      <w:r w:rsidR="00385E79" w:rsidRPr="005E5A1A">
        <w:rPr>
          <w:lang w:val="en-GB"/>
        </w:rPr>
        <w:t xml:space="preserve">November 10, 2015, </w:t>
      </w:r>
      <w:r w:rsidR="00AC7F66" w:rsidRPr="005E5A1A">
        <w:rPr>
          <w:lang w:val="en-GB"/>
        </w:rPr>
        <w:t>www.nationalchickencouncil.org/about-the-industry/statistics/per-capita-consumption-of-poultry-and-livestock-1965-to-estimated-2012-in-pounds/</w:t>
      </w:r>
      <w:r w:rsidR="009D7CBE" w:rsidRPr="005E5A1A">
        <w:rPr>
          <w:lang w:val="en-GB"/>
        </w:rPr>
        <w:t>.</w:t>
      </w:r>
    </w:p>
    <w:p w14:paraId="586AEBDA" w14:textId="77777777" w:rsidR="003350F7" w:rsidRDefault="003350F7" w:rsidP="0072063A">
      <w:pPr>
        <w:pStyle w:val="ExhibitHeading"/>
        <w:rPr>
          <w:lang w:val="en-GB"/>
        </w:rPr>
      </w:pPr>
    </w:p>
    <w:p w14:paraId="18E6F37A" w14:textId="77777777" w:rsidR="003350F7" w:rsidRDefault="003350F7" w:rsidP="0072063A">
      <w:pPr>
        <w:pStyle w:val="ExhibitHeading"/>
        <w:rPr>
          <w:lang w:val="en-GB"/>
        </w:rPr>
      </w:pPr>
    </w:p>
    <w:p w14:paraId="4D5E9976" w14:textId="77777777" w:rsidR="009D7CBE" w:rsidRPr="005E5A1A" w:rsidRDefault="007517CE" w:rsidP="005D3BF5">
      <w:pPr>
        <w:pStyle w:val="ExhibitHeading"/>
        <w:outlineLvl w:val="0"/>
        <w:rPr>
          <w:lang w:val="en-GB"/>
        </w:rPr>
      </w:pPr>
      <w:r w:rsidRPr="005E5A1A">
        <w:rPr>
          <w:rFonts w:asciiTheme="minorHAnsi" w:hAnsiTheme="minorHAnsi" w:cstheme="minorBidi"/>
          <w:noProof/>
          <w:sz w:val="22"/>
          <w:szCs w:val="22"/>
        </w:rPr>
        <w:drawing>
          <wp:anchor distT="0" distB="0" distL="114300" distR="114300" simplePos="0" relativeHeight="251657216" behindDoc="1" locked="0" layoutInCell="1" allowOverlap="1" wp14:anchorId="1D0536D7" wp14:editId="17D27B39">
            <wp:simplePos x="0" y="0"/>
            <wp:positionH relativeFrom="column">
              <wp:posOffset>95097</wp:posOffset>
            </wp:positionH>
            <wp:positionV relativeFrom="paragraph">
              <wp:posOffset>-2692</wp:posOffset>
            </wp:positionV>
            <wp:extent cx="5845810" cy="1671092"/>
            <wp:effectExtent l="0" t="0" r="2159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72063A" w:rsidRPr="005E5A1A">
        <w:rPr>
          <w:lang w:val="en-GB"/>
        </w:rPr>
        <w:t>Exhibit 4: Chicken Supply Chain</w:t>
      </w:r>
    </w:p>
    <w:p w14:paraId="4132353C" w14:textId="77777777" w:rsidR="0072063A" w:rsidRPr="005E5A1A" w:rsidRDefault="0072063A" w:rsidP="009D7CBE">
      <w:pPr>
        <w:rPr>
          <w:rFonts w:ascii="Arial" w:hAnsi="Arial" w:cs="Arial"/>
          <w:b/>
          <w:lang w:val="en-GB"/>
        </w:rPr>
      </w:pPr>
    </w:p>
    <w:p w14:paraId="3E3111D1" w14:textId="77777777" w:rsidR="0072063A" w:rsidRPr="005E5A1A" w:rsidRDefault="0072063A" w:rsidP="009D7CBE">
      <w:pPr>
        <w:rPr>
          <w:rFonts w:ascii="Arial" w:hAnsi="Arial" w:cs="Arial"/>
          <w:b/>
          <w:lang w:val="en-GB"/>
        </w:rPr>
      </w:pPr>
    </w:p>
    <w:p w14:paraId="7B8562A7" w14:textId="77777777" w:rsidR="0072063A" w:rsidRPr="005E5A1A" w:rsidRDefault="0072063A" w:rsidP="009D7CBE">
      <w:pPr>
        <w:rPr>
          <w:rFonts w:ascii="Arial" w:hAnsi="Arial" w:cs="Arial"/>
          <w:b/>
          <w:lang w:val="en-GB"/>
        </w:rPr>
      </w:pPr>
    </w:p>
    <w:p w14:paraId="472697CE" w14:textId="77777777" w:rsidR="0072063A" w:rsidRPr="005E5A1A" w:rsidRDefault="0072063A" w:rsidP="009D7CBE">
      <w:pPr>
        <w:rPr>
          <w:rFonts w:ascii="Arial" w:hAnsi="Arial" w:cs="Arial"/>
          <w:b/>
          <w:lang w:val="en-GB"/>
        </w:rPr>
      </w:pPr>
    </w:p>
    <w:p w14:paraId="2E9A8C7C" w14:textId="77777777" w:rsidR="0072063A" w:rsidRPr="005E5A1A" w:rsidRDefault="0072063A" w:rsidP="009D7CBE">
      <w:pPr>
        <w:rPr>
          <w:rFonts w:ascii="Arial" w:hAnsi="Arial" w:cs="Arial"/>
          <w:b/>
          <w:lang w:val="en-GB"/>
        </w:rPr>
      </w:pPr>
    </w:p>
    <w:p w14:paraId="7A0C31EE" w14:textId="77777777" w:rsidR="0072063A" w:rsidRPr="005E5A1A" w:rsidRDefault="0072063A" w:rsidP="009D7CBE">
      <w:pPr>
        <w:rPr>
          <w:rFonts w:ascii="Arial" w:hAnsi="Arial" w:cs="Arial"/>
          <w:b/>
          <w:lang w:val="en-GB"/>
        </w:rPr>
      </w:pPr>
    </w:p>
    <w:p w14:paraId="40E48334" w14:textId="77777777" w:rsidR="0072063A" w:rsidRPr="005E5A1A" w:rsidRDefault="0072063A" w:rsidP="009D7CBE">
      <w:pPr>
        <w:rPr>
          <w:rFonts w:ascii="Arial" w:hAnsi="Arial" w:cs="Arial"/>
          <w:b/>
          <w:lang w:val="en-GB"/>
        </w:rPr>
      </w:pPr>
    </w:p>
    <w:p w14:paraId="198A3297" w14:textId="77777777" w:rsidR="0072063A" w:rsidRPr="005E5A1A" w:rsidRDefault="0072063A" w:rsidP="009D7CBE">
      <w:pPr>
        <w:rPr>
          <w:rFonts w:ascii="Arial" w:hAnsi="Arial" w:cs="Arial"/>
          <w:b/>
          <w:lang w:val="en-GB"/>
        </w:rPr>
      </w:pPr>
    </w:p>
    <w:p w14:paraId="65C39662" w14:textId="77777777" w:rsidR="0072063A" w:rsidRPr="005E5A1A" w:rsidRDefault="0072063A" w:rsidP="009D7CBE">
      <w:pPr>
        <w:rPr>
          <w:rFonts w:ascii="Arial" w:hAnsi="Arial" w:cs="Arial"/>
          <w:b/>
          <w:lang w:val="en-GB"/>
        </w:rPr>
      </w:pPr>
    </w:p>
    <w:p w14:paraId="1B6D0B0A" w14:textId="77777777" w:rsidR="0072063A" w:rsidRPr="005E5A1A" w:rsidRDefault="007517CE" w:rsidP="009D7CBE">
      <w:pPr>
        <w:rPr>
          <w:rFonts w:ascii="Arial" w:hAnsi="Arial" w:cs="Arial"/>
          <w:b/>
          <w:lang w:val="en-GB"/>
        </w:rPr>
      </w:pPr>
      <w:r w:rsidRPr="005E5A1A">
        <w:rPr>
          <w:rFonts w:ascii="Arial" w:hAnsi="Arial" w:cs="Arial"/>
          <w:b/>
          <w:noProof/>
        </w:rPr>
        <mc:AlternateContent>
          <mc:Choice Requires="wpg">
            <w:drawing>
              <wp:anchor distT="0" distB="0" distL="114300" distR="114300" simplePos="0" relativeHeight="251658240" behindDoc="0" locked="0" layoutInCell="1" allowOverlap="1" wp14:anchorId="15D8166D" wp14:editId="1DE119A8">
                <wp:simplePos x="0" y="0"/>
                <wp:positionH relativeFrom="column">
                  <wp:posOffset>1440612</wp:posOffset>
                </wp:positionH>
                <wp:positionV relativeFrom="paragraph">
                  <wp:posOffset>22225</wp:posOffset>
                </wp:positionV>
                <wp:extent cx="3200400" cy="965605"/>
                <wp:effectExtent l="38100" t="38100" r="19050" b="25400"/>
                <wp:wrapNone/>
                <wp:docPr id="11" name="Group 11"/>
                <wp:cNvGraphicFramePr/>
                <a:graphic xmlns:a="http://schemas.openxmlformats.org/drawingml/2006/main">
                  <a:graphicData uri="http://schemas.microsoft.com/office/word/2010/wordprocessingGroup">
                    <wpg:wgp>
                      <wpg:cNvGrpSpPr/>
                      <wpg:grpSpPr>
                        <a:xfrm>
                          <a:off x="0" y="0"/>
                          <a:ext cx="3200400" cy="965605"/>
                          <a:chOff x="0" y="0"/>
                          <a:chExt cx="3200400" cy="966112"/>
                        </a:xfrm>
                      </wpg:grpSpPr>
                      <wps:wsp>
                        <wps:cNvPr id="3" name="Text Box 3"/>
                        <wps:cNvSpPr txBox="1"/>
                        <wps:spPr>
                          <a:xfrm>
                            <a:off x="0" y="460856"/>
                            <a:ext cx="3200400" cy="505256"/>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698FDFC" w14:textId="3EE78FA9" w:rsidR="008234B5" w:rsidRPr="00141F58" w:rsidRDefault="008234B5" w:rsidP="009D7CBE">
                              <w:pPr>
                                <w:jc w:val="center"/>
                                <w:rPr>
                                  <w:rFonts w:ascii="Arial" w:hAnsi="Arial" w:cs="Arial"/>
                                  <w:b/>
                                </w:rPr>
                              </w:pPr>
                              <w:r w:rsidRPr="00141F58">
                                <w:rPr>
                                  <w:rFonts w:ascii="Arial" w:hAnsi="Arial" w:cs="Arial"/>
                                  <w:b/>
                                </w:rPr>
                                <w:t xml:space="preserve">Feed Mill </w:t>
                              </w:r>
                            </w:p>
                            <w:p w14:paraId="26547C6C" w14:textId="2B50726D" w:rsidR="008234B5" w:rsidRPr="00141F58" w:rsidRDefault="008234B5" w:rsidP="009D7CBE">
                              <w:pPr>
                                <w:jc w:val="center"/>
                                <w:rPr>
                                  <w:rFonts w:ascii="Arial" w:hAnsi="Arial" w:cs="Arial"/>
                                  <w:sz w:val="18"/>
                                </w:rPr>
                              </w:pPr>
                              <w:r>
                                <w:rPr>
                                  <w:rFonts w:ascii="Arial" w:hAnsi="Arial" w:cs="Arial"/>
                                  <w:sz w:val="18"/>
                                </w:rPr>
                                <w:t>Produces s</w:t>
                              </w:r>
                              <w:r w:rsidRPr="00141F58">
                                <w:rPr>
                                  <w:rFonts w:ascii="Arial" w:hAnsi="Arial" w:cs="Arial"/>
                                  <w:sz w:val="18"/>
                                </w:rPr>
                                <w:t>cientifically</w:t>
                              </w:r>
                              <w:r>
                                <w:rPr>
                                  <w:rFonts w:ascii="Arial" w:hAnsi="Arial" w:cs="Arial"/>
                                  <w:sz w:val="18"/>
                                </w:rPr>
                                <w:t xml:space="preserve"> </w:t>
                              </w:r>
                              <w:r w:rsidRPr="00141F58">
                                <w:rPr>
                                  <w:rFonts w:ascii="Arial" w:hAnsi="Arial" w:cs="Arial"/>
                                  <w:sz w:val="18"/>
                                </w:rPr>
                                <w:t xml:space="preserve">formulated feed for pullets and broilers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flipH="1" flipV="1">
                            <a:off x="0" y="0"/>
                            <a:ext cx="800100" cy="4572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5" name="Straight Arrow Connector 5"/>
                        <wps:cNvCnPr/>
                        <wps:spPr>
                          <a:xfrm flipH="1" flipV="1">
                            <a:off x="1024128" y="0"/>
                            <a:ext cx="228600" cy="4572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6" name="Straight Arrow Connector 6"/>
                        <wps:cNvCnPr/>
                        <wps:spPr>
                          <a:xfrm flipV="1">
                            <a:off x="1711756" y="0"/>
                            <a:ext cx="342900" cy="4572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7" name="Straight Arrow Connector 7"/>
                        <wps:cNvCnPr/>
                        <wps:spPr>
                          <a:xfrm flipV="1">
                            <a:off x="2165299" y="0"/>
                            <a:ext cx="914400" cy="4572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g:wgp>
                  </a:graphicData>
                </a:graphic>
                <wp14:sizeRelV relativeFrom="margin">
                  <wp14:pctHeight>0</wp14:pctHeight>
                </wp14:sizeRelV>
              </wp:anchor>
            </w:drawing>
          </mc:Choice>
          <mc:Fallback>
            <w:pict>
              <v:group w14:anchorId="15D8166D" id="Group 11" o:spid="_x0000_s1027" style="position:absolute;margin-left:113.45pt;margin-top:1.75pt;width:252pt;height:76.05pt;z-index:251658240;mso-height-relative:margin" coordsize="32004,9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">
                <v:shape id="Text Box 3" o:spid="_x0000_s1028" type="#_x0000_t202" style="position:absolute;top:4608;width:32004;height:5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s78QA&#10;AADaAAAADwAAAGRycy9kb3ducmV2LnhtbESPQWvCQBSE74X+h+UVeilm01aKRNcQBKGCItpSenxm&#10;n9lg9m3Irpr6611B6HGYmW+YSd7bRpyo87VjBa9JCoK4dLrmSsH313wwAuEDssbGMSn4Iw/59PFh&#10;gpl2Z97QaRsqESHsM1RgQmgzKX1pyKJPXEscvb3rLIYou0rqDs8Rbhv5lqYf0mLNccFgSzND5WF7&#10;tApwbXa1v6yay+yXi/liuMSfl6VSz099MQYRqA//4Xv7Uyt4h9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3rO/EAAAA2gAAAA8AAAAAAAAAAAAAAAAAmAIAAGRycy9k&#10;b3ducmV2LnhtbFBLBQYAAAAABAAEAPUAAACJAwAAAAA=&#10;" fillcolor="white [3201]" strokecolor="black [3200]" strokeweight="2pt">
                  <v:textbox>
                    <w:txbxContent>
                      <w:p w14:paraId="3698FDFC" w14:textId="3EE78FA9" w:rsidR="008234B5" w:rsidRPr="00141F58" w:rsidRDefault="008234B5" w:rsidP="009D7CBE">
                        <w:pPr>
                          <w:jc w:val="center"/>
                          <w:rPr>
                            <w:rFonts w:ascii="Arial" w:hAnsi="Arial" w:cs="Arial"/>
                            <w:b/>
                          </w:rPr>
                        </w:pPr>
                        <w:r w:rsidRPr="00141F58">
                          <w:rPr>
                            <w:rFonts w:ascii="Arial" w:hAnsi="Arial" w:cs="Arial"/>
                            <w:b/>
                          </w:rPr>
                          <w:t xml:space="preserve">Feed Mill </w:t>
                        </w:r>
                      </w:p>
                      <w:p w14:paraId="26547C6C" w14:textId="2B50726D" w:rsidR="008234B5" w:rsidRPr="00141F58" w:rsidRDefault="008234B5" w:rsidP="009D7CBE">
                        <w:pPr>
                          <w:jc w:val="center"/>
                          <w:rPr>
                            <w:rFonts w:ascii="Arial" w:hAnsi="Arial" w:cs="Arial"/>
                            <w:sz w:val="18"/>
                          </w:rPr>
                        </w:pPr>
                        <w:r>
                          <w:rPr>
                            <w:rFonts w:ascii="Arial" w:hAnsi="Arial" w:cs="Arial"/>
                            <w:sz w:val="18"/>
                          </w:rPr>
                          <w:t>Produces s</w:t>
                        </w:r>
                        <w:r w:rsidRPr="00141F58">
                          <w:rPr>
                            <w:rFonts w:ascii="Arial" w:hAnsi="Arial" w:cs="Arial"/>
                            <w:sz w:val="18"/>
                          </w:rPr>
                          <w:t>cientifically</w:t>
                        </w:r>
                        <w:r>
                          <w:rPr>
                            <w:rFonts w:ascii="Arial" w:hAnsi="Arial" w:cs="Arial"/>
                            <w:sz w:val="18"/>
                          </w:rPr>
                          <w:t xml:space="preserve"> </w:t>
                        </w:r>
                        <w:r w:rsidRPr="00141F58">
                          <w:rPr>
                            <w:rFonts w:ascii="Arial" w:hAnsi="Arial" w:cs="Arial"/>
                            <w:sz w:val="18"/>
                          </w:rPr>
                          <w:t xml:space="preserve">formulated feed for pullets and broilers </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width:8001;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FicQAAADaAAAADwAAAGRycy9kb3ducmV2LnhtbESPW2vCQBSE3wX/w3KEvulupfQSXUWU&#10;QN/qpaCPp9ljEpo9G7KbGPvrXaHg4zAz3zDzZW8r0VHjS8canicKBHHmTMm5hu9DOn4H4QOywcox&#10;abiSh+ViOJhjYtyFd9TtQy4ihH2CGooQ6kRKnxVk0U9cTRy9s2sshiibXJoGLxFuKzlV6lVaLDku&#10;FFjTuqDsd99aDYrejof0uj226i/96T7Cqf3anLR+GvWrGYhAfXiE/9ufRsML3K/EG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msWJxAAAANoAAAAPAAAAAAAAAAAA&#10;AAAAAKECAABkcnMvZG93bnJldi54bWxQSwUGAAAAAAQABAD5AAAAkgMAAAAA&#10;" filled="t" fillcolor="white [3201]" strokecolor="black [3200]" strokeweight="2pt">
                  <v:stroke endarrow="open"/>
                </v:shape>
                <v:shape id="Straight Arrow Connector 5" o:spid="_x0000_s1030" type="#_x0000_t32" style="position:absolute;left:10241;width:228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ZgEsMAAADaAAAADwAAAGRycy9kb3ducmV2LnhtbESPW4vCMBSE3wX/QzjCvmmywt6qUUQp&#10;7Nt6WdDHs82xLduclCatdX+9ERZ8HGbmG2a+7G0lOmp86VjD80SBIM6cKTnX8H1Ix+8gfEA2WDkm&#10;DVfysFwMB3NMjLvwjrp9yEWEsE9QQxFCnUjps4Is+omriaN3do3FEGWTS9PgJcJtJadKvUqLJceF&#10;AmtaF5T97lurQdHb8ZBet8dW/aU/3Uc4tV+bk9ZPo341AxGoD4/wf/vTaHiB+5V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YBLDAAAA2gAAAA8AAAAAAAAAAAAA&#10;AAAAoQIAAGRycy9kb3ducmV2LnhtbFBLBQYAAAAABAAEAPkAAACRAwAAAAA=&#10;" filled="t" fillcolor="white [3201]" strokecolor="black [3200]" strokeweight="2pt">
                  <v:stroke endarrow="open"/>
                </v:shape>
                <v:shape id="Straight Arrow Connector 6" o:spid="_x0000_s1031" type="#_x0000_t32" style="position:absolute;left:17117;width:3429;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oA6cIAAADaAAAADwAAAGRycy9kb3ducmV2LnhtbESPQYvCMBSE78L+h/AWvGmqYNFqlGVh&#10;RUEQq3vY2yN5tmWbl9JErf/eCILHYWa+YRarztbiSq2vHCsYDRMQxNqZigsFp+PPYArCB2SDtWNS&#10;cCcPq+VHb4GZcTc+0DUPhYgQ9hkqKENoMim9LsmiH7qGOHpn11oMUbaFNC3eItzWcpwkqbRYcVwo&#10;saHvkvR/frEK9L7a/uZbzbN0/TeapDs5pvteqf5n9zUHEagL7/CrvTEKUnheiTd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oA6cIAAADaAAAADwAAAAAAAAAAAAAA&#10;AAChAgAAZHJzL2Rvd25yZXYueG1sUEsFBgAAAAAEAAQA+QAAAJADAAAAAA==&#10;" filled="t" fillcolor="white [3201]" strokecolor="black [3200]" strokeweight="2pt">
                  <v:stroke endarrow="open"/>
                </v:shape>
                <v:shape id="Straight Arrow Connector 7" o:spid="_x0000_s1032" type="#_x0000_t32" style="position:absolute;left:21652;width:914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alcsMAAADaAAAADwAAAGRycy9kb3ducmV2LnhtbESPQWvCQBSE7wX/w/IEb3WTgGlNXUUE&#10;RaEgTeuht8fuMwlm34bsqvHfdwuFHoeZ+YZZrAbbihv1vnGsIJ0mIIi1Mw1XCr4+t8+vIHxANtg6&#10;JgUP8rBajp4WWBh35w+6laESEcK+QAV1CF0hpdc1WfRT1xFH7+x6iyHKvpKmx3uE21ZmSZJLiw3H&#10;hRo72tSkL+XVKtDH5nAqD5rn+e47neXvMqPHUanJeFi/gQg0hP/wX3tvFLzA75V4A+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WpXLDAAAA2gAAAA8AAAAAAAAAAAAA&#10;AAAAoQIAAGRycy9kb3ducmV2LnhtbFBLBQYAAAAABAAEAPkAAACRAwAAAAA=&#10;" filled="t" fillcolor="white [3201]" strokecolor="black [3200]" strokeweight="2pt">
                  <v:stroke endarrow="open"/>
                </v:shape>
              </v:group>
            </w:pict>
          </mc:Fallback>
        </mc:AlternateContent>
      </w:r>
    </w:p>
    <w:p w14:paraId="414D4584" w14:textId="77777777" w:rsidR="0072063A" w:rsidRPr="005E5A1A" w:rsidRDefault="0072063A" w:rsidP="009D7CBE">
      <w:pPr>
        <w:rPr>
          <w:rFonts w:ascii="Arial" w:hAnsi="Arial" w:cs="Arial"/>
          <w:b/>
          <w:lang w:val="en-GB"/>
        </w:rPr>
      </w:pPr>
    </w:p>
    <w:p w14:paraId="4C70AC59" w14:textId="77777777" w:rsidR="0072063A" w:rsidRPr="005E5A1A" w:rsidRDefault="0072063A" w:rsidP="009D7CBE">
      <w:pPr>
        <w:rPr>
          <w:rFonts w:ascii="Arial" w:hAnsi="Arial" w:cs="Arial"/>
          <w:b/>
          <w:lang w:val="en-GB"/>
        </w:rPr>
      </w:pPr>
    </w:p>
    <w:p w14:paraId="1990B28B" w14:textId="77777777" w:rsidR="0072063A" w:rsidRPr="005E5A1A" w:rsidRDefault="0072063A" w:rsidP="009D7CBE">
      <w:pPr>
        <w:rPr>
          <w:rFonts w:ascii="Arial" w:hAnsi="Arial" w:cs="Arial"/>
          <w:b/>
          <w:lang w:val="en-GB"/>
        </w:rPr>
      </w:pPr>
    </w:p>
    <w:p w14:paraId="5F1E3AA9" w14:textId="77777777" w:rsidR="0072063A" w:rsidRPr="005E5A1A" w:rsidRDefault="0072063A" w:rsidP="009D7CBE">
      <w:pPr>
        <w:rPr>
          <w:rFonts w:ascii="Arial" w:hAnsi="Arial" w:cs="Arial"/>
          <w:b/>
          <w:lang w:val="en-GB"/>
        </w:rPr>
      </w:pPr>
    </w:p>
    <w:p w14:paraId="25BD6021" w14:textId="77777777" w:rsidR="0072063A" w:rsidRPr="005E5A1A" w:rsidRDefault="0072063A" w:rsidP="009D7CBE">
      <w:pPr>
        <w:rPr>
          <w:rFonts w:ascii="Arial" w:hAnsi="Arial" w:cs="Arial"/>
          <w:b/>
          <w:lang w:val="en-GB"/>
        </w:rPr>
      </w:pPr>
    </w:p>
    <w:p w14:paraId="6D1D99B1" w14:textId="77777777" w:rsidR="0072063A" w:rsidRPr="005E5A1A" w:rsidRDefault="0072063A" w:rsidP="009D7CBE">
      <w:pPr>
        <w:rPr>
          <w:rFonts w:ascii="Arial" w:hAnsi="Arial" w:cs="Arial"/>
          <w:b/>
          <w:lang w:val="en-GB"/>
        </w:rPr>
      </w:pPr>
    </w:p>
    <w:p w14:paraId="239E14FD" w14:textId="77777777" w:rsidR="0072063A" w:rsidRPr="005E5A1A" w:rsidRDefault="0072063A" w:rsidP="009D7CBE">
      <w:pPr>
        <w:rPr>
          <w:rFonts w:ascii="Arial" w:hAnsi="Arial" w:cs="Arial"/>
          <w:b/>
          <w:lang w:val="en-GB"/>
        </w:rPr>
      </w:pPr>
    </w:p>
    <w:p w14:paraId="0297E0CA" w14:textId="7F12E2A4" w:rsidR="0072063A" w:rsidRPr="005E5A1A" w:rsidRDefault="0072063A" w:rsidP="00E70927">
      <w:pPr>
        <w:pStyle w:val="Footnote"/>
        <w:rPr>
          <w:lang w:val="en-GB"/>
        </w:rPr>
      </w:pPr>
      <w:r w:rsidRPr="005E5A1A">
        <w:rPr>
          <w:lang w:val="en-GB"/>
        </w:rPr>
        <w:t>Source: Created by the author</w:t>
      </w:r>
      <w:r w:rsidR="006B64CF">
        <w:rPr>
          <w:lang w:val="en-GB"/>
        </w:rPr>
        <w:t>s</w:t>
      </w:r>
      <w:r w:rsidRPr="005E5A1A">
        <w:rPr>
          <w:lang w:val="en-GB"/>
        </w:rPr>
        <w:t xml:space="preserve"> using information from </w:t>
      </w:r>
      <w:r w:rsidR="004F27C5">
        <w:rPr>
          <w:lang w:val="en-GB"/>
        </w:rPr>
        <w:t xml:space="preserve">“Our Supply Chain and Antibiotics,” </w:t>
      </w:r>
      <w:r w:rsidR="001028BE">
        <w:rPr>
          <w:lang w:val="en-GB"/>
        </w:rPr>
        <w:t>Tyson</w:t>
      </w:r>
      <w:r w:rsidR="004F27C5">
        <w:rPr>
          <w:lang w:val="en-GB"/>
        </w:rPr>
        <w:t>,</w:t>
      </w:r>
      <w:r w:rsidR="001028BE">
        <w:rPr>
          <w:lang w:val="en-GB"/>
        </w:rPr>
        <w:t xml:space="preserve"> accessed April 2, 2017</w:t>
      </w:r>
      <w:r w:rsidR="004F27C5">
        <w:rPr>
          <w:lang w:val="en-GB"/>
        </w:rPr>
        <w:t>,</w:t>
      </w:r>
      <w:r w:rsidR="001028BE">
        <w:rPr>
          <w:lang w:val="en-GB"/>
        </w:rPr>
        <w:t xml:space="preserve"> </w:t>
      </w:r>
      <w:r w:rsidR="001028BE" w:rsidRPr="001028BE">
        <w:rPr>
          <w:lang w:val="en-GB"/>
        </w:rPr>
        <w:t>www.tysonsustainability.com/animal-well-being</w:t>
      </w:r>
      <w:r w:rsidR="004F27C5">
        <w:rPr>
          <w:lang w:val="en-GB"/>
        </w:rPr>
        <w:t>.</w:t>
      </w:r>
    </w:p>
    <w:p w14:paraId="179765AD" w14:textId="77777777" w:rsidR="009D7CBE" w:rsidRPr="005E5A1A" w:rsidRDefault="009D7CBE" w:rsidP="009D7CBE">
      <w:pPr>
        <w:rPr>
          <w:rFonts w:ascii="Arial" w:hAnsi="Arial" w:cs="Arial"/>
          <w:b/>
          <w:lang w:val="en-GB"/>
        </w:rPr>
      </w:pPr>
      <w:r w:rsidRPr="005E5A1A">
        <w:rPr>
          <w:rFonts w:ascii="Arial" w:hAnsi="Arial" w:cs="Arial"/>
          <w:b/>
          <w:lang w:val="en-GB"/>
        </w:rPr>
        <w:br w:type="page"/>
      </w:r>
    </w:p>
    <w:p w14:paraId="26244B7C" w14:textId="77777777" w:rsidR="00C700B1" w:rsidRPr="005E5A1A" w:rsidRDefault="00350F2E" w:rsidP="005D3BF5">
      <w:pPr>
        <w:pStyle w:val="Casehead1"/>
        <w:outlineLvl w:val="0"/>
        <w:rPr>
          <w:lang w:val="en-GB"/>
        </w:rPr>
      </w:pPr>
      <w:r w:rsidRPr="005E5A1A">
        <w:rPr>
          <w:lang w:val="en-GB"/>
        </w:rPr>
        <w:lastRenderedPageBreak/>
        <w:t xml:space="preserve">Endnotes </w:t>
      </w:r>
    </w:p>
    <w:sectPr w:rsidR="00C700B1" w:rsidRPr="005E5A1A" w:rsidSect="00EB5410">
      <w:headerReference w:type="default" r:id="rId1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2A035" w14:textId="77777777" w:rsidR="00DF74B3" w:rsidRDefault="00DF74B3" w:rsidP="00D75295">
      <w:r>
        <w:separator/>
      </w:r>
    </w:p>
  </w:endnote>
  <w:endnote w:type="continuationSeparator" w:id="0">
    <w:p w14:paraId="723F5769" w14:textId="77777777" w:rsidR="00DF74B3" w:rsidRDefault="00DF74B3" w:rsidP="00D75295">
      <w:r>
        <w:continuationSeparator/>
      </w:r>
    </w:p>
  </w:endnote>
  <w:endnote w:id="1">
    <w:p w14:paraId="634C621C" w14:textId="77777777" w:rsidR="008234B5" w:rsidRPr="004D62A1" w:rsidRDefault="008234B5" w:rsidP="001530CC">
      <w:pPr>
        <w:pStyle w:val="Footnote"/>
      </w:pPr>
      <w:r w:rsidRPr="004D62A1">
        <w:rPr>
          <w:vertAlign w:val="superscript"/>
        </w:rPr>
        <w:endnoteRef/>
      </w:r>
      <w:r w:rsidRPr="004D62A1">
        <w:t xml:space="preserve"> All currency amounts are shown in Canadian dollars unless otherwise noted.</w:t>
      </w:r>
    </w:p>
  </w:endnote>
  <w:endnote w:id="2">
    <w:p w14:paraId="045CA6EA" w14:textId="1B0BF918" w:rsidR="008234B5" w:rsidRPr="004D62A1" w:rsidRDefault="008234B5" w:rsidP="00350F2E">
      <w:pPr>
        <w:pStyle w:val="Footnote"/>
        <w:rPr>
          <w:lang w:val="en-CA" w:eastAsia="en-CA"/>
        </w:rPr>
      </w:pPr>
      <w:r w:rsidRPr="004D62A1">
        <w:rPr>
          <w:rStyle w:val="EndnoteReference"/>
        </w:rPr>
        <w:endnoteRef/>
      </w:r>
      <w:r w:rsidRPr="004D62A1">
        <w:t xml:space="preserve"> “</w:t>
      </w:r>
      <w:r w:rsidRPr="004D62A1">
        <w:rPr>
          <w:lang w:eastAsia="en-CA"/>
        </w:rPr>
        <w:t xml:space="preserve">Livestock Production,” in </w:t>
      </w:r>
      <w:r w:rsidRPr="004D62A1">
        <w:rPr>
          <w:i/>
          <w:lang w:eastAsia="en-CA"/>
        </w:rPr>
        <w:t>World Agriculture: Towards 2015/2030: An FAO Perspective</w:t>
      </w:r>
      <w:r w:rsidRPr="004D62A1">
        <w:rPr>
          <w:lang w:eastAsia="en-CA"/>
        </w:rPr>
        <w:t xml:space="preserve"> (Rome: Food and Agriculture Organization of the United Nations, 2003), accessed November 10, 2015, </w:t>
      </w:r>
      <w:r w:rsidRPr="004D62A1">
        <w:t>www.fao.org/docrep/005/y4252e/y4252e07.htm.</w:t>
      </w:r>
      <w:r w:rsidRPr="004D62A1">
        <w:rPr>
          <w:lang w:eastAsia="en-CA"/>
        </w:rPr>
        <w:t xml:space="preserve"> </w:t>
      </w:r>
    </w:p>
  </w:endnote>
  <w:endnote w:id="3">
    <w:p w14:paraId="717C1135" w14:textId="2064DAC4" w:rsidR="008234B5" w:rsidRPr="004D62A1" w:rsidRDefault="008234B5" w:rsidP="00350F2E">
      <w:pPr>
        <w:pStyle w:val="Footnote"/>
        <w:rPr>
          <w:lang w:eastAsia="en-CA"/>
        </w:rPr>
      </w:pPr>
      <w:r w:rsidRPr="004D62A1">
        <w:rPr>
          <w:rStyle w:val="EndnoteReference"/>
        </w:rPr>
        <w:endnoteRef/>
      </w:r>
      <w:r w:rsidRPr="004D62A1">
        <w:t xml:space="preserve"> </w:t>
      </w:r>
      <w:r w:rsidR="004F27C5" w:rsidRPr="004D62A1">
        <w:t>Ibid.</w:t>
      </w:r>
      <w:r w:rsidRPr="004D62A1">
        <w:rPr>
          <w:lang w:eastAsia="en-CA"/>
        </w:rPr>
        <w:t xml:space="preserve"> </w:t>
      </w:r>
    </w:p>
  </w:endnote>
  <w:endnote w:id="4">
    <w:p w14:paraId="0D31D106" w14:textId="1B1FA6A7" w:rsidR="004F27C5" w:rsidRPr="004D62A1" w:rsidRDefault="008234B5" w:rsidP="00350F2E">
      <w:pPr>
        <w:pStyle w:val="Footnote"/>
        <w:rPr>
          <w:lang w:eastAsia="en-CA"/>
        </w:rPr>
      </w:pPr>
      <w:r w:rsidRPr="004D62A1">
        <w:rPr>
          <w:rStyle w:val="EndnoteReference"/>
        </w:rPr>
        <w:endnoteRef/>
      </w:r>
      <w:r w:rsidR="004F27C5" w:rsidRPr="004D62A1">
        <w:t xml:space="preserve"> “</w:t>
      </w:r>
      <w:r w:rsidR="00D8336B" w:rsidRPr="004D62A1">
        <w:t>Population</w:t>
      </w:r>
      <w:r w:rsidR="004F27C5" w:rsidRPr="004D62A1">
        <w:t>,</w:t>
      </w:r>
      <w:r w:rsidR="00D8336B" w:rsidRPr="004D62A1">
        <w:t xml:space="preserve"> Total</w:t>
      </w:r>
      <w:r w:rsidR="004F27C5" w:rsidRPr="004D62A1">
        <w:t>,” The World Bank,</w:t>
      </w:r>
      <w:r w:rsidRPr="004D62A1">
        <w:rPr>
          <w:lang w:eastAsia="en-CA"/>
        </w:rPr>
        <w:t xml:space="preserve"> accessed </w:t>
      </w:r>
      <w:r w:rsidR="00D8336B" w:rsidRPr="004D62A1">
        <w:rPr>
          <w:lang w:eastAsia="en-CA"/>
        </w:rPr>
        <w:t>April 2, 2017,</w:t>
      </w:r>
      <w:r w:rsidRPr="004D62A1">
        <w:rPr>
          <w:lang w:eastAsia="en-CA"/>
        </w:rPr>
        <w:t xml:space="preserve"> </w:t>
      </w:r>
      <w:r w:rsidR="004F27C5" w:rsidRPr="004D62A1">
        <w:rPr>
          <w:lang w:eastAsia="en-CA"/>
        </w:rPr>
        <w:t>http://data.worldbank.org/indicator/SP.POP.TOTL</w:t>
      </w:r>
      <w:r w:rsidR="00D8336B" w:rsidRPr="004D62A1">
        <w:rPr>
          <w:lang w:eastAsia="en-CA"/>
        </w:rPr>
        <w:t>?end=</w:t>
      </w:r>
    </w:p>
    <w:p w14:paraId="50300472" w14:textId="4B2C9617" w:rsidR="008234B5" w:rsidRPr="004D62A1" w:rsidRDefault="00D8336B" w:rsidP="00350F2E">
      <w:pPr>
        <w:pStyle w:val="Footnote"/>
        <w:rPr>
          <w:b/>
          <w:lang w:eastAsia="en-CA"/>
        </w:rPr>
      </w:pPr>
      <w:r w:rsidRPr="004D62A1">
        <w:rPr>
          <w:lang w:eastAsia="en-CA"/>
        </w:rPr>
        <w:t>2014&amp;start=2000</w:t>
      </w:r>
      <w:r w:rsidR="004F27C5" w:rsidRPr="004D62A1">
        <w:rPr>
          <w:lang w:eastAsia="en-CA"/>
        </w:rPr>
        <w:t>.</w:t>
      </w:r>
      <w:r w:rsidRPr="004D62A1">
        <w:rPr>
          <w:lang w:eastAsia="en-CA"/>
        </w:rPr>
        <w:t xml:space="preserve"> </w:t>
      </w:r>
    </w:p>
  </w:endnote>
  <w:endnote w:id="5">
    <w:p w14:paraId="5D27668C" w14:textId="16CDFE0E" w:rsidR="008234B5" w:rsidRPr="004D62A1" w:rsidRDefault="008234B5" w:rsidP="00350F2E">
      <w:pPr>
        <w:pStyle w:val="Footnote"/>
        <w:rPr>
          <w:lang w:eastAsia="en-CA"/>
        </w:rPr>
      </w:pPr>
      <w:r w:rsidRPr="004D62A1">
        <w:rPr>
          <w:rStyle w:val="EndnoteReference"/>
        </w:rPr>
        <w:endnoteRef/>
      </w:r>
      <w:r w:rsidRPr="004D62A1">
        <w:t xml:space="preserve"> M. </w:t>
      </w:r>
      <w:r w:rsidRPr="004D62A1">
        <w:rPr>
          <w:lang w:eastAsia="en-CA"/>
        </w:rPr>
        <w:t xml:space="preserve">Yegani and D. R. Korver, “Factors Affecting Intestinal Health in Poultry,” </w:t>
      </w:r>
      <w:r w:rsidRPr="004D62A1">
        <w:rPr>
          <w:i/>
          <w:lang w:eastAsia="en-CA"/>
        </w:rPr>
        <w:t>Poultry Science</w:t>
      </w:r>
      <w:r w:rsidRPr="004D62A1">
        <w:rPr>
          <w:lang w:eastAsia="en-CA"/>
        </w:rPr>
        <w:t xml:space="preserve"> 87, no. 10 (October 2008</w:t>
      </w:r>
      <w:r w:rsidR="0074620E">
        <w:rPr>
          <w:lang w:eastAsia="en-CA"/>
        </w:rPr>
        <w:t>)</w:t>
      </w:r>
      <w:r w:rsidRPr="004D62A1">
        <w:rPr>
          <w:lang w:eastAsia="en-CA"/>
        </w:rPr>
        <w:t>.</w:t>
      </w:r>
    </w:p>
  </w:endnote>
  <w:endnote w:id="6">
    <w:p w14:paraId="35034285" w14:textId="77777777" w:rsidR="009C5205" w:rsidRPr="004D62A1" w:rsidRDefault="009C5205" w:rsidP="009C5205">
      <w:pPr>
        <w:pStyle w:val="Footnote"/>
        <w:rPr>
          <w:b/>
          <w:lang w:eastAsia="en-CA"/>
        </w:rPr>
      </w:pPr>
      <w:r w:rsidRPr="004D62A1">
        <w:rPr>
          <w:rStyle w:val="EndnoteReference"/>
        </w:rPr>
        <w:endnoteRef/>
      </w:r>
      <w:r w:rsidRPr="004D62A1">
        <w:t xml:space="preserve"> </w:t>
      </w:r>
      <w:r w:rsidRPr="004D62A1">
        <w:rPr>
          <w:i/>
          <w:lang w:eastAsia="en-CA"/>
        </w:rPr>
        <w:t>Going Mainstream: Meat and Poultry Raised without Routine Antibiotics Use</w:t>
      </w:r>
      <w:r w:rsidRPr="004D62A1">
        <w:rPr>
          <w:lang w:eastAsia="en-CA"/>
        </w:rPr>
        <w:t xml:space="preserve">, National Resources Defense Council, December 2015, accessed April 2, 2017, </w:t>
      </w:r>
      <w:r w:rsidRPr="004D62A1">
        <w:t>www.nrdc.org/food/files/antibiotic-free-meats-CS.pdf</w:t>
      </w:r>
      <w:r w:rsidRPr="004D62A1">
        <w:rPr>
          <w:lang w:eastAsia="en-CA"/>
        </w:rPr>
        <w:t>.</w:t>
      </w:r>
    </w:p>
  </w:endnote>
  <w:endnote w:id="7">
    <w:p w14:paraId="54A1AB19" w14:textId="128D9B80" w:rsidR="008234B5" w:rsidRPr="004D62A1" w:rsidRDefault="008234B5" w:rsidP="004F27C5">
      <w:pPr>
        <w:pStyle w:val="Footnote"/>
        <w:rPr>
          <w:rFonts w:eastAsiaTheme="minorHAnsi"/>
        </w:rPr>
      </w:pPr>
      <w:r w:rsidRPr="004D62A1">
        <w:rPr>
          <w:rStyle w:val="EndnoteReference"/>
        </w:rPr>
        <w:endnoteRef/>
      </w:r>
      <w:r w:rsidR="004F27C5" w:rsidRPr="004D62A1">
        <w:rPr>
          <w:lang w:val="en-GB" w:eastAsia="en-CA"/>
        </w:rPr>
        <w:t xml:space="preserve"> United States Department of Agriculture, </w:t>
      </w:r>
      <w:r w:rsidR="004F27C5" w:rsidRPr="004D62A1">
        <w:rPr>
          <w:i/>
          <w:lang w:val="en-GB" w:eastAsia="en-CA"/>
        </w:rPr>
        <w:t>Poultry—Production and Value: 2014 Summary</w:t>
      </w:r>
      <w:r w:rsidR="004F27C5" w:rsidRPr="004D62A1">
        <w:rPr>
          <w:lang w:val="en-GB" w:eastAsia="en-CA"/>
        </w:rPr>
        <w:t>, April 2015, accessed April 2, 2017, http://usda.mannlib.cornell.edu/usda/nass/PoulProdVa//2010s/2015/PoulProdVa-04-30-2015.pdf.</w:t>
      </w:r>
    </w:p>
  </w:endnote>
  <w:endnote w:id="8">
    <w:p w14:paraId="592DBCCA" w14:textId="2099C9A6" w:rsidR="008234B5" w:rsidRPr="004D62A1" w:rsidRDefault="008234B5" w:rsidP="00350F2E">
      <w:pPr>
        <w:pStyle w:val="Footnote"/>
      </w:pPr>
      <w:r w:rsidRPr="004D62A1">
        <w:rPr>
          <w:rStyle w:val="EndnoteReference"/>
        </w:rPr>
        <w:endnoteRef/>
      </w:r>
      <w:r w:rsidRPr="004D62A1">
        <w:rPr>
          <w:bCs/>
        </w:rPr>
        <w:t xml:space="preserve"> “Canada's Poultry and Egg Industry Profile,” Agriculture and Agri-Food Canada, accessed November 15, 2016,</w:t>
      </w:r>
      <w:r w:rsidRPr="004D62A1">
        <w:t xml:space="preserve"> www.agr.gc.ca/eng/industry-markets-and-trade/statistics-and-market-information/by-product-sector/poultry-and-eggs/poultry-and-egg-market-information/industry-profile/.</w:t>
      </w:r>
    </w:p>
  </w:endnote>
  <w:endnote w:id="9">
    <w:p w14:paraId="4AB08200" w14:textId="33BF948E" w:rsidR="008234B5" w:rsidRPr="004D62A1" w:rsidRDefault="008234B5" w:rsidP="00350F2E">
      <w:pPr>
        <w:pStyle w:val="Footnote"/>
        <w:rPr>
          <w:lang w:eastAsia="en-CA"/>
        </w:rPr>
      </w:pPr>
      <w:r w:rsidRPr="004D62A1">
        <w:rPr>
          <w:rStyle w:val="EndnoteReference"/>
        </w:rPr>
        <w:endnoteRef/>
      </w:r>
      <w:r w:rsidRPr="004D62A1">
        <w:t xml:space="preserve"> “</w:t>
      </w:r>
      <w:r w:rsidRPr="004D62A1">
        <w:rPr>
          <w:lang w:eastAsia="en-CA"/>
        </w:rPr>
        <w:t>Broiler Chicken Industry Key Facts,” The National Chicken Council, accessed November 9, 2015, www.nationalchickencouncil.org/about-the-industry/statistics/broiler-chicken-industry-key-facts/.</w:t>
      </w:r>
    </w:p>
  </w:endnote>
  <w:endnote w:id="10">
    <w:p w14:paraId="70781410" w14:textId="0551D5B0" w:rsidR="008234B5" w:rsidRPr="004D62A1" w:rsidRDefault="008234B5" w:rsidP="00350F2E">
      <w:pPr>
        <w:pStyle w:val="Footnote"/>
        <w:rPr>
          <w:lang w:eastAsia="en-CA"/>
        </w:rPr>
      </w:pPr>
      <w:r w:rsidRPr="004D62A1">
        <w:rPr>
          <w:rStyle w:val="EndnoteReference"/>
        </w:rPr>
        <w:endnoteRef/>
      </w:r>
      <w:r w:rsidRPr="004D62A1">
        <w:t xml:space="preserve"> “</w:t>
      </w:r>
      <w:r w:rsidRPr="004D62A1">
        <w:rPr>
          <w:lang w:eastAsia="en-CA"/>
        </w:rPr>
        <w:t xml:space="preserve">Poultry Industry Provides 1,337,030 Jobs and $265.6 Billion in Economic Impact to U.S. Economy,” The Poultry Federation, October 3, 2012, accessed November 7, 2015, www.thepoultryfederation.com/news/poultry-industry-provides-1337030-jobs-and-265-6-billion-in-economic-impact-to-u-s-economy. </w:t>
      </w:r>
    </w:p>
  </w:endnote>
  <w:endnote w:id="11">
    <w:p w14:paraId="15FE196F" w14:textId="56DD04DD" w:rsidR="008234B5" w:rsidRPr="004D62A1" w:rsidRDefault="008234B5" w:rsidP="00350F2E">
      <w:pPr>
        <w:pStyle w:val="Footnote"/>
      </w:pPr>
      <w:r w:rsidRPr="004D62A1">
        <w:rPr>
          <w:rStyle w:val="EndnoteReference"/>
        </w:rPr>
        <w:endnoteRef/>
      </w:r>
      <w:r w:rsidRPr="004D62A1">
        <w:t xml:space="preserve"> “</w:t>
      </w:r>
      <w:r w:rsidRPr="004D62A1">
        <w:rPr>
          <w:lang w:eastAsia="en-CA"/>
        </w:rPr>
        <w:t xml:space="preserve">Livestock Production,” </w:t>
      </w:r>
      <w:r w:rsidR="004F27C5" w:rsidRPr="004D62A1">
        <w:rPr>
          <w:lang w:eastAsia="en-CA"/>
        </w:rPr>
        <w:t>op. cit</w:t>
      </w:r>
      <w:r w:rsidRPr="004D62A1">
        <w:t>.</w:t>
      </w:r>
    </w:p>
  </w:endnote>
  <w:endnote w:id="12">
    <w:p w14:paraId="50226747" w14:textId="63FBD24D" w:rsidR="008234B5" w:rsidRPr="004D62A1" w:rsidRDefault="008234B5" w:rsidP="00350F2E">
      <w:pPr>
        <w:pStyle w:val="Footnote"/>
        <w:rPr>
          <w:lang w:val="en-CA" w:eastAsia="en-CA"/>
        </w:rPr>
      </w:pPr>
      <w:r w:rsidRPr="004D62A1">
        <w:rPr>
          <w:rStyle w:val="EndnoteReference"/>
        </w:rPr>
        <w:endnoteRef/>
      </w:r>
      <w:r w:rsidRPr="004D62A1">
        <w:t xml:space="preserve"> Mike </w:t>
      </w:r>
      <w:r w:rsidRPr="004D62A1">
        <w:rPr>
          <w:lang w:eastAsia="en-CA"/>
        </w:rPr>
        <w:t xml:space="preserve">Valente and Andrew Crane, “Public Responsibility and Private Enterprise in Developing Countries,” </w:t>
      </w:r>
      <w:r w:rsidRPr="004D62A1">
        <w:rPr>
          <w:i/>
          <w:iCs/>
          <w:lang w:eastAsia="en-CA"/>
        </w:rPr>
        <w:t xml:space="preserve">California Management Review </w:t>
      </w:r>
      <w:r w:rsidRPr="004D62A1">
        <w:rPr>
          <w:iCs/>
          <w:lang w:eastAsia="en-CA"/>
        </w:rPr>
        <w:t>52, no. 3 (spring 2010):</w:t>
      </w:r>
      <w:r w:rsidRPr="004D62A1">
        <w:rPr>
          <w:lang w:eastAsia="en-CA"/>
        </w:rPr>
        <w:t xml:space="preserve"> 52–78. </w:t>
      </w:r>
    </w:p>
  </w:endnote>
  <w:endnote w:id="13">
    <w:p w14:paraId="52E0F239" w14:textId="1CA2B769" w:rsidR="008234B5" w:rsidRPr="004D62A1" w:rsidRDefault="008234B5" w:rsidP="00350F2E">
      <w:pPr>
        <w:pStyle w:val="Footnote"/>
        <w:rPr>
          <w:lang w:eastAsia="en-CA"/>
        </w:rPr>
      </w:pPr>
      <w:r w:rsidRPr="004D62A1">
        <w:rPr>
          <w:rStyle w:val="EndnoteReference"/>
        </w:rPr>
        <w:endnoteRef/>
      </w:r>
      <w:r w:rsidRPr="004D62A1">
        <w:t xml:space="preserve"> “From </w:t>
      </w:r>
      <w:r w:rsidRPr="004D62A1">
        <w:rPr>
          <w:lang w:eastAsia="en-CA"/>
        </w:rPr>
        <w:t xml:space="preserve">Farm to Table,” Chicken Farmers of Canada, accessed October 19, 2015, </w:t>
      </w:r>
      <w:hyperlink r:id="rId1" w:history="1">
        <w:r w:rsidRPr="004D62A1">
          <w:rPr>
            <w:rStyle w:val="Hyperlink"/>
            <w:color w:val="auto"/>
            <w:u w:val="none"/>
            <w:lang w:eastAsia="en-CA"/>
          </w:rPr>
          <w:t>www.chicken.ca/on-the-farm/view/20/ -farm-to-table</w:t>
        </w:r>
      </w:hyperlink>
      <w:r w:rsidRPr="004D62A1">
        <w:t xml:space="preserve">. </w:t>
      </w:r>
    </w:p>
  </w:endnote>
  <w:endnote w:id="14">
    <w:p w14:paraId="1AB94FF9" w14:textId="58D500B4" w:rsidR="008234B5" w:rsidRPr="004D62A1" w:rsidRDefault="008234B5" w:rsidP="00350F2E">
      <w:pPr>
        <w:pStyle w:val="Footnote"/>
        <w:rPr>
          <w:lang w:eastAsia="en-CA"/>
        </w:rPr>
      </w:pPr>
      <w:r w:rsidRPr="004D62A1">
        <w:rPr>
          <w:rStyle w:val="EndnoteReference"/>
        </w:rPr>
        <w:endnoteRef/>
      </w:r>
      <w:r w:rsidRPr="004D62A1">
        <w:t xml:space="preserve"> “</w:t>
      </w:r>
      <w:r w:rsidRPr="004D62A1">
        <w:rPr>
          <w:lang w:eastAsia="en-CA"/>
        </w:rPr>
        <w:t>U.S. Broiler Performance,” National Chicken Council, 2015, accessed October 17, 2015, www.nationalchickencouncil.org/about-the-industry/statistics/u-s-broiler-performance/</w:t>
      </w:r>
      <w:r w:rsidRPr="004D62A1">
        <w:t>.</w:t>
      </w:r>
      <w:r w:rsidRPr="004D62A1">
        <w:rPr>
          <w:lang w:eastAsia="en-CA"/>
        </w:rPr>
        <w:t xml:space="preserve"> </w:t>
      </w:r>
    </w:p>
  </w:endnote>
  <w:endnote w:id="15">
    <w:p w14:paraId="523DC013" w14:textId="5D9342F5" w:rsidR="008234B5" w:rsidRPr="004D62A1" w:rsidRDefault="008234B5" w:rsidP="00350F2E">
      <w:pPr>
        <w:pStyle w:val="Footnote"/>
        <w:rPr>
          <w:lang w:eastAsia="en-CA"/>
        </w:rPr>
      </w:pPr>
      <w:r w:rsidRPr="004D62A1">
        <w:rPr>
          <w:rStyle w:val="EndnoteReference"/>
        </w:rPr>
        <w:endnoteRef/>
      </w:r>
      <w:r w:rsidRPr="004D62A1">
        <w:t xml:space="preserve"> “‘</w:t>
      </w:r>
      <w:r w:rsidRPr="004D62A1">
        <w:rPr>
          <w:lang w:eastAsia="en-CA"/>
        </w:rPr>
        <w:t>Competitive Markets Promote Innovation.’ What Are the Arguments For and Against This Statement?” Economics Helps, accessed November 10, 2015, www.economicshelp.org/university/competitive-markets/</w:t>
      </w:r>
      <w:r w:rsidRPr="004D62A1">
        <w:t>.</w:t>
      </w:r>
      <w:r w:rsidRPr="004D62A1">
        <w:rPr>
          <w:lang w:eastAsia="en-CA"/>
        </w:rPr>
        <w:t xml:space="preserve"> </w:t>
      </w:r>
    </w:p>
  </w:endnote>
  <w:endnote w:id="16">
    <w:p w14:paraId="25FE70B8" w14:textId="46D9B4A7" w:rsidR="008234B5" w:rsidRPr="004D62A1" w:rsidRDefault="008234B5" w:rsidP="00350F2E">
      <w:pPr>
        <w:pStyle w:val="Footnote"/>
        <w:rPr>
          <w:lang w:eastAsia="en-CA"/>
        </w:rPr>
      </w:pPr>
      <w:r w:rsidRPr="004D62A1">
        <w:rPr>
          <w:rStyle w:val="EndnoteReference"/>
        </w:rPr>
        <w:endnoteRef/>
      </w:r>
      <w:r w:rsidRPr="004D62A1">
        <w:t xml:space="preserve"> C. Lee </w:t>
      </w:r>
      <w:r w:rsidRPr="004D62A1">
        <w:rPr>
          <w:lang w:eastAsia="en-CA"/>
        </w:rPr>
        <w:t xml:space="preserve">Ventola, “The Antibiotic Resistance Crisis: Part 1: Causes and Threats,” </w:t>
      </w:r>
      <w:r w:rsidRPr="004D62A1">
        <w:rPr>
          <w:i/>
          <w:lang w:eastAsia="en-CA"/>
        </w:rPr>
        <w:t>Pharmacy and Therapeutics</w:t>
      </w:r>
      <w:r w:rsidRPr="004D62A1">
        <w:rPr>
          <w:lang w:eastAsia="en-CA"/>
        </w:rPr>
        <w:t xml:space="preserve"> 40, no. 4 (April 2015): 277–283</w:t>
      </w:r>
      <w:r w:rsidRPr="004D62A1">
        <w:t>.</w:t>
      </w:r>
      <w:r w:rsidRPr="004D62A1">
        <w:rPr>
          <w:lang w:eastAsia="en-CA"/>
        </w:rPr>
        <w:t xml:space="preserve"> </w:t>
      </w:r>
    </w:p>
  </w:endnote>
  <w:endnote w:id="17">
    <w:p w14:paraId="2D371830" w14:textId="757C9973" w:rsidR="008234B5" w:rsidRPr="004D62A1" w:rsidRDefault="008234B5" w:rsidP="00350F2E">
      <w:pPr>
        <w:pStyle w:val="Footnote"/>
        <w:rPr>
          <w:lang w:eastAsia="en-CA"/>
        </w:rPr>
      </w:pPr>
      <w:r w:rsidRPr="004D62A1">
        <w:rPr>
          <w:rStyle w:val="EndnoteReference"/>
        </w:rPr>
        <w:endnoteRef/>
      </w:r>
      <w:r w:rsidRPr="004D62A1">
        <w:t xml:space="preserve"> “</w:t>
      </w:r>
      <w:r w:rsidRPr="004D62A1">
        <w:rPr>
          <w:lang w:eastAsia="en-CA"/>
        </w:rPr>
        <w:t>Do Bugs Need Drugs?: A Community Program for Wise Use of Antibiotics,” Do Bugs Need Drugs</w:t>
      </w:r>
      <w:proofErr w:type="gramStart"/>
      <w:r w:rsidRPr="004D62A1">
        <w:rPr>
          <w:lang w:eastAsia="en-CA"/>
        </w:rPr>
        <w:t>?,</w:t>
      </w:r>
      <w:proofErr w:type="gramEnd"/>
      <w:r w:rsidRPr="004D62A1">
        <w:rPr>
          <w:lang w:eastAsia="en-CA"/>
        </w:rPr>
        <w:t xml:space="preserve"> accessed November</w:t>
      </w:r>
      <w:r w:rsidR="006000BE">
        <w:rPr>
          <w:lang w:eastAsia="en-CA"/>
        </w:rPr>
        <w:t> </w:t>
      </w:r>
      <w:r w:rsidRPr="004D62A1">
        <w:rPr>
          <w:lang w:eastAsia="en-CA"/>
        </w:rPr>
        <w:t>10, 2015, www.dobugsneeddrugs.org/</w:t>
      </w:r>
      <w:r w:rsidRPr="004D62A1">
        <w:t xml:space="preserve">. </w:t>
      </w:r>
    </w:p>
  </w:endnote>
  <w:endnote w:id="18">
    <w:p w14:paraId="35A7BF02" w14:textId="0130A5F3" w:rsidR="008234B5" w:rsidRPr="004D62A1" w:rsidRDefault="008234B5" w:rsidP="00350F2E">
      <w:pPr>
        <w:pStyle w:val="Footnote"/>
        <w:rPr>
          <w:lang w:eastAsia="en-CA"/>
        </w:rPr>
      </w:pPr>
      <w:r w:rsidRPr="004D62A1">
        <w:rPr>
          <w:rStyle w:val="EndnoteReference"/>
        </w:rPr>
        <w:endnoteRef/>
      </w:r>
      <w:r w:rsidRPr="004D62A1">
        <w:t xml:space="preserve"> </w:t>
      </w:r>
      <w:r w:rsidRPr="004D62A1">
        <w:rPr>
          <w:lang w:eastAsia="en-CA"/>
        </w:rPr>
        <w:t xml:space="preserve">“Frequently Asked Questions: Our Chicken Guarantee,” A&amp;W, accessed November 17, 2015, </w:t>
      </w:r>
      <w:hyperlink r:id="rId2" w:history="1">
        <w:r w:rsidRPr="004D62A1">
          <w:rPr>
            <w:rStyle w:val="Hyperlink"/>
            <w:color w:val="auto"/>
            <w:u w:val="none"/>
            <w:lang w:eastAsia="en-CA"/>
          </w:rPr>
          <w:t>http://awguarantee.ca/en/faq/chicken/</w:t>
        </w:r>
      </w:hyperlink>
      <w:r w:rsidRPr="004D62A1">
        <w:t>.</w:t>
      </w:r>
      <w:r w:rsidRPr="004D62A1">
        <w:rPr>
          <w:lang w:eastAsia="en-CA"/>
        </w:rPr>
        <w:t xml:space="preserve"> </w:t>
      </w:r>
    </w:p>
  </w:endnote>
  <w:endnote w:id="19">
    <w:p w14:paraId="7F5773D5" w14:textId="4817D8EC" w:rsidR="008234B5" w:rsidRPr="00350F2E" w:rsidRDefault="008234B5" w:rsidP="00350F2E">
      <w:pPr>
        <w:pStyle w:val="Footnote"/>
        <w:rPr>
          <w:lang w:eastAsia="en-CA"/>
        </w:rPr>
      </w:pPr>
      <w:r w:rsidRPr="004D62A1">
        <w:rPr>
          <w:rStyle w:val="EndnoteReference"/>
        </w:rPr>
        <w:endnoteRef/>
      </w:r>
      <w:r w:rsidRPr="004D62A1">
        <w:t xml:space="preserve"> </w:t>
      </w:r>
      <w:r w:rsidRPr="004D62A1">
        <w:rPr>
          <w:lang w:eastAsia="en-CA"/>
        </w:rPr>
        <w:t xml:space="preserve">The Livestock Conservancy home page, accessed October 17, 2015, </w:t>
      </w:r>
      <w:r w:rsidRPr="004D62A1">
        <w:t>www.livestockconservancy.org/.</w:t>
      </w:r>
      <w:r w:rsidRPr="00350F2E">
        <w:rPr>
          <w:lang w:eastAsia="en-CA"/>
        </w:rPr>
        <w:t xml:space="preserve"> </w:t>
      </w:r>
    </w:p>
  </w:endnote>
  <w:endnote w:id="20">
    <w:p w14:paraId="5903B6DA" w14:textId="0FAD78D9" w:rsidR="008234B5" w:rsidRPr="00350F2E" w:rsidRDefault="008234B5" w:rsidP="00350F2E">
      <w:pPr>
        <w:pStyle w:val="Footnote"/>
        <w:rPr>
          <w:rFonts w:eastAsiaTheme="minorHAnsi"/>
        </w:rPr>
      </w:pPr>
      <w:r w:rsidRPr="00350F2E">
        <w:rPr>
          <w:rStyle w:val="EndnoteReference"/>
        </w:rPr>
        <w:endnoteRef/>
      </w:r>
      <w:r w:rsidRPr="00350F2E">
        <w:t xml:space="preserve"> </w:t>
      </w:r>
      <w:r>
        <w:t xml:space="preserve">William M. </w:t>
      </w:r>
      <w:r w:rsidRPr="00350F2E">
        <w:t>Muir et al.</w:t>
      </w:r>
      <w:r>
        <w:t>,</w:t>
      </w:r>
      <w:r w:rsidRPr="00350F2E">
        <w:t xml:space="preserve"> </w:t>
      </w:r>
      <w:r>
        <w:t>“</w:t>
      </w:r>
      <w:r w:rsidRPr="00350F2E">
        <w:rPr>
          <w:bCs/>
        </w:rPr>
        <w:t>Genome-</w:t>
      </w:r>
      <w:r>
        <w:rPr>
          <w:bCs/>
        </w:rPr>
        <w:t>W</w:t>
      </w:r>
      <w:r w:rsidRPr="00350F2E">
        <w:rPr>
          <w:bCs/>
        </w:rPr>
        <w:t xml:space="preserve">ide </w:t>
      </w:r>
      <w:r>
        <w:rPr>
          <w:bCs/>
        </w:rPr>
        <w:t>A</w:t>
      </w:r>
      <w:r w:rsidRPr="00350F2E">
        <w:rPr>
          <w:bCs/>
        </w:rPr>
        <w:t xml:space="preserve">ssessment of </w:t>
      </w:r>
      <w:r>
        <w:rPr>
          <w:bCs/>
        </w:rPr>
        <w:t>W</w:t>
      </w:r>
      <w:r w:rsidRPr="00350F2E">
        <w:rPr>
          <w:bCs/>
        </w:rPr>
        <w:t xml:space="preserve">orldwide </w:t>
      </w:r>
      <w:r>
        <w:rPr>
          <w:bCs/>
        </w:rPr>
        <w:t>C</w:t>
      </w:r>
      <w:r w:rsidRPr="00350F2E">
        <w:rPr>
          <w:bCs/>
        </w:rPr>
        <w:t xml:space="preserve">hicken SNP </w:t>
      </w:r>
      <w:r>
        <w:rPr>
          <w:bCs/>
        </w:rPr>
        <w:t>G</w:t>
      </w:r>
      <w:r w:rsidRPr="00350F2E">
        <w:rPr>
          <w:bCs/>
        </w:rPr>
        <w:t xml:space="preserve">enetic </w:t>
      </w:r>
      <w:r>
        <w:rPr>
          <w:bCs/>
        </w:rPr>
        <w:t>D</w:t>
      </w:r>
      <w:r w:rsidRPr="00350F2E">
        <w:rPr>
          <w:bCs/>
        </w:rPr>
        <w:t xml:space="preserve">iversity </w:t>
      </w:r>
      <w:r>
        <w:rPr>
          <w:bCs/>
        </w:rPr>
        <w:t>I</w:t>
      </w:r>
      <w:r w:rsidRPr="00350F2E">
        <w:rPr>
          <w:bCs/>
        </w:rPr>
        <w:t xml:space="preserve">ndicates </w:t>
      </w:r>
      <w:r>
        <w:rPr>
          <w:bCs/>
        </w:rPr>
        <w:t>S</w:t>
      </w:r>
      <w:r w:rsidRPr="00350F2E">
        <w:rPr>
          <w:bCs/>
        </w:rPr>
        <w:t xml:space="preserve">ignificant </w:t>
      </w:r>
      <w:r>
        <w:rPr>
          <w:bCs/>
        </w:rPr>
        <w:t>A</w:t>
      </w:r>
      <w:r w:rsidRPr="00350F2E">
        <w:rPr>
          <w:bCs/>
        </w:rPr>
        <w:t xml:space="preserve">bsence of </w:t>
      </w:r>
      <w:r>
        <w:rPr>
          <w:bCs/>
        </w:rPr>
        <w:t>R</w:t>
      </w:r>
      <w:r w:rsidRPr="00350F2E">
        <w:rPr>
          <w:bCs/>
        </w:rPr>
        <w:t>are</w:t>
      </w:r>
      <w:r w:rsidRPr="00350F2E">
        <w:rPr>
          <w:b/>
          <w:bCs/>
        </w:rPr>
        <w:t xml:space="preserve"> </w:t>
      </w:r>
      <w:r>
        <w:rPr>
          <w:bCs/>
        </w:rPr>
        <w:t>A</w:t>
      </w:r>
      <w:r w:rsidRPr="00350F2E">
        <w:rPr>
          <w:bCs/>
        </w:rPr>
        <w:t xml:space="preserve">lleles in </w:t>
      </w:r>
      <w:r>
        <w:rPr>
          <w:bCs/>
        </w:rPr>
        <w:t>C</w:t>
      </w:r>
      <w:r w:rsidRPr="00350F2E">
        <w:rPr>
          <w:bCs/>
        </w:rPr>
        <w:t xml:space="preserve">ommercial </w:t>
      </w:r>
      <w:r>
        <w:rPr>
          <w:bCs/>
        </w:rPr>
        <w:t>B</w:t>
      </w:r>
      <w:r w:rsidRPr="00350F2E">
        <w:rPr>
          <w:bCs/>
        </w:rPr>
        <w:t>reeds</w:t>
      </w:r>
      <w:r>
        <w:rPr>
          <w:bCs/>
        </w:rPr>
        <w:t xml:space="preserve">,” </w:t>
      </w:r>
      <w:r w:rsidRPr="001530CC">
        <w:rPr>
          <w:bCs/>
          <w:i/>
        </w:rPr>
        <w:t>PNAS</w:t>
      </w:r>
      <w:r w:rsidRPr="00350F2E">
        <w:rPr>
          <w:bCs/>
        </w:rPr>
        <w:t xml:space="preserve"> </w:t>
      </w:r>
      <w:r w:rsidRPr="00350F2E">
        <w:t xml:space="preserve">105, </w:t>
      </w:r>
      <w:r>
        <w:t>n</w:t>
      </w:r>
      <w:r w:rsidRPr="00350F2E">
        <w:t>o. 45</w:t>
      </w:r>
      <w:r>
        <w:t xml:space="preserve"> (2008):</w:t>
      </w:r>
      <w:r w:rsidRPr="00350F2E">
        <w:t xml:space="preserve"> </w:t>
      </w:r>
      <w:r w:rsidRPr="00350F2E">
        <w:rPr>
          <w:bCs/>
        </w:rPr>
        <w:t>17312–17317.</w:t>
      </w:r>
    </w:p>
  </w:endnote>
  <w:endnote w:id="21">
    <w:p w14:paraId="7E8AA86D" w14:textId="68F73BDD" w:rsidR="008234B5" w:rsidRPr="00350F2E" w:rsidRDefault="008234B5" w:rsidP="00350F2E">
      <w:pPr>
        <w:pStyle w:val="Footnote"/>
      </w:pPr>
      <w:r w:rsidRPr="00350F2E">
        <w:rPr>
          <w:rStyle w:val="EndnoteReference"/>
        </w:rPr>
        <w:endnoteRef/>
      </w:r>
      <w:r w:rsidRPr="00350F2E">
        <w:t xml:space="preserve"> </w:t>
      </w:r>
      <w:r w:rsidRPr="00350F2E">
        <w:rPr>
          <w:bCs/>
          <w:iCs/>
        </w:rPr>
        <w:t>Robert Pym</w:t>
      </w:r>
      <w:r w:rsidRPr="00350F2E">
        <w:rPr>
          <w:bCs/>
        </w:rPr>
        <w:t xml:space="preserve">, </w:t>
      </w:r>
      <w:r w:rsidR="00152AE8">
        <w:rPr>
          <w:bCs/>
        </w:rPr>
        <w:t>“</w:t>
      </w:r>
      <w:r w:rsidRPr="00152AE8">
        <w:rPr>
          <w:bCs/>
        </w:rPr>
        <w:t>Poultry Genetics and Breeding in Developing Countries: Genetic Diversity and Conservation of Genetic Resources</w:t>
      </w:r>
      <w:r>
        <w:rPr>
          <w:bCs/>
        </w:rPr>
        <w:t>,</w:t>
      </w:r>
      <w:r w:rsidR="00152AE8">
        <w:rPr>
          <w:bCs/>
        </w:rPr>
        <w:t xml:space="preserve">” </w:t>
      </w:r>
      <w:r w:rsidRPr="00152AE8">
        <w:rPr>
          <w:bCs/>
          <w:i/>
        </w:rPr>
        <w:t>Poultry Development Review</w:t>
      </w:r>
      <w:r>
        <w:rPr>
          <w:bCs/>
        </w:rPr>
        <w:t xml:space="preserve">, </w:t>
      </w:r>
      <w:r w:rsidR="00152AE8">
        <w:rPr>
          <w:bCs/>
        </w:rPr>
        <w:t xml:space="preserve">(Rome: </w:t>
      </w:r>
      <w:r w:rsidRPr="00350F2E">
        <w:rPr>
          <w:bCs/>
        </w:rPr>
        <w:t>F</w:t>
      </w:r>
      <w:r>
        <w:rPr>
          <w:bCs/>
        </w:rPr>
        <w:t xml:space="preserve">ood and </w:t>
      </w:r>
      <w:r w:rsidRPr="00350F2E">
        <w:rPr>
          <w:bCs/>
        </w:rPr>
        <w:t>A</w:t>
      </w:r>
      <w:r>
        <w:rPr>
          <w:bCs/>
        </w:rPr>
        <w:t xml:space="preserve">griculture </w:t>
      </w:r>
      <w:r w:rsidRPr="00350F2E">
        <w:rPr>
          <w:bCs/>
        </w:rPr>
        <w:t>O</w:t>
      </w:r>
      <w:r>
        <w:rPr>
          <w:bCs/>
        </w:rPr>
        <w:t>rganization of the United Nations,</w:t>
      </w:r>
      <w:r w:rsidR="00152AE8">
        <w:rPr>
          <w:bCs/>
        </w:rPr>
        <w:t xml:space="preserve"> 2013)</w:t>
      </w:r>
      <w:r w:rsidRPr="00350F2E">
        <w:rPr>
          <w:bCs/>
        </w:rPr>
        <w:t>.</w:t>
      </w:r>
    </w:p>
  </w:endnote>
  <w:endnote w:id="22">
    <w:p w14:paraId="286C58A2" w14:textId="4577E426" w:rsidR="008234B5" w:rsidRPr="00350F2E" w:rsidRDefault="008234B5" w:rsidP="00350F2E">
      <w:pPr>
        <w:pStyle w:val="Footnote"/>
      </w:pPr>
      <w:r w:rsidRPr="00350F2E">
        <w:rPr>
          <w:rStyle w:val="EndnoteReference"/>
        </w:rPr>
        <w:endnoteRef/>
      </w:r>
      <w:r w:rsidRPr="00350F2E">
        <w:t xml:space="preserve"> J.</w:t>
      </w:r>
      <w:r>
        <w:t xml:space="preserve"> </w:t>
      </w:r>
      <w:r w:rsidRPr="00350F2E">
        <w:t>M. Pisenti</w:t>
      </w:r>
      <w:r>
        <w:t xml:space="preserve"> et al.</w:t>
      </w:r>
      <w:r w:rsidRPr="00350F2E">
        <w:t xml:space="preserve">, </w:t>
      </w:r>
      <w:r w:rsidRPr="001530CC">
        <w:rPr>
          <w:i/>
        </w:rPr>
        <w:t>Avian Genetic Resources at Risk: An Assessment and Proposal for Conservation of Genetic Stocks in the USA and Canada</w:t>
      </w:r>
      <w:r>
        <w:t>,</w:t>
      </w:r>
      <w:r w:rsidRPr="00350F2E">
        <w:t xml:space="preserve"> Report No. 20, University of California Division of Agriculture and Natural Resources, Genetic Resources Conservation Program, Davis, CA</w:t>
      </w:r>
      <w:r>
        <w:t>, 1999</w:t>
      </w:r>
      <w:r w:rsidRPr="00350F2E">
        <w:t>.</w:t>
      </w:r>
    </w:p>
  </w:endnote>
  <w:endnote w:id="23">
    <w:p w14:paraId="5F90FC37" w14:textId="28F45238" w:rsidR="008234B5" w:rsidRPr="004F27C5" w:rsidRDefault="008234B5" w:rsidP="00350F2E">
      <w:pPr>
        <w:pStyle w:val="Footnote"/>
      </w:pPr>
      <w:r w:rsidRPr="00350F2E">
        <w:rPr>
          <w:rStyle w:val="EndnoteReference"/>
        </w:rPr>
        <w:endnoteRef/>
      </w:r>
      <w:r w:rsidRPr="00350F2E">
        <w:t xml:space="preserve"> N</w:t>
      </w:r>
      <w:r>
        <w:t>ardia</w:t>
      </w:r>
      <w:r w:rsidRPr="00350F2E">
        <w:t xml:space="preserve"> Haigh </w:t>
      </w:r>
      <w:r>
        <w:t>and</w:t>
      </w:r>
      <w:r w:rsidRPr="00350F2E">
        <w:t xml:space="preserve"> A</w:t>
      </w:r>
      <w:r>
        <w:t xml:space="preserve">ndrew </w:t>
      </w:r>
      <w:r w:rsidRPr="00350F2E">
        <w:t xml:space="preserve">J. Hoffman, </w:t>
      </w:r>
      <w:r>
        <w:t>“</w:t>
      </w:r>
      <w:r w:rsidRPr="00350F2E">
        <w:t xml:space="preserve">Hybrid Organizations: The </w:t>
      </w:r>
      <w:r>
        <w:t>N</w:t>
      </w:r>
      <w:r w:rsidRPr="00350F2E">
        <w:t xml:space="preserve">ext </w:t>
      </w:r>
      <w:r>
        <w:t xml:space="preserve">Chapter of Sustainable </w:t>
      </w:r>
      <w:r w:rsidRPr="004F27C5">
        <w:t xml:space="preserve">Business,” </w:t>
      </w:r>
      <w:r w:rsidRPr="004F27C5">
        <w:rPr>
          <w:rFonts w:eastAsiaTheme="minorHAnsi"/>
          <w:i/>
        </w:rPr>
        <w:t>Organizational Dynamics</w:t>
      </w:r>
      <w:r w:rsidRPr="004F27C5">
        <w:rPr>
          <w:rFonts w:eastAsiaTheme="minorHAnsi"/>
        </w:rPr>
        <w:t xml:space="preserve"> 41 (2012): 126–134</w:t>
      </w:r>
      <w:r w:rsidRPr="004F27C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C9974" w14:textId="77777777" w:rsidR="00DF74B3" w:rsidRDefault="00DF74B3" w:rsidP="00D75295">
      <w:r>
        <w:separator/>
      </w:r>
    </w:p>
  </w:footnote>
  <w:footnote w:type="continuationSeparator" w:id="0">
    <w:p w14:paraId="6D260407" w14:textId="77777777" w:rsidR="00DF74B3" w:rsidRDefault="00DF74B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126DA" w14:textId="07394F8F" w:rsidR="008234B5" w:rsidRDefault="008234B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828A3">
      <w:rPr>
        <w:rFonts w:ascii="Arial" w:hAnsi="Arial"/>
        <w:b/>
        <w:noProof/>
      </w:rPr>
      <w:t>2</w:t>
    </w:r>
    <w:r>
      <w:rPr>
        <w:rFonts w:ascii="Arial" w:hAnsi="Arial"/>
        <w:b/>
      </w:rPr>
      <w:fldChar w:fldCharType="end"/>
    </w:r>
    <w:r>
      <w:rPr>
        <w:rFonts w:ascii="Arial" w:hAnsi="Arial"/>
        <w:b/>
      </w:rPr>
      <w:tab/>
    </w:r>
    <w:r w:rsidR="002968FE">
      <w:rPr>
        <w:rFonts w:ascii="Arial" w:hAnsi="Arial"/>
        <w:b/>
      </w:rPr>
      <w:t>9B17M057</w:t>
    </w:r>
  </w:p>
  <w:p w14:paraId="79AC744D" w14:textId="77777777" w:rsidR="008234B5" w:rsidRPr="00C92CC4" w:rsidRDefault="008234B5">
    <w:pPr>
      <w:pStyle w:val="Header"/>
      <w:rPr>
        <w:sz w:val="18"/>
        <w:szCs w:val="18"/>
      </w:rPr>
    </w:pPr>
  </w:p>
  <w:p w14:paraId="67F69898" w14:textId="77777777" w:rsidR="008234B5" w:rsidRPr="00C92CC4" w:rsidRDefault="008234B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14CFF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6C0BB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068D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08EB2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AEE78D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6A6FE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67C243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F8289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83C555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4C5F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F66DA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5B842CFC"/>
    <w:multiLevelType w:val="hybridMultilevel"/>
    <w:tmpl w:val="93AEDE48"/>
    <w:lvl w:ilvl="0" w:tplc="F4B8C0A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6F6E310C"/>
    <w:multiLevelType w:val="multilevel"/>
    <w:tmpl w:val="AE522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3"/>
  </w:num>
  <w:num w:numId="17">
    <w:abstractNumId w:val="16"/>
  </w:num>
  <w:num w:numId="18">
    <w:abstractNumId w:val="24"/>
  </w:num>
  <w:num w:numId="19">
    <w:abstractNumId w:val="12"/>
  </w:num>
  <w:num w:numId="20">
    <w:abstractNumId w:val="11"/>
  </w:num>
  <w:num w:numId="21">
    <w:abstractNumId w:val="26"/>
  </w:num>
  <w:num w:numId="22">
    <w:abstractNumId w:val="18"/>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5"/>
  </w:num>
  <w:num w:numId="29">
    <w:abstractNumId w:val="2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BD0"/>
    <w:rsid w:val="00013360"/>
    <w:rsid w:val="00013D4E"/>
    <w:rsid w:val="000216CE"/>
    <w:rsid w:val="00025DC7"/>
    <w:rsid w:val="00026486"/>
    <w:rsid w:val="00044B2F"/>
    <w:rsid w:val="00044ECC"/>
    <w:rsid w:val="000519A5"/>
    <w:rsid w:val="000531D3"/>
    <w:rsid w:val="0005646B"/>
    <w:rsid w:val="00060F6A"/>
    <w:rsid w:val="00062353"/>
    <w:rsid w:val="0008102D"/>
    <w:rsid w:val="00087F9C"/>
    <w:rsid w:val="00094622"/>
    <w:rsid w:val="00094C0E"/>
    <w:rsid w:val="000A1B9F"/>
    <w:rsid w:val="000D1BAB"/>
    <w:rsid w:val="000F0C22"/>
    <w:rsid w:val="000F6B09"/>
    <w:rsid w:val="000F6FDC"/>
    <w:rsid w:val="001028BE"/>
    <w:rsid w:val="00104567"/>
    <w:rsid w:val="00114AF9"/>
    <w:rsid w:val="0012732D"/>
    <w:rsid w:val="0013002D"/>
    <w:rsid w:val="00141F58"/>
    <w:rsid w:val="00152AE8"/>
    <w:rsid w:val="001530CC"/>
    <w:rsid w:val="00154FC9"/>
    <w:rsid w:val="0016162A"/>
    <w:rsid w:val="001829F6"/>
    <w:rsid w:val="0019241A"/>
    <w:rsid w:val="001A5335"/>
    <w:rsid w:val="001A752D"/>
    <w:rsid w:val="001C7B79"/>
    <w:rsid w:val="00203AA1"/>
    <w:rsid w:val="00206E49"/>
    <w:rsid w:val="0021147C"/>
    <w:rsid w:val="00213E98"/>
    <w:rsid w:val="002503E7"/>
    <w:rsid w:val="00277A42"/>
    <w:rsid w:val="002968FE"/>
    <w:rsid w:val="002E32F0"/>
    <w:rsid w:val="002E5310"/>
    <w:rsid w:val="002F460C"/>
    <w:rsid w:val="002F48D6"/>
    <w:rsid w:val="003350F7"/>
    <w:rsid w:val="00350F2E"/>
    <w:rsid w:val="00354899"/>
    <w:rsid w:val="00355FD6"/>
    <w:rsid w:val="00360BD6"/>
    <w:rsid w:val="00361C8E"/>
    <w:rsid w:val="00364A5C"/>
    <w:rsid w:val="00373FB1"/>
    <w:rsid w:val="00385E79"/>
    <w:rsid w:val="00394280"/>
    <w:rsid w:val="003B30D8"/>
    <w:rsid w:val="003B3D71"/>
    <w:rsid w:val="003B7EF2"/>
    <w:rsid w:val="003C3FA4"/>
    <w:rsid w:val="003F2B0C"/>
    <w:rsid w:val="003F2D85"/>
    <w:rsid w:val="003F7BA2"/>
    <w:rsid w:val="004108E9"/>
    <w:rsid w:val="004221E4"/>
    <w:rsid w:val="0045632C"/>
    <w:rsid w:val="00464EF5"/>
    <w:rsid w:val="00471088"/>
    <w:rsid w:val="004734CE"/>
    <w:rsid w:val="00477A1C"/>
    <w:rsid w:val="00483AF9"/>
    <w:rsid w:val="0049593C"/>
    <w:rsid w:val="004A3ACD"/>
    <w:rsid w:val="004B05FE"/>
    <w:rsid w:val="004B1CCB"/>
    <w:rsid w:val="004D62A1"/>
    <w:rsid w:val="004D73A5"/>
    <w:rsid w:val="004F27C5"/>
    <w:rsid w:val="004F7CE6"/>
    <w:rsid w:val="00503383"/>
    <w:rsid w:val="00510FCE"/>
    <w:rsid w:val="00521D61"/>
    <w:rsid w:val="00532CF5"/>
    <w:rsid w:val="005528CB"/>
    <w:rsid w:val="005601D0"/>
    <w:rsid w:val="00566771"/>
    <w:rsid w:val="00573045"/>
    <w:rsid w:val="00581E2E"/>
    <w:rsid w:val="005828A3"/>
    <w:rsid w:val="00584F15"/>
    <w:rsid w:val="00586ADC"/>
    <w:rsid w:val="005B4776"/>
    <w:rsid w:val="005D3BF5"/>
    <w:rsid w:val="005E5A1A"/>
    <w:rsid w:val="006000BE"/>
    <w:rsid w:val="006103EF"/>
    <w:rsid w:val="006163F7"/>
    <w:rsid w:val="00634DBC"/>
    <w:rsid w:val="00651721"/>
    <w:rsid w:val="00652346"/>
    <w:rsid w:val="00652606"/>
    <w:rsid w:val="00663A46"/>
    <w:rsid w:val="00682754"/>
    <w:rsid w:val="006A58A9"/>
    <w:rsid w:val="006A606D"/>
    <w:rsid w:val="006B64CF"/>
    <w:rsid w:val="006B7F7A"/>
    <w:rsid w:val="006C0371"/>
    <w:rsid w:val="006C08B6"/>
    <w:rsid w:val="006C0B1A"/>
    <w:rsid w:val="006C4384"/>
    <w:rsid w:val="006C6065"/>
    <w:rsid w:val="006C7F9F"/>
    <w:rsid w:val="006D2C81"/>
    <w:rsid w:val="006D43E0"/>
    <w:rsid w:val="006E2F6D"/>
    <w:rsid w:val="006E58F6"/>
    <w:rsid w:val="006E77E1"/>
    <w:rsid w:val="006F131D"/>
    <w:rsid w:val="006F1D9E"/>
    <w:rsid w:val="0072063A"/>
    <w:rsid w:val="0074620E"/>
    <w:rsid w:val="007517CE"/>
    <w:rsid w:val="00752BCD"/>
    <w:rsid w:val="007637D1"/>
    <w:rsid w:val="00766DA1"/>
    <w:rsid w:val="007866A6"/>
    <w:rsid w:val="007922C0"/>
    <w:rsid w:val="007A130D"/>
    <w:rsid w:val="007A4655"/>
    <w:rsid w:val="007B7028"/>
    <w:rsid w:val="007C600D"/>
    <w:rsid w:val="007D4102"/>
    <w:rsid w:val="007E584A"/>
    <w:rsid w:val="007E5921"/>
    <w:rsid w:val="00821FFC"/>
    <w:rsid w:val="008234B5"/>
    <w:rsid w:val="008271CA"/>
    <w:rsid w:val="00831A36"/>
    <w:rsid w:val="008467D5"/>
    <w:rsid w:val="00856D9F"/>
    <w:rsid w:val="00866F6D"/>
    <w:rsid w:val="00871831"/>
    <w:rsid w:val="00874B86"/>
    <w:rsid w:val="00886F13"/>
    <w:rsid w:val="00891ED8"/>
    <w:rsid w:val="008A4DC4"/>
    <w:rsid w:val="008C6ECC"/>
    <w:rsid w:val="008F132D"/>
    <w:rsid w:val="008F2E9A"/>
    <w:rsid w:val="009054C8"/>
    <w:rsid w:val="009067A4"/>
    <w:rsid w:val="0090722E"/>
    <w:rsid w:val="00911825"/>
    <w:rsid w:val="009340DB"/>
    <w:rsid w:val="00942985"/>
    <w:rsid w:val="00945F9E"/>
    <w:rsid w:val="00972498"/>
    <w:rsid w:val="00974CC6"/>
    <w:rsid w:val="00976AD4"/>
    <w:rsid w:val="009A312F"/>
    <w:rsid w:val="009A348E"/>
    <w:rsid w:val="009A5348"/>
    <w:rsid w:val="009A67BB"/>
    <w:rsid w:val="009B56D8"/>
    <w:rsid w:val="009C5205"/>
    <w:rsid w:val="009C76D5"/>
    <w:rsid w:val="009D7CBE"/>
    <w:rsid w:val="009F7AA4"/>
    <w:rsid w:val="00A1343F"/>
    <w:rsid w:val="00A229CB"/>
    <w:rsid w:val="00A43815"/>
    <w:rsid w:val="00A559DB"/>
    <w:rsid w:val="00AA3C9D"/>
    <w:rsid w:val="00AB093E"/>
    <w:rsid w:val="00AB7485"/>
    <w:rsid w:val="00AC7F66"/>
    <w:rsid w:val="00AD04D1"/>
    <w:rsid w:val="00AE190A"/>
    <w:rsid w:val="00AF35FC"/>
    <w:rsid w:val="00AF448A"/>
    <w:rsid w:val="00AF4790"/>
    <w:rsid w:val="00B03639"/>
    <w:rsid w:val="00B0652A"/>
    <w:rsid w:val="00B1358D"/>
    <w:rsid w:val="00B3757D"/>
    <w:rsid w:val="00B40937"/>
    <w:rsid w:val="00B42299"/>
    <w:rsid w:val="00B423EF"/>
    <w:rsid w:val="00B433BB"/>
    <w:rsid w:val="00B453DE"/>
    <w:rsid w:val="00B4742F"/>
    <w:rsid w:val="00B57646"/>
    <w:rsid w:val="00B633A0"/>
    <w:rsid w:val="00B901F9"/>
    <w:rsid w:val="00B939A8"/>
    <w:rsid w:val="00BA6355"/>
    <w:rsid w:val="00BB2883"/>
    <w:rsid w:val="00BC1C5A"/>
    <w:rsid w:val="00BD0E1A"/>
    <w:rsid w:val="00BD6A03"/>
    <w:rsid w:val="00BD6EFB"/>
    <w:rsid w:val="00BE07E4"/>
    <w:rsid w:val="00C04F2D"/>
    <w:rsid w:val="00C15BE2"/>
    <w:rsid w:val="00C22219"/>
    <w:rsid w:val="00C33C31"/>
    <w:rsid w:val="00C3447F"/>
    <w:rsid w:val="00C700B1"/>
    <w:rsid w:val="00C75769"/>
    <w:rsid w:val="00C81491"/>
    <w:rsid w:val="00C81676"/>
    <w:rsid w:val="00C81CEF"/>
    <w:rsid w:val="00C92CC4"/>
    <w:rsid w:val="00CA0AFB"/>
    <w:rsid w:val="00CA2CE1"/>
    <w:rsid w:val="00CA3976"/>
    <w:rsid w:val="00CA757B"/>
    <w:rsid w:val="00CB6B09"/>
    <w:rsid w:val="00CC1787"/>
    <w:rsid w:val="00CC182C"/>
    <w:rsid w:val="00CC70C5"/>
    <w:rsid w:val="00CD0824"/>
    <w:rsid w:val="00CD2908"/>
    <w:rsid w:val="00D00639"/>
    <w:rsid w:val="00D03301"/>
    <w:rsid w:val="00D03A82"/>
    <w:rsid w:val="00D15344"/>
    <w:rsid w:val="00D31BEC"/>
    <w:rsid w:val="00D63150"/>
    <w:rsid w:val="00D64A32"/>
    <w:rsid w:val="00D64EFC"/>
    <w:rsid w:val="00D75295"/>
    <w:rsid w:val="00D76CE9"/>
    <w:rsid w:val="00D8090B"/>
    <w:rsid w:val="00D8336B"/>
    <w:rsid w:val="00D92FC3"/>
    <w:rsid w:val="00D97F12"/>
    <w:rsid w:val="00DB42E7"/>
    <w:rsid w:val="00DC15D4"/>
    <w:rsid w:val="00DC2D5F"/>
    <w:rsid w:val="00DF32C2"/>
    <w:rsid w:val="00DF6E07"/>
    <w:rsid w:val="00DF74B3"/>
    <w:rsid w:val="00E0519E"/>
    <w:rsid w:val="00E33412"/>
    <w:rsid w:val="00E46831"/>
    <w:rsid w:val="00E471A7"/>
    <w:rsid w:val="00E635CF"/>
    <w:rsid w:val="00E70927"/>
    <w:rsid w:val="00E865B2"/>
    <w:rsid w:val="00E97539"/>
    <w:rsid w:val="00EB0B9A"/>
    <w:rsid w:val="00EB5410"/>
    <w:rsid w:val="00EC6E0A"/>
    <w:rsid w:val="00ED4E18"/>
    <w:rsid w:val="00EE1F37"/>
    <w:rsid w:val="00EF17E6"/>
    <w:rsid w:val="00F0159C"/>
    <w:rsid w:val="00F07E99"/>
    <w:rsid w:val="00F105B7"/>
    <w:rsid w:val="00F17A21"/>
    <w:rsid w:val="00F20123"/>
    <w:rsid w:val="00F50E91"/>
    <w:rsid w:val="00F57D29"/>
    <w:rsid w:val="00F6500E"/>
    <w:rsid w:val="00F65611"/>
    <w:rsid w:val="00F92A99"/>
    <w:rsid w:val="00F96201"/>
    <w:rsid w:val="00FB1830"/>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B1581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f91">
    <w:name w:val="f91"/>
    <w:basedOn w:val="DefaultParagraphFont"/>
    <w:rsid w:val="009D7CBE"/>
  </w:style>
  <w:style w:type="character" w:customStyle="1" w:styleId="f70">
    <w:name w:val="f70"/>
    <w:basedOn w:val="DefaultParagraphFont"/>
    <w:rsid w:val="009D7CBE"/>
  </w:style>
  <w:style w:type="character" w:customStyle="1" w:styleId="f56">
    <w:name w:val="f56"/>
    <w:basedOn w:val="DefaultParagraphFont"/>
    <w:rsid w:val="009D7CBE"/>
  </w:style>
  <w:style w:type="paragraph" w:customStyle="1" w:styleId="Default">
    <w:name w:val="Default"/>
    <w:rsid w:val="009D7CBE"/>
    <w:pPr>
      <w:autoSpaceDE w:val="0"/>
      <w:autoSpaceDN w:val="0"/>
      <w:adjustRightInd w:val="0"/>
      <w:spacing w:after="0" w:line="240" w:lineRule="auto"/>
    </w:pPr>
    <w:rPr>
      <w:rFonts w:ascii="Arial" w:hAnsi="Arial" w:cs="Arial"/>
      <w:color w:val="000000"/>
      <w:sz w:val="24"/>
      <w:szCs w:val="24"/>
      <w:lang w:val="en-CA"/>
    </w:rPr>
  </w:style>
  <w:style w:type="table" w:customStyle="1" w:styleId="GridTable1Light1">
    <w:name w:val="Grid Table 1 Light1"/>
    <w:basedOn w:val="TableNormal"/>
    <w:uiPriority w:val="46"/>
    <w:rsid w:val="00044B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D00639"/>
    <w:rPr>
      <w:color w:val="800080" w:themeColor="followedHyperlink"/>
      <w:u w:val="single"/>
    </w:rPr>
  </w:style>
  <w:style w:type="paragraph" w:styleId="DocumentMap">
    <w:name w:val="Document Map"/>
    <w:basedOn w:val="Normal"/>
    <w:link w:val="DocumentMapChar"/>
    <w:uiPriority w:val="99"/>
    <w:semiHidden/>
    <w:unhideWhenUsed/>
    <w:rsid w:val="005D3BF5"/>
    <w:rPr>
      <w:sz w:val="24"/>
      <w:szCs w:val="24"/>
    </w:rPr>
  </w:style>
  <w:style w:type="character" w:customStyle="1" w:styleId="DocumentMapChar">
    <w:name w:val="Document Map Char"/>
    <w:basedOn w:val="DefaultParagraphFont"/>
    <w:link w:val="DocumentMap"/>
    <w:uiPriority w:val="99"/>
    <w:semiHidden/>
    <w:rsid w:val="005D3BF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289683">
      <w:bodyDiv w:val="1"/>
      <w:marLeft w:val="0"/>
      <w:marRight w:val="0"/>
      <w:marTop w:val="0"/>
      <w:marBottom w:val="0"/>
      <w:divBdr>
        <w:top w:val="none" w:sz="0" w:space="0" w:color="auto"/>
        <w:left w:val="none" w:sz="0" w:space="0" w:color="auto"/>
        <w:bottom w:val="none" w:sz="0" w:space="0" w:color="auto"/>
        <w:right w:val="none" w:sz="0" w:space="0" w:color="auto"/>
      </w:divBdr>
    </w:div>
    <w:div w:id="800806159">
      <w:bodyDiv w:val="1"/>
      <w:marLeft w:val="0"/>
      <w:marRight w:val="0"/>
      <w:marTop w:val="0"/>
      <w:marBottom w:val="0"/>
      <w:divBdr>
        <w:top w:val="none" w:sz="0" w:space="0" w:color="auto"/>
        <w:left w:val="none" w:sz="0" w:space="0" w:color="auto"/>
        <w:bottom w:val="none" w:sz="0" w:space="0" w:color="auto"/>
        <w:right w:val="none" w:sz="0" w:space="0" w:color="auto"/>
      </w:divBdr>
    </w:div>
    <w:div w:id="107069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s>
</file>

<file path=word/_rels/endnotes.xml.rels><?xml version="1.0" encoding="UTF-8" standalone="yes"?>
<Relationships xmlns="http://schemas.openxmlformats.org/package/2006/relationships"><Relationship Id="rId2" Type="http://schemas.openxmlformats.org/officeDocument/2006/relationships/hyperlink" Target="http://awguarantee.ca/en/faq/chicken/" TargetMode="External"/><Relationship Id="rId1" Type="http://schemas.openxmlformats.org/officeDocument/2006/relationships/hyperlink" Target="http://www.chicken.ca/on-the-farm/view/20/from-farm-to-table"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110667-0BD5-2E4C-99BF-5CFDC48A23EE}" type="doc">
      <dgm:prSet loTypeId="urn:microsoft.com/office/officeart/2005/8/layout/process1" loCatId="" qsTypeId="urn:microsoft.com/office/officeart/2005/8/quickstyle/simple1" qsCatId="simple" csTypeId="urn:microsoft.com/office/officeart/2005/8/colors/accent0_1" csCatId="mainScheme" phldr="1"/>
      <dgm:spPr/>
    </dgm:pt>
    <dgm:pt modelId="{3012CE0D-504C-5B47-881D-5039E4635B13}">
      <dgm:prSet phldrT="[Text]" custT="1"/>
      <dgm:spPr/>
      <dgm:t>
        <a:bodyPr/>
        <a:lstStyle/>
        <a:p>
          <a:r>
            <a:rPr lang="en-US" sz="900" b="1">
              <a:latin typeface="Arial" panose="020B0604020202020204" pitchFamily="34" charset="0"/>
              <a:cs typeface="Arial" panose="020B0604020202020204" pitchFamily="34" charset="0"/>
            </a:rPr>
            <a:t>Chick </a:t>
          </a:r>
          <a:r>
            <a:rPr lang="en-US" sz="900">
              <a:latin typeface="Arial" panose="020B0604020202020204" pitchFamily="34" charset="0"/>
              <a:cs typeface="Arial" panose="020B0604020202020204" pitchFamily="34" charset="0"/>
            </a:rPr>
            <a:t> </a:t>
          </a:r>
          <a:r>
            <a:rPr lang="en-US" sz="700">
              <a:latin typeface="Arial" panose="020B0604020202020204" pitchFamily="34" charset="0"/>
              <a:cs typeface="Arial" panose="020B0604020202020204" pitchFamily="34" charset="0"/>
            </a:rPr>
            <a:t>Grandparent and parent stock</a:t>
          </a:r>
        </a:p>
      </dgm:t>
    </dgm:pt>
    <dgm:pt modelId="{819894C4-31B9-B640-92D9-15CD6966989E}" type="parTrans" cxnId="{E70AE90E-9002-5441-9B84-965EB5B37170}">
      <dgm:prSet/>
      <dgm:spPr/>
      <dgm:t>
        <a:bodyPr/>
        <a:lstStyle/>
        <a:p>
          <a:endParaRPr lang="en-US" sz="1600">
            <a:latin typeface="Arial" panose="020B0604020202020204" pitchFamily="34" charset="0"/>
            <a:cs typeface="Arial" panose="020B0604020202020204" pitchFamily="34" charset="0"/>
          </a:endParaRPr>
        </a:p>
      </dgm:t>
    </dgm:pt>
    <dgm:pt modelId="{7CB28047-51BD-8349-8570-B03161046FF4}" type="sibTrans" cxnId="{E70AE90E-9002-5441-9B84-965EB5B37170}">
      <dgm:prSet custT="1"/>
      <dgm:spPr/>
      <dgm:t>
        <a:bodyPr/>
        <a:lstStyle/>
        <a:p>
          <a:endParaRPr lang="en-US" sz="700">
            <a:latin typeface="Arial" panose="020B0604020202020204" pitchFamily="34" charset="0"/>
            <a:cs typeface="Arial" panose="020B0604020202020204" pitchFamily="34" charset="0"/>
          </a:endParaRPr>
        </a:p>
      </dgm:t>
    </dgm:pt>
    <dgm:pt modelId="{E5B443A7-2CB4-4645-B64C-2F7FBB2858B2}">
      <dgm:prSet phldrT="[Text]" custT="1"/>
      <dgm:spPr/>
      <dgm:t>
        <a:bodyPr/>
        <a:lstStyle/>
        <a:p>
          <a:r>
            <a:rPr lang="en-US" sz="900" b="1">
              <a:latin typeface="Arial" panose="020B0604020202020204" pitchFamily="34" charset="0"/>
              <a:cs typeface="Arial" panose="020B0604020202020204" pitchFamily="34" charset="0"/>
            </a:rPr>
            <a:t>Pullet Farm</a:t>
          </a:r>
          <a:r>
            <a:rPr lang="en-US" sz="1000" b="1">
              <a:latin typeface="Arial" panose="020B0604020202020204" pitchFamily="34" charset="0"/>
              <a:cs typeface="Arial" panose="020B0604020202020204" pitchFamily="34" charset="0"/>
            </a:rPr>
            <a:t> </a:t>
          </a:r>
          <a:r>
            <a:rPr lang="en-US" sz="800">
              <a:latin typeface="Arial" panose="020B0604020202020204" pitchFamily="34" charset="0"/>
              <a:cs typeface="Arial" panose="020B0604020202020204" pitchFamily="34" charset="0"/>
            </a:rPr>
            <a:t> Pullets (parents) grown to 20 weeks</a:t>
          </a:r>
        </a:p>
      </dgm:t>
    </dgm:pt>
    <dgm:pt modelId="{1013D5B2-C751-4A49-82F9-BD8E475E53B9}" type="parTrans" cxnId="{45970736-202D-E649-B4C3-B43BB728F0D2}">
      <dgm:prSet/>
      <dgm:spPr/>
      <dgm:t>
        <a:bodyPr/>
        <a:lstStyle/>
        <a:p>
          <a:endParaRPr lang="en-US" sz="1600">
            <a:latin typeface="Arial" panose="020B0604020202020204" pitchFamily="34" charset="0"/>
            <a:cs typeface="Arial" panose="020B0604020202020204" pitchFamily="34" charset="0"/>
          </a:endParaRPr>
        </a:p>
      </dgm:t>
    </dgm:pt>
    <dgm:pt modelId="{9F988568-B999-F24E-9D51-A6279F7E9E23}" type="sibTrans" cxnId="{45970736-202D-E649-B4C3-B43BB728F0D2}">
      <dgm:prSet custT="1"/>
      <dgm:spPr/>
      <dgm:t>
        <a:bodyPr/>
        <a:lstStyle/>
        <a:p>
          <a:endParaRPr lang="en-US" sz="700">
            <a:latin typeface="Arial" panose="020B0604020202020204" pitchFamily="34" charset="0"/>
            <a:cs typeface="Arial" panose="020B0604020202020204" pitchFamily="34" charset="0"/>
          </a:endParaRPr>
        </a:p>
      </dgm:t>
    </dgm:pt>
    <dgm:pt modelId="{390A16F4-9E57-9541-A751-97AA02BA0205}">
      <dgm:prSet phldrT="[Text]" custT="1"/>
      <dgm:spPr/>
      <dgm:t>
        <a:bodyPr/>
        <a:lstStyle/>
        <a:p>
          <a:r>
            <a:rPr lang="en-US" sz="900" b="1">
              <a:latin typeface="Arial" panose="020B0604020202020204" pitchFamily="34" charset="0"/>
              <a:cs typeface="Arial" panose="020B0604020202020204" pitchFamily="34" charset="0"/>
            </a:rPr>
            <a:t>Breeder Farm </a:t>
          </a:r>
          <a:r>
            <a:rPr lang="en-US" sz="800">
              <a:latin typeface="Arial" panose="020B0604020202020204" pitchFamily="34" charset="0"/>
              <a:cs typeface="Arial" panose="020B0604020202020204" pitchFamily="34" charset="0"/>
            </a:rPr>
            <a:t> Pullets begin laying eggs at 26 weeks</a:t>
          </a:r>
        </a:p>
      </dgm:t>
    </dgm:pt>
    <dgm:pt modelId="{4844983E-D6CA-0643-B552-F6D8602D101C}" type="parTrans" cxnId="{8947E1D8-AD60-FF40-9766-77823D9FC0D7}">
      <dgm:prSet/>
      <dgm:spPr/>
      <dgm:t>
        <a:bodyPr/>
        <a:lstStyle/>
        <a:p>
          <a:endParaRPr lang="en-US" sz="1600">
            <a:latin typeface="Arial" panose="020B0604020202020204" pitchFamily="34" charset="0"/>
            <a:cs typeface="Arial" panose="020B0604020202020204" pitchFamily="34" charset="0"/>
          </a:endParaRPr>
        </a:p>
      </dgm:t>
    </dgm:pt>
    <dgm:pt modelId="{416C5C10-0DD2-E042-AC48-F6A935ADA125}" type="sibTrans" cxnId="{8947E1D8-AD60-FF40-9766-77823D9FC0D7}">
      <dgm:prSet custT="1"/>
      <dgm:spPr/>
      <dgm:t>
        <a:bodyPr/>
        <a:lstStyle/>
        <a:p>
          <a:endParaRPr lang="en-US" sz="700">
            <a:latin typeface="Arial" panose="020B0604020202020204" pitchFamily="34" charset="0"/>
            <a:cs typeface="Arial" panose="020B0604020202020204" pitchFamily="34" charset="0"/>
          </a:endParaRPr>
        </a:p>
      </dgm:t>
    </dgm:pt>
    <dgm:pt modelId="{5FDBA5F8-F33C-C54A-B741-0FE7A724EEF1}">
      <dgm:prSet phldrT="[Text]" custT="1"/>
      <dgm:spPr/>
      <dgm:t>
        <a:bodyPr/>
        <a:lstStyle/>
        <a:p>
          <a:r>
            <a:rPr lang="en-US" sz="900" b="1">
              <a:latin typeface="Arial" panose="020B0604020202020204" pitchFamily="34" charset="0"/>
              <a:cs typeface="Arial" panose="020B0604020202020204" pitchFamily="34" charset="0"/>
            </a:rPr>
            <a:t>Hatchery </a:t>
          </a:r>
          <a:r>
            <a:rPr lang="en-US" sz="800">
              <a:latin typeface="Arial" panose="020B0604020202020204" pitchFamily="34" charset="0"/>
              <a:cs typeface="Arial" panose="020B0604020202020204" pitchFamily="34" charset="0"/>
            </a:rPr>
            <a:t> Eggs are in hatchery for 21 days</a:t>
          </a:r>
        </a:p>
      </dgm:t>
    </dgm:pt>
    <dgm:pt modelId="{4DD6EA30-3938-BB47-B686-E643998C6025}" type="parTrans" cxnId="{E5A0AB51-8670-9D41-8E65-1A4843207B24}">
      <dgm:prSet/>
      <dgm:spPr/>
      <dgm:t>
        <a:bodyPr/>
        <a:lstStyle/>
        <a:p>
          <a:endParaRPr lang="en-US" sz="1600">
            <a:latin typeface="Arial" panose="020B0604020202020204" pitchFamily="34" charset="0"/>
            <a:cs typeface="Arial" panose="020B0604020202020204" pitchFamily="34" charset="0"/>
          </a:endParaRPr>
        </a:p>
      </dgm:t>
    </dgm:pt>
    <dgm:pt modelId="{7A2B100F-9366-124F-B43D-E21ABCC41FEE}" type="sibTrans" cxnId="{E5A0AB51-8670-9D41-8E65-1A4843207B24}">
      <dgm:prSet custT="1"/>
      <dgm:spPr/>
      <dgm:t>
        <a:bodyPr/>
        <a:lstStyle/>
        <a:p>
          <a:endParaRPr lang="en-US" sz="700">
            <a:latin typeface="Arial" panose="020B0604020202020204" pitchFamily="34" charset="0"/>
            <a:cs typeface="Arial" panose="020B0604020202020204" pitchFamily="34" charset="0"/>
          </a:endParaRPr>
        </a:p>
      </dgm:t>
    </dgm:pt>
    <dgm:pt modelId="{DE907DE3-36ED-5649-8243-2D94B09BDCB9}">
      <dgm:prSet phldrT="[Text]" custT="1"/>
      <dgm:spPr/>
      <dgm:t>
        <a:bodyPr/>
        <a:lstStyle/>
        <a:p>
          <a:r>
            <a:rPr lang="en-US" sz="900" b="1">
              <a:latin typeface="Arial" panose="020B0604020202020204" pitchFamily="34" charset="0"/>
              <a:cs typeface="Arial" panose="020B0604020202020204" pitchFamily="34" charset="0"/>
            </a:rPr>
            <a:t>Broiler Farm </a:t>
          </a:r>
          <a:r>
            <a:rPr lang="en-US" sz="700">
              <a:latin typeface="Arial" panose="020B0604020202020204" pitchFamily="34" charset="0"/>
              <a:cs typeface="Arial" panose="020B0604020202020204" pitchFamily="34" charset="0"/>
            </a:rPr>
            <a:t> </a:t>
          </a:r>
          <a:r>
            <a:rPr lang="en-US" sz="800">
              <a:latin typeface="Arial" panose="020B0604020202020204" pitchFamily="34" charset="0"/>
              <a:cs typeface="Arial" panose="020B0604020202020204" pitchFamily="34" charset="0"/>
            </a:rPr>
            <a:t>Broilers reach market weight in about 46 days</a:t>
          </a:r>
        </a:p>
      </dgm:t>
    </dgm:pt>
    <dgm:pt modelId="{BA60FF4E-40E7-C842-B583-3747BE3B5783}" type="parTrans" cxnId="{C3F5C9F9-0713-1342-B98E-A2F6B90C1F50}">
      <dgm:prSet/>
      <dgm:spPr/>
      <dgm:t>
        <a:bodyPr/>
        <a:lstStyle/>
        <a:p>
          <a:endParaRPr lang="en-US" sz="1600">
            <a:latin typeface="Arial" panose="020B0604020202020204" pitchFamily="34" charset="0"/>
            <a:cs typeface="Arial" panose="020B0604020202020204" pitchFamily="34" charset="0"/>
          </a:endParaRPr>
        </a:p>
      </dgm:t>
    </dgm:pt>
    <dgm:pt modelId="{4A6878F0-A0D1-DE4B-946C-3DF3BE06F824}" type="sibTrans" cxnId="{C3F5C9F9-0713-1342-B98E-A2F6B90C1F50}">
      <dgm:prSet custT="1"/>
      <dgm:spPr/>
      <dgm:t>
        <a:bodyPr/>
        <a:lstStyle/>
        <a:p>
          <a:endParaRPr lang="en-US" sz="700">
            <a:latin typeface="Arial" panose="020B0604020202020204" pitchFamily="34" charset="0"/>
            <a:cs typeface="Arial" panose="020B0604020202020204" pitchFamily="34" charset="0"/>
          </a:endParaRPr>
        </a:p>
      </dgm:t>
    </dgm:pt>
    <dgm:pt modelId="{C9FDB303-9573-BF41-8997-CBE41069DE13}">
      <dgm:prSet phldrT="[Text]" custT="1"/>
      <dgm:spPr/>
      <dgm:t>
        <a:bodyPr/>
        <a:lstStyle/>
        <a:p>
          <a:r>
            <a:rPr lang="en-US" sz="900" b="1">
              <a:latin typeface="Arial" panose="020B0604020202020204" pitchFamily="34" charset="0"/>
              <a:cs typeface="Arial" panose="020B0604020202020204" pitchFamily="34" charset="0"/>
            </a:rPr>
            <a:t>Processing</a:t>
          </a:r>
          <a:endParaRPr lang="en-US" sz="1000" b="1">
            <a:latin typeface="Arial" panose="020B0604020202020204" pitchFamily="34" charset="0"/>
            <a:cs typeface="Arial" panose="020B0604020202020204" pitchFamily="34" charset="0"/>
          </a:endParaRPr>
        </a:p>
      </dgm:t>
    </dgm:pt>
    <dgm:pt modelId="{0D5F87FC-FEDD-7F40-A1E4-6734329C706C}" type="parTrans" cxnId="{F89B2D12-023C-5C47-8D73-B7EC4D0652F3}">
      <dgm:prSet/>
      <dgm:spPr/>
      <dgm:t>
        <a:bodyPr/>
        <a:lstStyle/>
        <a:p>
          <a:endParaRPr lang="en-US" sz="1600">
            <a:latin typeface="Arial" panose="020B0604020202020204" pitchFamily="34" charset="0"/>
            <a:cs typeface="Arial" panose="020B0604020202020204" pitchFamily="34" charset="0"/>
          </a:endParaRPr>
        </a:p>
      </dgm:t>
    </dgm:pt>
    <dgm:pt modelId="{66EAC348-E23A-F247-AD98-228508EA1DDD}" type="sibTrans" cxnId="{F89B2D12-023C-5C47-8D73-B7EC4D0652F3}">
      <dgm:prSet/>
      <dgm:spPr/>
      <dgm:t>
        <a:bodyPr/>
        <a:lstStyle/>
        <a:p>
          <a:endParaRPr lang="en-US" sz="1600">
            <a:latin typeface="Arial" panose="020B0604020202020204" pitchFamily="34" charset="0"/>
            <a:cs typeface="Arial" panose="020B0604020202020204" pitchFamily="34" charset="0"/>
          </a:endParaRPr>
        </a:p>
      </dgm:t>
    </dgm:pt>
    <dgm:pt modelId="{B558AE63-9E6D-4240-82EE-BB9B6FFEFA1E}" type="pres">
      <dgm:prSet presAssocID="{59110667-0BD5-2E4C-99BF-5CFDC48A23EE}" presName="Name0" presStyleCnt="0">
        <dgm:presLayoutVars>
          <dgm:dir/>
          <dgm:resizeHandles val="exact"/>
        </dgm:presLayoutVars>
      </dgm:prSet>
      <dgm:spPr/>
    </dgm:pt>
    <dgm:pt modelId="{7A282838-52B9-A54C-B257-F0205791AAB2}" type="pres">
      <dgm:prSet presAssocID="{3012CE0D-504C-5B47-881D-5039E4635B13}" presName="node" presStyleLbl="node1" presStyleIdx="0" presStyleCnt="6" custLinFactNeighborX="27257" custLinFactNeighborY="3991">
        <dgm:presLayoutVars>
          <dgm:bulletEnabled val="1"/>
        </dgm:presLayoutVars>
      </dgm:prSet>
      <dgm:spPr/>
      <dgm:t>
        <a:bodyPr/>
        <a:lstStyle/>
        <a:p>
          <a:endParaRPr lang="en-US"/>
        </a:p>
      </dgm:t>
    </dgm:pt>
    <dgm:pt modelId="{614668A7-EBE8-0D48-813D-DA6E57764380}" type="pres">
      <dgm:prSet presAssocID="{7CB28047-51BD-8349-8570-B03161046FF4}" presName="sibTrans" presStyleLbl="sibTrans2D1" presStyleIdx="0" presStyleCnt="5"/>
      <dgm:spPr/>
      <dgm:t>
        <a:bodyPr/>
        <a:lstStyle/>
        <a:p>
          <a:endParaRPr lang="en-US"/>
        </a:p>
      </dgm:t>
    </dgm:pt>
    <dgm:pt modelId="{6139AC6D-9B8E-BA46-AD9B-F8D08D236AD2}" type="pres">
      <dgm:prSet presAssocID="{7CB28047-51BD-8349-8570-B03161046FF4}" presName="connectorText" presStyleLbl="sibTrans2D1" presStyleIdx="0" presStyleCnt="5"/>
      <dgm:spPr/>
      <dgm:t>
        <a:bodyPr/>
        <a:lstStyle/>
        <a:p>
          <a:endParaRPr lang="en-US"/>
        </a:p>
      </dgm:t>
    </dgm:pt>
    <dgm:pt modelId="{8E7BDB40-8BE5-3D47-9A29-E904331CAA06}" type="pres">
      <dgm:prSet presAssocID="{E5B443A7-2CB4-4645-B64C-2F7FBB2858B2}" presName="node" presStyleLbl="node1" presStyleIdx="1" presStyleCnt="6">
        <dgm:presLayoutVars>
          <dgm:bulletEnabled val="1"/>
        </dgm:presLayoutVars>
      </dgm:prSet>
      <dgm:spPr/>
      <dgm:t>
        <a:bodyPr/>
        <a:lstStyle/>
        <a:p>
          <a:endParaRPr lang="en-US"/>
        </a:p>
      </dgm:t>
    </dgm:pt>
    <dgm:pt modelId="{9ED13970-1F58-684E-8437-A8E5A4EC891B}" type="pres">
      <dgm:prSet presAssocID="{9F988568-B999-F24E-9D51-A6279F7E9E23}" presName="sibTrans" presStyleLbl="sibTrans2D1" presStyleIdx="1" presStyleCnt="5"/>
      <dgm:spPr/>
      <dgm:t>
        <a:bodyPr/>
        <a:lstStyle/>
        <a:p>
          <a:endParaRPr lang="en-US"/>
        </a:p>
      </dgm:t>
    </dgm:pt>
    <dgm:pt modelId="{38B18AF2-5387-F54B-B0CD-70651999644C}" type="pres">
      <dgm:prSet presAssocID="{9F988568-B999-F24E-9D51-A6279F7E9E23}" presName="connectorText" presStyleLbl="sibTrans2D1" presStyleIdx="1" presStyleCnt="5"/>
      <dgm:spPr/>
      <dgm:t>
        <a:bodyPr/>
        <a:lstStyle/>
        <a:p>
          <a:endParaRPr lang="en-US"/>
        </a:p>
      </dgm:t>
    </dgm:pt>
    <dgm:pt modelId="{4BBD8A85-DC6B-304A-A7A5-1984EBD2E619}" type="pres">
      <dgm:prSet presAssocID="{390A16F4-9E57-9541-A751-97AA02BA0205}" presName="node" presStyleLbl="node1" presStyleIdx="2" presStyleCnt="6">
        <dgm:presLayoutVars>
          <dgm:bulletEnabled val="1"/>
        </dgm:presLayoutVars>
      </dgm:prSet>
      <dgm:spPr/>
      <dgm:t>
        <a:bodyPr/>
        <a:lstStyle/>
        <a:p>
          <a:endParaRPr lang="en-US"/>
        </a:p>
      </dgm:t>
    </dgm:pt>
    <dgm:pt modelId="{20CD75B7-EEBB-E947-BE23-5B90BDDAFF21}" type="pres">
      <dgm:prSet presAssocID="{416C5C10-0DD2-E042-AC48-F6A935ADA125}" presName="sibTrans" presStyleLbl="sibTrans2D1" presStyleIdx="2" presStyleCnt="5"/>
      <dgm:spPr/>
      <dgm:t>
        <a:bodyPr/>
        <a:lstStyle/>
        <a:p>
          <a:endParaRPr lang="en-US"/>
        </a:p>
      </dgm:t>
    </dgm:pt>
    <dgm:pt modelId="{F31535D7-C6A5-AD41-B32C-1A6B0EC21681}" type="pres">
      <dgm:prSet presAssocID="{416C5C10-0DD2-E042-AC48-F6A935ADA125}" presName="connectorText" presStyleLbl="sibTrans2D1" presStyleIdx="2" presStyleCnt="5"/>
      <dgm:spPr/>
      <dgm:t>
        <a:bodyPr/>
        <a:lstStyle/>
        <a:p>
          <a:endParaRPr lang="en-US"/>
        </a:p>
      </dgm:t>
    </dgm:pt>
    <dgm:pt modelId="{B8269042-B600-564F-A10F-CF1A8BE1C308}" type="pres">
      <dgm:prSet presAssocID="{5FDBA5F8-F33C-C54A-B741-0FE7A724EEF1}" presName="node" presStyleLbl="node1" presStyleIdx="3" presStyleCnt="6">
        <dgm:presLayoutVars>
          <dgm:bulletEnabled val="1"/>
        </dgm:presLayoutVars>
      </dgm:prSet>
      <dgm:spPr/>
      <dgm:t>
        <a:bodyPr/>
        <a:lstStyle/>
        <a:p>
          <a:endParaRPr lang="en-US"/>
        </a:p>
      </dgm:t>
    </dgm:pt>
    <dgm:pt modelId="{65339CCE-70EA-E04E-A289-9099E7BC3B0D}" type="pres">
      <dgm:prSet presAssocID="{7A2B100F-9366-124F-B43D-E21ABCC41FEE}" presName="sibTrans" presStyleLbl="sibTrans2D1" presStyleIdx="3" presStyleCnt="5"/>
      <dgm:spPr/>
      <dgm:t>
        <a:bodyPr/>
        <a:lstStyle/>
        <a:p>
          <a:endParaRPr lang="en-US"/>
        </a:p>
      </dgm:t>
    </dgm:pt>
    <dgm:pt modelId="{4B011328-57A6-D945-9896-312DACBA0CD0}" type="pres">
      <dgm:prSet presAssocID="{7A2B100F-9366-124F-B43D-E21ABCC41FEE}" presName="connectorText" presStyleLbl="sibTrans2D1" presStyleIdx="3" presStyleCnt="5"/>
      <dgm:spPr/>
      <dgm:t>
        <a:bodyPr/>
        <a:lstStyle/>
        <a:p>
          <a:endParaRPr lang="en-US"/>
        </a:p>
      </dgm:t>
    </dgm:pt>
    <dgm:pt modelId="{2F20FBDD-6CE9-164D-8E0A-041E57CE64C2}" type="pres">
      <dgm:prSet presAssocID="{DE907DE3-36ED-5649-8243-2D94B09BDCB9}" presName="node" presStyleLbl="node1" presStyleIdx="4" presStyleCnt="6">
        <dgm:presLayoutVars>
          <dgm:bulletEnabled val="1"/>
        </dgm:presLayoutVars>
      </dgm:prSet>
      <dgm:spPr/>
      <dgm:t>
        <a:bodyPr/>
        <a:lstStyle/>
        <a:p>
          <a:endParaRPr lang="en-US"/>
        </a:p>
      </dgm:t>
    </dgm:pt>
    <dgm:pt modelId="{7E8A54DC-54AF-4F4C-B9EB-89FE11A1011A}" type="pres">
      <dgm:prSet presAssocID="{4A6878F0-A0D1-DE4B-946C-3DF3BE06F824}" presName="sibTrans" presStyleLbl="sibTrans2D1" presStyleIdx="4" presStyleCnt="5"/>
      <dgm:spPr/>
      <dgm:t>
        <a:bodyPr/>
        <a:lstStyle/>
        <a:p>
          <a:endParaRPr lang="en-US"/>
        </a:p>
      </dgm:t>
    </dgm:pt>
    <dgm:pt modelId="{8F84EF20-3A2E-A64D-88D0-95BB6AC52746}" type="pres">
      <dgm:prSet presAssocID="{4A6878F0-A0D1-DE4B-946C-3DF3BE06F824}" presName="connectorText" presStyleLbl="sibTrans2D1" presStyleIdx="4" presStyleCnt="5"/>
      <dgm:spPr/>
      <dgm:t>
        <a:bodyPr/>
        <a:lstStyle/>
        <a:p>
          <a:endParaRPr lang="en-US"/>
        </a:p>
      </dgm:t>
    </dgm:pt>
    <dgm:pt modelId="{3D0DFE3E-8532-CC46-9188-F867ADB6877A}" type="pres">
      <dgm:prSet presAssocID="{C9FDB303-9573-BF41-8997-CBE41069DE13}" presName="node" presStyleLbl="node1" presStyleIdx="5" presStyleCnt="6">
        <dgm:presLayoutVars>
          <dgm:bulletEnabled val="1"/>
        </dgm:presLayoutVars>
      </dgm:prSet>
      <dgm:spPr/>
      <dgm:t>
        <a:bodyPr/>
        <a:lstStyle/>
        <a:p>
          <a:endParaRPr lang="en-US"/>
        </a:p>
      </dgm:t>
    </dgm:pt>
  </dgm:ptLst>
  <dgm:cxnLst>
    <dgm:cxn modelId="{AECE2DBE-8B6A-4FFF-A1AA-76E725AD83DC}" type="presOf" srcId="{C9FDB303-9573-BF41-8997-CBE41069DE13}" destId="{3D0DFE3E-8532-CC46-9188-F867ADB6877A}" srcOrd="0" destOrd="0" presId="urn:microsoft.com/office/officeart/2005/8/layout/process1"/>
    <dgm:cxn modelId="{45970736-202D-E649-B4C3-B43BB728F0D2}" srcId="{59110667-0BD5-2E4C-99BF-5CFDC48A23EE}" destId="{E5B443A7-2CB4-4645-B64C-2F7FBB2858B2}" srcOrd="1" destOrd="0" parTransId="{1013D5B2-C751-4A49-82F9-BD8E475E53B9}" sibTransId="{9F988568-B999-F24E-9D51-A6279F7E9E23}"/>
    <dgm:cxn modelId="{945D94A8-AF36-4747-84AB-76B37353D093}" type="presOf" srcId="{E5B443A7-2CB4-4645-B64C-2F7FBB2858B2}" destId="{8E7BDB40-8BE5-3D47-9A29-E904331CAA06}" srcOrd="0" destOrd="0" presId="urn:microsoft.com/office/officeart/2005/8/layout/process1"/>
    <dgm:cxn modelId="{1E0031AD-DE56-440E-B56F-531B3E52DD20}" type="presOf" srcId="{7CB28047-51BD-8349-8570-B03161046FF4}" destId="{614668A7-EBE8-0D48-813D-DA6E57764380}" srcOrd="0" destOrd="0" presId="urn:microsoft.com/office/officeart/2005/8/layout/process1"/>
    <dgm:cxn modelId="{7DB6074E-1729-4A1D-BC52-A65EE60A3DB4}" type="presOf" srcId="{4A6878F0-A0D1-DE4B-946C-3DF3BE06F824}" destId="{7E8A54DC-54AF-4F4C-B9EB-89FE11A1011A}" srcOrd="0" destOrd="0" presId="urn:microsoft.com/office/officeart/2005/8/layout/process1"/>
    <dgm:cxn modelId="{E5A0AB51-8670-9D41-8E65-1A4843207B24}" srcId="{59110667-0BD5-2E4C-99BF-5CFDC48A23EE}" destId="{5FDBA5F8-F33C-C54A-B741-0FE7A724EEF1}" srcOrd="3" destOrd="0" parTransId="{4DD6EA30-3938-BB47-B686-E643998C6025}" sibTransId="{7A2B100F-9366-124F-B43D-E21ABCC41FEE}"/>
    <dgm:cxn modelId="{67240639-279F-41A9-AE71-4784A4E3B1CF}" type="presOf" srcId="{3012CE0D-504C-5B47-881D-5039E4635B13}" destId="{7A282838-52B9-A54C-B257-F0205791AAB2}" srcOrd="0" destOrd="0" presId="urn:microsoft.com/office/officeart/2005/8/layout/process1"/>
    <dgm:cxn modelId="{00B24757-7F78-4E87-A9FB-37BEC9FC9C3E}" type="presOf" srcId="{7A2B100F-9366-124F-B43D-E21ABCC41FEE}" destId="{4B011328-57A6-D945-9896-312DACBA0CD0}" srcOrd="1" destOrd="0" presId="urn:microsoft.com/office/officeart/2005/8/layout/process1"/>
    <dgm:cxn modelId="{3E8FEEF3-2D9F-4861-AF89-2371A08A7C20}" type="presOf" srcId="{9F988568-B999-F24E-9D51-A6279F7E9E23}" destId="{38B18AF2-5387-F54B-B0CD-70651999644C}" srcOrd="1" destOrd="0" presId="urn:microsoft.com/office/officeart/2005/8/layout/process1"/>
    <dgm:cxn modelId="{E70AE90E-9002-5441-9B84-965EB5B37170}" srcId="{59110667-0BD5-2E4C-99BF-5CFDC48A23EE}" destId="{3012CE0D-504C-5B47-881D-5039E4635B13}" srcOrd="0" destOrd="0" parTransId="{819894C4-31B9-B640-92D9-15CD6966989E}" sibTransId="{7CB28047-51BD-8349-8570-B03161046FF4}"/>
    <dgm:cxn modelId="{48397601-5EE2-4B21-8C4D-6EC2E3DA3262}" type="presOf" srcId="{4A6878F0-A0D1-DE4B-946C-3DF3BE06F824}" destId="{8F84EF20-3A2E-A64D-88D0-95BB6AC52746}" srcOrd="1" destOrd="0" presId="urn:microsoft.com/office/officeart/2005/8/layout/process1"/>
    <dgm:cxn modelId="{F4E19EE4-F03A-402A-96C7-E1126C0527CE}" type="presOf" srcId="{DE907DE3-36ED-5649-8243-2D94B09BDCB9}" destId="{2F20FBDD-6CE9-164D-8E0A-041E57CE64C2}" srcOrd="0" destOrd="0" presId="urn:microsoft.com/office/officeart/2005/8/layout/process1"/>
    <dgm:cxn modelId="{F89B2D12-023C-5C47-8D73-B7EC4D0652F3}" srcId="{59110667-0BD5-2E4C-99BF-5CFDC48A23EE}" destId="{C9FDB303-9573-BF41-8997-CBE41069DE13}" srcOrd="5" destOrd="0" parTransId="{0D5F87FC-FEDD-7F40-A1E4-6734329C706C}" sibTransId="{66EAC348-E23A-F247-AD98-228508EA1DDD}"/>
    <dgm:cxn modelId="{956AF4D1-0E34-4D6A-A75E-CAC02116010F}" type="presOf" srcId="{9F988568-B999-F24E-9D51-A6279F7E9E23}" destId="{9ED13970-1F58-684E-8437-A8E5A4EC891B}" srcOrd="0" destOrd="0" presId="urn:microsoft.com/office/officeart/2005/8/layout/process1"/>
    <dgm:cxn modelId="{F9697CD6-D6D4-4E4C-9D00-4ACBB0AC4068}" type="presOf" srcId="{59110667-0BD5-2E4C-99BF-5CFDC48A23EE}" destId="{B558AE63-9E6D-4240-82EE-BB9B6FFEFA1E}" srcOrd="0" destOrd="0" presId="urn:microsoft.com/office/officeart/2005/8/layout/process1"/>
    <dgm:cxn modelId="{8947E1D8-AD60-FF40-9766-77823D9FC0D7}" srcId="{59110667-0BD5-2E4C-99BF-5CFDC48A23EE}" destId="{390A16F4-9E57-9541-A751-97AA02BA0205}" srcOrd="2" destOrd="0" parTransId="{4844983E-D6CA-0643-B552-F6D8602D101C}" sibTransId="{416C5C10-0DD2-E042-AC48-F6A935ADA125}"/>
    <dgm:cxn modelId="{0332AFF8-27C4-4737-AE8F-D0B65F7F67C5}" type="presOf" srcId="{7CB28047-51BD-8349-8570-B03161046FF4}" destId="{6139AC6D-9B8E-BA46-AD9B-F8D08D236AD2}" srcOrd="1" destOrd="0" presId="urn:microsoft.com/office/officeart/2005/8/layout/process1"/>
    <dgm:cxn modelId="{44108789-AD69-42B2-BA77-32CB5EE7ED31}" type="presOf" srcId="{416C5C10-0DD2-E042-AC48-F6A935ADA125}" destId="{20CD75B7-EEBB-E947-BE23-5B90BDDAFF21}" srcOrd="0" destOrd="0" presId="urn:microsoft.com/office/officeart/2005/8/layout/process1"/>
    <dgm:cxn modelId="{491142CF-DDDC-446F-8539-D5214E2F4550}" type="presOf" srcId="{416C5C10-0DD2-E042-AC48-F6A935ADA125}" destId="{F31535D7-C6A5-AD41-B32C-1A6B0EC21681}" srcOrd="1" destOrd="0" presId="urn:microsoft.com/office/officeart/2005/8/layout/process1"/>
    <dgm:cxn modelId="{6E84468B-F2C4-4697-B47E-CBD276D828C8}" type="presOf" srcId="{5FDBA5F8-F33C-C54A-B741-0FE7A724EEF1}" destId="{B8269042-B600-564F-A10F-CF1A8BE1C308}" srcOrd="0" destOrd="0" presId="urn:microsoft.com/office/officeart/2005/8/layout/process1"/>
    <dgm:cxn modelId="{06B0C8AB-599C-4E31-98FD-C7BE4B206B5C}" type="presOf" srcId="{390A16F4-9E57-9541-A751-97AA02BA0205}" destId="{4BBD8A85-DC6B-304A-A7A5-1984EBD2E619}" srcOrd="0" destOrd="0" presId="urn:microsoft.com/office/officeart/2005/8/layout/process1"/>
    <dgm:cxn modelId="{C3F5C9F9-0713-1342-B98E-A2F6B90C1F50}" srcId="{59110667-0BD5-2E4C-99BF-5CFDC48A23EE}" destId="{DE907DE3-36ED-5649-8243-2D94B09BDCB9}" srcOrd="4" destOrd="0" parTransId="{BA60FF4E-40E7-C842-B583-3747BE3B5783}" sibTransId="{4A6878F0-A0D1-DE4B-946C-3DF3BE06F824}"/>
    <dgm:cxn modelId="{3510F0C1-4997-43B0-AEB7-601C86CF795D}" type="presOf" srcId="{7A2B100F-9366-124F-B43D-E21ABCC41FEE}" destId="{65339CCE-70EA-E04E-A289-9099E7BC3B0D}" srcOrd="0" destOrd="0" presId="urn:microsoft.com/office/officeart/2005/8/layout/process1"/>
    <dgm:cxn modelId="{370D159B-8A59-433D-A8F8-FDD7225A98FE}" type="presParOf" srcId="{B558AE63-9E6D-4240-82EE-BB9B6FFEFA1E}" destId="{7A282838-52B9-A54C-B257-F0205791AAB2}" srcOrd="0" destOrd="0" presId="urn:microsoft.com/office/officeart/2005/8/layout/process1"/>
    <dgm:cxn modelId="{0FBD4026-253D-43A1-9C0D-9EC776781328}" type="presParOf" srcId="{B558AE63-9E6D-4240-82EE-BB9B6FFEFA1E}" destId="{614668A7-EBE8-0D48-813D-DA6E57764380}" srcOrd="1" destOrd="0" presId="urn:microsoft.com/office/officeart/2005/8/layout/process1"/>
    <dgm:cxn modelId="{833FAF32-52A6-4DE3-84BF-B1C6CC14C9DF}" type="presParOf" srcId="{614668A7-EBE8-0D48-813D-DA6E57764380}" destId="{6139AC6D-9B8E-BA46-AD9B-F8D08D236AD2}" srcOrd="0" destOrd="0" presId="urn:microsoft.com/office/officeart/2005/8/layout/process1"/>
    <dgm:cxn modelId="{9FE037DB-5DD1-49C2-B9AB-1B98794D5CB8}" type="presParOf" srcId="{B558AE63-9E6D-4240-82EE-BB9B6FFEFA1E}" destId="{8E7BDB40-8BE5-3D47-9A29-E904331CAA06}" srcOrd="2" destOrd="0" presId="urn:microsoft.com/office/officeart/2005/8/layout/process1"/>
    <dgm:cxn modelId="{D3450B3F-AA82-49FA-8A03-1C5C8FFC5BCE}" type="presParOf" srcId="{B558AE63-9E6D-4240-82EE-BB9B6FFEFA1E}" destId="{9ED13970-1F58-684E-8437-A8E5A4EC891B}" srcOrd="3" destOrd="0" presId="urn:microsoft.com/office/officeart/2005/8/layout/process1"/>
    <dgm:cxn modelId="{39500BDA-B281-4F5E-8022-93B52F01397B}" type="presParOf" srcId="{9ED13970-1F58-684E-8437-A8E5A4EC891B}" destId="{38B18AF2-5387-F54B-B0CD-70651999644C}" srcOrd="0" destOrd="0" presId="urn:microsoft.com/office/officeart/2005/8/layout/process1"/>
    <dgm:cxn modelId="{153D5BC0-A865-4577-9310-38758BEEF8EB}" type="presParOf" srcId="{B558AE63-9E6D-4240-82EE-BB9B6FFEFA1E}" destId="{4BBD8A85-DC6B-304A-A7A5-1984EBD2E619}" srcOrd="4" destOrd="0" presId="urn:microsoft.com/office/officeart/2005/8/layout/process1"/>
    <dgm:cxn modelId="{2A946EDE-FB19-476E-A697-1B596A65A420}" type="presParOf" srcId="{B558AE63-9E6D-4240-82EE-BB9B6FFEFA1E}" destId="{20CD75B7-EEBB-E947-BE23-5B90BDDAFF21}" srcOrd="5" destOrd="0" presId="urn:microsoft.com/office/officeart/2005/8/layout/process1"/>
    <dgm:cxn modelId="{67C3B84F-6166-4915-AA5D-BC3110B50D02}" type="presParOf" srcId="{20CD75B7-EEBB-E947-BE23-5B90BDDAFF21}" destId="{F31535D7-C6A5-AD41-B32C-1A6B0EC21681}" srcOrd="0" destOrd="0" presId="urn:microsoft.com/office/officeart/2005/8/layout/process1"/>
    <dgm:cxn modelId="{4DB02D9E-C92B-45E2-ACF8-BC6A8D9EF7B3}" type="presParOf" srcId="{B558AE63-9E6D-4240-82EE-BB9B6FFEFA1E}" destId="{B8269042-B600-564F-A10F-CF1A8BE1C308}" srcOrd="6" destOrd="0" presId="urn:microsoft.com/office/officeart/2005/8/layout/process1"/>
    <dgm:cxn modelId="{AC3A834B-08C8-41D3-9B42-DAEB421CC9E8}" type="presParOf" srcId="{B558AE63-9E6D-4240-82EE-BB9B6FFEFA1E}" destId="{65339CCE-70EA-E04E-A289-9099E7BC3B0D}" srcOrd="7" destOrd="0" presId="urn:microsoft.com/office/officeart/2005/8/layout/process1"/>
    <dgm:cxn modelId="{E3C64FE2-EB75-45F1-A618-D58F4EE4A8E0}" type="presParOf" srcId="{65339CCE-70EA-E04E-A289-9099E7BC3B0D}" destId="{4B011328-57A6-D945-9896-312DACBA0CD0}" srcOrd="0" destOrd="0" presId="urn:microsoft.com/office/officeart/2005/8/layout/process1"/>
    <dgm:cxn modelId="{B946C897-9E59-47D4-B4E0-5A3E8804A499}" type="presParOf" srcId="{B558AE63-9E6D-4240-82EE-BB9B6FFEFA1E}" destId="{2F20FBDD-6CE9-164D-8E0A-041E57CE64C2}" srcOrd="8" destOrd="0" presId="urn:microsoft.com/office/officeart/2005/8/layout/process1"/>
    <dgm:cxn modelId="{D04C5FAB-7668-4E7D-AF78-D6B5F789A1EE}" type="presParOf" srcId="{B558AE63-9E6D-4240-82EE-BB9B6FFEFA1E}" destId="{7E8A54DC-54AF-4F4C-B9EB-89FE11A1011A}" srcOrd="9" destOrd="0" presId="urn:microsoft.com/office/officeart/2005/8/layout/process1"/>
    <dgm:cxn modelId="{CFA02383-27F7-4148-B6A2-7304F626AE04}" type="presParOf" srcId="{7E8A54DC-54AF-4F4C-B9EB-89FE11A1011A}" destId="{8F84EF20-3A2E-A64D-88D0-95BB6AC52746}" srcOrd="0" destOrd="0" presId="urn:microsoft.com/office/officeart/2005/8/layout/process1"/>
    <dgm:cxn modelId="{573B6F6D-83F0-40AE-B987-FFCB8BA800BC}" type="presParOf" srcId="{B558AE63-9E6D-4240-82EE-BB9B6FFEFA1E}" destId="{3D0DFE3E-8532-CC46-9188-F867ADB6877A}" srcOrd="10"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82838-52B9-A54C-B257-F0205791AAB2}">
      <dsp:nvSpPr>
        <dsp:cNvPr id="0" name=""/>
        <dsp:cNvSpPr/>
      </dsp:nvSpPr>
      <dsp:spPr>
        <a:xfrm>
          <a:off x="79669" y="429791"/>
          <a:ext cx="730726" cy="8819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Chick </a:t>
          </a:r>
          <a:r>
            <a:rPr lang="en-US" sz="900" kern="1200">
              <a:latin typeface="Arial" panose="020B0604020202020204" pitchFamily="34" charset="0"/>
              <a:cs typeface="Arial" panose="020B0604020202020204" pitchFamily="34" charset="0"/>
            </a:rPr>
            <a:t> </a:t>
          </a:r>
          <a:r>
            <a:rPr lang="en-US" sz="700" kern="1200">
              <a:latin typeface="Arial" panose="020B0604020202020204" pitchFamily="34" charset="0"/>
              <a:cs typeface="Arial" panose="020B0604020202020204" pitchFamily="34" charset="0"/>
            </a:rPr>
            <a:t>Grandparent and parent stock</a:t>
          </a:r>
        </a:p>
      </dsp:txBody>
      <dsp:txXfrm>
        <a:off x="101071" y="451193"/>
        <a:ext cx="687922" cy="839098"/>
      </dsp:txXfrm>
    </dsp:sp>
    <dsp:sp modelId="{614668A7-EBE8-0D48-813D-DA6E57764380}">
      <dsp:nvSpPr>
        <dsp:cNvPr id="0" name=""/>
        <dsp:cNvSpPr/>
      </dsp:nvSpPr>
      <dsp:spPr>
        <a:xfrm rot="21471796">
          <a:off x="863511" y="762415"/>
          <a:ext cx="112767" cy="181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a:off x="863523" y="799290"/>
        <a:ext cx="78937" cy="108732"/>
      </dsp:txXfrm>
    </dsp:sp>
    <dsp:sp modelId="{8E7BDB40-8BE5-3D47-9A29-E904331CAA06}">
      <dsp:nvSpPr>
        <dsp:cNvPr id="0" name=""/>
        <dsp:cNvSpPr/>
      </dsp:nvSpPr>
      <dsp:spPr>
        <a:xfrm>
          <a:off x="1023016" y="394594"/>
          <a:ext cx="730726" cy="8819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Pullet Farm</a:t>
          </a:r>
          <a:r>
            <a:rPr lang="en-US" sz="1000" b="1" kern="1200">
              <a:latin typeface="Arial" panose="020B0604020202020204" pitchFamily="34" charset="0"/>
              <a:cs typeface="Arial" panose="020B0604020202020204" pitchFamily="34" charset="0"/>
            </a:rPr>
            <a:t> </a:t>
          </a:r>
          <a:r>
            <a:rPr lang="en-US" sz="800" kern="1200">
              <a:latin typeface="Arial" panose="020B0604020202020204" pitchFamily="34" charset="0"/>
              <a:cs typeface="Arial" panose="020B0604020202020204" pitchFamily="34" charset="0"/>
            </a:rPr>
            <a:t> Pullets (parents) grown to 20 weeks</a:t>
          </a:r>
        </a:p>
      </dsp:txBody>
      <dsp:txXfrm>
        <a:off x="1044418" y="415996"/>
        <a:ext cx="687922" cy="839098"/>
      </dsp:txXfrm>
    </dsp:sp>
    <dsp:sp modelId="{9ED13970-1F58-684E-8437-A8E5A4EC891B}">
      <dsp:nvSpPr>
        <dsp:cNvPr id="0" name=""/>
        <dsp:cNvSpPr/>
      </dsp:nvSpPr>
      <dsp:spPr>
        <a:xfrm>
          <a:off x="1826815" y="744935"/>
          <a:ext cx="154913" cy="181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a:off x="1826815" y="781179"/>
        <a:ext cx="108439" cy="108732"/>
      </dsp:txXfrm>
    </dsp:sp>
    <dsp:sp modelId="{4BBD8A85-DC6B-304A-A7A5-1984EBD2E619}">
      <dsp:nvSpPr>
        <dsp:cNvPr id="0" name=""/>
        <dsp:cNvSpPr/>
      </dsp:nvSpPr>
      <dsp:spPr>
        <a:xfrm>
          <a:off x="2046033" y="394594"/>
          <a:ext cx="730726" cy="8819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Breeder Farm </a:t>
          </a:r>
          <a:r>
            <a:rPr lang="en-US" sz="800" kern="1200">
              <a:latin typeface="Arial" panose="020B0604020202020204" pitchFamily="34" charset="0"/>
              <a:cs typeface="Arial" panose="020B0604020202020204" pitchFamily="34" charset="0"/>
            </a:rPr>
            <a:t> Pullets begin laying eggs at 26 weeks</a:t>
          </a:r>
        </a:p>
      </dsp:txBody>
      <dsp:txXfrm>
        <a:off x="2067435" y="415996"/>
        <a:ext cx="687922" cy="839098"/>
      </dsp:txXfrm>
    </dsp:sp>
    <dsp:sp modelId="{20CD75B7-EEBB-E947-BE23-5B90BDDAFF21}">
      <dsp:nvSpPr>
        <dsp:cNvPr id="0" name=""/>
        <dsp:cNvSpPr/>
      </dsp:nvSpPr>
      <dsp:spPr>
        <a:xfrm>
          <a:off x="2849832" y="744935"/>
          <a:ext cx="154913" cy="181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a:off x="2849832" y="781179"/>
        <a:ext cx="108439" cy="108732"/>
      </dsp:txXfrm>
    </dsp:sp>
    <dsp:sp modelId="{B8269042-B600-564F-A10F-CF1A8BE1C308}">
      <dsp:nvSpPr>
        <dsp:cNvPr id="0" name=""/>
        <dsp:cNvSpPr/>
      </dsp:nvSpPr>
      <dsp:spPr>
        <a:xfrm>
          <a:off x="3069050" y="394594"/>
          <a:ext cx="730726" cy="8819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Hatchery </a:t>
          </a:r>
          <a:r>
            <a:rPr lang="en-US" sz="800" kern="1200">
              <a:latin typeface="Arial" panose="020B0604020202020204" pitchFamily="34" charset="0"/>
              <a:cs typeface="Arial" panose="020B0604020202020204" pitchFamily="34" charset="0"/>
            </a:rPr>
            <a:t> Eggs are in hatchery for 21 days</a:t>
          </a:r>
        </a:p>
      </dsp:txBody>
      <dsp:txXfrm>
        <a:off x="3090452" y="415996"/>
        <a:ext cx="687922" cy="839098"/>
      </dsp:txXfrm>
    </dsp:sp>
    <dsp:sp modelId="{65339CCE-70EA-E04E-A289-9099E7BC3B0D}">
      <dsp:nvSpPr>
        <dsp:cNvPr id="0" name=""/>
        <dsp:cNvSpPr/>
      </dsp:nvSpPr>
      <dsp:spPr>
        <a:xfrm>
          <a:off x="3872849" y="744935"/>
          <a:ext cx="154913" cy="181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a:off x="3872849" y="781179"/>
        <a:ext cx="108439" cy="108732"/>
      </dsp:txXfrm>
    </dsp:sp>
    <dsp:sp modelId="{2F20FBDD-6CE9-164D-8E0A-041E57CE64C2}">
      <dsp:nvSpPr>
        <dsp:cNvPr id="0" name=""/>
        <dsp:cNvSpPr/>
      </dsp:nvSpPr>
      <dsp:spPr>
        <a:xfrm>
          <a:off x="4092067" y="394594"/>
          <a:ext cx="730726" cy="8819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Broiler Farm </a:t>
          </a:r>
          <a:r>
            <a:rPr lang="en-US" sz="700" kern="1200">
              <a:latin typeface="Arial" panose="020B0604020202020204" pitchFamily="34" charset="0"/>
              <a:cs typeface="Arial" panose="020B0604020202020204" pitchFamily="34" charset="0"/>
            </a:rPr>
            <a:t> </a:t>
          </a:r>
          <a:r>
            <a:rPr lang="en-US" sz="800" kern="1200">
              <a:latin typeface="Arial" panose="020B0604020202020204" pitchFamily="34" charset="0"/>
              <a:cs typeface="Arial" panose="020B0604020202020204" pitchFamily="34" charset="0"/>
            </a:rPr>
            <a:t>Broilers reach market weight in about 46 days</a:t>
          </a:r>
        </a:p>
      </dsp:txBody>
      <dsp:txXfrm>
        <a:off x="4113469" y="415996"/>
        <a:ext cx="687922" cy="839098"/>
      </dsp:txXfrm>
    </dsp:sp>
    <dsp:sp modelId="{7E8A54DC-54AF-4F4C-B9EB-89FE11A1011A}">
      <dsp:nvSpPr>
        <dsp:cNvPr id="0" name=""/>
        <dsp:cNvSpPr/>
      </dsp:nvSpPr>
      <dsp:spPr>
        <a:xfrm>
          <a:off x="4895865" y="744935"/>
          <a:ext cx="154913" cy="181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a:off x="4895865" y="781179"/>
        <a:ext cx="108439" cy="108732"/>
      </dsp:txXfrm>
    </dsp:sp>
    <dsp:sp modelId="{3D0DFE3E-8532-CC46-9188-F867ADB6877A}">
      <dsp:nvSpPr>
        <dsp:cNvPr id="0" name=""/>
        <dsp:cNvSpPr/>
      </dsp:nvSpPr>
      <dsp:spPr>
        <a:xfrm>
          <a:off x="5115083" y="394594"/>
          <a:ext cx="730726" cy="8819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Processing</a:t>
          </a:r>
          <a:endParaRPr lang="en-US" sz="1000" b="1" kern="1200">
            <a:latin typeface="Arial" panose="020B0604020202020204" pitchFamily="34" charset="0"/>
            <a:cs typeface="Arial" panose="020B0604020202020204" pitchFamily="34" charset="0"/>
          </a:endParaRPr>
        </a:p>
      </dsp:txBody>
      <dsp:txXfrm>
        <a:off x="5136485" y="415996"/>
        <a:ext cx="687922" cy="8390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0C172-B9B1-4A84-8807-CAEC14EE8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2017-04-10T21:02:00Z</cp:lastPrinted>
  <dcterms:created xsi:type="dcterms:W3CDTF">2017-04-20T19:29:00Z</dcterms:created>
  <dcterms:modified xsi:type="dcterms:W3CDTF">2017-04-24T16:23:00Z</dcterms:modified>
</cp:coreProperties>
</file>