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920EC" w14:textId="49FD3240" w:rsidR="008467D5" w:rsidRPr="00972A01" w:rsidRDefault="00F74507" w:rsidP="00013360">
      <w:pPr>
        <w:tabs>
          <w:tab w:val="left" w:pos="-1440"/>
          <w:tab w:val="left" w:pos="-720"/>
          <w:tab w:val="left" w:pos="1"/>
          <w:tab w:val="right" w:pos="9360"/>
        </w:tabs>
        <w:jc w:val="both"/>
        <w:rPr>
          <w:rFonts w:ascii="Arial" w:hAnsi="Arial"/>
          <w:sz w:val="24"/>
          <w:lang w:eastAsia="zh-CN"/>
        </w:rPr>
      </w:pPr>
      <w:r w:rsidRPr="00A569EA">
        <w:rPr>
          <w:rFonts w:ascii="Arial" w:hAnsi="Arial"/>
          <w:b/>
          <w:noProof/>
          <w:sz w:val="24"/>
          <w:lang w:val="en-US"/>
        </w:rPr>
        <w:drawing>
          <wp:inline distT="0" distB="0" distL="0" distR="0" wp14:anchorId="117DAAFA" wp14:editId="1D14F79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3BC97F"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4ADD73E" w14:textId="7E7D9BC4" w:rsidR="00D75295" w:rsidRPr="00CB6B09" w:rsidRDefault="008F37C9" w:rsidP="00F105B7">
      <w:pPr>
        <w:pStyle w:val="ProductNumber"/>
      </w:pPr>
      <w:r>
        <w:t>9B17M059</w:t>
      </w:r>
    </w:p>
    <w:p w14:paraId="3C2731A7" w14:textId="77777777" w:rsidR="00D75295" w:rsidRPr="00CB6B09" w:rsidRDefault="00D75295" w:rsidP="00D75295">
      <w:pPr>
        <w:jc w:val="right"/>
        <w:rPr>
          <w:rFonts w:ascii="Arial" w:hAnsi="Arial"/>
          <w:b/>
          <w:sz w:val="28"/>
          <w:szCs w:val="28"/>
        </w:rPr>
      </w:pPr>
    </w:p>
    <w:p w14:paraId="46A89C20" w14:textId="77777777" w:rsidR="00866F6D" w:rsidRPr="00CB6B09" w:rsidRDefault="00866F6D" w:rsidP="00D75295">
      <w:pPr>
        <w:jc w:val="right"/>
        <w:rPr>
          <w:rFonts w:ascii="Arial" w:hAnsi="Arial"/>
          <w:b/>
          <w:sz w:val="28"/>
          <w:szCs w:val="28"/>
        </w:rPr>
      </w:pPr>
    </w:p>
    <w:p w14:paraId="4D7A43E7" w14:textId="35941B61" w:rsidR="003852D6" w:rsidRPr="00C40355" w:rsidRDefault="005D7D29" w:rsidP="00013360">
      <w:pPr>
        <w:pStyle w:val="CaseTitle"/>
        <w:spacing w:after="0" w:line="240" w:lineRule="auto"/>
      </w:pPr>
      <w:r w:rsidRPr="005D7D29">
        <w:t xml:space="preserve">TOKYO ELECTRON: </w:t>
      </w:r>
      <w:r w:rsidR="00972A01">
        <w:t xml:space="preserve">the </w:t>
      </w:r>
      <w:r w:rsidRPr="005D7D29">
        <w:t xml:space="preserve">COMPETITIVE CONSOLIDATION AND ANTITRUST </w:t>
      </w:r>
      <w:r w:rsidR="00C11A6B">
        <w:t>CHALLENGE</w:t>
      </w:r>
      <w:r w:rsidR="003852D6">
        <w:rPr>
          <w:rStyle w:val="EndnoteReference"/>
          <w:lang w:eastAsia="zh-CN"/>
        </w:rPr>
        <w:endnoteReference w:id="1"/>
      </w:r>
    </w:p>
    <w:p w14:paraId="668BCB4F" w14:textId="77777777" w:rsidR="003852D6" w:rsidRPr="00CB6B09" w:rsidRDefault="003852D6" w:rsidP="00013360">
      <w:pPr>
        <w:pStyle w:val="CaseTitle"/>
        <w:spacing w:after="0" w:line="240" w:lineRule="auto"/>
        <w:rPr>
          <w:sz w:val="20"/>
          <w:szCs w:val="20"/>
        </w:rPr>
      </w:pPr>
    </w:p>
    <w:p w14:paraId="1C03801A" w14:textId="77777777" w:rsidR="003852D6" w:rsidRPr="00CB6B09" w:rsidRDefault="003852D6" w:rsidP="00013360">
      <w:pPr>
        <w:pStyle w:val="CaseTitle"/>
        <w:spacing w:after="0" w:line="240" w:lineRule="auto"/>
        <w:rPr>
          <w:sz w:val="20"/>
          <w:szCs w:val="20"/>
        </w:rPr>
      </w:pPr>
    </w:p>
    <w:p w14:paraId="4D561639" w14:textId="77777777" w:rsidR="003852D6" w:rsidRPr="00CB6B09" w:rsidRDefault="003852D6" w:rsidP="00104567">
      <w:pPr>
        <w:pStyle w:val="StyleCopyrightStatementAfter0ptBottomSinglesolidline1"/>
      </w:pPr>
      <w:r w:rsidRPr="005D7D29">
        <w:t>Wiboon Kittilaksanawong and Claire André</w:t>
      </w:r>
      <w:r w:rsidRPr="00CB6B09">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A9F6C0F" w14:textId="77777777" w:rsidR="003852D6" w:rsidRPr="00CB6B09" w:rsidRDefault="003852D6" w:rsidP="00104567">
      <w:pPr>
        <w:pStyle w:val="StyleCopyrightStatementAfter0ptBottomSinglesolidline1"/>
      </w:pPr>
    </w:p>
    <w:p w14:paraId="433EDE1B" w14:textId="77777777" w:rsidR="00F74507" w:rsidRPr="00E23AB7" w:rsidRDefault="00F74507" w:rsidP="00F7450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DDB9CE2" w14:textId="77777777" w:rsidR="00F74507" w:rsidRDefault="00F74507" w:rsidP="00F74507">
      <w:pPr>
        <w:pStyle w:val="StyleCopyrightStatementAfter0ptBottomSinglesolidline1"/>
      </w:pPr>
    </w:p>
    <w:p w14:paraId="7E1D92E6" w14:textId="7ABFB6BE" w:rsidR="003852D6" w:rsidRPr="00CB6B09" w:rsidRDefault="00F74507" w:rsidP="003B7EF2">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tab/>
      </w:r>
      <w:r w:rsidR="003852D6" w:rsidRPr="00CB6B09">
        <w:t>Version: 201</w:t>
      </w:r>
      <w:r w:rsidR="00972A01">
        <w:t>7</w:t>
      </w:r>
      <w:r w:rsidR="003852D6" w:rsidRPr="00CB6B09">
        <w:t>-</w:t>
      </w:r>
      <w:r w:rsidR="00972A01">
        <w:t>0</w:t>
      </w:r>
      <w:r w:rsidR="0002047F">
        <w:t>4</w:t>
      </w:r>
      <w:r w:rsidR="003852D6">
        <w:t>-</w:t>
      </w:r>
      <w:r w:rsidR="0002047F">
        <w:rPr>
          <w:rFonts w:hint="eastAsia"/>
          <w:lang w:eastAsia="zh-CN"/>
        </w:rPr>
        <w:t>2</w:t>
      </w:r>
      <w:r w:rsidR="00F839D0">
        <w:rPr>
          <w:lang w:eastAsia="zh-CN"/>
        </w:rPr>
        <w:t>6</w:t>
      </w:r>
    </w:p>
    <w:p w14:paraId="4F998308" w14:textId="77777777" w:rsidR="003852D6" w:rsidRPr="00CB6B09" w:rsidRDefault="003852D6" w:rsidP="00104567">
      <w:pPr>
        <w:pStyle w:val="StyleCopyrightStatementAfter0ptBottomSinglesolidline1"/>
        <w:rPr>
          <w:rFonts w:ascii="Times New Roman" w:hAnsi="Times New Roman"/>
          <w:sz w:val="20"/>
        </w:rPr>
      </w:pPr>
    </w:p>
    <w:p w14:paraId="4F449EF3" w14:textId="77777777" w:rsidR="003852D6" w:rsidRDefault="003852D6" w:rsidP="006F1D9E">
      <w:pPr>
        <w:pStyle w:val="Footnote"/>
      </w:pPr>
    </w:p>
    <w:p w14:paraId="1692B057" w14:textId="47BE4059" w:rsidR="003852D6" w:rsidRPr="006663CF" w:rsidRDefault="003852D6" w:rsidP="0002047F">
      <w:pPr>
        <w:pStyle w:val="BodyTextMain"/>
        <w:ind w:left="720"/>
        <w:rPr>
          <w:rFonts w:eastAsia="ヒラギノ明朝 Pro W3"/>
          <w:lang w:eastAsia="ja-JP"/>
        </w:rPr>
      </w:pPr>
      <w:r w:rsidRPr="006663CF">
        <w:rPr>
          <w:rFonts w:eastAsia="ヒラギノ明朝 Pro W3"/>
          <w:lang w:eastAsia="ja-JP"/>
        </w:rPr>
        <w:t>I’m not convinced but the conclusion has been made. I have no choice but to accept it. It’s a regrettable outcome. I feel that it’s a real shame.</w:t>
      </w:r>
      <w:r w:rsidRPr="006663CF">
        <w:rPr>
          <w:rStyle w:val="EndnoteReference"/>
          <w:rFonts w:eastAsia="ヒラギノ明朝 Pro W3"/>
          <w:lang w:eastAsia="ja-JP"/>
        </w:rPr>
        <w:endnoteReference w:id="2"/>
      </w:r>
    </w:p>
    <w:p w14:paraId="1483A7D7" w14:textId="77777777" w:rsidR="003852D6" w:rsidRPr="006663CF" w:rsidRDefault="003852D6" w:rsidP="00C40355">
      <w:pPr>
        <w:pStyle w:val="BodyTextMain"/>
        <w:rPr>
          <w:rFonts w:eastAsia="ヒラギノ明朝 Pro W3"/>
          <w:lang w:eastAsia="ja-JP"/>
        </w:rPr>
      </w:pPr>
    </w:p>
    <w:p w14:paraId="19CA995B" w14:textId="095FC17F" w:rsidR="003852D6" w:rsidRPr="006663CF" w:rsidRDefault="003852D6" w:rsidP="00240D1A">
      <w:pPr>
        <w:pStyle w:val="BodyTextMain"/>
        <w:jc w:val="right"/>
        <w:rPr>
          <w:rFonts w:eastAsia="ヒラギノ明朝 Pro W3"/>
          <w:lang w:eastAsia="ja-JP"/>
        </w:rPr>
      </w:pPr>
      <w:proofErr w:type="spellStart"/>
      <w:r w:rsidRPr="006663CF">
        <w:rPr>
          <w:rFonts w:eastAsia="ヒラギノ明朝 Pro W3"/>
          <w:lang w:eastAsia="ja-JP"/>
        </w:rPr>
        <w:t>Tetsuro</w:t>
      </w:r>
      <w:proofErr w:type="spellEnd"/>
      <w:r w:rsidRPr="006663CF">
        <w:rPr>
          <w:rFonts w:eastAsia="ヒラギノ明朝 Pro W3"/>
          <w:lang w:eastAsia="ja-JP"/>
        </w:rPr>
        <w:t xml:space="preserve"> Higashi, CEO of Tokyo Electron Limited</w:t>
      </w:r>
    </w:p>
    <w:p w14:paraId="0C69FF05" w14:textId="77777777" w:rsidR="003852D6" w:rsidRPr="006663CF" w:rsidRDefault="003852D6" w:rsidP="00C40355">
      <w:pPr>
        <w:pStyle w:val="BodyTextMain"/>
        <w:rPr>
          <w:rFonts w:eastAsia="ヒラギノ明朝 Pro W3"/>
          <w:lang w:eastAsia="ja-JP"/>
        </w:rPr>
      </w:pPr>
    </w:p>
    <w:p w14:paraId="596916D1" w14:textId="19DB537A" w:rsidR="003852D6" w:rsidRPr="006663CF" w:rsidRDefault="003852D6" w:rsidP="00C40355">
      <w:pPr>
        <w:pStyle w:val="BodyTextMain"/>
        <w:rPr>
          <w:rFonts w:eastAsia="ヒラギノ明朝 Pro W3"/>
          <w:lang w:eastAsia="ja-JP"/>
        </w:rPr>
      </w:pPr>
      <w:r w:rsidRPr="006663CF">
        <w:rPr>
          <w:rFonts w:eastAsia="ヒラギノ明朝 Pro W3"/>
          <w:lang w:eastAsia="ja-JP"/>
        </w:rPr>
        <w:t>Tokyo Electron Limited</w:t>
      </w:r>
      <w:r w:rsidR="001D6227">
        <w:rPr>
          <w:rFonts w:eastAsia="ヒラギノ明朝 Pro W3"/>
          <w:lang w:eastAsia="ja-JP"/>
        </w:rPr>
        <w:t xml:space="preserve"> (Tokyo Electron)</w:t>
      </w:r>
      <w:r w:rsidRPr="006663CF">
        <w:rPr>
          <w:rFonts w:eastAsia="ヒラギノ明朝 Pro W3"/>
          <w:lang w:eastAsia="ja-JP"/>
        </w:rPr>
        <w:t xml:space="preserve"> announced a merger of equals with Applied Materials, Inc.</w:t>
      </w:r>
      <w:r w:rsidR="0029461A">
        <w:rPr>
          <w:rFonts w:eastAsia="ヒラギノ明朝 Pro W3"/>
          <w:lang w:eastAsia="ja-JP"/>
        </w:rPr>
        <w:t xml:space="preserve"> (Applied Materials)</w:t>
      </w:r>
      <w:r w:rsidRPr="006663CF">
        <w:rPr>
          <w:rFonts w:eastAsia="ヒラギノ明朝 Pro W3"/>
          <w:lang w:eastAsia="ja-JP"/>
        </w:rPr>
        <w:t xml:space="preserve"> on</w:t>
      </w:r>
      <w:r w:rsidRPr="006663CF">
        <w:t xml:space="preserve"> </w:t>
      </w:r>
      <w:r w:rsidRPr="006663CF">
        <w:rPr>
          <w:rFonts w:eastAsia="ヒラギノ明朝 Pro W3"/>
          <w:lang w:eastAsia="ja-JP"/>
        </w:rPr>
        <w:t xml:space="preserve">September 24, 2013. The deal </w:t>
      </w:r>
      <w:r>
        <w:rPr>
          <w:rFonts w:eastAsia="ヒラギノ明朝 Pro W3"/>
          <w:lang w:eastAsia="ja-JP"/>
        </w:rPr>
        <w:t>would</w:t>
      </w:r>
      <w:r w:rsidRPr="006663CF">
        <w:rPr>
          <w:rFonts w:eastAsia="ヒラギノ明朝 Pro W3"/>
          <w:lang w:eastAsia="ja-JP"/>
        </w:rPr>
        <w:t xml:space="preserve"> </w:t>
      </w:r>
      <w:r w:rsidR="00557F00">
        <w:rPr>
          <w:rFonts w:eastAsia="ヒラギノ明朝 Pro W3"/>
          <w:lang w:eastAsia="ja-JP"/>
        </w:rPr>
        <w:t>allow</w:t>
      </w:r>
      <w:r w:rsidRPr="006663CF">
        <w:rPr>
          <w:rFonts w:eastAsia="ヒラギノ明朝 Pro W3"/>
          <w:lang w:eastAsia="ja-JP"/>
        </w:rPr>
        <w:t xml:space="preserve"> the </w:t>
      </w:r>
      <w:r>
        <w:rPr>
          <w:rFonts w:eastAsia="ヒラギノ明朝 Pro W3"/>
          <w:lang w:eastAsia="ja-JP"/>
        </w:rPr>
        <w:t>combined</w:t>
      </w:r>
      <w:r w:rsidRPr="006663CF">
        <w:rPr>
          <w:rFonts w:eastAsia="ヒラギノ明朝 Pro W3"/>
          <w:lang w:eastAsia="ja-JP"/>
        </w:rPr>
        <w:t xml:space="preserve"> entity to compete effectively in the highly competitive and consolidated global semiconductor</w:t>
      </w:r>
      <w:r>
        <w:rPr>
          <w:rFonts w:eastAsia="ヒラギノ明朝 Pro W3" w:hint="eastAsia"/>
          <w:lang w:eastAsia="zh-CN"/>
        </w:rPr>
        <w:t xml:space="preserve"> manufac</w:t>
      </w:r>
      <w:r>
        <w:rPr>
          <w:rFonts w:eastAsia="ヒラギノ明朝 Pro W3"/>
          <w:lang w:eastAsia="zh-CN"/>
        </w:rPr>
        <w:t>turing equipment</w:t>
      </w:r>
      <w:r w:rsidRPr="006663CF">
        <w:rPr>
          <w:rFonts w:eastAsia="ヒラギノ明朝 Pro W3"/>
          <w:lang w:eastAsia="ja-JP"/>
        </w:rPr>
        <w:t xml:space="preserve"> </w:t>
      </w:r>
      <w:r>
        <w:rPr>
          <w:rFonts w:eastAsia="ヒラギノ明朝 Pro W3"/>
          <w:lang w:eastAsia="ja-JP"/>
        </w:rPr>
        <w:t xml:space="preserve">(SME) </w:t>
      </w:r>
      <w:r w:rsidRPr="006663CF">
        <w:rPr>
          <w:rFonts w:eastAsia="ヒラギノ明朝 Pro W3"/>
          <w:lang w:eastAsia="ja-JP"/>
        </w:rPr>
        <w:t>industry. However, one and a half year</w:t>
      </w:r>
      <w:r w:rsidR="001D6227">
        <w:rPr>
          <w:rFonts w:eastAsia="ヒラギノ明朝 Pro W3"/>
          <w:lang w:eastAsia="ja-JP"/>
        </w:rPr>
        <w:t>s</w:t>
      </w:r>
      <w:r w:rsidRPr="006663CF">
        <w:rPr>
          <w:rFonts w:eastAsia="ヒラギノ明朝 Pro W3"/>
          <w:lang w:eastAsia="ja-JP"/>
        </w:rPr>
        <w:t xml:space="preserve"> </w:t>
      </w:r>
      <w:r w:rsidR="00557F00">
        <w:rPr>
          <w:rFonts w:eastAsia="ヒラギノ明朝 Pro W3"/>
          <w:lang w:eastAsia="ja-JP"/>
        </w:rPr>
        <w:t>later</w:t>
      </w:r>
      <w:r w:rsidR="00B243A5">
        <w:rPr>
          <w:rFonts w:eastAsia="ヒラギノ明朝 Pro W3"/>
          <w:lang w:eastAsia="ja-JP"/>
        </w:rPr>
        <w:t>,</w:t>
      </w:r>
      <w:r w:rsidR="00557F00">
        <w:rPr>
          <w:rFonts w:eastAsia="ヒラギノ明朝 Pro W3"/>
          <w:lang w:eastAsia="ja-JP"/>
        </w:rPr>
        <w:t xml:space="preserve"> after multiple</w:t>
      </w:r>
      <w:r w:rsidRPr="006663CF">
        <w:rPr>
          <w:rFonts w:eastAsia="ヒラギノ明朝 Pro W3"/>
          <w:lang w:eastAsia="ja-JP"/>
        </w:rPr>
        <w:t xml:space="preserve"> delays in the approval from concerned governments in several countries, the deal was rejected</w:t>
      </w:r>
      <w:r w:rsidRPr="003E3343">
        <w:rPr>
          <w:rFonts w:eastAsia="ヒラギノ明朝 Pro W3"/>
          <w:lang w:eastAsia="ja-JP"/>
        </w:rPr>
        <w:t xml:space="preserve"> </w:t>
      </w:r>
      <w:r w:rsidRPr="006663CF">
        <w:rPr>
          <w:rFonts w:eastAsia="ヒラギノ明朝 Pro W3"/>
          <w:lang w:eastAsia="ja-JP"/>
        </w:rPr>
        <w:t>due to antitrust issues</w:t>
      </w:r>
      <w:r w:rsidR="001D6227">
        <w:rPr>
          <w:rFonts w:eastAsia="ヒラギノ明朝 Pro W3"/>
          <w:lang w:eastAsia="ja-JP"/>
        </w:rPr>
        <w:t>,</w:t>
      </w:r>
      <w:r w:rsidRPr="006663CF">
        <w:rPr>
          <w:rFonts w:eastAsia="ヒラギノ明朝 Pro W3"/>
          <w:lang w:eastAsia="ja-JP"/>
        </w:rPr>
        <w:t xml:space="preserve"> and both companies agreed to cancel the deal. Tokyo Electron probably suffered more from this failure</w:t>
      </w:r>
      <w:r w:rsidR="00B243A5">
        <w:rPr>
          <w:rFonts w:eastAsia="ヒラギノ明朝 Pro W3"/>
          <w:lang w:eastAsia="ja-JP"/>
        </w:rPr>
        <w:t>,</w:t>
      </w:r>
      <w:r w:rsidRPr="006663CF">
        <w:rPr>
          <w:rFonts w:eastAsia="ヒラギノ明朝 Pro W3"/>
          <w:lang w:eastAsia="ja-JP"/>
        </w:rPr>
        <w:t xml:space="preserve"> as Applied Materials had already sought new acquisitions or partnerships. Shortly after the cancellation, in October 2015, </w:t>
      </w:r>
      <w:r w:rsidR="00DF6141" w:rsidRPr="006663CF">
        <w:rPr>
          <w:rFonts w:eastAsia="ヒラギノ明朝 Pro W3"/>
          <w:lang w:eastAsia="ja-JP"/>
        </w:rPr>
        <w:t>L</w:t>
      </w:r>
      <w:r w:rsidR="00DF6141">
        <w:rPr>
          <w:rFonts w:eastAsia="ヒラギノ明朝 Pro W3"/>
          <w:lang w:eastAsia="ja-JP"/>
        </w:rPr>
        <w:t>am</w:t>
      </w:r>
      <w:r w:rsidR="00DF6141" w:rsidRPr="006663CF">
        <w:rPr>
          <w:rFonts w:eastAsia="ヒラギノ明朝 Pro W3"/>
          <w:lang w:eastAsia="ja-JP"/>
        </w:rPr>
        <w:t xml:space="preserve"> </w:t>
      </w:r>
      <w:r w:rsidRPr="006663CF">
        <w:rPr>
          <w:rFonts w:eastAsia="ヒラギノ明朝 Pro W3"/>
          <w:lang w:eastAsia="ja-JP"/>
        </w:rPr>
        <w:t xml:space="preserve">Research Corporation </w:t>
      </w:r>
      <w:r w:rsidR="004759BF">
        <w:rPr>
          <w:rFonts w:eastAsia="ヒラギノ明朝 Pro W3"/>
          <w:lang w:eastAsia="ja-JP"/>
        </w:rPr>
        <w:t xml:space="preserve">(Lam Research) </w:t>
      </w:r>
      <w:r w:rsidRPr="006663CF">
        <w:rPr>
          <w:rFonts w:eastAsia="ヒラギノ明朝 Pro W3"/>
          <w:lang w:eastAsia="ja-JP"/>
        </w:rPr>
        <w:t xml:space="preserve">announced a merger with </w:t>
      </w:r>
      <w:r w:rsidR="00CF177E" w:rsidRPr="006663CF">
        <w:rPr>
          <w:rFonts w:eastAsia="ヒラギノ明朝 Pro W3"/>
          <w:lang w:eastAsia="ja-JP"/>
        </w:rPr>
        <w:t>KLA</w:t>
      </w:r>
      <w:r w:rsidR="00CF177E">
        <w:rPr>
          <w:rFonts w:eastAsia="ヒラギノ明朝 Pro W3"/>
          <w:lang w:eastAsia="ja-JP"/>
        </w:rPr>
        <w:t>-</w:t>
      </w:r>
      <w:r w:rsidRPr="006663CF">
        <w:rPr>
          <w:rFonts w:eastAsia="ヒラギノ明朝 Pro W3"/>
          <w:lang w:eastAsia="ja-JP"/>
        </w:rPr>
        <w:t>Tencor</w:t>
      </w:r>
      <w:r w:rsidR="00E23484">
        <w:rPr>
          <w:rFonts w:eastAsia="ヒラギノ明朝 Pro W3"/>
          <w:lang w:eastAsia="ja-JP"/>
        </w:rPr>
        <w:t xml:space="preserve"> Corporation (KLA-Tencor)</w:t>
      </w:r>
      <w:r w:rsidRPr="006663CF">
        <w:rPr>
          <w:rFonts w:eastAsia="ヒラギノ明朝 Pro W3"/>
          <w:lang w:eastAsia="ja-JP"/>
        </w:rPr>
        <w:t xml:space="preserve">. If this merger </w:t>
      </w:r>
      <w:r w:rsidR="003C1D30" w:rsidRPr="006663CF">
        <w:rPr>
          <w:rFonts w:eastAsia="ヒラギノ明朝 Pro W3"/>
          <w:lang w:eastAsia="ja-JP"/>
        </w:rPr>
        <w:t>w</w:t>
      </w:r>
      <w:r w:rsidR="003C1D30">
        <w:rPr>
          <w:rFonts w:eastAsia="ヒラギノ明朝 Pro W3"/>
          <w:lang w:eastAsia="ja-JP"/>
        </w:rPr>
        <w:t>as</w:t>
      </w:r>
      <w:r w:rsidR="003C1D30" w:rsidRPr="006663CF">
        <w:rPr>
          <w:rFonts w:eastAsia="ヒラギノ明朝 Pro W3"/>
          <w:lang w:eastAsia="ja-JP"/>
        </w:rPr>
        <w:t xml:space="preserve"> </w:t>
      </w:r>
      <w:r>
        <w:rPr>
          <w:rFonts w:eastAsia="ヒラギノ明朝 Pro W3"/>
          <w:lang w:eastAsia="ja-JP"/>
        </w:rPr>
        <w:t>approved</w:t>
      </w:r>
      <w:r w:rsidRPr="006663CF">
        <w:rPr>
          <w:rFonts w:eastAsia="ヒラギノ明朝 Pro W3"/>
          <w:lang w:eastAsia="ja-JP"/>
        </w:rPr>
        <w:t xml:space="preserve">, the </w:t>
      </w:r>
      <w:r>
        <w:rPr>
          <w:rFonts w:eastAsia="ヒラギノ明朝 Pro W3"/>
          <w:lang w:eastAsia="ja-JP"/>
        </w:rPr>
        <w:t>SME</w:t>
      </w:r>
      <w:r w:rsidRPr="006663CF">
        <w:rPr>
          <w:rFonts w:eastAsia="ヒラギノ明朝 Pro W3"/>
          <w:lang w:eastAsia="ja-JP"/>
        </w:rPr>
        <w:t xml:space="preserve"> market would be led </w:t>
      </w:r>
      <w:r>
        <w:rPr>
          <w:rFonts w:eastAsia="ヒラギノ明朝 Pro W3"/>
          <w:lang w:eastAsia="ja-JP"/>
        </w:rPr>
        <w:t xml:space="preserve">only </w:t>
      </w:r>
      <w:r w:rsidRPr="006663CF">
        <w:rPr>
          <w:rFonts w:eastAsia="ヒラギノ明朝 Pro W3"/>
          <w:lang w:eastAsia="ja-JP"/>
        </w:rPr>
        <w:t>by Applied Materials, ASML</w:t>
      </w:r>
      <w:r w:rsidR="004759BF">
        <w:rPr>
          <w:rFonts w:eastAsia="ヒラギノ明朝 Pro W3"/>
          <w:lang w:eastAsia="ja-JP"/>
        </w:rPr>
        <w:t xml:space="preserve"> Holding</w:t>
      </w:r>
      <w:r w:rsidR="00C317B0">
        <w:rPr>
          <w:rFonts w:eastAsia="ヒラギノ明朝 Pro W3"/>
          <w:lang w:eastAsia="ja-JP"/>
        </w:rPr>
        <w:t xml:space="preserve"> (ASML)</w:t>
      </w:r>
      <w:r w:rsidRPr="006663CF">
        <w:rPr>
          <w:rFonts w:eastAsia="ヒラギノ明朝 Pro W3"/>
          <w:lang w:eastAsia="ja-JP"/>
        </w:rPr>
        <w:t xml:space="preserve">, and </w:t>
      </w:r>
      <w:r w:rsidR="00113EDB" w:rsidRPr="006663CF">
        <w:rPr>
          <w:rFonts w:eastAsia="ヒラギノ明朝 Pro W3"/>
          <w:lang w:eastAsia="ja-JP"/>
        </w:rPr>
        <w:t>L</w:t>
      </w:r>
      <w:r w:rsidR="00113EDB">
        <w:rPr>
          <w:rFonts w:eastAsia="ヒラギノ明朝 Pro W3"/>
          <w:lang w:eastAsia="ja-JP"/>
        </w:rPr>
        <w:t>am</w:t>
      </w:r>
      <w:r w:rsidR="004759BF">
        <w:rPr>
          <w:rFonts w:eastAsia="ヒラギノ明朝 Pro W3"/>
          <w:lang w:eastAsia="ja-JP"/>
        </w:rPr>
        <w:t xml:space="preserve"> Research</w:t>
      </w:r>
      <w:r w:rsidR="00CF177E">
        <w:rPr>
          <w:rFonts w:eastAsia="ヒラギノ明朝 Pro W3"/>
          <w:lang w:eastAsia="ja-JP"/>
        </w:rPr>
        <w:t>/</w:t>
      </w:r>
      <w:r w:rsidR="00CF177E" w:rsidRPr="006663CF">
        <w:rPr>
          <w:rFonts w:eastAsia="ヒラギノ明朝 Pro W3"/>
          <w:lang w:eastAsia="ja-JP"/>
        </w:rPr>
        <w:t>KLA</w:t>
      </w:r>
      <w:r w:rsidR="00CF177E">
        <w:rPr>
          <w:rFonts w:eastAsia="ヒラギノ明朝 Pro W3"/>
          <w:lang w:eastAsia="ja-JP"/>
        </w:rPr>
        <w:t>-</w:t>
      </w:r>
      <w:r w:rsidRPr="006663CF">
        <w:rPr>
          <w:rFonts w:eastAsia="ヒラギノ明朝 Pro W3"/>
          <w:lang w:eastAsia="ja-JP"/>
        </w:rPr>
        <w:t xml:space="preserve">Tencor, while Tokyo Electron would be marginalized. Given the tremendous cost pressures from </w:t>
      </w:r>
      <w:r>
        <w:rPr>
          <w:rFonts w:eastAsia="ヒラギノ明朝 Pro W3"/>
          <w:lang w:eastAsia="ja-JP"/>
        </w:rPr>
        <w:t>such</w:t>
      </w:r>
      <w:r w:rsidRPr="006663CF">
        <w:rPr>
          <w:rFonts w:eastAsia="ヒラギノ明朝 Pro W3"/>
          <w:lang w:eastAsia="ja-JP"/>
        </w:rPr>
        <w:t xml:space="preserve"> consolidated competitors and powerful customers, should the company initiate another merger </w:t>
      </w:r>
      <w:r>
        <w:rPr>
          <w:rFonts w:eastAsia="ヒラギノ明朝 Pro W3"/>
          <w:lang w:eastAsia="ja-JP"/>
        </w:rPr>
        <w:t>attempt</w:t>
      </w:r>
      <w:r w:rsidRPr="006663CF">
        <w:rPr>
          <w:rFonts w:eastAsia="ヒラギノ明朝 Pro W3"/>
          <w:lang w:eastAsia="ja-JP"/>
        </w:rPr>
        <w:t>? What kind of merger should be made? Were there other competitive options? Was its traditional Japanese style of business management an impediment to respon</w:t>
      </w:r>
      <w:r>
        <w:rPr>
          <w:rFonts w:eastAsia="ヒラギノ明朝 Pro W3"/>
          <w:lang w:eastAsia="ja-JP"/>
        </w:rPr>
        <w:t>d</w:t>
      </w:r>
      <w:r w:rsidR="001D6227">
        <w:rPr>
          <w:rFonts w:eastAsia="ヒラギノ明朝 Pro W3"/>
          <w:lang w:eastAsia="ja-JP"/>
        </w:rPr>
        <w:t>ing effectively</w:t>
      </w:r>
      <w:r w:rsidRPr="006663CF">
        <w:rPr>
          <w:rFonts w:eastAsia="ヒラギノ明朝 Pro W3"/>
          <w:lang w:eastAsia="ja-JP"/>
        </w:rPr>
        <w:t xml:space="preserve"> to such a demanding and dynamic industry environment?</w:t>
      </w:r>
    </w:p>
    <w:p w14:paraId="2F9D2C04" w14:textId="77777777" w:rsidR="003852D6" w:rsidRPr="006663CF" w:rsidRDefault="003852D6" w:rsidP="00C40355">
      <w:pPr>
        <w:pStyle w:val="BodyTextMain"/>
        <w:rPr>
          <w:rFonts w:eastAsia="ヒラギノ明朝 Pro W3"/>
          <w:lang w:eastAsia="ja-JP"/>
        </w:rPr>
      </w:pPr>
    </w:p>
    <w:p w14:paraId="3BAE51FF" w14:textId="77777777" w:rsidR="003852D6" w:rsidRPr="006663CF" w:rsidRDefault="003852D6" w:rsidP="00C40355">
      <w:pPr>
        <w:pStyle w:val="BodyTextMain"/>
        <w:rPr>
          <w:rFonts w:eastAsia="ヒラギノ明朝 Pro W3"/>
          <w:lang w:eastAsia="ja-JP"/>
        </w:rPr>
      </w:pPr>
    </w:p>
    <w:p w14:paraId="298C747C" w14:textId="420D9365" w:rsidR="003852D6" w:rsidRPr="006663CF" w:rsidRDefault="003852D6" w:rsidP="005520EF">
      <w:pPr>
        <w:pStyle w:val="Casehead1"/>
      </w:pPr>
      <w:r w:rsidRPr="006663CF">
        <w:t xml:space="preserve">OVERVIEW OF </w:t>
      </w:r>
      <w:r w:rsidR="001D6227">
        <w:t xml:space="preserve">the </w:t>
      </w:r>
      <w:r w:rsidRPr="006663CF">
        <w:t>Semiconductor Manufacturing Equipment Industry</w:t>
      </w:r>
    </w:p>
    <w:p w14:paraId="0C5D9284" w14:textId="77777777" w:rsidR="003852D6" w:rsidRPr="006663CF" w:rsidRDefault="003852D6" w:rsidP="00C40355">
      <w:pPr>
        <w:pStyle w:val="BodyTextMain"/>
      </w:pPr>
    </w:p>
    <w:p w14:paraId="535DE105" w14:textId="50C7A742" w:rsidR="003852D6" w:rsidRPr="006663CF" w:rsidRDefault="003852D6" w:rsidP="00C40355">
      <w:pPr>
        <w:pStyle w:val="BodyTextMain"/>
        <w:rPr>
          <w:lang w:eastAsia="zh-CN"/>
        </w:rPr>
      </w:pPr>
      <w:r w:rsidRPr="006663CF">
        <w:t>The SME industry referred to all the equipment and machinery used to produce semiconductor devices, including microprocessors and memory devices. Semiconductor equipment was classified into two main categories: front</w:t>
      </w:r>
      <w:r w:rsidR="001D6227">
        <w:t>-</w:t>
      </w:r>
      <w:r w:rsidRPr="006663CF">
        <w:t>end equipment and back-end equipment. The former included silicon wafer</w:t>
      </w:r>
      <w:r w:rsidR="00CF177E">
        <w:t>s</w:t>
      </w:r>
      <w:r w:rsidRPr="006663CF">
        <w:t xml:space="preserve"> and wafer</w:t>
      </w:r>
      <w:r w:rsidR="00590485">
        <w:t>-</w:t>
      </w:r>
      <w:r w:rsidRPr="006663CF">
        <w:t>processing equipment, while the latter included</w:t>
      </w:r>
      <w:r w:rsidR="00B83002">
        <w:t xml:space="preserve"> equipment for</w:t>
      </w:r>
      <w:r w:rsidRPr="006663CF">
        <w:t xml:space="preserve"> testing, assembling, and packaging. SME companies built machinery and equipment that the semiconductor industry would use to produce semiconductor devices. The SME industry itself did not directly produce semiconductor devices.</w:t>
      </w:r>
      <w:r>
        <w:t xml:space="preserve"> </w:t>
      </w:r>
      <w:r w:rsidRPr="006663CF">
        <w:t>The entire</w:t>
      </w:r>
      <w:r w:rsidRPr="00023710">
        <w:t xml:space="preserve"> </w:t>
      </w:r>
      <w:r w:rsidRPr="006663CF">
        <w:t xml:space="preserve">process </w:t>
      </w:r>
      <w:r>
        <w:t xml:space="preserve">for </w:t>
      </w:r>
      <w:r w:rsidR="001D6227">
        <w:t xml:space="preserve">chip </w:t>
      </w:r>
      <w:r w:rsidRPr="006663CF">
        <w:t>manufacturing</w:t>
      </w:r>
      <w:r>
        <w:t xml:space="preserve"> </w:t>
      </w:r>
      <w:r w:rsidRPr="006663CF">
        <w:t xml:space="preserve">took between six and eight weeks and was carried out in highly specialized </w:t>
      </w:r>
      <w:r w:rsidRPr="006663CF">
        <w:lastRenderedPageBreak/>
        <w:t xml:space="preserve">locations, called </w:t>
      </w:r>
      <w:proofErr w:type="spellStart"/>
      <w:r w:rsidRPr="006663CF">
        <w:t>fabs</w:t>
      </w:r>
      <w:proofErr w:type="spellEnd"/>
      <w:r w:rsidRPr="006663CF">
        <w:t xml:space="preserve">. These </w:t>
      </w:r>
      <w:proofErr w:type="spellStart"/>
      <w:r w:rsidRPr="006663CF">
        <w:t>fabs</w:t>
      </w:r>
      <w:proofErr w:type="spellEnd"/>
      <w:r w:rsidRPr="006663CF">
        <w:t xml:space="preserve"> were owned by semiconductor companies like Intel</w:t>
      </w:r>
      <w:r w:rsidR="002C7DB7">
        <w:t xml:space="preserve"> Corporation (Intel)</w:t>
      </w:r>
      <w:r w:rsidRPr="006663CF">
        <w:t>,</w:t>
      </w:r>
      <w:r w:rsidR="002612A7">
        <w:rPr>
          <w:rFonts w:hint="eastAsia"/>
          <w:lang w:eastAsia="zh-CN"/>
        </w:rPr>
        <w:t xml:space="preserve"> a</w:t>
      </w:r>
      <w:r w:rsidR="00CD0539">
        <w:rPr>
          <w:lang w:eastAsia="zh-CN"/>
        </w:rPr>
        <w:t>n American</w:t>
      </w:r>
      <w:r w:rsidR="002612A7">
        <w:rPr>
          <w:lang w:eastAsia="zh-CN"/>
        </w:rPr>
        <w:t xml:space="preserve"> multinational company,</w:t>
      </w:r>
      <w:r w:rsidRPr="006663CF">
        <w:t xml:space="preserve"> wh</w:t>
      </w:r>
      <w:r>
        <w:t>ich</w:t>
      </w:r>
      <w:r w:rsidRPr="006663CF">
        <w:t xml:space="preserve"> had more than </w:t>
      </w:r>
      <w:r w:rsidR="00CF177E">
        <w:t>12</w:t>
      </w:r>
      <w:r w:rsidR="00CF177E" w:rsidRPr="006663CF">
        <w:t xml:space="preserve"> </w:t>
      </w:r>
      <w:proofErr w:type="spellStart"/>
      <w:r w:rsidRPr="006663CF">
        <w:t>fabs</w:t>
      </w:r>
      <w:proofErr w:type="spellEnd"/>
      <w:r w:rsidRPr="006663CF">
        <w:t xml:space="preserve"> worldwide. There were four main stages of manufacturing, </w:t>
      </w:r>
      <w:r>
        <w:t>including wafer manufacturing, front-end</w:t>
      </w:r>
      <w:r w:rsidR="004029A7">
        <w:rPr>
          <w:rFonts w:hint="eastAsia"/>
          <w:lang w:eastAsia="zh-CN"/>
        </w:rPr>
        <w:t xml:space="preserve"> pro</w:t>
      </w:r>
      <w:r w:rsidR="004029A7">
        <w:rPr>
          <w:lang w:eastAsia="zh-CN"/>
        </w:rPr>
        <w:t>duction</w:t>
      </w:r>
      <w:r>
        <w:t>, wafer test</w:t>
      </w:r>
      <w:r w:rsidR="00CF177E">
        <w:t>ing</w:t>
      </w:r>
      <w:r>
        <w:t>, and back</w:t>
      </w:r>
      <w:r w:rsidR="001D6227">
        <w:t>-</w:t>
      </w:r>
      <w:r>
        <w:t>end</w:t>
      </w:r>
      <w:r w:rsidR="004029A7">
        <w:t xml:space="preserve"> production</w:t>
      </w:r>
      <w:r>
        <w:t>. Each stage involved</w:t>
      </w:r>
      <w:r w:rsidRPr="006663CF">
        <w:t xml:space="preserve"> </w:t>
      </w:r>
      <w:r>
        <w:t xml:space="preserve">process control and </w:t>
      </w:r>
      <w:r w:rsidR="0066661E">
        <w:t xml:space="preserve">a </w:t>
      </w:r>
      <w:r>
        <w:t>yield management process.</w:t>
      </w:r>
    </w:p>
    <w:p w14:paraId="00080163" w14:textId="740D19AA" w:rsidR="003852D6" w:rsidRPr="006663CF" w:rsidRDefault="003852D6" w:rsidP="00C40355">
      <w:pPr>
        <w:pStyle w:val="BodyTextMain"/>
        <w:rPr>
          <w:lang w:eastAsia="zh-CN"/>
        </w:rPr>
      </w:pPr>
    </w:p>
    <w:p w14:paraId="6125C46F" w14:textId="414D0BC9" w:rsidR="003852D6" w:rsidRPr="006663CF" w:rsidRDefault="003852D6" w:rsidP="00C40355">
      <w:pPr>
        <w:pStyle w:val="BodyTextMain"/>
        <w:rPr>
          <w:lang w:eastAsia="zh-CN"/>
        </w:rPr>
      </w:pPr>
      <w:r w:rsidRPr="006663CF">
        <w:rPr>
          <w:lang w:eastAsia="zh-CN"/>
        </w:rPr>
        <w:t xml:space="preserve">Not only was this manufacturing process complex, it was also costly. The </w:t>
      </w:r>
      <w:r>
        <w:rPr>
          <w:lang w:eastAsia="zh-CN"/>
        </w:rPr>
        <w:t>process costs</w:t>
      </w:r>
      <w:r w:rsidRPr="006663CF">
        <w:rPr>
          <w:lang w:eastAsia="zh-CN"/>
        </w:rPr>
        <w:t xml:space="preserve"> varied from </w:t>
      </w:r>
      <w:r w:rsidR="00997D61">
        <w:rPr>
          <w:lang w:eastAsia="zh-CN"/>
        </w:rPr>
        <w:t>US</w:t>
      </w:r>
      <w:r w:rsidRPr="006663CF">
        <w:rPr>
          <w:lang w:eastAsia="zh-CN"/>
        </w:rPr>
        <w:t>$200,000</w:t>
      </w:r>
      <w:r w:rsidR="004127D1">
        <w:rPr>
          <w:rStyle w:val="EndnoteReference"/>
          <w:lang w:eastAsia="zh-CN"/>
        </w:rPr>
        <w:endnoteReference w:id="3"/>
      </w:r>
      <w:r w:rsidRPr="006663CF">
        <w:t xml:space="preserve"> to $50 million depending on the equipment.</w:t>
      </w:r>
      <w:r>
        <w:rPr>
          <w:rStyle w:val="EndnoteReference"/>
        </w:rPr>
        <w:endnoteReference w:id="4"/>
      </w:r>
      <w:r w:rsidRPr="006663CF">
        <w:t xml:space="preserve"> In the end, because of the numerous expensive devices </w:t>
      </w:r>
      <w:r w:rsidR="008E1994">
        <w:t xml:space="preserve">that </w:t>
      </w:r>
      <w:r w:rsidRPr="006663CF">
        <w:t xml:space="preserve">were required </w:t>
      </w:r>
      <w:r w:rsidR="008E1994">
        <w:t xml:space="preserve">for it </w:t>
      </w:r>
      <w:r w:rsidRPr="006663CF">
        <w:t>to function, a fab would usually cost around $3 billion to $5 billion.</w:t>
      </w:r>
      <w:r>
        <w:rPr>
          <w:rStyle w:val="EndnoteReference"/>
        </w:rPr>
        <w:endnoteReference w:id="5"/>
      </w:r>
      <w:r w:rsidRPr="006663CF">
        <w:t xml:space="preserve"> </w:t>
      </w:r>
      <w:r w:rsidRPr="00BC489B">
        <w:t>Samsung</w:t>
      </w:r>
      <w:r w:rsidR="00264E36">
        <w:t xml:space="preserve"> Electronics (Samsung)</w:t>
      </w:r>
      <w:r>
        <w:t xml:space="preserve"> announced in May 2015 that it </w:t>
      </w:r>
      <w:r w:rsidRPr="00BC489B">
        <w:t>w</w:t>
      </w:r>
      <w:r>
        <w:t>ould build</w:t>
      </w:r>
      <w:r w:rsidRPr="00BC489B">
        <w:t xml:space="preserve"> a new </w:t>
      </w:r>
      <w:r>
        <w:t>$14</w:t>
      </w:r>
      <w:r w:rsidR="008E1994">
        <w:t xml:space="preserve"> </w:t>
      </w:r>
      <w:r w:rsidRPr="00BC489B">
        <w:t>billion fab in South Korea for 2017, the world</w:t>
      </w:r>
      <w:r w:rsidR="001D6227">
        <w:t>’s</w:t>
      </w:r>
      <w:r w:rsidRPr="00BC489B">
        <w:t xml:space="preserve"> most expensive fab</w:t>
      </w:r>
      <w:r>
        <w:t xml:space="preserve"> at the time</w:t>
      </w:r>
      <w:r w:rsidR="002C7DB7">
        <w:t xml:space="preserve"> of the announcement</w:t>
      </w:r>
      <w:r>
        <w:t>.</w:t>
      </w:r>
      <w:r>
        <w:rPr>
          <w:rStyle w:val="EndnoteReference"/>
        </w:rPr>
        <w:endnoteReference w:id="6"/>
      </w:r>
      <w:r w:rsidRPr="00BC489B" w:rsidDel="00BC489B">
        <w:t xml:space="preserve"> </w:t>
      </w:r>
      <w:r>
        <w:t>T</w:t>
      </w:r>
      <w:r w:rsidRPr="006663CF">
        <w:t xml:space="preserve">he costs of </w:t>
      </w:r>
      <w:r w:rsidR="00F1274E">
        <w:t>SME</w:t>
      </w:r>
      <w:r w:rsidRPr="006663CF">
        <w:t xml:space="preserve"> were expected to rise by 7 per cent to 10 per cent in the coming years, which would in turn increase the costs of building a new fab to $10 billion.</w:t>
      </w:r>
      <w:r w:rsidRPr="006663CF">
        <w:rPr>
          <w:rStyle w:val="EndnoteReference"/>
        </w:rPr>
        <w:endnoteReference w:id="7"/>
      </w:r>
      <w:r w:rsidRPr="006663CF">
        <w:t xml:space="preserve"> </w:t>
      </w:r>
      <w:r>
        <w:t>Therefore</w:t>
      </w:r>
      <w:r w:rsidRPr="006663CF">
        <w:t xml:space="preserve">, few companies would be able to build a new fab in the coming years, which also meant that semiconductor equipment companies would </w:t>
      </w:r>
      <w:r w:rsidR="00250AB8">
        <w:t>rarely</w:t>
      </w:r>
      <w:r w:rsidR="00250AB8" w:rsidRPr="006663CF">
        <w:t xml:space="preserve"> </w:t>
      </w:r>
      <w:r w:rsidRPr="006663CF">
        <w:t>be able to afford one.</w:t>
      </w:r>
    </w:p>
    <w:p w14:paraId="00EDBA6F" w14:textId="77777777" w:rsidR="003852D6" w:rsidRPr="006663CF" w:rsidRDefault="003852D6" w:rsidP="00C40355">
      <w:pPr>
        <w:pStyle w:val="BodyTextMain"/>
      </w:pPr>
    </w:p>
    <w:p w14:paraId="7AE773A9" w14:textId="58EAEA5E" w:rsidR="003852D6" w:rsidRPr="006663CF" w:rsidRDefault="003852D6" w:rsidP="00C40355">
      <w:pPr>
        <w:pStyle w:val="BodyTextMain"/>
      </w:pPr>
      <w:r w:rsidRPr="006663CF">
        <w:t>The SME industry had always been characterized by its volatility</w:t>
      </w:r>
      <w:r>
        <w:t xml:space="preserve"> because of technological change and intense competition</w:t>
      </w:r>
      <w:r w:rsidRPr="006663CF">
        <w:t xml:space="preserve">. For example, in 2000, industry sales reached a new record of $47.7 billion but then plummeted to $28 billion the following year. The gap between the most profitable year </w:t>
      </w:r>
      <w:r w:rsidR="001D6227">
        <w:t>(</w:t>
      </w:r>
      <w:r w:rsidRPr="006663CF">
        <w:t>2000</w:t>
      </w:r>
      <w:r w:rsidR="001D6227">
        <w:t>)</w:t>
      </w:r>
      <w:r w:rsidRPr="006663CF">
        <w:t xml:space="preserve"> and the least profitable year </w:t>
      </w:r>
      <w:r w:rsidR="001D6227">
        <w:t>(</w:t>
      </w:r>
      <w:r w:rsidRPr="006663CF">
        <w:t>2005</w:t>
      </w:r>
      <w:r w:rsidR="001D6227">
        <w:t>)</w:t>
      </w:r>
      <w:r w:rsidRPr="006663CF">
        <w:t xml:space="preserve"> was greater than $35 billion</w:t>
      </w:r>
      <w:r>
        <w:t xml:space="preserve"> (</w:t>
      </w:r>
      <w:r w:rsidR="001D6227">
        <w:t>s</w:t>
      </w:r>
      <w:r>
        <w:t>ee Exhibit 1)</w:t>
      </w:r>
      <w:r w:rsidR="001D6227">
        <w:t>.</w:t>
      </w:r>
      <w:r w:rsidRPr="006663CF">
        <w:t xml:space="preserve"> Such high uncertainty was caused by the volatility of the consumer electronics market, which in turn had a large impact on the semiconductor industry. Therefore, the demand for SME </w:t>
      </w:r>
      <w:r w:rsidR="00823716">
        <w:t>was</w:t>
      </w:r>
      <w:r w:rsidR="00823716" w:rsidRPr="006663CF">
        <w:t xml:space="preserve"> </w:t>
      </w:r>
      <w:r w:rsidRPr="006663CF">
        <w:t xml:space="preserve">driven by the demand from the semiconductor industry, which itself depended on the consumer </w:t>
      </w:r>
      <w:r>
        <w:t>demand</w:t>
      </w:r>
      <w:r w:rsidRPr="006663CF">
        <w:t xml:space="preserve"> for electronic products (e.g., computers, tablets, and smartphones)</w:t>
      </w:r>
      <w:r>
        <w:t xml:space="preserve"> </w:t>
      </w:r>
      <w:r w:rsidRPr="006663CF">
        <w:t>that used semiconductor</w:t>
      </w:r>
      <w:r w:rsidR="00A5220B">
        <w:rPr>
          <w:rFonts w:hint="eastAsia"/>
          <w:lang w:eastAsia="zh-CN"/>
        </w:rPr>
        <w:t>s</w:t>
      </w:r>
      <w:r w:rsidRPr="006663CF">
        <w:t xml:space="preserve">. Given </w:t>
      </w:r>
      <w:r w:rsidR="00823716">
        <w:t xml:space="preserve">that </w:t>
      </w:r>
      <w:r>
        <w:t>the life</w:t>
      </w:r>
      <w:r w:rsidR="002C7DB7">
        <w:t xml:space="preserve"> </w:t>
      </w:r>
      <w:r>
        <w:t>cycle for the</w:t>
      </w:r>
      <w:r w:rsidRPr="006663CF">
        <w:t>se products was rather short (e.g., 4.7 years for smartphone</w:t>
      </w:r>
      <w:r w:rsidR="00823716">
        <w:t>s</w:t>
      </w:r>
      <w:r w:rsidRPr="006663CF">
        <w:t xml:space="preserve"> and 5.1 for tablets in 2014)</w:t>
      </w:r>
      <w:r>
        <w:t>,</w:t>
      </w:r>
      <w:r w:rsidRPr="006663CF">
        <w:t xml:space="preserve"> </w:t>
      </w:r>
      <w:r>
        <w:t>i</w:t>
      </w:r>
      <w:r w:rsidRPr="006663CF">
        <w:t>t was necessary for SME players to constantly innovate to remain competitive in the market.</w:t>
      </w:r>
    </w:p>
    <w:p w14:paraId="1C4D14C1" w14:textId="77777777" w:rsidR="003852D6" w:rsidRDefault="003852D6" w:rsidP="00C40355">
      <w:pPr>
        <w:pStyle w:val="BodyTextMain"/>
      </w:pPr>
    </w:p>
    <w:p w14:paraId="5421FB6A" w14:textId="77777777" w:rsidR="003852D6" w:rsidRPr="006663CF" w:rsidRDefault="003852D6" w:rsidP="00C40355">
      <w:pPr>
        <w:pStyle w:val="BodyTextMain"/>
      </w:pPr>
    </w:p>
    <w:p w14:paraId="36B70067" w14:textId="77777777" w:rsidR="003852D6" w:rsidRPr="006663CF" w:rsidRDefault="003852D6" w:rsidP="00D01489">
      <w:pPr>
        <w:pStyle w:val="Casehead2"/>
        <w:rPr>
          <w:lang w:eastAsia="zh-CN"/>
        </w:rPr>
      </w:pPr>
      <w:r w:rsidRPr="006663CF">
        <w:rPr>
          <w:lang w:eastAsia="zh-CN"/>
        </w:rPr>
        <w:t>Customers and Competitors</w:t>
      </w:r>
    </w:p>
    <w:p w14:paraId="259742AA" w14:textId="77777777" w:rsidR="003852D6" w:rsidRPr="006663CF" w:rsidRDefault="003852D6" w:rsidP="00C40355">
      <w:pPr>
        <w:pStyle w:val="BodyTextMain"/>
      </w:pPr>
    </w:p>
    <w:p w14:paraId="36E54608" w14:textId="7FCCEB35" w:rsidR="003852D6" w:rsidRPr="006663CF" w:rsidRDefault="003852D6" w:rsidP="00C40355">
      <w:pPr>
        <w:pStyle w:val="BodyTextMain"/>
      </w:pPr>
      <w:r w:rsidRPr="006663CF">
        <w:t xml:space="preserve">The </w:t>
      </w:r>
      <w:r>
        <w:t xml:space="preserve">SME </w:t>
      </w:r>
      <w:r w:rsidRPr="006663CF">
        <w:t>market was dominated by buyers from the U</w:t>
      </w:r>
      <w:r w:rsidR="00C8765F">
        <w:t xml:space="preserve">nited </w:t>
      </w:r>
      <w:r w:rsidRPr="006663CF">
        <w:t>S</w:t>
      </w:r>
      <w:r w:rsidR="00C8765F">
        <w:t>tates</w:t>
      </w:r>
      <w:r w:rsidRPr="006663CF">
        <w:t>, South Korea, and Japan. Intel</w:t>
      </w:r>
      <w:r w:rsidR="00AC7481">
        <w:t xml:space="preserve"> </w:t>
      </w:r>
      <w:r w:rsidRPr="006663CF">
        <w:t xml:space="preserve">led the market with </w:t>
      </w:r>
      <w:r>
        <w:t>revenue</w:t>
      </w:r>
      <w:r w:rsidRPr="00791A2B">
        <w:t xml:space="preserve"> </w:t>
      </w:r>
      <w:r>
        <w:t xml:space="preserve">of </w:t>
      </w:r>
      <w:r w:rsidRPr="00791A2B">
        <w:t>$51 bill</w:t>
      </w:r>
      <w:r>
        <w:t>ion in 2014 (</w:t>
      </w:r>
      <w:r w:rsidR="00DF6141">
        <w:t xml:space="preserve">a </w:t>
      </w:r>
      <w:r>
        <w:t>6 per cent</w:t>
      </w:r>
      <w:r w:rsidRPr="00791A2B">
        <w:t xml:space="preserve"> increase compared to 2013)</w:t>
      </w:r>
      <w:r>
        <w:t>,</w:t>
      </w:r>
      <w:r w:rsidRPr="006663CF">
        <w:t xml:space="preserve"> followed by Samsung (South Korea) with </w:t>
      </w:r>
      <w:r>
        <w:t>revenue of $37 billion (</w:t>
      </w:r>
      <w:r w:rsidR="00DF6141">
        <w:t xml:space="preserve">an </w:t>
      </w:r>
      <w:r>
        <w:t>8 per cent</w:t>
      </w:r>
      <w:r w:rsidRPr="00791A2B">
        <w:t xml:space="preserve"> increase)</w:t>
      </w:r>
      <w:r w:rsidRPr="006663CF">
        <w:t xml:space="preserve">, </w:t>
      </w:r>
      <w:r>
        <w:t xml:space="preserve">and </w:t>
      </w:r>
      <w:r w:rsidRPr="006663CF">
        <w:t xml:space="preserve">Taiwan Semiconductor Manufacturing Company </w:t>
      </w:r>
      <w:r>
        <w:t>(</w:t>
      </w:r>
      <w:r w:rsidRPr="006663CF">
        <w:t>TSMC</w:t>
      </w:r>
      <w:r>
        <w:t>)</w:t>
      </w:r>
      <w:r w:rsidRPr="006663CF">
        <w:t xml:space="preserve"> with </w:t>
      </w:r>
      <w:r>
        <w:t xml:space="preserve">revenue of </w:t>
      </w:r>
      <w:r w:rsidRPr="00791A2B">
        <w:t xml:space="preserve">$25 </w:t>
      </w:r>
      <w:r w:rsidR="00823716">
        <w:t>b</w:t>
      </w:r>
      <w:r w:rsidR="00823716" w:rsidRPr="00791A2B">
        <w:t>illi</w:t>
      </w:r>
      <w:r w:rsidR="00823716">
        <w:t xml:space="preserve">on </w:t>
      </w:r>
      <w:r>
        <w:t>(</w:t>
      </w:r>
      <w:r w:rsidR="00DF6141">
        <w:t xml:space="preserve">a </w:t>
      </w:r>
      <w:r>
        <w:t>28 per cent</w:t>
      </w:r>
      <w:r w:rsidRPr="00791A2B">
        <w:t xml:space="preserve"> increase). The combin</w:t>
      </w:r>
      <w:r w:rsidR="00823716">
        <w:t xml:space="preserve">ed </w:t>
      </w:r>
      <w:r>
        <w:t xml:space="preserve">revenue </w:t>
      </w:r>
      <w:r w:rsidR="00823716">
        <w:t>of</w:t>
      </w:r>
      <w:r>
        <w:t xml:space="preserve"> </w:t>
      </w:r>
      <w:r w:rsidRPr="00791A2B">
        <w:t>the</w:t>
      </w:r>
      <w:r>
        <w:t>se three</w:t>
      </w:r>
      <w:r w:rsidRPr="00791A2B">
        <w:t xml:space="preserve"> </w:t>
      </w:r>
      <w:r>
        <w:t>industry leaders was higher than that</w:t>
      </w:r>
      <w:r w:rsidRPr="00791A2B">
        <w:t xml:space="preserve"> of their next</w:t>
      </w:r>
      <w:r>
        <w:t xml:space="preserve"> ten</w:t>
      </w:r>
      <w:r w:rsidRPr="00791A2B">
        <w:t xml:space="preserve"> competitors</w:t>
      </w:r>
      <w:r w:rsidRPr="006663CF">
        <w:t>.</w:t>
      </w:r>
      <w:r w:rsidRPr="006663CF">
        <w:rPr>
          <w:rStyle w:val="EndnoteReference"/>
        </w:rPr>
        <w:endnoteReference w:id="8"/>
      </w:r>
      <w:r>
        <w:t xml:space="preserve"> </w:t>
      </w:r>
      <w:r w:rsidRPr="006663CF">
        <w:t xml:space="preserve">The top </w:t>
      </w:r>
      <w:r w:rsidR="00F839D0">
        <w:t>10</w:t>
      </w:r>
      <w:r w:rsidRPr="006663CF">
        <w:t xml:space="preserve"> leading companies held 59 per cent of the market, </w:t>
      </w:r>
      <w:r w:rsidR="00823716">
        <w:t>but</w:t>
      </w:r>
      <w:r w:rsidR="00823716" w:rsidRPr="006663CF">
        <w:t xml:space="preserve"> </w:t>
      </w:r>
      <w:r w:rsidRPr="006663CF">
        <w:t xml:space="preserve">this number </w:t>
      </w:r>
      <w:r w:rsidR="007A07EB">
        <w:t xml:space="preserve">would </w:t>
      </w:r>
      <w:r>
        <w:t>tend</w:t>
      </w:r>
      <w:r w:rsidRPr="006663CF">
        <w:t xml:space="preserve"> to increase as the industry </w:t>
      </w:r>
      <w:r>
        <w:t>became</w:t>
      </w:r>
      <w:r w:rsidRPr="006663CF">
        <w:t xml:space="preserve"> </w:t>
      </w:r>
      <w:r>
        <w:t xml:space="preserve">more </w:t>
      </w:r>
      <w:r w:rsidRPr="006663CF">
        <w:t>consolidat</w:t>
      </w:r>
      <w:r>
        <w:t>ed</w:t>
      </w:r>
      <w:r w:rsidR="00DF6141">
        <w:t>,</w:t>
      </w:r>
      <w:r w:rsidRPr="006663CF">
        <w:t xml:space="preserve"> with 23 </w:t>
      </w:r>
      <w:r w:rsidR="00DF6141">
        <w:t>m</w:t>
      </w:r>
      <w:r w:rsidR="00DF6141" w:rsidRPr="00DF6141">
        <w:t xml:space="preserve">ergers and acquisitions </w:t>
      </w:r>
      <w:r w:rsidRPr="006663CF">
        <w:t>deals completed in 2015</w:t>
      </w:r>
      <w:r>
        <w:t>.</w:t>
      </w:r>
      <w:r>
        <w:rPr>
          <w:rStyle w:val="EndnoteReference"/>
        </w:rPr>
        <w:endnoteReference w:id="9"/>
      </w:r>
      <w:r w:rsidRPr="006663CF">
        <w:t xml:space="preserve"> These buyers looked for equipment that would combine technical performance</w:t>
      </w:r>
      <w:r w:rsidR="00662573" w:rsidRPr="00662573">
        <w:t>, value, and durability</w:t>
      </w:r>
      <w:r w:rsidRPr="006663CF">
        <w:t xml:space="preserve">. </w:t>
      </w:r>
      <w:r w:rsidRPr="00AD7550">
        <w:t xml:space="preserve">Given their net increase in revenue </w:t>
      </w:r>
      <w:r>
        <w:t xml:space="preserve">of over </w:t>
      </w:r>
      <w:r w:rsidR="00823716">
        <w:t xml:space="preserve">three </w:t>
      </w:r>
      <w:r>
        <w:t>times</w:t>
      </w:r>
      <w:r w:rsidRPr="00AD7550">
        <w:t xml:space="preserve"> th</w:t>
      </w:r>
      <w:r>
        <w:t>e revenue of SME</w:t>
      </w:r>
      <w:r w:rsidR="00C317B0">
        <w:t xml:space="preserve"> firm</w:t>
      </w:r>
      <w:r>
        <w:t xml:space="preserve">s, these buyers </w:t>
      </w:r>
      <w:r w:rsidR="00C8765F">
        <w:t xml:space="preserve">could put significant </w:t>
      </w:r>
      <w:r w:rsidRPr="00AD7550">
        <w:t xml:space="preserve">pressure on </w:t>
      </w:r>
      <w:r>
        <w:t>SME</w:t>
      </w:r>
      <w:r w:rsidR="00C317B0">
        <w:t xml:space="preserve"> firm</w:t>
      </w:r>
      <w:r>
        <w:t>s (</w:t>
      </w:r>
      <w:r w:rsidR="00C8765F">
        <w:t>s</w:t>
      </w:r>
      <w:r>
        <w:t>ee Exhibit 2</w:t>
      </w:r>
      <w:r w:rsidRPr="00AD7550">
        <w:t>)</w:t>
      </w:r>
      <w:r w:rsidR="00C8765F">
        <w:t>.</w:t>
      </w:r>
    </w:p>
    <w:p w14:paraId="14BC6552" w14:textId="77777777" w:rsidR="003852D6" w:rsidRPr="006663CF" w:rsidRDefault="003852D6" w:rsidP="00C40355">
      <w:pPr>
        <w:pStyle w:val="BodyTextMain"/>
      </w:pPr>
    </w:p>
    <w:p w14:paraId="1A87A80C" w14:textId="735C82D1" w:rsidR="003852D6" w:rsidRPr="006663CF" w:rsidRDefault="003852D6" w:rsidP="00C40355">
      <w:pPr>
        <w:pStyle w:val="BodyTextMain"/>
      </w:pPr>
      <w:r w:rsidRPr="006663CF">
        <w:t>The SME market was</w:t>
      </w:r>
      <w:r>
        <w:t xml:space="preserve"> </w:t>
      </w:r>
      <w:r w:rsidRPr="006663CF">
        <w:t>highly concentrated</w:t>
      </w:r>
      <w:r w:rsidR="00823716">
        <w:t>,</w:t>
      </w:r>
      <w:r w:rsidRPr="006663CF">
        <w:t xml:space="preserve"> with 85 per cent of </w:t>
      </w:r>
      <w:r>
        <w:t>its</w:t>
      </w:r>
      <w:r w:rsidRPr="006663CF">
        <w:t xml:space="preserve"> worldwide sales held by manufacturers in Taiwan, South Korea, China, Japan, and </w:t>
      </w:r>
      <w:r w:rsidR="00C3610B">
        <w:t>North America</w:t>
      </w:r>
      <w:r w:rsidR="00C8765F">
        <w:t xml:space="preserve"> (s</w:t>
      </w:r>
      <w:r>
        <w:t>ee Exhibit 3)</w:t>
      </w:r>
      <w:r w:rsidR="00C8765F">
        <w:t>.</w:t>
      </w:r>
      <w:r w:rsidRPr="006663CF">
        <w:t xml:space="preserve"> Europe and the Middle East represented only 6 per cent of total sales. In 2013, $23 billion or 70 per cent out of a total of $33 billion of industry sales was made by </w:t>
      </w:r>
      <w:r w:rsidR="00F839D0">
        <w:t>10</w:t>
      </w:r>
      <w:r w:rsidRPr="006663CF">
        <w:t xml:space="preserve"> companies</w:t>
      </w:r>
      <w:r w:rsidR="00C317B0">
        <w:t>,</w:t>
      </w:r>
      <w:r>
        <w:t xml:space="preserve"> and t</w:t>
      </w:r>
      <w:r w:rsidRPr="006663CF">
        <w:t xml:space="preserve">he remaining 30 per cent </w:t>
      </w:r>
      <w:r w:rsidR="00DF6141" w:rsidRPr="006663CF">
        <w:t xml:space="preserve">was made </w:t>
      </w:r>
      <w:r w:rsidRPr="006663CF">
        <w:t>by the top two</w:t>
      </w:r>
      <w:r>
        <w:t>,</w:t>
      </w:r>
      <w:r w:rsidRPr="006663CF">
        <w:t xml:space="preserve"> Applied Materials and </w:t>
      </w:r>
      <w:r w:rsidR="000A51E9">
        <w:t>ASML</w:t>
      </w:r>
      <w:r w:rsidRPr="006663CF">
        <w:t>.</w:t>
      </w:r>
      <w:r>
        <w:rPr>
          <w:rStyle w:val="EndnoteReference"/>
        </w:rPr>
        <w:endnoteReference w:id="10"/>
      </w:r>
      <w:r w:rsidRPr="006663CF">
        <w:t xml:space="preserve"> </w:t>
      </w:r>
      <w:r>
        <w:t>Due to</w:t>
      </w:r>
      <w:r w:rsidRPr="006663CF">
        <w:t xml:space="preserve"> the length and complexity of the manufacturing process, a</w:t>
      </w:r>
      <w:r>
        <w:t>nd</w:t>
      </w:r>
      <w:r w:rsidRPr="006663CF">
        <w:t xml:space="preserve"> the cost of developing new equipment, </w:t>
      </w:r>
      <w:r>
        <w:t>SME</w:t>
      </w:r>
      <w:r w:rsidRPr="006663CF">
        <w:t xml:space="preserve"> companies tended to specialize in one portion of the manufacturing process. For example, ASML specialized in the lithography system and thus </w:t>
      </w:r>
      <w:r w:rsidR="00C317B0">
        <w:t>occupied</w:t>
      </w:r>
      <w:r w:rsidRPr="006663CF">
        <w:t xml:space="preserve"> </w:t>
      </w:r>
      <w:r>
        <w:t>82</w:t>
      </w:r>
      <w:r w:rsidRPr="006663CF">
        <w:t xml:space="preserve"> per cent of the</w:t>
      </w:r>
      <w:r>
        <w:t xml:space="preserve"> upper-end</w:t>
      </w:r>
      <w:r w:rsidRPr="006663CF">
        <w:t xml:space="preserve"> lithography market</w:t>
      </w:r>
      <w:r>
        <w:t xml:space="preserve"> share</w:t>
      </w:r>
      <w:r w:rsidRPr="006663CF">
        <w:t>.</w:t>
      </w:r>
      <w:r>
        <w:rPr>
          <w:rStyle w:val="EndnoteReference"/>
        </w:rPr>
        <w:endnoteReference w:id="11"/>
      </w:r>
      <w:r w:rsidR="00DF6141">
        <w:t xml:space="preserve"> </w:t>
      </w:r>
    </w:p>
    <w:p w14:paraId="6146A31B" w14:textId="77777777" w:rsidR="003852D6" w:rsidRPr="006663CF" w:rsidRDefault="003852D6" w:rsidP="00C40355">
      <w:pPr>
        <w:pStyle w:val="BodyTextMain"/>
        <w:rPr>
          <w:lang w:eastAsia="zh-CN"/>
        </w:rPr>
      </w:pPr>
    </w:p>
    <w:p w14:paraId="6DEC3F56" w14:textId="77777777" w:rsidR="003852D6" w:rsidRPr="006663CF" w:rsidRDefault="003852D6" w:rsidP="00C40355">
      <w:pPr>
        <w:pStyle w:val="BodyTextMain"/>
        <w:rPr>
          <w:lang w:eastAsia="zh-CN"/>
        </w:rPr>
      </w:pPr>
    </w:p>
    <w:p w14:paraId="515A36FC" w14:textId="77777777" w:rsidR="00816B58" w:rsidRDefault="00816B58" w:rsidP="00073B29">
      <w:pPr>
        <w:pStyle w:val="Casehead1"/>
      </w:pPr>
    </w:p>
    <w:p w14:paraId="1B46C21A" w14:textId="0BB918E1" w:rsidR="003852D6" w:rsidRPr="00073B29" w:rsidRDefault="003852D6" w:rsidP="00073B29">
      <w:pPr>
        <w:pStyle w:val="Casehead1"/>
      </w:pPr>
      <w:r w:rsidRPr="00073B29">
        <w:lastRenderedPageBreak/>
        <w:t>KEY players in the industry</w:t>
      </w:r>
    </w:p>
    <w:p w14:paraId="04911CAA" w14:textId="77777777" w:rsidR="003852D6" w:rsidRPr="00073B29" w:rsidRDefault="003852D6" w:rsidP="00073B29">
      <w:pPr>
        <w:pStyle w:val="BodyTextMain"/>
      </w:pPr>
    </w:p>
    <w:p w14:paraId="4E056898" w14:textId="77777777" w:rsidR="003852D6" w:rsidRPr="00073B29" w:rsidRDefault="003852D6" w:rsidP="00073B29">
      <w:pPr>
        <w:pStyle w:val="Casehead2"/>
      </w:pPr>
      <w:r w:rsidRPr="00073B29">
        <w:t>Applied Materials</w:t>
      </w:r>
    </w:p>
    <w:p w14:paraId="408A69F5" w14:textId="77777777" w:rsidR="003852D6" w:rsidRPr="00073B29" w:rsidRDefault="003852D6" w:rsidP="00073B29">
      <w:pPr>
        <w:pStyle w:val="BodyTextMain"/>
      </w:pPr>
    </w:p>
    <w:p w14:paraId="190FB492" w14:textId="54D916DE" w:rsidR="003852D6" w:rsidRPr="006663CF" w:rsidRDefault="003852D6" w:rsidP="00073B29">
      <w:pPr>
        <w:pStyle w:val="BodyTextMain"/>
        <w:rPr>
          <w:lang w:eastAsia="zh-CN"/>
        </w:rPr>
      </w:pPr>
      <w:r w:rsidRPr="00073B29">
        <w:t>Applied Material</w:t>
      </w:r>
      <w:r w:rsidR="00DF6141">
        <w:t>s</w:t>
      </w:r>
      <w:r w:rsidRPr="00073B29">
        <w:t xml:space="preserve"> was an American company headquartered in the Silicon Valley, </w:t>
      </w:r>
      <w:r w:rsidR="00C8765F">
        <w:t>United States</w:t>
      </w:r>
      <w:r w:rsidRPr="00073B29">
        <w:t>. In 2015, the company was the industry leader</w:t>
      </w:r>
      <w:r w:rsidR="00823716">
        <w:t>,</w:t>
      </w:r>
      <w:r w:rsidRPr="00073B29">
        <w:t xml:space="preserve"> with $9.7 billion </w:t>
      </w:r>
      <w:r w:rsidR="00823716">
        <w:t xml:space="preserve">in </w:t>
      </w:r>
      <w:r w:rsidRPr="00073B29">
        <w:t xml:space="preserve">revenue, $1.5 billion </w:t>
      </w:r>
      <w:r w:rsidR="00823716">
        <w:t xml:space="preserve">in </w:t>
      </w:r>
      <w:r w:rsidRPr="00073B29">
        <w:t xml:space="preserve">investment in </w:t>
      </w:r>
      <w:r w:rsidR="00C8765F">
        <w:t>research and development (</w:t>
      </w:r>
      <w:r w:rsidRPr="00073B29">
        <w:t>R&amp;D</w:t>
      </w:r>
      <w:r w:rsidR="00C8765F">
        <w:t>)</w:t>
      </w:r>
      <w:r w:rsidRPr="00073B29">
        <w:t xml:space="preserve">, more than 10,200 patents, and 14,000 employees in 18 countries. It operated in four segments including silicon systems, applied global services, display, and energy and environmental solutions. In 2014, the company derived 66 per cent of </w:t>
      </w:r>
      <w:r w:rsidR="00823716">
        <w:t>its</w:t>
      </w:r>
      <w:r w:rsidR="00823716" w:rsidRPr="00073B29">
        <w:t xml:space="preserve"> </w:t>
      </w:r>
      <w:r w:rsidRPr="00073B29">
        <w:t>revenues from silicon systems.</w:t>
      </w:r>
      <w:r w:rsidRPr="00073B29">
        <w:rPr>
          <w:rStyle w:val="EndnoteReference"/>
        </w:rPr>
        <w:endnoteReference w:id="12"/>
      </w:r>
      <w:r w:rsidRPr="00073B29">
        <w:rPr>
          <w:vertAlign w:val="superscript"/>
        </w:rPr>
        <w:t xml:space="preserve"> </w:t>
      </w:r>
      <w:r w:rsidRPr="00073B29">
        <w:t xml:space="preserve">Its major customers were </w:t>
      </w:r>
      <w:r w:rsidR="00C317B0">
        <w:t>Taiwan Semiconductor Manufacturing Company, Limited (</w:t>
      </w:r>
      <w:r w:rsidRPr="00073B29">
        <w:t>TSMC</w:t>
      </w:r>
      <w:r w:rsidR="00C317B0">
        <w:t>)</w:t>
      </w:r>
      <w:r w:rsidRPr="00073B29">
        <w:t xml:space="preserve">, Samsung, and Intel. In 2015, </w:t>
      </w:r>
      <w:r w:rsidR="00DF6141" w:rsidRPr="00073B29">
        <w:t>Asia</w:t>
      </w:r>
      <w:r w:rsidR="00DF6141">
        <w:t>-</w:t>
      </w:r>
      <w:r w:rsidRPr="00073B29">
        <w:t>Pacific, the United States, and Europe represented 71 per cent, 22 per cent, and 7 per cent of revenues</w:t>
      </w:r>
      <w:r w:rsidR="00C8765F">
        <w:t>, respectively</w:t>
      </w:r>
      <w:r w:rsidRPr="006663CF">
        <w:rPr>
          <w:lang w:eastAsia="zh-CN"/>
        </w:rPr>
        <w:t>.</w:t>
      </w:r>
      <w:r>
        <w:rPr>
          <w:rStyle w:val="EndnoteReference"/>
          <w:lang w:eastAsia="zh-CN"/>
        </w:rPr>
        <w:endnoteReference w:id="13"/>
      </w:r>
      <w:r w:rsidRPr="006663CF">
        <w:rPr>
          <w:lang w:eastAsia="zh-CN"/>
        </w:rPr>
        <w:t xml:space="preserve"> </w:t>
      </w:r>
    </w:p>
    <w:p w14:paraId="0A8F1358" w14:textId="77777777" w:rsidR="003852D6" w:rsidRDefault="003852D6" w:rsidP="00C40355">
      <w:pPr>
        <w:pStyle w:val="BodyTextMain"/>
        <w:rPr>
          <w:lang w:eastAsia="zh-CN"/>
        </w:rPr>
      </w:pPr>
    </w:p>
    <w:p w14:paraId="2DE5C354" w14:textId="77777777" w:rsidR="003852D6" w:rsidRPr="006663CF" w:rsidRDefault="003852D6" w:rsidP="00C40355">
      <w:pPr>
        <w:pStyle w:val="BodyTextMain"/>
        <w:rPr>
          <w:lang w:eastAsia="zh-CN"/>
        </w:rPr>
      </w:pPr>
    </w:p>
    <w:p w14:paraId="6283355F" w14:textId="77777777" w:rsidR="003852D6" w:rsidRPr="006663CF" w:rsidRDefault="003852D6" w:rsidP="00884641">
      <w:pPr>
        <w:pStyle w:val="Casehead2"/>
        <w:rPr>
          <w:lang w:eastAsia="zh-CN"/>
        </w:rPr>
      </w:pPr>
      <w:r w:rsidRPr="006663CF">
        <w:rPr>
          <w:lang w:eastAsia="zh-CN"/>
        </w:rPr>
        <w:t>ASML</w:t>
      </w:r>
    </w:p>
    <w:p w14:paraId="5EA35EC4" w14:textId="77777777" w:rsidR="003852D6" w:rsidRPr="006663CF" w:rsidRDefault="003852D6" w:rsidP="00C40355">
      <w:pPr>
        <w:pStyle w:val="BodyTextMain"/>
        <w:rPr>
          <w:lang w:eastAsia="zh-CN"/>
        </w:rPr>
      </w:pPr>
    </w:p>
    <w:p w14:paraId="3C777C90" w14:textId="398BF474" w:rsidR="003852D6" w:rsidRPr="006663CF" w:rsidRDefault="003852D6" w:rsidP="00C40355">
      <w:pPr>
        <w:pStyle w:val="BodyTextMain"/>
        <w:rPr>
          <w:lang w:eastAsia="zh-CN"/>
        </w:rPr>
      </w:pPr>
      <w:r w:rsidRPr="006663CF">
        <w:rPr>
          <w:lang w:eastAsia="zh-CN"/>
        </w:rPr>
        <w:t xml:space="preserve">ASML was a Dutch company headquartered in </w:t>
      </w:r>
      <w:proofErr w:type="spellStart"/>
      <w:r w:rsidRPr="006663CF">
        <w:rPr>
          <w:lang w:eastAsia="zh-CN"/>
        </w:rPr>
        <w:t>Veldhoven</w:t>
      </w:r>
      <w:proofErr w:type="spellEnd"/>
      <w:r w:rsidRPr="006663CF">
        <w:rPr>
          <w:lang w:eastAsia="zh-CN"/>
        </w:rPr>
        <w:t xml:space="preserve">, the Netherlands. In 2015, </w:t>
      </w:r>
      <w:r>
        <w:rPr>
          <w:lang w:eastAsia="zh-CN"/>
        </w:rPr>
        <w:t>it</w:t>
      </w:r>
      <w:r w:rsidRPr="006663CF">
        <w:rPr>
          <w:lang w:eastAsia="zh-CN"/>
        </w:rPr>
        <w:t xml:space="preserve"> was ranked number two in the industry</w:t>
      </w:r>
      <w:r w:rsidR="00823716">
        <w:rPr>
          <w:lang w:eastAsia="zh-CN"/>
        </w:rPr>
        <w:t>,</w:t>
      </w:r>
      <w:r w:rsidRPr="006663CF">
        <w:rPr>
          <w:lang w:eastAsia="zh-CN"/>
        </w:rPr>
        <w:t xml:space="preserve"> with $6.3 billion </w:t>
      </w:r>
      <w:r w:rsidR="00823716">
        <w:rPr>
          <w:lang w:eastAsia="zh-CN"/>
        </w:rPr>
        <w:t xml:space="preserve">in </w:t>
      </w:r>
      <w:r w:rsidRPr="006663CF">
        <w:rPr>
          <w:lang w:eastAsia="zh-CN"/>
        </w:rPr>
        <w:t xml:space="preserve">revenue, $1.1 billion </w:t>
      </w:r>
      <w:r w:rsidR="00DF6141">
        <w:rPr>
          <w:lang w:eastAsia="zh-CN"/>
        </w:rPr>
        <w:t xml:space="preserve">in </w:t>
      </w:r>
      <w:r w:rsidRPr="006663CF">
        <w:rPr>
          <w:lang w:eastAsia="zh-CN"/>
        </w:rPr>
        <w:t xml:space="preserve">investment in R&amp;D, more than 10,000 patents, and 11,000 employees in 16 countries. ASML was the world leader </w:t>
      </w:r>
      <w:r w:rsidR="00DF6141">
        <w:rPr>
          <w:lang w:eastAsia="zh-CN"/>
        </w:rPr>
        <w:t>in</w:t>
      </w:r>
      <w:r w:rsidR="00DF6141" w:rsidRPr="006663CF">
        <w:rPr>
          <w:lang w:eastAsia="zh-CN"/>
        </w:rPr>
        <w:t xml:space="preserve"> </w:t>
      </w:r>
      <w:r w:rsidRPr="006663CF">
        <w:rPr>
          <w:lang w:eastAsia="zh-CN"/>
        </w:rPr>
        <w:t>lithography equipment. Its major customers</w:t>
      </w:r>
      <w:r w:rsidR="00C317B0">
        <w:rPr>
          <w:lang w:eastAsia="zh-CN"/>
        </w:rPr>
        <w:t>, too,</w:t>
      </w:r>
      <w:r w:rsidRPr="006663CF">
        <w:rPr>
          <w:lang w:eastAsia="zh-CN"/>
        </w:rPr>
        <w:t xml:space="preserve"> were T</w:t>
      </w:r>
      <w:r>
        <w:rPr>
          <w:lang w:eastAsia="zh-CN"/>
        </w:rPr>
        <w:t>SMC</w:t>
      </w:r>
      <w:r w:rsidRPr="006663CF">
        <w:rPr>
          <w:lang w:eastAsia="zh-CN"/>
        </w:rPr>
        <w:t xml:space="preserve">, Samsung, and Intel. </w:t>
      </w:r>
      <w:r>
        <w:rPr>
          <w:lang w:eastAsia="zh-CN"/>
        </w:rPr>
        <w:t>It</w:t>
      </w:r>
      <w:r w:rsidRPr="006663CF">
        <w:rPr>
          <w:lang w:eastAsia="zh-CN"/>
        </w:rPr>
        <w:t xml:space="preserve"> sold products in Asia, the </w:t>
      </w:r>
      <w:r w:rsidR="00823716" w:rsidRPr="00073B29">
        <w:t>United States</w:t>
      </w:r>
      <w:r w:rsidRPr="006663CF">
        <w:rPr>
          <w:lang w:eastAsia="zh-CN"/>
        </w:rPr>
        <w:t>, and Europe, representing 84 per cent, 14 per cent, and 2 per cent of sales revenues</w:t>
      </w:r>
      <w:r w:rsidR="00823716">
        <w:rPr>
          <w:lang w:eastAsia="zh-CN"/>
        </w:rPr>
        <w:t>,</w:t>
      </w:r>
      <w:r w:rsidRPr="006663CF">
        <w:rPr>
          <w:lang w:eastAsia="zh-CN"/>
        </w:rPr>
        <w:t xml:space="preserve"> respectively.</w:t>
      </w:r>
      <w:r>
        <w:rPr>
          <w:rStyle w:val="EndnoteReference"/>
          <w:lang w:eastAsia="zh-CN"/>
        </w:rPr>
        <w:endnoteReference w:id="14"/>
      </w:r>
    </w:p>
    <w:p w14:paraId="4EF287B7" w14:textId="77777777" w:rsidR="003852D6" w:rsidRDefault="003852D6" w:rsidP="00C40355">
      <w:pPr>
        <w:pStyle w:val="BodyTextMain"/>
        <w:rPr>
          <w:lang w:eastAsia="zh-CN"/>
        </w:rPr>
      </w:pPr>
    </w:p>
    <w:p w14:paraId="494D446E" w14:textId="77777777" w:rsidR="003852D6" w:rsidRPr="006663CF" w:rsidRDefault="003852D6" w:rsidP="00C40355">
      <w:pPr>
        <w:pStyle w:val="BodyTextMain"/>
        <w:rPr>
          <w:lang w:eastAsia="zh-CN"/>
        </w:rPr>
      </w:pPr>
    </w:p>
    <w:p w14:paraId="34471EB5" w14:textId="6A3EB42B" w:rsidR="003852D6" w:rsidRPr="006663CF" w:rsidRDefault="00DF6141" w:rsidP="00884641">
      <w:pPr>
        <w:pStyle w:val="Casehead2"/>
        <w:rPr>
          <w:lang w:eastAsia="zh-CN"/>
        </w:rPr>
      </w:pPr>
      <w:r w:rsidRPr="006663CF">
        <w:rPr>
          <w:lang w:eastAsia="zh-CN"/>
        </w:rPr>
        <w:t>L</w:t>
      </w:r>
      <w:r>
        <w:rPr>
          <w:lang w:eastAsia="zh-CN"/>
        </w:rPr>
        <w:t>am</w:t>
      </w:r>
      <w:r w:rsidRPr="006663CF">
        <w:rPr>
          <w:lang w:eastAsia="zh-CN"/>
        </w:rPr>
        <w:t xml:space="preserve"> </w:t>
      </w:r>
      <w:r w:rsidR="003852D6" w:rsidRPr="006663CF">
        <w:rPr>
          <w:lang w:eastAsia="zh-CN"/>
        </w:rPr>
        <w:t>Research</w:t>
      </w:r>
    </w:p>
    <w:p w14:paraId="2771CB10" w14:textId="77777777" w:rsidR="003852D6" w:rsidRPr="006663CF" w:rsidRDefault="003852D6" w:rsidP="00884641">
      <w:pPr>
        <w:pStyle w:val="BodyTextMain"/>
        <w:rPr>
          <w:lang w:eastAsia="zh-CN"/>
        </w:rPr>
      </w:pPr>
    </w:p>
    <w:p w14:paraId="74AF8202" w14:textId="49BA76CF" w:rsidR="003852D6" w:rsidRPr="00165F4C" w:rsidRDefault="00DF6141" w:rsidP="00C40355">
      <w:pPr>
        <w:pStyle w:val="BodyTextMain"/>
        <w:rPr>
          <w:spacing w:val="-2"/>
          <w:lang w:eastAsia="zh-CN"/>
        </w:rPr>
      </w:pPr>
      <w:r w:rsidRPr="00165F4C">
        <w:rPr>
          <w:spacing w:val="-2"/>
          <w:lang w:eastAsia="zh-CN"/>
        </w:rPr>
        <w:t xml:space="preserve">Lam </w:t>
      </w:r>
      <w:r w:rsidR="003852D6" w:rsidRPr="00165F4C">
        <w:rPr>
          <w:spacing w:val="-2"/>
          <w:lang w:eastAsia="zh-CN"/>
        </w:rPr>
        <w:t>Research was an American company headquartered in California. In 2015, the company was ranked number four in the industry</w:t>
      </w:r>
      <w:r w:rsidR="00823716" w:rsidRPr="00165F4C">
        <w:rPr>
          <w:spacing w:val="-2"/>
          <w:lang w:eastAsia="zh-CN"/>
        </w:rPr>
        <w:t>,</w:t>
      </w:r>
      <w:r w:rsidR="003852D6" w:rsidRPr="00165F4C">
        <w:rPr>
          <w:spacing w:val="-2"/>
          <w:lang w:eastAsia="zh-CN"/>
        </w:rPr>
        <w:t xml:space="preserve"> with $5.9 billion </w:t>
      </w:r>
      <w:r w:rsidR="00823716" w:rsidRPr="00165F4C">
        <w:rPr>
          <w:spacing w:val="-2"/>
          <w:lang w:eastAsia="zh-CN"/>
        </w:rPr>
        <w:t xml:space="preserve">in </w:t>
      </w:r>
      <w:r w:rsidR="003852D6" w:rsidRPr="00165F4C">
        <w:rPr>
          <w:spacing w:val="-2"/>
          <w:lang w:eastAsia="zh-CN"/>
        </w:rPr>
        <w:t xml:space="preserve">revenue, around 10,000 patents, and more than 6,300 employees in 16 countries. </w:t>
      </w:r>
      <w:r w:rsidR="00D706DE" w:rsidRPr="00165F4C">
        <w:rPr>
          <w:spacing w:val="-2"/>
          <w:lang w:eastAsia="zh-CN"/>
        </w:rPr>
        <w:t>Lam</w:t>
      </w:r>
      <w:r w:rsidR="004759BF" w:rsidRPr="00165F4C">
        <w:rPr>
          <w:spacing w:val="-2"/>
          <w:lang w:eastAsia="zh-CN"/>
        </w:rPr>
        <w:t xml:space="preserve"> Research</w:t>
      </w:r>
      <w:r w:rsidR="00D706DE" w:rsidRPr="00165F4C">
        <w:rPr>
          <w:spacing w:val="-2"/>
          <w:lang w:eastAsia="zh-CN"/>
        </w:rPr>
        <w:t xml:space="preserve">’s </w:t>
      </w:r>
      <w:r w:rsidR="003852D6" w:rsidRPr="00165F4C">
        <w:rPr>
          <w:spacing w:val="-2"/>
          <w:lang w:eastAsia="zh-CN"/>
        </w:rPr>
        <w:t xml:space="preserve">revenues were derived largely from etching (conductor, dielectric, and </w:t>
      </w:r>
      <w:r w:rsidR="00F517EB" w:rsidRPr="00165F4C">
        <w:rPr>
          <w:spacing w:val="-2"/>
          <w:lang w:eastAsia="zh-CN"/>
        </w:rPr>
        <w:t>si</w:t>
      </w:r>
      <w:r w:rsidR="003852D6" w:rsidRPr="00165F4C">
        <w:rPr>
          <w:spacing w:val="-2"/>
          <w:lang w:eastAsia="zh-CN"/>
        </w:rPr>
        <w:t xml:space="preserve">licon) and </w:t>
      </w:r>
      <w:r w:rsidR="00564A5E" w:rsidRPr="00165F4C">
        <w:rPr>
          <w:spacing w:val="-2"/>
        </w:rPr>
        <w:t>electrochemical deposition</w:t>
      </w:r>
      <w:r w:rsidR="003852D6" w:rsidRPr="00165F4C">
        <w:rPr>
          <w:spacing w:val="-2"/>
          <w:lang w:eastAsia="zh-CN"/>
        </w:rPr>
        <w:t xml:space="preserve">. </w:t>
      </w:r>
      <w:r w:rsidR="00D706DE" w:rsidRPr="00165F4C">
        <w:rPr>
          <w:spacing w:val="-2"/>
          <w:lang w:eastAsia="zh-CN"/>
        </w:rPr>
        <w:t xml:space="preserve">Its </w:t>
      </w:r>
      <w:r w:rsidR="003852D6" w:rsidRPr="00165F4C">
        <w:rPr>
          <w:spacing w:val="-2"/>
          <w:lang w:eastAsia="zh-CN"/>
        </w:rPr>
        <w:t xml:space="preserve">main customers were located in </w:t>
      </w:r>
      <w:r w:rsidR="00F517EB" w:rsidRPr="00165F4C">
        <w:rPr>
          <w:spacing w:val="-2"/>
          <w:lang w:eastAsia="zh-CN"/>
        </w:rPr>
        <w:t>Asia-</w:t>
      </w:r>
      <w:r w:rsidR="003852D6" w:rsidRPr="00165F4C">
        <w:rPr>
          <w:spacing w:val="-2"/>
          <w:lang w:eastAsia="zh-CN"/>
        </w:rPr>
        <w:t xml:space="preserve">Pacific and the </w:t>
      </w:r>
      <w:r w:rsidR="00823716" w:rsidRPr="00165F4C">
        <w:rPr>
          <w:spacing w:val="-2"/>
        </w:rPr>
        <w:t>United States</w:t>
      </w:r>
      <w:r w:rsidR="00264E36" w:rsidRPr="00165F4C">
        <w:rPr>
          <w:spacing w:val="-2"/>
        </w:rPr>
        <w:t>,</w:t>
      </w:r>
      <w:r w:rsidR="00823716" w:rsidRPr="00165F4C" w:rsidDel="00823716">
        <w:rPr>
          <w:spacing w:val="-2"/>
          <w:lang w:eastAsia="zh-CN"/>
        </w:rPr>
        <w:t xml:space="preserve"> </w:t>
      </w:r>
      <w:r w:rsidR="003852D6" w:rsidRPr="00165F4C">
        <w:rPr>
          <w:spacing w:val="-2"/>
          <w:lang w:eastAsia="zh-CN"/>
        </w:rPr>
        <w:t xml:space="preserve">and the largest customers were Samsung and TSMC. The company sold its products in Asia, the </w:t>
      </w:r>
      <w:r w:rsidR="00823716" w:rsidRPr="00165F4C">
        <w:rPr>
          <w:spacing w:val="-2"/>
        </w:rPr>
        <w:t>United States</w:t>
      </w:r>
      <w:r w:rsidR="003852D6" w:rsidRPr="00165F4C">
        <w:rPr>
          <w:spacing w:val="-2"/>
          <w:lang w:eastAsia="zh-CN"/>
        </w:rPr>
        <w:t>, and Europe, representing 76 per cent, 18 per cent, and 6 per cent of sales revenues</w:t>
      </w:r>
      <w:r w:rsidR="00823716" w:rsidRPr="00165F4C">
        <w:rPr>
          <w:spacing w:val="-2"/>
          <w:lang w:eastAsia="zh-CN"/>
        </w:rPr>
        <w:t>,</w:t>
      </w:r>
      <w:r w:rsidR="003852D6" w:rsidRPr="00165F4C">
        <w:rPr>
          <w:spacing w:val="-2"/>
          <w:lang w:eastAsia="zh-CN"/>
        </w:rPr>
        <w:t xml:space="preserve"> respectively.</w:t>
      </w:r>
      <w:r w:rsidR="003852D6" w:rsidRPr="00165F4C">
        <w:rPr>
          <w:rStyle w:val="EndnoteReference"/>
          <w:spacing w:val="-2"/>
          <w:lang w:eastAsia="zh-CN"/>
        </w:rPr>
        <w:endnoteReference w:id="15"/>
      </w:r>
      <w:r w:rsidR="003852D6" w:rsidRPr="00165F4C">
        <w:rPr>
          <w:spacing w:val="-2"/>
          <w:lang w:eastAsia="zh-CN"/>
        </w:rPr>
        <w:t xml:space="preserve"> In October 2015, </w:t>
      </w:r>
      <w:r w:rsidR="00F517EB" w:rsidRPr="00165F4C">
        <w:rPr>
          <w:spacing w:val="-2"/>
          <w:lang w:eastAsia="zh-CN"/>
        </w:rPr>
        <w:t xml:space="preserve">Lam </w:t>
      </w:r>
      <w:r w:rsidR="004759BF" w:rsidRPr="00165F4C">
        <w:rPr>
          <w:spacing w:val="-2"/>
          <w:lang w:eastAsia="zh-CN"/>
        </w:rPr>
        <w:t xml:space="preserve">Research </w:t>
      </w:r>
      <w:r w:rsidR="003852D6" w:rsidRPr="00165F4C">
        <w:rPr>
          <w:spacing w:val="-2"/>
          <w:lang w:eastAsia="zh-CN"/>
        </w:rPr>
        <w:t xml:space="preserve">announced that it </w:t>
      </w:r>
      <w:r w:rsidR="00F517EB" w:rsidRPr="00165F4C">
        <w:rPr>
          <w:spacing w:val="-2"/>
          <w:lang w:eastAsia="zh-CN"/>
        </w:rPr>
        <w:t xml:space="preserve">had </w:t>
      </w:r>
      <w:r w:rsidR="003852D6" w:rsidRPr="00165F4C">
        <w:rPr>
          <w:spacing w:val="-2"/>
          <w:lang w:eastAsia="zh-CN"/>
        </w:rPr>
        <w:t>bought KLA-Tencor, a U</w:t>
      </w:r>
      <w:r w:rsidR="00C8765F" w:rsidRPr="00165F4C">
        <w:rPr>
          <w:spacing w:val="-2"/>
          <w:lang w:eastAsia="zh-CN"/>
        </w:rPr>
        <w:t>.</w:t>
      </w:r>
      <w:r w:rsidR="003852D6" w:rsidRPr="00165F4C">
        <w:rPr>
          <w:spacing w:val="-2"/>
          <w:lang w:eastAsia="zh-CN"/>
        </w:rPr>
        <w:t>S</w:t>
      </w:r>
      <w:r w:rsidR="00C8765F" w:rsidRPr="00165F4C">
        <w:rPr>
          <w:spacing w:val="-2"/>
          <w:lang w:eastAsia="zh-CN"/>
        </w:rPr>
        <w:t>.</w:t>
      </w:r>
      <w:r w:rsidR="003852D6" w:rsidRPr="00165F4C">
        <w:rPr>
          <w:spacing w:val="-2"/>
          <w:lang w:eastAsia="zh-CN"/>
        </w:rPr>
        <w:t xml:space="preserve"> </w:t>
      </w:r>
      <w:r w:rsidR="00823716" w:rsidRPr="00165F4C">
        <w:rPr>
          <w:spacing w:val="-2"/>
          <w:lang w:eastAsia="zh-CN"/>
        </w:rPr>
        <w:t xml:space="preserve">semiconductor </w:t>
      </w:r>
      <w:r w:rsidR="003852D6" w:rsidRPr="00165F4C">
        <w:rPr>
          <w:spacing w:val="-2"/>
          <w:lang w:eastAsia="zh-CN"/>
        </w:rPr>
        <w:t xml:space="preserve">equipment company, for $10.6 billion. The deal was supposed to be completed in </w:t>
      </w:r>
      <w:r w:rsidR="00823716" w:rsidRPr="00165F4C">
        <w:rPr>
          <w:spacing w:val="-2"/>
          <w:lang w:eastAsia="zh-CN"/>
        </w:rPr>
        <w:t>the s</w:t>
      </w:r>
      <w:r w:rsidR="003852D6" w:rsidRPr="00165F4C">
        <w:rPr>
          <w:spacing w:val="-2"/>
          <w:lang w:eastAsia="zh-CN"/>
        </w:rPr>
        <w:t xml:space="preserve">ummer </w:t>
      </w:r>
      <w:r w:rsidR="00823716" w:rsidRPr="00165F4C">
        <w:rPr>
          <w:spacing w:val="-2"/>
          <w:lang w:eastAsia="zh-CN"/>
        </w:rPr>
        <w:t xml:space="preserve">of </w:t>
      </w:r>
      <w:r w:rsidR="003852D6" w:rsidRPr="00165F4C">
        <w:rPr>
          <w:spacing w:val="-2"/>
          <w:lang w:eastAsia="zh-CN"/>
        </w:rPr>
        <w:t>2016. This merger would have a significant impact on the competition in the industry</w:t>
      </w:r>
      <w:r w:rsidR="00823716" w:rsidRPr="00165F4C">
        <w:rPr>
          <w:spacing w:val="-2"/>
          <w:lang w:eastAsia="zh-CN"/>
        </w:rPr>
        <w:t>,</w:t>
      </w:r>
      <w:r w:rsidR="003852D6" w:rsidRPr="00165F4C">
        <w:rPr>
          <w:spacing w:val="-2"/>
          <w:lang w:eastAsia="zh-CN"/>
        </w:rPr>
        <w:t xml:space="preserve"> </w:t>
      </w:r>
      <w:r w:rsidR="00823716" w:rsidRPr="00165F4C">
        <w:rPr>
          <w:spacing w:val="-2"/>
          <w:lang w:eastAsia="zh-CN"/>
        </w:rPr>
        <w:t xml:space="preserve">as </w:t>
      </w:r>
      <w:r w:rsidR="003852D6" w:rsidRPr="00165F4C">
        <w:rPr>
          <w:spacing w:val="-2"/>
          <w:lang w:eastAsia="zh-CN"/>
        </w:rPr>
        <w:t xml:space="preserve">KLA-Tencor specialized in process control and yield management, which was a major </w:t>
      </w:r>
      <w:r w:rsidR="008918C5" w:rsidRPr="00165F4C">
        <w:rPr>
          <w:spacing w:val="-2"/>
          <w:lang w:eastAsia="zh-CN"/>
        </w:rPr>
        <w:t>part of</w:t>
      </w:r>
      <w:r w:rsidR="003852D6" w:rsidRPr="00165F4C">
        <w:rPr>
          <w:spacing w:val="-2"/>
          <w:lang w:eastAsia="zh-CN"/>
        </w:rPr>
        <w:t xml:space="preserve"> semiconductor manufacturing.</w:t>
      </w:r>
      <w:r w:rsidR="00823716" w:rsidRPr="00165F4C">
        <w:rPr>
          <w:spacing w:val="-2"/>
          <w:lang w:eastAsia="zh-CN"/>
        </w:rPr>
        <w:t xml:space="preserve"> </w:t>
      </w:r>
    </w:p>
    <w:p w14:paraId="0C1B7EB1" w14:textId="77777777" w:rsidR="003852D6" w:rsidRDefault="003852D6" w:rsidP="00C40355">
      <w:pPr>
        <w:pStyle w:val="BodyTextMain"/>
        <w:rPr>
          <w:lang w:eastAsia="zh-CN"/>
        </w:rPr>
      </w:pPr>
    </w:p>
    <w:p w14:paraId="15D7F870" w14:textId="77777777" w:rsidR="003852D6" w:rsidRPr="006663CF" w:rsidRDefault="003852D6" w:rsidP="00C40355">
      <w:pPr>
        <w:pStyle w:val="BodyTextMain"/>
        <w:rPr>
          <w:lang w:eastAsia="zh-CN"/>
        </w:rPr>
      </w:pPr>
    </w:p>
    <w:p w14:paraId="196293A4" w14:textId="77777777" w:rsidR="003852D6" w:rsidRPr="00884641" w:rsidRDefault="003852D6" w:rsidP="00884641">
      <w:pPr>
        <w:pStyle w:val="Casehead2"/>
      </w:pPr>
      <w:r w:rsidRPr="00884641">
        <w:t>KLA-Tencor</w:t>
      </w:r>
    </w:p>
    <w:p w14:paraId="75C6C1D5" w14:textId="77777777" w:rsidR="003852D6" w:rsidRPr="006663CF" w:rsidRDefault="003852D6" w:rsidP="00C40355">
      <w:pPr>
        <w:pStyle w:val="BodyTextMain"/>
        <w:rPr>
          <w:lang w:eastAsia="zh-CN"/>
        </w:rPr>
      </w:pPr>
    </w:p>
    <w:p w14:paraId="6506FE9D" w14:textId="10727D85" w:rsidR="003852D6" w:rsidRDefault="003852D6" w:rsidP="00C40355">
      <w:pPr>
        <w:pStyle w:val="BodyTextMain"/>
        <w:rPr>
          <w:lang w:eastAsia="zh-CN"/>
        </w:rPr>
      </w:pPr>
      <w:r w:rsidRPr="006663CF">
        <w:rPr>
          <w:lang w:eastAsia="zh-CN"/>
        </w:rPr>
        <w:t xml:space="preserve">KLA-Tencor was an American company </w:t>
      </w:r>
      <w:r w:rsidR="00C8765F">
        <w:rPr>
          <w:lang w:eastAsia="zh-CN"/>
        </w:rPr>
        <w:t xml:space="preserve">also </w:t>
      </w:r>
      <w:r w:rsidRPr="006663CF">
        <w:rPr>
          <w:lang w:eastAsia="zh-CN"/>
        </w:rPr>
        <w:t xml:space="preserve">headquartered in California. In 2015, the company was the </w:t>
      </w:r>
      <w:r w:rsidR="00823716">
        <w:rPr>
          <w:lang w:eastAsia="zh-CN"/>
        </w:rPr>
        <w:t>fif</w:t>
      </w:r>
      <w:r w:rsidRPr="006663CF">
        <w:rPr>
          <w:lang w:eastAsia="zh-CN"/>
        </w:rPr>
        <w:t>th</w:t>
      </w:r>
      <w:r w:rsidR="00823716">
        <w:rPr>
          <w:lang w:eastAsia="zh-CN"/>
        </w:rPr>
        <w:t>-</w:t>
      </w:r>
      <w:r w:rsidRPr="006663CF">
        <w:rPr>
          <w:lang w:eastAsia="zh-CN"/>
        </w:rPr>
        <w:t>largest player in the industry</w:t>
      </w:r>
      <w:r w:rsidR="00F517EB">
        <w:rPr>
          <w:lang w:eastAsia="zh-CN"/>
        </w:rPr>
        <w:t>,</w:t>
      </w:r>
      <w:r w:rsidRPr="006663CF">
        <w:rPr>
          <w:lang w:eastAsia="zh-CN"/>
        </w:rPr>
        <w:t xml:space="preserve"> with $2.8 billion </w:t>
      </w:r>
      <w:r w:rsidR="00823716">
        <w:rPr>
          <w:lang w:eastAsia="zh-CN"/>
        </w:rPr>
        <w:t xml:space="preserve">in </w:t>
      </w:r>
      <w:r w:rsidRPr="006663CF">
        <w:rPr>
          <w:lang w:eastAsia="zh-CN"/>
        </w:rPr>
        <w:t xml:space="preserve">revenue, $500 million </w:t>
      </w:r>
      <w:r w:rsidR="00823716">
        <w:rPr>
          <w:lang w:eastAsia="zh-CN"/>
        </w:rPr>
        <w:t xml:space="preserve">in </w:t>
      </w:r>
      <w:r w:rsidRPr="006663CF">
        <w:rPr>
          <w:lang w:eastAsia="zh-CN"/>
        </w:rPr>
        <w:t xml:space="preserve">investment in R&amp;D, and </w:t>
      </w:r>
      <w:r>
        <w:rPr>
          <w:lang w:eastAsia="zh-CN"/>
        </w:rPr>
        <w:t>5,800</w:t>
      </w:r>
      <w:r w:rsidRPr="006663CF">
        <w:rPr>
          <w:lang w:eastAsia="zh-CN"/>
        </w:rPr>
        <w:t xml:space="preserve"> employees. KLA-Tencor</w:t>
      </w:r>
      <w:r w:rsidR="00823716">
        <w:rPr>
          <w:lang w:eastAsia="zh-CN"/>
        </w:rPr>
        <w:t>’s</w:t>
      </w:r>
      <w:r w:rsidRPr="006663CF">
        <w:rPr>
          <w:lang w:eastAsia="zh-CN"/>
        </w:rPr>
        <w:t xml:space="preserve"> revenue was largely based on process control and yield management, with three customers</w:t>
      </w:r>
      <w:r w:rsidR="00F517EB">
        <w:rPr>
          <w:lang w:eastAsia="zh-CN"/>
        </w:rPr>
        <w:t>—</w:t>
      </w:r>
      <w:r w:rsidRPr="006663CF">
        <w:rPr>
          <w:lang w:eastAsia="zh-CN"/>
        </w:rPr>
        <w:t xml:space="preserve">Intel, Samsung, and </w:t>
      </w:r>
      <w:r w:rsidR="00264E36">
        <w:rPr>
          <w:lang w:eastAsia="zh-CN"/>
        </w:rPr>
        <w:t>TSMC</w:t>
      </w:r>
      <w:r w:rsidR="00F517EB">
        <w:rPr>
          <w:lang w:eastAsia="zh-CN"/>
        </w:rPr>
        <w:t>—</w:t>
      </w:r>
      <w:r w:rsidRPr="006663CF">
        <w:rPr>
          <w:lang w:eastAsia="zh-CN"/>
        </w:rPr>
        <w:t xml:space="preserve">accounting for more than 10 per cent of total revenues. The company sold its products in Asia, the </w:t>
      </w:r>
      <w:r w:rsidR="00823716" w:rsidRPr="00073B29">
        <w:t>United States</w:t>
      </w:r>
      <w:r w:rsidRPr="006663CF">
        <w:rPr>
          <w:lang w:eastAsia="zh-CN"/>
        </w:rPr>
        <w:t>, and Europe, representing 60 per cent, 27 per cent, and 13 per cent of its sales revenues</w:t>
      </w:r>
      <w:r w:rsidR="00F517EB">
        <w:rPr>
          <w:lang w:eastAsia="zh-CN"/>
        </w:rPr>
        <w:t>,</w:t>
      </w:r>
      <w:r w:rsidR="00F517EB" w:rsidRPr="00F517EB">
        <w:rPr>
          <w:lang w:eastAsia="zh-CN"/>
        </w:rPr>
        <w:t xml:space="preserve"> </w:t>
      </w:r>
      <w:r w:rsidR="00F517EB" w:rsidRPr="006663CF">
        <w:rPr>
          <w:lang w:eastAsia="zh-CN"/>
        </w:rPr>
        <w:t>respectively</w:t>
      </w:r>
      <w:r w:rsidRPr="006663CF">
        <w:rPr>
          <w:lang w:eastAsia="zh-CN"/>
        </w:rPr>
        <w:t>.</w:t>
      </w:r>
      <w:r>
        <w:rPr>
          <w:rStyle w:val="EndnoteReference"/>
          <w:lang w:eastAsia="zh-CN"/>
        </w:rPr>
        <w:endnoteReference w:id="16"/>
      </w:r>
      <w:r w:rsidR="00823716">
        <w:rPr>
          <w:lang w:eastAsia="zh-CN"/>
        </w:rPr>
        <w:t xml:space="preserve"> </w:t>
      </w:r>
    </w:p>
    <w:p w14:paraId="36888716" w14:textId="77777777" w:rsidR="003852D6" w:rsidRDefault="003852D6" w:rsidP="00C40355">
      <w:pPr>
        <w:pStyle w:val="BodyTextMain"/>
        <w:rPr>
          <w:lang w:eastAsia="zh-CN"/>
        </w:rPr>
      </w:pPr>
    </w:p>
    <w:p w14:paraId="2EB31602" w14:textId="618FC244" w:rsidR="003852D6" w:rsidRPr="006663CF" w:rsidRDefault="003852D6" w:rsidP="00C40355">
      <w:pPr>
        <w:pStyle w:val="BodyTextMain"/>
        <w:rPr>
          <w:lang w:eastAsia="zh-CN"/>
        </w:rPr>
      </w:pPr>
      <w:r>
        <w:rPr>
          <w:lang w:eastAsia="zh-CN"/>
        </w:rPr>
        <w:t>These four companies we</w:t>
      </w:r>
      <w:r w:rsidRPr="00EE70B7">
        <w:rPr>
          <w:lang w:eastAsia="zh-CN"/>
        </w:rPr>
        <w:t xml:space="preserve">re considered to be the major players </w:t>
      </w:r>
      <w:r>
        <w:rPr>
          <w:lang w:eastAsia="zh-CN"/>
        </w:rPr>
        <w:t>in this industry</w:t>
      </w:r>
      <w:r w:rsidR="000A00CE">
        <w:rPr>
          <w:lang w:eastAsia="zh-CN"/>
        </w:rPr>
        <w:t xml:space="preserve"> because</w:t>
      </w:r>
      <w:r w:rsidR="00611F29">
        <w:rPr>
          <w:lang w:eastAsia="zh-CN"/>
        </w:rPr>
        <w:t xml:space="preserve"> </w:t>
      </w:r>
      <w:r>
        <w:rPr>
          <w:lang w:eastAsia="zh-CN"/>
        </w:rPr>
        <w:t xml:space="preserve">they </w:t>
      </w:r>
      <w:r w:rsidR="000A00CE">
        <w:rPr>
          <w:lang w:eastAsia="zh-CN"/>
        </w:rPr>
        <w:t xml:space="preserve">each </w:t>
      </w:r>
      <w:r>
        <w:rPr>
          <w:lang w:eastAsia="zh-CN"/>
        </w:rPr>
        <w:t xml:space="preserve">had </w:t>
      </w:r>
      <w:r w:rsidR="000A00CE">
        <w:rPr>
          <w:lang w:eastAsia="zh-CN"/>
        </w:rPr>
        <w:t xml:space="preserve">a market share of greater </w:t>
      </w:r>
      <w:r>
        <w:rPr>
          <w:lang w:eastAsia="zh-CN"/>
        </w:rPr>
        <w:t>than 5 per cent</w:t>
      </w:r>
      <w:r w:rsidRPr="00EE70B7">
        <w:rPr>
          <w:lang w:eastAsia="zh-CN"/>
        </w:rPr>
        <w:t xml:space="preserve"> (</w:t>
      </w:r>
      <w:r w:rsidR="00611F29">
        <w:rPr>
          <w:lang w:eastAsia="zh-CN"/>
        </w:rPr>
        <w:t>s</w:t>
      </w:r>
      <w:r w:rsidR="00611F29" w:rsidRPr="00EE70B7">
        <w:rPr>
          <w:lang w:eastAsia="zh-CN"/>
        </w:rPr>
        <w:t xml:space="preserve">ee </w:t>
      </w:r>
      <w:r w:rsidRPr="00EE70B7">
        <w:rPr>
          <w:lang w:eastAsia="zh-CN"/>
        </w:rPr>
        <w:t>Exhibit 4)</w:t>
      </w:r>
      <w:r w:rsidR="00611F29">
        <w:rPr>
          <w:lang w:eastAsia="zh-CN"/>
        </w:rPr>
        <w:t>.</w:t>
      </w:r>
    </w:p>
    <w:p w14:paraId="5862BF26" w14:textId="77777777" w:rsidR="003852D6" w:rsidRPr="006663CF" w:rsidRDefault="003852D6" w:rsidP="00C40355">
      <w:pPr>
        <w:pStyle w:val="BodyTextMain"/>
        <w:rPr>
          <w:lang w:eastAsia="zh-CN"/>
        </w:rPr>
      </w:pPr>
    </w:p>
    <w:p w14:paraId="2F0ACD91" w14:textId="77777777" w:rsidR="00165F4C" w:rsidRDefault="00165F4C" w:rsidP="00073B29">
      <w:pPr>
        <w:pStyle w:val="Casehead1"/>
      </w:pPr>
    </w:p>
    <w:p w14:paraId="02BAF754" w14:textId="77777777" w:rsidR="003852D6" w:rsidRPr="00073B29" w:rsidRDefault="003852D6" w:rsidP="00073B29">
      <w:pPr>
        <w:pStyle w:val="Casehead1"/>
      </w:pPr>
      <w:r w:rsidRPr="00073B29">
        <w:lastRenderedPageBreak/>
        <w:t>INDUSTRY Trends</w:t>
      </w:r>
    </w:p>
    <w:p w14:paraId="59AEFFAC" w14:textId="77777777" w:rsidR="003852D6" w:rsidRPr="00073B29" w:rsidRDefault="003852D6" w:rsidP="00073B29">
      <w:pPr>
        <w:pStyle w:val="BodyTextMain"/>
      </w:pPr>
    </w:p>
    <w:p w14:paraId="7120FE75" w14:textId="3AE43999" w:rsidR="003852D6" w:rsidRPr="00165F4C" w:rsidRDefault="003852D6" w:rsidP="009E5FEB">
      <w:pPr>
        <w:pStyle w:val="BodyTextMain"/>
        <w:keepNext/>
        <w:rPr>
          <w:spacing w:val="-2"/>
          <w:lang w:eastAsia="zh-CN"/>
        </w:rPr>
      </w:pPr>
      <w:r w:rsidRPr="00165F4C">
        <w:rPr>
          <w:spacing w:val="-2"/>
        </w:rPr>
        <w:t>Several important industry trends appeared to have a major impact on the industry</w:t>
      </w:r>
      <w:r w:rsidR="00CD0539" w:rsidRPr="00165F4C">
        <w:rPr>
          <w:spacing w:val="-2"/>
        </w:rPr>
        <w:t>; t</w:t>
      </w:r>
      <w:r w:rsidRPr="00165F4C">
        <w:rPr>
          <w:spacing w:val="-2"/>
        </w:rPr>
        <w:t xml:space="preserve">he first was an expected increase of 1.4 per cent </w:t>
      </w:r>
      <w:r w:rsidR="00F517EB" w:rsidRPr="00165F4C">
        <w:rPr>
          <w:spacing w:val="-2"/>
        </w:rPr>
        <w:t>in</w:t>
      </w:r>
      <w:r w:rsidRPr="00165F4C">
        <w:rPr>
          <w:spacing w:val="-2"/>
        </w:rPr>
        <w:t xml:space="preserve"> global sales for Semiconductor Equipment and Material</w:t>
      </w:r>
      <w:r w:rsidR="00F517EB" w:rsidRPr="00165F4C">
        <w:rPr>
          <w:spacing w:val="-2"/>
        </w:rPr>
        <w:t>s</w:t>
      </w:r>
      <w:r w:rsidRPr="00165F4C">
        <w:rPr>
          <w:spacing w:val="-2"/>
        </w:rPr>
        <w:t xml:space="preserve"> International</w:t>
      </w:r>
      <w:r w:rsidR="00264E36" w:rsidRPr="00165F4C">
        <w:rPr>
          <w:spacing w:val="-2"/>
        </w:rPr>
        <w:t xml:space="preserve"> (SEMI</w:t>
      </w:r>
      <w:r w:rsidRPr="00165F4C">
        <w:rPr>
          <w:spacing w:val="-2"/>
        </w:rPr>
        <w:t>), a global trade association. SEMI also expected wafer fabrication equipment shipment</w:t>
      </w:r>
      <w:r w:rsidR="00611F29" w:rsidRPr="00165F4C">
        <w:rPr>
          <w:spacing w:val="-2"/>
        </w:rPr>
        <w:t>s to</w:t>
      </w:r>
      <w:r w:rsidRPr="00165F4C">
        <w:rPr>
          <w:spacing w:val="-2"/>
        </w:rPr>
        <w:t xml:space="preserve"> rise by 2.5 per cent in 2016</w:t>
      </w:r>
      <w:r w:rsidRPr="00165F4C">
        <w:rPr>
          <w:spacing w:val="-2"/>
          <w:lang w:eastAsia="zh-CN"/>
        </w:rPr>
        <w:t>.</w:t>
      </w:r>
      <w:r w:rsidRPr="00165F4C">
        <w:rPr>
          <w:rStyle w:val="EndnoteReference"/>
          <w:spacing w:val="-2"/>
          <w:lang w:eastAsia="zh-CN"/>
        </w:rPr>
        <w:endnoteReference w:id="17"/>
      </w:r>
      <w:r w:rsidRPr="00165F4C">
        <w:rPr>
          <w:spacing w:val="-2"/>
          <w:lang w:eastAsia="zh-CN"/>
        </w:rPr>
        <w:t xml:space="preserve"> </w:t>
      </w:r>
      <w:r w:rsidRPr="00165F4C">
        <w:rPr>
          <w:spacing w:val="-2"/>
        </w:rPr>
        <w:t>The most important factor that explained the SEMI forecast was the fact that demand for consumer electronics, which required semiconductors</w:t>
      </w:r>
      <w:r w:rsidR="00611F29" w:rsidRPr="00165F4C">
        <w:rPr>
          <w:spacing w:val="-2"/>
        </w:rPr>
        <w:t>,</w:t>
      </w:r>
      <w:r w:rsidRPr="00165F4C">
        <w:rPr>
          <w:spacing w:val="-2"/>
        </w:rPr>
        <w:t xml:space="preserve"> </w:t>
      </w:r>
      <w:r w:rsidR="00611F29" w:rsidRPr="00165F4C">
        <w:rPr>
          <w:spacing w:val="-2"/>
        </w:rPr>
        <w:t xml:space="preserve">was </w:t>
      </w:r>
      <w:r w:rsidRPr="00165F4C">
        <w:rPr>
          <w:spacing w:val="-2"/>
        </w:rPr>
        <w:t xml:space="preserve">on </w:t>
      </w:r>
      <w:r w:rsidR="00611F29" w:rsidRPr="00165F4C">
        <w:rPr>
          <w:spacing w:val="-2"/>
        </w:rPr>
        <w:t>an upswing</w:t>
      </w:r>
      <w:r w:rsidRPr="00165F4C">
        <w:rPr>
          <w:spacing w:val="-2"/>
        </w:rPr>
        <w:t xml:space="preserve">. In the domain of the </w:t>
      </w:r>
      <w:r w:rsidR="00611F29" w:rsidRPr="00165F4C">
        <w:rPr>
          <w:spacing w:val="-2"/>
        </w:rPr>
        <w:t xml:space="preserve">Internet </w:t>
      </w:r>
      <w:r w:rsidRPr="00165F4C">
        <w:rPr>
          <w:spacing w:val="-2"/>
        </w:rPr>
        <w:t xml:space="preserve">of </w:t>
      </w:r>
      <w:r w:rsidR="00611F29" w:rsidRPr="00165F4C">
        <w:rPr>
          <w:spacing w:val="-2"/>
        </w:rPr>
        <w:t>T</w:t>
      </w:r>
      <w:r w:rsidRPr="00165F4C">
        <w:rPr>
          <w:spacing w:val="-2"/>
        </w:rPr>
        <w:t xml:space="preserve">hings, the </w:t>
      </w:r>
      <w:r w:rsidR="00430483" w:rsidRPr="00165F4C">
        <w:rPr>
          <w:spacing w:val="-2"/>
        </w:rPr>
        <w:t xml:space="preserve">expected </w:t>
      </w:r>
      <w:r w:rsidRPr="00165F4C">
        <w:rPr>
          <w:spacing w:val="-2"/>
        </w:rPr>
        <w:t>compound annual growth rate between 2014 and 2019 was 23 per cent</w:t>
      </w:r>
      <w:r w:rsidR="00611F29" w:rsidRPr="00165F4C">
        <w:rPr>
          <w:spacing w:val="-2"/>
        </w:rPr>
        <w:t>,</w:t>
      </w:r>
      <w:r w:rsidRPr="00165F4C">
        <w:rPr>
          <w:spacing w:val="-2"/>
        </w:rPr>
        <w:t xml:space="preserve"> while it was 9 per cent for industrial applications and 10 per cent for the automotive industry</w:t>
      </w:r>
      <w:r w:rsidRPr="00165F4C">
        <w:rPr>
          <w:spacing w:val="-2"/>
          <w:lang w:eastAsia="zh-CN"/>
        </w:rPr>
        <w:t>.</w:t>
      </w:r>
      <w:r w:rsidRPr="00165F4C">
        <w:rPr>
          <w:rStyle w:val="EndnoteReference"/>
          <w:spacing w:val="-2"/>
          <w:lang w:eastAsia="zh-CN"/>
        </w:rPr>
        <w:endnoteReference w:id="18"/>
      </w:r>
      <w:r w:rsidRPr="00165F4C">
        <w:rPr>
          <w:spacing w:val="-2"/>
          <w:lang w:eastAsia="zh-CN"/>
        </w:rPr>
        <w:t xml:space="preserve"> </w:t>
      </w:r>
      <w:r w:rsidRPr="00165F4C">
        <w:rPr>
          <w:spacing w:val="-2"/>
        </w:rPr>
        <w:t>In 2020, there would be more than 50 billion of these devices on the market, accounting for more than</w:t>
      </w:r>
      <w:r w:rsidR="00611F29" w:rsidRPr="00165F4C">
        <w:rPr>
          <w:spacing w:val="-2"/>
        </w:rPr>
        <w:t xml:space="preserve"> six</w:t>
      </w:r>
      <w:r w:rsidRPr="00165F4C">
        <w:rPr>
          <w:spacing w:val="-2"/>
        </w:rPr>
        <w:t xml:space="preserve"> devices per person (</w:t>
      </w:r>
      <w:r w:rsidR="00C8765F" w:rsidRPr="00165F4C">
        <w:rPr>
          <w:spacing w:val="-2"/>
        </w:rPr>
        <w:t>s</w:t>
      </w:r>
      <w:r w:rsidRPr="00165F4C">
        <w:rPr>
          <w:spacing w:val="-2"/>
        </w:rPr>
        <w:t>ee Exhibit 5)</w:t>
      </w:r>
      <w:r w:rsidR="00C8765F" w:rsidRPr="00165F4C">
        <w:rPr>
          <w:spacing w:val="-2"/>
        </w:rPr>
        <w:t>.</w:t>
      </w:r>
    </w:p>
    <w:p w14:paraId="19CED54D" w14:textId="77777777" w:rsidR="003852D6" w:rsidRPr="006663CF" w:rsidRDefault="003852D6" w:rsidP="00C40355">
      <w:pPr>
        <w:pStyle w:val="BodyTextMain"/>
        <w:rPr>
          <w:lang w:eastAsia="zh-CN"/>
        </w:rPr>
      </w:pPr>
    </w:p>
    <w:p w14:paraId="2ED9BC1F" w14:textId="6082700E" w:rsidR="003852D6" w:rsidRPr="006663CF" w:rsidRDefault="003852D6" w:rsidP="00C40355">
      <w:pPr>
        <w:pStyle w:val="BodyTextMain"/>
        <w:rPr>
          <w:lang w:eastAsia="zh-CN"/>
        </w:rPr>
      </w:pPr>
      <w:r w:rsidRPr="006663CF">
        <w:rPr>
          <w:lang w:eastAsia="zh-CN"/>
        </w:rPr>
        <w:t>However,</w:t>
      </w:r>
      <w:r>
        <w:rPr>
          <w:lang w:eastAsia="zh-CN"/>
        </w:rPr>
        <w:t xml:space="preserve"> an American research and advisory</w:t>
      </w:r>
      <w:r w:rsidRPr="006663CF">
        <w:rPr>
          <w:lang w:eastAsia="zh-CN"/>
        </w:rPr>
        <w:t xml:space="preserve"> </w:t>
      </w:r>
      <w:r w:rsidR="00C8765F">
        <w:rPr>
          <w:lang w:eastAsia="zh-CN"/>
        </w:rPr>
        <w:t xml:space="preserve">company, </w:t>
      </w:r>
      <w:r w:rsidRPr="006663CF">
        <w:rPr>
          <w:lang w:eastAsia="zh-CN"/>
        </w:rPr>
        <w:t>Gartner</w:t>
      </w:r>
      <w:r w:rsidR="00264E36">
        <w:rPr>
          <w:lang w:eastAsia="zh-CN"/>
        </w:rPr>
        <w:t>, Inc.</w:t>
      </w:r>
      <w:r w:rsidR="00E74923">
        <w:rPr>
          <w:lang w:eastAsia="zh-CN"/>
        </w:rPr>
        <w:t xml:space="preserve"> (Gartner)</w:t>
      </w:r>
      <w:r w:rsidR="00C8765F">
        <w:rPr>
          <w:lang w:eastAsia="zh-CN"/>
        </w:rPr>
        <w:t>,</w:t>
      </w:r>
      <w:r w:rsidRPr="006663CF">
        <w:rPr>
          <w:lang w:eastAsia="zh-CN"/>
        </w:rPr>
        <w:t xml:space="preserve"> expected that wafer fabrication equipment shipment</w:t>
      </w:r>
      <w:r w:rsidR="00611F29">
        <w:rPr>
          <w:lang w:eastAsia="zh-CN"/>
        </w:rPr>
        <w:t>s</w:t>
      </w:r>
      <w:r w:rsidRPr="006663CF">
        <w:rPr>
          <w:lang w:eastAsia="zh-CN"/>
        </w:rPr>
        <w:t xml:space="preserve"> </w:t>
      </w:r>
      <w:r w:rsidR="00C8765F">
        <w:rPr>
          <w:lang w:eastAsia="zh-CN"/>
        </w:rPr>
        <w:t xml:space="preserve">would </w:t>
      </w:r>
      <w:r w:rsidRPr="006663CF">
        <w:rPr>
          <w:lang w:eastAsia="zh-CN"/>
        </w:rPr>
        <w:t>drop by 2.5 per cent in 2016 before following a growth trajectory in 2017.</w:t>
      </w:r>
      <w:r w:rsidRPr="006663CF">
        <w:rPr>
          <w:rStyle w:val="EndnoteReference"/>
          <w:lang w:eastAsia="zh-CN"/>
        </w:rPr>
        <w:endnoteReference w:id="19"/>
      </w:r>
      <w:r w:rsidRPr="006663CF">
        <w:rPr>
          <w:lang w:eastAsia="zh-CN"/>
        </w:rPr>
        <w:t xml:space="preserve"> The discrepancy in the forecasts between </w:t>
      </w:r>
      <w:r>
        <w:rPr>
          <w:lang w:eastAsia="zh-CN"/>
        </w:rPr>
        <w:t>the two</w:t>
      </w:r>
      <w:r w:rsidRPr="006663CF">
        <w:rPr>
          <w:lang w:eastAsia="zh-CN"/>
        </w:rPr>
        <w:t xml:space="preserve"> was that SEMI expected </w:t>
      </w:r>
      <w:r w:rsidR="00611F29">
        <w:rPr>
          <w:lang w:eastAsia="zh-CN"/>
        </w:rPr>
        <w:t xml:space="preserve">that </w:t>
      </w:r>
      <w:r w:rsidRPr="006663CF">
        <w:rPr>
          <w:lang w:eastAsia="zh-CN"/>
        </w:rPr>
        <w:t xml:space="preserve">SME sales in Europe would increase by 63.1 per cent and </w:t>
      </w:r>
      <w:r w:rsidR="00611F29">
        <w:rPr>
          <w:lang w:eastAsia="zh-CN"/>
        </w:rPr>
        <w:t xml:space="preserve">increase </w:t>
      </w:r>
      <w:r w:rsidRPr="006663CF">
        <w:rPr>
          <w:lang w:eastAsia="zh-CN"/>
        </w:rPr>
        <w:t xml:space="preserve">in China by 9.1 per cent, as both regions </w:t>
      </w:r>
      <w:r w:rsidR="00430483">
        <w:rPr>
          <w:lang w:eastAsia="zh-CN"/>
        </w:rPr>
        <w:t>were seeing</w:t>
      </w:r>
      <w:r w:rsidRPr="006663CF">
        <w:rPr>
          <w:lang w:eastAsia="zh-CN"/>
        </w:rPr>
        <w:t xml:space="preserve"> an increase in investments from semiconductor companies. However, both SEMI and Gartner expected a decrease in equipment sales in Taiwan and South Korea, which were two key semiconductor manufacturing countries, </w:t>
      </w:r>
      <w:r w:rsidR="00C8765F">
        <w:rPr>
          <w:lang w:eastAsia="zh-CN"/>
        </w:rPr>
        <w:t>accounting</w:t>
      </w:r>
      <w:r w:rsidRPr="006663CF">
        <w:rPr>
          <w:lang w:eastAsia="zh-CN"/>
        </w:rPr>
        <w:t xml:space="preserve"> for 60 per cent of global SME sales in 2015.</w:t>
      </w:r>
      <w:r>
        <w:rPr>
          <w:rStyle w:val="EndnoteReference"/>
          <w:lang w:eastAsia="zh-CN"/>
        </w:rPr>
        <w:endnoteReference w:id="20"/>
      </w:r>
      <w:r w:rsidRPr="006663CF">
        <w:rPr>
          <w:lang w:eastAsia="zh-CN"/>
        </w:rPr>
        <w:t xml:space="preserve"> To sum</w:t>
      </w:r>
      <w:r w:rsidR="00C8765F">
        <w:rPr>
          <w:lang w:eastAsia="zh-CN"/>
        </w:rPr>
        <w:t>marize</w:t>
      </w:r>
      <w:r w:rsidRPr="006663CF">
        <w:rPr>
          <w:lang w:eastAsia="zh-CN"/>
        </w:rPr>
        <w:t>, if the Chinese market failed to perform and growth slackened in Taiwan and South Korea, then Gartner’s forecasts would most likely be right.</w:t>
      </w:r>
    </w:p>
    <w:p w14:paraId="7212C03C" w14:textId="77777777" w:rsidR="003852D6" w:rsidRPr="006663CF" w:rsidRDefault="003852D6" w:rsidP="00C40355">
      <w:pPr>
        <w:pStyle w:val="BodyTextMain"/>
        <w:rPr>
          <w:lang w:eastAsia="zh-CN"/>
        </w:rPr>
      </w:pPr>
    </w:p>
    <w:p w14:paraId="5465A8DE" w14:textId="0711C240" w:rsidR="003852D6" w:rsidRPr="006663CF" w:rsidRDefault="003852D6" w:rsidP="00C40355">
      <w:pPr>
        <w:pStyle w:val="BodyTextMain"/>
        <w:rPr>
          <w:lang w:eastAsia="zh-CN"/>
        </w:rPr>
      </w:pPr>
      <w:r w:rsidRPr="006663CF">
        <w:rPr>
          <w:lang w:eastAsia="zh-CN"/>
        </w:rPr>
        <w:t>Finally, the consolidation of SME c</w:t>
      </w:r>
      <w:r>
        <w:rPr>
          <w:lang w:eastAsia="zh-CN"/>
        </w:rPr>
        <w:t>ustomers</w:t>
      </w:r>
      <w:r w:rsidRPr="006663CF">
        <w:rPr>
          <w:lang w:eastAsia="zh-CN"/>
        </w:rPr>
        <w:t xml:space="preserve"> in 2015 and the coming years would</w:t>
      </w:r>
      <w:r>
        <w:rPr>
          <w:lang w:eastAsia="zh-CN"/>
        </w:rPr>
        <w:t xml:space="preserve"> likely</w:t>
      </w:r>
      <w:r w:rsidRPr="006663CF">
        <w:rPr>
          <w:lang w:eastAsia="zh-CN"/>
        </w:rPr>
        <w:t xml:space="preserve"> lead to stronger buyer power</w:t>
      </w:r>
      <w:r w:rsidR="00611F29">
        <w:rPr>
          <w:lang w:eastAsia="zh-CN"/>
        </w:rPr>
        <w:t>,</w:t>
      </w:r>
      <w:r w:rsidRPr="006663CF">
        <w:rPr>
          <w:lang w:eastAsia="zh-CN"/>
        </w:rPr>
        <w:t xml:space="preserve"> as these consumers would consolidate their revenues and margin</w:t>
      </w:r>
      <w:r w:rsidR="008E37B8">
        <w:rPr>
          <w:lang w:eastAsia="zh-CN"/>
        </w:rPr>
        <w:t>s</w:t>
      </w:r>
      <w:r w:rsidRPr="006663CF">
        <w:rPr>
          <w:lang w:eastAsia="zh-CN"/>
        </w:rPr>
        <w:t xml:space="preserve">. Obviously, this consolidation would lead to fierce competition. Because the forecasts were uncertain and the consumers were consolidating, the SME companies </w:t>
      </w:r>
      <w:r w:rsidR="00430483">
        <w:rPr>
          <w:lang w:eastAsia="zh-CN"/>
        </w:rPr>
        <w:t>were advised to</w:t>
      </w:r>
      <w:r w:rsidR="00430483" w:rsidRPr="006663CF">
        <w:rPr>
          <w:lang w:eastAsia="zh-CN"/>
        </w:rPr>
        <w:t xml:space="preserve"> </w:t>
      </w:r>
      <w:r w:rsidRPr="006663CF">
        <w:rPr>
          <w:lang w:eastAsia="zh-CN"/>
        </w:rPr>
        <w:t>look toward mergers and acquisitions to consolidate and strengthen their competitive positions. Moreover, because of the</w:t>
      </w:r>
      <w:r>
        <w:rPr>
          <w:lang w:eastAsia="zh-CN"/>
        </w:rPr>
        <w:t xml:space="preserve"> industry’s</w:t>
      </w:r>
      <w:r w:rsidRPr="006663CF">
        <w:rPr>
          <w:lang w:eastAsia="zh-CN"/>
        </w:rPr>
        <w:t xml:space="preserve"> high volatility, semiconductor companies were expected to compete in an increasingly complicated and difficult market.</w:t>
      </w:r>
    </w:p>
    <w:p w14:paraId="5B0C3C37" w14:textId="77777777" w:rsidR="003852D6" w:rsidRPr="006663CF" w:rsidRDefault="003852D6" w:rsidP="00C40355">
      <w:pPr>
        <w:pStyle w:val="BodyTextMain"/>
        <w:rPr>
          <w:lang w:eastAsia="zh-CN"/>
        </w:rPr>
      </w:pPr>
    </w:p>
    <w:p w14:paraId="7F6EF593" w14:textId="77777777" w:rsidR="003852D6" w:rsidRPr="006663CF" w:rsidRDefault="003852D6" w:rsidP="00C40355">
      <w:pPr>
        <w:pStyle w:val="BodyTextMain"/>
        <w:rPr>
          <w:lang w:eastAsia="zh-CN"/>
        </w:rPr>
      </w:pPr>
    </w:p>
    <w:p w14:paraId="5ED0024F" w14:textId="77777777" w:rsidR="003852D6" w:rsidRPr="006663CF" w:rsidRDefault="003852D6" w:rsidP="00884641">
      <w:pPr>
        <w:pStyle w:val="Casehead1"/>
      </w:pPr>
      <w:r w:rsidRPr="006663CF">
        <w:t>Tokyo electron overview</w:t>
      </w:r>
    </w:p>
    <w:p w14:paraId="6CF57EEB" w14:textId="77777777" w:rsidR="003852D6" w:rsidRPr="006663CF" w:rsidRDefault="003852D6" w:rsidP="00C40355">
      <w:pPr>
        <w:pStyle w:val="BodyTextMain"/>
        <w:rPr>
          <w:lang w:eastAsia="zh-CN"/>
        </w:rPr>
      </w:pPr>
    </w:p>
    <w:p w14:paraId="2112DEA1" w14:textId="77777777" w:rsidR="003852D6" w:rsidRPr="006663CF" w:rsidRDefault="003852D6" w:rsidP="00884641">
      <w:pPr>
        <w:pStyle w:val="Casehead2"/>
        <w:rPr>
          <w:lang w:eastAsia="zh-CN"/>
        </w:rPr>
      </w:pPr>
      <w:r w:rsidRPr="006663CF">
        <w:rPr>
          <w:lang w:eastAsia="zh-CN"/>
        </w:rPr>
        <w:t>History</w:t>
      </w:r>
    </w:p>
    <w:p w14:paraId="6BF397A2" w14:textId="77777777" w:rsidR="003852D6" w:rsidRPr="006663CF" w:rsidRDefault="003852D6" w:rsidP="00C40355">
      <w:pPr>
        <w:pStyle w:val="BodyTextMain"/>
        <w:rPr>
          <w:lang w:eastAsia="zh-CN"/>
        </w:rPr>
      </w:pPr>
    </w:p>
    <w:p w14:paraId="7B0D1730" w14:textId="2FF6AAD1" w:rsidR="003852D6" w:rsidRPr="006663CF" w:rsidRDefault="003852D6" w:rsidP="00C40355">
      <w:pPr>
        <w:pStyle w:val="BodyTextMain"/>
        <w:rPr>
          <w:lang w:eastAsia="zh-CN"/>
        </w:rPr>
      </w:pPr>
      <w:r w:rsidRPr="006663CF">
        <w:rPr>
          <w:lang w:eastAsia="zh-CN"/>
        </w:rPr>
        <w:t xml:space="preserve">Tokyo </w:t>
      </w:r>
      <w:r w:rsidR="00206E7B">
        <w:rPr>
          <w:lang w:eastAsia="zh-CN"/>
        </w:rPr>
        <w:t xml:space="preserve">Electron </w:t>
      </w:r>
      <w:r w:rsidRPr="006663CF">
        <w:rPr>
          <w:lang w:eastAsia="zh-CN"/>
        </w:rPr>
        <w:t>was a Japanese company headquartered in Tokyo, Japan. The company was created in 1963 under the name Tokyo Electron Laboratories with a capitalization of ¥5 million.</w:t>
      </w:r>
      <w:r w:rsidR="00E74923">
        <w:rPr>
          <w:rStyle w:val="EndnoteReference"/>
          <w:lang w:eastAsia="zh-CN"/>
        </w:rPr>
        <w:endnoteReference w:id="21"/>
      </w:r>
      <w:r w:rsidRPr="006663CF">
        <w:rPr>
          <w:lang w:eastAsia="zh-CN"/>
        </w:rPr>
        <w:t xml:space="preserve"> The company originally only </w:t>
      </w:r>
      <w:r w:rsidR="00611F29" w:rsidRPr="006663CF">
        <w:rPr>
          <w:lang w:eastAsia="zh-CN"/>
        </w:rPr>
        <w:t>import</w:t>
      </w:r>
      <w:r w:rsidR="00611F29">
        <w:rPr>
          <w:lang w:eastAsia="zh-CN"/>
        </w:rPr>
        <w:t>ed</w:t>
      </w:r>
      <w:r w:rsidR="00611F29" w:rsidRPr="006663CF">
        <w:rPr>
          <w:lang w:eastAsia="zh-CN"/>
        </w:rPr>
        <w:t xml:space="preserve"> </w:t>
      </w:r>
      <w:r w:rsidRPr="006663CF">
        <w:rPr>
          <w:lang w:eastAsia="zh-CN"/>
        </w:rPr>
        <w:t xml:space="preserve">and </w:t>
      </w:r>
      <w:r w:rsidR="00611F29">
        <w:rPr>
          <w:lang w:eastAsia="zh-CN"/>
        </w:rPr>
        <w:t>sold</w:t>
      </w:r>
      <w:r w:rsidR="00611F29" w:rsidRPr="006663CF">
        <w:rPr>
          <w:lang w:eastAsia="zh-CN"/>
        </w:rPr>
        <w:t xml:space="preserve"> </w:t>
      </w:r>
      <w:r w:rsidRPr="006663CF">
        <w:rPr>
          <w:lang w:eastAsia="zh-CN"/>
        </w:rPr>
        <w:t xml:space="preserve">diffusion furnaces from </w:t>
      </w:r>
      <w:proofErr w:type="spellStart"/>
      <w:r w:rsidRPr="006663CF">
        <w:rPr>
          <w:lang w:eastAsia="zh-CN"/>
        </w:rPr>
        <w:t>Thermo</w:t>
      </w:r>
      <w:proofErr w:type="spellEnd"/>
      <w:r w:rsidRPr="006663CF">
        <w:rPr>
          <w:lang w:eastAsia="zh-CN"/>
        </w:rPr>
        <w:t xml:space="preserve"> Products Corp, a U</w:t>
      </w:r>
      <w:r w:rsidR="00611F29">
        <w:rPr>
          <w:lang w:eastAsia="zh-CN"/>
        </w:rPr>
        <w:t>.</w:t>
      </w:r>
      <w:r w:rsidRPr="006663CF">
        <w:rPr>
          <w:lang w:eastAsia="zh-CN"/>
        </w:rPr>
        <w:t>S</w:t>
      </w:r>
      <w:r w:rsidR="00611F29">
        <w:rPr>
          <w:lang w:eastAsia="zh-CN"/>
        </w:rPr>
        <w:t>.-</w:t>
      </w:r>
      <w:r w:rsidRPr="006663CF">
        <w:rPr>
          <w:lang w:eastAsia="zh-CN"/>
        </w:rPr>
        <w:t>based semiconductor manufacturer, but in 1968 both companies made a joint venture under the name TEL-</w:t>
      </w:r>
      <w:proofErr w:type="spellStart"/>
      <w:r w:rsidRPr="006663CF">
        <w:rPr>
          <w:lang w:eastAsia="zh-CN"/>
        </w:rPr>
        <w:t>Thermo</w:t>
      </w:r>
      <w:proofErr w:type="spellEnd"/>
      <w:r w:rsidRPr="006663CF">
        <w:rPr>
          <w:lang w:eastAsia="zh-CN"/>
        </w:rPr>
        <w:t xml:space="preserve"> and started to produce those same furnaces in Japan. </w:t>
      </w:r>
      <w:r w:rsidR="007D61E1">
        <w:rPr>
          <w:lang w:eastAsia="zh-CN"/>
        </w:rPr>
        <w:t>Thus</w:t>
      </w:r>
      <w:r w:rsidRPr="006663CF">
        <w:rPr>
          <w:lang w:eastAsia="zh-CN"/>
        </w:rPr>
        <w:t>, from a trading company it became a manufacturing company. In the 1980s, the company was renamed Tokyo Electron Limited and started to expand its manufacturing with the production of in-circuit board tester</w:t>
      </w:r>
      <w:r w:rsidR="00FD02AC">
        <w:rPr>
          <w:lang w:eastAsia="zh-CN"/>
        </w:rPr>
        <w:t>s</w:t>
      </w:r>
      <w:r w:rsidRPr="006663CF">
        <w:rPr>
          <w:lang w:eastAsia="zh-CN"/>
        </w:rPr>
        <w:t>, etch system</w:t>
      </w:r>
      <w:r w:rsidR="00FD02AC">
        <w:rPr>
          <w:lang w:eastAsia="zh-CN"/>
        </w:rPr>
        <w:t>s</w:t>
      </w:r>
      <w:r w:rsidRPr="006663CF">
        <w:rPr>
          <w:lang w:eastAsia="zh-CN"/>
        </w:rPr>
        <w:t>, and coater</w:t>
      </w:r>
      <w:r w:rsidR="00FD02AC">
        <w:rPr>
          <w:lang w:eastAsia="zh-CN"/>
        </w:rPr>
        <w:t>/</w:t>
      </w:r>
      <w:r w:rsidRPr="006663CF">
        <w:rPr>
          <w:lang w:eastAsia="zh-CN"/>
        </w:rPr>
        <w:t>developer</w:t>
      </w:r>
      <w:r w:rsidR="00FD02AC">
        <w:rPr>
          <w:lang w:eastAsia="zh-CN"/>
        </w:rPr>
        <w:t>s</w:t>
      </w:r>
      <w:r w:rsidRPr="006663CF">
        <w:rPr>
          <w:lang w:eastAsia="zh-CN"/>
        </w:rPr>
        <w:t xml:space="preserve">. In 1990, it made a full-scale entry into the </w:t>
      </w:r>
      <w:r w:rsidR="008E37B8" w:rsidRPr="008E37B8">
        <w:rPr>
          <w:lang w:eastAsia="zh-CN"/>
        </w:rPr>
        <w:t>liquid-crystal display</w:t>
      </w:r>
      <w:r w:rsidRPr="006663CF">
        <w:rPr>
          <w:lang w:eastAsia="zh-CN"/>
        </w:rPr>
        <w:t xml:space="preserve"> production equipment market.</w:t>
      </w:r>
    </w:p>
    <w:p w14:paraId="403F77A9" w14:textId="77777777" w:rsidR="003852D6" w:rsidRPr="006663CF" w:rsidRDefault="003852D6" w:rsidP="00C40355">
      <w:pPr>
        <w:pStyle w:val="BodyTextMain"/>
        <w:rPr>
          <w:lang w:eastAsia="zh-CN"/>
        </w:rPr>
      </w:pPr>
    </w:p>
    <w:p w14:paraId="2B45CBEC" w14:textId="3274D8A9" w:rsidR="003852D6" w:rsidRPr="006663CF" w:rsidRDefault="003852D6" w:rsidP="00C40355">
      <w:pPr>
        <w:pStyle w:val="BodyTextMain"/>
        <w:rPr>
          <w:lang w:eastAsia="zh-CN"/>
        </w:rPr>
      </w:pPr>
      <w:r w:rsidRPr="006663CF">
        <w:rPr>
          <w:lang w:eastAsia="zh-CN"/>
        </w:rPr>
        <w:t>Tokyo Electron made several acquisitions in the semiconductor equipment industry. The first acquisition was Timbre Technologies in 2001, a</w:t>
      </w:r>
      <w:r w:rsidR="00206E7B">
        <w:rPr>
          <w:lang w:eastAsia="zh-CN"/>
        </w:rPr>
        <w:t>n American</w:t>
      </w:r>
      <w:r w:rsidRPr="006663CF">
        <w:rPr>
          <w:lang w:eastAsia="zh-CN"/>
        </w:rPr>
        <w:t xml:space="preserve"> company</w:t>
      </w:r>
      <w:r w:rsidR="00206E7B">
        <w:rPr>
          <w:lang w:eastAsia="zh-CN"/>
        </w:rPr>
        <w:t xml:space="preserve"> that</w:t>
      </w:r>
      <w:r w:rsidRPr="006663CF">
        <w:rPr>
          <w:lang w:eastAsia="zh-CN"/>
        </w:rPr>
        <w:t xml:space="preserve"> specialized in the development of advanced software solutions for the semiconductor industry. Thanks to the acquired technologies and skills, the company could integrate the most advanced process controls and yield management technologies, which enabled it to develop next-generation </w:t>
      </w:r>
      <w:r w:rsidR="00611F29" w:rsidRPr="006663CF">
        <w:rPr>
          <w:lang w:eastAsia="zh-CN"/>
        </w:rPr>
        <w:t>wafer</w:t>
      </w:r>
      <w:r w:rsidR="00611F29">
        <w:rPr>
          <w:lang w:eastAsia="zh-CN"/>
        </w:rPr>
        <w:t>-</w:t>
      </w:r>
      <w:r w:rsidRPr="006663CF">
        <w:rPr>
          <w:lang w:eastAsia="zh-CN"/>
        </w:rPr>
        <w:t xml:space="preserve">processing equipment. The second acquisition was NEXX Systems in 2012, which specialized in the development of </w:t>
      </w:r>
      <w:r w:rsidR="00564A5E">
        <w:rPr>
          <w:lang w:eastAsia="zh-CN"/>
        </w:rPr>
        <w:t>e</w:t>
      </w:r>
      <w:r w:rsidR="00564A5E" w:rsidRPr="006663CF">
        <w:rPr>
          <w:lang w:eastAsia="zh-CN"/>
        </w:rPr>
        <w:t xml:space="preserve">lectrochemical </w:t>
      </w:r>
      <w:r w:rsidR="00564A5E">
        <w:rPr>
          <w:lang w:eastAsia="zh-CN"/>
        </w:rPr>
        <w:t>d</w:t>
      </w:r>
      <w:r w:rsidR="00564A5E" w:rsidRPr="006663CF">
        <w:rPr>
          <w:lang w:eastAsia="zh-CN"/>
        </w:rPr>
        <w:t>eposition</w:t>
      </w:r>
      <w:r w:rsidRPr="006663CF">
        <w:rPr>
          <w:lang w:eastAsia="zh-CN"/>
        </w:rPr>
        <w:t xml:space="preserve"> and </w:t>
      </w:r>
      <w:r w:rsidR="00564A5E">
        <w:rPr>
          <w:lang w:eastAsia="zh-CN"/>
        </w:rPr>
        <w:t>p</w:t>
      </w:r>
      <w:r w:rsidR="00564A5E" w:rsidRPr="006663CF">
        <w:rPr>
          <w:lang w:eastAsia="zh-CN"/>
        </w:rPr>
        <w:t xml:space="preserve">hysical </w:t>
      </w:r>
      <w:r w:rsidR="00564A5E">
        <w:rPr>
          <w:lang w:eastAsia="zh-CN"/>
        </w:rPr>
        <w:t>v</w:t>
      </w:r>
      <w:r w:rsidR="00564A5E" w:rsidRPr="006663CF">
        <w:rPr>
          <w:lang w:eastAsia="zh-CN"/>
        </w:rPr>
        <w:t>apo</w:t>
      </w:r>
      <w:r w:rsidR="0082534D">
        <w:rPr>
          <w:lang w:eastAsia="zh-CN"/>
        </w:rPr>
        <w:t>u</w:t>
      </w:r>
      <w:r w:rsidR="00564A5E" w:rsidRPr="006663CF">
        <w:rPr>
          <w:lang w:eastAsia="zh-CN"/>
        </w:rPr>
        <w:t xml:space="preserve">r </w:t>
      </w:r>
      <w:r w:rsidR="00564A5E">
        <w:rPr>
          <w:lang w:eastAsia="zh-CN"/>
        </w:rPr>
        <w:t>d</w:t>
      </w:r>
      <w:r w:rsidR="00564A5E" w:rsidRPr="006663CF">
        <w:rPr>
          <w:lang w:eastAsia="zh-CN"/>
        </w:rPr>
        <w:t xml:space="preserve">eposition </w:t>
      </w:r>
      <w:r w:rsidRPr="006663CF">
        <w:rPr>
          <w:lang w:eastAsia="zh-CN"/>
        </w:rPr>
        <w:t>system</w:t>
      </w:r>
      <w:r w:rsidR="00206E7B">
        <w:rPr>
          <w:lang w:eastAsia="zh-CN"/>
        </w:rPr>
        <w:t>s</w:t>
      </w:r>
      <w:r w:rsidRPr="006663CF">
        <w:rPr>
          <w:lang w:eastAsia="zh-CN"/>
        </w:rPr>
        <w:t>. Both technologies were a key differentiating technology for wafer-level packaging</w:t>
      </w:r>
      <w:r w:rsidR="00E74923">
        <w:rPr>
          <w:lang w:eastAsia="zh-CN"/>
        </w:rPr>
        <w:t>, which</w:t>
      </w:r>
      <w:r w:rsidRPr="006663CF">
        <w:rPr>
          <w:lang w:eastAsia="zh-CN"/>
        </w:rPr>
        <w:t xml:space="preserve"> was vital for the semiconductor industry as it allowed for the final chip to become significantly </w:t>
      </w:r>
      <w:r w:rsidRPr="006663CF">
        <w:rPr>
          <w:lang w:eastAsia="zh-CN"/>
        </w:rPr>
        <w:lastRenderedPageBreak/>
        <w:t xml:space="preserve">smaller. This technology was imperative for the </w:t>
      </w:r>
      <w:r w:rsidR="00590485" w:rsidRPr="006663CF">
        <w:rPr>
          <w:lang w:eastAsia="zh-CN"/>
        </w:rPr>
        <w:t>continu</w:t>
      </w:r>
      <w:r w:rsidR="00590485">
        <w:rPr>
          <w:lang w:eastAsia="zh-CN"/>
        </w:rPr>
        <w:t>ously</w:t>
      </w:r>
      <w:r w:rsidR="00590485" w:rsidRPr="006663CF">
        <w:rPr>
          <w:lang w:eastAsia="zh-CN"/>
        </w:rPr>
        <w:t xml:space="preserve"> </w:t>
      </w:r>
      <w:r w:rsidRPr="006663CF">
        <w:rPr>
          <w:lang w:eastAsia="zh-CN"/>
        </w:rPr>
        <w:t xml:space="preserve">thinner and lighter smartphones that were predominant in the market. </w:t>
      </w:r>
    </w:p>
    <w:p w14:paraId="2FACDD79" w14:textId="77777777" w:rsidR="003852D6" w:rsidRPr="006663CF" w:rsidRDefault="003852D6" w:rsidP="00C40355">
      <w:pPr>
        <w:pStyle w:val="BodyTextMain"/>
        <w:rPr>
          <w:lang w:eastAsia="zh-CN"/>
        </w:rPr>
      </w:pPr>
    </w:p>
    <w:p w14:paraId="4D3567EC" w14:textId="7747931E" w:rsidR="00EF1F40" w:rsidRDefault="003852D6" w:rsidP="00C40355">
      <w:pPr>
        <w:pStyle w:val="BodyTextMain"/>
        <w:rPr>
          <w:lang w:eastAsia="zh-CN"/>
        </w:rPr>
      </w:pPr>
      <w:r w:rsidRPr="006663CF">
        <w:rPr>
          <w:lang w:eastAsia="zh-CN"/>
        </w:rPr>
        <w:t xml:space="preserve">In 2012, Tokyo Electron spent $280 million to acquire </w:t>
      </w:r>
      <w:proofErr w:type="spellStart"/>
      <w:r w:rsidRPr="006663CF">
        <w:rPr>
          <w:lang w:eastAsia="zh-CN"/>
        </w:rPr>
        <w:t>Oerlikon</w:t>
      </w:r>
      <w:proofErr w:type="spellEnd"/>
      <w:r w:rsidRPr="006663CF">
        <w:rPr>
          <w:lang w:eastAsia="zh-CN"/>
        </w:rPr>
        <w:t xml:space="preserve"> Solar, a Swiss company that specialized in thin-film silicon photovoltaic panel</w:t>
      </w:r>
      <w:r w:rsidR="00534777">
        <w:rPr>
          <w:lang w:eastAsia="zh-CN"/>
        </w:rPr>
        <w:t xml:space="preserve"> technologie</w:t>
      </w:r>
      <w:r w:rsidR="00902D61">
        <w:rPr>
          <w:lang w:eastAsia="zh-CN"/>
        </w:rPr>
        <w:t>s.</w:t>
      </w:r>
      <w:r w:rsidR="00A40053" w:rsidRPr="00902D61">
        <w:rPr>
          <w:vertAlign w:val="superscript"/>
        </w:rPr>
        <w:endnoteReference w:id="22"/>
      </w:r>
      <w:r w:rsidR="00902D61">
        <w:rPr>
          <w:lang w:eastAsia="zh-CN"/>
        </w:rPr>
        <w:t xml:space="preserve"> </w:t>
      </w:r>
      <w:r w:rsidR="00AB1400">
        <w:rPr>
          <w:lang w:eastAsia="zh-CN"/>
        </w:rPr>
        <w:t>These technologies</w:t>
      </w:r>
      <w:r w:rsidR="00C418F2">
        <w:rPr>
          <w:lang w:eastAsia="zh-CN"/>
        </w:rPr>
        <w:t xml:space="preserve"> </w:t>
      </w:r>
      <w:r w:rsidR="00534777">
        <w:rPr>
          <w:lang w:eastAsia="zh-CN"/>
        </w:rPr>
        <w:t>provided</w:t>
      </w:r>
      <w:r w:rsidR="00C418F2">
        <w:rPr>
          <w:lang w:eastAsia="zh-CN"/>
        </w:rPr>
        <w:t xml:space="preserve"> superior </w:t>
      </w:r>
      <w:r w:rsidR="00534777">
        <w:rPr>
          <w:lang w:eastAsia="zh-CN"/>
        </w:rPr>
        <w:t xml:space="preserve">energy </w:t>
      </w:r>
      <w:r w:rsidR="008F37D3">
        <w:rPr>
          <w:lang w:eastAsia="zh-CN"/>
        </w:rPr>
        <w:t xml:space="preserve">conversion efficiency </w:t>
      </w:r>
      <w:r w:rsidR="00C418F2">
        <w:rPr>
          <w:lang w:eastAsia="zh-CN"/>
        </w:rPr>
        <w:t xml:space="preserve">and </w:t>
      </w:r>
      <w:r w:rsidR="00534777">
        <w:rPr>
          <w:lang w:eastAsia="zh-CN"/>
        </w:rPr>
        <w:t xml:space="preserve">manufacturing </w:t>
      </w:r>
      <w:r w:rsidR="00C418F2">
        <w:rPr>
          <w:lang w:eastAsia="zh-CN"/>
        </w:rPr>
        <w:t>cost advantages.</w:t>
      </w:r>
      <w:r w:rsidR="00534777" w:rsidRPr="00534777">
        <w:rPr>
          <w:lang w:eastAsia="zh-CN"/>
        </w:rPr>
        <w:t xml:space="preserve"> </w:t>
      </w:r>
      <w:r w:rsidR="00534777" w:rsidRPr="00EF1F40">
        <w:rPr>
          <w:lang w:eastAsia="zh-CN"/>
        </w:rPr>
        <w:t xml:space="preserve">By combining </w:t>
      </w:r>
      <w:r w:rsidR="00534777">
        <w:rPr>
          <w:lang w:eastAsia="zh-CN"/>
        </w:rPr>
        <w:t>such</w:t>
      </w:r>
      <w:r w:rsidR="00534777" w:rsidRPr="00EF1F40">
        <w:rPr>
          <w:lang w:eastAsia="zh-CN"/>
        </w:rPr>
        <w:t xml:space="preserve"> technologies with </w:t>
      </w:r>
      <w:r w:rsidR="00534777">
        <w:rPr>
          <w:lang w:eastAsia="zh-CN"/>
        </w:rPr>
        <w:t xml:space="preserve">TEL’s </w:t>
      </w:r>
      <w:r w:rsidR="00534777" w:rsidRPr="00EF1F40">
        <w:rPr>
          <w:lang w:eastAsia="zh-CN"/>
        </w:rPr>
        <w:t>advanced technologies</w:t>
      </w:r>
      <w:r w:rsidR="00534777">
        <w:rPr>
          <w:lang w:eastAsia="zh-CN"/>
        </w:rPr>
        <w:t xml:space="preserve"> in </w:t>
      </w:r>
      <w:r w:rsidR="00902D61">
        <w:rPr>
          <w:lang w:eastAsia="zh-CN"/>
        </w:rPr>
        <w:t xml:space="preserve">the </w:t>
      </w:r>
      <w:r w:rsidR="00534777">
        <w:rPr>
          <w:lang w:eastAsia="zh-CN"/>
        </w:rPr>
        <w:t xml:space="preserve">SEM business, TEL would </w:t>
      </w:r>
      <w:r w:rsidR="00534777" w:rsidRPr="00EF1F40">
        <w:rPr>
          <w:lang w:eastAsia="zh-CN"/>
        </w:rPr>
        <w:t xml:space="preserve">be able to develop </w:t>
      </w:r>
      <w:r w:rsidR="00AA4A42">
        <w:rPr>
          <w:lang w:eastAsia="zh-CN"/>
        </w:rPr>
        <w:t>world-leading</w:t>
      </w:r>
      <w:r w:rsidR="00902D61">
        <w:rPr>
          <w:lang w:eastAsia="zh-CN"/>
        </w:rPr>
        <w:t>,</w:t>
      </w:r>
      <w:r w:rsidR="00AA4A42">
        <w:rPr>
          <w:lang w:eastAsia="zh-CN"/>
        </w:rPr>
        <w:t xml:space="preserve"> </w:t>
      </w:r>
      <w:r w:rsidR="00534777" w:rsidRPr="00EF1F40">
        <w:rPr>
          <w:lang w:eastAsia="zh-CN"/>
        </w:rPr>
        <w:t>more competitive devices.</w:t>
      </w:r>
      <w:r w:rsidR="00AA4A42">
        <w:rPr>
          <w:lang w:eastAsia="zh-CN"/>
        </w:rPr>
        <w:t xml:space="preserve"> </w:t>
      </w:r>
      <w:r w:rsidRPr="006663CF">
        <w:rPr>
          <w:lang w:eastAsia="zh-CN"/>
        </w:rPr>
        <w:t xml:space="preserve">The company also wanted to establish the photovoltaic panel production equipment business as its new core business. </w:t>
      </w:r>
      <w:proofErr w:type="spellStart"/>
      <w:r w:rsidRPr="006663CF">
        <w:rPr>
          <w:lang w:eastAsia="zh-CN"/>
        </w:rPr>
        <w:t>Oerlikon</w:t>
      </w:r>
      <w:proofErr w:type="spellEnd"/>
      <w:r w:rsidRPr="006663CF">
        <w:rPr>
          <w:lang w:eastAsia="zh-CN"/>
        </w:rPr>
        <w:t xml:space="preserve"> Solar became a wholly</w:t>
      </w:r>
      <w:r w:rsidR="004731C1">
        <w:rPr>
          <w:lang w:eastAsia="zh-CN"/>
        </w:rPr>
        <w:t xml:space="preserve"> </w:t>
      </w:r>
      <w:r w:rsidRPr="006663CF">
        <w:rPr>
          <w:lang w:eastAsia="zh-CN"/>
        </w:rPr>
        <w:t xml:space="preserve">owned subsidiary of Tokyo Electron under the name TEL Solar </w:t>
      </w:r>
      <w:r w:rsidR="00564A5E" w:rsidRPr="006663CF">
        <w:rPr>
          <w:lang w:eastAsia="zh-CN"/>
        </w:rPr>
        <w:t>A</w:t>
      </w:r>
      <w:r w:rsidR="00564A5E">
        <w:rPr>
          <w:lang w:eastAsia="zh-CN"/>
        </w:rPr>
        <w:t>G</w:t>
      </w:r>
      <w:r w:rsidRPr="006663CF">
        <w:rPr>
          <w:lang w:eastAsia="zh-CN"/>
        </w:rPr>
        <w:t xml:space="preserve">. However, this business was less thriving than expected, with TEL Solar </w:t>
      </w:r>
      <w:r w:rsidR="00564A5E" w:rsidRPr="006663CF">
        <w:rPr>
          <w:lang w:eastAsia="zh-CN"/>
        </w:rPr>
        <w:t>A</w:t>
      </w:r>
      <w:r w:rsidR="00564A5E">
        <w:rPr>
          <w:lang w:eastAsia="zh-CN"/>
        </w:rPr>
        <w:t>G</w:t>
      </w:r>
      <w:r w:rsidR="00564A5E" w:rsidRPr="006663CF">
        <w:rPr>
          <w:lang w:eastAsia="zh-CN"/>
        </w:rPr>
        <w:t xml:space="preserve"> </w:t>
      </w:r>
      <w:r w:rsidRPr="006663CF">
        <w:rPr>
          <w:lang w:eastAsia="zh-CN"/>
        </w:rPr>
        <w:t>achieving revenue of</w:t>
      </w:r>
      <w:r w:rsidR="00EA7BB7">
        <w:rPr>
          <w:lang w:eastAsia="zh-CN"/>
        </w:rPr>
        <w:t xml:space="preserve"> only</w:t>
      </w:r>
      <w:r w:rsidRPr="006663CF">
        <w:rPr>
          <w:lang w:eastAsia="zh-CN"/>
        </w:rPr>
        <w:t xml:space="preserve"> $810,412 in 2013, and Tokyo Electron decided to divest it in January 2014.</w:t>
      </w:r>
      <w:r w:rsidRPr="006663CF">
        <w:rPr>
          <w:rStyle w:val="EndnoteReference"/>
          <w:lang w:eastAsia="zh-CN"/>
        </w:rPr>
        <w:endnoteReference w:id="23"/>
      </w:r>
      <w:r w:rsidRPr="006663CF">
        <w:rPr>
          <w:lang w:eastAsia="zh-CN"/>
        </w:rPr>
        <w:t xml:space="preserve"> </w:t>
      </w:r>
    </w:p>
    <w:p w14:paraId="337CF08C" w14:textId="77777777" w:rsidR="003852D6" w:rsidRDefault="003852D6" w:rsidP="00C40355">
      <w:pPr>
        <w:pStyle w:val="BodyTextMain"/>
        <w:rPr>
          <w:lang w:eastAsia="zh-CN"/>
        </w:rPr>
      </w:pPr>
    </w:p>
    <w:p w14:paraId="6A47ED51" w14:textId="77777777" w:rsidR="0080764F" w:rsidRPr="006663CF" w:rsidRDefault="0080764F" w:rsidP="00C40355">
      <w:pPr>
        <w:pStyle w:val="BodyTextMain"/>
        <w:rPr>
          <w:lang w:eastAsia="zh-CN"/>
        </w:rPr>
      </w:pPr>
    </w:p>
    <w:p w14:paraId="5B24ED2B" w14:textId="77777777" w:rsidR="003852D6" w:rsidRPr="006663CF" w:rsidRDefault="003852D6" w:rsidP="00884641">
      <w:pPr>
        <w:pStyle w:val="Casehead2"/>
        <w:rPr>
          <w:lang w:eastAsia="zh-CN"/>
        </w:rPr>
      </w:pPr>
      <w:r w:rsidRPr="006663CF">
        <w:rPr>
          <w:lang w:eastAsia="zh-CN"/>
        </w:rPr>
        <w:t>Competitive Position</w:t>
      </w:r>
    </w:p>
    <w:p w14:paraId="32AB814F" w14:textId="77777777" w:rsidR="003852D6" w:rsidRPr="006663CF" w:rsidRDefault="003852D6" w:rsidP="00C40355">
      <w:pPr>
        <w:pStyle w:val="BodyTextMain"/>
        <w:rPr>
          <w:lang w:eastAsia="zh-CN"/>
        </w:rPr>
      </w:pPr>
    </w:p>
    <w:p w14:paraId="05090020" w14:textId="2503CF1F" w:rsidR="003852D6" w:rsidRPr="006663CF" w:rsidRDefault="003852D6" w:rsidP="00C40355">
      <w:pPr>
        <w:pStyle w:val="BodyTextMain"/>
        <w:rPr>
          <w:lang w:eastAsia="zh-CN"/>
        </w:rPr>
      </w:pPr>
      <w:r w:rsidRPr="006663CF">
        <w:rPr>
          <w:lang w:eastAsia="zh-CN"/>
        </w:rPr>
        <w:t xml:space="preserve">Tokyo Electron was </w:t>
      </w:r>
      <w:r>
        <w:rPr>
          <w:lang w:eastAsia="zh-CN"/>
        </w:rPr>
        <w:t>one of the leaders</w:t>
      </w:r>
      <w:r w:rsidRPr="006663CF">
        <w:rPr>
          <w:lang w:eastAsia="zh-CN"/>
        </w:rPr>
        <w:t xml:space="preserve"> in the industry</w:t>
      </w:r>
      <w:r w:rsidR="004731C1">
        <w:rPr>
          <w:lang w:eastAsia="zh-CN"/>
        </w:rPr>
        <w:t>,</w:t>
      </w:r>
      <w:r w:rsidRPr="006663CF">
        <w:rPr>
          <w:lang w:eastAsia="zh-CN"/>
        </w:rPr>
        <w:t xml:space="preserve"> with $5.1 billion in sales in 2015 and $</w:t>
      </w:r>
      <w:r>
        <w:rPr>
          <w:lang w:eastAsia="zh-CN"/>
        </w:rPr>
        <w:t>593</w:t>
      </w:r>
      <w:r w:rsidRPr="006663CF">
        <w:rPr>
          <w:lang w:eastAsia="zh-CN"/>
        </w:rPr>
        <w:t xml:space="preserve"> million </w:t>
      </w:r>
      <w:r w:rsidR="004731C1">
        <w:rPr>
          <w:lang w:eastAsia="zh-CN"/>
        </w:rPr>
        <w:t>in</w:t>
      </w:r>
      <w:r w:rsidR="004731C1" w:rsidRPr="006663CF">
        <w:rPr>
          <w:lang w:eastAsia="zh-CN"/>
        </w:rPr>
        <w:t xml:space="preserve"> </w:t>
      </w:r>
      <w:r w:rsidRPr="006663CF">
        <w:rPr>
          <w:lang w:eastAsia="zh-CN"/>
        </w:rPr>
        <w:t>investments in R&amp;D</w:t>
      </w:r>
      <w:r>
        <w:rPr>
          <w:lang w:eastAsia="zh-CN"/>
        </w:rPr>
        <w:t xml:space="preserve"> (</w:t>
      </w:r>
      <w:r w:rsidR="004731C1">
        <w:rPr>
          <w:lang w:eastAsia="zh-CN"/>
        </w:rPr>
        <w:t xml:space="preserve">see </w:t>
      </w:r>
      <w:r>
        <w:rPr>
          <w:lang w:eastAsia="zh-CN"/>
        </w:rPr>
        <w:t>Exhibit 6)</w:t>
      </w:r>
      <w:r w:rsidR="004731C1">
        <w:rPr>
          <w:lang w:eastAsia="zh-CN"/>
        </w:rPr>
        <w:t>.</w:t>
      </w:r>
      <w:r w:rsidRPr="006663CF">
        <w:rPr>
          <w:lang w:eastAsia="zh-CN"/>
        </w:rPr>
        <w:t xml:space="preserve"> The company had 10,844 employees worldwide</w:t>
      </w:r>
      <w:r w:rsidR="00564A5E">
        <w:rPr>
          <w:lang w:eastAsia="zh-CN"/>
        </w:rPr>
        <w:t>,</w:t>
      </w:r>
      <w:r w:rsidRPr="006663CF">
        <w:rPr>
          <w:lang w:eastAsia="zh-CN"/>
        </w:rPr>
        <w:t xml:space="preserve"> of which 66 per cent were located in Japan.</w:t>
      </w:r>
      <w:r>
        <w:rPr>
          <w:rStyle w:val="EndnoteReference"/>
          <w:lang w:eastAsia="zh-CN"/>
        </w:rPr>
        <w:endnoteReference w:id="24"/>
      </w:r>
      <w:r>
        <w:rPr>
          <w:lang w:eastAsia="zh-CN"/>
        </w:rPr>
        <w:t xml:space="preserve"> </w:t>
      </w:r>
      <w:r w:rsidRPr="006663CF">
        <w:rPr>
          <w:lang w:eastAsia="zh-CN"/>
        </w:rPr>
        <w:t>More than 94 per cent of its sales came from semiconductor production equipment.</w:t>
      </w:r>
      <w:r>
        <w:rPr>
          <w:rStyle w:val="EndnoteReference"/>
          <w:lang w:eastAsia="zh-CN"/>
        </w:rPr>
        <w:endnoteReference w:id="25"/>
      </w:r>
      <w:r w:rsidRPr="006663CF">
        <w:rPr>
          <w:lang w:eastAsia="zh-CN"/>
        </w:rPr>
        <w:t xml:space="preserve"> Coater</w:t>
      </w:r>
      <w:r w:rsidR="00FD02AC">
        <w:rPr>
          <w:lang w:eastAsia="zh-CN"/>
        </w:rPr>
        <w:t>/</w:t>
      </w:r>
      <w:r w:rsidRPr="006663CF">
        <w:rPr>
          <w:lang w:eastAsia="zh-CN"/>
        </w:rPr>
        <w:t>developers, plasma etch system</w:t>
      </w:r>
      <w:r w:rsidR="004731C1">
        <w:rPr>
          <w:lang w:eastAsia="zh-CN"/>
        </w:rPr>
        <w:t>s</w:t>
      </w:r>
      <w:r w:rsidRPr="006663CF">
        <w:rPr>
          <w:lang w:eastAsia="zh-CN"/>
        </w:rPr>
        <w:t>, thermal processing system</w:t>
      </w:r>
      <w:r w:rsidR="004731C1">
        <w:rPr>
          <w:lang w:eastAsia="zh-CN"/>
        </w:rPr>
        <w:t>s</w:t>
      </w:r>
      <w:r w:rsidRPr="006663CF">
        <w:rPr>
          <w:lang w:eastAsia="zh-CN"/>
        </w:rPr>
        <w:t>, single wafer deposition system</w:t>
      </w:r>
      <w:r w:rsidR="004731C1">
        <w:rPr>
          <w:lang w:eastAsia="zh-CN"/>
        </w:rPr>
        <w:t>s</w:t>
      </w:r>
      <w:r w:rsidRPr="006663CF">
        <w:rPr>
          <w:lang w:eastAsia="zh-CN"/>
        </w:rPr>
        <w:t>, cleaning system</w:t>
      </w:r>
      <w:r w:rsidR="004731C1">
        <w:rPr>
          <w:lang w:eastAsia="zh-CN"/>
        </w:rPr>
        <w:t>s</w:t>
      </w:r>
      <w:r w:rsidRPr="006663CF">
        <w:rPr>
          <w:lang w:eastAsia="zh-CN"/>
        </w:rPr>
        <w:t>, and wafer prober</w:t>
      </w:r>
      <w:r w:rsidR="004731C1">
        <w:rPr>
          <w:lang w:eastAsia="zh-CN"/>
        </w:rPr>
        <w:t>s</w:t>
      </w:r>
      <w:r w:rsidRPr="006663CF">
        <w:rPr>
          <w:lang w:eastAsia="zh-CN"/>
        </w:rPr>
        <w:t xml:space="preserve"> were among </w:t>
      </w:r>
      <w:r w:rsidR="00DE362A">
        <w:rPr>
          <w:lang w:eastAsia="zh-CN"/>
        </w:rPr>
        <w:t xml:space="preserve">the </w:t>
      </w:r>
      <w:r w:rsidRPr="006663CF">
        <w:rPr>
          <w:lang w:eastAsia="zh-CN"/>
        </w:rPr>
        <w:t>major products and services in this segment</w:t>
      </w:r>
      <w:r w:rsidR="00564A5E">
        <w:rPr>
          <w:lang w:eastAsia="zh-CN"/>
        </w:rPr>
        <w:t>.</w:t>
      </w:r>
      <w:r w:rsidR="00564A5E" w:rsidRPr="006663CF">
        <w:rPr>
          <w:lang w:eastAsia="zh-CN"/>
        </w:rPr>
        <w:t xml:space="preserve"> </w:t>
      </w:r>
      <w:r w:rsidRPr="006663CF">
        <w:rPr>
          <w:lang w:eastAsia="zh-CN"/>
        </w:rPr>
        <w:t xml:space="preserve">In essence, Tokyo Electron dealt almost exclusively in front-end manufacturing equipment. </w:t>
      </w:r>
      <w:r w:rsidRPr="00F36E55">
        <w:rPr>
          <w:lang w:eastAsia="zh-CN"/>
        </w:rPr>
        <w:t>The co</w:t>
      </w:r>
      <w:r>
        <w:rPr>
          <w:lang w:eastAsia="zh-CN"/>
        </w:rPr>
        <w:t>mpany’s most profitable market wa</w:t>
      </w:r>
      <w:r w:rsidRPr="00F36E55">
        <w:rPr>
          <w:lang w:eastAsia="zh-CN"/>
        </w:rPr>
        <w:t xml:space="preserve">s </w:t>
      </w:r>
      <w:r>
        <w:rPr>
          <w:lang w:eastAsia="zh-CN"/>
        </w:rPr>
        <w:t>coater/developer</w:t>
      </w:r>
      <w:r w:rsidR="00FD02AC">
        <w:rPr>
          <w:lang w:eastAsia="zh-CN"/>
        </w:rPr>
        <w:t>s</w:t>
      </w:r>
      <w:r w:rsidR="004731C1">
        <w:rPr>
          <w:lang w:eastAsia="zh-CN"/>
        </w:rPr>
        <w:t>,</w:t>
      </w:r>
      <w:r>
        <w:rPr>
          <w:lang w:eastAsia="zh-CN"/>
        </w:rPr>
        <w:t xml:space="preserve"> which occupied over 89 per cent</w:t>
      </w:r>
      <w:r w:rsidRPr="00F36E55">
        <w:rPr>
          <w:lang w:eastAsia="zh-CN"/>
        </w:rPr>
        <w:t xml:space="preserve"> of the market share</w:t>
      </w:r>
      <w:r>
        <w:rPr>
          <w:lang w:eastAsia="zh-CN"/>
        </w:rPr>
        <w:t xml:space="preserve"> and</w:t>
      </w:r>
      <w:r w:rsidRPr="00F36E55">
        <w:rPr>
          <w:lang w:eastAsia="zh-CN"/>
        </w:rPr>
        <w:t xml:space="preserve"> </w:t>
      </w:r>
      <w:r w:rsidR="00FD02AC">
        <w:rPr>
          <w:lang w:eastAsia="zh-CN"/>
        </w:rPr>
        <w:t>had</w:t>
      </w:r>
      <w:r w:rsidR="00FD02AC" w:rsidRPr="00F36E55">
        <w:rPr>
          <w:lang w:eastAsia="zh-CN"/>
        </w:rPr>
        <w:t xml:space="preserve"> </w:t>
      </w:r>
      <w:r w:rsidRPr="00F36E55">
        <w:rPr>
          <w:lang w:eastAsia="zh-CN"/>
        </w:rPr>
        <w:t>little competition</w:t>
      </w:r>
      <w:r>
        <w:rPr>
          <w:lang w:eastAsia="zh-CN"/>
        </w:rPr>
        <w:t>.</w:t>
      </w:r>
      <w:r>
        <w:rPr>
          <w:rStyle w:val="EndnoteReference"/>
          <w:lang w:eastAsia="zh-CN"/>
        </w:rPr>
        <w:endnoteReference w:id="26"/>
      </w:r>
    </w:p>
    <w:p w14:paraId="455671D7" w14:textId="77777777" w:rsidR="003852D6" w:rsidRPr="006663CF" w:rsidRDefault="003852D6" w:rsidP="00C40355">
      <w:pPr>
        <w:pStyle w:val="BodyTextMain"/>
        <w:rPr>
          <w:lang w:eastAsia="zh-CN"/>
        </w:rPr>
      </w:pPr>
    </w:p>
    <w:p w14:paraId="76D49337" w14:textId="04A1DD80" w:rsidR="003852D6" w:rsidRPr="006663CF" w:rsidRDefault="003852D6" w:rsidP="00C40355">
      <w:pPr>
        <w:pStyle w:val="BodyTextMain"/>
        <w:rPr>
          <w:lang w:eastAsia="zh-CN"/>
        </w:rPr>
      </w:pPr>
      <w:r w:rsidRPr="006663CF">
        <w:rPr>
          <w:lang w:eastAsia="zh-CN"/>
        </w:rPr>
        <w:t xml:space="preserve">In 2015, Japan, the </w:t>
      </w:r>
      <w:r w:rsidR="004731C1">
        <w:rPr>
          <w:lang w:eastAsia="zh-CN"/>
        </w:rPr>
        <w:t>United States</w:t>
      </w:r>
      <w:r w:rsidRPr="006663CF">
        <w:rPr>
          <w:lang w:eastAsia="zh-CN"/>
        </w:rPr>
        <w:t>, Europe, and Asia contributed 15.5 per cent, 22 per cent, 10.2 per cent, and 52 per cent of the total sales</w:t>
      </w:r>
      <w:r w:rsidR="00206E7B">
        <w:rPr>
          <w:lang w:eastAsia="zh-CN"/>
        </w:rPr>
        <w:t>, respectively</w:t>
      </w:r>
      <w:r>
        <w:rPr>
          <w:lang w:eastAsia="zh-CN"/>
        </w:rPr>
        <w:t xml:space="preserve"> (</w:t>
      </w:r>
      <w:r w:rsidR="00206E7B">
        <w:rPr>
          <w:lang w:eastAsia="zh-CN"/>
        </w:rPr>
        <w:t>s</w:t>
      </w:r>
      <w:r>
        <w:rPr>
          <w:lang w:eastAsia="zh-CN"/>
        </w:rPr>
        <w:t>ee Exhibit 7)</w:t>
      </w:r>
      <w:r w:rsidR="00206E7B">
        <w:rPr>
          <w:lang w:eastAsia="zh-CN"/>
        </w:rPr>
        <w:t>.</w:t>
      </w:r>
      <w:r w:rsidRPr="006663CF">
        <w:rPr>
          <w:lang w:eastAsia="zh-CN"/>
        </w:rPr>
        <w:t xml:space="preserve"> Tokyo Electron’s main customers</w:t>
      </w:r>
      <w:r w:rsidR="00EA7BB7">
        <w:rPr>
          <w:lang w:eastAsia="zh-CN"/>
        </w:rPr>
        <w:t>, TSMC, Samsung, and Intel,</w:t>
      </w:r>
      <w:r w:rsidRPr="006663CF">
        <w:rPr>
          <w:lang w:eastAsia="zh-CN"/>
        </w:rPr>
        <w:t xml:space="preserve"> were the same as</w:t>
      </w:r>
      <w:r w:rsidR="00EA7BB7">
        <w:rPr>
          <w:lang w:eastAsia="zh-CN"/>
        </w:rPr>
        <w:t xml:space="preserve"> those of</w:t>
      </w:r>
      <w:r w:rsidRPr="006663CF">
        <w:rPr>
          <w:lang w:eastAsia="zh-CN"/>
        </w:rPr>
        <w:t xml:space="preserve"> its major rivals.</w:t>
      </w:r>
      <w:r>
        <w:rPr>
          <w:lang w:eastAsia="zh-CN"/>
        </w:rPr>
        <w:t xml:space="preserve"> </w:t>
      </w:r>
      <w:r w:rsidR="00206E7B">
        <w:rPr>
          <w:lang w:eastAsia="zh-CN"/>
        </w:rPr>
        <w:t>O</w:t>
      </w:r>
      <w:r w:rsidRPr="006663CF">
        <w:rPr>
          <w:lang w:eastAsia="zh-CN"/>
        </w:rPr>
        <w:t xml:space="preserve">n the occasion of </w:t>
      </w:r>
      <w:r w:rsidR="004731C1">
        <w:rPr>
          <w:lang w:eastAsia="zh-CN"/>
        </w:rPr>
        <w:t>its</w:t>
      </w:r>
      <w:r w:rsidR="004731C1" w:rsidRPr="006663CF">
        <w:rPr>
          <w:lang w:eastAsia="zh-CN"/>
        </w:rPr>
        <w:t xml:space="preserve"> </w:t>
      </w:r>
      <w:r w:rsidRPr="006663CF">
        <w:rPr>
          <w:lang w:eastAsia="zh-CN"/>
        </w:rPr>
        <w:t xml:space="preserve">50th anniversary in 2013, Tokyo Electron defined a new corporate philosophy </w:t>
      </w:r>
      <w:r w:rsidR="00FD02AC">
        <w:rPr>
          <w:lang w:eastAsia="zh-CN"/>
        </w:rPr>
        <w:t>that</w:t>
      </w:r>
      <w:r w:rsidR="00FD02AC" w:rsidRPr="006663CF">
        <w:rPr>
          <w:lang w:eastAsia="zh-CN"/>
        </w:rPr>
        <w:t xml:space="preserve"> </w:t>
      </w:r>
      <w:r w:rsidR="004731C1">
        <w:rPr>
          <w:lang w:eastAsia="zh-CN"/>
        </w:rPr>
        <w:t>articulated</w:t>
      </w:r>
      <w:r w:rsidR="004731C1" w:rsidRPr="006663CF">
        <w:rPr>
          <w:lang w:eastAsia="zh-CN"/>
        </w:rPr>
        <w:t xml:space="preserve"> </w:t>
      </w:r>
      <w:r w:rsidRPr="006663CF">
        <w:rPr>
          <w:lang w:eastAsia="zh-CN"/>
        </w:rPr>
        <w:t xml:space="preserve">the purpose of its existence and mission in </w:t>
      </w:r>
      <w:r w:rsidR="004731C1" w:rsidRPr="006663CF">
        <w:rPr>
          <w:lang w:eastAsia="zh-CN"/>
        </w:rPr>
        <w:t>societ</w:t>
      </w:r>
      <w:r w:rsidR="004731C1">
        <w:rPr>
          <w:lang w:eastAsia="zh-CN"/>
        </w:rPr>
        <w:t>y</w:t>
      </w:r>
      <w:r w:rsidR="000C48ED">
        <w:rPr>
          <w:lang w:eastAsia="zh-CN"/>
        </w:rPr>
        <w:t>:</w:t>
      </w:r>
      <w:r w:rsidRPr="006663CF">
        <w:rPr>
          <w:lang w:eastAsia="zh-CN"/>
        </w:rPr>
        <w:t xml:space="preserve"> “We strive to contribute to the development of a dream-inspiring society through our leading-edge technologies and reliable service and support</w:t>
      </w:r>
      <w:r w:rsidR="004731C1">
        <w:rPr>
          <w:lang w:eastAsia="zh-CN"/>
        </w:rPr>
        <w:t>.</w:t>
      </w:r>
      <w:r w:rsidRPr="006663CF">
        <w:rPr>
          <w:lang w:eastAsia="zh-CN"/>
        </w:rPr>
        <w:t>”</w:t>
      </w:r>
      <w:r w:rsidRPr="006663CF">
        <w:rPr>
          <w:rStyle w:val="EndnoteReference"/>
          <w:lang w:eastAsia="zh-CN"/>
        </w:rPr>
        <w:endnoteReference w:id="27"/>
      </w:r>
      <w:r w:rsidRPr="006663CF">
        <w:rPr>
          <w:lang w:eastAsia="zh-CN"/>
        </w:rPr>
        <w:t xml:space="preserve"> </w:t>
      </w:r>
    </w:p>
    <w:p w14:paraId="5420A09C" w14:textId="77777777" w:rsidR="003852D6" w:rsidRPr="006663CF" w:rsidRDefault="003852D6" w:rsidP="00C40355">
      <w:pPr>
        <w:pStyle w:val="BodyTextMain"/>
        <w:rPr>
          <w:lang w:eastAsia="zh-CN"/>
        </w:rPr>
      </w:pPr>
    </w:p>
    <w:p w14:paraId="02BE75CA" w14:textId="77777777" w:rsidR="003852D6" w:rsidRPr="006663CF" w:rsidRDefault="003852D6" w:rsidP="00C40355">
      <w:pPr>
        <w:pStyle w:val="BodyTextMain"/>
        <w:rPr>
          <w:lang w:eastAsia="zh-CN"/>
        </w:rPr>
      </w:pPr>
    </w:p>
    <w:p w14:paraId="5FB9762F" w14:textId="77777777" w:rsidR="003852D6" w:rsidRPr="006663CF" w:rsidRDefault="003852D6" w:rsidP="00884641">
      <w:pPr>
        <w:pStyle w:val="Casehead1"/>
      </w:pPr>
      <w:r w:rsidRPr="006663CF">
        <w:t xml:space="preserve">ANNOUNCEMENT OF MERGER BETWEEN Tokyo Electron and Applied Materials </w:t>
      </w:r>
    </w:p>
    <w:p w14:paraId="68F7E4EE" w14:textId="77777777" w:rsidR="003852D6" w:rsidRPr="006663CF" w:rsidRDefault="003852D6" w:rsidP="00C40355">
      <w:pPr>
        <w:pStyle w:val="BodyTextMain"/>
        <w:rPr>
          <w:lang w:eastAsia="zh-CN"/>
        </w:rPr>
      </w:pPr>
    </w:p>
    <w:p w14:paraId="29F012A9" w14:textId="26EF18F9" w:rsidR="003852D6" w:rsidRPr="00165F4C" w:rsidRDefault="003852D6" w:rsidP="00C40355">
      <w:pPr>
        <w:pStyle w:val="BodyTextMain"/>
        <w:rPr>
          <w:spacing w:val="-2"/>
          <w:lang w:eastAsia="zh-CN"/>
        </w:rPr>
      </w:pPr>
      <w:r w:rsidRPr="00165F4C">
        <w:rPr>
          <w:spacing w:val="-2"/>
          <w:lang w:eastAsia="zh-CN"/>
        </w:rPr>
        <w:t>On September 24, 2013, Applied Materials and Tokyo Electron announced a merger of equals between the two companies</w:t>
      </w:r>
      <w:r w:rsidR="004731C1" w:rsidRPr="00165F4C">
        <w:rPr>
          <w:spacing w:val="-2"/>
          <w:lang w:eastAsia="zh-CN"/>
        </w:rPr>
        <w:t>,</w:t>
      </w:r>
      <w:r w:rsidRPr="00165F4C">
        <w:rPr>
          <w:spacing w:val="-2"/>
          <w:lang w:eastAsia="zh-CN"/>
        </w:rPr>
        <w:t xml:space="preserve"> with a combined market capitalization of $29 billion. This announcement was one of the most important strategic move</w:t>
      </w:r>
      <w:r w:rsidR="00206E7B" w:rsidRPr="00165F4C">
        <w:rPr>
          <w:spacing w:val="-2"/>
          <w:lang w:eastAsia="zh-CN"/>
        </w:rPr>
        <w:t>s</w:t>
      </w:r>
      <w:r w:rsidRPr="00165F4C">
        <w:rPr>
          <w:spacing w:val="-2"/>
          <w:lang w:eastAsia="zh-CN"/>
        </w:rPr>
        <w:t xml:space="preserve"> in the industry. “It’s like a merger of Google and Microsoft</w:t>
      </w:r>
      <w:r w:rsidR="004731C1" w:rsidRPr="00165F4C">
        <w:rPr>
          <w:spacing w:val="-2"/>
          <w:lang w:eastAsia="zh-CN"/>
        </w:rPr>
        <w:t>,</w:t>
      </w:r>
      <w:r w:rsidRPr="00165F4C">
        <w:rPr>
          <w:spacing w:val="-2"/>
          <w:lang w:eastAsia="zh-CN"/>
        </w:rPr>
        <w:t>”</w:t>
      </w:r>
      <w:r w:rsidRPr="00165F4C">
        <w:rPr>
          <w:rStyle w:val="EndnoteReference"/>
          <w:spacing w:val="-2"/>
          <w:lang w:eastAsia="zh-CN"/>
        </w:rPr>
        <w:endnoteReference w:id="28"/>
      </w:r>
      <w:r w:rsidRPr="00165F4C">
        <w:rPr>
          <w:spacing w:val="-2"/>
          <w:lang w:eastAsia="zh-CN"/>
        </w:rPr>
        <w:t xml:space="preserve"> said Dan Hutcheson, a semiconductor market analyst at VLSI Research. The new entity would hold 25 per cent of the </w:t>
      </w:r>
      <w:r w:rsidR="00F57CBC" w:rsidRPr="00165F4C">
        <w:rPr>
          <w:spacing w:val="-2"/>
          <w:lang w:eastAsia="zh-CN"/>
        </w:rPr>
        <w:t xml:space="preserve">industry’s </w:t>
      </w:r>
      <w:r w:rsidRPr="00165F4C">
        <w:rPr>
          <w:spacing w:val="-2"/>
          <w:lang w:eastAsia="zh-CN"/>
        </w:rPr>
        <w:t>market share. This move came as a surprise in the industry</w:t>
      </w:r>
      <w:r w:rsidR="004731C1" w:rsidRPr="00165F4C">
        <w:rPr>
          <w:spacing w:val="-2"/>
          <w:lang w:eastAsia="zh-CN"/>
        </w:rPr>
        <w:t>,</w:t>
      </w:r>
      <w:r w:rsidRPr="00165F4C">
        <w:rPr>
          <w:spacing w:val="-2"/>
          <w:lang w:eastAsia="zh-CN"/>
        </w:rPr>
        <w:t xml:space="preserve"> </w:t>
      </w:r>
      <w:r w:rsidR="004731C1" w:rsidRPr="00165F4C">
        <w:rPr>
          <w:spacing w:val="-2"/>
          <w:lang w:eastAsia="zh-CN"/>
        </w:rPr>
        <w:t xml:space="preserve">as </w:t>
      </w:r>
      <w:r w:rsidRPr="00165F4C">
        <w:rPr>
          <w:spacing w:val="-2"/>
          <w:lang w:eastAsia="zh-CN"/>
        </w:rPr>
        <w:t>Tokyo Electron had a strong financial position in 2013.</w:t>
      </w:r>
      <w:r w:rsidRPr="00165F4C">
        <w:rPr>
          <w:rStyle w:val="EndnoteReference"/>
          <w:spacing w:val="-2"/>
          <w:lang w:eastAsia="zh-CN"/>
        </w:rPr>
        <w:endnoteReference w:id="29"/>
      </w:r>
      <w:r w:rsidRPr="00165F4C">
        <w:rPr>
          <w:spacing w:val="-2"/>
          <w:lang w:eastAsia="zh-CN"/>
        </w:rPr>
        <w:t xml:space="preserve"> While some employees could exhibit resistance toward this deal, especially considering the cultural differences, the merger was completely approved by the boards of directors of both companies.</w:t>
      </w:r>
      <w:r w:rsidRPr="00165F4C">
        <w:rPr>
          <w:rStyle w:val="EndnoteReference"/>
          <w:spacing w:val="-2"/>
          <w:lang w:eastAsia="zh-CN"/>
        </w:rPr>
        <w:endnoteReference w:id="30"/>
      </w:r>
      <w:r w:rsidRPr="00165F4C">
        <w:rPr>
          <w:spacing w:val="-2"/>
          <w:lang w:eastAsia="zh-CN"/>
        </w:rPr>
        <w:t xml:space="preserve"> </w:t>
      </w:r>
    </w:p>
    <w:p w14:paraId="7A08B582" w14:textId="77777777" w:rsidR="003852D6" w:rsidRPr="006663CF" w:rsidRDefault="003852D6" w:rsidP="00C40355">
      <w:pPr>
        <w:pStyle w:val="BodyTextMain"/>
        <w:rPr>
          <w:lang w:eastAsia="zh-CN"/>
        </w:rPr>
      </w:pPr>
    </w:p>
    <w:p w14:paraId="3B282D72" w14:textId="284A5F6C" w:rsidR="003852D6" w:rsidRPr="006663CF" w:rsidRDefault="003852D6" w:rsidP="00C40355">
      <w:pPr>
        <w:pStyle w:val="BodyTextMain"/>
        <w:rPr>
          <w:lang w:eastAsia="zh-CN"/>
        </w:rPr>
      </w:pPr>
      <w:r w:rsidRPr="006663CF">
        <w:rPr>
          <w:lang w:eastAsia="zh-CN"/>
        </w:rPr>
        <w:t>Indeed, while the situations of both companies were positive in 2013, their core customers, which were the same</w:t>
      </w:r>
      <w:r w:rsidR="004731C1">
        <w:rPr>
          <w:lang w:eastAsia="zh-CN"/>
        </w:rPr>
        <w:t>,</w:t>
      </w:r>
      <w:r w:rsidRPr="006663CF">
        <w:rPr>
          <w:lang w:eastAsia="zh-CN"/>
        </w:rPr>
        <w:t xml:space="preserve"> had been increasingly pressuring them to reduce costs and also to invest more in R&amp;D so as to develop more complex and modern equipment.</w:t>
      </w:r>
      <w:r>
        <w:rPr>
          <w:rStyle w:val="EndnoteReference"/>
          <w:lang w:eastAsia="zh-CN"/>
        </w:rPr>
        <w:endnoteReference w:id="31"/>
      </w:r>
      <w:r w:rsidRPr="006663CF">
        <w:rPr>
          <w:lang w:eastAsia="zh-CN"/>
        </w:rPr>
        <w:t xml:space="preserve"> Moreover, while both companies seemed to sell similar types of products, they actually specialized in different stages in the semiconductor manufacturing process. In particular, Tokyo Electron specialized in </w:t>
      </w:r>
      <w:r w:rsidR="004731C1">
        <w:rPr>
          <w:lang w:eastAsia="zh-CN"/>
        </w:rPr>
        <w:t>t</w:t>
      </w:r>
      <w:r w:rsidR="004731C1" w:rsidRPr="006663CF">
        <w:rPr>
          <w:lang w:eastAsia="zh-CN"/>
        </w:rPr>
        <w:t xml:space="preserve">hermal </w:t>
      </w:r>
      <w:r w:rsidR="004731C1">
        <w:rPr>
          <w:lang w:eastAsia="zh-CN"/>
        </w:rPr>
        <w:t>o</w:t>
      </w:r>
      <w:r w:rsidR="004731C1" w:rsidRPr="006663CF">
        <w:rPr>
          <w:lang w:eastAsia="zh-CN"/>
        </w:rPr>
        <w:t>xidation</w:t>
      </w:r>
      <w:r w:rsidRPr="006663CF">
        <w:rPr>
          <w:lang w:eastAsia="zh-CN"/>
        </w:rPr>
        <w:t xml:space="preserve">, </w:t>
      </w:r>
      <w:r w:rsidR="004731C1">
        <w:rPr>
          <w:lang w:eastAsia="zh-CN"/>
        </w:rPr>
        <w:t>l</w:t>
      </w:r>
      <w:r w:rsidR="004731C1" w:rsidRPr="006663CF">
        <w:rPr>
          <w:lang w:eastAsia="zh-CN"/>
        </w:rPr>
        <w:t xml:space="preserve">ithography </w:t>
      </w:r>
      <w:r w:rsidRPr="006663CF">
        <w:rPr>
          <w:lang w:eastAsia="zh-CN"/>
        </w:rPr>
        <w:t>(</w:t>
      </w:r>
      <w:r w:rsidR="004731C1">
        <w:rPr>
          <w:lang w:eastAsia="zh-CN"/>
        </w:rPr>
        <w:t>p</w:t>
      </w:r>
      <w:r w:rsidR="004731C1" w:rsidRPr="006663CF">
        <w:rPr>
          <w:lang w:eastAsia="zh-CN"/>
        </w:rPr>
        <w:t>hotoresist</w:t>
      </w:r>
      <w:r w:rsidRPr="006663CF">
        <w:rPr>
          <w:lang w:eastAsia="zh-CN"/>
        </w:rPr>
        <w:t xml:space="preserve">), </w:t>
      </w:r>
      <w:r w:rsidR="004731C1">
        <w:rPr>
          <w:lang w:eastAsia="zh-CN"/>
        </w:rPr>
        <w:t>e</w:t>
      </w:r>
      <w:r w:rsidR="004731C1" w:rsidRPr="006663CF">
        <w:rPr>
          <w:lang w:eastAsia="zh-CN"/>
        </w:rPr>
        <w:t xml:space="preserve">tching </w:t>
      </w:r>
      <w:r w:rsidRPr="006663CF">
        <w:rPr>
          <w:lang w:eastAsia="zh-CN"/>
        </w:rPr>
        <w:t>(</w:t>
      </w:r>
      <w:r w:rsidR="004731C1">
        <w:rPr>
          <w:lang w:eastAsia="zh-CN"/>
        </w:rPr>
        <w:t>o</w:t>
      </w:r>
      <w:r w:rsidR="004731C1" w:rsidRPr="006663CF">
        <w:rPr>
          <w:lang w:eastAsia="zh-CN"/>
        </w:rPr>
        <w:t>xide</w:t>
      </w:r>
      <w:r w:rsidRPr="006663CF">
        <w:rPr>
          <w:lang w:eastAsia="zh-CN"/>
        </w:rPr>
        <w:t>)</w:t>
      </w:r>
      <w:r w:rsidR="00DE362A">
        <w:rPr>
          <w:lang w:eastAsia="zh-CN"/>
        </w:rPr>
        <w:t>,</w:t>
      </w:r>
      <w:r w:rsidRPr="006663CF">
        <w:rPr>
          <w:lang w:eastAsia="zh-CN"/>
        </w:rPr>
        <w:t xml:space="preserve"> and </w:t>
      </w:r>
      <w:r w:rsidR="004731C1">
        <w:rPr>
          <w:lang w:eastAsia="zh-CN"/>
        </w:rPr>
        <w:t>w</w:t>
      </w:r>
      <w:r w:rsidR="004731C1" w:rsidRPr="006663CF">
        <w:rPr>
          <w:lang w:eastAsia="zh-CN"/>
        </w:rPr>
        <w:t>afer</w:t>
      </w:r>
      <w:r w:rsidR="00FD02AC">
        <w:rPr>
          <w:lang w:eastAsia="zh-CN"/>
        </w:rPr>
        <w:t xml:space="preserve"> </w:t>
      </w:r>
      <w:r w:rsidRPr="006663CF">
        <w:rPr>
          <w:lang w:eastAsia="zh-CN"/>
        </w:rPr>
        <w:t>test</w:t>
      </w:r>
      <w:r w:rsidR="00FD02AC">
        <w:rPr>
          <w:lang w:eastAsia="zh-CN"/>
        </w:rPr>
        <w:t>ing</w:t>
      </w:r>
      <w:r w:rsidRPr="006663CF">
        <w:rPr>
          <w:lang w:eastAsia="zh-CN"/>
        </w:rPr>
        <w:t>. Applied Materials</w:t>
      </w:r>
      <w:r w:rsidR="004731C1">
        <w:rPr>
          <w:lang w:eastAsia="zh-CN"/>
        </w:rPr>
        <w:t>,</w:t>
      </w:r>
      <w:r w:rsidRPr="006663CF">
        <w:rPr>
          <w:lang w:eastAsia="zh-CN"/>
        </w:rPr>
        <w:t xml:space="preserve"> however</w:t>
      </w:r>
      <w:r w:rsidR="004731C1">
        <w:rPr>
          <w:lang w:eastAsia="zh-CN"/>
        </w:rPr>
        <w:t>,</w:t>
      </w:r>
      <w:r w:rsidRPr="006663CF">
        <w:rPr>
          <w:lang w:eastAsia="zh-CN"/>
        </w:rPr>
        <w:t xml:space="preserve"> specialized in deposition</w:t>
      </w:r>
      <w:r w:rsidR="006D323F">
        <w:rPr>
          <w:lang w:eastAsia="zh-CN"/>
        </w:rPr>
        <w:t>s</w:t>
      </w:r>
      <w:r w:rsidRPr="006663CF">
        <w:rPr>
          <w:lang w:eastAsia="zh-CN"/>
        </w:rPr>
        <w:t xml:space="preserve"> (</w:t>
      </w:r>
      <w:r w:rsidR="00EA7BB7">
        <w:rPr>
          <w:lang w:eastAsia="zh-CN"/>
        </w:rPr>
        <w:t>physical vapo</w:t>
      </w:r>
      <w:r w:rsidR="009A1FF8">
        <w:rPr>
          <w:lang w:eastAsia="zh-CN"/>
        </w:rPr>
        <w:t>u</w:t>
      </w:r>
      <w:r w:rsidR="00EA7BB7">
        <w:rPr>
          <w:lang w:eastAsia="zh-CN"/>
        </w:rPr>
        <w:t>r deposition</w:t>
      </w:r>
      <w:r w:rsidRPr="006663CF">
        <w:rPr>
          <w:lang w:eastAsia="zh-CN"/>
        </w:rPr>
        <w:t xml:space="preserve"> </w:t>
      </w:r>
      <w:r w:rsidR="00EA7BB7">
        <w:rPr>
          <w:lang w:eastAsia="zh-CN"/>
        </w:rPr>
        <w:t>and</w:t>
      </w:r>
      <w:r w:rsidRPr="006663CF">
        <w:rPr>
          <w:lang w:eastAsia="zh-CN"/>
        </w:rPr>
        <w:t xml:space="preserve"> </w:t>
      </w:r>
      <w:r w:rsidR="006D323F" w:rsidRPr="006D323F">
        <w:rPr>
          <w:lang w:eastAsia="zh-CN"/>
        </w:rPr>
        <w:t>chemical vapo</w:t>
      </w:r>
      <w:r w:rsidR="009A1FF8">
        <w:rPr>
          <w:lang w:eastAsia="zh-CN"/>
        </w:rPr>
        <w:t>u</w:t>
      </w:r>
      <w:r w:rsidR="006D323F" w:rsidRPr="006D323F">
        <w:rPr>
          <w:lang w:eastAsia="zh-CN"/>
        </w:rPr>
        <w:t>r deposition</w:t>
      </w:r>
      <w:r w:rsidRPr="006663CF">
        <w:rPr>
          <w:lang w:eastAsia="zh-CN"/>
        </w:rPr>
        <w:t xml:space="preserve">), </w:t>
      </w:r>
      <w:r w:rsidR="004731C1">
        <w:rPr>
          <w:lang w:eastAsia="zh-CN"/>
        </w:rPr>
        <w:t>c</w:t>
      </w:r>
      <w:r w:rsidR="004731C1" w:rsidRPr="006663CF">
        <w:rPr>
          <w:lang w:eastAsia="zh-CN"/>
        </w:rPr>
        <w:t xml:space="preserve">hemical </w:t>
      </w:r>
      <w:r w:rsidR="004731C1">
        <w:rPr>
          <w:lang w:eastAsia="zh-CN"/>
        </w:rPr>
        <w:t>m</w:t>
      </w:r>
      <w:r w:rsidR="004731C1" w:rsidRPr="006663CF">
        <w:rPr>
          <w:lang w:eastAsia="zh-CN"/>
        </w:rPr>
        <w:t xml:space="preserve">echanical </w:t>
      </w:r>
      <w:r w:rsidR="004731C1">
        <w:rPr>
          <w:lang w:eastAsia="zh-CN"/>
        </w:rPr>
        <w:t>p</w:t>
      </w:r>
      <w:r w:rsidR="004731C1" w:rsidRPr="006663CF">
        <w:rPr>
          <w:lang w:eastAsia="zh-CN"/>
        </w:rPr>
        <w:t>lan</w:t>
      </w:r>
      <w:r w:rsidR="004731C1">
        <w:rPr>
          <w:lang w:eastAsia="zh-CN"/>
        </w:rPr>
        <w:t>arization</w:t>
      </w:r>
      <w:r w:rsidR="00C7376F">
        <w:rPr>
          <w:lang w:eastAsia="zh-CN"/>
        </w:rPr>
        <w:t xml:space="preserve">, and </w:t>
      </w:r>
      <w:r w:rsidR="004731C1">
        <w:rPr>
          <w:lang w:eastAsia="zh-CN"/>
        </w:rPr>
        <w:t xml:space="preserve">etching </w:t>
      </w:r>
      <w:r w:rsidR="00C7376F">
        <w:rPr>
          <w:lang w:eastAsia="zh-CN"/>
        </w:rPr>
        <w:t>(</w:t>
      </w:r>
      <w:r w:rsidR="004731C1">
        <w:rPr>
          <w:lang w:eastAsia="zh-CN"/>
        </w:rPr>
        <w:t>metals</w:t>
      </w:r>
      <w:r w:rsidR="00C7376F">
        <w:rPr>
          <w:lang w:eastAsia="zh-CN"/>
        </w:rPr>
        <w:t>)</w:t>
      </w:r>
      <w:r w:rsidRPr="006663CF">
        <w:rPr>
          <w:lang w:eastAsia="zh-CN"/>
        </w:rPr>
        <w:t xml:space="preserve"> </w:t>
      </w:r>
      <w:r>
        <w:rPr>
          <w:lang w:eastAsia="zh-CN"/>
        </w:rPr>
        <w:t>(</w:t>
      </w:r>
      <w:r w:rsidR="00C7376F">
        <w:rPr>
          <w:lang w:eastAsia="zh-CN"/>
        </w:rPr>
        <w:t>s</w:t>
      </w:r>
      <w:r>
        <w:rPr>
          <w:lang w:eastAsia="zh-CN"/>
        </w:rPr>
        <w:t>ee Exhibit 8)</w:t>
      </w:r>
      <w:r w:rsidR="00C7376F">
        <w:rPr>
          <w:lang w:eastAsia="zh-CN"/>
        </w:rPr>
        <w:t>.</w:t>
      </w:r>
    </w:p>
    <w:p w14:paraId="0F643393" w14:textId="77777777" w:rsidR="003852D6" w:rsidRPr="006663CF" w:rsidRDefault="003852D6" w:rsidP="00C40355">
      <w:pPr>
        <w:pStyle w:val="BodyTextMain"/>
        <w:rPr>
          <w:lang w:eastAsia="zh-CN"/>
        </w:rPr>
      </w:pPr>
    </w:p>
    <w:p w14:paraId="121B5AFB" w14:textId="50BB31CB" w:rsidR="003852D6" w:rsidRPr="006663CF" w:rsidRDefault="003852D6" w:rsidP="00C40355">
      <w:pPr>
        <w:pStyle w:val="BodyTextMain"/>
        <w:rPr>
          <w:lang w:eastAsia="zh-CN"/>
        </w:rPr>
      </w:pPr>
      <w:r w:rsidRPr="006663CF">
        <w:rPr>
          <w:lang w:eastAsia="zh-CN"/>
        </w:rPr>
        <w:lastRenderedPageBreak/>
        <w:t>This new merger would allow both companies to gain synergies from their operational activities and products, while leaving extra capital available for R&amp;D investments.</w:t>
      </w:r>
      <w:r>
        <w:rPr>
          <w:rStyle w:val="EndnoteReference"/>
          <w:lang w:eastAsia="zh-CN"/>
        </w:rPr>
        <w:endnoteReference w:id="32"/>
      </w:r>
      <w:r w:rsidRPr="006663CF">
        <w:rPr>
          <w:lang w:eastAsia="zh-CN"/>
        </w:rPr>
        <w:t xml:space="preserve"> Facing cost pressures from customers, mergers were one of the growth strategies for a large electronic company like Applied Materials to increase its revenues more quickly, while preserving its profit margin</w:t>
      </w:r>
      <w:r w:rsidR="00FD02AC">
        <w:rPr>
          <w:lang w:eastAsia="zh-CN"/>
        </w:rPr>
        <w:t>s</w:t>
      </w:r>
      <w:r w:rsidRPr="006663CF">
        <w:rPr>
          <w:lang w:eastAsia="zh-CN"/>
        </w:rPr>
        <w:t xml:space="preserve">. Developing new products was expensive in this industry (e.g., over $100 million for developing the product alone without selling it). So, it was simpler for a company to buy another one and integrate its existing technological know-how and products. </w:t>
      </w:r>
    </w:p>
    <w:p w14:paraId="3E7E1B16" w14:textId="77777777" w:rsidR="003852D6" w:rsidRPr="006663CF" w:rsidRDefault="003852D6" w:rsidP="00C40355">
      <w:pPr>
        <w:pStyle w:val="BodyTextMain"/>
        <w:rPr>
          <w:lang w:eastAsia="zh-CN"/>
        </w:rPr>
      </w:pPr>
    </w:p>
    <w:p w14:paraId="06E1F4E9" w14:textId="64F29C18" w:rsidR="003852D6" w:rsidRPr="006663CF" w:rsidRDefault="003852D6" w:rsidP="00C40355">
      <w:pPr>
        <w:pStyle w:val="BodyTextMain"/>
        <w:rPr>
          <w:lang w:eastAsia="zh-CN"/>
        </w:rPr>
      </w:pPr>
      <w:r w:rsidRPr="006663CF">
        <w:rPr>
          <w:lang w:eastAsia="zh-CN"/>
        </w:rPr>
        <w:t xml:space="preserve">After the merger, </w:t>
      </w:r>
      <w:proofErr w:type="spellStart"/>
      <w:r w:rsidRPr="006663CF">
        <w:rPr>
          <w:lang w:eastAsia="zh-CN"/>
        </w:rPr>
        <w:t>Tetsuro</w:t>
      </w:r>
      <w:proofErr w:type="spellEnd"/>
      <w:r w:rsidRPr="006663CF">
        <w:rPr>
          <w:lang w:eastAsia="zh-CN"/>
        </w:rPr>
        <w:t xml:space="preserve"> Hi</w:t>
      </w:r>
      <w:r w:rsidR="00453465">
        <w:rPr>
          <w:lang w:eastAsia="zh-CN"/>
        </w:rPr>
        <w:t>g</w:t>
      </w:r>
      <w:r w:rsidRPr="006663CF">
        <w:rPr>
          <w:lang w:eastAsia="zh-CN"/>
        </w:rPr>
        <w:t>a</w:t>
      </w:r>
      <w:r w:rsidR="00453465">
        <w:rPr>
          <w:lang w:eastAsia="zh-CN"/>
        </w:rPr>
        <w:t>sh</w:t>
      </w:r>
      <w:r w:rsidRPr="006663CF">
        <w:rPr>
          <w:lang w:eastAsia="zh-CN"/>
        </w:rPr>
        <w:t xml:space="preserve">i, </w:t>
      </w:r>
      <w:r w:rsidR="00C7376F">
        <w:rPr>
          <w:lang w:eastAsia="zh-CN"/>
        </w:rPr>
        <w:t>chief executive officer (</w:t>
      </w:r>
      <w:r w:rsidRPr="006663CF">
        <w:rPr>
          <w:lang w:eastAsia="zh-CN"/>
        </w:rPr>
        <w:t>CEO</w:t>
      </w:r>
      <w:r w:rsidR="00C7376F">
        <w:rPr>
          <w:lang w:eastAsia="zh-CN"/>
        </w:rPr>
        <w:t>)</w:t>
      </w:r>
      <w:r w:rsidRPr="006663CF">
        <w:rPr>
          <w:lang w:eastAsia="zh-CN"/>
        </w:rPr>
        <w:t xml:space="preserve"> of Tokyo Electron, and Gary Dickerson, CEO of Applied Materials, would become the chairman and the CEO</w:t>
      </w:r>
      <w:r w:rsidR="00C7376F">
        <w:rPr>
          <w:lang w:eastAsia="zh-CN"/>
        </w:rPr>
        <w:t>, respectively,</w:t>
      </w:r>
      <w:r w:rsidRPr="006663CF">
        <w:rPr>
          <w:lang w:eastAsia="zh-CN"/>
        </w:rPr>
        <w:t xml:space="preserve"> of the new entity. The new entity would be called </w:t>
      </w:r>
      <w:proofErr w:type="spellStart"/>
      <w:r w:rsidRPr="006663CF">
        <w:rPr>
          <w:lang w:eastAsia="zh-CN"/>
        </w:rPr>
        <w:t>Eteris</w:t>
      </w:r>
      <w:proofErr w:type="spellEnd"/>
      <w:r w:rsidRPr="006663CF">
        <w:rPr>
          <w:lang w:eastAsia="zh-CN"/>
        </w:rPr>
        <w:t xml:space="preserve"> and </w:t>
      </w:r>
      <w:r w:rsidR="00FD02AC" w:rsidRPr="006663CF">
        <w:rPr>
          <w:lang w:eastAsia="zh-CN"/>
        </w:rPr>
        <w:t xml:space="preserve">would </w:t>
      </w:r>
      <w:r w:rsidRPr="006663CF">
        <w:rPr>
          <w:lang w:eastAsia="zh-CN"/>
        </w:rPr>
        <w:t>be</w:t>
      </w:r>
      <w:r>
        <w:rPr>
          <w:lang w:eastAsia="zh-CN"/>
        </w:rPr>
        <w:t xml:space="preserve"> </w:t>
      </w:r>
      <w:r w:rsidRPr="006663CF">
        <w:rPr>
          <w:lang w:eastAsia="zh-CN"/>
        </w:rPr>
        <w:t xml:space="preserve">based in the Netherlands. The Netherlands was selected due to tax advantages (e.g., the tax rate during 2013 was 17 per cent versus 22 per cent in the </w:t>
      </w:r>
      <w:r w:rsidR="007E39B8" w:rsidRPr="006663CF">
        <w:rPr>
          <w:lang w:eastAsia="zh-CN"/>
        </w:rPr>
        <w:t>U</w:t>
      </w:r>
      <w:r w:rsidR="007E39B8">
        <w:rPr>
          <w:lang w:eastAsia="zh-CN"/>
        </w:rPr>
        <w:t>nited States</w:t>
      </w:r>
      <w:r w:rsidRPr="006663CF">
        <w:rPr>
          <w:lang w:eastAsia="zh-CN"/>
        </w:rPr>
        <w:t xml:space="preserve">), and also because it represented </w:t>
      </w:r>
      <w:r w:rsidR="00E6007E" w:rsidRPr="00E6007E">
        <w:rPr>
          <w:lang w:eastAsia="zh-CN"/>
        </w:rPr>
        <w:t>a middle ground</w:t>
      </w:r>
      <w:r w:rsidRPr="006663CF">
        <w:rPr>
          <w:lang w:eastAsia="zh-CN"/>
        </w:rPr>
        <w:t xml:space="preserve"> for both companies. The CEO</w:t>
      </w:r>
      <w:r w:rsidR="00DE362A">
        <w:rPr>
          <w:lang w:eastAsia="zh-CN"/>
        </w:rPr>
        <w:t>s</w:t>
      </w:r>
      <w:r w:rsidRPr="006663CF">
        <w:rPr>
          <w:lang w:eastAsia="zh-CN"/>
        </w:rPr>
        <w:t xml:space="preserve"> of both companies expected that the deal would achieve $250 million in cost saving</w:t>
      </w:r>
      <w:r w:rsidR="00FD02AC">
        <w:rPr>
          <w:lang w:eastAsia="zh-CN"/>
        </w:rPr>
        <w:t>s</w:t>
      </w:r>
      <w:r w:rsidRPr="006663CF">
        <w:rPr>
          <w:lang w:eastAsia="zh-CN"/>
        </w:rPr>
        <w:t xml:space="preserve"> by the first fiscal year and a total of $500 million by the third fiscal year.</w:t>
      </w:r>
      <w:r w:rsidRPr="006663CF">
        <w:rPr>
          <w:rStyle w:val="EndnoteReference"/>
          <w:lang w:eastAsia="zh-CN"/>
        </w:rPr>
        <w:endnoteReference w:id="33"/>
      </w:r>
      <w:r w:rsidRPr="006663CF">
        <w:rPr>
          <w:lang w:eastAsia="zh-CN"/>
        </w:rPr>
        <w:t xml:space="preserve"> Once the merger deal was announced, the shares of Tokyo Electron and Applied Materials rose by 14 per cent and 9.1 per cent</w:t>
      </w:r>
      <w:r w:rsidR="00C7376F">
        <w:rPr>
          <w:lang w:eastAsia="zh-CN"/>
        </w:rPr>
        <w:t>, respectively</w:t>
      </w:r>
      <w:r w:rsidRPr="006663CF">
        <w:rPr>
          <w:lang w:eastAsia="zh-CN"/>
        </w:rPr>
        <w:t>.</w:t>
      </w:r>
    </w:p>
    <w:p w14:paraId="257D40EC" w14:textId="77777777" w:rsidR="003852D6" w:rsidRPr="006663CF" w:rsidRDefault="003852D6" w:rsidP="00C40355">
      <w:pPr>
        <w:pStyle w:val="BodyTextMain"/>
        <w:rPr>
          <w:lang w:eastAsia="zh-CN"/>
        </w:rPr>
      </w:pPr>
    </w:p>
    <w:p w14:paraId="51307301" w14:textId="397DBA02" w:rsidR="003852D6" w:rsidRPr="006663CF" w:rsidRDefault="003852D6" w:rsidP="00C40355">
      <w:pPr>
        <w:pStyle w:val="BodyTextMain"/>
        <w:rPr>
          <w:lang w:eastAsia="zh-CN"/>
        </w:rPr>
      </w:pPr>
      <w:r w:rsidRPr="006663CF">
        <w:rPr>
          <w:lang w:eastAsia="zh-CN"/>
        </w:rPr>
        <w:t xml:space="preserve">While both companies acknowledged that the deal was a merger of equals, shareholders of Applied Materials would own 68 per cent of the total shares of the new company. Rather than a merger of equals, this deal could be seen as an acquisition of Tokyo Electron by Applied Materials. Hence, </w:t>
      </w:r>
      <w:r w:rsidR="00DE362A">
        <w:rPr>
          <w:lang w:eastAsia="zh-CN"/>
        </w:rPr>
        <w:t xml:space="preserve">it was possible that </w:t>
      </w:r>
      <w:r w:rsidRPr="006663CF">
        <w:rPr>
          <w:lang w:eastAsia="zh-CN"/>
        </w:rPr>
        <w:t xml:space="preserve">some employees at Tokyo Electron </w:t>
      </w:r>
      <w:r w:rsidR="00DE362A">
        <w:rPr>
          <w:lang w:eastAsia="zh-CN"/>
        </w:rPr>
        <w:t xml:space="preserve">were </w:t>
      </w:r>
      <w:r w:rsidRPr="006663CF">
        <w:rPr>
          <w:lang w:eastAsia="zh-CN"/>
        </w:rPr>
        <w:t>afraid of losing their autonomy and culture.</w:t>
      </w:r>
    </w:p>
    <w:p w14:paraId="4AB8BBF6" w14:textId="77777777" w:rsidR="003852D6" w:rsidRDefault="003852D6" w:rsidP="00C40355">
      <w:pPr>
        <w:pStyle w:val="BodyTextMain"/>
        <w:rPr>
          <w:lang w:eastAsia="zh-CN"/>
        </w:rPr>
      </w:pPr>
    </w:p>
    <w:p w14:paraId="2C0FBAF6" w14:textId="77777777" w:rsidR="003852D6" w:rsidRPr="006663CF" w:rsidRDefault="003852D6" w:rsidP="00C40355">
      <w:pPr>
        <w:pStyle w:val="BodyTextMain"/>
        <w:rPr>
          <w:lang w:eastAsia="zh-CN"/>
        </w:rPr>
      </w:pPr>
    </w:p>
    <w:p w14:paraId="72844D1A" w14:textId="676BDBBF" w:rsidR="003852D6" w:rsidRPr="00884641" w:rsidRDefault="003852D6" w:rsidP="00884641">
      <w:pPr>
        <w:pStyle w:val="Casehead2"/>
      </w:pPr>
      <w:r w:rsidRPr="00884641">
        <w:t>Antitrust Issues</w:t>
      </w:r>
    </w:p>
    <w:p w14:paraId="588EC133" w14:textId="77777777" w:rsidR="003852D6" w:rsidRPr="006663CF" w:rsidRDefault="003852D6" w:rsidP="00C40355">
      <w:pPr>
        <w:pStyle w:val="BodyTextMain"/>
        <w:rPr>
          <w:lang w:eastAsia="zh-CN"/>
        </w:rPr>
      </w:pPr>
    </w:p>
    <w:p w14:paraId="7796AAF3" w14:textId="7396E4EF" w:rsidR="003852D6" w:rsidRPr="006663CF" w:rsidRDefault="003852D6" w:rsidP="00C40355">
      <w:pPr>
        <w:pStyle w:val="BodyTextMain"/>
        <w:rPr>
          <w:lang w:eastAsia="zh-CN"/>
        </w:rPr>
      </w:pPr>
      <w:r w:rsidRPr="006663CF">
        <w:rPr>
          <w:lang w:eastAsia="zh-CN"/>
        </w:rPr>
        <w:t>Given that th</w:t>
      </w:r>
      <w:r w:rsidR="00C7376F">
        <w:rPr>
          <w:lang w:eastAsia="zh-CN"/>
        </w:rPr>
        <w:t>e</w:t>
      </w:r>
      <w:r w:rsidRPr="006663CF">
        <w:rPr>
          <w:lang w:eastAsia="zh-CN"/>
        </w:rPr>
        <w:t xml:space="preserve"> merger deal would result in the new entity controlling 25 per cent of the global market share of the industry, </w:t>
      </w:r>
      <w:r w:rsidR="00C7376F">
        <w:rPr>
          <w:lang w:eastAsia="zh-CN"/>
        </w:rPr>
        <w:t xml:space="preserve">there was a possibility that </w:t>
      </w:r>
      <w:r w:rsidRPr="006663CF">
        <w:rPr>
          <w:lang w:eastAsia="zh-CN"/>
        </w:rPr>
        <w:t xml:space="preserve">both merging parties </w:t>
      </w:r>
      <w:r w:rsidR="00C7376F">
        <w:rPr>
          <w:lang w:eastAsia="zh-CN"/>
        </w:rPr>
        <w:t>could</w:t>
      </w:r>
      <w:r w:rsidRPr="006663CF">
        <w:rPr>
          <w:lang w:eastAsia="zh-CN"/>
        </w:rPr>
        <w:t xml:space="preserve"> be exposed to antitrust issues.</w:t>
      </w:r>
      <w:r>
        <w:rPr>
          <w:rStyle w:val="EndnoteReference"/>
          <w:lang w:eastAsia="zh-CN"/>
        </w:rPr>
        <w:endnoteReference w:id="34"/>
      </w:r>
      <w:r w:rsidR="00314A13" w:rsidRPr="00314A13">
        <w:rPr>
          <w:lang w:eastAsia="zh-CN"/>
        </w:rPr>
        <w:t xml:space="preserve"> </w:t>
      </w:r>
      <w:r w:rsidR="00314A13" w:rsidRPr="006663CF">
        <w:rPr>
          <w:lang w:eastAsia="zh-CN"/>
        </w:rPr>
        <w:t xml:space="preserve">Jim Cramer, a financial analyst from </w:t>
      </w:r>
      <w:r w:rsidR="00314A13">
        <w:rPr>
          <w:lang w:eastAsia="zh-CN"/>
        </w:rPr>
        <w:t>the</w:t>
      </w:r>
      <w:r w:rsidR="00314A13" w:rsidRPr="006663CF">
        <w:rPr>
          <w:lang w:eastAsia="zh-CN"/>
        </w:rPr>
        <w:t xml:space="preserve"> U</w:t>
      </w:r>
      <w:r w:rsidR="00314A13">
        <w:rPr>
          <w:lang w:eastAsia="zh-CN"/>
        </w:rPr>
        <w:t>.</w:t>
      </w:r>
      <w:r w:rsidR="00314A13" w:rsidRPr="006663CF">
        <w:rPr>
          <w:lang w:eastAsia="zh-CN"/>
        </w:rPr>
        <w:t>S</w:t>
      </w:r>
      <w:r w:rsidR="00314A13">
        <w:rPr>
          <w:lang w:eastAsia="zh-CN"/>
        </w:rPr>
        <w:t>.</w:t>
      </w:r>
      <w:r w:rsidR="00314A13" w:rsidRPr="006663CF">
        <w:rPr>
          <w:lang w:eastAsia="zh-CN"/>
        </w:rPr>
        <w:t xml:space="preserve"> business and financial TV channel CNBC</w:t>
      </w:r>
      <w:r w:rsidR="00314A13">
        <w:rPr>
          <w:lang w:eastAsia="zh-CN"/>
        </w:rPr>
        <w:t>,</w:t>
      </w:r>
      <w:r w:rsidR="00314A13" w:rsidRPr="006663CF">
        <w:rPr>
          <w:lang w:eastAsia="zh-CN"/>
        </w:rPr>
        <w:t xml:space="preserve"> stated</w:t>
      </w:r>
      <w:r w:rsidR="0028542B">
        <w:rPr>
          <w:lang w:eastAsia="zh-CN"/>
        </w:rPr>
        <w:t>:</w:t>
      </w:r>
      <w:r w:rsidR="00314A13" w:rsidRPr="006663CF">
        <w:rPr>
          <w:lang w:eastAsia="zh-CN"/>
        </w:rPr>
        <w:t xml:space="preserve"> “It</w:t>
      </w:r>
      <w:r w:rsidR="00314A13">
        <w:rPr>
          <w:lang w:eastAsia="zh-CN"/>
        </w:rPr>
        <w:t>’</w:t>
      </w:r>
      <w:r w:rsidR="00314A13" w:rsidRPr="006663CF">
        <w:rPr>
          <w:lang w:eastAsia="zh-CN"/>
        </w:rPr>
        <w:t>s all about antitrust. This deal will not go through. It will absolutely not go through</w:t>
      </w:r>
      <w:r w:rsidR="00314A13">
        <w:rPr>
          <w:lang w:eastAsia="zh-CN"/>
        </w:rPr>
        <w:t>.</w:t>
      </w:r>
      <w:r w:rsidR="00314A13" w:rsidRPr="006663CF">
        <w:rPr>
          <w:lang w:eastAsia="zh-CN"/>
        </w:rPr>
        <w:t>”</w:t>
      </w:r>
      <w:r w:rsidR="00314A13" w:rsidRPr="006663CF">
        <w:rPr>
          <w:rStyle w:val="EndnoteReference"/>
          <w:lang w:eastAsia="zh-CN"/>
        </w:rPr>
        <w:endnoteReference w:id="35"/>
      </w:r>
      <w:r w:rsidRPr="006663CF">
        <w:rPr>
          <w:lang w:eastAsia="zh-CN"/>
        </w:rPr>
        <w:t xml:space="preserve"> </w:t>
      </w:r>
      <w:r w:rsidR="007A49C5">
        <w:rPr>
          <w:lang w:eastAsia="zh-CN"/>
        </w:rPr>
        <w:t xml:space="preserve">However, </w:t>
      </w:r>
      <w:r w:rsidRPr="006663CF">
        <w:rPr>
          <w:lang w:eastAsia="zh-CN"/>
        </w:rPr>
        <w:t>Ben Pang, an investment bank analyst at Northland Capital</w:t>
      </w:r>
      <w:r w:rsidR="00C7376F">
        <w:rPr>
          <w:lang w:eastAsia="zh-CN"/>
        </w:rPr>
        <w:t>,</w:t>
      </w:r>
      <w:r w:rsidRPr="006663CF">
        <w:rPr>
          <w:lang w:eastAsia="zh-CN"/>
        </w:rPr>
        <w:t xml:space="preserve"> thought that</w:t>
      </w:r>
      <w:r w:rsidR="007E39B8">
        <w:rPr>
          <w:lang w:eastAsia="zh-CN"/>
        </w:rPr>
        <w:t>,</w:t>
      </w:r>
      <w:r w:rsidRPr="006663CF">
        <w:rPr>
          <w:lang w:eastAsia="zh-CN"/>
        </w:rPr>
        <w:t xml:space="preserve"> “In each of the segments that they compete in, there is absolutely another competitor right now,”</w:t>
      </w:r>
      <w:r w:rsidRPr="006663CF">
        <w:rPr>
          <w:rStyle w:val="EndnoteReference"/>
          <w:lang w:eastAsia="zh-CN"/>
        </w:rPr>
        <w:endnoteReference w:id="36"/>
      </w:r>
      <w:r w:rsidRPr="006663CF">
        <w:rPr>
          <w:lang w:eastAsia="zh-CN"/>
        </w:rPr>
        <w:t xml:space="preserve"> and thus there would be no reason for the antitrust regulations to forbid th</w:t>
      </w:r>
      <w:r w:rsidR="00C7376F">
        <w:rPr>
          <w:lang w:eastAsia="zh-CN"/>
        </w:rPr>
        <w:t>e</w:t>
      </w:r>
      <w:r w:rsidRPr="006663CF">
        <w:rPr>
          <w:lang w:eastAsia="zh-CN"/>
        </w:rPr>
        <w:t xml:space="preserve"> deal. </w:t>
      </w:r>
      <w:r w:rsidR="00314A13">
        <w:rPr>
          <w:lang w:eastAsia="zh-CN"/>
        </w:rPr>
        <w:t xml:space="preserve">Therefore, </w:t>
      </w:r>
      <w:r w:rsidR="005C39E4">
        <w:rPr>
          <w:lang w:eastAsia="zh-CN"/>
        </w:rPr>
        <w:t xml:space="preserve">at the time of the announcement, </w:t>
      </w:r>
      <w:r w:rsidR="00314A13">
        <w:rPr>
          <w:lang w:eastAsia="zh-CN"/>
        </w:rPr>
        <w:t>whether this deal would be rejected due to the antitrust was still inconclusive.</w:t>
      </w:r>
    </w:p>
    <w:p w14:paraId="6A291BEB" w14:textId="77777777" w:rsidR="003852D6" w:rsidRPr="006663CF" w:rsidRDefault="003852D6" w:rsidP="00C40355">
      <w:pPr>
        <w:pStyle w:val="BodyTextMain"/>
        <w:rPr>
          <w:lang w:eastAsia="zh-CN"/>
        </w:rPr>
      </w:pPr>
    </w:p>
    <w:p w14:paraId="4620F916" w14:textId="7ED98960" w:rsidR="003852D6" w:rsidRPr="006663CF" w:rsidRDefault="003852D6" w:rsidP="00C40355">
      <w:pPr>
        <w:pStyle w:val="BodyTextMain"/>
        <w:rPr>
          <w:lang w:eastAsia="zh-CN"/>
        </w:rPr>
      </w:pPr>
      <w:r w:rsidRPr="006663CF">
        <w:rPr>
          <w:lang w:eastAsia="zh-CN"/>
        </w:rPr>
        <w:t xml:space="preserve">The antitrust concerns for this merger deal were valid for several reasons. First, some products of the two companies were </w:t>
      </w:r>
      <w:r w:rsidR="007E39B8">
        <w:rPr>
          <w:lang w:eastAsia="zh-CN"/>
        </w:rPr>
        <w:t>indeed</w:t>
      </w:r>
      <w:r w:rsidR="007E39B8" w:rsidRPr="006663CF">
        <w:rPr>
          <w:lang w:eastAsia="zh-CN"/>
        </w:rPr>
        <w:t xml:space="preserve"> </w:t>
      </w:r>
      <w:r w:rsidRPr="006663CF">
        <w:rPr>
          <w:lang w:eastAsia="zh-CN"/>
        </w:rPr>
        <w:t>overlapping. The etching process would be the most problematic</w:t>
      </w:r>
      <w:r w:rsidR="007E39B8">
        <w:rPr>
          <w:lang w:eastAsia="zh-CN"/>
        </w:rPr>
        <w:t>,</w:t>
      </w:r>
      <w:r w:rsidRPr="006663CF">
        <w:rPr>
          <w:lang w:eastAsia="zh-CN"/>
        </w:rPr>
        <w:t xml:space="preserve"> </w:t>
      </w:r>
      <w:r w:rsidR="007E39B8">
        <w:rPr>
          <w:lang w:eastAsia="zh-CN"/>
        </w:rPr>
        <w:t>as</w:t>
      </w:r>
      <w:r w:rsidR="007E39B8" w:rsidRPr="006663CF">
        <w:rPr>
          <w:lang w:eastAsia="zh-CN"/>
        </w:rPr>
        <w:t xml:space="preserve"> </w:t>
      </w:r>
      <w:r w:rsidRPr="006663CF">
        <w:rPr>
          <w:lang w:eastAsia="zh-CN"/>
        </w:rPr>
        <w:t xml:space="preserve">both companies had products made through this process but for different types of materials (e.g., oxide for Tokyo Electron and metals for Applied Materials). However, such </w:t>
      </w:r>
      <w:r w:rsidR="00E56553">
        <w:rPr>
          <w:lang w:eastAsia="zh-CN"/>
        </w:rPr>
        <w:t xml:space="preserve">an </w:t>
      </w:r>
      <w:r w:rsidRPr="006663CF">
        <w:rPr>
          <w:lang w:eastAsia="zh-CN"/>
        </w:rPr>
        <w:t>overlap would not create a monopoly in the etching process</w:t>
      </w:r>
      <w:r w:rsidR="007E39B8">
        <w:rPr>
          <w:lang w:eastAsia="zh-CN"/>
        </w:rPr>
        <w:t>,</w:t>
      </w:r>
      <w:r w:rsidRPr="006663CF">
        <w:rPr>
          <w:lang w:eastAsia="zh-CN"/>
        </w:rPr>
        <w:t xml:space="preserve"> </w:t>
      </w:r>
      <w:r w:rsidR="007E39B8">
        <w:rPr>
          <w:lang w:eastAsia="zh-CN"/>
        </w:rPr>
        <w:t>as</w:t>
      </w:r>
      <w:r w:rsidR="007E39B8" w:rsidRPr="006663CF">
        <w:rPr>
          <w:lang w:eastAsia="zh-CN"/>
        </w:rPr>
        <w:t xml:space="preserve"> </w:t>
      </w:r>
      <w:r w:rsidR="00E56553" w:rsidRPr="006663CF">
        <w:rPr>
          <w:lang w:eastAsia="zh-CN"/>
        </w:rPr>
        <w:t>L</w:t>
      </w:r>
      <w:r w:rsidR="00E56553">
        <w:rPr>
          <w:lang w:eastAsia="zh-CN"/>
        </w:rPr>
        <w:t>am</w:t>
      </w:r>
      <w:r w:rsidR="00E56553" w:rsidRPr="006663CF">
        <w:rPr>
          <w:lang w:eastAsia="zh-CN"/>
        </w:rPr>
        <w:t xml:space="preserve"> </w:t>
      </w:r>
      <w:r w:rsidR="004759BF">
        <w:rPr>
          <w:lang w:eastAsia="zh-CN"/>
        </w:rPr>
        <w:t xml:space="preserve">Research </w:t>
      </w:r>
      <w:r w:rsidRPr="006663CF">
        <w:rPr>
          <w:lang w:eastAsia="zh-CN"/>
        </w:rPr>
        <w:t xml:space="preserve">would still be the </w:t>
      </w:r>
      <w:r w:rsidR="007E39B8" w:rsidRPr="006663CF">
        <w:rPr>
          <w:lang w:eastAsia="zh-CN"/>
        </w:rPr>
        <w:t>number</w:t>
      </w:r>
      <w:r w:rsidR="007E39B8">
        <w:rPr>
          <w:lang w:eastAsia="zh-CN"/>
        </w:rPr>
        <w:t>-</w:t>
      </w:r>
      <w:r w:rsidRPr="006663CF">
        <w:rPr>
          <w:lang w:eastAsia="zh-CN"/>
        </w:rPr>
        <w:t xml:space="preserve">one </w:t>
      </w:r>
      <w:r w:rsidR="00DE362A">
        <w:rPr>
          <w:lang w:eastAsia="zh-CN"/>
        </w:rPr>
        <w:t>player</w:t>
      </w:r>
      <w:r w:rsidRPr="006663CF">
        <w:rPr>
          <w:lang w:eastAsia="zh-CN"/>
        </w:rPr>
        <w:t xml:space="preserve">, even after the merger between Tokyo Electron and Applied Materials. </w:t>
      </w:r>
    </w:p>
    <w:p w14:paraId="7A009E5A" w14:textId="77777777" w:rsidR="003852D6" w:rsidRPr="006663CF" w:rsidRDefault="003852D6" w:rsidP="00C40355">
      <w:pPr>
        <w:pStyle w:val="BodyTextMain"/>
        <w:rPr>
          <w:lang w:eastAsia="zh-CN"/>
        </w:rPr>
      </w:pPr>
    </w:p>
    <w:p w14:paraId="04C7C8FA" w14:textId="70432AF0" w:rsidR="003852D6" w:rsidRDefault="003852D6" w:rsidP="00C40355">
      <w:pPr>
        <w:pStyle w:val="BodyTextMain"/>
        <w:rPr>
          <w:lang w:eastAsia="zh-CN"/>
        </w:rPr>
      </w:pPr>
      <w:r w:rsidRPr="006663CF">
        <w:rPr>
          <w:lang w:eastAsia="zh-CN"/>
        </w:rPr>
        <w:t>Second, the U</w:t>
      </w:r>
      <w:r w:rsidR="007E39B8">
        <w:rPr>
          <w:lang w:eastAsia="zh-CN"/>
        </w:rPr>
        <w:t>.</w:t>
      </w:r>
      <w:r w:rsidRPr="006663CF">
        <w:rPr>
          <w:lang w:eastAsia="zh-CN"/>
        </w:rPr>
        <w:t>S</w:t>
      </w:r>
      <w:r w:rsidR="007E39B8">
        <w:rPr>
          <w:lang w:eastAsia="zh-CN"/>
        </w:rPr>
        <w:t>.</w:t>
      </w:r>
      <w:r w:rsidRPr="006663CF">
        <w:rPr>
          <w:lang w:eastAsia="zh-CN"/>
        </w:rPr>
        <w:t xml:space="preserve"> antitrust regulator had a history of </w:t>
      </w:r>
      <w:r w:rsidR="00DE362A">
        <w:rPr>
          <w:lang w:eastAsia="zh-CN"/>
        </w:rPr>
        <w:t xml:space="preserve">not </w:t>
      </w:r>
      <w:r w:rsidR="00DE362A" w:rsidRPr="006663CF">
        <w:rPr>
          <w:lang w:eastAsia="zh-CN"/>
        </w:rPr>
        <w:t xml:space="preserve">approving </w:t>
      </w:r>
      <w:r w:rsidRPr="006663CF">
        <w:rPr>
          <w:lang w:eastAsia="zh-CN"/>
        </w:rPr>
        <w:t>large mergers. For example,</w:t>
      </w:r>
      <w:r w:rsidR="00F81F79">
        <w:rPr>
          <w:lang w:eastAsia="zh-CN"/>
        </w:rPr>
        <w:t xml:space="preserve"> in 2015,</w:t>
      </w:r>
      <w:r w:rsidRPr="006663CF">
        <w:rPr>
          <w:lang w:eastAsia="zh-CN"/>
        </w:rPr>
        <w:t xml:space="preserve"> the U</w:t>
      </w:r>
      <w:r w:rsidR="007E39B8">
        <w:rPr>
          <w:lang w:eastAsia="zh-CN"/>
        </w:rPr>
        <w:t>.</w:t>
      </w:r>
      <w:r w:rsidRPr="006663CF">
        <w:rPr>
          <w:lang w:eastAsia="zh-CN"/>
        </w:rPr>
        <w:t>S</w:t>
      </w:r>
      <w:r w:rsidR="007E39B8">
        <w:rPr>
          <w:lang w:eastAsia="zh-CN"/>
        </w:rPr>
        <w:t>.</w:t>
      </w:r>
      <w:r w:rsidRPr="006663CF">
        <w:rPr>
          <w:lang w:eastAsia="zh-CN"/>
        </w:rPr>
        <w:t xml:space="preserve"> Department of Justice refused the merger</w:t>
      </w:r>
      <w:r w:rsidR="00DE362A">
        <w:rPr>
          <w:lang w:eastAsia="zh-CN"/>
        </w:rPr>
        <w:t>s</w:t>
      </w:r>
      <w:r w:rsidRPr="006663CF">
        <w:rPr>
          <w:lang w:eastAsia="zh-CN"/>
        </w:rPr>
        <w:t xml:space="preserve"> between Comcast and Time Warner Cable,</w:t>
      </w:r>
      <w:r>
        <w:rPr>
          <w:rStyle w:val="EndnoteReference"/>
          <w:lang w:eastAsia="zh-CN"/>
        </w:rPr>
        <w:endnoteReference w:id="37"/>
      </w:r>
      <w:r w:rsidRPr="006663CF">
        <w:rPr>
          <w:lang w:eastAsia="zh-CN"/>
        </w:rPr>
        <w:t xml:space="preserve"> </w:t>
      </w:r>
      <w:r w:rsidR="00F81F79">
        <w:rPr>
          <w:lang w:eastAsia="zh-CN"/>
        </w:rPr>
        <w:t xml:space="preserve">and between </w:t>
      </w:r>
      <w:r w:rsidRPr="006663CF">
        <w:rPr>
          <w:lang w:eastAsia="zh-CN"/>
        </w:rPr>
        <w:t>Sysco and US Foods</w:t>
      </w:r>
      <w:r w:rsidR="00F81F79">
        <w:rPr>
          <w:lang w:eastAsia="zh-CN"/>
        </w:rPr>
        <w:t>.</w:t>
      </w:r>
      <w:r>
        <w:rPr>
          <w:rStyle w:val="EndnoteReference"/>
          <w:lang w:eastAsia="zh-CN"/>
        </w:rPr>
        <w:endnoteReference w:id="38"/>
      </w:r>
      <w:r w:rsidRPr="006663CF">
        <w:rPr>
          <w:lang w:eastAsia="zh-CN"/>
        </w:rPr>
        <w:t xml:space="preserve"> In all these cases, the U</w:t>
      </w:r>
      <w:r w:rsidR="007E39B8">
        <w:rPr>
          <w:lang w:eastAsia="zh-CN"/>
        </w:rPr>
        <w:t>.</w:t>
      </w:r>
      <w:r w:rsidRPr="006663CF">
        <w:rPr>
          <w:lang w:eastAsia="zh-CN"/>
        </w:rPr>
        <w:t>S</w:t>
      </w:r>
      <w:r w:rsidR="007E39B8">
        <w:rPr>
          <w:lang w:eastAsia="zh-CN"/>
        </w:rPr>
        <w:t>.</w:t>
      </w:r>
      <w:r w:rsidRPr="006663CF">
        <w:rPr>
          <w:lang w:eastAsia="zh-CN"/>
        </w:rPr>
        <w:t xml:space="preserve"> </w:t>
      </w:r>
      <w:r w:rsidR="007E39B8">
        <w:rPr>
          <w:lang w:eastAsia="zh-CN"/>
        </w:rPr>
        <w:t>D</w:t>
      </w:r>
      <w:r w:rsidR="007E39B8" w:rsidRPr="006663CF">
        <w:rPr>
          <w:lang w:eastAsia="zh-CN"/>
        </w:rPr>
        <w:t xml:space="preserve">epartment </w:t>
      </w:r>
      <w:r w:rsidRPr="006663CF">
        <w:rPr>
          <w:lang w:eastAsia="zh-CN"/>
        </w:rPr>
        <w:t>of Justice invoked the protection of U</w:t>
      </w:r>
      <w:r w:rsidR="007E39B8">
        <w:rPr>
          <w:lang w:eastAsia="zh-CN"/>
        </w:rPr>
        <w:t>.</w:t>
      </w:r>
      <w:r w:rsidRPr="006663CF">
        <w:rPr>
          <w:lang w:eastAsia="zh-CN"/>
        </w:rPr>
        <w:t>S</w:t>
      </w:r>
      <w:r w:rsidR="007E39B8">
        <w:rPr>
          <w:lang w:eastAsia="zh-CN"/>
        </w:rPr>
        <w:t>.</w:t>
      </w:r>
      <w:r w:rsidRPr="006663CF">
        <w:rPr>
          <w:lang w:eastAsia="zh-CN"/>
        </w:rPr>
        <w:t xml:space="preserve"> customers against the monopoly of companies in the merger deal. From the regulator’s pers</w:t>
      </w:r>
      <w:r>
        <w:rPr>
          <w:lang w:eastAsia="zh-CN"/>
        </w:rPr>
        <w:t>pective, there was also the ris</w:t>
      </w:r>
      <w:r>
        <w:rPr>
          <w:rFonts w:hint="eastAsia"/>
          <w:lang w:eastAsia="zh-CN"/>
        </w:rPr>
        <w:t>k</w:t>
      </w:r>
      <w:r w:rsidRPr="006663CF">
        <w:rPr>
          <w:lang w:eastAsia="zh-CN"/>
        </w:rPr>
        <w:t xml:space="preserve"> that once the merger was done, the new company would decrease its innovation efforts, thereby developing fewer new products</w:t>
      </w:r>
      <w:r w:rsidR="007E39B8">
        <w:rPr>
          <w:lang w:eastAsia="zh-CN"/>
        </w:rPr>
        <w:t>,</w:t>
      </w:r>
      <w:r w:rsidRPr="006663CF">
        <w:rPr>
          <w:lang w:eastAsia="zh-CN"/>
        </w:rPr>
        <w:t xml:space="preserve"> </w:t>
      </w:r>
      <w:r w:rsidR="007E39B8">
        <w:rPr>
          <w:lang w:eastAsia="zh-CN"/>
        </w:rPr>
        <w:t>as</w:t>
      </w:r>
      <w:r w:rsidR="007E39B8" w:rsidRPr="006663CF">
        <w:rPr>
          <w:lang w:eastAsia="zh-CN"/>
        </w:rPr>
        <w:t xml:space="preserve"> </w:t>
      </w:r>
      <w:r w:rsidRPr="006663CF">
        <w:rPr>
          <w:lang w:eastAsia="zh-CN"/>
        </w:rPr>
        <w:t>it would not have much pressure from the competition. In the end, both semiconductors companies and end</w:t>
      </w:r>
      <w:r w:rsidR="007E39B8">
        <w:rPr>
          <w:lang w:eastAsia="zh-CN"/>
        </w:rPr>
        <w:t xml:space="preserve"> </w:t>
      </w:r>
      <w:r w:rsidRPr="006663CF">
        <w:rPr>
          <w:lang w:eastAsia="zh-CN"/>
        </w:rPr>
        <w:t>customers would suffer from the lack of innovation. However, both Applied Materials and Tokyo Electron had rejected the likelihood of this innovation risk.</w:t>
      </w:r>
      <w:r>
        <w:rPr>
          <w:rStyle w:val="EndnoteReference"/>
          <w:lang w:eastAsia="zh-CN"/>
        </w:rPr>
        <w:endnoteReference w:id="39"/>
      </w:r>
    </w:p>
    <w:p w14:paraId="65BB4329" w14:textId="6D4D6887" w:rsidR="003852D6" w:rsidRPr="006663CF" w:rsidRDefault="003852D6" w:rsidP="00C40355">
      <w:pPr>
        <w:pStyle w:val="BodyTextMain"/>
        <w:rPr>
          <w:lang w:eastAsia="zh-CN"/>
        </w:rPr>
      </w:pPr>
      <w:r w:rsidRPr="006663CF">
        <w:rPr>
          <w:lang w:eastAsia="zh-CN"/>
        </w:rPr>
        <w:lastRenderedPageBreak/>
        <w:t>For the deal to be complete, both companies would have to gain regulatory approval from eight countries</w:t>
      </w:r>
      <w:r w:rsidR="00C7376F">
        <w:rPr>
          <w:lang w:eastAsia="zh-CN"/>
        </w:rPr>
        <w:t xml:space="preserve">: </w:t>
      </w:r>
      <w:r w:rsidRPr="006663CF">
        <w:rPr>
          <w:lang w:eastAsia="zh-CN"/>
        </w:rPr>
        <w:t>the United States, Japan, China, South Korea, Germany, Taiwan, Singapore, and Israel. In December 2014, Tokyo Electron announced that the date for completion of the merger had to be postponed from December 30, 2014 to March 24, 2015.</w:t>
      </w:r>
      <w:r w:rsidRPr="006663CF">
        <w:rPr>
          <w:rStyle w:val="EndnoteReference"/>
          <w:lang w:eastAsia="zh-CN"/>
        </w:rPr>
        <w:endnoteReference w:id="40"/>
      </w:r>
      <w:r w:rsidRPr="006663CF">
        <w:rPr>
          <w:lang w:eastAsia="zh-CN"/>
        </w:rPr>
        <w:t xml:space="preserve"> </w:t>
      </w:r>
      <w:r w:rsidR="00E56553">
        <w:rPr>
          <w:lang w:eastAsia="zh-CN"/>
        </w:rPr>
        <w:t>T</w:t>
      </w:r>
      <w:r w:rsidRPr="006663CF">
        <w:rPr>
          <w:lang w:eastAsia="zh-CN"/>
        </w:rPr>
        <w:t>he date had already been delayed once from September 24, 2014 to December 30, 2014.</w:t>
      </w:r>
      <w:r>
        <w:rPr>
          <w:rStyle w:val="EndnoteReference"/>
          <w:lang w:eastAsia="zh-CN"/>
        </w:rPr>
        <w:endnoteReference w:id="41"/>
      </w:r>
      <w:r w:rsidRPr="006663CF">
        <w:rPr>
          <w:lang w:eastAsia="zh-CN"/>
        </w:rPr>
        <w:t xml:space="preserve"> As of the time of the announcement of March 24, 2015, only Israel and Singapore had approved the merger of the two companies.</w:t>
      </w:r>
      <w:r>
        <w:rPr>
          <w:rStyle w:val="EndnoteReference"/>
          <w:lang w:eastAsia="zh-CN"/>
        </w:rPr>
        <w:endnoteReference w:id="42"/>
      </w:r>
      <w:r w:rsidRPr="006663CF">
        <w:rPr>
          <w:lang w:eastAsia="zh-CN"/>
        </w:rPr>
        <w:t xml:space="preserve"> The antitrust regulations of several countries, such as China, Japan, and the United States</w:t>
      </w:r>
      <w:r w:rsidR="00C7376F">
        <w:rPr>
          <w:lang w:eastAsia="zh-CN"/>
        </w:rPr>
        <w:t>,</w:t>
      </w:r>
      <w:r w:rsidRPr="006663CF">
        <w:rPr>
          <w:lang w:eastAsia="zh-CN"/>
        </w:rPr>
        <w:t xml:space="preserve"> had been taking </w:t>
      </w:r>
      <w:r w:rsidR="00C7376F">
        <w:rPr>
          <w:lang w:eastAsia="zh-CN"/>
        </w:rPr>
        <w:t xml:space="preserve">a </w:t>
      </w:r>
      <w:r w:rsidRPr="006663CF">
        <w:rPr>
          <w:lang w:eastAsia="zh-CN"/>
        </w:rPr>
        <w:t>longer time to review than expected.</w:t>
      </w:r>
    </w:p>
    <w:p w14:paraId="5C0C5DD3" w14:textId="77777777" w:rsidR="003852D6" w:rsidRPr="006663CF" w:rsidRDefault="003852D6" w:rsidP="00C40355">
      <w:pPr>
        <w:pStyle w:val="BodyTextMain"/>
        <w:rPr>
          <w:lang w:eastAsia="zh-CN"/>
        </w:rPr>
      </w:pPr>
    </w:p>
    <w:p w14:paraId="61785100" w14:textId="1E30BCFC" w:rsidR="003852D6" w:rsidRPr="006663CF" w:rsidRDefault="003852D6" w:rsidP="00C40355">
      <w:pPr>
        <w:pStyle w:val="BodyTextMain"/>
        <w:rPr>
          <w:lang w:eastAsia="zh-CN"/>
        </w:rPr>
      </w:pPr>
      <w:r w:rsidRPr="006663CF">
        <w:rPr>
          <w:lang w:eastAsia="zh-CN"/>
        </w:rPr>
        <w:t>At the time, both Tokyo Electron and Applied Materials had acknowledged that the main opposition came from the Japanese and U</w:t>
      </w:r>
      <w:r w:rsidR="007E39B8">
        <w:rPr>
          <w:lang w:eastAsia="zh-CN"/>
        </w:rPr>
        <w:t>.</w:t>
      </w:r>
      <w:r w:rsidRPr="006663CF">
        <w:rPr>
          <w:lang w:eastAsia="zh-CN"/>
        </w:rPr>
        <w:t>S</w:t>
      </w:r>
      <w:r w:rsidR="007E39B8">
        <w:rPr>
          <w:lang w:eastAsia="zh-CN"/>
        </w:rPr>
        <w:t>.</w:t>
      </w:r>
      <w:r w:rsidRPr="006663CF">
        <w:rPr>
          <w:lang w:eastAsia="zh-CN"/>
        </w:rPr>
        <w:t xml:space="preserve"> antitrust regulators. They concurred that Tokyo Electron and Applied Materials had to divest a number of overlapping product lines. But, the most critical point </w:t>
      </w:r>
      <w:r w:rsidR="00E56553">
        <w:rPr>
          <w:lang w:eastAsia="zh-CN"/>
        </w:rPr>
        <w:t>in</w:t>
      </w:r>
      <w:r w:rsidR="00E56553" w:rsidRPr="006663CF">
        <w:rPr>
          <w:lang w:eastAsia="zh-CN"/>
        </w:rPr>
        <w:t xml:space="preserve"> </w:t>
      </w:r>
      <w:r w:rsidRPr="006663CF">
        <w:rPr>
          <w:lang w:eastAsia="zh-CN"/>
        </w:rPr>
        <w:t>the regulators’ opinion was whether the divestitures that both companies were ready to pursue would be sufficient to tilt the balance in their favo</w:t>
      </w:r>
      <w:r w:rsidR="007E39B8">
        <w:rPr>
          <w:lang w:eastAsia="zh-CN"/>
        </w:rPr>
        <w:t>u</w:t>
      </w:r>
      <w:r w:rsidRPr="006663CF">
        <w:rPr>
          <w:lang w:eastAsia="zh-CN"/>
        </w:rPr>
        <w:t xml:space="preserve">r. </w:t>
      </w:r>
      <w:r w:rsidR="001A3AEC">
        <w:rPr>
          <w:lang w:eastAsia="zh-CN"/>
        </w:rPr>
        <w:t>As of</w:t>
      </w:r>
      <w:r w:rsidR="004E4BD1">
        <w:rPr>
          <w:lang w:eastAsia="zh-CN"/>
        </w:rPr>
        <w:t xml:space="preserve"> 2013</w:t>
      </w:r>
      <w:r w:rsidRPr="006663CF">
        <w:rPr>
          <w:lang w:eastAsia="zh-CN"/>
        </w:rPr>
        <w:t xml:space="preserve">, both companies </w:t>
      </w:r>
      <w:r w:rsidR="00E56553">
        <w:rPr>
          <w:lang w:eastAsia="zh-CN"/>
        </w:rPr>
        <w:t>had</w:t>
      </w:r>
      <w:r w:rsidR="00E56553" w:rsidRPr="006663CF">
        <w:rPr>
          <w:lang w:eastAsia="zh-CN"/>
        </w:rPr>
        <w:t xml:space="preserve"> </w:t>
      </w:r>
      <w:r w:rsidRPr="006663CF">
        <w:rPr>
          <w:lang w:eastAsia="zh-CN"/>
        </w:rPr>
        <w:t xml:space="preserve">only </w:t>
      </w:r>
      <w:r w:rsidR="00E56553">
        <w:rPr>
          <w:lang w:eastAsia="zh-CN"/>
        </w:rPr>
        <w:t xml:space="preserve">been </w:t>
      </w:r>
      <w:r w:rsidRPr="006663CF">
        <w:rPr>
          <w:lang w:eastAsia="zh-CN"/>
        </w:rPr>
        <w:t xml:space="preserve">required to divest assets </w:t>
      </w:r>
      <w:r w:rsidR="007E39B8" w:rsidRPr="006663CF">
        <w:rPr>
          <w:lang w:eastAsia="zh-CN"/>
        </w:rPr>
        <w:t>worth</w:t>
      </w:r>
      <w:r w:rsidR="007E39B8" w:rsidRPr="006663CF">
        <w:t xml:space="preserve"> </w:t>
      </w:r>
      <w:r w:rsidRPr="006663CF">
        <w:rPr>
          <w:lang w:eastAsia="zh-CN"/>
        </w:rPr>
        <w:t>$600 million to secure antitrust approval.</w:t>
      </w:r>
      <w:r>
        <w:rPr>
          <w:rStyle w:val="EndnoteReference"/>
          <w:lang w:eastAsia="zh-CN"/>
        </w:rPr>
        <w:endnoteReference w:id="43"/>
      </w:r>
      <w:r w:rsidR="007E39B8">
        <w:rPr>
          <w:lang w:eastAsia="zh-CN"/>
        </w:rPr>
        <w:t xml:space="preserve"> </w:t>
      </w:r>
    </w:p>
    <w:p w14:paraId="5FC855AC" w14:textId="77777777" w:rsidR="003852D6" w:rsidRPr="006663CF" w:rsidRDefault="003852D6" w:rsidP="00C40355">
      <w:pPr>
        <w:pStyle w:val="BodyTextMain"/>
        <w:rPr>
          <w:lang w:eastAsia="zh-CN"/>
        </w:rPr>
      </w:pPr>
    </w:p>
    <w:p w14:paraId="3955F5E0" w14:textId="77777777" w:rsidR="005B3492" w:rsidRDefault="005B3492" w:rsidP="00C40355">
      <w:pPr>
        <w:pStyle w:val="BodyTextMain"/>
        <w:rPr>
          <w:lang w:eastAsia="zh-CN"/>
        </w:rPr>
      </w:pPr>
      <w:r w:rsidRPr="006663CF">
        <w:rPr>
          <w:lang w:eastAsia="zh-CN"/>
        </w:rPr>
        <w:t xml:space="preserve">Mark </w:t>
      </w:r>
      <w:proofErr w:type="spellStart"/>
      <w:r w:rsidRPr="006663CF">
        <w:rPr>
          <w:lang w:eastAsia="zh-CN"/>
        </w:rPr>
        <w:t>Ostrau</w:t>
      </w:r>
      <w:proofErr w:type="spellEnd"/>
      <w:r w:rsidRPr="006663CF">
        <w:rPr>
          <w:lang w:eastAsia="zh-CN"/>
        </w:rPr>
        <w:t>, Fenwick &amp; West LLP co-chairman</w:t>
      </w:r>
      <w:r>
        <w:rPr>
          <w:lang w:eastAsia="zh-CN"/>
        </w:rPr>
        <w:t>, explained:</w:t>
      </w:r>
    </w:p>
    <w:p w14:paraId="71158D9B" w14:textId="77777777" w:rsidR="005B3492" w:rsidRDefault="005B3492" w:rsidP="00C40355">
      <w:pPr>
        <w:pStyle w:val="BodyTextMain"/>
        <w:rPr>
          <w:lang w:eastAsia="zh-CN"/>
        </w:rPr>
      </w:pPr>
    </w:p>
    <w:p w14:paraId="5E589D4F" w14:textId="55E3F45C" w:rsidR="005B3492" w:rsidRDefault="003852D6" w:rsidP="00710D11">
      <w:pPr>
        <w:pStyle w:val="BodyTextMain"/>
        <w:ind w:left="720"/>
        <w:rPr>
          <w:lang w:eastAsia="zh-CN"/>
        </w:rPr>
      </w:pPr>
      <w:r w:rsidRPr="006663CF">
        <w:rPr>
          <w:lang w:eastAsia="zh-CN"/>
        </w:rPr>
        <w:t xml:space="preserve">In such multiproduct situations, there’s often general consensus on the problem products and the safe products, but then there’s a </w:t>
      </w:r>
      <w:proofErr w:type="spellStart"/>
      <w:r w:rsidRPr="006663CF">
        <w:rPr>
          <w:lang w:eastAsia="zh-CN"/>
        </w:rPr>
        <w:t>gray</w:t>
      </w:r>
      <w:proofErr w:type="spellEnd"/>
      <w:r w:rsidRPr="006663CF">
        <w:rPr>
          <w:lang w:eastAsia="zh-CN"/>
        </w:rPr>
        <w:t xml:space="preserve"> area of products in the middle that the companies either have to convince the agencies are not a source of concern or have to dig deeper into the deal value and provide a fix to address [those] as well</w:t>
      </w:r>
      <w:r w:rsidR="005B3492">
        <w:rPr>
          <w:lang w:eastAsia="zh-CN"/>
        </w:rPr>
        <w:t>.</w:t>
      </w:r>
      <w:r w:rsidRPr="006663CF">
        <w:rPr>
          <w:rStyle w:val="EndnoteReference"/>
          <w:lang w:eastAsia="zh-CN"/>
        </w:rPr>
        <w:endnoteReference w:id="44"/>
      </w:r>
      <w:r w:rsidRPr="006663CF">
        <w:rPr>
          <w:lang w:eastAsia="zh-CN"/>
        </w:rPr>
        <w:t xml:space="preserve"> </w:t>
      </w:r>
    </w:p>
    <w:p w14:paraId="53C4CF55" w14:textId="77777777" w:rsidR="005B3492" w:rsidRDefault="005B3492" w:rsidP="00080D33">
      <w:pPr>
        <w:pStyle w:val="BodyTextMain"/>
        <w:rPr>
          <w:lang w:eastAsia="zh-CN"/>
        </w:rPr>
      </w:pPr>
    </w:p>
    <w:p w14:paraId="238B9E2C" w14:textId="0897D591" w:rsidR="003852D6" w:rsidRPr="006663CF" w:rsidRDefault="003852D6" w:rsidP="00080D33">
      <w:pPr>
        <w:pStyle w:val="BodyTextMain"/>
        <w:rPr>
          <w:lang w:eastAsia="zh-CN"/>
        </w:rPr>
      </w:pPr>
      <w:r w:rsidRPr="006663CF">
        <w:rPr>
          <w:lang w:eastAsia="zh-CN"/>
        </w:rPr>
        <w:t>While both companies had not thought the antitrust issue would present a real threat, the international regulators might not think in the same way.</w:t>
      </w:r>
    </w:p>
    <w:p w14:paraId="3E3FCD09" w14:textId="77777777" w:rsidR="003852D6" w:rsidRPr="006663CF" w:rsidRDefault="003852D6" w:rsidP="00C40355">
      <w:pPr>
        <w:pStyle w:val="BodyTextMain"/>
        <w:rPr>
          <w:lang w:eastAsia="zh-CN"/>
        </w:rPr>
      </w:pPr>
    </w:p>
    <w:p w14:paraId="30A99DF3" w14:textId="4ECED3F5" w:rsidR="003852D6" w:rsidRPr="006663CF" w:rsidRDefault="003852D6" w:rsidP="00C40355">
      <w:pPr>
        <w:pStyle w:val="BodyTextMain"/>
        <w:rPr>
          <w:lang w:eastAsia="zh-CN"/>
        </w:rPr>
      </w:pPr>
      <w:r w:rsidRPr="006663CF">
        <w:rPr>
          <w:lang w:eastAsia="zh-CN"/>
        </w:rPr>
        <w:t xml:space="preserve">On April 27, 2015, over 18 months after the merger was first announced, Applied Materials eventually admitted that the deal </w:t>
      </w:r>
      <w:r w:rsidR="00E56553">
        <w:rPr>
          <w:lang w:eastAsia="zh-CN"/>
        </w:rPr>
        <w:t>had not gone</w:t>
      </w:r>
      <w:r w:rsidRPr="006663CF">
        <w:rPr>
          <w:lang w:eastAsia="zh-CN"/>
        </w:rPr>
        <w:t xml:space="preserve"> through because of regulatory concerns. In particular, the U</w:t>
      </w:r>
      <w:r w:rsidR="007E39B8">
        <w:rPr>
          <w:lang w:eastAsia="zh-CN"/>
        </w:rPr>
        <w:t>.</w:t>
      </w:r>
      <w:r w:rsidRPr="006663CF">
        <w:rPr>
          <w:lang w:eastAsia="zh-CN"/>
        </w:rPr>
        <w:t>S</w:t>
      </w:r>
      <w:r w:rsidR="007E39B8">
        <w:rPr>
          <w:lang w:eastAsia="zh-CN"/>
        </w:rPr>
        <w:t>.</w:t>
      </w:r>
      <w:r w:rsidRPr="006663CF">
        <w:rPr>
          <w:lang w:eastAsia="zh-CN"/>
        </w:rPr>
        <w:t xml:space="preserve"> Department of Justice </w:t>
      </w:r>
      <w:r w:rsidR="00E56553">
        <w:rPr>
          <w:lang w:eastAsia="zh-CN"/>
        </w:rPr>
        <w:t xml:space="preserve">had </w:t>
      </w:r>
      <w:r w:rsidRPr="006663CF">
        <w:rPr>
          <w:lang w:eastAsia="zh-CN"/>
        </w:rPr>
        <w:t>declared that the companies’ proposals and divestiture attempts were not sufficient to supersede the antitrust concerns.</w:t>
      </w:r>
      <w:r>
        <w:rPr>
          <w:rStyle w:val="EndnoteReference"/>
          <w:lang w:eastAsia="zh-CN"/>
        </w:rPr>
        <w:endnoteReference w:id="45"/>
      </w:r>
      <w:r w:rsidRPr="006663CF">
        <w:rPr>
          <w:lang w:eastAsia="zh-CN"/>
        </w:rPr>
        <w:t xml:space="preserve"> However, the merger between the two companies might be executed, but the new entity </w:t>
      </w:r>
      <w:r w:rsidR="00E56553">
        <w:rPr>
          <w:lang w:eastAsia="zh-CN"/>
        </w:rPr>
        <w:t xml:space="preserve">of </w:t>
      </w:r>
      <w:proofErr w:type="spellStart"/>
      <w:r w:rsidRPr="006663CF">
        <w:rPr>
          <w:lang w:eastAsia="zh-CN"/>
        </w:rPr>
        <w:t>Eteris</w:t>
      </w:r>
      <w:proofErr w:type="spellEnd"/>
      <w:r w:rsidRPr="006663CF">
        <w:rPr>
          <w:lang w:eastAsia="zh-CN"/>
        </w:rPr>
        <w:t xml:space="preserve"> would not be able to sell its products on U</w:t>
      </w:r>
      <w:r w:rsidR="007E39B8">
        <w:rPr>
          <w:lang w:eastAsia="zh-CN"/>
        </w:rPr>
        <w:t>.</w:t>
      </w:r>
      <w:r w:rsidRPr="006663CF">
        <w:rPr>
          <w:lang w:eastAsia="zh-CN"/>
        </w:rPr>
        <w:t>S</w:t>
      </w:r>
      <w:r w:rsidR="007E39B8">
        <w:rPr>
          <w:lang w:eastAsia="zh-CN"/>
        </w:rPr>
        <w:t>.</w:t>
      </w:r>
      <w:r w:rsidRPr="006663CF">
        <w:rPr>
          <w:lang w:eastAsia="zh-CN"/>
        </w:rPr>
        <w:t xml:space="preserve"> territory. This restriction was unimaginable, given </w:t>
      </w:r>
      <w:r w:rsidR="00453465">
        <w:rPr>
          <w:lang w:eastAsia="zh-CN"/>
        </w:rPr>
        <w:t xml:space="preserve">that </w:t>
      </w:r>
      <w:r w:rsidRPr="006663CF">
        <w:rPr>
          <w:lang w:eastAsia="zh-CN"/>
        </w:rPr>
        <w:t xml:space="preserve">one of </w:t>
      </w:r>
      <w:r w:rsidR="007F732D" w:rsidRPr="006663CF">
        <w:rPr>
          <w:lang w:eastAsia="zh-CN"/>
        </w:rPr>
        <w:t>the</w:t>
      </w:r>
      <w:r w:rsidR="007F732D">
        <w:rPr>
          <w:lang w:eastAsia="zh-CN"/>
        </w:rPr>
        <w:t xml:space="preserve"> firms’ </w:t>
      </w:r>
      <w:r w:rsidRPr="006663CF">
        <w:rPr>
          <w:lang w:eastAsia="zh-CN"/>
        </w:rPr>
        <w:t xml:space="preserve">biggest customers, Intel, was located in the </w:t>
      </w:r>
      <w:r w:rsidR="007E39B8">
        <w:rPr>
          <w:lang w:eastAsia="zh-CN"/>
        </w:rPr>
        <w:t>United States</w:t>
      </w:r>
      <w:r w:rsidRPr="006663CF">
        <w:rPr>
          <w:lang w:eastAsia="zh-CN"/>
        </w:rPr>
        <w:t>. The merger deal was hence cancelled. In fact, the deal was cancelled likely not only</w:t>
      </w:r>
      <w:r w:rsidRPr="006663CF" w:rsidDel="000950FE">
        <w:rPr>
          <w:lang w:eastAsia="zh-CN"/>
        </w:rPr>
        <w:t xml:space="preserve"> </w:t>
      </w:r>
      <w:r w:rsidRPr="006663CF">
        <w:rPr>
          <w:lang w:eastAsia="zh-CN"/>
        </w:rPr>
        <w:t>due to the antitrust concern</w:t>
      </w:r>
      <w:r w:rsidR="00453465">
        <w:rPr>
          <w:lang w:eastAsia="zh-CN"/>
        </w:rPr>
        <w:t>s</w:t>
      </w:r>
      <w:r w:rsidRPr="006663CF">
        <w:rPr>
          <w:lang w:eastAsia="zh-CN"/>
        </w:rPr>
        <w:t xml:space="preserve"> per se, but also because semiconductor companies like Intel and Samsung opposed the deal and proposed reasons for the rejection to the U</w:t>
      </w:r>
      <w:r w:rsidR="0098301B">
        <w:rPr>
          <w:lang w:eastAsia="zh-CN"/>
        </w:rPr>
        <w:t>.</w:t>
      </w:r>
      <w:r w:rsidRPr="006663CF">
        <w:rPr>
          <w:lang w:eastAsia="zh-CN"/>
        </w:rPr>
        <w:t>S</w:t>
      </w:r>
      <w:r w:rsidR="0098301B">
        <w:rPr>
          <w:lang w:eastAsia="zh-CN"/>
        </w:rPr>
        <w:t>.</w:t>
      </w:r>
      <w:r w:rsidRPr="006663CF">
        <w:rPr>
          <w:lang w:eastAsia="zh-CN"/>
        </w:rPr>
        <w:t xml:space="preserve"> </w:t>
      </w:r>
      <w:r w:rsidR="0098301B">
        <w:rPr>
          <w:lang w:eastAsia="zh-CN"/>
        </w:rPr>
        <w:t>D</w:t>
      </w:r>
      <w:r w:rsidR="0098301B" w:rsidRPr="006663CF">
        <w:rPr>
          <w:lang w:eastAsia="zh-CN"/>
        </w:rPr>
        <w:t xml:space="preserve">epartment </w:t>
      </w:r>
      <w:r w:rsidRPr="006663CF">
        <w:rPr>
          <w:lang w:eastAsia="zh-CN"/>
        </w:rPr>
        <w:t>of Justice.</w:t>
      </w:r>
      <w:r w:rsidRPr="006663CF">
        <w:rPr>
          <w:rStyle w:val="EndnoteReference"/>
          <w:lang w:eastAsia="zh-CN"/>
        </w:rPr>
        <w:endnoteReference w:id="46"/>
      </w:r>
    </w:p>
    <w:p w14:paraId="761D3849" w14:textId="77777777" w:rsidR="003852D6" w:rsidRPr="006663CF" w:rsidRDefault="003852D6" w:rsidP="00C40355">
      <w:pPr>
        <w:pStyle w:val="BodyTextMain"/>
        <w:rPr>
          <w:lang w:eastAsia="zh-CN"/>
        </w:rPr>
      </w:pPr>
    </w:p>
    <w:p w14:paraId="5A052D86" w14:textId="57E4889E" w:rsidR="003852D6" w:rsidRPr="006663CF" w:rsidRDefault="003852D6" w:rsidP="00C40355">
      <w:pPr>
        <w:pStyle w:val="BodyTextMain"/>
        <w:rPr>
          <w:lang w:eastAsia="zh-CN"/>
        </w:rPr>
      </w:pPr>
      <w:r w:rsidRPr="006663CF">
        <w:rPr>
          <w:lang w:eastAsia="zh-CN"/>
        </w:rPr>
        <w:t>For Tokyo Electron, this failed merger was a tough blow</w:t>
      </w:r>
      <w:r w:rsidR="0047356C">
        <w:rPr>
          <w:lang w:eastAsia="zh-CN"/>
        </w:rPr>
        <w:t>,</w:t>
      </w:r>
      <w:r w:rsidRPr="006663CF">
        <w:rPr>
          <w:lang w:eastAsia="zh-CN"/>
        </w:rPr>
        <w:t xml:space="preserve"> as the company had invested more than ¥10 billion in this strategic move with a lot of hope. As CEO Hi</w:t>
      </w:r>
      <w:r w:rsidR="00453465">
        <w:rPr>
          <w:lang w:eastAsia="zh-CN"/>
        </w:rPr>
        <w:t>g</w:t>
      </w:r>
      <w:r w:rsidRPr="006663CF">
        <w:rPr>
          <w:lang w:eastAsia="zh-CN"/>
        </w:rPr>
        <w:t>a</w:t>
      </w:r>
      <w:r w:rsidR="00453465">
        <w:rPr>
          <w:lang w:eastAsia="zh-CN"/>
        </w:rPr>
        <w:t>sh</w:t>
      </w:r>
      <w:r w:rsidRPr="006663CF">
        <w:rPr>
          <w:lang w:eastAsia="zh-CN"/>
        </w:rPr>
        <w:t>i said</w:t>
      </w:r>
      <w:r w:rsidR="0047356C">
        <w:rPr>
          <w:lang w:eastAsia="zh-CN"/>
        </w:rPr>
        <w:t>,</w:t>
      </w:r>
      <w:r w:rsidRPr="006663CF">
        <w:rPr>
          <w:lang w:eastAsia="zh-CN"/>
        </w:rPr>
        <w:t xml:space="preserve"> “I’m not convinced but the conclusion has been made. I have no choice but to accept it</w:t>
      </w:r>
      <w:r w:rsidR="00453465">
        <w:rPr>
          <w:lang w:eastAsia="zh-CN"/>
        </w:rPr>
        <w:t>.</w:t>
      </w:r>
      <w:r w:rsidRPr="006663CF">
        <w:rPr>
          <w:lang w:eastAsia="zh-CN"/>
        </w:rPr>
        <w:t xml:space="preserve"> It’s a regrettable outcome. I feel that it’s a real shame.”</w:t>
      </w:r>
      <w:r w:rsidRPr="006663CF">
        <w:rPr>
          <w:rStyle w:val="EndnoteReference"/>
          <w:lang w:eastAsia="zh-CN"/>
        </w:rPr>
        <w:endnoteReference w:id="47"/>
      </w:r>
    </w:p>
    <w:p w14:paraId="13B041D4" w14:textId="77777777" w:rsidR="003852D6" w:rsidRPr="006663CF" w:rsidRDefault="003852D6" w:rsidP="00C40355">
      <w:pPr>
        <w:pStyle w:val="BodyTextMain"/>
        <w:rPr>
          <w:lang w:eastAsia="zh-CN"/>
        </w:rPr>
      </w:pPr>
    </w:p>
    <w:p w14:paraId="6BDA14D1" w14:textId="77777777" w:rsidR="003852D6" w:rsidRPr="006663CF" w:rsidRDefault="003852D6" w:rsidP="00C40355">
      <w:pPr>
        <w:pStyle w:val="BodyTextMain"/>
        <w:rPr>
          <w:lang w:eastAsia="zh-CN"/>
        </w:rPr>
      </w:pPr>
    </w:p>
    <w:p w14:paraId="285D759C" w14:textId="77777777" w:rsidR="003852D6" w:rsidRPr="00884641" w:rsidRDefault="003852D6" w:rsidP="00884641">
      <w:pPr>
        <w:pStyle w:val="Casehead1"/>
      </w:pPr>
      <w:r w:rsidRPr="00884641">
        <w:t>Aftermath</w:t>
      </w:r>
    </w:p>
    <w:p w14:paraId="2475B9DD" w14:textId="77777777" w:rsidR="003852D6" w:rsidRPr="006663CF" w:rsidRDefault="003852D6" w:rsidP="00C40355">
      <w:pPr>
        <w:pStyle w:val="BodyTextMain"/>
        <w:rPr>
          <w:lang w:eastAsia="zh-CN"/>
        </w:rPr>
      </w:pPr>
    </w:p>
    <w:p w14:paraId="5368251B" w14:textId="252249E3" w:rsidR="003852D6" w:rsidRDefault="003852D6" w:rsidP="00C40355">
      <w:pPr>
        <w:pStyle w:val="BodyTextMain"/>
        <w:rPr>
          <w:lang w:eastAsia="zh-CN"/>
        </w:rPr>
      </w:pPr>
      <w:r w:rsidRPr="006663CF">
        <w:rPr>
          <w:lang w:eastAsia="zh-CN"/>
        </w:rPr>
        <w:t xml:space="preserve">Many analysts believed that between the two companies, Tokyo Electron probably suffered more from </w:t>
      </w:r>
      <w:r w:rsidR="00CB788B">
        <w:rPr>
          <w:lang w:eastAsia="zh-CN"/>
        </w:rPr>
        <w:t xml:space="preserve">the </w:t>
      </w:r>
      <w:r w:rsidRPr="006663CF">
        <w:rPr>
          <w:lang w:eastAsia="zh-CN"/>
        </w:rPr>
        <w:t>cancellation of the deal as Applied Materials had already looked ahead and sought new acquisitions or partnerships. “Now Tokyo Electron has to find a way to go it alone. If it doesn’t, we can expect the shares to fall</w:t>
      </w:r>
      <w:r w:rsidR="0047356C">
        <w:rPr>
          <w:lang w:eastAsia="zh-CN"/>
        </w:rPr>
        <w:t>,</w:t>
      </w:r>
      <w:r w:rsidR="0047356C" w:rsidRPr="006663CF">
        <w:rPr>
          <w:lang w:eastAsia="zh-CN"/>
        </w:rPr>
        <w:t xml:space="preserve">” </w:t>
      </w:r>
      <w:r w:rsidR="0047356C">
        <w:rPr>
          <w:lang w:eastAsia="zh-CN"/>
        </w:rPr>
        <w:t>s</w:t>
      </w:r>
      <w:r w:rsidR="0047356C" w:rsidRPr="006663CF">
        <w:rPr>
          <w:lang w:eastAsia="zh-CN"/>
        </w:rPr>
        <w:t xml:space="preserve">aid </w:t>
      </w:r>
      <w:proofErr w:type="spellStart"/>
      <w:r w:rsidRPr="006663CF">
        <w:rPr>
          <w:lang w:eastAsia="zh-CN"/>
        </w:rPr>
        <w:t>Mitsushige</w:t>
      </w:r>
      <w:proofErr w:type="spellEnd"/>
      <w:r w:rsidRPr="006663CF">
        <w:rPr>
          <w:lang w:eastAsia="zh-CN"/>
        </w:rPr>
        <w:t xml:space="preserve"> </w:t>
      </w:r>
      <w:proofErr w:type="spellStart"/>
      <w:r w:rsidRPr="006663CF">
        <w:rPr>
          <w:lang w:eastAsia="zh-CN"/>
        </w:rPr>
        <w:t>Akino</w:t>
      </w:r>
      <w:proofErr w:type="spellEnd"/>
      <w:r w:rsidRPr="006663CF">
        <w:rPr>
          <w:lang w:eastAsia="zh-CN"/>
        </w:rPr>
        <w:t>, executive officer of Ichiyoshi Asset Management Co., Ltd.</w:t>
      </w:r>
      <w:r w:rsidRPr="006663CF">
        <w:rPr>
          <w:rStyle w:val="EndnoteReference"/>
          <w:lang w:eastAsia="zh-CN"/>
        </w:rPr>
        <w:endnoteReference w:id="48"/>
      </w:r>
      <w:r w:rsidRPr="006663CF">
        <w:rPr>
          <w:lang w:eastAsia="zh-CN"/>
        </w:rPr>
        <w:t xml:space="preserve"> </w:t>
      </w:r>
      <w:proofErr w:type="gramStart"/>
      <w:r w:rsidRPr="006663CF">
        <w:rPr>
          <w:lang w:eastAsia="zh-CN"/>
        </w:rPr>
        <w:t>To</w:t>
      </w:r>
      <w:proofErr w:type="gramEnd"/>
      <w:r w:rsidRPr="006663CF">
        <w:rPr>
          <w:lang w:eastAsia="zh-CN"/>
        </w:rPr>
        <w:t xml:space="preserve"> add to such a difficult situation, Tokyo Electron was facing increasingly high costs, because of customer demand for next</w:t>
      </w:r>
      <w:r w:rsidR="00EF6940">
        <w:rPr>
          <w:lang w:eastAsia="zh-CN"/>
        </w:rPr>
        <w:t>-</w:t>
      </w:r>
      <w:r w:rsidRPr="006663CF">
        <w:rPr>
          <w:lang w:eastAsia="zh-CN"/>
        </w:rPr>
        <w:t>generation equipment.</w:t>
      </w:r>
    </w:p>
    <w:p w14:paraId="2F655686" w14:textId="77777777" w:rsidR="00080D33" w:rsidRPr="006663CF" w:rsidRDefault="00080D33" w:rsidP="00C40355">
      <w:pPr>
        <w:pStyle w:val="BodyTextMain"/>
        <w:rPr>
          <w:lang w:eastAsia="zh-CN"/>
        </w:rPr>
      </w:pPr>
    </w:p>
    <w:p w14:paraId="6F6258B2" w14:textId="23257040" w:rsidR="003852D6" w:rsidRPr="00165F4C" w:rsidRDefault="003852D6" w:rsidP="00C40355">
      <w:pPr>
        <w:pStyle w:val="BodyTextMain"/>
        <w:rPr>
          <w:spacing w:val="-2"/>
          <w:lang w:eastAsia="zh-CN"/>
        </w:rPr>
      </w:pPr>
      <w:r w:rsidRPr="00165F4C">
        <w:rPr>
          <w:spacing w:val="-2"/>
          <w:lang w:eastAsia="zh-CN"/>
        </w:rPr>
        <w:lastRenderedPageBreak/>
        <w:t xml:space="preserve">In October 2015, </w:t>
      </w:r>
      <w:r w:rsidR="00DF6141" w:rsidRPr="00165F4C">
        <w:rPr>
          <w:spacing w:val="-2"/>
          <w:lang w:eastAsia="zh-CN"/>
        </w:rPr>
        <w:t xml:space="preserve">Lam </w:t>
      </w:r>
      <w:r w:rsidRPr="00165F4C">
        <w:rPr>
          <w:spacing w:val="-2"/>
          <w:lang w:eastAsia="zh-CN"/>
        </w:rPr>
        <w:t xml:space="preserve">Research announced a merger with </w:t>
      </w:r>
      <w:r w:rsidR="00453465" w:rsidRPr="00165F4C">
        <w:rPr>
          <w:spacing w:val="-2"/>
          <w:lang w:eastAsia="zh-CN"/>
        </w:rPr>
        <w:t>KLA-</w:t>
      </w:r>
      <w:r w:rsidRPr="00165F4C">
        <w:rPr>
          <w:spacing w:val="-2"/>
          <w:lang w:eastAsia="zh-CN"/>
        </w:rPr>
        <w:t xml:space="preserve">Tencor. If the merger </w:t>
      </w:r>
      <w:r w:rsidR="0047356C" w:rsidRPr="00165F4C">
        <w:rPr>
          <w:spacing w:val="-2"/>
          <w:lang w:eastAsia="zh-CN"/>
        </w:rPr>
        <w:t xml:space="preserve">was </w:t>
      </w:r>
      <w:r w:rsidRPr="00165F4C">
        <w:rPr>
          <w:spacing w:val="-2"/>
          <w:lang w:eastAsia="zh-CN"/>
        </w:rPr>
        <w:t xml:space="preserve">to go through, then the semiconductor equipment market would be led by three major companies: Applied Materials, ASML, and </w:t>
      </w:r>
      <w:r w:rsidR="00EF6940" w:rsidRPr="00165F4C">
        <w:rPr>
          <w:spacing w:val="-2"/>
          <w:lang w:eastAsia="zh-CN"/>
        </w:rPr>
        <w:t>Lam</w:t>
      </w:r>
      <w:r w:rsidR="00EB14C1" w:rsidRPr="00165F4C">
        <w:rPr>
          <w:spacing w:val="-2"/>
          <w:lang w:eastAsia="zh-CN"/>
        </w:rPr>
        <w:t xml:space="preserve"> Research</w:t>
      </w:r>
      <w:r w:rsidR="00453465" w:rsidRPr="00165F4C">
        <w:rPr>
          <w:spacing w:val="-2"/>
          <w:lang w:eastAsia="zh-CN"/>
        </w:rPr>
        <w:t>/</w:t>
      </w:r>
      <w:r w:rsidRPr="00165F4C">
        <w:rPr>
          <w:spacing w:val="-2"/>
          <w:lang w:eastAsia="zh-CN"/>
        </w:rPr>
        <w:t>KLA</w:t>
      </w:r>
      <w:r w:rsidR="00453465" w:rsidRPr="00165F4C">
        <w:rPr>
          <w:spacing w:val="-2"/>
          <w:lang w:eastAsia="zh-CN"/>
        </w:rPr>
        <w:t>-</w:t>
      </w:r>
      <w:r w:rsidRPr="00165F4C">
        <w:rPr>
          <w:spacing w:val="-2"/>
          <w:lang w:eastAsia="zh-CN"/>
        </w:rPr>
        <w:t xml:space="preserve">Tencor, with each company holding around </w:t>
      </w:r>
      <w:r w:rsidR="0047356C" w:rsidRPr="00165F4C">
        <w:rPr>
          <w:spacing w:val="-2"/>
          <w:lang w:eastAsia="zh-CN"/>
        </w:rPr>
        <w:t xml:space="preserve">a </w:t>
      </w:r>
      <w:r w:rsidRPr="00165F4C">
        <w:rPr>
          <w:spacing w:val="-2"/>
          <w:lang w:eastAsia="zh-CN"/>
        </w:rPr>
        <w:t>15 per cent market share.</w:t>
      </w:r>
      <w:r w:rsidRPr="00165F4C">
        <w:rPr>
          <w:rStyle w:val="EndnoteReference"/>
          <w:spacing w:val="-2"/>
          <w:lang w:eastAsia="zh-CN"/>
        </w:rPr>
        <w:endnoteReference w:id="49"/>
      </w:r>
      <w:r w:rsidRPr="00165F4C">
        <w:rPr>
          <w:spacing w:val="-2"/>
          <w:lang w:eastAsia="zh-CN"/>
        </w:rPr>
        <w:t xml:space="preserve"> Tokyo Electron would fall behind</w:t>
      </w:r>
      <w:r w:rsidR="0047356C" w:rsidRPr="00165F4C">
        <w:rPr>
          <w:spacing w:val="-2"/>
          <w:lang w:eastAsia="zh-CN"/>
        </w:rPr>
        <w:t>,</w:t>
      </w:r>
      <w:r w:rsidRPr="00165F4C">
        <w:rPr>
          <w:spacing w:val="-2"/>
          <w:lang w:eastAsia="zh-CN"/>
        </w:rPr>
        <w:t xml:space="preserve"> with only </w:t>
      </w:r>
      <w:r w:rsidR="0047356C" w:rsidRPr="00165F4C">
        <w:rPr>
          <w:spacing w:val="-2"/>
          <w:lang w:eastAsia="zh-CN"/>
        </w:rPr>
        <w:t xml:space="preserve">a </w:t>
      </w:r>
      <w:r w:rsidRPr="00165F4C">
        <w:rPr>
          <w:spacing w:val="-2"/>
          <w:lang w:eastAsia="zh-CN"/>
        </w:rPr>
        <w:t>9 per cent market share</w:t>
      </w:r>
      <w:r w:rsidR="0060387F" w:rsidRPr="00165F4C">
        <w:rPr>
          <w:spacing w:val="-2"/>
          <w:lang w:eastAsia="zh-CN"/>
        </w:rPr>
        <w:t xml:space="preserve"> (</w:t>
      </w:r>
      <w:r w:rsidR="00C7376F" w:rsidRPr="00165F4C">
        <w:rPr>
          <w:spacing w:val="-2"/>
          <w:lang w:eastAsia="zh-CN"/>
        </w:rPr>
        <w:t>s</w:t>
      </w:r>
      <w:r w:rsidR="0060387F" w:rsidRPr="00165F4C">
        <w:rPr>
          <w:spacing w:val="-2"/>
          <w:lang w:eastAsia="zh-CN"/>
        </w:rPr>
        <w:t>ee Exhibit 4)</w:t>
      </w:r>
      <w:r w:rsidR="00C7376F" w:rsidRPr="00165F4C">
        <w:rPr>
          <w:spacing w:val="-2"/>
          <w:lang w:eastAsia="zh-CN"/>
        </w:rPr>
        <w:t>.</w:t>
      </w:r>
      <w:r w:rsidRPr="00165F4C">
        <w:rPr>
          <w:spacing w:val="-2"/>
          <w:lang w:eastAsia="zh-CN"/>
        </w:rPr>
        <w:t xml:space="preserve"> The company was likely to be left behind in </w:t>
      </w:r>
      <w:r w:rsidR="00453465" w:rsidRPr="00165F4C">
        <w:rPr>
          <w:spacing w:val="-2"/>
          <w:lang w:eastAsia="zh-CN"/>
        </w:rPr>
        <w:t xml:space="preserve">the </w:t>
      </w:r>
      <w:r w:rsidRPr="00165F4C">
        <w:rPr>
          <w:spacing w:val="-2"/>
          <w:lang w:eastAsia="zh-CN"/>
        </w:rPr>
        <w:t>semiconductor industry</w:t>
      </w:r>
      <w:r w:rsidR="0047356C" w:rsidRPr="00165F4C">
        <w:rPr>
          <w:spacing w:val="-2"/>
          <w:lang w:eastAsia="zh-CN"/>
        </w:rPr>
        <w:t>,</w:t>
      </w:r>
      <w:r w:rsidRPr="00165F4C">
        <w:rPr>
          <w:spacing w:val="-2"/>
          <w:lang w:eastAsia="zh-CN"/>
        </w:rPr>
        <w:t xml:space="preserve"> where consolidation was a key driver of competitiveness.</w:t>
      </w:r>
    </w:p>
    <w:p w14:paraId="2AF19788" w14:textId="77777777" w:rsidR="003852D6" w:rsidRPr="006663CF" w:rsidRDefault="003852D6" w:rsidP="00C40355">
      <w:pPr>
        <w:pStyle w:val="BodyTextMain"/>
        <w:rPr>
          <w:lang w:eastAsia="zh-CN"/>
        </w:rPr>
      </w:pPr>
    </w:p>
    <w:p w14:paraId="114F016B" w14:textId="6D1DADA1" w:rsidR="003852D6" w:rsidRPr="006663CF" w:rsidRDefault="003852D6" w:rsidP="00C40355">
      <w:pPr>
        <w:pStyle w:val="BodyTextMain"/>
        <w:rPr>
          <w:lang w:eastAsia="zh-CN"/>
        </w:rPr>
      </w:pPr>
      <w:r w:rsidRPr="006663CF">
        <w:rPr>
          <w:lang w:eastAsia="zh-CN"/>
        </w:rPr>
        <w:t xml:space="preserve">Importantly, the threat from customers was still strong as Intel, Samsung, and </w:t>
      </w:r>
      <w:r w:rsidR="00FD02AC" w:rsidRPr="006663CF">
        <w:t>TSMC</w:t>
      </w:r>
      <w:r w:rsidRPr="006663CF">
        <w:rPr>
          <w:lang w:eastAsia="zh-CN"/>
        </w:rPr>
        <w:t xml:space="preserve"> bought 60 per cent of </w:t>
      </w:r>
      <w:r w:rsidR="0047356C" w:rsidRPr="006663CF">
        <w:rPr>
          <w:lang w:eastAsia="zh-CN"/>
        </w:rPr>
        <w:t>chip</w:t>
      </w:r>
      <w:r w:rsidR="0047356C">
        <w:rPr>
          <w:lang w:eastAsia="zh-CN"/>
        </w:rPr>
        <w:t>-</w:t>
      </w:r>
      <w:r w:rsidRPr="006663CF">
        <w:rPr>
          <w:lang w:eastAsia="zh-CN"/>
        </w:rPr>
        <w:t>making equipment and thus had a lot of bargaining power over their suppliers.</w:t>
      </w:r>
      <w:r>
        <w:rPr>
          <w:rStyle w:val="EndnoteReference"/>
          <w:lang w:eastAsia="zh-CN"/>
        </w:rPr>
        <w:endnoteReference w:id="50"/>
      </w:r>
      <w:r w:rsidRPr="006663CF">
        <w:rPr>
          <w:lang w:eastAsia="zh-CN"/>
        </w:rPr>
        <w:t xml:space="preserve"> Such </w:t>
      </w:r>
      <w:r w:rsidR="00863323">
        <w:rPr>
          <w:lang w:eastAsia="zh-CN"/>
        </w:rPr>
        <w:t xml:space="preserve">a </w:t>
      </w:r>
      <w:r w:rsidRPr="006663CF">
        <w:rPr>
          <w:lang w:eastAsia="zh-CN"/>
        </w:rPr>
        <w:t xml:space="preserve">threat was </w:t>
      </w:r>
      <w:r w:rsidR="001A3AEC">
        <w:rPr>
          <w:lang w:eastAsia="zh-CN"/>
        </w:rPr>
        <w:t>imminent</w:t>
      </w:r>
      <w:r w:rsidRPr="006663CF">
        <w:rPr>
          <w:lang w:eastAsia="zh-CN"/>
        </w:rPr>
        <w:t xml:space="preserve"> as Intel announced in July 2015 that it intended to spend only $7.7 billion on equipment for the year 2015, 11.5 per cent less </w:t>
      </w:r>
      <w:r w:rsidR="005E5BB1">
        <w:rPr>
          <w:lang w:eastAsia="zh-CN"/>
        </w:rPr>
        <w:t>than</w:t>
      </w:r>
      <w:r w:rsidR="005E5BB1" w:rsidRPr="006663CF">
        <w:rPr>
          <w:lang w:eastAsia="zh-CN"/>
        </w:rPr>
        <w:t xml:space="preserve"> </w:t>
      </w:r>
      <w:r w:rsidRPr="006663CF">
        <w:rPr>
          <w:lang w:eastAsia="zh-CN"/>
        </w:rPr>
        <w:t>$8.7 billion</w:t>
      </w:r>
      <w:r w:rsidR="00863323">
        <w:rPr>
          <w:lang w:eastAsia="zh-CN"/>
        </w:rPr>
        <w:t>,</w:t>
      </w:r>
      <w:r w:rsidRPr="006663CF">
        <w:rPr>
          <w:lang w:eastAsia="zh-CN"/>
        </w:rPr>
        <w:t xml:space="preserve"> which was announced in April 2015</w:t>
      </w:r>
      <w:r w:rsidR="00863323">
        <w:rPr>
          <w:lang w:eastAsia="zh-CN"/>
        </w:rPr>
        <w:t>,</w:t>
      </w:r>
      <w:r w:rsidRPr="006663CF">
        <w:rPr>
          <w:lang w:eastAsia="zh-CN"/>
        </w:rPr>
        <w:t xml:space="preserve"> and 23 per cent less </w:t>
      </w:r>
      <w:r w:rsidR="005E5BB1">
        <w:rPr>
          <w:lang w:eastAsia="zh-CN"/>
        </w:rPr>
        <w:t>than</w:t>
      </w:r>
      <w:r w:rsidR="005E5BB1" w:rsidRPr="006663CF">
        <w:rPr>
          <w:lang w:eastAsia="zh-CN"/>
        </w:rPr>
        <w:t xml:space="preserve"> </w:t>
      </w:r>
      <w:r w:rsidRPr="006663CF">
        <w:rPr>
          <w:lang w:eastAsia="zh-CN"/>
        </w:rPr>
        <w:t>$10 billion</w:t>
      </w:r>
      <w:r w:rsidR="00863323">
        <w:rPr>
          <w:lang w:eastAsia="zh-CN"/>
        </w:rPr>
        <w:t>,</w:t>
      </w:r>
      <w:r w:rsidRPr="006663CF">
        <w:rPr>
          <w:lang w:eastAsia="zh-CN"/>
        </w:rPr>
        <w:t xml:space="preserve"> which was projected in January 2015.</w:t>
      </w:r>
      <w:r>
        <w:rPr>
          <w:rStyle w:val="EndnoteReference"/>
          <w:lang w:eastAsia="zh-CN"/>
        </w:rPr>
        <w:endnoteReference w:id="51"/>
      </w:r>
      <w:r w:rsidRPr="006663CF">
        <w:rPr>
          <w:lang w:eastAsia="zh-CN"/>
        </w:rPr>
        <w:t xml:space="preserve"> These numb</w:t>
      </w:r>
      <w:r w:rsidR="00C7376F">
        <w:rPr>
          <w:lang w:eastAsia="zh-CN"/>
        </w:rPr>
        <w:t>ers were unlikely to change in</w:t>
      </w:r>
      <w:r w:rsidRPr="006663CF">
        <w:rPr>
          <w:lang w:eastAsia="zh-CN"/>
        </w:rPr>
        <w:t xml:space="preserve"> a positive direction due to the expected slowdown in </w:t>
      </w:r>
      <w:r w:rsidR="00F839D0">
        <w:rPr>
          <w:lang w:eastAsia="zh-CN"/>
        </w:rPr>
        <w:t>personal computer</w:t>
      </w:r>
      <w:r w:rsidRPr="006663CF">
        <w:rPr>
          <w:lang w:eastAsia="zh-CN"/>
        </w:rPr>
        <w:t xml:space="preserve"> sales in the coming years.</w:t>
      </w:r>
      <w:r>
        <w:rPr>
          <w:rStyle w:val="EndnoteReference"/>
          <w:lang w:eastAsia="zh-CN"/>
        </w:rPr>
        <w:endnoteReference w:id="52"/>
      </w:r>
    </w:p>
    <w:p w14:paraId="1EF62483" w14:textId="77777777" w:rsidR="003852D6" w:rsidRPr="006663CF" w:rsidRDefault="003852D6" w:rsidP="00C40355">
      <w:pPr>
        <w:pStyle w:val="BodyTextMain"/>
        <w:rPr>
          <w:lang w:eastAsia="zh-CN"/>
        </w:rPr>
      </w:pPr>
    </w:p>
    <w:p w14:paraId="403C82FD" w14:textId="63B7B345" w:rsidR="003852D6" w:rsidRPr="00453465" w:rsidRDefault="003852D6" w:rsidP="00C40355">
      <w:pPr>
        <w:pStyle w:val="BodyTextMain"/>
        <w:rPr>
          <w:lang w:eastAsia="zh-CN"/>
        </w:rPr>
      </w:pPr>
      <w:r w:rsidRPr="00453465">
        <w:rPr>
          <w:lang w:eastAsia="zh-CN"/>
        </w:rPr>
        <w:t xml:space="preserve">“We would like to make a fresh departure as a new Tokyo Electron,” said </w:t>
      </w:r>
      <w:r w:rsidR="00C7376F" w:rsidRPr="00453465">
        <w:rPr>
          <w:lang w:eastAsia="zh-CN"/>
        </w:rPr>
        <w:t xml:space="preserve">the </w:t>
      </w:r>
      <w:r w:rsidRPr="00453465">
        <w:rPr>
          <w:lang w:eastAsia="zh-CN"/>
        </w:rPr>
        <w:t>Tokyo Electron CEO in June 2015.</w:t>
      </w:r>
      <w:r w:rsidRPr="00453465">
        <w:rPr>
          <w:rStyle w:val="EndnoteReference"/>
          <w:lang w:eastAsia="zh-CN"/>
        </w:rPr>
        <w:endnoteReference w:id="53"/>
      </w:r>
      <w:r w:rsidRPr="00453465">
        <w:rPr>
          <w:lang w:eastAsia="zh-CN"/>
        </w:rPr>
        <w:t xml:space="preserve"> Indeed, the future was not all bad for the company</w:t>
      </w:r>
      <w:r w:rsidR="00863323" w:rsidRPr="00453465">
        <w:rPr>
          <w:lang w:eastAsia="zh-CN"/>
        </w:rPr>
        <w:t>,</w:t>
      </w:r>
      <w:r w:rsidRPr="00453465">
        <w:rPr>
          <w:lang w:eastAsia="zh-CN"/>
        </w:rPr>
        <w:t xml:space="preserve"> as its financial position was still strong in 2015. </w:t>
      </w:r>
      <w:r w:rsidR="00453465" w:rsidRPr="00453465">
        <w:rPr>
          <w:lang w:eastAsia="zh-CN"/>
        </w:rPr>
        <w:t>S</w:t>
      </w:r>
      <w:r w:rsidRPr="00453465">
        <w:rPr>
          <w:lang w:eastAsia="zh-CN"/>
        </w:rPr>
        <w:t>ales had reached ¥613 billion in 2015 (</w:t>
      </w:r>
      <w:r w:rsidR="00863323" w:rsidRPr="00453465">
        <w:rPr>
          <w:lang w:eastAsia="zh-CN"/>
        </w:rPr>
        <w:t xml:space="preserve">a </w:t>
      </w:r>
      <w:r w:rsidRPr="00453465">
        <w:rPr>
          <w:lang w:eastAsia="zh-CN"/>
        </w:rPr>
        <w:t xml:space="preserve">23 per cent increase compared to 2013), and even the operating profit </w:t>
      </w:r>
      <w:r w:rsidR="00453465" w:rsidRPr="00453465">
        <w:rPr>
          <w:lang w:eastAsia="zh-CN"/>
        </w:rPr>
        <w:t xml:space="preserve">had </w:t>
      </w:r>
      <w:r w:rsidRPr="00453465">
        <w:rPr>
          <w:lang w:eastAsia="zh-CN"/>
        </w:rPr>
        <w:t xml:space="preserve">increased by 173 per cent from 2014 so as to reach ¥88 billion. While sales </w:t>
      </w:r>
      <w:r w:rsidR="00453465">
        <w:rPr>
          <w:lang w:eastAsia="zh-CN"/>
        </w:rPr>
        <w:t>had</w:t>
      </w:r>
      <w:r w:rsidR="00453465" w:rsidRPr="00453465">
        <w:rPr>
          <w:lang w:eastAsia="zh-CN"/>
        </w:rPr>
        <w:t xml:space="preserve"> </w:t>
      </w:r>
      <w:r w:rsidRPr="00453465">
        <w:rPr>
          <w:lang w:eastAsia="zh-CN"/>
        </w:rPr>
        <w:t xml:space="preserve">indeed decreased in Japan in 2015 (a downward trend since 2011), they were compensated </w:t>
      </w:r>
      <w:r w:rsidR="00453465" w:rsidRPr="00453465">
        <w:rPr>
          <w:lang w:eastAsia="zh-CN"/>
        </w:rPr>
        <w:t xml:space="preserve">for </w:t>
      </w:r>
      <w:r w:rsidRPr="00453465">
        <w:rPr>
          <w:lang w:eastAsia="zh-CN"/>
        </w:rPr>
        <w:t xml:space="preserve">by an increase in both Europe and the </w:t>
      </w:r>
      <w:r w:rsidR="00863323" w:rsidRPr="00453465">
        <w:rPr>
          <w:lang w:eastAsia="zh-CN"/>
        </w:rPr>
        <w:t xml:space="preserve">United States </w:t>
      </w:r>
      <w:r w:rsidRPr="00453465">
        <w:rPr>
          <w:lang w:eastAsia="zh-CN"/>
        </w:rPr>
        <w:t>(</w:t>
      </w:r>
      <w:r w:rsidR="00C7376F" w:rsidRPr="00453465">
        <w:rPr>
          <w:lang w:eastAsia="zh-CN"/>
        </w:rPr>
        <w:t>s</w:t>
      </w:r>
      <w:r w:rsidRPr="00453465">
        <w:rPr>
          <w:lang w:eastAsia="zh-CN"/>
        </w:rPr>
        <w:t>ee Exhibit 6)</w:t>
      </w:r>
      <w:r w:rsidR="00C7376F" w:rsidRPr="00453465">
        <w:rPr>
          <w:lang w:eastAsia="zh-CN"/>
        </w:rPr>
        <w:t>.</w:t>
      </w:r>
    </w:p>
    <w:p w14:paraId="2B27CA77" w14:textId="77777777" w:rsidR="003852D6" w:rsidRPr="00453465" w:rsidRDefault="003852D6" w:rsidP="00C40355">
      <w:pPr>
        <w:pStyle w:val="BodyTextMain"/>
        <w:rPr>
          <w:lang w:eastAsia="zh-CN"/>
        </w:rPr>
      </w:pPr>
    </w:p>
    <w:p w14:paraId="308EF08D" w14:textId="19653715" w:rsidR="00C40355" w:rsidRPr="00165F4C" w:rsidRDefault="003852D6" w:rsidP="00C40355">
      <w:pPr>
        <w:pStyle w:val="BodyTextMain"/>
        <w:rPr>
          <w:spacing w:val="-2"/>
          <w:lang w:eastAsia="zh-CN"/>
        </w:rPr>
      </w:pPr>
      <w:r w:rsidRPr="00165F4C">
        <w:rPr>
          <w:rFonts w:hint="eastAsia"/>
          <w:spacing w:val="-2"/>
          <w:lang w:eastAsia="zh-CN"/>
        </w:rPr>
        <w:t>To</w:t>
      </w:r>
      <w:r w:rsidRPr="00165F4C">
        <w:rPr>
          <w:spacing w:val="-2"/>
          <w:lang w:eastAsia="zh-CN"/>
        </w:rPr>
        <w:t>kyo Electron had some of the most reliable and efficient products available on the market. However, some of its customers had complained that the company was not sufficiently proactive toward them, contrary to Applied Materials</w:t>
      </w:r>
      <w:r w:rsidR="00C7376F" w:rsidRPr="00165F4C">
        <w:rPr>
          <w:spacing w:val="-2"/>
          <w:lang w:eastAsia="zh-CN"/>
        </w:rPr>
        <w:t>,</w:t>
      </w:r>
      <w:r w:rsidRPr="00165F4C">
        <w:rPr>
          <w:spacing w:val="-2"/>
          <w:lang w:eastAsia="zh-CN"/>
        </w:rPr>
        <w:t xml:space="preserve"> which was praised for its good customer service.</w:t>
      </w:r>
      <w:r w:rsidRPr="00165F4C">
        <w:rPr>
          <w:rStyle w:val="EndnoteReference"/>
          <w:spacing w:val="-2"/>
          <w:lang w:eastAsia="zh-CN"/>
        </w:rPr>
        <w:endnoteReference w:id="54"/>
      </w:r>
      <w:r w:rsidRPr="00165F4C">
        <w:rPr>
          <w:spacing w:val="-2"/>
          <w:lang w:eastAsia="zh-CN"/>
        </w:rPr>
        <w:t xml:space="preserve"> Because of a traditional silo organization with a bureaucratic and long </w:t>
      </w:r>
      <w:r w:rsidR="00863323" w:rsidRPr="00165F4C">
        <w:rPr>
          <w:spacing w:val="-2"/>
          <w:lang w:eastAsia="zh-CN"/>
        </w:rPr>
        <w:t>decision-</w:t>
      </w:r>
      <w:r w:rsidRPr="00165F4C">
        <w:rPr>
          <w:spacing w:val="-2"/>
          <w:lang w:eastAsia="zh-CN"/>
        </w:rPr>
        <w:t>making process</w:t>
      </w:r>
      <w:r w:rsidR="00863323" w:rsidRPr="00165F4C">
        <w:rPr>
          <w:spacing w:val="-2"/>
          <w:lang w:eastAsia="zh-CN"/>
        </w:rPr>
        <w:t>—</w:t>
      </w:r>
      <w:r w:rsidRPr="00165F4C">
        <w:rPr>
          <w:spacing w:val="-2"/>
          <w:lang w:eastAsia="zh-CN"/>
        </w:rPr>
        <w:t>characteristics of most Japanese organizations</w:t>
      </w:r>
      <w:r w:rsidR="00863323" w:rsidRPr="00165F4C">
        <w:rPr>
          <w:spacing w:val="-2"/>
          <w:lang w:eastAsia="zh-CN"/>
        </w:rPr>
        <w:t>—</w:t>
      </w:r>
      <w:r w:rsidR="00C7376F" w:rsidRPr="00165F4C">
        <w:rPr>
          <w:spacing w:val="-2"/>
          <w:lang w:eastAsia="zh-CN"/>
        </w:rPr>
        <w:t xml:space="preserve">it was possible </w:t>
      </w:r>
      <w:r w:rsidRPr="00165F4C">
        <w:rPr>
          <w:spacing w:val="-2"/>
          <w:lang w:eastAsia="zh-CN"/>
        </w:rPr>
        <w:t xml:space="preserve">the company </w:t>
      </w:r>
      <w:r w:rsidR="00C7376F" w:rsidRPr="00165F4C">
        <w:rPr>
          <w:spacing w:val="-2"/>
          <w:lang w:eastAsia="zh-CN"/>
        </w:rPr>
        <w:t>could</w:t>
      </w:r>
      <w:r w:rsidRPr="00165F4C">
        <w:rPr>
          <w:spacing w:val="-2"/>
          <w:lang w:eastAsia="zh-CN"/>
        </w:rPr>
        <w:t xml:space="preserve"> lose its customers to more aggressive competitors. Losing one major customer might mean losing </w:t>
      </w:r>
      <w:r w:rsidR="00CC1324" w:rsidRPr="00165F4C">
        <w:rPr>
          <w:spacing w:val="-2"/>
          <w:lang w:eastAsia="zh-CN"/>
        </w:rPr>
        <w:t>around</w:t>
      </w:r>
      <w:r w:rsidRPr="00165F4C">
        <w:rPr>
          <w:spacing w:val="-2"/>
          <w:lang w:eastAsia="zh-CN"/>
        </w:rPr>
        <w:t xml:space="preserve"> 10 per cent of the total sales, and meanwhile the cost of production was expected to rise in the near future.</w:t>
      </w:r>
      <w:r w:rsidRPr="00165F4C">
        <w:rPr>
          <w:rStyle w:val="EndnoteReference"/>
          <w:spacing w:val="-2"/>
          <w:lang w:eastAsia="zh-CN"/>
        </w:rPr>
        <w:endnoteReference w:id="55"/>
      </w:r>
      <w:r w:rsidRPr="00165F4C">
        <w:rPr>
          <w:spacing w:val="-2"/>
          <w:lang w:eastAsia="zh-CN"/>
        </w:rPr>
        <w:t xml:space="preserve"> In this volatile industry, to be sustainable, the company needed to </w:t>
      </w:r>
      <w:r w:rsidR="00C7376F" w:rsidRPr="00165F4C">
        <w:rPr>
          <w:spacing w:val="-2"/>
          <w:lang w:eastAsia="zh-CN"/>
        </w:rPr>
        <w:t>maintain</w:t>
      </w:r>
      <w:r w:rsidRPr="00165F4C">
        <w:rPr>
          <w:spacing w:val="-2"/>
          <w:lang w:eastAsia="zh-CN"/>
        </w:rPr>
        <w:t xml:space="preserve"> </w:t>
      </w:r>
      <w:r w:rsidR="00863323" w:rsidRPr="00165F4C">
        <w:rPr>
          <w:spacing w:val="-2"/>
          <w:lang w:eastAsia="zh-CN"/>
        </w:rPr>
        <w:t xml:space="preserve">a </w:t>
      </w:r>
      <w:r w:rsidRPr="00165F4C">
        <w:rPr>
          <w:spacing w:val="-2"/>
          <w:lang w:eastAsia="zh-CN"/>
        </w:rPr>
        <w:t>profit margin at over 15 per cent.</w:t>
      </w:r>
      <w:r w:rsidRPr="00165F4C">
        <w:rPr>
          <w:rStyle w:val="EndnoteReference"/>
          <w:spacing w:val="-2"/>
          <w:lang w:eastAsia="zh-CN"/>
        </w:rPr>
        <w:endnoteReference w:id="56"/>
      </w:r>
      <w:r w:rsidRPr="00165F4C">
        <w:rPr>
          <w:spacing w:val="-2"/>
          <w:lang w:eastAsia="zh-CN"/>
        </w:rPr>
        <w:t xml:space="preserve"> </w:t>
      </w:r>
      <w:r w:rsidR="00C40355" w:rsidRPr="00165F4C">
        <w:rPr>
          <w:spacing w:val="-2"/>
          <w:lang w:eastAsia="zh-CN"/>
        </w:rPr>
        <w:t>For Tokyo Electron, the most important thing seemed to be how the company could become a customer-oriented rather than a product-oriented company.</w:t>
      </w:r>
    </w:p>
    <w:p w14:paraId="76AF2956" w14:textId="77777777" w:rsidR="00C40355" w:rsidRPr="00453465" w:rsidRDefault="00C40355" w:rsidP="00C40355">
      <w:pPr>
        <w:pStyle w:val="BodyTextMain"/>
        <w:rPr>
          <w:lang w:eastAsia="zh-CN"/>
        </w:rPr>
      </w:pPr>
    </w:p>
    <w:p w14:paraId="38D1B976" w14:textId="5AFEF260" w:rsidR="006610CD" w:rsidRPr="00453465" w:rsidRDefault="00C40355" w:rsidP="00C40355">
      <w:pPr>
        <w:pStyle w:val="BodyTextMain"/>
        <w:rPr>
          <w:lang w:eastAsia="zh-CN"/>
        </w:rPr>
      </w:pPr>
      <w:r w:rsidRPr="00453465">
        <w:rPr>
          <w:lang w:eastAsia="zh-CN"/>
        </w:rPr>
        <w:t xml:space="preserve">It was indeed a challenging situation for Tokyo Electron in the global semiconductor industry. Externally, there were not </w:t>
      </w:r>
      <w:r w:rsidR="009E0C0F">
        <w:rPr>
          <w:lang w:eastAsia="zh-CN"/>
        </w:rPr>
        <w:t>many</w:t>
      </w:r>
      <w:r w:rsidRPr="00453465">
        <w:rPr>
          <w:lang w:eastAsia="zh-CN"/>
        </w:rPr>
        <w:t xml:space="preserve"> </w:t>
      </w:r>
      <w:r w:rsidR="00453465">
        <w:rPr>
          <w:lang w:eastAsia="zh-CN"/>
        </w:rPr>
        <w:t>strategies</w:t>
      </w:r>
      <w:r w:rsidR="00453465" w:rsidRPr="00453465">
        <w:rPr>
          <w:lang w:eastAsia="zh-CN"/>
        </w:rPr>
        <w:t xml:space="preserve"> </w:t>
      </w:r>
      <w:r w:rsidR="009D073D">
        <w:rPr>
          <w:lang w:eastAsia="zh-CN"/>
        </w:rPr>
        <w:t>for</w:t>
      </w:r>
      <w:r w:rsidR="009D073D" w:rsidRPr="00453465">
        <w:rPr>
          <w:lang w:eastAsia="zh-CN"/>
        </w:rPr>
        <w:t xml:space="preserve"> </w:t>
      </w:r>
      <w:r w:rsidRPr="00453465">
        <w:rPr>
          <w:lang w:eastAsia="zh-CN"/>
        </w:rPr>
        <w:t>surviv</w:t>
      </w:r>
      <w:r w:rsidR="009D073D">
        <w:rPr>
          <w:lang w:eastAsia="zh-CN"/>
        </w:rPr>
        <w:t>ing</w:t>
      </w:r>
      <w:r w:rsidRPr="00453465">
        <w:rPr>
          <w:lang w:eastAsia="zh-CN"/>
        </w:rPr>
        <w:t xml:space="preserve"> and grow</w:t>
      </w:r>
      <w:r w:rsidR="009D073D">
        <w:rPr>
          <w:lang w:eastAsia="zh-CN"/>
        </w:rPr>
        <w:t>ing</w:t>
      </w:r>
      <w:r w:rsidRPr="00453465">
        <w:rPr>
          <w:lang w:eastAsia="zh-CN"/>
        </w:rPr>
        <w:t xml:space="preserve"> </w:t>
      </w:r>
      <w:r w:rsidR="00453465">
        <w:rPr>
          <w:lang w:eastAsia="zh-CN"/>
        </w:rPr>
        <w:t>besides</w:t>
      </w:r>
      <w:r w:rsidRPr="00453465">
        <w:rPr>
          <w:lang w:eastAsia="zh-CN"/>
        </w:rPr>
        <w:t xml:space="preserve"> </w:t>
      </w:r>
      <w:r w:rsidR="00453465" w:rsidRPr="00453465">
        <w:rPr>
          <w:lang w:eastAsia="zh-CN"/>
        </w:rPr>
        <w:t>consolidat</w:t>
      </w:r>
      <w:r w:rsidR="00453465">
        <w:rPr>
          <w:lang w:eastAsia="zh-CN"/>
        </w:rPr>
        <w:t>ing</w:t>
      </w:r>
      <w:r w:rsidR="00453465" w:rsidRPr="00453465">
        <w:rPr>
          <w:lang w:eastAsia="zh-CN"/>
        </w:rPr>
        <w:t xml:space="preserve"> </w:t>
      </w:r>
      <w:r w:rsidRPr="00453465">
        <w:rPr>
          <w:lang w:eastAsia="zh-CN"/>
        </w:rPr>
        <w:t>with its competitors and compet</w:t>
      </w:r>
      <w:r w:rsidR="00453465">
        <w:rPr>
          <w:lang w:eastAsia="zh-CN"/>
        </w:rPr>
        <w:t>ing</w:t>
      </w:r>
      <w:r w:rsidRPr="00453465">
        <w:rPr>
          <w:lang w:eastAsia="zh-CN"/>
        </w:rPr>
        <w:t xml:space="preserve"> fiercely based on costs and probably innovations. The company could try to initiate another merger deal, but again, it might not succeed due to the same antitrust reason</w:t>
      </w:r>
      <w:r w:rsidR="000C415D">
        <w:rPr>
          <w:lang w:eastAsia="zh-CN"/>
        </w:rPr>
        <w:t>s</w:t>
      </w:r>
      <w:r w:rsidRPr="00453465">
        <w:rPr>
          <w:lang w:eastAsia="zh-CN"/>
        </w:rPr>
        <w:t xml:space="preserve"> as in its first attempt. Tokyo Electron </w:t>
      </w:r>
      <w:r w:rsidR="00C7376F" w:rsidRPr="00453465">
        <w:rPr>
          <w:lang w:eastAsia="zh-CN"/>
        </w:rPr>
        <w:t>possibly had</w:t>
      </w:r>
      <w:r w:rsidRPr="00453465">
        <w:rPr>
          <w:lang w:eastAsia="zh-CN"/>
        </w:rPr>
        <w:t xml:space="preserve"> to look for a different strategy to successfully compete in this highly consolidated industry. Internally, the CEO would need to consider reorganizing the company </w:t>
      </w:r>
      <w:r w:rsidR="000C415D">
        <w:rPr>
          <w:lang w:eastAsia="zh-CN"/>
        </w:rPr>
        <w:t xml:space="preserve">in order </w:t>
      </w:r>
      <w:r w:rsidRPr="00453465">
        <w:rPr>
          <w:lang w:eastAsia="zh-CN"/>
        </w:rPr>
        <w:t xml:space="preserve">to </w:t>
      </w:r>
      <w:r w:rsidR="000C415D">
        <w:rPr>
          <w:lang w:eastAsia="zh-CN"/>
        </w:rPr>
        <w:t>make it</w:t>
      </w:r>
      <w:r w:rsidRPr="00453465">
        <w:rPr>
          <w:lang w:eastAsia="zh-CN"/>
        </w:rPr>
        <w:t xml:space="preserve"> more customer-centric and more responsive to such a demanding and dynamic industry environment.</w:t>
      </w:r>
    </w:p>
    <w:p w14:paraId="60C4A906" w14:textId="77777777" w:rsidR="006610CD" w:rsidRPr="00CC1324" w:rsidRDefault="006610CD">
      <w:pPr>
        <w:spacing w:after="200" w:line="276" w:lineRule="auto"/>
        <w:rPr>
          <w:sz w:val="22"/>
          <w:szCs w:val="22"/>
          <w:lang w:eastAsia="zh-CN"/>
        </w:rPr>
      </w:pPr>
      <w:r w:rsidRPr="00CC1324">
        <w:rPr>
          <w:sz w:val="22"/>
          <w:szCs w:val="22"/>
          <w:lang w:eastAsia="zh-CN"/>
        </w:rPr>
        <w:br w:type="page"/>
      </w:r>
    </w:p>
    <w:p w14:paraId="73953E1E" w14:textId="7C52F647" w:rsidR="00DF041A" w:rsidRDefault="00D179AB" w:rsidP="00D179AB">
      <w:pPr>
        <w:pStyle w:val="ExhibitHeading"/>
      </w:pPr>
      <w:r>
        <w:lastRenderedPageBreak/>
        <w:t xml:space="preserve">Exhibit 1: </w:t>
      </w:r>
      <w:r w:rsidR="00DF041A" w:rsidRPr="006663CF">
        <w:t>Se</w:t>
      </w:r>
      <w:r w:rsidR="00BF2C0B">
        <w:t xml:space="preserve">miconductor equipment billings </w:t>
      </w:r>
      <w:r w:rsidR="005511A1">
        <w:t>(</w:t>
      </w:r>
      <w:r w:rsidR="00BF2C0B">
        <w:t>2000–2015</w:t>
      </w:r>
      <w:r w:rsidR="005511A1">
        <w:t>)</w:t>
      </w:r>
    </w:p>
    <w:p w14:paraId="3F7CF72A" w14:textId="77777777" w:rsidR="00D179AB" w:rsidRPr="006663CF" w:rsidRDefault="00D179AB" w:rsidP="00D179AB">
      <w:pPr>
        <w:pStyle w:val="ExhibitHeading"/>
      </w:pPr>
    </w:p>
    <w:p w14:paraId="3822E03F" w14:textId="73E89486" w:rsidR="00DF041A" w:rsidRPr="006663CF" w:rsidRDefault="005511A1" w:rsidP="00D179AB">
      <w:pPr>
        <w:spacing w:line="360" w:lineRule="auto"/>
        <w:jc w:val="center"/>
        <w:rPr>
          <w:sz w:val="24"/>
          <w:szCs w:val="24"/>
        </w:rPr>
      </w:pPr>
      <w:r w:rsidRPr="00B36F92">
        <w:rPr>
          <w:noProof/>
          <w:lang w:val="en-US"/>
        </w:rPr>
        <w:drawing>
          <wp:inline distT="0" distB="0" distL="0" distR="0" wp14:anchorId="227C2648" wp14:editId="5EAB17F8">
            <wp:extent cx="5579745" cy="2455333"/>
            <wp:effectExtent l="0" t="0" r="20955" b="21590"/>
            <wp:docPr id="1"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01B07F" w14:textId="77777777" w:rsidR="00DF041A" w:rsidRPr="00D179AB" w:rsidRDefault="00DF041A" w:rsidP="00D179AB">
      <w:pPr>
        <w:pStyle w:val="Footnote"/>
      </w:pPr>
    </w:p>
    <w:p w14:paraId="34DCC949" w14:textId="65D260D8" w:rsidR="00DF041A" w:rsidRPr="00D179AB" w:rsidRDefault="00DF041A" w:rsidP="00D179AB">
      <w:pPr>
        <w:pStyle w:val="Footnote"/>
      </w:pPr>
      <w:r w:rsidRPr="00D179AB">
        <w:t xml:space="preserve">Source: </w:t>
      </w:r>
      <w:r w:rsidR="005C466D" w:rsidRPr="005C466D">
        <w:t xml:space="preserve">Created by the case authors based on </w:t>
      </w:r>
      <w:r w:rsidR="00975C2D" w:rsidRPr="00975C2D">
        <w:t xml:space="preserve">“Semiconductor </w:t>
      </w:r>
      <w:r w:rsidR="00D54665">
        <w:t>E</w:t>
      </w:r>
      <w:r w:rsidR="00D54665" w:rsidRPr="00975C2D">
        <w:t xml:space="preserve">quipment </w:t>
      </w:r>
      <w:r w:rsidR="00D54665">
        <w:t>B</w:t>
      </w:r>
      <w:r w:rsidR="00D54665" w:rsidRPr="00975C2D">
        <w:t xml:space="preserve">ack </w:t>
      </w:r>
      <w:r w:rsidR="00975C2D" w:rsidRPr="00975C2D">
        <w:t xml:space="preserve">on </w:t>
      </w:r>
      <w:r w:rsidR="00D54665">
        <w:t>T</w:t>
      </w:r>
      <w:r w:rsidR="00D54665" w:rsidRPr="00975C2D">
        <w:t>rack</w:t>
      </w:r>
      <w:r w:rsidR="00A5117A">
        <w:t>,”</w:t>
      </w:r>
      <w:r w:rsidR="00975C2D" w:rsidRPr="00975C2D">
        <w:t xml:space="preserve"> </w:t>
      </w:r>
      <w:r w:rsidR="00D54665" w:rsidRPr="00975C2D">
        <w:t xml:space="preserve">SC-IQ: Semiconductor Intelligence, </w:t>
      </w:r>
      <w:r w:rsidR="00975C2D" w:rsidRPr="00975C2D">
        <w:t xml:space="preserve">December 19, 2013, accessed </w:t>
      </w:r>
      <w:r w:rsidR="0007195D">
        <w:t xml:space="preserve">December </w:t>
      </w:r>
      <w:r w:rsidR="00975C2D" w:rsidRPr="00975C2D">
        <w:t>3,</w:t>
      </w:r>
      <w:r w:rsidR="0007195D">
        <w:t xml:space="preserve"> </w:t>
      </w:r>
      <w:r w:rsidR="00975C2D" w:rsidRPr="00975C2D">
        <w:t>2016, www.semiconductorintelligence.com/semiconductor-equipment-back-on-track</w:t>
      </w:r>
      <w:r w:rsidR="00BD5596">
        <w:t>.</w:t>
      </w:r>
    </w:p>
    <w:p w14:paraId="1522C47F" w14:textId="77777777" w:rsidR="00DF041A" w:rsidRPr="00D179AB" w:rsidRDefault="00DF041A" w:rsidP="00D179AB">
      <w:pPr>
        <w:pStyle w:val="Footnote"/>
      </w:pPr>
    </w:p>
    <w:p w14:paraId="419EAD73" w14:textId="77777777" w:rsidR="00377033" w:rsidRDefault="00377033" w:rsidP="0080764F">
      <w:pPr>
        <w:pStyle w:val="Footnote"/>
      </w:pPr>
    </w:p>
    <w:p w14:paraId="067D64D7" w14:textId="52DA1D54" w:rsidR="00377033" w:rsidRDefault="00377033" w:rsidP="00377033">
      <w:pPr>
        <w:pStyle w:val="ExhibitHeading"/>
      </w:pPr>
      <w:r w:rsidRPr="000A7D60">
        <w:t>Exhibit</w:t>
      </w:r>
      <w:r w:rsidRPr="00F03B72">
        <w:t xml:space="preserve"> </w:t>
      </w:r>
      <w:r w:rsidR="00302AD6">
        <w:t>2</w:t>
      </w:r>
      <w:r w:rsidRPr="00F03B72">
        <w:t>: Revenue comparison between Semiconductor Companies and Equipment and Material companies</w:t>
      </w:r>
    </w:p>
    <w:p w14:paraId="13924D12" w14:textId="77777777" w:rsidR="00377033" w:rsidRPr="000A7D60" w:rsidRDefault="00377033" w:rsidP="00377033">
      <w:pPr>
        <w:pStyle w:val="ExhibitHeading"/>
        <w:rPr>
          <w:sz w:val="18"/>
        </w:rPr>
      </w:pPr>
    </w:p>
    <w:p w14:paraId="6EA37185" w14:textId="62F64EA8" w:rsidR="00377033" w:rsidRPr="006663CF" w:rsidRDefault="00377033" w:rsidP="00377033">
      <w:pPr>
        <w:spacing w:line="360" w:lineRule="auto"/>
        <w:rPr>
          <w:b/>
          <w:bCs/>
          <w:sz w:val="24"/>
        </w:rPr>
      </w:pPr>
      <w:r w:rsidRPr="00B36F92">
        <w:rPr>
          <w:noProof/>
          <w:lang w:val="en-US"/>
        </w:rPr>
        <w:drawing>
          <wp:inline distT="0" distB="0" distL="0" distR="0" wp14:anchorId="4D6C3AE1" wp14:editId="293C5747">
            <wp:extent cx="5724525" cy="3310467"/>
            <wp:effectExtent l="0" t="0" r="9525" b="23495"/>
            <wp:docPr id="6"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46EE2F" w14:textId="4DC2D283" w:rsidR="00377033" w:rsidRDefault="00377033" w:rsidP="00377033">
      <w:pPr>
        <w:pStyle w:val="Footnote"/>
        <w:rPr>
          <w:b/>
          <w:caps/>
        </w:rPr>
      </w:pPr>
      <w:r w:rsidRPr="00686DEF">
        <w:t>Source:</w:t>
      </w:r>
      <w:r w:rsidR="009E5FEB">
        <w:t xml:space="preserve"> </w:t>
      </w:r>
      <w:r w:rsidR="005C466D" w:rsidRPr="005C466D">
        <w:t xml:space="preserve">Created by the case authors based on </w:t>
      </w:r>
      <w:r w:rsidRPr="00AC42C8">
        <w:t xml:space="preserve">Lara </w:t>
      </w:r>
      <w:proofErr w:type="spellStart"/>
      <w:r w:rsidRPr="00AC42C8">
        <w:t>Chamness</w:t>
      </w:r>
      <w:proofErr w:type="spellEnd"/>
      <w:r w:rsidRPr="00AC42C8">
        <w:t>, “</w:t>
      </w:r>
      <w:r w:rsidR="00D54665" w:rsidRPr="00D54665">
        <w:t>2011: A Look Back at the Semiconductor Equipment and Materials Market and Outlook</w:t>
      </w:r>
      <w:r w:rsidR="00BD5596">
        <w:t>,”</w:t>
      </w:r>
      <w:r w:rsidRPr="00AC42C8">
        <w:t xml:space="preserve"> Semiconductor Manufacturing &amp; </w:t>
      </w:r>
      <w:r w:rsidR="00D54665">
        <w:t>D</w:t>
      </w:r>
      <w:r w:rsidR="00D54665" w:rsidRPr="00AC42C8">
        <w:t>esign</w:t>
      </w:r>
      <w:r w:rsidRPr="00AC42C8">
        <w:t xml:space="preserve">, accessed </w:t>
      </w:r>
      <w:r w:rsidR="00BD5596">
        <w:t>December 3</w:t>
      </w:r>
      <w:r w:rsidRPr="00AC42C8">
        <w:t>, 2016</w:t>
      </w:r>
      <w:r w:rsidR="00BD5596">
        <w:t>,</w:t>
      </w:r>
      <w:r w:rsidRPr="00AC42C8">
        <w:t xml:space="preserve"> http://semimd.com/semi/2012/04/08/2011-a-look-back-at-the-semiconductor-equipment-and-materials-market-and-outlook</w:t>
      </w:r>
      <w:r w:rsidR="00BD5596">
        <w:t>.</w:t>
      </w:r>
      <w:r>
        <w:br w:type="page"/>
      </w:r>
    </w:p>
    <w:p w14:paraId="3AF7C8BB" w14:textId="152EB5E0" w:rsidR="00616C74" w:rsidRDefault="00392205" w:rsidP="00392205">
      <w:pPr>
        <w:pStyle w:val="ExhibitHeading"/>
      </w:pPr>
      <w:r>
        <w:lastRenderedPageBreak/>
        <w:t xml:space="preserve">Exhibit </w:t>
      </w:r>
      <w:r w:rsidR="00302AD6">
        <w:t>3</w:t>
      </w:r>
      <w:r>
        <w:t>:</w:t>
      </w:r>
      <w:r w:rsidR="00DF041A" w:rsidRPr="00392205">
        <w:t xml:space="preserve"> Semiconductor equipment sales forecast by region</w:t>
      </w:r>
      <w:r w:rsidR="00855588">
        <w:t xml:space="preserve"> (Us$ billions)</w:t>
      </w:r>
    </w:p>
    <w:p w14:paraId="5B93A04D" w14:textId="4612DC6F" w:rsidR="00DF041A" w:rsidRPr="006663CF" w:rsidRDefault="00DF041A" w:rsidP="00413BFC">
      <w:pPr>
        <w:pStyle w:val="ExhibitHeading"/>
        <w:rPr>
          <w:sz w:val="24"/>
          <w:szCs w:val="24"/>
        </w:rPr>
      </w:pPr>
    </w:p>
    <w:tbl>
      <w:tblPr>
        <w:tblW w:w="6972" w:type="dxa"/>
        <w:jc w:val="center"/>
        <w:tblCellMar>
          <w:left w:w="70" w:type="dxa"/>
          <w:right w:w="70" w:type="dxa"/>
        </w:tblCellMar>
        <w:tblLook w:val="04A0" w:firstRow="1" w:lastRow="0" w:firstColumn="1" w:lastColumn="0" w:noHBand="0" w:noVBand="1"/>
      </w:tblPr>
      <w:tblGrid>
        <w:gridCol w:w="1742"/>
        <w:gridCol w:w="992"/>
        <w:gridCol w:w="1134"/>
        <w:gridCol w:w="1134"/>
        <w:gridCol w:w="992"/>
        <w:gridCol w:w="978"/>
      </w:tblGrid>
      <w:tr w:rsidR="002A54CE" w:rsidRPr="00DF12F6" w14:paraId="2D8FD3A8" w14:textId="77777777" w:rsidTr="00157429">
        <w:trPr>
          <w:trHeight w:val="126"/>
          <w:jc w:val="center"/>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DF14F" w14:textId="77777777" w:rsidR="002A54CE" w:rsidRPr="007F732D" w:rsidRDefault="002A54CE" w:rsidP="008723FE">
            <w:pPr>
              <w:jc w:val="center"/>
              <w:rPr>
                <w:rFonts w:ascii="Arial" w:hAnsi="Arial" w:cs="Arial"/>
              </w:rPr>
            </w:pPr>
            <w:r w:rsidRPr="007F732D">
              <w:rPr>
                <w:rFonts w:ascii="Arial" w:hAnsi="Arial" w:cs="Arial"/>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C3F500C" w14:textId="77777777" w:rsidR="002A54CE" w:rsidRPr="007F732D" w:rsidRDefault="002A54CE" w:rsidP="008723FE">
            <w:pPr>
              <w:jc w:val="center"/>
              <w:rPr>
                <w:rFonts w:ascii="Arial" w:hAnsi="Arial" w:cs="Arial"/>
                <w:b/>
                <w:bCs/>
              </w:rPr>
            </w:pPr>
            <w:r w:rsidRPr="007F732D">
              <w:rPr>
                <w:rFonts w:ascii="Arial" w:hAnsi="Arial" w:cs="Arial"/>
                <w:b/>
                <w:bCs/>
              </w:rPr>
              <w:t>2012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3EEA8DC" w14:textId="77777777" w:rsidR="002A54CE" w:rsidRPr="007F732D" w:rsidRDefault="002A54CE" w:rsidP="008723FE">
            <w:pPr>
              <w:jc w:val="center"/>
              <w:rPr>
                <w:rFonts w:ascii="Arial" w:hAnsi="Arial" w:cs="Arial"/>
                <w:b/>
                <w:bCs/>
              </w:rPr>
            </w:pPr>
            <w:r w:rsidRPr="007F732D">
              <w:rPr>
                <w:rFonts w:ascii="Arial" w:hAnsi="Arial" w:cs="Arial"/>
                <w:b/>
                <w:bCs/>
              </w:rPr>
              <w:t>2013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D0EB38" w14:textId="77777777" w:rsidR="002A54CE" w:rsidRPr="007F732D" w:rsidRDefault="002A54CE" w:rsidP="008723FE">
            <w:pPr>
              <w:jc w:val="center"/>
              <w:rPr>
                <w:rFonts w:ascii="Arial" w:hAnsi="Arial" w:cs="Arial"/>
                <w:b/>
                <w:bCs/>
              </w:rPr>
            </w:pPr>
            <w:r w:rsidRPr="007F732D">
              <w:rPr>
                <w:rFonts w:ascii="Arial" w:hAnsi="Arial" w:cs="Arial"/>
                <w:b/>
                <w:bCs/>
              </w:rPr>
              <w:t>2014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ADCA161" w14:textId="77777777" w:rsidR="002A54CE" w:rsidRPr="007F732D" w:rsidRDefault="002A54CE" w:rsidP="008723FE">
            <w:pPr>
              <w:jc w:val="center"/>
              <w:rPr>
                <w:rFonts w:ascii="Arial" w:hAnsi="Arial" w:cs="Arial"/>
                <w:b/>
                <w:bCs/>
              </w:rPr>
            </w:pPr>
            <w:r w:rsidRPr="007F732D">
              <w:rPr>
                <w:rFonts w:ascii="Arial" w:hAnsi="Arial" w:cs="Arial"/>
                <w:b/>
                <w:bCs/>
              </w:rPr>
              <w:t>2015</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6D27DE80" w14:textId="77777777" w:rsidR="002A54CE" w:rsidRPr="007F732D" w:rsidRDefault="002A54CE" w:rsidP="008723FE">
            <w:pPr>
              <w:jc w:val="center"/>
              <w:rPr>
                <w:rFonts w:ascii="Arial" w:hAnsi="Arial" w:cs="Arial"/>
                <w:b/>
                <w:bCs/>
              </w:rPr>
            </w:pPr>
            <w:r w:rsidRPr="007F732D">
              <w:rPr>
                <w:rFonts w:ascii="Arial" w:hAnsi="Arial" w:cs="Arial"/>
                <w:b/>
                <w:bCs/>
              </w:rPr>
              <w:t>2016F</w:t>
            </w:r>
          </w:p>
        </w:tc>
      </w:tr>
      <w:tr w:rsidR="002A54CE" w:rsidRPr="00DF12F6" w14:paraId="7C1DA5A6" w14:textId="77777777" w:rsidTr="00157429">
        <w:trPr>
          <w:trHeight w:val="158"/>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01B790F4" w14:textId="77777777" w:rsidR="002A54CE" w:rsidRPr="007F732D" w:rsidRDefault="002A54CE" w:rsidP="00A63DCF">
            <w:pPr>
              <w:rPr>
                <w:rFonts w:ascii="Arial" w:hAnsi="Arial" w:cs="Arial"/>
                <w:b/>
                <w:bCs/>
                <w:sz w:val="18"/>
                <w:szCs w:val="18"/>
              </w:rPr>
            </w:pPr>
            <w:r w:rsidRPr="007F732D">
              <w:rPr>
                <w:rFonts w:ascii="Arial" w:hAnsi="Arial" w:cs="Arial"/>
                <w:b/>
                <w:bCs/>
                <w:sz w:val="18"/>
                <w:szCs w:val="18"/>
              </w:rPr>
              <w:t>China</w:t>
            </w:r>
          </w:p>
        </w:tc>
        <w:tc>
          <w:tcPr>
            <w:tcW w:w="992" w:type="dxa"/>
            <w:tcBorders>
              <w:top w:val="nil"/>
              <w:left w:val="nil"/>
              <w:bottom w:val="single" w:sz="4" w:space="0" w:color="auto"/>
              <w:right w:val="single" w:sz="4" w:space="0" w:color="auto"/>
            </w:tcBorders>
            <w:shd w:val="clear" w:color="auto" w:fill="auto"/>
            <w:noWrap/>
            <w:vAlign w:val="center"/>
            <w:hideMark/>
          </w:tcPr>
          <w:p w14:paraId="7A40879A" w14:textId="038C14E9" w:rsidR="002A54CE" w:rsidRPr="00157429" w:rsidRDefault="002A54CE" w:rsidP="00855588">
            <w:pPr>
              <w:jc w:val="center"/>
              <w:rPr>
                <w:rFonts w:ascii="Arial" w:hAnsi="Arial" w:cs="Arial"/>
                <w:sz w:val="18"/>
                <w:szCs w:val="18"/>
              </w:rPr>
            </w:pPr>
            <w:r w:rsidRPr="007F732D">
              <w:rPr>
                <w:rFonts w:ascii="Arial" w:hAnsi="Arial" w:cs="Arial"/>
                <w:sz w:val="18"/>
                <w:szCs w:val="18"/>
              </w:rPr>
              <w:t>2</w:t>
            </w:r>
            <w:r w:rsidR="00855588">
              <w:rPr>
                <w:rFonts w:ascii="Arial" w:hAnsi="Arial" w:cs="Arial"/>
                <w:sz w:val="18"/>
                <w:szCs w:val="18"/>
              </w:rPr>
              <w:t>.</w:t>
            </w:r>
            <w:r w:rsidRPr="00157429">
              <w:rPr>
                <w:rFonts w:ascii="Arial" w:hAnsi="Arial" w:cs="Arial"/>
                <w:sz w:val="18"/>
                <w:szCs w:val="18"/>
              </w:rPr>
              <w:t>50</w:t>
            </w:r>
          </w:p>
        </w:tc>
        <w:tc>
          <w:tcPr>
            <w:tcW w:w="1134" w:type="dxa"/>
            <w:tcBorders>
              <w:top w:val="nil"/>
              <w:left w:val="nil"/>
              <w:bottom w:val="single" w:sz="4" w:space="0" w:color="auto"/>
              <w:right w:val="single" w:sz="4" w:space="0" w:color="auto"/>
            </w:tcBorders>
            <w:shd w:val="clear" w:color="auto" w:fill="auto"/>
            <w:noWrap/>
            <w:vAlign w:val="center"/>
            <w:hideMark/>
          </w:tcPr>
          <w:p w14:paraId="189F0A2C" w14:textId="1FC12A88" w:rsidR="002A54CE" w:rsidRPr="007F732D" w:rsidRDefault="002A54CE" w:rsidP="008723FE">
            <w:pPr>
              <w:jc w:val="center"/>
              <w:rPr>
                <w:rFonts w:ascii="Arial" w:hAnsi="Arial" w:cs="Arial"/>
                <w:sz w:val="18"/>
                <w:szCs w:val="18"/>
              </w:rPr>
            </w:pPr>
            <w:r w:rsidRPr="00157429">
              <w:rPr>
                <w:rFonts w:ascii="Arial" w:hAnsi="Arial" w:cs="Arial"/>
                <w:sz w:val="18"/>
                <w:szCs w:val="18"/>
              </w:rPr>
              <w:t>3</w:t>
            </w:r>
            <w:r w:rsidR="00855588">
              <w:rPr>
                <w:rFonts w:ascii="Arial" w:hAnsi="Arial" w:cs="Arial"/>
                <w:sz w:val="18"/>
                <w:szCs w:val="18"/>
              </w:rPr>
              <w:t>.</w:t>
            </w:r>
            <w:r w:rsidRPr="007F732D">
              <w:rPr>
                <w:rFonts w:ascii="Arial" w:hAnsi="Arial" w:cs="Arial"/>
                <w:sz w:val="18"/>
                <w:szCs w:val="18"/>
              </w:rPr>
              <w:t>38</w:t>
            </w:r>
          </w:p>
        </w:tc>
        <w:tc>
          <w:tcPr>
            <w:tcW w:w="1134" w:type="dxa"/>
            <w:tcBorders>
              <w:top w:val="nil"/>
              <w:left w:val="nil"/>
              <w:bottom w:val="single" w:sz="4" w:space="0" w:color="auto"/>
              <w:right w:val="single" w:sz="4" w:space="0" w:color="auto"/>
            </w:tcBorders>
            <w:shd w:val="clear" w:color="auto" w:fill="auto"/>
            <w:noWrap/>
            <w:vAlign w:val="center"/>
            <w:hideMark/>
          </w:tcPr>
          <w:p w14:paraId="285601B1" w14:textId="2E0A1FFE" w:rsidR="002A54CE" w:rsidRPr="00157429" w:rsidRDefault="002A54CE" w:rsidP="008723FE">
            <w:pPr>
              <w:jc w:val="center"/>
              <w:rPr>
                <w:rFonts w:ascii="Arial" w:hAnsi="Arial" w:cs="Arial"/>
                <w:sz w:val="18"/>
                <w:szCs w:val="18"/>
              </w:rPr>
            </w:pPr>
            <w:r w:rsidRPr="007F732D">
              <w:rPr>
                <w:rFonts w:ascii="Arial" w:hAnsi="Arial" w:cs="Arial"/>
                <w:sz w:val="18"/>
                <w:szCs w:val="18"/>
              </w:rPr>
              <w:t>4</w:t>
            </w:r>
            <w:r w:rsidR="00855588">
              <w:rPr>
                <w:rFonts w:ascii="Arial" w:hAnsi="Arial" w:cs="Arial"/>
                <w:sz w:val="18"/>
                <w:szCs w:val="18"/>
              </w:rPr>
              <w:t>.</w:t>
            </w:r>
            <w:r w:rsidRPr="00157429">
              <w:rPr>
                <w:rFonts w:ascii="Arial" w:hAnsi="Arial" w:cs="Arial"/>
                <w:sz w:val="18"/>
                <w:szCs w:val="18"/>
              </w:rPr>
              <w:t>37</w:t>
            </w:r>
          </w:p>
        </w:tc>
        <w:tc>
          <w:tcPr>
            <w:tcW w:w="992" w:type="dxa"/>
            <w:tcBorders>
              <w:top w:val="nil"/>
              <w:left w:val="nil"/>
              <w:bottom w:val="single" w:sz="4" w:space="0" w:color="auto"/>
              <w:right w:val="single" w:sz="4" w:space="0" w:color="auto"/>
            </w:tcBorders>
            <w:shd w:val="clear" w:color="auto" w:fill="auto"/>
            <w:noWrap/>
            <w:vAlign w:val="center"/>
            <w:hideMark/>
          </w:tcPr>
          <w:p w14:paraId="068BB6A0" w14:textId="6977759D" w:rsidR="002A54CE" w:rsidRPr="005E5BB1" w:rsidRDefault="002A54CE" w:rsidP="008723FE">
            <w:pPr>
              <w:jc w:val="center"/>
              <w:rPr>
                <w:rFonts w:ascii="Arial" w:hAnsi="Arial" w:cs="Arial"/>
                <w:sz w:val="18"/>
                <w:szCs w:val="18"/>
              </w:rPr>
            </w:pPr>
            <w:r w:rsidRPr="00157429">
              <w:rPr>
                <w:rFonts w:ascii="Arial" w:hAnsi="Arial" w:cs="Arial"/>
                <w:sz w:val="18"/>
                <w:szCs w:val="18"/>
              </w:rPr>
              <w:t>4</w:t>
            </w:r>
            <w:r w:rsidR="00855588">
              <w:rPr>
                <w:rFonts w:ascii="Arial" w:hAnsi="Arial" w:cs="Arial"/>
                <w:sz w:val="18"/>
                <w:szCs w:val="18"/>
              </w:rPr>
              <w:t>.</w:t>
            </w:r>
            <w:r w:rsidRPr="005E5BB1">
              <w:rPr>
                <w:rFonts w:ascii="Arial" w:hAnsi="Arial" w:cs="Arial"/>
                <w:sz w:val="18"/>
                <w:szCs w:val="18"/>
              </w:rPr>
              <w:t>88</w:t>
            </w:r>
          </w:p>
        </w:tc>
        <w:tc>
          <w:tcPr>
            <w:tcW w:w="978" w:type="dxa"/>
            <w:tcBorders>
              <w:top w:val="nil"/>
              <w:left w:val="nil"/>
              <w:bottom w:val="single" w:sz="4" w:space="0" w:color="auto"/>
              <w:right w:val="single" w:sz="4" w:space="0" w:color="auto"/>
            </w:tcBorders>
            <w:shd w:val="clear" w:color="auto" w:fill="auto"/>
            <w:noWrap/>
            <w:vAlign w:val="center"/>
            <w:hideMark/>
          </w:tcPr>
          <w:p w14:paraId="38E9CB01" w14:textId="6C1AB7EE" w:rsidR="002A54CE" w:rsidRPr="00157429" w:rsidRDefault="002A54CE" w:rsidP="008723FE">
            <w:pPr>
              <w:jc w:val="center"/>
              <w:rPr>
                <w:rFonts w:ascii="Arial" w:hAnsi="Arial" w:cs="Arial"/>
                <w:sz w:val="18"/>
                <w:szCs w:val="18"/>
              </w:rPr>
            </w:pPr>
            <w:r w:rsidRPr="005E5BB1">
              <w:rPr>
                <w:rFonts w:ascii="Arial" w:hAnsi="Arial" w:cs="Arial"/>
                <w:sz w:val="18"/>
                <w:szCs w:val="18"/>
              </w:rPr>
              <w:t>5</w:t>
            </w:r>
            <w:r w:rsidR="00855588">
              <w:rPr>
                <w:rFonts w:ascii="Arial" w:hAnsi="Arial" w:cs="Arial"/>
                <w:sz w:val="18"/>
                <w:szCs w:val="18"/>
              </w:rPr>
              <w:t>.</w:t>
            </w:r>
            <w:r w:rsidRPr="00157429">
              <w:rPr>
                <w:rFonts w:ascii="Arial" w:hAnsi="Arial" w:cs="Arial"/>
                <w:sz w:val="18"/>
                <w:szCs w:val="18"/>
              </w:rPr>
              <w:t>32</w:t>
            </w:r>
          </w:p>
        </w:tc>
      </w:tr>
      <w:tr w:rsidR="002A54CE" w:rsidRPr="00DF12F6" w14:paraId="70E6D4CC" w14:textId="77777777" w:rsidTr="00157429">
        <w:trPr>
          <w:trHeight w:val="190"/>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1868CBAA" w14:textId="77777777" w:rsidR="002A54CE" w:rsidRPr="00157429" w:rsidRDefault="002A54CE" w:rsidP="00A63DCF">
            <w:pPr>
              <w:rPr>
                <w:rFonts w:ascii="Arial" w:hAnsi="Arial" w:cs="Arial"/>
                <w:b/>
                <w:bCs/>
                <w:sz w:val="18"/>
                <w:szCs w:val="18"/>
              </w:rPr>
            </w:pPr>
            <w:r w:rsidRPr="00157429">
              <w:rPr>
                <w:rFonts w:ascii="Arial" w:hAnsi="Arial" w:cs="Arial"/>
                <w:b/>
                <w:bCs/>
                <w:sz w:val="18"/>
                <w:szCs w:val="18"/>
              </w:rPr>
              <w:t>Europe</w:t>
            </w:r>
          </w:p>
        </w:tc>
        <w:tc>
          <w:tcPr>
            <w:tcW w:w="992" w:type="dxa"/>
            <w:tcBorders>
              <w:top w:val="nil"/>
              <w:left w:val="nil"/>
              <w:bottom w:val="single" w:sz="4" w:space="0" w:color="auto"/>
              <w:right w:val="single" w:sz="4" w:space="0" w:color="auto"/>
            </w:tcBorders>
            <w:shd w:val="clear" w:color="auto" w:fill="auto"/>
            <w:noWrap/>
            <w:vAlign w:val="center"/>
            <w:hideMark/>
          </w:tcPr>
          <w:p w14:paraId="075A0411" w14:textId="62BEB024" w:rsidR="002A54CE" w:rsidRPr="00157429" w:rsidRDefault="002A54CE" w:rsidP="008723FE">
            <w:pPr>
              <w:jc w:val="center"/>
              <w:rPr>
                <w:rFonts w:ascii="Arial" w:hAnsi="Arial" w:cs="Arial"/>
                <w:sz w:val="18"/>
                <w:szCs w:val="18"/>
              </w:rPr>
            </w:pPr>
            <w:r w:rsidRPr="00157429">
              <w:rPr>
                <w:rFonts w:ascii="Arial" w:hAnsi="Arial" w:cs="Arial"/>
                <w:sz w:val="18"/>
                <w:szCs w:val="18"/>
              </w:rPr>
              <w:t>5</w:t>
            </w:r>
            <w:r w:rsidR="00855588">
              <w:rPr>
                <w:rFonts w:ascii="Arial" w:hAnsi="Arial" w:cs="Arial"/>
                <w:sz w:val="18"/>
                <w:szCs w:val="18"/>
              </w:rPr>
              <w:t>.</w:t>
            </w:r>
            <w:r w:rsidRPr="00157429">
              <w:rPr>
                <w:rFonts w:ascii="Arial" w:hAnsi="Arial" w:cs="Arial"/>
                <w:sz w:val="18"/>
                <w:szCs w:val="18"/>
              </w:rPr>
              <w:t>55</w:t>
            </w:r>
          </w:p>
        </w:tc>
        <w:tc>
          <w:tcPr>
            <w:tcW w:w="1134" w:type="dxa"/>
            <w:tcBorders>
              <w:top w:val="nil"/>
              <w:left w:val="nil"/>
              <w:bottom w:val="single" w:sz="4" w:space="0" w:color="auto"/>
              <w:right w:val="single" w:sz="4" w:space="0" w:color="auto"/>
            </w:tcBorders>
            <w:shd w:val="clear" w:color="auto" w:fill="auto"/>
            <w:noWrap/>
            <w:vAlign w:val="center"/>
            <w:hideMark/>
          </w:tcPr>
          <w:p w14:paraId="235AA258" w14:textId="29D28317" w:rsidR="002A54CE" w:rsidRPr="00157429" w:rsidRDefault="002A54CE" w:rsidP="008723FE">
            <w:pPr>
              <w:jc w:val="center"/>
              <w:rPr>
                <w:rFonts w:ascii="Arial" w:hAnsi="Arial" w:cs="Arial"/>
                <w:sz w:val="18"/>
                <w:szCs w:val="18"/>
              </w:rPr>
            </w:pPr>
            <w:r w:rsidRPr="00157429">
              <w:rPr>
                <w:rFonts w:ascii="Arial" w:hAnsi="Arial" w:cs="Arial"/>
                <w:sz w:val="18"/>
                <w:szCs w:val="18"/>
              </w:rPr>
              <w:t>1</w:t>
            </w:r>
            <w:r w:rsidR="00855588">
              <w:rPr>
                <w:rFonts w:ascii="Arial" w:hAnsi="Arial" w:cs="Arial"/>
                <w:sz w:val="18"/>
                <w:szCs w:val="18"/>
              </w:rPr>
              <w:t>.</w:t>
            </w:r>
            <w:r w:rsidRPr="00157429">
              <w:rPr>
                <w:rFonts w:ascii="Arial" w:hAnsi="Arial" w:cs="Arial"/>
                <w:sz w:val="18"/>
                <w:szCs w:val="18"/>
              </w:rPr>
              <w:t>92</w:t>
            </w:r>
          </w:p>
        </w:tc>
        <w:tc>
          <w:tcPr>
            <w:tcW w:w="1134" w:type="dxa"/>
            <w:tcBorders>
              <w:top w:val="nil"/>
              <w:left w:val="nil"/>
              <w:bottom w:val="single" w:sz="4" w:space="0" w:color="auto"/>
              <w:right w:val="single" w:sz="4" w:space="0" w:color="auto"/>
            </w:tcBorders>
            <w:shd w:val="clear" w:color="auto" w:fill="auto"/>
            <w:noWrap/>
            <w:vAlign w:val="center"/>
            <w:hideMark/>
          </w:tcPr>
          <w:p w14:paraId="6712DD36" w14:textId="4AA5E8C5" w:rsidR="002A54CE" w:rsidRPr="00157429" w:rsidRDefault="002A54CE" w:rsidP="008723FE">
            <w:pPr>
              <w:jc w:val="center"/>
              <w:rPr>
                <w:rFonts w:ascii="Arial" w:hAnsi="Arial" w:cs="Arial"/>
                <w:sz w:val="18"/>
                <w:szCs w:val="18"/>
              </w:rPr>
            </w:pPr>
            <w:r w:rsidRPr="00157429">
              <w:rPr>
                <w:rFonts w:ascii="Arial" w:hAnsi="Arial" w:cs="Arial"/>
                <w:sz w:val="18"/>
                <w:szCs w:val="18"/>
              </w:rPr>
              <w:t>2</w:t>
            </w:r>
            <w:r w:rsidR="00855588">
              <w:rPr>
                <w:rFonts w:ascii="Arial" w:hAnsi="Arial" w:cs="Arial"/>
                <w:sz w:val="18"/>
                <w:szCs w:val="18"/>
              </w:rPr>
              <w:t>.</w:t>
            </w:r>
            <w:r w:rsidRPr="00157429">
              <w:rPr>
                <w:rFonts w:ascii="Arial" w:hAnsi="Arial" w:cs="Arial"/>
                <w:sz w:val="18"/>
                <w:szCs w:val="18"/>
              </w:rPr>
              <w:t>38</w:t>
            </w:r>
          </w:p>
        </w:tc>
        <w:tc>
          <w:tcPr>
            <w:tcW w:w="992" w:type="dxa"/>
            <w:tcBorders>
              <w:top w:val="nil"/>
              <w:left w:val="nil"/>
              <w:bottom w:val="single" w:sz="4" w:space="0" w:color="auto"/>
              <w:right w:val="single" w:sz="4" w:space="0" w:color="auto"/>
            </w:tcBorders>
            <w:shd w:val="clear" w:color="auto" w:fill="auto"/>
            <w:noWrap/>
            <w:vAlign w:val="center"/>
            <w:hideMark/>
          </w:tcPr>
          <w:p w14:paraId="59BD5940" w14:textId="6CC930FB" w:rsidR="002A54CE" w:rsidRPr="00157429" w:rsidRDefault="002A54CE" w:rsidP="008723FE">
            <w:pPr>
              <w:jc w:val="center"/>
              <w:rPr>
                <w:rFonts w:ascii="Arial" w:hAnsi="Arial" w:cs="Arial"/>
                <w:sz w:val="18"/>
                <w:szCs w:val="18"/>
              </w:rPr>
            </w:pPr>
            <w:r w:rsidRPr="00157429">
              <w:rPr>
                <w:rFonts w:ascii="Arial" w:hAnsi="Arial" w:cs="Arial"/>
                <w:sz w:val="18"/>
                <w:szCs w:val="18"/>
              </w:rPr>
              <w:t>2</w:t>
            </w:r>
            <w:r w:rsidR="00855588">
              <w:rPr>
                <w:rFonts w:ascii="Arial" w:hAnsi="Arial" w:cs="Arial"/>
                <w:sz w:val="18"/>
                <w:szCs w:val="18"/>
              </w:rPr>
              <w:t>.</w:t>
            </w:r>
            <w:r w:rsidRPr="00157429">
              <w:rPr>
                <w:rFonts w:ascii="Arial" w:hAnsi="Arial" w:cs="Arial"/>
                <w:sz w:val="18"/>
                <w:szCs w:val="18"/>
              </w:rPr>
              <w:t>07</w:t>
            </w:r>
          </w:p>
        </w:tc>
        <w:tc>
          <w:tcPr>
            <w:tcW w:w="978" w:type="dxa"/>
            <w:tcBorders>
              <w:top w:val="nil"/>
              <w:left w:val="nil"/>
              <w:bottom w:val="single" w:sz="4" w:space="0" w:color="auto"/>
              <w:right w:val="single" w:sz="4" w:space="0" w:color="auto"/>
            </w:tcBorders>
            <w:shd w:val="clear" w:color="auto" w:fill="auto"/>
            <w:noWrap/>
            <w:vAlign w:val="center"/>
            <w:hideMark/>
          </w:tcPr>
          <w:p w14:paraId="5015D706" w14:textId="4FAE4540" w:rsidR="002A54CE" w:rsidRPr="007F732D" w:rsidRDefault="002A54CE" w:rsidP="008723FE">
            <w:pPr>
              <w:jc w:val="center"/>
              <w:rPr>
                <w:rFonts w:ascii="Arial" w:hAnsi="Arial" w:cs="Arial"/>
                <w:sz w:val="18"/>
                <w:szCs w:val="18"/>
              </w:rPr>
            </w:pPr>
            <w:r w:rsidRPr="00157429">
              <w:rPr>
                <w:rFonts w:ascii="Arial" w:hAnsi="Arial" w:cs="Arial"/>
                <w:sz w:val="18"/>
                <w:szCs w:val="18"/>
              </w:rPr>
              <w:t>3</w:t>
            </w:r>
            <w:r w:rsidR="00855588">
              <w:rPr>
                <w:rFonts w:ascii="Arial" w:hAnsi="Arial" w:cs="Arial"/>
                <w:sz w:val="18"/>
                <w:szCs w:val="18"/>
              </w:rPr>
              <w:t>.</w:t>
            </w:r>
            <w:r w:rsidRPr="007F732D">
              <w:rPr>
                <w:rFonts w:ascii="Arial" w:hAnsi="Arial" w:cs="Arial"/>
                <w:sz w:val="18"/>
                <w:szCs w:val="18"/>
              </w:rPr>
              <w:t>37</w:t>
            </w:r>
          </w:p>
        </w:tc>
      </w:tr>
      <w:tr w:rsidR="002A54CE" w:rsidRPr="00DF12F6" w14:paraId="1C47E21B" w14:textId="77777777" w:rsidTr="00157429">
        <w:trPr>
          <w:trHeight w:val="79"/>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627E8B38" w14:textId="77777777" w:rsidR="002A54CE" w:rsidRPr="00157429" w:rsidRDefault="002A54CE" w:rsidP="00A63DCF">
            <w:pPr>
              <w:rPr>
                <w:rFonts w:ascii="Arial" w:hAnsi="Arial" w:cs="Arial"/>
                <w:b/>
                <w:bCs/>
                <w:sz w:val="18"/>
                <w:szCs w:val="18"/>
              </w:rPr>
            </w:pPr>
            <w:r w:rsidRPr="00157429">
              <w:rPr>
                <w:rFonts w:ascii="Arial" w:hAnsi="Arial" w:cs="Arial"/>
                <w:b/>
                <w:bCs/>
                <w:sz w:val="18"/>
                <w:szCs w:val="18"/>
              </w:rPr>
              <w:t>Japan</w:t>
            </w:r>
          </w:p>
        </w:tc>
        <w:tc>
          <w:tcPr>
            <w:tcW w:w="992" w:type="dxa"/>
            <w:tcBorders>
              <w:top w:val="nil"/>
              <w:left w:val="nil"/>
              <w:bottom w:val="single" w:sz="4" w:space="0" w:color="auto"/>
              <w:right w:val="single" w:sz="4" w:space="0" w:color="auto"/>
            </w:tcBorders>
            <w:shd w:val="clear" w:color="auto" w:fill="auto"/>
            <w:noWrap/>
            <w:vAlign w:val="center"/>
            <w:hideMark/>
          </w:tcPr>
          <w:p w14:paraId="2BAFDFF3" w14:textId="7CACC1A0" w:rsidR="002A54CE" w:rsidRPr="007F732D" w:rsidRDefault="002A54CE" w:rsidP="008723FE">
            <w:pPr>
              <w:jc w:val="center"/>
              <w:rPr>
                <w:rFonts w:ascii="Arial" w:hAnsi="Arial" w:cs="Arial"/>
                <w:sz w:val="18"/>
                <w:szCs w:val="18"/>
              </w:rPr>
            </w:pPr>
            <w:r w:rsidRPr="00157429">
              <w:rPr>
                <w:rFonts w:ascii="Arial" w:hAnsi="Arial" w:cs="Arial"/>
                <w:sz w:val="18"/>
                <w:szCs w:val="18"/>
              </w:rPr>
              <w:t>3</w:t>
            </w:r>
            <w:r w:rsidR="00855588">
              <w:rPr>
                <w:rFonts w:ascii="Arial" w:hAnsi="Arial" w:cs="Arial"/>
                <w:sz w:val="18"/>
                <w:szCs w:val="18"/>
              </w:rPr>
              <w:t>.</w:t>
            </w:r>
            <w:r w:rsidRPr="007F732D">
              <w:rPr>
                <w:rFonts w:ascii="Arial" w:hAnsi="Arial" w:cs="Arial"/>
                <w:sz w:val="18"/>
                <w:szCs w:val="18"/>
              </w:rPr>
              <w:t>42</w:t>
            </w:r>
          </w:p>
        </w:tc>
        <w:tc>
          <w:tcPr>
            <w:tcW w:w="1134" w:type="dxa"/>
            <w:tcBorders>
              <w:top w:val="nil"/>
              <w:left w:val="nil"/>
              <w:bottom w:val="single" w:sz="4" w:space="0" w:color="auto"/>
              <w:right w:val="single" w:sz="4" w:space="0" w:color="auto"/>
            </w:tcBorders>
            <w:shd w:val="clear" w:color="auto" w:fill="auto"/>
            <w:noWrap/>
            <w:vAlign w:val="center"/>
            <w:hideMark/>
          </w:tcPr>
          <w:p w14:paraId="152F49BE" w14:textId="10574476" w:rsidR="002A54CE" w:rsidRPr="007F732D" w:rsidRDefault="002A54CE" w:rsidP="008723FE">
            <w:pPr>
              <w:jc w:val="center"/>
              <w:rPr>
                <w:rFonts w:ascii="Arial" w:hAnsi="Arial" w:cs="Arial"/>
                <w:sz w:val="18"/>
                <w:szCs w:val="18"/>
              </w:rPr>
            </w:pPr>
            <w:r w:rsidRPr="007F732D">
              <w:rPr>
                <w:rFonts w:ascii="Arial" w:hAnsi="Arial" w:cs="Arial"/>
                <w:sz w:val="18"/>
                <w:szCs w:val="18"/>
              </w:rPr>
              <w:t>3</w:t>
            </w:r>
            <w:r w:rsidR="00855588">
              <w:rPr>
                <w:rFonts w:ascii="Arial" w:hAnsi="Arial" w:cs="Arial"/>
                <w:sz w:val="18"/>
                <w:szCs w:val="18"/>
              </w:rPr>
              <w:t>.</w:t>
            </w:r>
            <w:r w:rsidRPr="007F732D">
              <w:rPr>
                <w:rFonts w:ascii="Arial" w:hAnsi="Arial" w:cs="Arial"/>
                <w:sz w:val="18"/>
                <w:szCs w:val="18"/>
              </w:rPr>
              <w:t>38</w:t>
            </w:r>
          </w:p>
        </w:tc>
        <w:tc>
          <w:tcPr>
            <w:tcW w:w="1134" w:type="dxa"/>
            <w:tcBorders>
              <w:top w:val="nil"/>
              <w:left w:val="nil"/>
              <w:bottom w:val="single" w:sz="4" w:space="0" w:color="auto"/>
              <w:right w:val="single" w:sz="4" w:space="0" w:color="auto"/>
            </w:tcBorders>
            <w:shd w:val="clear" w:color="auto" w:fill="auto"/>
            <w:noWrap/>
            <w:vAlign w:val="center"/>
            <w:hideMark/>
          </w:tcPr>
          <w:p w14:paraId="522CB70B" w14:textId="496580F5" w:rsidR="002A54CE" w:rsidRPr="007F732D" w:rsidRDefault="002A54CE" w:rsidP="008723FE">
            <w:pPr>
              <w:jc w:val="center"/>
              <w:rPr>
                <w:rFonts w:ascii="Arial" w:hAnsi="Arial" w:cs="Arial"/>
                <w:sz w:val="18"/>
                <w:szCs w:val="18"/>
              </w:rPr>
            </w:pPr>
            <w:r w:rsidRPr="007F732D">
              <w:rPr>
                <w:rFonts w:ascii="Arial" w:hAnsi="Arial" w:cs="Arial"/>
                <w:sz w:val="18"/>
                <w:szCs w:val="18"/>
              </w:rPr>
              <w:t>4</w:t>
            </w:r>
            <w:r w:rsidR="00855588">
              <w:rPr>
                <w:rFonts w:ascii="Arial" w:hAnsi="Arial" w:cs="Arial"/>
                <w:sz w:val="18"/>
                <w:szCs w:val="18"/>
              </w:rPr>
              <w:t>.</w:t>
            </w:r>
            <w:r w:rsidRPr="007F732D">
              <w:rPr>
                <w:rFonts w:ascii="Arial" w:hAnsi="Arial" w:cs="Arial"/>
                <w:sz w:val="18"/>
                <w:szCs w:val="18"/>
              </w:rPr>
              <w:t>18</w:t>
            </w:r>
          </w:p>
        </w:tc>
        <w:tc>
          <w:tcPr>
            <w:tcW w:w="992" w:type="dxa"/>
            <w:tcBorders>
              <w:top w:val="nil"/>
              <w:left w:val="nil"/>
              <w:bottom w:val="single" w:sz="4" w:space="0" w:color="auto"/>
              <w:right w:val="single" w:sz="4" w:space="0" w:color="auto"/>
            </w:tcBorders>
            <w:shd w:val="clear" w:color="auto" w:fill="auto"/>
            <w:noWrap/>
            <w:vAlign w:val="center"/>
            <w:hideMark/>
          </w:tcPr>
          <w:p w14:paraId="1877039B" w14:textId="71E44C72" w:rsidR="002A54CE" w:rsidRPr="007F732D" w:rsidRDefault="002A54CE" w:rsidP="008723FE">
            <w:pPr>
              <w:jc w:val="center"/>
              <w:rPr>
                <w:rFonts w:ascii="Arial" w:hAnsi="Arial" w:cs="Arial"/>
                <w:sz w:val="18"/>
                <w:szCs w:val="18"/>
              </w:rPr>
            </w:pPr>
            <w:r w:rsidRPr="007F732D">
              <w:rPr>
                <w:rFonts w:ascii="Arial" w:hAnsi="Arial" w:cs="Arial"/>
                <w:sz w:val="18"/>
                <w:szCs w:val="18"/>
              </w:rPr>
              <w:t>5</w:t>
            </w:r>
            <w:r w:rsidR="00855588">
              <w:rPr>
                <w:rFonts w:ascii="Arial" w:hAnsi="Arial" w:cs="Arial"/>
                <w:sz w:val="18"/>
                <w:szCs w:val="18"/>
              </w:rPr>
              <w:t>.</w:t>
            </w:r>
            <w:r w:rsidRPr="007F732D">
              <w:rPr>
                <w:rFonts w:ascii="Arial" w:hAnsi="Arial" w:cs="Arial"/>
                <w:sz w:val="18"/>
                <w:szCs w:val="18"/>
              </w:rPr>
              <w:t>55</w:t>
            </w:r>
          </w:p>
        </w:tc>
        <w:tc>
          <w:tcPr>
            <w:tcW w:w="978" w:type="dxa"/>
            <w:tcBorders>
              <w:top w:val="nil"/>
              <w:left w:val="nil"/>
              <w:bottom w:val="single" w:sz="4" w:space="0" w:color="auto"/>
              <w:right w:val="single" w:sz="4" w:space="0" w:color="auto"/>
            </w:tcBorders>
            <w:shd w:val="clear" w:color="auto" w:fill="auto"/>
            <w:noWrap/>
            <w:vAlign w:val="center"/>
            <w:hideMark/>
          </w:tcPr>
          <w:p w14:paraId="28D20649" w14:textId="1621C7E1" w:rsidR="002A54CE" w:rsidRPr="007F732D" w:rsidRDefault="002A54CE" w:rsidP="008723FE">
            <w:pPr>
              <w:jc w:val="center"/>
              <w:rPr>
                <w:rFonts w:ascii="Arial" w:hAnsi="Arial" w:cs="Arial"/>
                <w:sz w:val="18"/>
                <w:szCs w:val="18"/>
              </w:rPr>
            </w:pPr>
            <w:r w:rsidRPr="007F732D">
              <w:rPr>
                <w:rFonts w:ascii="Arial" w:hAnsi="Arial" w:cs="Arial"/>
                <w:sz w:val="18"/>
                <w:szCs w:val="18"/>
              </w:rPr>
              <w:t>4</w:t>
            </w:r>
            <w:r w:rsidR="00855588">
              <w:rPr>
                <w:rFonts w:ascii="Arial" w:hAnsi="Arial" w:cs="Arial"/>
                <w:sz w:val="18"/>
                <w:szCs w:val="18"/>
              </w:rPr>
              <w:t>.</w:t>
            </w:r>
            <w:r w:rsidRPr="007F732D">
              <w:rPr>
                <w:rFonts w:ascii="Arial" w:hAnsi="Arial" w:cs="Arial"/>
                <w:sz w:val="18"/>
                <w:szCs w:val="18"/>
              </w:rPr>
              <w:t>58</w:t>
            </w:r>
          </w:p>
        </w:tc>
      </w:tr>
      <w:tr w:rsidR="002A54CE" w:rsidRPr="00DF12F6" w14:paraId="364C52CB" w14:textId="77777777" w:rsidTr="00157429">
        <w:trPr>
          <w:trHeight w:val="195"/>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0CB9F982" w14:textId="5C9F56EE" w:rsidR="002A54CE" w:rsidRPr="007F732D" w:rsidRDefault="002A54CE" w:rsidP="00A63DCF">
            <w:pPr>
              <w:rPr>
                <w:rFonts w:ascii="Arial" w:hAnsi="Arial" w:cs="Arial"/>
                <w:b/>
                <w:bCs/>
                <w:sz w:val="18"/>
                <w:szCs w:val="18"/>
              </w:rPr>
            </w:pPr>
            <w:r w:rsidRPr="007F732D">
              <w:rPr>
                <w:rFonts w:ascii="Arial" w:hAnsi="Arial" w:cs="Arial"/>
                <w:b/>
                <w:bCs/>
                <w:sz w:val="18"/>
                <w:szCs w:val="18"/>
              </w:rPr>
              <w:t>Korea</w:t>
            </w:r>
          </w:p>
        </w:tc>
        <w:tc>
          <w:tcPr>
            <w:tcW w:w="992" w:type="dxa"/>
            <w:tcBorders>
              <w:top w:val="nil"/>
              <w:left w:val="nil"/>
              <w:bottom w:val="single" w:sz="4" w:space="0" w:color="auto"/>
              <w:right w:val="single" w:sz="4" w:space="0" w:color="auto"/>
            </w:tcBorders>
            <w:shd w:val="clear" w:color="auto" w:fill="auto"/>
            <w:noWrap/>
            <w:vAlign w:val="center"/>
            <w:hideMark/>
          </w:tcPr>
          <w:p w14:paraId="55A59F95" w14:textId="28BFC818" w:rsidR="002A54CE" w:rsidRPr="007F732D" w:rsidRDefault="002A54CE" w:rsidP="008723FE">
            <w:pPr>
              <w:jc w:val="center"/>
              <w:rPr>
                <w:rFonts w:ascii="Arial" w:hAnsi="Arial" w:cs="Arial"/>
                <w:sz w:val="18"/>
                <w:szCs w:val="18"/>
              </w:rPr>
            </w:pPr>
            <w:r w:rsidRPr="007F732D">
              <w:rPr>
                <w:rFonts w:ascii="Arial" w:hAnsi="Arial" w:cs="Arial"/>
                <w:sz w:val="18"/>
                <w:szCs w:val="18"/>
              </w:rPr>
              <w:t>8</w:t>
            </w:r>
            <w:r w:rsidR="00855588">
              <w:rPr>
                <w:rFonts w:ascii="Arial" w:hAnsi="Arial" w:cs="Arial"/>
                <w:sz w:val="18"/>
                <w:szCs w:val="18"/>
              </w:rPr>
              <w:t>.</w:t>
            </w:r>
            <w:r w:rsidRPr="007F732D">
              <w:rPr>
                <w:rFonts w:ascii="Arial" w:hAnsi="Arial" w:cs="Arial"/>
                <w:sz w:val="18"/>
                <w:szCs w:val="18"/>
              </w:rPr>
              <w:t>67</w:t>
            </w:r>
          </w:p>
        </w:tc>
        <w:tc>
          <w:tcPr>
            <w:tcW w:w="1134" w:type="dxa"/>
            <w:tcBorders>
              <w:top w:val="nil"/>
              <w:left w:val="nil"/>
              <w:bottom w:val="single" w:sz="4" w:space="0" w:color="auto"/>
              <w:right w:val="single" w:sz="4" w:space="0" w:color="auto"/>
            </w:tcBorders>
            <w:shd w:val="clear" w:color="auto" w:fill="auto"/>
            <w:noWrap/>
            <w:vAlign w:val="center"/>
            <w:hideMark/>
          </w:tcPr>
          <w:p w14:paraId="4DE7E92D" w14:textId="2AA33B65" w:rsidR="002A54CE" w:rsidRPr="007F732D" w:rsidRDefault="002A54CE" w:rsidP="008723FE">
            <w:pPr>
              <w:jc w:val="center"/>
              <w:rPr>
                <w:rFonts w:ascii="Arial" w:hAnsi="Arial" w:cs="Arial"/>
                <w:sz w:val="18"/>
                <w:szCs w:val="18"/>
              </w:rPr>
            </w:pPr>
            <w:r w:rsidRPr="007F732D">
              <w:rPr>
                <w:rFonts w:ascii="Arial" w:hAnsi="Arial" w:cs="Arial"/>
                <w:sz w:val="18"/>
                <w:szCs w:val="18"/>
              </w:rPr>
              <w:t>5</w:t>
            </w:r>
            <w:r w:rsidR="00855588">
              <w:rPr>
                <w:rFonts w:ascii="Arial" w:hAnsi="Arial" w:cs="Arial"/>
                <w:sz w:val="18"/>
                <w:szCs w:val="18"/>
              </w:rPr>
              <w:t>.</w:t>
            </w:r>
            <w:r w:rsidRPr="007F732D">
              <w:rPr>
                <w:rFonts w:ascii="Arial" w:hAnsi="Arial" w:cs="Arial"/>
                <w:sz w:val="18"/>
                <w:szCs w:val="18"/>
              </w:rPr>
              <w:t>22</w:t>
            </w:r>
          </w:p>
        </w:tc>
        <w:tc>
          <w:tcPr>
            <w:tcW w:w="1134" w:type="dxa"/>
            <w:tcBorders>
              <w:top w:val="nil"/>
              <w:left w:val="nil"/>
              <w:bottom w:val="single" w:sz="4" w:space="0" w:color="auto"/>
              <w:right w:val="single" w:sz="4" w:space="0" w:color="auto"/>
            </w:tcBorders>
            <w:shd w:val="clear" w:color="auto" w:fill="auto"/>
            <w:noWrap/>
            <w:vAlign w:val="center"/>
            <w:hideMark/>
          </w:tcPr>
          <w:p w14:paraId="54E93937" w14:textId="1B9D46E7" w:rsidR="002A54CE" w:rsidRPr="007F732D" w:rsidRDefault="002A54CE" w:rsidP="008723FE">
            <w:pPr>
              <w:jc w:val="center"/>
              <w:rPr>
                <w:rFonts w:ascii="Arial" w:hAnsi="Arial" w:cs="Arial"/>
                <w:sz w:val="18"/>
                <w:szCs w:val="18"/>
              </w:rPr>
            </w:pPr>
            <w:r w:rsidRPr="007F732D">
              <w:rPr>
                <w:rFonts w:ascii="Arial" w:hAnsi="Arial" w:cs="Arial"/>
                <w:sz w:val="18"/>
                <w:szCs w:val="18"/>
              </w:rPr>
              <w:t>6</w:t>
            </w:r>
            <w:r w:rsidR="00855588">
              <w:rPr>
                <w:rFonts w:ascii="Arial" w:hAnsi="Arial" w:cs="Arial"/>
                <w:sz w:val="18"/>
                <w:szCs w:val="18"/>
              </w:rPr>
              <w:t>.</w:t>
            </w:r>
            <w:r w:rsidRPr="007F732D">
              <w:rPr>
                <w:rFonts w:ascii="Arial" w:hAnsi="Arial" w:cs="Arial"/>
                <w:sz w:val="18"/>
                <w:szCs w:val="18"/>
              </w:rPr>
              <w:t>84</w:t>
            </w:r>
          </w:p>
        </w:tc>
        <w:tc>
          <w:tcPr>
            <w:tcW w:w="992" w:type="dxa"/>
            <w:tcBorders>
              <w:top w:val="nil"/>
              <w:left w:val="nil"/>
              <w:bottom w:val="single" w:sz="4" w:space="0" w:color="auto"/>
              <w:right w:val="single" w:sz="4" w:space="0" w:color="auto"/>
            </w:tcBorders>
            <w:shd w:val="clear" w:color="auto" w:fill="auto"/>
            <w:noWrap/>
            <w:vAlign w:val="center"/>
            <w:hideMark/>
          </w:tcPr>
          <w:p w14:paraId="1244D2F7" w14:textId="7BB5CA41" w:rsidR="002A54CE" w:rsidRPr="007F732D" w:rsidRDefault="002A54CE" w:rsidP="008723FE">
            <w:pPr>
              <w:jc w:val="center"/>
              <w:rPr>
                <w:rFonts w:ascii="Arial" w:hAnsi="Arial" w:cs="Arial"/>
                <w:sz w:val="18"/>
                <w:szCs w:val="18"/>
              </w:rPr>
            </w:pPr>
            <w:r w:rsidRPr="007F732D">
              <w:rPr>
                <w:rFonts w:ascii="Arial" w:hAnsi="Arial" w:cs="Arial"/>
                <w:sz w:val="18"/>
                <w:szCs w:val="18"/>
              </w:rPr>
              <w:t>8</w:t>
            </w:r>
            <w:r w:rsidR="00855588">
              <w:rPr>
                <w:rFonts w:ascii="Arial" w:hAnsi="Arial" w:cs="Arial"/>
                <w:sz w:val="18"/>
                <w:szCs w:val="18"/>
              </w:rPr>
              <w:t>.</w:t>
            </w:r>
            <w:r w:rsidRPr="007F732D">
              <w:rPr>
                <w:rFonts w:ascii="Arial" w:hAnsi="Arial" w:cs="Arial"/>
                <w:sz w:val="18"/>
                <w:szCs w:val="18"/>
              </w:rPr>
              <w:t>08</w:t>
            </w:r>
          </w:p>
        </w:tc>
        <w:tc>
          <w:tcPr>
            <w:tcW w:w="978" w:type="dxa"/>
            <w:tcBorders>
              <w:top w:val="nil"/>
              <w:left w:val="nil"/>
              <w:bottom w:val="single" w:sz="4" w:space="0" w:color="auto"/>
              <w:right w:val="single" w:sz="4" w:space="0" w:color="auto"/>
            </w:tcBorders>
            <w:shd w:val="clear" w:color="auto" w:fill="auto"/>
            <w:noWrap/>
            <w:vAlign w:val="center"/>
            <w:hideMark/>
          </w:tcPr>
          <w:p w14:paraId="755E1B5A" w14:textId="61125E65" w:rsidR="002A54CE" w:rsidRPr="007F732D" w:rsidRDefault="002A54CE" w:rsidP="008723FE">
            <w:pPr>
              <w:jc w:val="center"/>
              <w:rPr>
                <w:rFonts w:ascii="Arial" w:hAnsi="Arial" w:cs="Arial"/>
                <w:sz w:val="18"/>
                <w:szCs w:val="18"/>
              </w:rPr>
            </w:pPr>
            <w:r w:rsidRPr="007F732D">
              <w:rPr>
                <w:rFonts w:ascii="Arial" w:hAnsi="Arial" w:cs="Arial"/>
                <w:sz w:val="18"/>
                <w:szCs w:val="18"/>
              </w:rPr>
              <w:t>7</w:t>
            </w:r>
            <w:r w:rsidR="00855588">
              <w:rPr>
                <w:rFonts w:ascii="Arial" w:hAnsi="Arial" w:cs="Arial"/>
                <w:sz w:val="18"/>
                <w:szCs w:val="18"/>
              </w:rPr>
              <w:t>.</w:t>
            </w:r>
            <w:r w:rsidRPr="007F732D">
              <w:rPr>
                <w:rFonts w:ascii="Arial" w:hAnsi="Arial" w:cs="Arial"/>
                <w:sz w:val="18"/>
                <w:szCs w:val="18"/>
              </w:rPr>
              <w:t>36</w:t>
            </w:r>
          </w:p>
        </w:tc>
      </w:tr>
      <w:tr w:rsidR="002A54CE" w:rsidRPr="00DF12F6" w14:paraId="1755465B" w14:textId="77777777" w:rsidTr="00157429">
        <w:trPr>
          <w:trHeight w:val="214"/>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2910FC68" w14:textId="77777777" w:rsidR="002A54CE" w:rsidRPr="007F732D" w:rsidRDefault="002A54CE" w:rsidP="00A63DCF">
            <w:pPr>
              <w:rPr>
                <w:rFonts w:ascii="Arial" w:hAnsi="Arial" w:cs="Arial"/>
                <w:b/>
                <w:bCs/>
                <w:sz w:val="18"/>
                <w:szCs w:val="18"/>
              </w:rPr>
            </w:pPr>
            <w:r w:rsidRPr="007F732D">
              <w:rPr>
                <w:rFonts w:ascii="Arial" w:hAnsi="Arial" w:cs="Arial"/>
                <w:b/>
                <w:bCs/>
                <w:sz w:val="18"/>
                <w:szCs w:val="18"/>
              </w:rPr>
              <w:t>North America</w:t>
            </w:r>
          </w:p>
        </w:tc>
        <w:tc>
          <w:tcPr>
            <w:tcW w:w="992" w:type="dxa"/>
            <w:tcBorders>
              <w:top w:val="nil"/>
              <w:left w:val="nil"/>
              <w:bottom w:val="single" w:sz="4" w:space="0" w:color="auto"/>
              <w:right w:val="single" w:sz="4" w:space="0" w:color="auto"/>
            </w:tcBorders>
            <w:shd w:val="clear" w:color="auto" w:fill="auto"/>
            <w:noWrap/>
            <w:vAlign w:val="center"/>
            <w:hideMark/>
          </w:tcPr>
          <w:p w14:paraId="0BAFE046" w14:textId="0637998E" w:rsidR="002A54CE" w:rsidRPr="007F732D" w:rsidRDefault="002A54CE" w:rsidP="008723FE">
            <w:pPr>
              <w:jc w:val="center"/>
              <w:rPr>
                <w:rFonts w:ascii="Arial" w:hAnsi="Arial" w:cs="Arial"/>
                <w:sz w:val="18"/>
                <w:szCs w:val="18"/>
              </w:rPr>
            </w:pPr>
            <w:r w:rsidRPr="007F732D">
              <w:rPr>
                <w:rFonts w:ascii="Arial" w:hAnsi="Arial" w:cs="Arial"/>
                <w:sz w:val="18"/>
                <w:szCs w:val="18"/>
              </w:rPr>
              <w:t>8</w:t>
            </w:r>
            <w:r w:rsidR="00855588">
              <w:rPr>
                <w:rFonts w:ascii="Arial" w:hAnsi="Arial" w:cs="Arial"/>
                <w:sz w:val="18"/>
                <w:szCs w:val="18"/>
              </w:rPr>
              <w:t>.</w:t>
            </w:r>
            <w:r w:rsidRPr="007F732D">
              <w:rPr>
                <w:rFonts w:ascii="Arial" w:hAnsi="Arial" w:cs="Arial"/>
                <w:sz w:val="18"/>
                <w:szCs w:val="18"/>
              </w:rPr>
              <w:t>15</w:t>
            </w:r>
          </w:p>
        </w:tc>
        <w:tc>
          <w:tcPr>
            <w:tcW w:w="1134" w:type="dxa"/>
            <w:tcBorders>
              <w:top w:val="nil"/>
              <w:left w:val="nil"/>
              <w:bottom w:val="single" w:sz="4" w:space="0" w:color="auto"/>
              <w:right w:val="single" w:sz="4" w:space="0" w:color="auto"/>
            </w:tcBorders>
            <w:shd w:val="clear" w:color="auto" w:fill="auto"/>
            <w:noWrap/>
            <w:vAlign w:val="center"/>
            <w:hideMark/>
          </w:tcPr>
          <w:p w14:paraId="753BA3A2" w14:textId="14EF76E1" w:rsidR="002A54CE" w:rsidRPr="007F732D" w:rsidRDefault="002A54CE" w:rsidP="008723FE">
            <w:pPr>
              <w:jc w:val="center"/>
              <w:rPr>
                <w:rFonts w:ascii="Arial" w:hAnsi="Arial" w:cs="Arial"/>
                <w:sz w:val="18"/>
                <w:szCs w:val="18"/>
              </w:rPr>
            </w:pPr>
            <w:r w:rsidRPr="007F732D">
              <w:rPr>
                <w:rFonts w:ascii="Arial" w:hAnsi="Arial" w:cs="Arial"/>
                <w:sz w:val="18"/>
                <w:szCs w:val="18"/>
              </w:rPr>
              <w:t>5</w:t>
            </w:r>
            <w:r w:rsidR="00855588">
              <w:rPr>
                <w:rFonts w:ascii="Arial" w:hAnsi="Arial" w:cs="Arial"/>
                <w:sz w:val="18"/>
                <w:szCs w:val="18"/>
              </w:rPr>
              <w:t>.</w:t>
            </w:r>
            <w:r w:rsidRPr="007F732D">
              <w:rPr>
                <w:rFonts w:ascii="Arial" w:hAnsi="Arial" w:cs="Arial"/>
                <w:sz w:val="18"/>
                <w:szCs w:val="18"/>
              </w:rPr>
              <w:t>27</w:t>
            </w:r>
          </w:p>
        </w:tc>
        <w:tc>
          <w:tcPr>
            <w:tcW w:w="1134" w:type="dxa"/>
            <w:tcBorders>
              <w:top w:val="nil"/>
              <w:left w:val="nil"/>
              <w:bottom w:val="single" w:sz="4" w:space="0" w:color="auto"/>
              <w:right w:val="single" w:sz="4" w:space="0" w:color="auto"/>
            </w:tcBorders>
            <w:shd w:val="clear" w:color="auto" w:fill="auto"/>
            <w:noWrap/>
            <w:vAlign w:val="center"/>
            <w:hideMark/>
          </w:tcPr>
          <w:p w14:paraId="0C0185A0" w14:textId="21A543C9" w:rsidR="002A54CE" w:rsidRPr="007F732D" w:rsidRDefault="002A54CE" w:rsidP="008723FE">
            <w:pPr>
              <w:jc w:val="center"/>
              <w:rPr>
                <w:rFonts w:ascii="Arial" w:hAnsi="Arial" w:cs="Arial"/>
                <w:sz w:val="18"/>
                <w:szCs w:val="18"/>
              </w:rPr>
            </w:pPr>
            <w:r w:rsidRPr="007F732D">
              <w:rPr>
                <w:rFonts w:ascii="Arial" w:hAnsi="Arial" w:cs="Arial"/>
                <w:sz w:val="18"/>
                <w:szCs w:val="18"/>
              </w:rPr>
              <w:t>8</w:t>
            </w:r>
            <w:r w:rsidR="00855588">
              <w:rPr>
                <w:rFonts w:ascii="Arial" w:hAnsi="Arial" w:cs="Arial"/>
                <w:sz w:val="18"/>
                <w:szCs w:val="18"/>
              </w:rPr>
              <w:t>.</w:t>
            </w:r>
            <w:r w:rsidRPr="007F732D">
              <w:rPr>
                <w:rFonts w:ascii="Arial" w:hAnsi="Arial" w:cs="Arial"/>
                <w:sz w:val="18"/>
                <w:szCs w:val="18"/>
              </w:rPr>
              <w:t>16</w:t>
            </w:r>
          </w:p>
        </w:tc>
        <w:tc>
          <w:tcPr>
            <w:tcW w:w="992" w:type="dxa"/>
            <w:tcBorders>
              <w:top w:val="nil"/>
              <w:left w:val="nil"/>
              <w:bottom w:val="single" w:sz="4" w:space="0" w:color="auto"/>
              <w:right w:val="single" w:sz="4" w:space="0" w:color="auto"/>
            </w:tcBorders>
            <w:shd w:val="clear" w:color="auto" w:fill="auto"/>
            <w:noWrap/>
            <w:vAlign w:val="center"/>
            <w:hideMark/>
          </w:tcPr>
          <w:p w14:paraId="317003B2" w14:textId="4245F9F3" w:rsidR="002A54CE" w:rsidRPr="007F732D" w:rsidRDefault="002A54CE" w:rsidP="008723FE">
            <w:pPr>
              <w:jc w:val="center"/>
              <w:rPr>
                <w:rFonts w:ascii="Arial" w:hAnsi="Arial" w:cs="Arial"/>
                <w:sz w:val="18"/>
                <w:szCs w:val="18"/>
              </w:rPr>
            </w:pPr>
            <w:r w:rsidRPr="007F732D">
              <w:rPr>
                <w:rFonts w:ascii="Arial" w:hAnsi="Arial" w:cs="Arial"/>
                <w:sz w:val="18"/>
                <w:szCs w:val="18"/>
              </w:rPr>
              <w:t>5</w:t>
            </w:r>
            <w:r w:rsidR="00855588">
              <w:rPr>
                <w:rFonts w:ascii="Arial" w:hAnsi="Arial" w:cs="Arial"/>
                <w:sz w:val="18"/>
                <w:szCs w:val="18"/>
              </w:rPr>
              <w:t>.</w:t>
            </w:r>
            <w:r w:rsidRPr="007F732D">
              <w:rPr>
                <w:rFonts w:ascii="Arial" w:hAnsi="Arial" w:cs="Arial"/>
                <w:sz w:val="18"/>
                <w:szCs w:val="18"/>
              </w:rPr>
              <w:t>59</w:t>
            </w:r>
          </w:p>
        </w:tc>
        <w:tc>
          <w:tcPr>
            <w:tcW w:w="978" w:type="dxa"/>
            <w:tcBorders>
              <w:top w:val="nil"/>
              <w:left w:val="nil"/>
              <w:bottom w:val="single" w:sz="4" w:space="0" w:color="auto"/>
              <w:right w:val="single" w:sz="4" w:space="0" w:color="auto"/>
            </w:tcBorders>
            <w:shd w:val="clear" w:color="auto" w:fill="auto"/>
            <w:noWrap/>
            <w:vAlign w:val="center"/>
            <w:hideMark/>
          </w:tcPr>
          <w:p w14:paraId="314AA2D3" w14:textId="46F98CDE" w:rsidR="002A54CE" w:rsidRPr="007F732D" w:rsidRDefault="002A54CE" w:rsidP="008723FE">
            <w:pPr>
              <w:jc w:val="center"/>
              <w:rPr>
                <w:rFonts w:ascii="Arial" w:hAnsi="Arial" w:cs="Arial"/>
                <w:sz w:val="18"/>
                <w:szCs w:val="18"/>
              </w:rPr>
            </w:pPr>
            <w:r w:rsidRPr="007F732D">
              <w:rPr>
                <w:rFonts w:ascii="Arial" w:hAnsi="Arial" w:cs="Arial"/>
                <w:sz w:val="18"/>
                <w:szCs w:val="18"/>
              </w:rPr>
              <w:t>5</w:t>
            </w:r>
            <w:r w:rsidR="00855588">
              <w:rPr>
                <w:rFonts w:ascii="Arial" w:hAnsi="Arial" w:cs="Arial"/>
                <w:sz w:val="18"/>
                <w:szCs w:val="18"/>
              </w:rPr>
              <w:t>.</w:t>
            </w:r>
            <w:r w:rsidRPr="007F732D">
              <w:rPr>
                <w:rFonts w:ascii="Arial" w:hAnsi="Arial" w:cs="Arial"/>
                <w:sz w:val="18"/>
                <w:szCs w:val="18"/>
              </w:rPr>
              <w:t>93</w:t>
            </w:r>
          </w:p>
        </w:tc>
      </w:tr>
      <w:tr w:rsidR="002A54CE" w:rsidRPr="00DF12F6" w14:paraId="05796634" w14:textId="77777777" w:rsidTr="00157429">
        <w:trPr>
          <w:trHeight w:val="104"/>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3D78D266" w14:textId="77777777" w:rsidR="002A54CE" w:rsidRPr="007F732D" w:rsidRDefault="002A54CE" w:rsidP="00A63DCF">
            <w:pPr>
              <w:rPr>
                <w:rFonts w:ascii="Arial" w:hAnsi="Arial" w:cs="Arial"/>
                <w:b/>
                <w:bCs/>
                <w:sz w:val="18"/>
                <w:szCs w:val="18"/>
              </w:rPr>
            </w:pPr>
            <w:r w:rsidRPr="007F732D">
              <w:rPr>
                <w:rFonts w:ascii="Arial" w:hAnsi="Arial" w:cs="Arial"/>
                <w:b/>
                <w:bCs/>
                <w:sz w:val="18"/>
                <w:szCs w:val="18"/>
              </w:rPr>
              <w:t>Taiwan</w:t>
            </w:r>
          </w:p>
        </w:tc>
        <w:tc>
          <w:tcPr>
            <w:tcW w:w="992" w:type="dxa"/>
            <w:tcBorders>
              <w:top w:val="nil"/>
              <w:left w:val="nil"/>
              <w:bottom w:val="single" w:sz="4" w:space="0" w:color="auto"/>
              <w:right w:val="single" w:sz="4" w:space="0" w:color="auto"/>
            </w:tcBorders>
            <w:shd w:val="clear" w:color="auto" w:fill="auto"/>
            <w:noWrap/>
            <w:vAlign w:val="center"/>
            <w:hideMark/>
          </w:tcPr>
          <w:p w14:paraId="5F2C5584" w14:textId="40541FEA" w:rsidR="002A54CE" w:rsidRPr="007F732D" w:rsidRDefault="002A54CE" w:rsidP="008723FE">
            <w:pPr>
              <w:jc w:val="center"/>
              <w:rPr>
                <w:rFonts w:ascii="Arial" w:hAnsi="Arial" w:cs="Arial"/>
                <w:sz w:val="18"/>
                <w:szCs w:val="18"/>
              </w:rPr>
            </w:pPr>
            <w:r w:rsidRPr="007F732D">
              <w:rPr>
                <w:rFonts w:ascii="Arial" w:hAnsi="Arial" w:cs="Arial"/>
                <w:sz w:val="18"/>
                <w:szCs w:val="18"/>
              </w:rPr>
              <w:t>9</w:t>
            </w:r>
            <w:r w:rsidR="00855588">
              <w:rPr>
                <w:rFonts w:ascii="Arial" w:hAnsi="Arial" w:cs="Arial"/>
                <w:sz w:val="18"/>
                <w:szCs w:val="18"/>
              </w:rPr>
              <w:t>.</w:t>
            </w:r>
            <w:r w:rsidRPr="007F732D">
              <w:rPr>
                <w:rFonts w:ascii="Arial" w:hAnsi="Arial" w:cs="Arial"/>
                <w:sz w:val="18"/>
                <w:szCs w:val="18"/>
              </w:rPr>
              <w:t>53</w:t>
            </w:r>
          </w:p>
        </w:tc>
        <w:tc>
          <w:tcPr>
            <w:tcW w:w="1134" w:type="dxa"/>
            <w:tcBorders>
              <w:top w:val="nil"/>
              <w:left w:val="nil"/>
              <w:bottom w:val="single" w:sz="4" w:space="0" w:color="auto"/>
              <w:right w:val="single" w:sz="4" w:space="0" w:color="auto"/>
            </w:tcBorders>
            <w:shd w:val="clear" w:color="auto" w:fill="auto"/>
            <w:noWrap/>
            <w:vAlign w:val="center"/>
            <w:hideMark/>
          </w:tcPr>
          <w:p w14:paraId="42D98737" w14:textId="56D628C7" w:rsidR="002A54CE" w:rsidRPr="007F732D" w:rsidRDefault="002A54CE" w:rsidP="008723FE">
            <w:pPr>
              <w:jc w:val="center"/>
              <w:rPr>
                <w:rFonts w:ascii="Arial" w:hAnsi="Arial" w:cs="Arial"/>
                <w:sz w:val="18"/>
                <w:szCs w:val="18"/>
              </w:rPr>
            </w:pPr>
            <w:r w:rsidRPr="007F732D">
              <w:rPr>
                <w:rFonts w:ascii="Arial" w:hAnsi="Arial" w:cs="Arial"/>
                <w:sz w:val="18"/>
                <w:szCs w:val="18"/>
              </w:rPr>
              <w:t>10</w:t>
            </w:r>
            <w:r w:rsidR="00855588">
              <w:rPr>
                <w:rFonts w:ascii="Arial" w:hAnsi="Arial" w:cs="Arial"/>
                <w:sz w:val="18"/>
                <w:szCs w:val="18"/>
              </w:rPr>
              <w:t>.</w:t>
            </w:r>
            <w:r w:rsidRPr="007F732D">
              <w:rPr>
                <w:rFonts w:ascii="Arial" w:hAnsi="Arial" w:cs="Arial"/>
                <w:sz w:val="18"/>
                <w:szCs w:val="18"/>
              </w:rPr>
              <w:t>57</w:t>
            </w:r>
          </w:p>
        </w:tc>
        <w:tc>
          <w:tcPr>
            <w:tcW w:w="1134" w:type="dxa"/>
            <w:tcBorders>
              <w:top w:val="nil"/>
              <w:left w:val="nil"/>
              <w:bottom w:val="single" w:sz="4" w:space="0" w:color="auto"/>
              <w:right w:val="single" w:sz="4" w:space="0" w:color="auto"/>
            </w:tcBorders>
            <w:shd w:val="clear" w:color="auto" w:fill="auto"/>
            <w:noWrap/>
            <w:vAlign w:val="center"/>
            <w:hideMark/>
          </w:tcPr>
          <w:p w14:paraId="2E250FCA" w14:textId="731DB31F" w:rsidR="002A54CE" w:rsidRPr="007F732D" w:rsidRDefault="002A54CE" w:rsidP="008723FE">
            <w:pPr>
              <w:jc w:val="center"/>
              <w:rPr>
                <w:rFonts w:ascii="Arial" w:hAnsi="Arial" w:cs="Arial"/>
                <w:sz w:val="18"/>
                <w:szCs w:val="18"/>
              </w:rPr>
            </w:pPr>
            <w:r w:rsidRPr="007F732D">
              <w:rPr>
                <w:rFonts w:ascii="Arial" w:hAnsi="Arial" w:cs="Arial"/>
                <w:sz w:val="18"/>
                <w:szCs w:val="18"/>
              </w:rPr>
              <w:t>9</w:t>
            </w:r>
            <w:r w:rsidR="00855588">
              <w:rPr>
                <w:rFonts w:ascii="Arial" w:hAnsi="Arial" w:cs="Arial"/>
                <w:sz w:val="18"/>
                <w:szCs w:val="18"/>
              </w:rPr>
              <w:t>.</w:t>
            </w:r>
            <w:r w:rsidRPr="007F732D">
              <w:rPr>
                <w:rFonts w:ascii="Arial" w:hAnsi="Arial" w:cs="Arial"/>
                <w:sz w:val="18"/>
                <w:szCs w:val="18"/>
              </w:rPr>
              <w:t>41</w:t>
            </w:r>
          </w:p>
        </w:tc>
        <w:tc>
          <w:tcPr>
            <w:tcW w:w="992" w:type="dxa"/>
            <w:tcBorders>
              <w:top w:val="nil"/>
              <w:left w:val="nil"/>
              <w:bottom w:val="single" w:sz="4" w:space="0" w:color="auto"/>
              <w:right w:val="single" w:sz="4" w:space="0" w:color="auto"/>
            </w:tcBorders>
            <w:shd w:val="clear" w:color="auto" w:fill="auto"/>
            <w:noWrap/>
            <w:vAlign w:val="center"/>
            <w:hideMark/>
          </w:tcPr>
          <w:p w14:paraId="5EDB84CF" w14:textId="6978BA41" w:rsidR="002A54CE" w:rsidRPr="007F732D" w:rsidRDefault="002A54CE" w:rsidP="008723FE">
            <w:pPr>
              <w:jc w:val="center"/>
              <w:rPr>
                <w:rFonts w:ascii="Arial" w:hAnsi="Arial" w:cs="Arial"/>
                <w:sz w:val="18"/>
                <w:szCs w:val="18"/>
              </w:rPr>
            </w:pPr>
            <w:r w:rsidRPr="007F732D">
              <w:rPr>
                <w:rFonts w:ascii="Arial" w:hAnsi="Arial" w:cs="Arial"/>
                <w:sz w:val="18"/>
                <w:szCs w:val="18"/>
              </w:rPr>
              <w:t>9</w:t>
            </w:r>
            <w:r w:rsidR="00855588">
              <w:rPr>
                <w:rFonts w:ascii="Arial" w:hAnsi="Arial" w:cs="Arial"/>
                <w:sz w:val="18"/>
                <w:szCs w:val="18"/>
              </w:rPr>
              <w:t>.</w:t>
            </w:r>
            <w:r w:rsidRPr="007F732D">
              <w:rPr>
                <w:rFonts w:ascii="Arial" w:hAnsi="Arial" w:cs="Arial"/>
                <w:sz w:val="18"/>
                <w:szCs w:val="18"/>
              </w:rPr>
              <w:t>14</w:t>
            </w:r>
          </w:p>
        </w:tc>
        <w:tc>
          <w:tcPr>
            <w:tcW w:w="978" w:type="dxa"/>
            <w:tcBorders>
              <w:top w:val="nil"/>
              <w:left w:val="nil"/>
              <w:bottom w:val="single" w:sz="4" w:space="0" w:color="auto"/>
              <w:right w:val="single" w:sz="4" w:space="0" w:color="auto"/>
            </w:tcBorders>
            <w:shd w:val="clear" w:color="auto" w:fill="auto"/>
            <w:noWrap/>
            <w:vAlign w:val="center"/>
            <w:hideMark/>
          </w:tcPr>
          <w:p w14:paraId="2682DD88" w14:textId="06C19752" w:rsidR="002A54CE" w:rsidRPr="007F732D" w:rsidRDefault="002A54CE" w:rsidP="008723FE">
            <w:pPr>
              <w:jc w:val="center"/>
              <w:rPr>
                <w:rFonts w:ascii="Arial" w:hAnsi="Arial" w:cs="Arial"/>
                <w:sz w:val="18"/>
                <w:szCs w:val="18"/>
              </w:rPr>
            </w:pPr>
            <w:r w:rsidRPr="007F732D">
              <w:rPr>
                <w:rFonts w:ascii="Arial" w:hAnsi="Arial" w:cs="Arial"/>
                <w:sz w:val="18"/>
                <w:szCs w:val="18"/>
              </w:rPr>
              <w:t>8</w:t>
            </w:r>
            <w:r w:rsidR="00855588">
              <w:rPr>
                <w:rFonts w:ascii="Arial" w:hAnsi="Arial" w:cs="Arial"/>
                <w:sz w:val="18"/>
                <w:szCs w:val="18"/>
              </w:rPr>
              <w:t>.</w:t>
            </w:r>
            <w:r w:rsidRPr="007F732D">
              <w:rPr>
                <w:rFonts w:ascii="Arial" w:hAnsi="Arial" w:cs="Arial"/>
                <w:sz w:val="18"/>
                <w:szCs w:val="18"/>
              </w:rPr>
              <w:t>76</w:t>
            </w:r>
          </w:p>
        </w:tc>
      </w:tr>
      <w:tr w:rsidR="002A54CE" w:rsidRPr="00DF12F6" w14:paraId="2E1A95D8" w14:textId="77777777" w:rsidTr="00157429">
        <w:trPr>
          <w:trHeight w:val="184"/>
          <w:jc w:val="center"/>
        </w:trPr>
        <w:tc>
          <w:tcPr>
            <w:tcW w:w="1742" w:type="dxa"/>
            <w:tcBorders>
              <w:top w:val="nil"/>
              <w:left w:val="single" w:sz="4" w:space="0" w:color="auto"/>
              <w:bottom w:val="single" w:sz="4" w:space="0" w:color="auto"/>
              <w:right w:val="single" w:sz="4" w:space="0" w:color="auto"/>
            </w:tcBorders>
            <w:shd w:val="clear" w:color="auto" w:fill="auto"/>
            <w:noWrap/>
            <w:vAlign w:val="center"/>
            <w:hideMark/>
          </w:tcPr>
          <w:p w14:paraId="1D528A6C" w14:textId="77777777" w:rsidR="002A54CE" w:rsidRPr="007F732D" w:rsidRDefault="002A54CE" w:rsidP="00A63DCF">
            <w:pPr>
              <w:rPr>
                <w:rFonts w:ascii="Arial" w:hAnsi="Arial" w:cs="Arial"/>
                <w:b/>
                <w:bCs/>
                <w:sz w:val="18"/>
                <w:szCs w:val="18"/>
              </w:rPr>
            </w:pPr>
            <w:r w:rsidRPr="007F732D">
              <w:rPr>
                <w:rFonts w:ascii="Arial" w:hAnsi="Arial" w:cs="Arial"/>
                <w:b/>
                <w:bCs/>
                <w:sz w:val="18"/>
                <w:szCs w:val="18"/>
              </w:rPr>
              <w:t>Rest of the World</w:t>
            </w:r>
          </w:p>
        </w:tc>
        <w:tc>
          <w:tcPr>
            <w:tcW w:w="992" w:type="dxa"/>
            <w:tcBorders>
              <w:top w:val="nil"/>
              <w:left w:val="nil"/>
              <w:bottom w:val="single" w:sz="4" w:space="0" w:color="auto"/>
              <w:right w:val="single" w:sz="4" w:space="0" w:color="auto"/>
            </w:tcBorders>
            <w:shd w:val="clear" w:color="auto" w:fill="auto"/>
            <w:noWrap/>
            <w:vAlign w:val="center"/>
            <w:hideMark/>
          </w:tcPr>
          <w:p w14:paraId="02950730" w14:textId="0D27CF63" w:rsidR="002A54CE" w:rsidRPr="007F732D" w:rsidRDefault="002A54CE" w:rsidP="008723FE">
            <w:pPr>
              <w:jc w:val="center"/>
              <w:rPr>
                <w:rFonts w:ascii="Arial" w:hAnsi="Arial" w:cs="Arial"/>
                <w:sz w:val="18"/>
                <w:szCs w:val="18"/>
              </w:rPr>
            </w:pPr>
            <w:r w:rsidRPr="007F732D">
              <w:rPr>
                <w:rFonts w:ascii="Arial" w:hAnsi="Arial" w:cs="Arial"/>
                <w:sz w:val="18"/>
                <w:szCs w:val="18"/>
              </w:rPr>
              <w:t>2</w:t>
            </w:r>
            <w:r w:rsidR="00855588">
              <w:rPr>
                <w:rFonts w:ascii="Arial" w:hAnsi="Arial" w:cs="Arial"/>
                <w:sz w:val="18"/>
                <w:szCs w:val="18"/>
              </w:rPr>
              <w:t>.</w:t>
            </w:r>
            <w:r w:rsidRPr="007F732D">
              <w:rPr>
                <w:rFonts w:ascii="Arial" w:hAnsi="Arial" w:cs="Arial"/>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14:paraId="2A416786" w14:textId="32B7362A" w:rsidR="002A54CE" w:rsidRPr="007F732D" w:rsidRDefault="002A54CE" w:rsidP="008723FE">
            <w:pPr>
              <w:jc w:val="center"/>
              <w:rPr>
                <w:rFonts w:ascii="Arial" w:hAnsi="Arial" w:cs="Arial"/>
                <w:sz w:val="18"/>
                <w:szCs w:val="18"/>
              </w:rPr>
            </w:pPr>
            <w:r w:rsidRPr="007F732D">
              <w:rPr>
                <w:rFonts w:ascii="Arial" w:hAnsi="Arial" w:cs="Arial"/>
                <w:sz w:val="18"/>
                <w:szCs w:val="18"/>
              </w:rPr>
              <w:t>2</w:t>
            </w:r>
            <w:r w:rsidR="00855588">
              <w:rPr>
                <w:rFonts w:ascii="Arial" w:hAnsi="Arial" w:cs="Arial"/>
                <w:sz w:val="18"/>
                <w:szCs w:val="18"/>
              </w:rPr>
              <w:t>.</w:t>
            </w:r>
            <w:r w:rsidRPr="007F732D">
              <w:rPr>
                <w:rFonts w:ascii="Arial" w:hAnsi="Arial" w:cs="Arial"/>
                <w:sz w:val="18"/>
                <w:szCs w:val="18"/>
              </w:rPr>
              <w:t>08</w:t>
            </w:r>
          </w:p>
        </w:tc>
        <w:tc>
          <w:tcPr>
            <w:tcW w:w="1134" w:type="dxa"/>
            <w:tcBorders>
              <w:top w:val="nil"/>
              <w:left w:val="nil"/>
              <w:bottom w:val="single" w:sz="4" w:space="0" w:color="auto"/>
              <w:right w:val="single" w:sz="4" w:space="0" w:color="auto"/>
            </w:tcBorders>
            <w:shd w:val="clear" w:color="auto" w:fill="auto"/>
            <w:noWrap/>
            <w:vAlign w:val="center"/>
            <w:hideMark/>
          </w:tcPr>
          <w:p w14:paraId="2A2D442B" w14:textId="26405302" w:rsidR="002A54CE" w:rsidRPr="007F732D" w:rsidRDefault="002A54CE" w:rsidP="008723FE">
            <w:pPr>
              <w:jc w:val="center"/>
              <w:rPr>
                <w:rFonts w:ascii="Arial" w:hAnsi="Arial" w:cs="Arial"/>
                <w:sz w:val="18"/>
                <w:szCs w:val="18"/>
              </w:rPr>
            </w:pPr>
            <w:r w:rsidRPr="007F732D">
              <w:rPr>
                <w:rFonts w:ascii="Arial" w:hAnsi="Arial" w:cs="Arial"/>
                <w:sz w:val="18"/>
                <w:szCs w:val="18"/>
              </w:rPr>
              <w:t>2</w:t>
            </w:r>
            <w:r w:rsidR="00855588">
              <w:rPr>
                <w:rFonts w:ascii="Arial" w:hAnsi="Arial" w:cs="Arial"/>
                <w:sz w:val="18"/>
                <w:szCs w:val="18"/>
              </w:rPr>
              <w:t>.</w:t>
            </w:r>
            <w:r w:rsidRPr="007F732D">
              <w:rPr>
                <w:rFonts w:ascii="Arial" w:hAnsi="Arial" w:cs="Arial"/>
                <w:sz w:val="18"/>
                <w:szCs w:val="18"/>
              </w:rPr>
              <w:t>15</w:t>
            </w:r>
          </w:p>
        </w:tc>
        <w:tc>
          <w:tcPr>
            <w:tcW w:w="992" w:type="dxa"/>
            <w:tcBorders>
              <w:top w:val="nil"/>
              <w:left w:val="nil"/>
              <w:bottom w:val="single" w:sz="4" w:space="0" w:color="auto"/>
              <w:right w:val="single" w:sz="4" w:space="0" w:color="auto"/>
            </w:tcBorders>
            <w:shd w:val="clear" w:color="auto" w:fill="auto"/>
            <w:noWrap/>
            <w:vAlign w:val="center"/>
            <w:hideMark/>
          </w:tcPr>
          <w:p w14:paraId="259CF0DA" w14:textId="51815172" w:rsidR="002A54CE" w:rsidRPr="007F732D" w:rsidRDefault="002A54CE" w:rsidP="008723FE">
            <w:pPr>
              <w:jc w:val="center"/>
              <w:rPr>
                <w:rFonts w:ascii="Arial" w:hAnsi="Arial" w:cs="Arial"/>
                <w:sz w:val="18"/>
                <w:szCs w:val="18"/>
              </w:rPr>
            </w:pPr>
            <w:r w:rsidRPr="007F732D">
              <w:rPr>
                <w:rFonts w:ascii="Arial" w:hAnsi="Arial" w:cs="Arial"/>
                <w:sz w:val="18"/>
                <w:szCs w:val="18"/>
              </w:rPr>
              <w:t>1</w:t>
            </w:r>
            <w:r w:rsidR="00855588">
              <w:rPr>
                <w:rFonts w:ascii="Arial" w:hAnsi="Arial" w:cs="Arial"/>
                <w:sz w:val="18"/>
                <w:szCs w:val="18"/>
              </w:rPr>
              <w:t>.</w:t>
            </w:r>
            <w:r w:rsidRPr="007F732D">
              <w:rPr>
                <w:rFonts w:ascii="Arial" w:hAnsi="Arial" w:cs="Arial"/>
                <w:sz w:val="18"/>
                <w:szCs w:val="18"/>
              </w:rPr>
              <w:t>99</w:t>
            </w:r>
          </w:p>
        </w:tc>
        <w:tc>
          <w:tcPr>
            <w:tcW w:w="978" w:type="dxa"/>
            <w:tcBorders>
              <w:top w:val="nil"/>
              <w:left w:val="nil"/>
              <w:bottom w:val="single" w:sz="4" w:space="0" w:color="auto"/>
              <w:right w:val="single" w:sz="4" w:space="0" w:color="auto"/>
            </w:tcBorders>
            <w:shd w:val="clear" w:color="auto" w:fill="auto"/>
            <w:noWrap/>
            <w:vAlign w:val="center"/>
            <w:hideMark/>
          </w:tcPr>
          <w:p w14:paraId="10D09CC3" w14:textId="5055324A" w:rsidR="002A54CE" w:rsidRPr="007F732D" w:rsidRDefault="002A54CE" w:rsidP="008723FE">
            <w:pPr>
              <w:jc w:val="center"/>
              <w:rPr>
                <w:rFonts w:ascii="Arial" w:hAnsi="Arial" w:cs="Arial"/>
                <w:sz w:val="18"/>
                <w:szCs w:val="18"/>
              </w:rPr>
            </w:pPr>
            <w:r w:rsidRPr="007F732D">
              <w:rPr>
                <w:rFonts w:ascii="Arial" w:hAnsi="Arial" w:cs="Arial"/>
                <w:sz w:val="18"/>
                <w:szCs w:val="18"/>
              </w:rPr>
              <w:t>2</w:t>
            </w:r>
            <w:r w:rsidR="00855588">
              <w:rPr>
                <w:rFonts w:ascii="Arial" w:hAnsi="Arial" w:cs="Arial"/>
                <w:sz w:val="18"/>
                <w:szCs w:val="18"/>
              </w:rPr>
              <w:t>.</w:t>
            </w:r>
            <w:r w:rsidRPr="007F732D">
              <w:rPr>
                <w:rFonts w:ascii="Arial" w:hAnsi="Arial" w:cs="Arial"/>
                <w:sz w:val="18"/>
                <w:szCs w:val="18"/>
              </w:rPr>
              <w:t>50</w:t>
            </w:r>
          </w:p>
        </w:tc>
      </w:tr>
    </w:tbl>
    <w:p w14:paraId="497997BE" w14:textId="77777777" w:rsidR="00DF041A" w:rsidRPr="006663CF" w:rsidRDefault="00DF041A" w:rsidP="00D369BF">
      <w:pPr>
        <w:pStyle w:val="Footnote"/>
      </w:pPr>
    </w:p>
    <w:p w14:paraId="58BF31D5" w14:textId="216D6269" w:rsidR="00DF041A" w:rsidRPr="006663CF" w:rsidRDefault="00DF041A" w:rsidP="00D369BF">
      <w:pPr>
        <w:pStyle w:val="Footnote"/>
        <w:rPr>
          <w:bCs/>
        </w:rPr>
      </w:pPr>
      <w:r w:rsidRPr="006663CF">
        <w:rPr>
          <w:bCs/>
        </w:rPr>
        <w:t xml:space="preserve">Source: </w:t>
      </w:r>
      <w:r w:rsidR="005C466D" w:rsidRPr="005C466D">
        <w:rPr>
          <w:bCs/>
        </w:rPr>
        <w:t xml:space="preserve">Created by the case authors based on </w:t>
      </w:r>
      <w:r w:rsidR="002A54CE" w:rsidRPr="002A54CE">
        <w:rPr>
          <w:bCs/>
        </w:rPr>
        <w:t>“Semiconductor Equipment Sales Forecast: $37 Billion in 2015 and $38 Billion in 2016</w:t>
      </w:r>
      <w:r w:rsidR="00914DB5">
        <w:rPr>
          <w:bCs/>
        </w:rPr>
        <w:t>,”</w:t>
      </w:r>
      <w:r w:rsidR="002A54CE" w:rsidRPr="002A54CE">
        <w:rPr>
          <w:bCs/>
        </w:rPr>
        <w:t xml:space="preserve"> SEMI, December 15, 2015, accessed </w:t>
      </w:r>
      <w:r w:rsidR="00914DB5">
        <w:rPr>
          <w:bCs/>
        </w:rPr>
        <w:t>December 3, 2016</w:t>
      </w:r>
      <w:r w:rsidR="002A54CE" w:rsidRPr="002A54CE">
        <w:rPr>
          <w:bCs/>
        </w:rPr>
        <w:t>, www.semi.org/en/node/60181</w:t>
      </w:r>
      <w:r w:rsidR="00914DB5">
        <w:rPr>
          <w:bCs/>
        </w:rPr>
        <w:t>.</w:t>
      </w:r>
    </w:p>
    <w:p w14:paraId="5E446061" w14:textId="77777777" w:rsidR="007D5DDB" w:rsidRDefault="007D5DDB" w:rsidP="0035496F">
      <w:pPr>
        <w:pStyle w:val="ExhibitHeading"/>
      </w:pPr>
    </w:p>
    <w:p w14:paraId="1DEFE126" w14:textId="77777777" w:rsidR="00073B29" w:rsidRDefault="00073B29" w:rsidP="0035496F">
      <w:pPr>
        <w:pStyle w:val="ExhibitHeading"/>
      </w:pPr>
    </w:p>
    <w:p w14:paraId="3471DE27" w14:textId="36DD2820" w:rsidR="0035496F" w:rsidRDefault="0035496F" w:rsidP="007D5DDB">
      <w:pPr>
        <w:pStyle w:val="ExhibitHeading"/>
      </w:pPr>
      <w:r w:rsidRPr="00B90173">
        <w:t>Exhibit 4: Revenue of major SME players (</w:t>
      </w:r>
      <w:r w:rsidR="00855588">
        <w:t>US</w:t>
      </w:r>
      <w:r w:rsidRPr="00B90173">
        <w:t>$ Million</w:t>
      </w:r>
      <w:r w:rsidR="00855588">
        <w:t>s</w:t>
      </w:r>
      <w:r w:rsidRPr="00B90173">
        <w:t>)</w:t>
      </w:r>
    </w:p>
    <w:p w14:paraId="24DF3572" w14:textId="77777777" w:rsidR="007D5DDB" w:rsidRPr="007D5DDB" w:rsidRDefault="007D5DDB" w:rsidP="007D5DDB">
      <w:pPr>
        <w:pStyle w:val="ExhibitHeading"/>
      </w:pPr>
    </w:p>
    <w:tbl>
      <w:tblPr>
        <w:tblStyle w:val="GridTable6Colorful1"/>
        <w:tblW w:w="9085" w:type="dxa"/>
        <w:jc w:val="center"/>
        <w:tblLook w:val="04A0" w:firstRow="1" w:lastRow="0" w:firstColumn="1" w:lastColumn="0" w:noHBand="0" w:noVBand="1"/>
      </w:tblPr>
      <w:tblGrid>
        <w:gridCol w:w="681"/>
        <w:gridCol w:w="1876"/>
        <w:gridCol w:w="2434"/>
        <w:gridCol w:w="1502"/>
        <w:gridCol w:w="1352"/>
        <w:gridCol w:w="1240"/>
      </w:tblGrid>
      <w:tr w:rsidR="007D5DDB" w:rsidRPr="000A7D60" w14:paraId="4049E7BC" w14:textId="77777777" w:rsidTr="007D5DDB">
        <w:trPr>
          <w:cnfStyle w:val="100000000000" w:firstRow="1" w:lastRow="0" w:firstColumn="0" w:lastColumn="0" w:oddVBand="0" w:evenVBand="0" w:oddHBand="0"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681" w:type="dxa"/>
            <w:vAlign w:val="center"/>
            <w:hideMark/>
          </w:tcPr>
          <w:p w14:paraId="0F643B17" w14:textId="77777777" w:rsidR="0035496F" w:rsidRPr="000A7D60" w:rsidRDefault="0035496F" w:rsidP="008723FE">
            <w:pPr>
              <w:pStyle w:val="ExhibitText"/>
              <w:jc w:val="center"/>
              <w:rPr>
                <w:sz w:val="19"/>
                <w:szCs w:val="19"/>
                <w:lang w:val="en-US"/>
              </w:rPr>
            </w:pPr>
            <w:r w:rsidRPr="000A7D60">
              <w:rPr>
                <w:sz w:val="19"/>
                <w:szCs w:val="19"/>
                <w:lang w:val="en-US"/>
              </w:rPr>
              <w:t>Rank</w:t>
            </w:r>
          </w:p>
        </w:tc>
        <w:tc>
          <w:tcPr>
            <w:tcW w:w="1876" w:type="dxa"/>
            <w:vAlign w:val="center"/>
            <w:hideMark/>
          </w:tcPr>
          <w:p w14:paraId="133B8852" w14:textId="77777777" w:rsidR="0035496F" w:rsidRPr="000A7D60" w:rsidRDefault="0035496F" w:rsidP="008723FE">
            <w:pPr>
              <w:pStyle w:val="ExhibitText"/>
              <w:jc w:val="center"/>
              <w:cnfStyle w:val="100000000000" w:firstRow="1" w:lastRow="0" w:firstColumn="0" w:lastColumn="0" w:oddVBand="0" w:evenVBand="0" w:oddHBand="0" w:evenHBand="0" w:firstRowFirstColumn="0" w:firstRowLastColumn="0" w:lastRowFirstColumn="0" w:lastRowLastColumn="0"/>
              <w:rPr>
                <w:sz w:val="19"/>
                <w:szCs w:val="19"/>
                <w:lang w:val="en-US"/>
              </w:rPr>
            </w:pPr>
            <w:r w:rsidRPr="000A7D60">
              <w:rPr>
                <w:sz w:val="19"/>
                <w:szCs w:val="19"/>
                <w:lang w:val="en-US"/>
              </w:rPr>
              <w:t>Company</w:t>
            </w:r>
          </w:p>
        </w:tc>
        <w:tc>
          <w:tcPr>
            <w:tcW w:w="2434" w:type="dxa"/>
            <w:vAlign w:val="center"/>
          </w:tcPr>
          <w:p w14:paraId="6DE976A5" w14:textId="77777777" w:rsidR="0035496F" w:rsidRPr="000A7D60" w:rsidRDefault="0035496F" w:rsidP="008723FE">
            <w:pPr>
              <w:pStyle w:val="ExhibitText"/>
              <w:jc w:val="center"/>
              <w:cnfStyle w:val="100000000000" w:firstRow="1" w:lastRow="0" w:firstColumn="0" w:lastColumn="0" w:oddVBand="0" w:evenVBand="0" w:oddHBand="0" w:evenHBand="0" w:firstRowFirstColumn="0" w:firstRowLastColumn="0" w:lastRowFirstColumn="0" w:lastRowLastColumn="0"/>
              <w:rPr>
                <w:sz w:val="19"/>
                <w:szCs w:val="19"/>
                <w:lang w:val="en-US"/>
              </w:rPr>
            </w:pPr>
            <w:r w:rsidRPr="000A7D60">
              <w:rPr>
                <w:sz w:val="19"/>
                <w:szCs w:val="19"/>
                <w:lang w:val="en-US"/>
              </w:rPr>
              <w:t>Company Specialization</w:t>
            </w:r>
          </w:p>
        </w:tc>
        <w:tc>
          <w:tcPr>
            <w:tcW w:w="1502" w:type="dxa"/>
            <w:vAlign w:val="center"/>
            <w:hideMark/>
          </w:tcPr>
          <w:p w14:paraId="3079955F" w14:textId="6A3E6635" w:rsidR="0035496F" w:rsidRPr="000A7D60" w:rsidRDefault="0035496F" w:rsidP="007D5DDB">
            <w:pPr>
              <w:pStyle w:val="ExhibitText"/>
              <w:jc w:val="center"/>
              <w:cnfStyle w:val="100000000000" w:firstRow="1" w:lastRow="0" w:firstColumn="0" w:lastColumn="0" w:oddVBand="0" w:evenVBand="0" w:oddHBand="0" w:evenHBand="0" w:firstRowFirstColumn="0" w:firstRowLastColumn="0" w:lastRowFirstColumn="0" w:lastRowLastColumn="0"/>
              <w:rPr>
                <w:sz w:val="19"/>
                <w:szCs w:val="19"/>
                <w:lang w:val="en-US"/>
              </w:rPr>
            </w:pPr>
            <w:r w:rsidRPr="000A7D60">
              <w:rPr>
                <w:sz w:val="19"/>
                <w:szCs w:val="19"/>
                <w:lang w:val="en-US"/>
              </w:rPr>
              <w:t xml:space="preserve">2013 Revenue </w:t>
            </w:r>
            <w:r w:rsidRPr="00855588">
              <w:rPr>
                <w:sz w:val="19"/>
                <w:szCs w:val="19"/>
              </w:rPr>
              <w:t>(</w:t>
            </w:r>
            <w:r w:rsidR="00981F20">
              <w:rPr>
                <w:sz w:val="19"/>
                <w:szCs w:val="19"/>
              </w:rPr>
              <w:t>US</w:t>
            </w:r>
            <w:r w:rsidRPr="00855588">
              <w:rPr>
                <w:sz w:val="19"/>
                <w:szCs w:val="19"/>
              </w:rPr>
              <w:t>$ Million</w:t>
            </w:r>
            <w:r w:rsidR="00981F20">
              <w:rPr>
                <w:sz w:val="19"/>
                <w:szCs w:val="19"/>
              </w:rPr>
              <w:t>s</w:t>
            </w:r>
            <w:r w:rsidRPr="00855588">
              <w:rPr>
                <w:sz w:val="19"/>
                <w:szCs w:val="19"/>
              </w:rPr>
              <w:t>)</w:t>
            </w:r>
          </w:p>
        </w:tc>
        <w:tc>
          <w:tcPr>
            <w:tcW w:w="1352" w:type="dxa"/>
            <w:vAlign w:val="center"/>
            <w:hideMark/>
          </w:tcPr>
          <w:p w14:paraId="43643A0C" w14:textId="77777777" w:rsidR="0035496F" w:rsidRPr="000A7D60" w:rsidRDefault="0035496F" w:rsidP="008723FE">
            <w:pPr>
              <w:pStyle w:val="ExhibitText"/>
              <w:jc w:val="center"/>
              <w:cnfStyle w:val="100000000000" w:firstRow="1" w:lastRow="0" w:firstColumn="0" w:lastColumn="0" w:oddVBand="0" w:evenVBand="0" w:oddHBand="0" w:evenHBand="0" w:firstRowFirstColumn="0" w:firstRowLastColumn="0" w:lastRowFirstColumn="0" w:lastRowLastColumn="0"/>
              <w:rPr>
                <w:sz w:val="19"/>
                <w:szCs w:val="19"/>
                <w:lang w:val="en-US"/>
              </w:rPr>
            </w:pPr>
            <w:r w:rsidRPr="000A7D60">
              <w:rPr>
                <w:sz w:val="19"/>
                <w:szCs w:val="19"/>
                <w:lang w:val="en-US"/>
              </w:rPr>
              <w:t>2013 Market Share (%)</w:t>
            </w:r>
          </w:p>
        </w:tc>
        <w:tc>
          <w:tcPr>
            <w:tcW w:w="1240" w:type="dxa"/>
            <w:vAlign w:val="center"/>
            <w:hideMark/>
          </w:tcPr>
          <w:p w14:paraId="7713C4B5" w14:textId="5D592AEA" w:rsidR="0035496F" w:rsidRPr="000A7D60" w:rsidRDefault="0035496F" w:rsidP="008723FE">
            <w:pPr>
              <w:pStyle w:val="ExhibitText"/>
              <w:jc w:val="center"/>
              <w:cnfStyle w:val="100000000000" w:firstRow="1" w:lastRow="0" w:firstColumn="0" w:lastColumn="0" w:oddVBand="0" w:evenVBand="0" w:oddHBand="0" w:evenHBand="0" w:firstRowFirstColumn="0" w:firstRowLastColumn="0" w:lastRowFirstColumn="0" w:lastRowLastColumn="0"/>
              <w:rPr>
                <w:b w:val="0"/>
                <w:bCs w:val="0"/>
                <w:sz w:val="19"/>
                <w:szCs w:val="19"/>
                <w:lang w:val="en-US"/>
              </w:rPr>
            </w:pPr>
            <w:r w:rsidRPr="000A7D60">
              <w:rPr>
                <w:sz w:val="19"/>
                <w:szCs w:val="19"/>
                <w:lang w:val="en-US"/>
              </w:rPr>
              <w:t>2012</w:t>
            </w:r>
            <w:r w:rsidR="00855588">
              <w:rPr>
                <w:sz w:val="19"/>
                <w:szCs w:val="19"/>
                <w:lang w:val="en-US"/>
              </w:rPr>
              <w:t>–</w:t>
            </w:r>
            <w:r w:rsidRPr="000A7D60">
              <w:rPr>
                <w:sz w:val="19"/>
                <w:szCs w:val="19"/>
                <w:lang w:val="en-US"/>
              </w:rPr>
              <w:t>2013</w:t>
            </w:r>
          </w:p>
          <w:p w14:paraId="4C6E589A" w14:textId="77777777" w:rsidR="0035496F" w:rsidRPr="000A7D60" w:rsidRDefault="0035496F" w:rsidP="008723FE">
            <w:pPr>
              <w:pStyle w:val="ExhibitText"/>
              <w:jc w:val="center"/>
              <w:cnfStyle w:val="100000000000" w:firstRow="1" w:lastRow="0" w:firstColumn="0" w:lastColumn="0" w:oddVBand="0" w:evenVBand="0" w:oddHBand="0" w:evenHBand="0" w:firstRowFirstColumn="0" w:firstRowLastColumn="0" w:lastRowFirstColumn="0" w:lastRowLastColumn="0"/>
              <w:rPr>
                <w:sz w:val="19"/>
                <w:szCs w:val="19"/>
                <w:lang w:val="en-US"/>
              </w:rPr>
            </w:pPr>
            <w:r w:rsidRPr="000A7D60">
              <w:rPr>
                <w:sz w:val="19"/>
                <w:szCs w:val="19"/>
                <w:lang w:val="en-US"/>
              </w:rPr>
              <w:t>Growth (%)</w:t>
            </w:r>
          </w:p>
        </w:tc>
      </w:tr>
      <w:tr w:rsidR="007D5DDB" w:rsidRPr="000A7D60" w14:paraId="1B370F3B" w14:textId="77777777" w:rsidTr="00740F52">
        <w:trPr>
          <w:cnfStyle w:val="000000100000" w:firstRow="0" w:lastRow="0" w:firstColumn="0" w:lastColumn="0" w:oddVBand="0" w:evenVBand="0" w:oddHBand="1" w:evenHBand="0" w:firstRowFirstColumn="0" w:firstRowLastColumn="0" w:lastRowFirstColumn="0" w:lastRowLastColumn="0"/>
          <w:trHeight w:val="16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6E4BDE54" w14:textId="77777777" w:rsidR="0035496F" w:rsidRPr="00073B29" w:rsidRDefault="0035496F" w:rsidP="00740F52">
            <w:pPr>
              <w:pStyle w:val="ExhibitText"/>
              <w:jc w:val="center"/>
              <w:rPr>
                <w:sz w:val="18"/>
                <w:szCs w:val="18"/>
                <w:lang w:val="en-US"/>
              </w:rPr>
            </w:pPr>
            <w:r w:rsidRPr="00073B29">
              <w:rPr>
                <w:sz w:val="18"/>
                <w:szCs w:val="18"/>
                <w:lang w:val="en-US"/>
              </w:rPr>
              <w:t>1</w:t>
            </w:r>
          </w:p>
        </w:tc>
        <w:tc>
          <w:tcPr>
            <w:tcW w:w="1876" w:type="dxa"/>
            <w:shd w:val="clear" w:color="auto" w:fill="auto"/>
            <w:vAlign w:val="center"/>
            <w:hideMark/>
          </w:tcPr>
          <w:p w14:paraId="6F9D1DD8" w14:textId="62DEDC9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Applied Materials</w:t>
            </w:r>
            <w:r w:rsidR="00D31F09">
              <w:rPr>
                <w:sz w:val="18"/>
                <w:szCs w:val="18"/>
                <w:lang w:val="en-US"/>
              </w:rPr>
              <w:t xml:space="preserve"> Inc.</w:t>
            </w:r>
          </w:p>
        </w:tc>
        <w:tc>
          <w:tcPr>
            <w:tcW w:w="2434" w:type="dxa"/>
            <w:shd w:val="clear" w:color="auto" w:fill="auto"/>
            <w:vAlign w:val="center"/>
          </w:tcPr>
          <w:p w14:paraId="798EE5DF" w14:textId="21870FCC"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 xml:space="preserve">Chemical </w:t>
            </w:r>
            <w:r w:rsidR="00B114A3">
              <w:rPr>
                <w:sz w:val="18"/>
                <w:szCs w:val="18"/>
                <w:lang w:val="en-US"/>
              </w:rPr>
              <w:t>m</w:t>
            </w:r>
            <w:r w:rsidR="00B114A3" w:rsidRPr="00073B29">
              <w:rPr>
                <w:sz w:val="18"/>
                <w:szCs w:val="18"/>
                <w:lang w:val="en-US"/>
              </w:rPr>
              <w:t xml:space="preserve">echanical </w:t>
            </w:r>
            <w:r w:rsidR="00B114A3">
              <w:rPr>
                <w:sz w:val="18"/>
                <w:szCs w:val="18"/>
                <w:lang w:val="en-US"/>
              </w:rPr>
              <w:t>p</w:t>
            </w:r>
            <w:r w:rsidR="00B114A3" w:rsidRPr="00073B29">
              <w:rPr>
                <w:sz w:val="18"/>
                <w:szCs w:val="18"/>
                <w:lang w:val="en-US"/>
              </w:rPr>
              <w:t>lanarization</w:t>
            </w:r>
          </w:p>
        </w:tc>
        <w:tc>
          <w:tcPr>
            <w:tcW w:w="1502" w:type="dxa"/>
            <w:shd w:val="clear" w:color="auto" w:fill="auto"/>
            <w:vAlign w:val="center"/>
            <w:hideMark/>
          </w:tcPr>
          <w:p w14:paraId="7A158655"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5,460.1</w:t>
            </w:r>
          </w:p>
        </w:tc>
        <w:tc>
          <w:tcPr>
            <w:tcW w:w="1352" w:type="dxa"/>
            <w:shd w:val="clear" w:color="auto" w:fill="auto"/>
            <w:vAlign w:val="center"/>
            <w:hideMark/>
          </w:tcPr>
          <w:p w14:paraId="26CF617E"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16.2</w:t>
            </w:r>
          </w:p>
        </w:tc>
        <w:tc>
          <w:tcPr>
            <w:tcW w:w="1240" w:type="dxa"/>
            <w:shd w:val="clear" w:color="auto" w:fill="auto"/>
            <w:vAlign w:val="center"/>
            <w:hideMark/>
          </w:tcPr>
          <w:p w14:paraId="7CDBE6ED" w14:textId="3444F53F" w:rsidR="0035496F" w:rsidRPr="00073B29" w:rsidRDefault="00981F20"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1.0</w:t>
            </w:r>
          </w:p>
        </w:tc>
      </w:tr>
      <w:tr w:rsidR="007D5DDB" w:rsidRPr="000A7D60" w14:paraId="00413F57" w14:textId="77777777" w:rsidTr="00740F52">
        <w:trPr>
          <w:trHeight w:val="56"/>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2A500B19" w14:textId="77777777" w:rsidR="0035496F" w:rsidRPr="00073B29" w:rsidRDefault="0035496F" w:rsidP="00740F52">
            <w:pPr>
              <w:pStyle w:val="ExhibitText"/>
              <w:jc w:val="center"/>
              <w:rPr>
                <w:sz w:val="18"/>
                <w:szCs w:val="18"/>
                <w:lang w:val="en-US"/>
              </w:rPr>
            </w:pPr>
            <w:r w:rsidRPr="00073B29">
              <w:rPr>
                <w:sz w:val="18"/>
                <w:szCs w:val="18"/>
                <w:lang w:val="en-US"/>
              </w:rPr>
              <w:t>2</w:t>
            </w:r>
          </w:p>
        </w:tc>
        <w:tc>
          <w:tcPr>
            <w:tcW w:w="1876" w:type="dxa"/>
            <w:shd w:val="clear" w:color="auto" w:fill="auto"/>
            <w:vAlign w:val="center"/>
            <w:hideMark/>
          </w:tcPr>
          <w:p w14:paraId="5BC68E8E" w14:textId="0B92C98D"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ASML</w:t>
            </w:r>
            <w:r w:rsidR="00D31F09">
              <w:rPr>
                <w:sz w:val="18"/>
                <w:szCs w:val="18"/>
                <w:lang w:val="en-US"/>
              </w:rPr>
              <w:t xml:space="preserve"> Holding</w:t>
            </w:r>
          </w:p>
        </w:tc>
        <w:tc>
          <w:tcPr>
            <w:tcW w:w="2434" w:type="dxa"/>
            <w:shd w:val="clear" w:color="auto" w:fill="auto"/>
            <w:vAlign w:val="center"/>
          </w:tcPr>
          <w:p w14:paraId="6B57BA92" w14:textId="77777777"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Lithography</w:t>
            </w:r>
          </w:p>
        </w:tc>
        <w:tc>
          <w:tcPr>
            <w:tcW w:w="1502" w:type="dxa"/>
            <w:shd w:val="clear" w:color="auto" w:fill="auto"/>
            <w:vAlign w:val="center"/>
            <w:hideMark/>
          </w:tcPr>
          <w:p w14:paraId="1F9D5CD7"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5,302.8</w:t>
            </w:r>
          </w:p>
        </w:tc>
        <w:tc>
          <w:tcPr>
            <w:tcW w:w="1352" w:type="dxa"/>
            <w:shd w:val="clear" w:color="auto" w:fill="auto"/>
            <w:vAlign w:val="center"/>
            <w:hideMark/>
          </w:tcPr>
          <w:p w14:paraId="72FF69DC"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15.7</w:t>
            </w:r>
          </w:p>
        </w:tc>
        <w:tc>
          <w:tcPr>
            <w:tcW w:w="1240" w:type="dxa"/>
            <w:shd w:val="clear" w:color="auto" w:fill="auto"/>
            <w:vAlign w:val="center"/>
            <w:hideMark/>
          </w:tcPr>
          <w:p w14:paraId="4B8D213F"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8.5</w:t>
            </w:r>
          </w:p>
        </w:tc>
      </w:tr>
      <w:tr w:rsidR="007D5DDB" w:rsidRPr="000A7D60" w14:paraId="4D3914DD" w14:textId="77777777" w:rsidTr="00740F5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62278ABA" w14:textId="77777777" w:rsidR="0035496F" w:rsidRPr="00073B29" w:rsidRDefault="0035496F" w:rsidP="00740F52">
            <w:pPr>
              <w:pStyle w:val="ExhibitText"/>
              <w:jc w:val="center"/>
              <w:rPr>
                <w:sz w:val="18"/>
                <w:szCs w:val="18"/>
                <w:lang w:val="en-US"/>
              </w:rPr>
            </w:pPr>
            <w:r w:rsidRPr="00073B29">
              <w:rPr>
                <w:sz w:val="18"/>
                <w:szCs w:val="18"/>
                <w:lang w:val="en-US"/>
              </w:rPr>
              <w:t>3</w:t>
            </w:r>
          </w:p>
        </w:tc>
        <w:tc>
          <w:tcPr>
            <w:tcW w:w="1876" w:type="dxa"/>
            <w:shd w:val="clear" w:color="auto" w:fill="auto"/>
            <w:vAlign w:val="center"/>
            <w:hideMark/>
          </w:tcPr>
          <w:p w14:paraId="2201DC2A" w14:textId="3C430DA0"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Lam Research</w:t>
            </w:r>
            <w:r w:rsidR="00D31F09">
              <w:rPr>
                <w:sz w:val="18"/>
                <w:szCs w:val="18"/>
                <w:lang w:val="en-US"/>
              </w:rPr>
              <w:t xml:space="preserve"> Corporation</w:t>
            </w:r>
          </w:p>
        </w:tc>
        <w:tc>
          <w:tcPr>
            <w:tcW w:w="2434" w:type="dxa"/>
            <w:shd w:val="clear" w:color="auto" w:fill="auto"/>
            <w:vAlign w:val="center"/>
          </w:tcPr>
          <w:p w14:paraId="3C67E9E9" w14:textId="7777777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Etching</w:t>
            </w:r>
          </w:p>
        </w:tc>
        <w:tc>
          <w:tcPr>
            <w:tcW w:w="1502" w:type="dxa"/>
            <w:shd w:val="clear" w:color="auto" w:fill="auto"/>
            <w:vAlign w:val="center"/>
            <w:hideMark/>
          </w:tcPr>
          <w:p w14:paraId="79856163"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3,163.4</w:t>
            </w:r>
          </w:p>
        </w:tc>
        <w:tc>
          <w:tcPr>
            <w:tcW w:w="1352" w:type="dxa"/>
            <w:shd w:val="clear" w:color="auto" w:fill="auto"/>
            <w:vAlign w:val="center"/>
            <w:hideMark/>
          </w:tcPr>
          <w:p w14:paraId="0CF619B0"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9.4</w:t>
            </w:r>
          </w:p>
        </w:tc>
        <w:tc>
          <w:tcPr>
            <w:tcW w:w="1240" w:type="dxa"/>
            <w:shd w:val="clear" w:color="auto" w:fill="auto"/>
            <w:vAlign w:val="center"/>
            <w:hideMark/>
          </w:tcPr>
          <w:p w14:paraId="58443F31"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12.7</w:t>
            </w:r>
          </w:p>
        </w:tc>
      </w:tr>
      <w:tr w:rsidR="007D5DDB" w:rsidRPr="000A7D60" w14:paraId="63694FA6" w14:textId="77777777" w:rsidTr="00740F52">
        <w:trPr>
          <w:trHeight w:val="71"/>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21E248DD" w14:textId="77777777" w:rsidR="0035496F" w:rsidRPr="00073B29" w:rsidRDefault="0035496F" w:rsidP="00740F52">
            <w:pPr>
              <w:pStyle w:val="ExhibitText"/>
              <w:jc w:val="center"/>
              <w:rPr>
                <w:sz w:val="18"/>
                <w:szCs w:val="18"/>
                <w:lang w:val="en-US"/>
              </w:rPr>
            </w:pPr>
            <w:r w:rsidRPr="00073B29">
              <w:rPr>
                <w:sz w:val="18"/>
                <w:szCs w:val="18"/>
                <w:lang w:val="en-US"/>
              </w:rPr>
              <w:t>4</w:t>
            </w:r>
          </w:p>
        </w:tc>
        <w:tc>
          <w:tcPr>
            <w:tcW w:w="1876" w:type="dxa"/>
            <w:shd w:val="clear" w:color="auto" w:fill="auto"/>
            <w:vAlign w:val="center"/>
            <w:hideMark/>
          </w:tcPr>
          <w:p w14:paraId="01121351" w14:textId="6815939E"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Tokyo Electron</w:t>
            </w:r>
            <w:r w:rsidR="00D31F09">
              <w:rPr>
                <w:sz w:val="18"/>
                <w:szCs w:val="18"/>
                <w:lang w:val="en-US"/>
              </w:rPr>
              <w:t xml:space="preserve"> Ltd.</w:t>
            </w:r>
          </w:p>
        </w:tc>
        <w:tc>
          <w:tcPr>
            <w:tcW w:w="2434" w:type="dxa"/>
            <w:shd w:val="clear" w:color="auto" w:fill="auto"/>
            <w:vAlign w:val="center"/>
          </w:tcPr>
          <w:p w14:paraId="2D7BB36A" w14:textId="34F73500"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Etching</w:t>
            </w:r>
            <w:r w:rsidR="00A80C57">
              <w:rPr>
                <w:sz w:val="18"/>
                <w:szCs w:val="18"/>
                <w:lang w:val="en-US"/>
              </w:rPr>
              <w:t xml:space="preserve"> &amp; </w:t>
            </w:r>
            <w:r w:rsidR="00B114A3">
              <w:rPr>
                <w:sz w:val="18"/>
                <w:szCs w:val="18"/>
                <w:lang w:val="en-US"/>
              </w:rPr>
              <w:t>t</w:t>
            </w:r>
            <w:r w:rsidR="00B114A3" w:rsidRPr="00073B29">
              <w:rPr>
                <w:sz w:val="18"/>
                <w:szCs w:val="18"/>
                <w:lang w:val="en-US"/>
              </w:rPr>
              <w:t xml:space="preserve">hermal </w:t>
            </w:r>
            <w:r w:rsidR="00B114A3">
              <w:rPr>
                <w:sz w:val="18"/>
                <w:szCs w:val="18"/>
                <w:lang w:val="en-US"/>
              </w:rPr>
              <w:t>o</w:t>
            </w:r>
            <w:r w:rsidR="00B114A3" w:rsidRPr="00073B29">
              <w:rPr>
                <w:sz w:val="18"/>
                <w:szCs w:val="18"/>
                <w:lang w:val="en-US"/>
              </w:rPr>
              <w:t>xidation</w:t>
            </w:r>
          </w:p>
        </w:tc>
        <w:tc>
          <w:tcPr>
            <w:tcW w:w="1502" w:type="dxa"/>
            <w:shd w:val="clear" w:color="auto" w:fill="auto"/>
            <w:vAlign w:val="center"/>
            <w:hideMark/>
          </w:tcPr>
          <w:p w14:paraId="7D9EAAB1"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3,057.1</w:t>
            </w:r>
          </w:p>
        </w:tc>
        <w:tc>
          <w:tcPr>
            <w:tcW w:w="1352" w:type="dxa"/>
            <w:shd w:val="clear" w:color="auto" w:fill="auto"/>
            <w:vAlign w:val="center"/>
            <w:hideMark/>
          </w:tcPr>
          <w:p w14:paraId="4B07550E"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9.1</w:t>
            </w:r>
          </w:p>
        </w:tc>
        <w:tc>
          <w:tcPr>
            <w:tcW w:w="1240" w:type="dxa"/>
            <w:shd w:val="clear" w:color="auto" w:fill="auto"/>
            <w:vAlign w:val="center"/>
            <w:hideMark/>
          </w:tcPr>
          <w:p w14:paraId="7356C8FC" w14:textId="07F5ACF8" w:rsidR="0035496F" w:rsidRPr="00073B29" w:rsidRDefault="00981F20"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27.5</w:t>
            </w:r>
          </w:p>
        </w:tc>
      </w:tr>
      <w:tr w:rsidR="007D5DDB" w:rsidRPr="000A7D60" w14:paraId="35DFF5FE" w14:textId="77777777" w:rsidTr="00740F5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5A2186EB" w14:textId="77777777" w:rsidR="0035496F" w:rsidRPr="00073B29" w:rsidRDefault="0035496F" w:rsidP="00740F52">
            <w:pPr>
              <w:pStyle w:val="ExhibitText"/>
              <w:jc w:val="center"/>
              <w:rPr>
                <w:sz w:val="18"/>
                <w:szCs w:val="18"/>
                <w:lang w:val="en-US"/>
              </w:rPr>
            </w:pPr>
            <w:r w:rsidRPr="00073B29">
              <w:rPr>
                <w:sz w:val="18"/>
                <w:szCs w:val="18"/>
                <w:lang w:val="en-US"/>
              </w:rPr>
              <w:t>5</w:t>
            </w:r>
          </w:p>
        </w:tc>
        <w:tc>
          <w:tcPr>
            <w:tcW w:w="1876" w:type="dxa"/>
            <w:shd w:val="clear" w:color="auto" w:fill="auto"/>
            <w:vAlign w:val="center"/>
            <w:hideMark/>
          </w:tcPr>
          <w:p w14:paraId="5341C9A0" w14:textId="1ECD1248"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KLA-Tencor</w:t>
            </w:r>
            <w:r w:rsidR="00D31F09">
              <w:rPr>
                <w:sz w:val="18"/>
                <w:szCs w:val="18"/>
                <w:lang w:val="en-US"/>
              </w:rPr>
              <w:t xml:space="preserve"> Corporation</w:t>
            </w:r>
          </w:p>
        </w:tc>
        <w:tc>
          <w:tcPr>
            <w:tcW w:w="2434" w:type="dxa"/>
            <w:shd w:val="clear" w:color="auto" w:fill="auto"/>
            <w:vAlign w:val="center"/>
          </w:tcPr>
          <w:p w14:paraId="1DE0DA51" w14:textId="598BC994"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 xml:space="preserve">Process control &amp; </w:t>
            </w:r>
            <w:r w:rsidR="00B114A3">
              <w:rPr>
                <w:sz w:val="18"/>
                <w:szCs w:val="18"/>
                <w:lang w:val="en-US"/>
              </w:rPr>
              <w:t>y</w:t>
            </w:r>
            <w:r w:rsidR="00B114A3" w:rsidRPr="00073B29">
              <w:rPr>
                <w:sz w:val="18"/>
                <w:szCs w:val="18"/>
                <w:lang w:val="en-US"/>
              </w:rPr>
              <w:t xml:space="preserve">ield </w:t>
            </w:r>
            <w:r w:rsidRPr="00073B29">
              <w:rPr>
                <w:sz w:val="18"/>
                <w:szCs w:val="18"/>
                <w:lang w:val="en-US"/>
              </w:rPr>
              <w:t>management</w:t>
            </w:r>
          </w:p>
        </w:tc>
        <w:tc>
          <w:tcPr>
            <w:tcW w:w="1502" w:type="dxa"/>
            <w:shd w:val="clear" w:color="auto" w:fill="auto"/>
            <w:vAlign w:val="center"/>
            <w:hideMark/>
          </w:tcPr>
          <w:p w14:paraId="56240B13"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2,163.4</w:t>
            </w:r>
          </w:p>
        </w:tc>
        <w:tc>
          <w:tcPr>
            <w:tcW w:w="1352" w:type="dxa"/>
            <w:shd w:val="clear" w:color="auto" w:fill="auto"/>
            <w:vAlign w:val="center"/>
            <w:hideMark/>
          </w:tcPr>
          <w:p w14:paraId="3FC9B3D7"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6.4</w:t>
            </w:r>
          </w:p>
        </w:tc>
        <w:tc>
          <w:tcPr>
            <w:tcW w:w="1240" w:type="dxa"/>
            <w:shd w:val="clear" w:color="auto" w:fill="auto"/>
            <w:vAlign w:val="center"/>
            <w:hideMark/>
          </w:tcPr>
          <w:p w14:paraId="38051413" w14:textId="62C10B1B" w:rsidR="0035496F" w:rsidRPr="00073B29" w:rsidRDefault="00981F20"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12.2</w:t>
            </w:r>
          </w:p>
        </w:tc>
      </w:tr>
      <w:tr w:rsidR="007D5DDB" w:rsidRPr="000A7D60" w14:paraId="4E39CB80" w14:textId="77777777" w:rsidTr="00740F52">
        <w:trPr>
          <w:trHeight w:val="249"/>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6BECE9FC" w14:textId="77777777" w:rsidR="0035496F" w:rsidRPr="00073B29" w:rsidRDefault="0035496F" w:rsidP="00740F52">
            <w:pPr>
              <w:pStyle w:val="ExhibitText"/>
              <w:jc w:val="center"/>
              <w:rPr>
                <w:sz w:val="18"/>
                <w:szCs w:val="18"/>
                <w:lang w:val="en-US"/>
              </w:rPr>
            </w:pPr>
            <w:r w:rsidRPr="00073B29">
              <w:rPr>
                <w:sz w:val="18"/>
                <w:szCs w:val="18"/>
                <w:lang w:val="en-US"/>
              </w:rPr>
              <w:t>6</w:t>
            </w:r>
          </w:p>
        </w:tc>
        <w:tc>
          <w:tcPr>
            <w:tcW w:w="1876" w:type="dxa"/>
            <w:shd w:val="clear" w:color="auto" w:fill="auto"/>
            <w:vAlign w:val="center"/>
            <w:hideMark/>
          </w:tcPr>
          <w:p w14:paraId="7AD96B25" w14:textId="77777777"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Dainippon Screen Manufacturing</w:t>
            </w:r>
          </w:p>
        </w:tc>
        <w:tc>
          <w:tcPr>
            <w:tcW w:w="2434" w:type="dxa"/>
            <w:shd w:val="clear" w:color="auto" w:fill="auto"/>
            <w:vAlign w:val="center"/>
          </w:tcPr>
          <w:p w14:paraId="01F05B5D" w14:textId="22D3EA92"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 xml:space="preserve">Process control &amp; </w:t>
            </w:r>
            <w:r w:rsidR="00B114A3">
              <w:rPr>
                <w:sz w:val="18"/>
                <w:szCs w:val="18"/>
                <w:lang w:val="en-US"/>
              </w:rPr>
              <w:t>y</w:t>
            </w:r>
            <w:r w:rsidR="00B114A3" w:rsidRPr="00073B29">
              <w:rPr>
                <w:sz w:val="18"/>
                <w:szCs w:val="18"/>
                <w:lang w:val="en-US"/>
              </w:rPr>
              <w:t xml:space="preserve">ield </w:t>
            </w:r>
            <w:r w:rsidRPr="00073B29">
              <w:rPr>
                <w:sz w:val="18"/>
                <w:szCs w:val="18"/>
                <w:lang w:val="en-US"/>
              </w:rPr>
              <w:t>management</w:t>
            </w:r>
          </w:p>
        </w:tc>
        <w:tc>
          <w:tcPr>
            <w:tcW w:w="1502" w:type="dxa"/>
            <w:shd w:val="clear" w:color="auto" w:fill="auto"/>
            <w:vAlign w:val="center"/>
            <w:hideMark/>
          </w:tcPr>
          <w:p w14:paraId="7CEDA811"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1,222.7</w:t>
            </w:r>
          </w:p>
        </w:tc>
        <w:tc>
          <w:tcPr>
            <w:tcW w:w="1352" w:type="dxa"/>
            <w:shd w:val="clear" w:color="auto" w:fill="auto"/>
            <w:vAlign w:val="center"/>
            <w:hideMark/>
          </w:tcPr>
          <w:p w14:paraId="4455979A"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3.6</w:t>
            </w:r>
          </w:p>
        </w:tc>
        <w:tc>
          <w:tcPr>
            <w:tcW w:w="1240" w:type="dxa"/>
            <w:shd w:val="clear" w:color="auto" w:fill="auto"/>
            <w:vAlign w:val="center"/>
            <w:hideMark/>
          </w:tcPr>
          <w:p w14:paraId="22A5D06E" w14:textId="36DA9BC3" w:rsidR="0035496F" w:rsidRPr="00073B29" w:rsidRDefault="00981F20"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17.6</w:t>
            </w:r>
          </w:p>
        </w:tc>
      </w:tr>
      <w:tr w:rsidR="007D5DDB" w:rsidRPr="000A7D60" w14:paraId="739C3236" w14:textId="77777777" w:rsidTr="00740F52">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1A40C88A" w14:textId="77777777" w:rsidR="0035496F" w:rsidRPr="00073B29" w:rsidRDefault="0035496F" w:rsidP="00740F52">
            <w:pPr>
              <w:pStyle w:val="ExhibitText"/>
              <w:jc w:val="center"/>
              <w:rPr>
                <w:sz w:val="18"/>
                <w:szCs w:val="18"/>
                <w:lang w:val="en-US"/>
              </w:rPr>
            </w:pPr>
            <w:r w:rsidRPr="00073B29">
              <w:rPr>
                <w:sz w:val="18"/>
                <w:szCs w:val="18"/>
                <w:lang w:val="en-US"/>
              </w:rPr>
              <w:t>7</w:t>
            </w:r>
          </w:p>
        </w:tc>
        <w:tc>
          <w:tcPr>
            <w:tcW w:w="1876" w:type="dxa"/>
            <w:shd w:val="clear" w:color="auto" w:fill="auto"/>
            <w:vAlign w:val="center"/>
            <w:hideMark/>
          </w:tcPr>
          <w:p w14:paraId="425A2435" w14:textId="7777777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Hitachi High-Technologies</w:t>
            </w:r>
          </w:p>
        </w:tc>
        <w:tc>
          <w:tcPr>
            <w:tcW w:w="2434" w:type="dxa"/>
            <w:shd w:val="clear" w:color="auto" w:fill="auto"/>
            <w:vAlign w:val="center"/>
          </w:tcPr>
          <w:p w14:paraId="172BE970" w14:textId="505122DC"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 xml:space="preserve">Etching, </w:t>
            </w:r>
            <w:r w:rsidR="00B114A3">
              <w:rPr>
                <w:sz w:val="18"/>
                <w:szCs w:val="18"/>
                <w:lang w:val="en-US"/>
              </w:rPr>
              <w:t>p</w:t>
            </w:r>
            <w:r w:rsidR="00B114A3" w:rsidRPr="00073B29">
              <w:rPr>
                <w:sz w:val="18"/>
                <w:szCs w:val="18"/>
                <w:lang w:val="en-US"/>
              </w:rPr>
              <w:t xml:space="preserve">rocess </w:t>
            </w:r>
            <w:r w:rsidRPr="00073B29">
              <w:rPr>
                <w:sz w:val="18"/>
                <w:szCs w:val="18"/>
                <w:lang w:val="en-US"/>
              </w:rPr>
              <w:t>control</w:t>
            </w:r>
            <w:r w:rsidR="00855588">
              <w:rPr>
                <w:sz w:val="18"/>
                <w:szCs w:val="18"/>
                <w:lang w:val="en-US"/>
              </w:rPr>
              <w:t>,</w:t>
            </w:r>
            <w:r w:rsidRPr="00073B29">
              <w:rPr>
                <w:sz w:val="18"/>
                <w:szCs w:val="18"/>
                <w:lang w:val="en-US"/>
              </w:rPr>
              <w:t xml:space="preserve"> &amp; </w:t>
            </w:r>
            <w:r w:rsidR="00B114A3">
              <w:rPr>
                <w:sz w:val="18"/>
                <w:szCs w:val="18"/>
                <w:lang w:val="en-US"/>
              </w:rPr>
              <w:t>y</w:t>
            </w:r>
            <w:r w:rsidR="00B114A3" w:rsidRPr="00073B29">
              <w:rPr>
                <w:sz w:val="18"/>
                <w:szCs w:val="18"/>
                <w:lang w:val="en-US"/>
              </w:rPr>
              <w:t xml:space="preserve">ield </w:t>
            </w:r>
            <w:r w:rsidRPr="00073B29">
              <w:rPr>
                <w:sz w:val="18"/>
                <w:szCs w:val="18"/>
                <w:lang w:val="en-US"/>
              </w:rPr>
              <w:t>management</w:t>
            </w:r>
          </w:p>
        </w:tc>
        <w:tc>
          <w:tcPr>
            <w:tcW w:w="1502" w:type="dxa"/>
            <w:shd w:val="clear" w:color="auto" w:fill="auto"/>
            <w:vAlign w:val="center"/>
            <w:hideMark/>
          </w:tcPr>
          <w:p w14:paraId="0AA71B8C"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862.0</w:t>
            </w:r>
          </w:p>
        </w:tc>
        <w:tc>
          <w:tcPr>
            <w:tcW w:w="1352" w:type="dxa"/>
            <w:shd w:val="clear" w:color="auto" w:fill="auto"/>
            <w:vAlign w:val="center"/>
            <w:hideMark/>
          </w:tcPr>
          <w:p w14:paraId="47D883A1"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2.6</w:t>
            </w:r>
          </w:p>
        </w:tc>
        <w:tc>
          <w:tcPr>
            <w:tcW w:w="1240" w:type="dxa"/>
            <w:shd w:val="clear" w:color="auto" w:fill="auto"/>
            <w:vAlign w:val="center"/>
            <w:hideMark/>
          </w:tcPr>
          <w:p w14:paraId="583E930D" w14:textId="53B33A72" w:rsidR="0035496F" w:rsidRPr="00073B29" w:rsidRDefault="00981F20"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24.2</w:t>
            </w:r>
          </w:p>
        </w:tc>
      </w:tr>
      <w:tr w:rsidR="007D5DDB" w:rsidRPr="000A7D60" w14:paraId="21285003" w14:textId="77777777" w:rsidTr="00740F52">
        <w:trPr>
          <w:trHeight w:val="315"/>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4A3F2F50" w14:textId="77777777" w:rsidR="0035496F" w:rsidRPr="00073B29" w:rsidRDefault="0035496F" w:rsidP="00740F52">
            <w:pPr>
              <w:pStyle w:val="ExhibitText"/>
              <w:jc w:val="center"/>
              <w:rPr>
                <w:sz w:val="18"/>
                <w:szCs w:val="18"/>
                <w:lang w:val="en-US"/>
              </w:rPr>
            </w:pPr>
            <w:r w:rsidRPr="00073B29">
              <w:rPr>
                <w:sz w:val="18"/>
                <w:szCs w:val="18"/>
                <w:lang w:val="en-US"/>
              </w:rPr>
              <w:t>8</w:t>
            </w:r>
          </w:p>
        </w:tc>
        <w:tc>
          <w:tcPr>
            <w:tcW w:w="1876" w:type="dxa"/>
            <w:shd w:val="clear" w:color="auto" w:fill="auto"/>
            <w:vAlign w:val="center"/>
            <w:hideMark/>
          </w:tcPr>
          <w:p w14:paraId="7506E6E7" w14:textId="736E992D"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Advantest</w:t>
            </w:r>
            <w:r w:rsidR="00D31F09">
              <w:rPr>
                <w:sz w:val="18"/>
                <w:szCs w:val="18"/>
                <w:lang w:val="en-US"/>
              </w:rPr>
              <w:t xml:space="preserve"> Corporation</w:t>
            </w:r>
          </w:p>
        </w:tc>
        <w:tc>
          <w:tcPr>
            <w:tcW w:w="2434" w:type="dxa"/>
            <w:shd w:val="clear" w:color="auto" w:fill="auto"/>
            <w:vAlign w:val="center"/>
          </w:tcPr>
          <w:p w14:paraId="24D519C4" w14:textId="1DD6102B"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 xml:space="preserve">Process control &amp; </w:t>
            </w:r>
            <w:r w:rsidR="00B114A3">
              <w:rPr>
                <w:sz w:val="18"/>
                <w:szCs w:val="18"/>
                <w:lang w:val="en-US"/>
              </w:rPr>
              <w:t>y</w:t>
            </w:r>
            <w:r w:rsidR="00B114A3" w:rsidRPr="00073B29">
              <w:rPr>
                <w:sz w:val="18"/>
                <w:szCs w:val="18"/>
                <w:lang w:val="en-US"/>
              </w:rPr>
              <w:t xml:space="preserve">ield </w:t>
            </w:r>
            <w:r w:rsidRPr="00073B29">
              <w:rPr>
                <w:sz w:val="18"/>
                <w:szCs w:val="18"/>
                <w:lang w:val="en-US"/>
              </w:rPr>
              <w:t>management</w:t>
            </w:r>
          </w:p>
        </w:tc>
        <w:tc>
          <w:tcPr>
            <w:tcW w:w="1502" w:type="dxa"/>
            <w:shd w:val="clear" w:color="auto" w:fill="auto"/>
            <w:vAlign w:val="center"/>
            <w:hideMark/>
          </w:tcPr>
          <w:p w14:paraId="1E4A32C5"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844.8</w:t>
            </w:r>
          </w:p>
        </w:tc>
        <w:tc>
          <w:tcPr>
            <w:tcW w:w="1352" w:type="dxa"/>
            <w:shd w:val="clear" w:color="auto" w:fill="auto"/>
            <w:vAlign w:val="center"/>
            <w:hideMark/>
          </w:tcPr>
          <w:p w14:paraId="1F8A7CBF"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2.5</w:t>
            </w:r>
          </w:p>
        </w:tc>
        <w:tc>
          <w:tcPr>
            <w:tcW w:w="1240" w:type="dxa"/>
            <w:shd w:val="clear" w:color="auto" w:fill="auto"/>
            <w:vAlign w:val="center"/>
            <w:hideMark/>
          </w:tcPr>
          <w:p w14:paraId="1EE06250" w14:textId="3836F28D" w:rsidR="0035496F" w:rsidRPr="00073B29" w:rsidRDefault="00981F20"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40.6</w:t>
            </w:r>
          </w:p>
        </w:tc>
      </w:tr>
      <w:tr w:rsidR="007D5DDB" w:rsidRPr="000A7D60" w14:paraId="47B73043" w14:textId="77777777" w:rsidTr="00740F52">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2292385E" w14:textId="77777777" w:rsidR="0035496F" w:rsidRPr="00073B29" w:rsidRDefault="0035496F" w:rsidP="00740F52">
            <w:pPr>
              <w:pStyle w:val="ExhibitText"/>
              <w:jc w:val="center"/>
              <w:rPr>
                <w:sz w:val="18"/>
                <w:szCs w:val="18"/>
                <w:lang w:val="en-US"/>
              </w:rPr>
            </w:pPr>
            <w:r w:rsidRPr="00073B29">
              <w:rPr>
                <w:sz w:val="18"/>
                <w:szCs w:val="18"/>
                <w:lang w:val="en-US"/>
              </w:rPr>
              <w:t>9</w:t>
            </w:r>
          </w:p>
        </w:tc>
        <w:tc>
          <w:tcPr>
            <w:tcW w:w="1876" w:type="dxa"/>
            <w:shd w:val="clear" w:color="auto" w:fill="auto"/>
            <w:vAlign w:val="center"/>
            <w:hideMark/>
          </w:tcPr>
          <w:p w14:paraId="5E89273E" w14:textId="7777777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Teradyne</w:t>
            </w:r>
          </w:p>
        </w:tc>
        <w:tc>
          <w:tcPr>
            <w:tcW w:w="2434" w:type="dxa"/>
            <w:shd w:val="clear" w:color="auto" w:fill="auto"/>
            <w:vAlign w:val="center"/>
          </w:tcPr>
          <w:p w14:paraId="4EB35F19" w14:textId="2F03D62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 xml:space="preserve">Process control &amp; </w:t>
            </w:r>
            <w:r w:rsidR="00B114A3">
              <w:rPr>
                <w:sz w:val="18"/>
                <w:szCs w:val="18"/>
                <w:lang w:val="en-US"/>
              </w:rPr>
              <w:t>y</w:t>
            </w:r>
            <w:r w:rsidR="00B114A3" w:rsidRPr="00073B29">
              <w:rPr>
                <w:sz w:val="18"/>
                <w:szCs w:val="18"/>
                <w:lang w:val="en-US"/>
              </w:rPr>
              <w:t xml:space="preserve">ield </w:t>
            </w:r>
            <w:r w:rsidRPr="00073B29">
              <w:rPr>
                <w:sz w:val="18"/>
                <w:szCs w:val="18"/>
                <w:lang w:val="en-US"/>
              </w:rPr>
              <w:t>management</w:t>
            </w:r>
          </w:p>
        </w:tc>
        <w:tc>
          <w:tcPr>
            <w:tcW w:w="1502" w:type="dxa"/>
            <w:shd w:val="clear" w:color="auto" w:fill="auto"/>
            <w:vAlign w:val="center"/>
            <w:hideMark/>
          </w:tcPr>
          <w:p w14:paraId="5254194C"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822.0</w:t>
            </w:r>
          </w:p>
        </w:tc>
        <w:tc>
          <w:tcPr>
            <w:tcW w:w="1352" w:type="dxa"/>
            <w:shd w:val="clear" w:color="auto" w:fill="auto"/>
            <w:vAlign w:val="center"/>
            <w:hideMark/>
          </w:tcPr>
          <w:p w14:paraId="7F5B62EE"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2.4</w:t>
            </w:r>
          </w:p>
        </w:tc>
        <w:tc>
          <w:tcPr>
            <w:tcW w:w="1240" w:type="dxa"/>
            <w:shd w:val="clear" w:color="auto" w:fill="auto"/>
            <w:vAlign w:val="center"/>
            <w:hideMark/>
          </w:tcPr>
          <w:p w14:paraId="6FEF3AFF" w14:textId="413B6238" w:rsidR="0035496F" w:rsidRPr="00073B29" w:rsidRDefault="00981F20"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10.4</w:t>
            </w:r>
          </w:p>
        </w:tc>
      </w:tr>
      <w:tr w:rsidR="007D5DDB" w:rsidRPr="000A7D60" w14:paraId="74F2B16B" w14:textId="77777777" w:rsidTr="00740F52">
        <w:trPr>
          <w:trHeight w:val="56"/>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59C35C45" w14:textId="77777777" w:rsidR="0035496F" w:rsidRPr="00073B29" w:rsidRDefault="0035496F" w:rsidP="00740F52">
            <w:pPr>
              <w:pStyle w:val="ExhibitText"/>
              <w:jc w:val="center"/>
              <w:rPr>
                <w:sz w:val="18"/>
                <w:szCs w:val="18"/>
                <w:lang w:val="en-US"/>
              </w:rPr>
            </w:pPr>
            <w:r w:rsidRPr="00073B29">
              <w:rPr>
                <w:sz w:val="18"/>
                <w:szCs w:val="18"/>
                <w:lang w:val="en-US"/>
              </w:rPr>
              <w:t>10</w:t>
            </w:r>
          </w:p>
        </w:tc>
        <w:tc>
          <w:tcPr>
            <w:tcW w:w="1876" w:type="dxa"/>
            <w:shd w:val="clear" w:color="auto" w:fill="auto"/>
            <w:vAlign w:val="center"/>
            <w:hideMark/>
          </w:tcPr>
          <w:p w14:paraId="36B7AC6B" w14:textId="74F73C52"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Nikon</w:t>
            </w:r>
            <w:r w:rsidR="00D31F09">
              <w:rPr>
                <w:sz w:val="18"/>
                <w:szCs w:val="18"/>
                <w:lang w:val="en-US"/>
              </w:rPr>
              <w:t xml:space="preserve"> Corporation</w:t>
            </w:r>
          </w:p>
        </w:tc>
        <w:tc>
          <w:tcPr>
            <w:tcW w:w="2434" w:type="dxa"/>
            <w:shd w:val="clear" w:color="auto" w:fill="auto"/>
            <w:vAlign w:val="center"/>
          </w:tcPr>
          <w:p w14:paraId="3F5E472F" w14:textId="77777777"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Lithography</w:t>
            </w:r>
          </w:p>
        </w:tc>
        <w:tc>
          <w:tcPr>
            <w:tcW w:w="1502" w:type="dxa"/>
            <w:shd w:val="clear" w:color="auto" w:fill="auto"/>
            <w:vAlign w:val="center"/>
            <w:hideMark/>
          </w:tcPr>
          <w:p w14:paraId="1EDDA666"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636.3</w:t>
            </w:r>
          </w:p>
        </w:tc>
        <w:tc>
          <w:tcPr>
            <w:tcW w:w="1352" w:type="dxa"/>
            <w:shd w:val="clear" w:color="auto" w:fill="auto"/>
            <w:vAlign w:val="center"/>
            <w:hideMark/>
          </w:tcPr>
          <w:p w14:paraId="3845661B"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1.9</w:t>
            </w:r>
          </w:p>
        </w:tc>
        <w:tc>
          <w:tcPr>
            <w:tcW w:w="1240" w:type="dxa"/>
            <w:shd w:val="clear" w:color="auto" w:fill="auto"/>
            <w:vAlign w:val="center"/>
            <w:hideMark/>
          </w:tcPr>
          <w:p w14:paraId="596AE57C" w14:textId="1E33E632" w:rsidR="0035496F" w:rsidRPr="00073B29" w:rsidRDefault="00981F20"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36.8</w:t>
            </w:r>
          </w:p>
        </w:tc>
      </w:tr>
      <w:tr w:rsidR="007D5DDB" w:rsidRPr="000A7D60" w14:paraId="3A026809" w14:textId="77777777" w:rsidTr="00740F52">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vAlign w:val="center"/>
            <w:hideMark/>
          </w:tcPr>
          <w:p w14:paraId="1D8D3AE0" w14:textId="0F65F216" w:rsidR="0035496F" w:rsidRPr="00073B29" w:rsidRDefault="0035496F" w:rsidP="00740F52">
            <w:pPr>
              <w:pStyle w:val="ExhibitText"/>
              <w:jc w:val="center"/>
              <w:rPr>
                <w:sz w:val="18"/>
                <w:szCs w:val="18"/>
                <w:lang w:val="en-US"/>
              </w:rPr>
            </w:pPr>
          </w:p>
        </w:tc>
        <w:tc>
          <w:tcPr>
            <w:tcW w:w="1876" w:type="dxa"/>
            <w:shd w:val="clear" w:color="auto" w:fill="auto"/>
            <w:vAlign w:val="center"/>
            <w:hideMark/>
          </w:tcPr>
          <w:p w14:paraId="4E187785" w14:textId="7777777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Others</w:t>
            </w:r>
          </w:p>
        </w:tc>
        <w:tc>
          <w:tcPr>
            <w:tcW w:w="2434" w:type="dxa"/>
            <w:shd w:val="clear" w:color="auto" w:fill="auto"/>
            <w:vAlign w:val="center"/>
          </w:tcPr>
          <w:p w14:paraId="1BAE027C" w14:textId="77777777" w:rsidR="0035496F" w:rsidRPr="00073B29" w:rsidRDefault="0035496F" w:rsidP="00740F52">
            <w:pPr>
              <w:pStyle w:val="ExhibitText"/>
              <w:jc w:val="left"/>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502" w:type="dxa"/>
            <w:shd w:val="clear" w:color="auto" w:fill="auto"/>
            <w:vAlign w:val="center"/>
            <w:hideMark/>
          </w:tcPr>
          <w:p w14:paraId="7DA2085D"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10,243.5</w:t>
            </w:r>
          </w:p>
        </w:tc>
        <w:tc>
          <w:tcPr>
            <w:tcW w:w="1352" w:type="dxa"/>
            <w:shd w:val="clear" w:color="auto" w:fill="auto"/>
            <w:vAlign w:val="center"/>
            <w:hideMark/>
          </w:tcPr>
          <w:p w14:paraId="4C27D644" w14:textId="77777777" w:rsidR="0035496F" w:rsidRPr="00073B29" w:rsidRDefault="0035496F"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073B29">
              <w:rPr>
                <w:sz w:val="18"/>
                <w:szCs w:val="18"/>
                <w:lang w:val="en-US"/>
              </w:rPr>
              <w:t>30.3</w:t>
            </w:r>
          </w:p>
        </w:tc>
        <w:tc>
          <w:tcPr>
            <w:tcW w:w="1240" w:type="dxa"/>
            <w:shd w:val="clear" w:color="auto" w:fill="auto"/>
            <w:vAlign w:val="center"/>
            <w:hideMark/>
          </w:tcPr>
          <w:p w14:paraId="2F53B98F" w14:textId="4812DC90" w:rsidR="0035496F" w:rsidRPr="00073B29" w:rsidRDefault="00981F20" w:rsidP="00740F52">
            <w:pPr>
              <w:pStyle w:val="ExhibitText"/>
              <w:jc w:val="right"/>
              <w:cnfStyle w:val="000000100000" w:firstRow="0" w:lastRow="0" w:firstColumn="0" w:lastColumn="0" w:oddVBand="0" w:evenVBand="0" w:oddHBand="1"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16.7</w:t>
            </w:r>
          </w:p>
        </w:tc>
      </w:tr>
      <w:tr w:rsidR="007D5DDB" w:rsidRPr="000A7D60" w14:paraId="6AFCF47A" w14:textId="77777777" w:rsidTr="00740F52">
        <w:trPr>
          <w:trHeight w:val="56"/>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auto"/>
            <w:hideMark/>
          </w:tcPr>
          <w:p w14:paraId="095DE6E2" w14:textId="5504F827" w:rsidR="0035496F" w:rsidRPr="00073B29" w:rsidRDefault="0035496F" w:rsidP="00A63DCF">
            <w:pPr>
              <w:pStyle w:val="ExhibitText"/>
              <w:jc w:val="center"/>
              <w:rPr>
                <w:sz w:val="18"/>
                <w:szCs w:val="18"/>
                <w:lang w:val="en-US"/>
              </w:rPr>
            </w:pPr>
          </w:p>
        </w:tc>
        <w:tc>
          <w:tcPr>
            <w:tcW w:w="1876" w:type="dxa"/>
            <w:shd w:val="clear" w:color="auto" w:fill="auto"/>
          </w:tcPr>
          <w:p w14:paraId="726F15C2" w14:textId="77777777" w:rsidR="0035496F" w:rsidRPr="00073B29" w:rsidRDefault="0035496F" w:rsidP="00A63DCF">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434" w:type="dxa"/>
            <w:shd w:val="clear" w:color="auto" w:fill="auto"/>
            <w:vAlign w:val="center"/>
          </w:tcPr>
          <w:p w14:paraId="2AA2B361" w14:textId="16A45655" w:rsidR="0035496F" w:rsidRPr="00073B29" w:rsidRDefault="0035496F" w:rsidP="00740F52">
            <w:pPr>
              <w:pStyle w:val="ExhibitText"/>
              <w:jc w:val="lef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 xml:space="preserve">Total </w:t>
            </w:r>
            <w:r w:rsidR="00B114A3">
              <w:rPr>
                <w:sz w:val="18"/>
                <w:szCs w:val="18"/>
                <w:lang w:val="en-US"/>
              </w:rPr>
              <w:t>m</w:t>
            </w:r>
            <w:r w:rsidR="00B114A3" w:rsidRPr="00073B29">
              <w:rPr>
                <w:sz w:val="18"/>
                <w:szCs w:val="18"/>
                <w:lang w:val="en-US"/>
              </w:rPr>
              <w:t>arket</w:t>
            </w:r>
          </w:p>
        </w:tc>
        <w:tc>
          <w:tcPr>
            <w:tcW w:w="1502" w:type="dxa"/>
            <w:shd w:val="clear" w:color="auto" w:fill="auto"/>
            <w:vAlign w:val="center"/>
            <w:hideMark/>
          </w:tcPr>
          <w:p w14:paraId="3EC86C7A"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33,778.0</w:t>
            </w:r>
          </w:p>
        </w:tc>
        <w:tc>
          <w:tcPr>
            <w:tcW w:w="1352" w:type="dxa"/>
            <w:shd w:val="clear" w:color="auto" w:fill="auto"/>
            <w:vAlign w:val="center"/>
            <w:hideMark/>
          </w:tcPr>
          <w:p w14:paraId="29F64ECD" w14:textId="77777777" w:rsidR="0035496F" w:rsidRPr="00073B29" w:rsidRDefault="0035496F"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073B29">
              <w:rPr>
                <w:sz w:val="18"/>
                <w:szCs w:val="18"/>
                <w:lang w:val="en-US"/>
              </w:rPr>
              <w:t>100.0</w:t>
            </w:r>
          </w:p>
        </w:tc>
        <w:tc>
          <w:tcPr>
            <w:tcW w:w="1240" w:type="dxa"/>
            <w:shd w:val="clear" w:color="auto" w:fill="auto"/>
            <w:vAlign w:val="center"/>
            <w:hideMark/>
          </w:tcPr>
          <w:p w14:paraId="6939D713" w14:textId="3990C270" w:rsidR="0035496F" w:rsidRPr="00073B29" w:rsidRDefault="00981F20" w:rsidP="00740F52">
            <w:pPr>
              <w:pStyle w:val="ExhibitText"/>
              <w:jc w:val="right"/>
              <w:cnfStyle w:val="000000000000" w:firstRow="0" w:lastRow="0" w:firstColumn="0" w:lastColumn="0" w:oddVBand="0" w:evenVBand="0" w:oddHBand="0" w:evenHBand="0" w:firstRowFirstColumn="0" w:firstRowLastColumn="0" w:lastRowFirstColumn="0" w:lastRowLastColumn="0"/>
              <w:rPr>
                <w:sz w:val="18"/>
                <w:szCs w:val="18"/>
                <w:lang w:val="en-US"/>
              </w:rPr>
            </w:pPr>
            <w:r w:rsidRPr="00981F20">
              <w:rPr>
                <w:sz w:val="18"/>
                <w:szCs w:val="18"/>
                <w:lang w:val="en-US"/>
              </w:rPr>
              <w:t>−</w:t>
            </w:r>
            <w:r w:rsidR="0035496F" w:rsidRPr="00073B29">
              <w:rPr>
                <w:sz w:val="18"/>
                <w:szCs w:val="18"/>
                <w:lang w:val="en-US"/>
              </w:rPr>
              <w:t>11.5</w:t>
            </w:r>
          </w:p>
        </w:tc>
      </w:tr>
    </w:tbl>
    <w:p w14:paraId="169D30AB" w14:textId="77777777" w:rsidR="00073B29" w:rsidRDefault="00073B29" w:rsidP="0035496F">
      <w:pPr>
        <w:pStyle w:val="Footnote"/>
      </w:pPr>
    </w:p>
    <w:p w14:paraId="652D3699" w14:textId="280ABA12" w:rsidR="0035496F" w:rsidRDefault="0035496F" w:rsidP="0035496F">
      <w:pPr>
        <w:pStyle w:val="Footnote"/>
      </w:pPr>
      <w:r w:rsidRPr="00B90173">
        <w:t xml:space="preserve">Source: </w:t>
      </w:r>
      <w:r w:rsidR="005C466D" w:rsidRPr="005C466D">
        <w:t xml:space="preserve">Created by the case authors based on </w:t>
      </w:r>
      <w:r w:rsidRPr="00EE70B7">
        <w:t xml:space="preserve">Gina </w:t>
      </w:r>
      <w:proofErr w:type="spellStart"/>
      <w:r w:rsidRPr="00EE70B7">
        <w:t>Roos</w:t>
      </w:r>
      <w:proofErr w:type="spellEnd"/>
      <w:r w:rsidRPr="00EE70B7">
        <w:t xml:space="preserve">, “Semiconductor </w:t>
      </w:r>
      <w:r w:rsidR="00D54665">
        <w:t>S</w:t>
      </w:r>
      <w:r w:rsidR="00D54665" w:rsidRPr="00EE70B7">
        <w:t xml:space="preserve">pending </w:t>
      </w:r>
      <w:r w:rsidR="00D54665">
        <w:t>F</w:t>
      </w:r>
      <w:r w:rsidR="00D54665" w:rsidRPr="00EE70B7">
        <w:t xml:space="preserve">ell </w:t>
      </w:r>
      <w:r w:rsidRPr="00EE70B7">
        <w:t>12%</w:t>
      </w:r>
      <w:r w:rsidR="00605DF3">
        <w:t>,”</w:t>
      </w:r>
      <w:r w:rsidRPr="00EE70B7">
        <w:t xml:space="preserve"> </w:t>
      </w:r>
      <w:r w:rsidRPr="00710D11">
        <w:t>EPS News</w:t>
      </w:r>
      <w:r w:rsidRPr="00EE70B7">
        <w:t xml:space="preserve">, April 8, 2014, accessed </w:t>
      </w:r>
      <w:r w:rsidR="00605DF3">
        <w:t xml:space="preserve">December 3, </w:t>
      </w:r>
      <w:r w:rsidRPr="00EE70B7">
        <w:t>2016, https://epsnews.com/2014/04/08/semiconductor-equipment-spending-fell-12</w:t>
      </w:r>
      <w:r w:rsidR="00605DF3">
        <w:t>.</w:t>
      </w:r>
      <w:r w:rsidR="00981F20">
        <w:t xml:space="preserve"> </w:t>
      </w:r>
    </w:p>
    <w:p w14:paraId="12948904" w14:textId="77777777" w:rsidR="0035496F" w:rsidRDefault="0035496F" w:rsidP="0035496F">
      <w:pPr>
        <w:pStyle w:val="BodyTextMain"/>
        <w:rPr>
          <w:sz w:val="18"/>
        </w:rPr>
      </w:pPr>
    </w:p>
    <w:p w14:paraId="3E7B00FA" w14:textId="77777777" w:rsidR="00B114A3" w:rsidRDefault="00B114A3" w:rsidP="0035496F">
      <w:pPr>
        <w:pStyle w:val="BodyTextMain"/>
        <w:rPr>
          <w:sz w:val="18"/>
        </w:rPr>
      </w:pPr>
    </w:p>
    <w:p w14:paraId="13ABD86B" w14:textId="77777777" w:rsidR="00B114A3" w:rsidRDefault="00B114A3" w:rsidP="0035496F">
      <w:pPr>
        <w:pStyle w:val="BodyTextMain"/>
        <w:rPr>
          <w:sz w:val="18"/>
        </w:rPr>
      </w:pPr>
    </w:p>
    <w:p w14:paraId="4129DCD8" w14:textId="77777777" w:rsidR="00B114A3" w:rsidRDefault="00B114A3" w:rsidP="0035496F">
      <w:pPr>
        <w:pStyle w:val="BodyTextMain"/>
        <w:rPr>
          <w:sz w:val="18"/>
        </w:rPr>
      </w:pPr>
    </w:p>
    <w:p w14:paraId="0A21618E" w14:textId="77777777" w:rsidR="00B114A3" w:rsidRDefault="00B114A3" w:rsidP="0035496F">
      <w:pPr>
        <w:pStyle w:val="BodyTextMain"/>
        <w:rPr>
          <w:sz w:val="18"/>
        </w:rPr>
      </w:pPr>
    </w:p>
    <w:p w14:paraId="42DDED49" w14:textId="77777777" w:rsidR="00B114A3" w:rsidRDefault="00B114A3" w:rsidP="0035496F">
      <w:pPr>
        <w:pStyle w:val="BodyTextMain"/>
        <w:rPr>
          <w:sz w:val="18"/>
        </w:rPr>
      </w:pPr>
    </w:p>
    <w:p w14:paraId="4BC14D1A" w14:textId="77777777" w:rsidR="00B114A3" w:rsidRDefault="00B114A3" w:rsidP="0035496F">
      <w:pPr>
        <w:pStyle w:val="BodyTextMain"/>
        <w:rPr>
          <w:sz w:val="18"/>
        </w:rPr>
      </w:pPr>
    </w:p>
    <w:p w14:paraId="7DF6511E" w14:textId="77777777" w:rsidR="00B114A3" w:rsidRDefault="00B114A3" w:rsidP="0035496F">
      <w:pPr>
        <w:pStyle w:val="BodyTextMain"/>
        <w:rPr>
          <w:sz w:val="18"/>
        </w:rPr>
      </w:pPr>
    </w:p>
    <w:p w14:paraId="41DB5608" w14:textId="77777777" w:rsidR="00B114A3" w:rsidRDefault="00B114A3" w:rsidP="0035496F">
      <w:pPr>
        <w:pStyle w:val="BodyTextMain"/>
        <w:rPr>
          <w:sz w:val="18"/>
        </w:rPr>
      </w:pPr>
    </w:p>
    <w:p w14:paraId="437A1B82" w14:textId="77777777" w:rsidR="00B114A3" w:rsidRDefault="00B114A3" w:rsidP="0035496F">
      <w:pPr>
        <w:pStyle w:val="BodyTextMain"/>
        <w:rPr>
          <w:sz w:val="18"/>
        </w:rPr>
      </w:pPr>
    </w:p>
    <w:p w14:paraId="662CA84C" w14:textId="77777777" w:rsidR="00B114A3" w:rsidRDefault="00B114A3" w:rsidP="0035496F">
      <w:pPr>
        <w:pStyle w:val="BodyTextMain"/>
        <w:rPr>
          <w:sz w:val="18"/>
        </w:rPr>
      </w:pPr>
    </w:p>
    <w:p w14:paraId="43F3B59A" w14:textId="77777777" w:rsidR="00B114A3" w:rsidRDefault="00B114A3" w:rsidP="0035496F">
      <w:pPr>
        <w:pStyle w:val="BodyTextMain"/>
        <w:rPr>
          <w:sz w:val="18"/>
        </w:rPr>
      </w:pPr>
    </w:p>
    <w:p w14:paraId="3AFC9F7C" w14:textId="77777777" w:rsidR="00B114A3" w:rsidRDefault="00B114A3" w:rsidP="0035496F">
      <w:pPr>
        <w:pStyle w:val="BodyTextMain"/>
        <w:rPr>
          <w:sz w:val="18"/>
        </w:rPr>
      </w:pPr>
    </w:p>
    <w:p w14:paraId="7EA49615" w14:textId="77777777" w:rsidR="00B114A3" w:rsidRDefault="00B114A3" w:rsidP="0035496F">
      <w:pPr>
        <w:pStyle w:val="BodyTextMain"/>
        <w:rPr>
          <w:sz w:val="18"/>
        </w:rPr>
      </w:pPr>
    </w:p>
    <w:p w14:paraId="2B649105" w14:textId="77777777" w:rsidR="00B114A3" w:rsidRDefault="00B114A3" w:rsidP="0035496F">
      <w:pPr>
        <w:pStyle w:val="BodyTextMain"/>
        <w:rPr>
          <w:sz w:val="18"/>
        </w:rPr>
      </w:pPr>
    </w:p>
    <w:p w14:paraId="47817323" w14:textId="77777777" w:rsidR="00B114A3" w:rsidRDefault="00B114A3" w:rsidP="0035496F">
      <w:pPr>
        <w:pStyle w:val="BodyTextMain"/>
        <w:rPr>
          <w:sz w:val="18"/>
        </w:rPr>
      </w:pPr>
    </w:p>
    <w:p w14:paraId="0587BAAB" w14:textId="77777777" w:rsidR="00B114A3" w:rsidRDefault="00B114A3" w:rsidP="0035496F">
      <w:pPr>
        <w:pStyle w:val="BodyTextMain"/>
        <w:rPr>
          <w:sz w:val="18"/>
        </w:rPr>
      </w:pPr>
    </w:p>
    <w:p w14:paraId="56F88143" w14:textId="77777777" w:rsidR="00CA4390" w:rsidRPr="000A7D60" w:rsidRDefault="00CA4390" w:rsidP="0035496F">
      <w:pPr>
        <w:pStyle w:val="BodyTextMain"/>
        <w:rPr>
          <w:sz w:val="18"/>
        </w:rPr>
      </w:pPr>
    </w:p>
    <w:p w14:paraId="0642A49A" w14:textId="66F7958A" w:rsidR="00DF041A" w:rsidRPr="00324B9F" w:rsidRDefault="00DF041A" w:rsidP="00324B9F">
      <w:pPr>
        <w:pStyle w:val="ExhibitHeading"/>
      </w:pPr>
      <w:r w:rsidRPr="00324B9F">
        <w:t xml:space="preserve">Exhibit </w:t>
      </w:r>
      <w:r w:rsidR="00302AD6">
        <w:t>5</w:t>
      </w:r>
      <w:r w:rsidRPr="00324B9F">
        <w:t>: Expected forecast of the Internet of Things</w:t>
      </w:r>
    </w:p>
    <w:p w14:paraId="45B163AA" w14:textId="77777777" w:rsidR="00DF041A" w:rsidRPr="00B90173" w:rsidRDefault="00DF041A" w:rsidP="00DF041A">
      <w:pPr>
        <w:spacing w:line="360" w:lineRule="auto"/>
        <w:jc w:val="both"/>
        <w:rPr>
          <w:sz w:val="18"/>
          <w:szCs w:val="24"/>
        </w:rPr>
      </w:pPr>
    </w:p>
    <w:p w14:paraId="4E5B36E6" w14:textId="77777777" w:rsidR="00143EDD" w:rsidRDefault="00143EDD" w:rsidP="0080764F">
      <w:pPr>
        <w:pStyle w:val="Footnote"/>
        <w:jc w:val="center"/>
        <w:rPr>
          <w:sz w:val="24"/>
          <w:szCs w:val="24"/>
        </w:rPr>
      </w:pPr>
      <w:r>
        <w:rPr>
          <w:noProof/>
          <w:lang w:val="en-US"/>
        </w:rPr>
        <w:drawing>
          <wp:inline distT="0" distB="0" distL="0" distR="0" wp14:anchorId="6B58E850" wp14:editId="07F0F690">
            <wp:extent cx="5760720" cy="2633133"/>
            <wp:effectExtent l="0" t="0" r="11430" b="1524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DEDB04" w14:textId="4781D979" w:rsidR="00DF041A" w:rsidRPr="00324B9F" w:rsidRDefault="00EE11B5" w:rsidP="0080764F">
      <w:pPr>
        <w:pStyle w:val="Footnote"/>
        <w:jc w:val="center"/>
      </w:pPr>
      <w:r>
        <w:rPr>
          <w:noProof/>
          <w:lang w:val="en-US"/>
        </w:rPr>
        <w:drawing>
          <wp:inline distT="0" distB="0" distL="0" distR="0" wp14:anchorId="38EC779E" wp14:editId="52D33A7E">
            <wp:extent cx="5760720" cy="3162241"/>
            <wp:effectExtent l="0" t="0" r="11430" b="19685"/>
            <wp:docPr id="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0EBFE9" w14:textId="77777777" w:rsidR="00143EDD" w:rsidRDefault="00143EDD" w:rsidP="00324B9F">
      <w:pPr>
        <w:pStyle w:val="Footnote"/>
      </w:pPr>
    </w:p>
    <w:p w14:paraId="0EE9ECDC" w14:textId="181C8B73" w:rsidR="00B97F40" w:rsidRPr="00165F4C" w:rsidRDefault="00DF041A" w:rsidP="00165F4C">
      <w:pPr>
        <w:pStyle w:val="Footnote"/>
      </w:pPr>
      <w:r w:rsidRPr="00165F4C">
        <w:t xml:space="preserve">Source: </w:t>
      </w:r>
      <w:r w:rsidR="005C466D" w:rsidRPr="00165F4C">
        <w:t xml:space="preserve">Created by the case authors based on </w:t>
      </w:r>
      <w:r w:rsidR="00B97F40" w:rsidRPr="00165F4C">
        <w:t>Julia</w:t>
      </w:r>
      <w:r w:rsidR="00D17A54" w:rsidRPr="00165F4C">
        <w:t>n</w:t>
      </w:r>
      <w:r w:rsidR="00B97F40" w:rsidRPr="00165F4C">
        <w:t>ne Twining, “Behind the Numbers: Growth in the Internet of Things</w:t>
      </w:r>
      <w:r w:rsidR="00605DF3" w:rsidRPr="00165F4C">
        <w:t>,”</w:t>
      </w:r>
      <w:r w:rsidR="00B97F40" w:rsidRPr="00165F4C">
        <w:t xml:space="preserve"> </w:t>
      </w:r>
      <w:r w:rsidR="00CB7435" w:rsidRPr="00165F4C">
        <w:t>Platform: Technology</w:t>
      </w:r>
      <w:r w:rsidR="000774A7" w:rsidRPr="00165F4C">
        <w:t>, TV &amp; the Future,</w:t>
      </w:r>
      <w:r w:rsidR="00B97F40" w:rsidRPr="00165F4C">
        <w:t xml:space="preserve"> March 20, 2015, accessed </w:t>
      </w:r>
      <w:r w:rsidR="00605DF3" w:rsidRPr="00165F4C">
        <w:t>December 3</w:t>
      </w:r>
      <w:r w:rsidR="00B97F40" w:rsidRPr="00165F4C">
        <w:t>,</w:t>
      </w:r>
      <w:r w:rsidR="009E5FEB" w:rsidRPr="00165F4C">
        <w:t xml:space="preserve"> </w:t>
      </w:r>
      <w:r w:rsidR="00B97F40" w:rsidRPr="00165F4C">
        <w:t>2016, https://www.ncta.com/platform/broadband-internet/behind-the-numbers-growth-in-the-internet-of-things</w:t>
      </w:r>
      <w:r w:rsidR="00605DF3" w:rsidRPr="00165F4C">
        <w:t>;</w:t>
      </w:r>
      <w:r w:rsidR="00B97F40" w:rsidRPr="00165F4C">
        <w:t xml:space="preserve"> </w:t>
      </w:r>
      <w:r w:rsidR="00CB7435" w:rsidRPr="00165F4C">
        <w:t>Dave Evans, “</w:t>
      </w:r>
      <w:r w:rsidR="00B97F40" w:rsidRPr="00165F4C">
        <w:t>The Internet of Things</w:t>
      </w:r>
      <w:r w:rsidR="00CB7435" w:rsidRPr="00165F4C">
        <w:t>:</w:t>
      </w:r>
      <w:r w:rsidR="00B97F40" w:rsidRPr="00165F4C">
        <w:t xml:space="preserve"> How the Next Evolution of the Internet Is Changing Everything</w:t>
      </w:r>
      <w:r w:rsidR="00CB7435" w:rsidRPr="00165F4C">
        <w:t xml:space="preserve">,” Cisco: White Paper, </w:t>
      </w:r>
      <w:r w:rsidR="00B97F40" w:rsidRPr="00165F4C">
        <w:t>April 2011</w:t>
      </w:r>
      <w:r w:rsidR="00CB7435" w:rsidRPr="00165F4C">
        <w:t>,</w:t>
      </w:r>
      <w:r w:rsidR="00B97F40" w:rsidRPr="00165F4C">
        <w:t xml:space="preserve"> accessed </w:t>
      </w:r>
      <w:r w:rsidR="00605DF3" w:rsidRPr="00165F4C">
        <w:t>December 3</w:t>
      </w:r>
      <w:r w:rsidR="00B97F40" w:rsidRPr="00165F4C">
        <w:t>, 2016, www.cisco.com/c/dam/en_us/about/ac79/docs/innov/IoT_IBSG_0411FINAL.pdf</w:t>
      </w:r>
      <w:r w:rsidR="00605DF3" w:rsidRPr="00165F4C">
        <w:t>.</w:t>
      </w:r>
    </w:p>
    <w:p w14:paraId="471B85C6" w14:textId="77777777" w:rsidR="00B97F40" w:rsidRPr="00413BFC" w:rsidRDefault="00B97F40" w:rsidP="00324B9F">
      <w:pPr>
        <w:pStyle w:val="Footnote"/>
        <w:rPr>
          <w:b/>
        </w:rPr>
      </w:pPr>
    </w:p>
    <w:p w14:paraId="4D09A7B2" w14:textId="77777777" w:rsidR="00324B9F" w:rsidRPr="00413BFC" w:rsidRDefault="00324B9F">
      <w:pPr>
        <w:spacing w:after="200" w:line="276" w:lineRule="auto"/>
        <w:rPr>
          <w:rFonts w:ascii="Arial" w:hAnsi="Arial" w:cs="Arial"/>
          <w:b/>
          <w:sz w:val="17"/>
          <w:szCs w:val="17"/>
        </w:rPr>
      </w:pPr>
      <w:r w:rsidRPr="00413BFC">
        <w:rPr>
          <w:b/>
        </w:rPr>
        <w:br w:type="page"/>
      </w:r>
    </w:p>
    <w:p w14:paraId="2A8EB05B" w14:textId="72E9994F" w:rsidR="008723FE" w:rsidRPr="009973CA" w:rsidRDefault="008723FE" w:rsidP="008723FE">
      <w:pPr>
        <w:pStyle w:val="ExhibitHeading"/>
      </w:pPr>
      <w:r w:rsidRPr="009973CA">
        <w:lastRenderedPageBreak/>
        <w:t xml:space="preserve">Exhibit </w:t>
      </w:r>
      <w:r w:rsidR="00302AD6">
        <w:t>6</w:t>
      </w:r>
      <w:r w:rsidRPr="009973CA">
        <w:t>: Tokyo Electron financial highlight</w:t>
      </w:r>
      <w:r w:rsidR="000A00CE">
        <w:t>s</w:t>
      </w:r>
    </w:p>
    <w:p w14:paraId="3218FC06" w14:textId="77777777" w:rsidR="00322B9D" w:rsidRPr="000A7D60" w:rsidRDefault="00322B9D" w:rsidP="000A7D60">
      <w:pPr>
        <w:pStyle w:val="BodyTextMain"/>
        <w:rPr>
          <w:sz w:val="18"/>
        </w:rPr>
      </w:pPr>
    </w:p>
    <w:tbl>
      <w:tblPr>
        <w:tblStyle w:val="MediumShading2-Accent5"/>
        <w:tblW w:w="9576" w:type="dxa"/>
        <w:tblLayout w:type="fixed"/>
        <w:tblLook w:val="04A0" w:firstRow="1" w:lastRow="0" w:firstColumn="1" w:lastColumn="0" w:noHBand="0" w:noVBand="1"/>
      </w:tblPr>
      <w:tblGrid>
        <w:gridCol w:w="2908"/>
        <w:gridCol w:w="1412"/>
        <w:gridCol w:w="1742"/>
        <w:gridCol w:w="1701"/>
        <w:gridCol w:w="1813"/>
      </w:tblGrid>
      <w:tr w:rsidR="008723FE" w:rsidRPr="0053347D" w14:paraId="08224B80" w14:textId="77777777" w:rsidTr="00740F52">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2908" w:type="dxa"/>
            <w:shd w:val="clear" w:color="auto" w:fill="auto"/>
            <w:vAlign w:val="center"/>
          </w:tcPr>
          <w:p w14:paraId="1FF37CB1" w14:textId="77777777" w:rsidR="008723FE" w:rsidRPr="00740F52" w:rsidRDefault="008723FE" w:rsidP="008723FE">
            <w:pPr>
              <w:spacing w:line="276" w:lineRule="auto"/>
              <w:jc w:val="center"/>
              <w:rPr>
                <w:rFonts w:ascii="Arial" w:hAnsi="Arial" w:cs="Arial"/>
                <w:color w:val="auto"/>
                <w:sz w:val="18"/>
                <w:szCs w:val="18"/>
              </w:rPr>
            </w:pPr>
          </w:p>
        </w:tc>
        <w:tc>
          <w:tcPr>
            <w:tcW w:w="1412" w:type="dxa"/>
            <w:shd w:val="clear" w:color="auto" w:fill="auto"/>
            <w:vAlign w:val="center"/>
          </w:tcPr>
          <w:p w14:paraId="5B0363AC" w14:textId="56462328" w:rsidR="008723FE" w:rsidRPr="00740F52" w:rsidRDefault="008723FE" w:rsidP="00400A5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740F52">
              <w:rPr>
                <w:rFonts w:ascii="Arial" w:hAnsi="Arial" w:cs="Arial"/>
                <w:color w:val="auto"/>
                <w:sz w:val="18"/>
                <w:szCs w:val="18"/>
              </w:rPr>
              <w:t xml:space="preserve">Thousands of </w:t>
            </w:r>
            <w:r w:rsidRPr="00740F52">
              <w:rPr>
                <w:rFonts w:ascii="Arial" w:hAnsi="Arial" w:cs="Arial"/>
                <w:color w:val="auto"/>
                <w:sz w:val="18"/>
                <w:szCs w:val="18"/>
              </w:rPr>
              <w:br/>
              <w:t>U</w:t>
            </w:r>
            <w:r w:rsidR="00B114A3" w:rsidRPr="00740F52">
              <w:rPr>
                <w:rFonts w:ascii="Arial" w:hAnsi="Arial" w:cs="Arial"/>
                <w:color w:val="auto"/>
                <w:sz w:val="18"/>
                <w:szCs w:val="18"/>
              </w:rPr>
              <w:t>.</w:t>
            </w:r>
            <w:r w:rsidRPr="00740F52">
              <w:rPr>
                <w:rFonts w:ascii="Arial" w:hAnsi="Arial" w:cs="Arial"/>
                <w:color w:val="auto"/>
                <w:sz w:val="18"/>
                <w:szCs w:val="18"/>
              </w:rPr>
              <w:t>S</w:t>
            </w:r>
            <w:r w:rsidR="00B114A3" w:rsidRPr="00740F52">
              <w:rPr>
                <w:rFonts w:ascii="Arial" w:hAnsi="Arial" w:cs="Arial"/>
                <w:color w:val="auto"/>
                <w:sz w:val="18"/>
                <w:szCs w:val="18"/>
              </w:rPr>
              <w:t>.</w:t>
            </w:r>
            <w:r w:rsidRPr="00740F52">
              <w:rPr>
                <w:rFonts w:ascii="Arial" w:hAnsi="Arial" w:cs="Arial"/>
                <w:color w:val="auto"/>
                <w:sz w:val="18"/>
                <w:szCs w:val="18"/>
              </w:rPr>
              <w:t xml:space="preserve"> Dollars</w:t>
            </w:r>
            <w:r w:rsidR="00E04790" w:rsidRPr="00740F52">
              <w:rPr>
                <w:rFonts w:ascii="Arial" w:hAnsi="Arial" w:cs="Arial"/>
                <w:color w:val="auto"/>
                <w:sz w:val="18"/>
                <w:szCs w:val="18"/>
              </w:rPr>
              <w:t xml:space="preserve"> </w:t>
            </w:r>
          </w:p>
        </w:tc>
        <w:tc>
          <w:tcPr>
            <w:tcW w:w="5256" w:type="dxa"/>
            <w:gridSpan w:val="3"/>
            <w:shd w:val="clear" w:color="auto" w:fill="auto"/>
            <w:vAlign w:val="center"/>
          </w:tcPr>
          <w:p w14:paraId="2C13A15E" w14:textId="676ECFE2" w:rsidR="008723FE" w:rsidRPr="00740F52" w:rsidRDefault="008723FE" w:rsidP="00400A5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740F52">
              <w:rPr>
                <w:rFonts w:ascii="Arial" w:hAnsi="Arial" w:cs="Arial"/>
                <w:color w:val="auto"/>
                <w:sz w:val="18"/>
                <w:szCs w:val="18"/>
              </w:rPr>
              <w:t xml:space="preserve">Millions of </w:t>
            </w:r>
            <w:r w:rsidR="00413BFC" w:rsidRPr="00740F52">
              <w:rPr>
                <w:rFonts w:ascii="Arial" w:hAnsi="Arial" w:cs="Arial"/>
                <w:color w:val="auto"/>
                <w:sz w:val="18"/>
                <w:szCs w:val="18"/>
              </w:rPr>
              <w:t xml:space="preserve">Japanese </w:t>
            </w:r>
            <w:r w:rsidRPr="00740F52">
              <w:rPr>
                <w:rFonts w:ascii="Arial" w:hAnsi="Arial" w:cs="Arial"/>
                <w:color w:val="auto"/>
                <w:sz w:val="18"/>
                <w:szCs w:val="18"/>
              </w:rPr>
              <w:t>Yen</w:t>
            </w:r>
            <w:r w:rsidR="00C60E44" w:rsidRPr="00740F52">
              <w:rPr>
                <w:rFonts w:ascii="Arial" w:hAnsi="Arial" w:cs="Arial"/>
                <w:color w:val="auto"/>
                <w:sz w:val="18"/>
                <w:szCs w:val="18"/>
              </w:rPr>
              <w:t xml:space="preserve"> </w:t>
            </w:r>
          </w:p>
        </w:tc>
      </w:tr>
      <w:tr w:rsidR="00BF31F0" w:rsidRPr="0053347D" w14:paraId="41F2B7E9"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26B71164" w14:textId="77777777" w:rsidR="008723FE" w:rsidRPr="00740F52" w:rsidRDefault="008723FE" w:rsidP="00A63DCF">
            <w:pPr>
              <w:spacing w:line="276" w:lineRule="auto"/>
              <w:jc w:val="right"/>
              <w:rPr>
                <w:rFonts w:ascii="Arial" w:hAnsi="Arial" w:cs="Arial"/>
                <w:color w:val="auto"/>
                <w:sz w:val="18"/>
                <w:szCs w:val="18"/>
              </w:rPr>
            </w:pPr>
          </w:p>
        </w:tc>
        <w:tc>
          <w:tcPr>
            <w:tcW w:w="1412" w:type="dxa"/>
            <w:shd w:val="clear" w:color="auto" w:fill="auto"/>
            <w:vAlign w:val="center"/>
          </w:tcPr>
          <w:p w14:paraId="58230364"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b/>
                <w:bCs/>
                <w:sz w:val="18"/>
                <w:szCs w:val="18"/>
              </w:rPr>
              <w:t>2015</w:t>
            </w:r>
          </w:p>
        </w:tc>
        <w:tc>
          <w:tcPr>
            <w:tcW w:w="1742" w:type="dxa"/>
            <w:shd w:val="clear" w:color="auto" w:fill="auto"/>
            <w:vAlign w:val="center"/>
          </w:tcPr>
          <w:p w14:paraId="5245F9E7"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b/>
                <w:bCs/>
                <w:sz w:val="18"/>
                <w:szCs w:val="18"/>
              </w:rPr>
              <w:t>2015</w:t>
            </w:r>
          </w:p>
        </w:tc>
        <w:tc>
          <w:tcPr>
            <w:tcW w:w="1701" w:type="dxa"/>
            <w:shd w:val="clear" w:color="auto" w:fill="auto"/>
            <w:vAlign w:val="center"/>
          </w:tcPr>
          <w:p w14:paraId="6191064E"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b/>
                <w:bCs/>
                <w:sz w:val="18"/>
                <w:szCs w:val="18"/>
              </w:rPr>
              <w:t>2014</w:t>
            </w:r>
          </w:p>
        </w:tc>
        <w:tc>
          <w:tcPr>
            <w:tcW w:w="1813" w:type="dxa"/>
            <w:shd w:val="clear" w:color="auto" w:fill="auto"/>
            <w:vAlign w:val="center"/>
          </w:tcPr>
          <w:p w14:paraId="13ABD40D"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b/>
                <w:bCs/>
                <w:sz w:val="18"/>
                <w:szCs w:val="18"/>
              </w:rPr>
              <w:t>2013</w:t>
            </w:r>
          </w:p>
        </w:tc>
      </w:tr>
      <w:tr w:rsidR="00BF31F0" w:rsidRPr="0053347D" w14:paraId="53237391"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17864089" w14:textId="6D52C157" w:rsidR="008723FE" w:rsidRPr="00740F52" w:rsidRDefault="008723FE" w:rsidP="00B114A3">
            <w:pPr>
              <w:spacing w:line="276" w:lineRule="auto"/>
              <w:rPr>
                <w:rFonts w:ascii="Arial" w:hAnsi="Arial" w:cs="Arial"/>
                <w:color w:val="auto"/>
                <w:sz w:val="18"/>
                <w:szCs w:val="18"/>
              </w:rPr>
            </w:pPr>
            <w:r w:rsidRPr="00740F52">
              <w:rPr>
                <w:rFonts w:ascii="Arial" w:hAnsi="Arial" w:cs="Arial"/>
                <w:color w:val="auto"/>
                <w:sz w:val="18"/>
                <w:szCs w:val="18"/>
              </w:rPr>
              <w:t xml:space="preserve">Net </w:t>
            </w:r>
            <w:r w:rsidR="00B114A3" w:rsidRPr="00740F52">
              <w:rPr>
                <w:rFonts w:ascii="Arial" w:hAnsi="Arial" w:cs="Arial"/>
                <w:color w:val="auto"/>
                <w:sz w:val="18"/>
                <w:szCs w:val="18"/>
              </w:rPr>
              <w:t>sales</w:t>
            </w:r>
          </w:p>
        </w:tc>
        <w:tc>
          <w:tcPr>
            <w:tcW w:w="1412" w:type="dxa"/>
            <w:shd w:val="clear" w:color="auto" w:fill="auto"/>
            <w:vAlign w:val="center"/>
          </w:tcPr>
          <w:p w14:paraId="146687E9" w14:textId="7BF09076"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5,102,147</w:t>
            </w:r>
          </w:p>
        </w:tc>
        <w:tc>
          <w:tcPr>
            <w:tcW w:w="1742" w:type="dxa"/>
            <w:shd w:val="clear" w:color="auto" w:fill="auto"/>
            <w:vAlign w:val="center"/>
          </w:tcPr>
          <w:p w14:paraId="3C78BBB4" w14:textId="56E2F44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613,125</w:t>
            </w:r>
          </w:p>
        </w:tc>
        <w:tc>
          <w:tcPr>
            <w:tcW w:w="1701" w:type="dxa"/>
            <w:shd w:val="clear" w:color="auto" w:fill="auto"/>
            <w:vAlign w:val="center"/>
          </w:tcPr>
          <w:p w14:paraId="7EC5BBDB" w14:textId="5BC239E8"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612,170</w:t>
            </w:r>
          </w:p>
        </w:tc>
        <w:tc>
          <w:tcPr>
            <w:tcW w:w="1813" w:type="dxa"/>
            <w:shd w:val="clear" w:color="auto" w:fill="auto"/>
            <w:vAlign w:val="center"/>
          </w:tcPr>
          <w:p w14:paraId="02C4CE1A" w14:textId="45346B9F"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497,300</w:t>
            </w:r>
          </w:p>
        </w:tc>
      </w:tr>
      <w:tr w:rsidR="00BF31F0" w:rsidRPr="0053347D" w14:paraId="06ED6D27"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12155D65"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Semiconductor production equipment</w:t>
            </w:r>
          </w:p>
        </w:tc>
        <w:tc>
          <w:tcPr>
            <w:tcW w:w="1412" w:type="dxa"/>
            <w:shd w:val="clear" w:color="auto" w:fill="auto"/>
            <w:vAlign w:val="center"/>
          </w:tcPr>
          <w:p w14:paraId="58AC9C65" w14:textId="071193A6"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4,795,223</w:t>
            </w:r>
          </w:p>
        </w:tc>
        <w:tc>
          <w:tcPr>
            <w:tcW w:w="1742" w:type="dxa"/>
            <w:shd w:val="clear" w:color="auto" w:fill="auto"/>
            <w:vAlign w:val="center"/>
          </w:tcPr>
          <w:p w14:paraId="70F8AB13" w14:textId="4859F576"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576,242</w:t>
            </w:r>
          </w:p>
        </w:tc>
        <w:tc>
          <w:tcPr>
            <w:tcW w:w="1701" w:type="dxa"/>
            <w:shd w:val="clear" w:color="auto" w:fill="auto"/>
            <w:vAlign w:val="center"/>
          </w:tcPr>
          <w:p w14:paraId="0EC7F6AF" w14:textId="3E2A8583"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478,842</w:t>
            </w:r>
          </w:p>
        </w:tc>
        <w:tc>
          <w:tcPr>
            <w:tcW w:w="1813" w:type="dxa"/>
            <w:shd w:val="clear" w:color="auto" w:fill="auto"/>
            <w:vAlign w:val="center"/>
          </w:tcPr>
          <w:p w14:paraId="284F57F0" w14:textId="0050BDAC"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392,027</w:t>
            </w:r>
          </w:p>
        </w:tc>
      </w:tr>
      <w:tr w:rsidR="00BF31F0" w:rsidRPr="0053347D" w14:paraId="2AA2873F"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D813846" w14:textId="0B65B331"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FP</w:t>
            </w:r>
            <w:r w:rsidR="003E23B3" w:rsidRPr="00740F52">
              <w:rPr>
                <w:rFonts w:ascii="Arial" w:hAnsi="Arial" w:cs="Arial"/>
                <w:color w:val="auto"/>
                <w:sz w:val="18"/>
                <w:szCs w:val="18"/>
              </w:rPr>
              <w:t>D</w:t>
            </w:r>
            <w:r w:rsidRPr="00740F52">
              <w:rPr>
                <w:rFonts w:ascii="Arial" w:hAnsi="Arial" w:cs="Arial"/>
                <w:color w:val="auto"/>
                <w:sz w:val="18"/>
                <w:szCs w:val="18"/>
              </w:rPr>
              <w:t xml:space="preserve"> production equipment</w:t>
            </w:r>
          </w:p>
        </w:tc>
        <w:tc>
          <w:tcPr>
            <w:tcW w:w="1412" w:type="dxa"/>
            <w:shd w:val="clear" w:color="auto" w:fill="auto"/>
            <w:vAlign w:val="center"/>
          </w:tcPr>
          <w:p w14:paraId="4158BDBB" w14:textId="3489231C"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272,198</w:t>
            </w:r>
          </w:p>
        </w:tc>
        <w:tc>
          <w:tcPr>
            <w:tcW w:w="1742" w:type="dxa"/>
            <w:shd w:val="clear" w:color="auto" w:fill="auto"/>
            <w:vAlign w:val="center"/>
          </w:tcPr>
          <w:p w14:paraId="047382C8" w14:textId="0C14C8C9"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32,710</w:t>
            </w:r>
          </w:p>
        </w:tc>
        <w:tc>
          <w:tcPr>
            <w:tcW w:w="1701" w:type="dxa"/>
            <w:shd w:val="clear" w:color="auto" w:fill="auto"/>
            <w:vAlign w:val="center"/>
          </w:tcPr>
          <w:p w14:paraId="5E6CEFF2" w14:textId="14678031"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28,317</w:t>
            </w:r>
          </w:p>
        </w:tc>
        <w:tc>
          <w:tcPr>
            <w:tcW w:w="1813" w:type="dxa"/>
            <w:shd w:val="clear" w:color="auto" w:fill="auto"/>
            <w:vAlign w:val="center"/>
          </w:tcPr>
          <w:p w14:paraId="143E0716" w14:textId="61ADA1FA"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20,077</w:t>
            </w:r>
          </w:p>
        </w:tc>
      </w:tr>
      <w:tr w:rsidR="00BF31F0" w:rsidRPr="0053347D" w14:paraId="38563137"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382B54D4"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PV production equipment</w:t>
            </w:r>
          </w:p>
        </w:tc>
        <w:tc>
          <w:tcPr>
            <w:tcW w:w="1412" w:type="dxa"/>
            <w:shd w:val="clear" w:color="auto" w:fill="auto"/>
            <w:vAlign w:val="center"/>
          </w:tcPr>
          <w:p w14:paraId="716213CB" w14:textId="5D2BED4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30,107</w:t>
            </w:r>
          </w:p>
        </w:tc>
        <w:tc>
          <w:tcPr>
            <w:tcW w:w="1742" w:type="dxa"/>
            <w:shd w:val="clear" w:color="auto" w:fill="auto"/>
            <w:vAlign w:val="center"/>
          </w:tcPr>
          <w:p w14:paraId="5A9E3739" w14:textId="793AA77D"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3,618</w:t>
            </w:r>
          </w:p>
        </w:tc>
        <w:tc>
          <w:tcPr>
            <w:tcW w:w="1701" w:type="dxa"/>
            <w:shd w:val="clear" w:color="auto" w:fill="auto"/>
            <w:vAlign w:val="center"/>
          </w:tcPr>
          <w:p w14:paraId="02B975E1" w14:textId="5A38596C"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3,806</w:t>
            </w:r>
          </w:p>
        </w:tc>
        <w:tc>
          <w:tcPr>
            <w:tcW w:w="1813" w:type="dxa"/>
            <w:shd w:val="clear" w:color="auto" w:fill="auto"/>
            <w:vAlign w:val="center"/>
          </w:tcPr>
          <w:p w14:paraId="1FEBE8FF" w14:textId="3ECB7D8B"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83</w:t>
            </w:r>
          </w:p>
        </w:tc>
      </w:tr>
      <w:tr w:rsidR="00BF31F0" w:rsidRPr="0053347D" w14:paraId="6968F3C3"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DAAECC3"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Electronic components and computer networks</w:t>
            </w:r>
          </w:p>
        </w:tc>
        <w:tc>
          <w:tcPr>
            <w:tcW w:w="1412" w:type="dxa"/>
            <w:shd w:val="clear" w:color="auto" w:fill="auto"/>
            <w:vAlign w:val="center"/>
          </w:tcPr>
          <w:p w14:paraId="0149D042"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07C7182C"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01" w:type="dxa"/>
            <w:shd w:val="clear" w:color="auto" w:fill="auto"/>
            <w:vAlign w:val="center"/>
          </w:tcPr>
          <w:p w14:paraId="7BF6F931" w14:textId="1F9C1A42"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100,726</w:t>
            </w:r>
          </w:p>
        </w:tc>
        <w:tc>
          <w:tcPr>
            <w:tcW w:w="1813" w:type="dxa"/>
            <w:shd w:val="clear" w:color="auto" w:fill="auto"/>
            <w:vAlign w:val="center"/>
          </w:tcPr>
          <w:p w14:paraId="4CC2D4C2" w14:textId="42A82ADF"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84,665</w:t>
            </w:r>
          </w:p>
        </w:tc>
      </w:tr>
      <w:tr w:rsidR="00BF31F0" w:rsidRPr="0053347D" w14:paraId="41702777"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7A5C5F25"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Other</w:t>
            </w:r>
          </w:p>
        </w:tc>
        <w:tc>
          <w:tcPr>
            <w:tcW w:w="1412" w:type="dxa"/>
            <w:shd w:val="clear" w:color="auto" w:fill="auto"/>
            <w:vAlign w:val="center"/>
          </w:tcPr>
          <w:p w14:paraId="44BB1071" w14:textId="48817F22"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4,619</w:t>
            </w:r>
          </w:p>
        </w:tc>
        <w:tc>
          <w:tcPr>
            <w:tcW w:w="1742" w:type="dxa"/>
            <w:shd w:val="clear" w:color="auto" w:fill="auto"/>
            <w:vAlign w:val="center"/>
          </w:tcPr>
          <w:p w14:paraId="57729E95" w14:textId="2AF71830"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555</w:t>
            </w:r>
          </w:p>
        </w:tc>
        <w:tc>
          <w:tcPr>
            <w:tcW w:w="1701" w:type="dxa"/>
            <w:shd w:val="clear" w:color="auto" w:fill="auto"/>
            <w:vAlign w:val="center"/>
          </w:tcPr>
          <w:p w14:paraId="633AAAAB" w14:textId="633EE4E5"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479</w:t>
            </w:r>
          </w:p>
        </w:tc>
        <w:tc>
          <w:tcPr>
            <w:tcW w:w="1813" w:type="dxa"/>
            <w:shd w:val="clear" w:color="auto" w:fill="auto"/>
            <w:vAlign w:val="center"/>
          </w:tcPr>
          <w:p w14:paraId="5CB25B94" w14:textId="6467C54C"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448</w:t>
            </w:r>
          </w:p>
        </w:tc>
      </w:tr>
      <w:tr w:rsidR="00BF31F0" w:rsidRPr="0053347D" w14:paraId="11E71023"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06A6CCE3"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Operating income (loss)</w:t>
            </w:r>
          </w:p>
        </w:tc>
        <w:tc>
          <w:tcPr>
            <w:tcW w:w="1412" w:type="dxa"/>
            <w:shd w:val="clear" w:color="auto" w:fill="auto"/>
            <w:vAlign w:val="center"/>
          </w:tcPr>
          <w:p w14:paraId="480ECCF9" w14:textId="374A7670"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733,236</w:t>
            </w:r>
          </w:p>
        </w:tc>
        <w:tc>
          <w:tcPr>
            <w:tcW w:w="1742" w:type="dxa"/>
            <w:shd w:val="clear" w:color="auto" w:fill="auto"/>
            <w:vAlign w:val="center"/>
          </w:tcPr>
          <w:p w14:paraId="7ADA423F" w14:textId="32211203"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88,113</w:t>
            </w:r>
          </w:p>
        </w:tc>
        <w:tc>
          <w:tcPr>
            <w:tcW w:w="1701" w:type="dxa"/>
            <w:shd w:val="clear" w:color="auto" w:fill="auto"/>
            <w:vAlign w:val="center"/>
          </w:tcPr>
          <w:p w14:paraId="222C6A44" w14:textId="67527072"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32,205</w:t>
            </w:r>
          </w:p>
        </w:tc>
        <w:tc>
          <w:tcPr>
            <w:tcW w:w="1813" w:type="dxa"/>
            <w:shd w:val="clear" w:color="auto" w:fill="auto"/>
            <w:vAlign w:val="center"/>
          </w:tcPr>
          <w:p w14:paraId="1CF58474" w14:textId="6E2AD150"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12,549</w:t>
            </w:r>
          </w:p>
        </w:tc>
      </w:tr>
      <w:tr w:rsidR="00BF31F0" w:rsidRPr="0053347D" w14:paraId="5E56A61D"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6862D8D1"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Income (loss) before income taxes and minority interests</w:t>
            </w:r>
          </w:p>
        </w:tc>
        <w:tc>
          <w:tcPr>
            <w:tcW w:w="1412" w:type="dxa"/>
            <w:shd w:val="clear" w:color="auto" w:fill="auto"/>
            <w:vAlign w:val="center"/>
          </w:tcPr>
          <w:p w14:paraId="3324BC6B" w14:textId="7C08E8F8"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722,543</w:t>
            </w:r>
          </w:p>
        </w:tc>
        <w:tc>
          <w:tcPr>
            <w:tcW w:w="1742" w:type="dxa"/>
            <w:shd w:val="clear" w:color="auto" w:fill="auto"/>
            <w:vAlign w:val="center"/>
          </w:tcPr>
          <w:p w14:paraId="235D1D54" w14:textId="4407050A"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88,828</w:t>
            </w:r>
          </w:p>
        </w:tc>
        <w:tc>
          <w:tcPr>
            <w:tcW w:w="1701" w:type="dxa"/>
            <w:shd w:val="clear" w:color="auto" w:fill="auto"/>
            <w:vAlign w:val="center"/>
          </w:tcPr>
          <w:p w14:paraId="463AEBCB" w14:textId="38F0D6F0" w:rsidR="008723FE" w:rsidRPr="00740F52" w:rsidRDefault="003C3894"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w:t>
            </w:r>
            <w:r w:rsidR="008723FE" w:rsidRPr="00740F52">
              <w:rPr>
                <w:rFonts w:ascii="Arial" w:hAnsi="Arial" w:cs="Arial"/>
                <w:sz w:val="18"/>
                <w:szCs w:val="18"/>
              </w:rPr>
              <w:t>11,756</w:t>
            </w:r>
          </w:p>
        </w:tc>
        <w:tc>
          <w:tcPr>
            <w:tcW w:w="1813" w:type="dxa"/>
            <w:shd w:val="clear" w:color="auto" w:fill="auto"/>
            <w:vAlign w:val="center"/>
          </w:tcPr>
          <w:p w14:paraId="5D74A123" w14:textId="00372C45"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17,767</w:t>
            </w:r>
          </w:p>
        </w:tc>
      </w:tr>
      <w:tr w:rsidR="00BF31F0" w:rsidRPr="0053347D" w14:paraId="577AE552"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3D2F7DAD"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Net income (loss)</w:t>
            </w:r>
          </w:p>
        </w:tc>
        <w:tc>
          <w:tcPr>
            <w:tcW w:w="1412" w:type="dxa"/>
            <w:shd w:val="clear" w:color="auto" w:fill="auto"/>
            <w:vAlign w:val="center"/>
          </w:tcPr>
          <w:p w14:paraId="61F53933" w14:textId="7CDE75AA"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598,219</w:t>
            </w:r>
          </w:p>
        </w:tc>
        <w:tc>
          <w:tcPr>
            <w:tcW w:w="1742" w:type="dxa"/>
            <w:shd w:val="clear" w:color="auto" w:fill="auto"/>
            <w:vAlign w:val="center"/>
          </w:tcPr>
          <w:p w14:paraId="17A05430" w14:textId="24AD9C23"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71,888</w:t>
            </w:r>
          </w:p>
        </w:tc>
        <w:tc>
          <w:tcPr>
            <w:tcW w:w="1701" w:type="dxa"/>
            <w:shd w:val="clear" w:color="auto" w:fill="auto"/>
            <w:vAlign w:val="center"/>
          </w:tcPr>
          <w:p w14:paraId="7CCA762C" w14:textId="5CAB1BF8" w:rsidR="008723FE" w:rsidRPr="00740F52" w:rsidRDefault="003C3894"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w:t>
            </w:r>
            <w:r w:rsidR="008723FE" w:rsidRPr="00740F52">
              <w:rPr>
                <w:rFonts w:ascii="Arial" w:hAnsi="Arial" w:cs="Arial"/>
                <w:sz w:val="18"/>
                <w:szCs w:val="18"/>
              </w:rPr>
              <w:t>19,409</w:t>
            </w:r>
          </w:p>
        </w:tc>
        <w:tc>
          <w:tcPr>
            <w:tcW w:w="1813" w:type="dxa"/>
            <w:shd w:val="clear" w:color="auto" w:fill="auto"/>
            <w:vAlign w:val="center"/>
          </w:tcPr>
          <w:p w14:paraId="7E2473C9" w14:textId="7D54F975"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6,076</w:t>
            </w:r>
          </w:p>
        </w:tc>
      </w:tr>
      <w:tr w:rsidR="00BF31F0" w:rsidRPr="0053347D" w14:paraId="0B327EC2"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20BC6C02"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Comprehensive income (loss)</w:t>
            </w:r>
          </w:p>
        </w:tc>
        <w:tc>
          <w:tcPr>
            <w:tcW w:w="1412" w:type="dxa"/>
            <w:shd w:val="clear" w:color="auto" w:fill="auto"/>
            <w:vAlign w:val="center"/>
          </w:tcPr>
          <w:p w14:paraId="77884DCF" w14:textId="3FF303B3"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668,178</w:t>
            </w:r>
          </w:p>
        </w:tc>
        <w:tc>
          <w:tcPr>
            <w:tcW w:w="1742" w:type="dxa"/>
            <w:shd w:val="clear" w:color="auto" w:fill="auto"/>
            <w:vAlign w:val="center"/>
          </w:tcPr>
          <w:p w14:paraId="431DEA2C" w14:textId="68E1D02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80,295</w:t>
            </w:r>
          </w:p>
        </w:tc>
        <w:tc>
          <w:tcPr>
            <w:tcW w:w="1701" w:type="dxa"/>
            <w:shd w:val="clear" w:color="auto" w:fill="auto"/>
            <w:vAlign w:val="center"/>
          </w:tcPr>
          <w:p w14:paraId="6DAD6A15" w14:textId="7A70123E" w:rsidR="008723FE" w:rsidRPr="00740F52" w:rsidRDefault="003C3894"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w:t>
            </w:r>
            <w:r w:rsidR="008723FE" w:rsidRPr="00740F52">
              <w:rPr>
                <w:rFonts w:ascii="Arial" w:hAnsi="Arial" w:cs="Arial"/>
                <w:sz w:val="18"/>
                <w:szCs w:val="18"/>
              </w:rPr>
              <w:t>10,889</w:t>
            </w:r>
          </w:p>
        </w:tc>
        <w:tc>
          <w:tcPr>
            <w:tcW w:w="1813" w:type="dxa"/>
            <w:shd w:val="clear" w:color="auto" w:fill="auto"/>
            <w:vAlign w:val="center"/>
          </w:tcPr>
          <w:p w14:paraId="30CB8823" w14:textId="3624EF2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15,826</w:t>
            </w:r>
          </w:p>
        </w:tc>
      </w:tr>
      <w:tr w:rsidR="00BF31F0" w:rsidRPr="0053347D" w14:paraId="3408F268"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2B359C5D"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Domestic sales</w:t>
            </w:r>
          </w:p>
        </w:tc>
        <w:tc>
          <w:tcPr>
            <w:tcW w:w="1412" w:type="dxa"/>
            <w:shd w:val="clear" w:color="auto" w:fill="auto"/>
            <w:vAlign w:val="center"/>
          </w:tcPr>
          <w:p w14:paraId="42BC64FE" w14:textId="7469AFD9"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790,930</w:t>
            </w:r>
          </w:p>
        </w:tc>
        <w:tc>
          <w:tcPr>
            <w:tcW w:w="1742" w:type="dxa"/>
            <w:shd w:val="clear" w:color="auto" w:fill="auto"/>
            <w:vAlign w:val="center"/>
          </w:tcPr>
          <w:p w14:paraId="507B2982" w14:textId="7896D581"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95,046</w:t>
            </w:r>
          </w:p>
        </w:tc>
        <w:tc>
          <w:tcPr>
            <w:tcW w:w="1701" w:type="dxa"/>
            <w:shd w:val="clear" w:color="auto" w:fill="auto"/>
            <w:vAlign w:val="center"/>
          </w:tcPr>
          <w:p w14:paraId="1FF433C6" w14:textId="3FB44280"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161,631</w:t>
            </w:r>
          </w:p>
        </w:tc>
        <w:tc>
          <w:tcPr>
            <w:tcW w:w="1813" w:type="dxa"/>
            <w:shd w:val="clear" w:color="auto" w:fill="auto"/>
            <w:vAlign w:val="center"/>
          </w:tcPr>
          <w:p w14:paraId="7672FAB5" w14:textId="66564E6A"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118,504</w:t>
            </w:r>
          </w:p>
        </w:tc>
      </w:tr>
      <w:tr w:rsidR="00BF31F0" w:rsidRPr="0053347D" w14:paraId="20757D02"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64854F9"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Overseas sales</w:t>
            </w:r>
          </w:p>
        </w:tc>
        <w:tc>
          <w:tcPr>
            <w:tcW w:w="1412" w:type="dxa"/>
            <w:shd w:val="clear" w:color="auto" w:fill="auto"/>
            <w:vAlign w:val="center"/>
          </w:tcPr>
          <w:p w14:paraId="2FF0C274" w14:textId="5477AD51"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4,311,217</w:t>
            </w:r>
          </w:p>
        </w:tc>
        <w:tc>
          <w:tcPr>
            <w:tcW w:w="1742" w:type="dxa"/>
            <w:shd w:val="clear" w:color="auto" w:fill="auto"/>
            <w:vAlign w:val="center"/>
          </w:tcPr>
          <w:p w14:paraId="4260A87E" w14:textId="5228FCEC"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518,079</w:t>
            </w:r>
          </w:p>
        </w:tc>
        <w:tc>
          <w:tcPr>
            <w:tcW w:w="1701" w:type="dxa"/>
            <w:shd w:val="clear" w:color="auto" w:fill="auto"/>
            <w:vAlign w:val="center"/>
          </w:tcPr>
          <w:p w14:paraId="112CC723" w14:textId="2AF6221A"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450,539</w:t>
            </w:r>
          </w:p>
        </w:tc>
        <w:tc>
          <w:tcPr>
            <w:tcW w:w="1813" w:type="dxa"/>
            <w:shd w:val="clear" w:color="auto" w:fill="auto"/>
            <w:vAlign w:val="center"/>
          </w:tcPr>
          <w:p w14:paraId="7DE049A0" w14:textId="2F2241D3"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378,796</w:t>
            </w:r>
          </w:p>
        </w:tc>
      </w:tr>
      <w:tr w:rsidR="00BF31F0" w:rsidRPr="0053347D" w14:paraId="7DE172A8"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6496F32" w14:textId="3F07A429" w:rsidR="008723FE" w:rsidRPr="00740F52" w:rsidRDefault="008723FE" w:rsidP="00B114A3">
            <w:pPr>
              <w:spacing w:line="276" w:lineRule="auto"/>
              <w:rPr>
                <w:rFonts w:ascii="Arial" w:hAnsi="Arial" w:cs="Arial"/>
                <w:color w:val="auto"/>
                <w:sz w:val="18"/>
                <w:szCs w:val="18"/>
              </w:rPr>
            </w:pPr>
            <w:r w:rsidRPr="00740F52">
              <w:rPr>
                <w:rFonts w:ascii="Arial" w:hAnsi="Arial" w:cs="Arial"/>
                <w:color w:val="auto"/>
                <w:sz w:val="18"/>
                <w:szCs w:val="18"/>
              </w:rPr>
              <w:t xml:space="preserve">Depreciation and </w:t>
            </w:r>
            <w:r w:rsidR="00B114A3" w:rsidRPr="00740F52">
              <w:rPr>
                <w:rFonts w:ascii="Arial" w:hAnsi="Arial" w:cs="Arial"/>
                <w:color w:val="auto"/>
                <w:sz w:val="18"/>
                <w:szCs w:val="18"/>
              </w:rPr>
              <w:t>amortization</w:t>
            </w:r>
          </w:p>
        </w:tc>
        <w:tc>
          <w:tcPr>
            <w:tcW w:w="1412" w:type="dxa"/>
            <w:shd w:val="clear" w:color="auto" w:fill="auto"/>
            <w:vAlign w:val="center"/>
          </w:tcPr>
          <w:p w14:paraId="5A3BB737" w14:textId="294C6640"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173,737</w:t>
            </w:r>
          </w:p>
        </w:tc>
        <w:tc>
          <w:tcPr>
            <w:tcW w:w="1742" w:type="dxa"/>
            <w:shd w:val="clear" w:color="auto" w:fill="auto"/>
            <w:vAlign w:val="center"/>
          </w:tcPr>
          <w:p w14:paraId="3FF0A1F5" w14:textId="41A68438"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20,878</w:t>
            </w:r>
          </w:p>
        </w:tc>
        <w:tc>
          <w:tcPr>
            <w:tcW w:w="1701" w:type="dxa"/>
            <w:shd w:val="clear" w:color="auto" w:fill="auto"/>
            <w:vAlign w:val="center"/>
          </w:tcPr>
          <w:p w14:paraId="0D81F9D7" w14:textId="5503707D"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24,888</w:t>
            </w:r>
          </w:p>
        </w:tc>
        <w:tc>
          <w:tcPr>
            <w:tcW w:w="1813" w:type="dxa"/>
            <w:shd w:val="clear" w:color="auto" w:fill="auto"/>
            <w:vAlign w:val="center"/>
          </w:tcPr>
          <w:p w14:paraId="4E5A6BAC" w14:textId="3B16C5BB"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26,631</w:t>
            </w:r>
          </w:p>
        </w:tc>
      </w:tr>
      <w:tr w:rsidR="00BF31F0" w:rsidRPr="0053347D" w14:paraId="3E58E49E"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4CF89AAE"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Capital expenditures</w:t>
            </w:r>
          </w:p>
        </w:tc>
        <w:tc>
          <w:tcPr>
            <w:tcW w:w="1412" w:type="dxa"/>
            <w:shd w:val="clear" w:color="auto" w:fill="auto"/>
            <w:vAlign w:val="center"/>
          </w:tcPr>
          <w:p w14:paraId="7852E497" w14:textId="29344D62"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109,711</w:t>
            </w:r>
          </w:p>
        </w:tc>
        <w:tc>
          <w:tcPr>
            <w:tcW w:w="1742" w:type="dxa"/>
            <w:shd w:val="clear" w:color="auto" w:fill="auto"/>
            <w:vAlign w:val="center"/>
          </w:tcPr>
          <w:p w14:paraId="1F187DD4" w14:textId="29C5804C"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13,184</w:t>
            </w:r>
          </w:p>
        </w:tc>
        <w:tc>
          <w:tcPr>
            <w:tcW w:w="1701" w:type="dxa"/>
            <w:shd w:val="clear" w:color="auto" w:fill="auto"/>
            <w:vAlign w:val="center"/>
          </w:tcPr>
          <w:p w14:paraId="099FE2FE" w14:textId="63ABD3C0"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12,799</w:t>
            </w:r>
          </w:p>
        </w:tc>
        <w:tc>
          <w:tcPr>
            <w:tcW w:w="1813" w:type="dxa"/>
            <w:shd w:val="clear" w:color="auto" w:fill="auto"/>
            <w:vAlign w:val="center"/>
          </w:tcPr>
          <w:p w14:paraId="55D3EDDC" w14:textId="0B99C38F"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21,774</w:t>
            </w:r>
          </w:p>
        </w:tc>
      </w:tr>
      <w:tr w:rsidR="00BF31F0" w:rsidRPr="0053347D" w14:paraId="733628D3"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7347571D"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R&amp;D expenses</w:t>
            </w:r>
          </w:p>
        </w:tc>
        <w:tc>
          <w:tcPr>
            <w:tcW w:w="1412" w:type="dxa"/>
            <w:shd w:val="clear" w:color="auto" w:fill="auto"/>
            <w:vAlign w:val="center"/>
          </w:tcPr>
          <w:p w14:paraId="12E5EBF3" w14:textId="333EFA21"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593,742</w:t>
            </w:r>
          </w:p>
        </w:tc>
        <w:tc>
          <w:tcPr>
            <w:tcW w:w="1742" w:type="dxa"/>
            <w:shd w:val="clear" w:color="auto" w:fill="auto"/>
            <w:vAlign w:val="center"/>
          </w:tcPr>
          <w:p w14:paraId="199978DC" w14:textId="3878E031"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71,350</w:t>
            </w:r>
          </w:p>
        </w:tc>
        <w:tc>
          <w:tcPr>
            <w:tcW w:w="1701" w:type="dxa"/>
            <w:shd w:val="clear" w:color="auto" w:fill="auto"/>
            <w:vAlign w:val="center"/>
          </w:tcPr>
          <w:p w14:paraId="2FBE5083" w14:textId="44308556"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78,664</w:t>
            </w:r>
          </w:p>
        </w:tc>
        <w:tc>
          <w:tcPr>
            <w:tcW w:w="1813" w:type="dxa"/>
            <w:shd w:val="clear" w:color="auto" w:fill="auto"/>
            <w:vAlign w:val="center"/>
          </w:tcPr>
          <w:p w14:paraId="33237B18" w14:textId="103D8175"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73,249</w:t>
            </w:r>
          </w:p>
        </w:tc>
      </w:tr>
      <w:tr w:rsidR="00BF31F0" w:rsidRPr="0053347D" w14:paraId="777B3581"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7FC91013" w14:textId="229C2E30" w:rsidR="008723FE" w:rsidRPr="00740F52" w:rsidRDefault="008723FE" w:rsidP="00B114A3">
            <w:pPr>
              <w:spacing w:line="276" w:lineRule="auto"/>
              <w:rPr>
                <w:rFonts w:ascii="Arial" w:hAnsi="Arial" w:cs="Arial"/>
                <w:color w:val="auto"/>
                <w:sz w:val="18"/>
                <w:szCs w:val="18"/>
              </w:rPr>
            </w:pPr>
            <w:r w:rsidRPr="00740F52">
              <w:rPr>
                <w:rFonts w:ascii="Arial" w:hAnsi="Arial" w:cs="Arial"/>
                <w:color w:val="auto"/>
                <w:sz w:val="18"/>
                <w:szCs w:val="18"/>
              </w:rPr>
              <w:t xml:space="preserve">Total </w:t>
            </w:r>
            <w:r w:rsidR="00B114A3" w:rsidRPr="00740F52">
              <w:rPr>
                <w:rFonts w:ascii="Arial" w:hAnsi="Arial" w:cs="Arial"/>
                <w:color w:val="auto"/>
                <w:sz w:val="18"/>
                <w:szCs w:val="18"/>
              </w:rPr>
              <w:t>assets</w:t>
            </w:r>
          </w:p>
        </w:tc>
        <w:tc>
          <w:tcPr>
            <w:tcW w:w="1412" w:type="dxa"/>
            <w:shd w:val="clear" w:color="auto" w:fill="auto"/>
            <w:vAlign w:val="center"/>
          </w:tcPr>
          <w:p w14:paraId="5F7A989E" w14:textId="5CA4A241"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7,290,955</w:t>
            </w:r>
          </w:p>
        </w:tc>
        <w:tc>
          <w:tcPr>
            <w:tcW w:w="1742" w:type="dxa"/>
            <w:shd w:val="clear" w:color="auto" w:fill="auto"/>
            <w:vAlign w:val="center"/>
          </w:tcPr>
          <w:p w14:paraId="7D3DDF01" w14:textId="32F18802"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876,154</w:t>
            </w:r>
          </w:p>
        </w:tc>
        <w:tc>
          <w:tcPr>
            <w:tcW w:w="1701" w:type="dxa"/>
            <w:shd w:val="clear" w:color="auto" w:fill="auto"/>
            <w:vAlign w:val="center"/>
          </w:tcPr>
          <w:p w14:paraId="49A121FF" w14:textId="76FB79E2"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828,592</w:t>
            </w:r>
          </w:p>
        </w:tc>
        <w:tc>
          <w:tcPr>
            <w:tcW w:w="1813" w:type="dxa"/>
            <w:shd w:val="clear" w:color="auto" w:fill="auto"/>
            <w:vAlign w:val="center"/>
          </w:tcPr>
          <w:p w14:paraId="45A21E8F" w14:textId="287FC60B"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775,528</w:t>
            </w:r>
          </w:p>
        </w:tc>
      </w:tr>
      <w:tr w:rsidR="00BF31F0" w:rsidRPr="0053347D" w14:paraId="39FDA81F"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4CC082BC" w14:textId="0510051E" w:rsidR="008723FE" w:rsidRPr="00740F52" w:rsidRDefault="008723FE" w:rsidP="008E7BF4">
            <w:pPr>
              <w:spacing w:line="276" w:lineRule="auto"/>
              <w:rPr>
                <w:rFonts w:ascii="Arial" w:hAnsi="Arial" w:cs="Arial"/>
                <w:color w:val="auto"/>
                <w:sz w:val="18"/>
                <w:szCs w:val="18"/>
              </w:rPr>
            </w:pPr>
            <w:r w:rsidRPr="00740F52">
              <w:rPr>
                <w:rFonts w:ascii="Arial" w:hAnsi="Arial" w:cs="Arial"/>
                <w:color w:val="auto"/>
                <w:sz w:val="18"/>
                <w:szCs w:val="18"/>
              </w:rPr>
              <w:t>Total net assets (</w:t>
            </w:r>
            <w:r w:rsidR="00B114A3" w:rsidRPr="00740F52">
              <w:rPr>
                <w:rFonts w:ascii="Arial" w:hAnsi="Arial" w:cs="Arial"/>
                <w:color w:val="auto"/>
                <w:sz w:val="18"/>
                <w:szCs w:val="18"/>
              </w:rPr>
              <w:t>total shareholders</w:t>
            </w:r>
            <w:r w:rsidR="008E7BF4" w:rsidRPr="00740F52">
              <w:rPr>
                <w:rFonts w:ascii="Arial" w:hAnsi="Arial" w:cs="Arial"/>
                <w:color w:val="auto"/>
                <w:sz w:val="18"/>
                <w:szCs w:val="18"/>
              </w:rPr>
              <w:t>’</w:t>
            </w:r>
            <w:r w:rsidR="00B114A3" w:rsidRPr="00740F52">
              <w:rPr>
                <w:rFonts w:ascii="Arial" w:hAnsi="Arial" w:cs="Arial"/>
                <w:color w:val="auto"/>
                <w:sz w:val="18"/>
                <w:szCs w:val="18"/>
              </w:rPr>
              <w:t xml:space="preserve"> </w:t>
            </w:r>
            <w:r w:rsidRPr="00740F52">
              <w:rPr>
                <w:rFonts w:ascii="Arial" w:hAnsi="Arial" w:cs="Arial"/>
                <w:color w:val="auto"/>
                <w:sz w:val="18"/>
                <w:szCs w:val="18"/>
              </w:rPr>
              <w:t>equity)</w:t>
            </w:r>
          </w:p>
        </w:tc>
        <w:tc>
          <w:tcPr>
            <w:tcW w:w="1412" w:type="dxa"/>
            <w:shd w:val="clear" w:color="auto" w:fill="auto"/>
            <w:vAlign w:val="center"/>
          </w:tcPr>
          <w:p w14:paraId="10643D4B" w14:textId="06E77FBB"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5,335,456</w:t>
            </w:r>
          </w:p>
        </w:tc>
        <w:tc>
          <w:tcPr>
            <w:tcW w:w="1742" w:type="dxa"/>
            <w:shd w:val="clear" w:color="auto" w:fill="auto"/>
            <w:vAlign w:val="center"/>
          </w:tcPr>
          <w:p w14:paraId="7090154C" w14:textId="7A1BF069"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641,163</w:t>
            </w:r>
          </w:p>
        </w:tc>
        <w:tc>
          <w:tcPr>
            <w:tcW w:w="1701" w:type="dxa"/>
            <w:shd w:val="clear" w:color="auto" w:fill="auto"/>
            <w:vAlign w:val="center"/>
          </w:tcPr>
          <w:p w14:paraId="628E0782" w14:textId="1CE2F74A"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590,614</w:t>
            </w:r>
          </w:p>
        </w:tc>
        <w:tc>
          <w:tcPr>
            <w:tcW w:w="1813" w:type="dxa"/>
            <w:shd w:val="clear" w:color="auto" w:fill="auto"/>
            <w:vAlign w:val="center"/>
          </w:tcPr>
          <w:p w14:paraId="7DC2ECA6" w14:textId="4A359132"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605,127</w:t>
            </w:r>
          </w:p>
        </w:tc>
      </w:tr>
      <w:tr w:rsidR="00BF31F0" w:rsidRPr="0053347D" w14:paraId="62A7CEB1"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3278500"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Number of employees</w:t>
            </w:r>
          </w:p>
        </w:tc>
        <w:tc>
          <w:tcPr>
            <w:tcW w:w="1412" w:type="dxa"/>
            <w:shd w:val="clear" w:color="auto" w:fill="auto"/>
            <w:vAlign w:val="center"/>
          </w:tcPr>
          <w:p w14:paraId="2E2645BD"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0D4E3D5A"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10,844</w:t>
            </w:r>
          </w:p>
        </w:tc>
        <w:tc>
          <w:tcPr>
            <w:tcW w:w="1701" w:type="dxa"/>
            <w:shd w:val="clear" w:color="auto" w:fill="auto"/>
            <w:vAlign w:val="center"/>
          </w:tcPr>
          <w:p w14:paraId="0D94696F"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12,304</w:t>
            </w:r>
          </w:p>
        </w:tc>
        <w:tc>
          <w:tcPr>
            <w:tcW w:w="1813" w:type="dxa"/>
            <w:shd w:val="clear" w:color="auto" w:fill="auto"/>
            <w:vAlign w:val="center"/>
          </w:tcPr>
          <w:p w14:paraId="119D8298"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12,201</w:t>
            </w:r>
          </w:p>
        </w:tc>
      </w:tr>
      <w:tr w:rsidR="00BF31F0" w:rsidRPr="0053347D" w14:paraId="1E9EC33A"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AB15575"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Number of shares outstanding (thousands)</w:t>
            </w:r>
          </w:p>
        </w:tc>
        <w:tc>
          <w:tcPr>
            <w:tcW w:w="1412" w:type="dxa"/>
            <w:shd w:val="clear" w:color="auto" w:fill="auto"/>
            <w:vAlign w:val="center"/>
          </w:tcPr>
          <w:p w14:paraId="60285EB1"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07C58971"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180,611</w:t>
            </w:r>
          </w:p>
        </w:tc>
        <w:tc>
          <w:tcPr>
            <w:tcW w:w="1701" w:type="dxa"/>
            <w:shd w:val="clear" w:color="auto" w:fill="auto"/>
            <w:vAlign w:val="center"/>
          </w:tcPr>
          <w:p w14:paraId="40365F0F"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180,611</w:t>
            </w:r>
          </w:p>
        </w:tc>
        <w:tc>
          <w:tcPr>
            <w:tcW w:w="1813" w:type="dxa"/>
            <w:shd w:val="clear" w:color="auto" w:fill="auto"/>
            <w:vAlign w:val="center"/>
          </w:tcPr>
          <w:p w14:paraId="00E9A655"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180,611</w:t>
            </w:r>
          </w:p>
        </w:tc>
      </w:tr>
      <w:tr w:rsidR="00BF31F0" w:rsidRPr="0053347D" w14:paraId="05573416"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4BB45253"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Number of shareholders</w:t>
            </w:r>
          </w:p>
        </w:tc>
        <w:tc>
          <w:tcPr>
            <w:tcW w:w="1412" w:type="dxa"/>
            <w:shd w:val="clear" w:color="auto" w:fill="auto"/>
            <w:vAlign w:val="center"/>
          </w:tcPr>
          <w:p w14:paraId="5FC71FB7"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7518A4AA"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20,829</w:t>
            </w:r>
          </w:p>
        </w:tc>
        <w:tc>
          <w:tcPr>
            <w:tcW w:w="1701" w:type="dxa"/>
            <w:shd w:val="clear" w:color="auto" w:fill="auto"/>
            <w:vAlign w:val="center"/>
          </w:tcPr>
          <w:p w14:paraId="4D721142"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30,563</w:t>
            </w:r>
          </w:p>
        </w:tc>
        <w:tc>
          <w:tcPr>
            <w:tcW w:w="1813" w:type="dxa"/>
            <w:shd w:val="clear" w:color="auto" w:fill="auto"/>
            <w:vAlign w:val="center"/>
          </w:tcPr>
          <w:p w14:paraId="2C0CE26D"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41,287</w:t>
            </w:r>
          </w:p>
        </w:tc>
      </w:tr>
      <w:tr w:rsidR="00BF31F0" w:rsidRPr="0053347D" w14:paraId="7E1A4829"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7D75E437" w14:textId="041017AA" w:rsidR="008723FE" w:rsidRPr="00740F52" w:rsidRDefault="008723FE" w:rsidP="009C579F">
            <w:pPr>
              <w:spacing w:line="276" w:lineRule="auto"/>
              <w:rPr>
                <w:rFonts w:ascii="Arial" w:hAnsi="Arial" w:cs="Arial"/>
                <w:color w:val="auto"/>
                <w:sz w:val="18"/>
                <w:szCs w:val="18"/>
              </w:rPr>
            </w:pPr>
            <w:r w:rsidRPr="00740F52">
              <w:rPr>
                <w:rFonts w:ascii="Arial" w:hAnsi="Arial" w:cs="Arial"/>
                <w:color w:val="auto"/>
                <w:sz w:val="18"/>
                <w:szCs w:val="18"/>
              </w:rPr>
              <w:t>R</w:t>
            </w:r>
            <w:r w:rsidR="009C579F" w:rsidRPr="00740F52">
              <w:rPr>
                <w:rFonts w:ascii="Arial" w:hAnsi="Arial" w:cs="Arial"/>
                <w:color w:val="auto"/>
                <w:sz w:val="18"/>
                <w:szCs w:val="18"/>
              </w:rPr>
              <w:t>eturn on equity</w:t>
            </w:r>
          </w:p>
        </w:tc>
        <w:tc>
          <w:tcPr>
            <w:tcW w:w="1412" w:type="dxa"/>
            <w:shd w:val="clear" w:color="auto" w:fill="auto"/>
            <w:vAlign w:val="center"/>
          </w:tcPr>
          <w:p w14:paraId="2EC102F9"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3D9BE100"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11.8</w:t>
            </w:r>
          </w:p>
        </w:tc>
        <w:tc>
          <w:tcPr>
            <w:tcW w:w="1701" w:type="dxa"/>
            <w:shd w:val="clear" w:color="auto" w:fill="auto"/>
            <w:vAlign w:val="center"/>
          </w:tcPr>
          <w:p w14:paraId="20138EF9" w14:textId="02C51FA8" w:rsidR="008723FE" w:rsidRPr="00740F52" w:rsidRDefault="008E7BF4" w:rsidP="008E7BF4">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w:t>
            </w:r>
            <w:r w:rsidR="008723FE" w:rsidRPr="00740F52">
              <w:rPr>
                <w:rFonts w:ascii="Arial" w:hAnsi="Arial" w:cs="Arial"/>
                <w:sz w:val="18"/>
                <w:szCs w:val="18"/>
              </w:rPr>
              <w:t>3.3</w:t>
            </w:r>
          </w:p>
        </w:tc>
        <w:tc>
          <w:tcPr>
            <w:tcW w:w="1813" w:type="dxa"/>
            <w:shd w:val="clear" w:color="auto" w:fill="auto"/>
            <w:vAlign w:val="center"/>
          </w:tcPr>
          <w:p w14:paraId="2960B55C"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1.0</w:t>
            </w:r>
          </w:p>
        </w:tc>
      </w:tr>
      <w:tr w:rsidR="00BF31F0" w:rsidRPr="0053347D" w14:paraId="23E7A03D"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514F4082" w14:textId="0E830624" w:rsidR="008723FE" w:rsidRPr="00740F52" w:rsidRDefault="008723FE" w:rsidP="00B114A3">
            <w:pPr>
              <w:spacing w:line="276" w:lineRule="auto"/>
              <w:rPr>
                <w:rFonts w:ascii="Arial" w:hAnsi="Arial" w:cs="Arial"/>
                <w:color w:val="auto"/>
                <w:sz w:val="18"/>
                <w:szCs w:val="18"/>
              </w:rPr>
            </w:pPr>
            <w:r w:rsidRPr="00740F52">
              <w:rPr>
                <w:rFonts w:ascii="Arial" w:hAnsi="Arial" w:cs="Arial"/>
                <w:color w:val="auto"/>
                <w:sz w:val="18"/>
                <w:szCs w:val="18"/>
              </w:rPr>
              <w:t xml:space="preserve">Operating </w:t>
            </w:r>
            <w:r w:rsidR="00B114A3" w:rsidRPr="00740F52">
              <w:rPr>
                <w:rFonts w:ascii="Arial" w:hAnsi="Arial" w:cs="Arial"/>
                <w:color w:val="auto"/>
                <w:sz w:val="18"/>
                <w:szCs w:val="18"/>
              </w:rPr>
              <w:t>margin</w:t>
            </w:r>
          </w:p>
        </w:tc>
        <w:tc>
          <w:tcPr>
            <w:tcW w:w="1412" w:type="dxa"/>
            <w:shd w:val="clear" w:color="auto" w:fill="auto"/>
            <w:vAlign w:val="center"/>
          </w:tcPr>
          <w:p w14:paraId="686A9F8E"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5D77ECBE"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14.4</w:t>
            </w:r>
          </w:p>
        </w:tc>
        <w:tc>
          <w:tcPr>
            <w:tcW w:w="1701" w:type="dxa"/>
            <w:shd w:val="clear" w:color="auto" w:fill="auto"/>
            <w:vAlign w:val="center"/>
          </w:tcPr>
          <w:p w14:paraId="5CC20CEA"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5.3</w:t>
            </w:r>
          </w:p>
        </w:tc>
        <w:tc>
          <w:tcPr>
            <w:tcW w:w="1813" w:type="dxa"/>
            <w:shd w:val="clear" w:color="auto" w:fill="auto"/>
            <w:vAlign w:val="center"/>
          </w:tcPr>
          <w:p w14:paraId="1B764952"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2.5</w:t>
            </w:r>
          </w:p>
        </w:tc>
      </w:tr>
      <w:tr w:rsidR="00BF31F0" w:rsidRPr="0053347D" w14:paraId="75063EAB"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07FB08A6" w14:textId="538F3A6A" w:rsidR="008723FE" w:rsidRPr="00740F52" w:rsidRDefault="008723FE" w:rsidP="00B114A3">
            <w:pPr>
              <w:spacing w:line="276" w:lineRule="auto"/>
              <w:rPr>
                <w:rFonts w:ascii="Arial" w:hAnsi="Arial" w:cs="Arial"/>
                <w:color w:val="auto"/>
                <w:sz w:val="18"/>
                <w:szCs w:val="18"/>
              </w:rPr>
            </w:pPr>
            <w:r w:rsidRPr="00740F52">
              <w:rPr>
                <w:rFonts w:ascii="Arial" w:hAnsi="Arial" w:cs="Arial"/>
                <w:color w:val="auto"/>
                <w:sz w:val="18"/>
                <w:szCs w:val="18"/>
              </w:rPr>
              <w:t xml:space="preserve">Equity </w:t>
            </w:r>
            <w:r w:rsidR="00B114A3" w:rsidRPr="00740F52">
              <w:rPr>
                <w:rFonts w:ascii="Arial" w:hAnsi="Arial" w:cs="Arial"/>
                <w:color w:val="auto"/>
                <w:sz w:val="18"/>
                <w:szCs w:val="18"/>
              </w:rPr>
              <w:t>ratio</w:t>
            </w:r>
          </w:p>
        </w:tc>
        <w:tc>
          <w:tcPr>
            <w:tcW w:w="1412" w:type="dxa"/>
            <w:shd w:val="clear" w:color="auto" w:fill="auto"/>
            <w:vAlign w:val="center"/>
          </w:tcPr>
          <w:p w14:paraId="44877C88"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1CC1380A"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73.0</w:t>
            </w:r>
          </w:p>
        </w:tc>
        <w:tc>
          <w:tcPr>
            <w:tcW w:w="1701" w:type="dxa"/>
            <w:shd w:val="clear" w:color="auto" w:fill="auto"/>
            <w:vAlign w:val="center"/>
          </w:tcPr>
          <w:p w14:paraId="3B8F87D0"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69.8</w:t>
            </w:r>
          </w:p>
        </w:tc>
        <w:tc>
          <w:tcPr>
            <w:tcW w:w="1813" w:type="dxa"/>
            <w:shd w:val="clear" w:color="auto" w:fill="auto"/>
            <w:vAlign w:val="center"/>
          </w:tcPr>
          <w:p w14:paraId="0C5A088A" w14:textId="7777777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76.5</w:t>
            </w:r>
          </w:p>
        </w:tc>
      </w:tr>
      <w:tr w:rsidR="00BF31F0" w:rsidRPr="0053347D" w14:paraId="6E0235B5" w14:textId="77777777" w:rsidTr="0074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0B9F0A3B"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Asset turnover (times)</w:t>
            </w:r>
          </w:p>
        </w:tc>
        <w:tc>
          <w:tcPr>
            <w:tcW w:w="1412" w:type="dxa"/>
            <w:shd w:val="clear" w:color="auto" w:fill="auto"/>
            <w:vAlign w:val="center"/>
          </w:tcPr>
          <w:p w14:paraId="6F582052"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742" w:type="dxa"/>
            <w:shd w:val="clear" w:color="auto" w:fill="auto"/>
            <w:vAlign w:val="center"/>
          </w:tcPr>
          <w:p w14:paraId="22DCCE0C"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0.72</w:t>
            </w:r>
          </w:p>
        </w:tc>
        <w:tc>
          <w:tcPr>
            <w:tcW w:w="1701" w:type="dxa"/>
            <w:shd w:val="clear" w:color="auto" w:fill="auto"/>
            <w:vAlign w:val="center"/>
          </w:tcPr>
          <w:p w14:paraId="0BD95756"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0.76</w:t>
            </w:r>
          </w:p>
        </w:tc>
        <w:tc>
          <w:tcPr>
            <w:tcW w:w="1813" w:type="dxa"/>
            <w:shd w:val="clear" w:color="auto" w:fill="auto"/>
            <w:vAlign w:val="center"/>
          </w:tcPr>
          <w:p w14:paraId="2BF841D4" w14:textId="77777777" w:rsidR="008723FE" w:rsidRPr="00740F52" w:rsidRDefault="008723FE" w:rsidP="00A63DCF">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0F52">
              <w:rPr>
                <w:rFonts w:ascii="Arial" w:hAnsi="Arial" w:cs="Arial"/>
                <w:sz w:val="18"/>
                <w:szCs w:val="18"/>
              </w:rPr>
              <w:t>0.64</w:t>
            </w:r>
          </w:p>
        </w:tc>
      </w:tr>
      <w:tr w:rsidR="00BF31F0" w:rsidRPr="0053347D" w14:paraId="475B17BF" w14:textId="77777777" w:rsidTr="00740F52">
        <w:tc>
          <w:tcPr>
            <w:cnfStyle w:val="001000000000" w:firstRow="0" w:lastRow="0" w:firstColumn="1" w:lastColumn="0" w:oddVBand="0" w:evenVBand="0" w:oddHBand="0" w:evenHBand="0" w:firstRowFirstColumn="0" w:firstRowLastColumn="0" w:lastRowFirstColumn="0" w:lastRowLastColumn="0"/>
            <w:tcW w:w="2908" w:type="dxa"/>
            <w:shd w:val="clear" w:color="auto" w:fill="auto"/>
            <w:vAlign w:val="center"/>
          </w:tcPr>
          <w:p w14:paraId="65D35CD5" w14:textId="77777777" w:rsidR="008723FE" w:rsidRPr="00740F52" w:rsidRDefault="008723FE" w:rsidP="00A63DCF">
            <w:pPr>
              <w:spacing w:line="276" w:lineRule="auto"/>
              <w:rPr>
                <w:rFonts w:ascii="Arial" w:hAnsi="Arial" w:cs="Arial"/>
                <w:color w:val="auto"/>
                <w:sz w:val="18"/>
                <w:szCs w:val="18"/>
              </w:rPr>
            </w:pPr>
            <w:r w:rsidRPr="00740F52">
              <w:rPr>
                <w:rFonts w:ascii="Arial" w:hAnsi="Arial" w:cs="Arial"/>
                <w:color w:val="auto"/>
                <w:sz w:val="18"/>
                <w:szCs w:val="18"/>
              </w:rPr>
              <w:t>Net sales per employee</w:t>
            </w:r>
          </w:p>
        </w:tc>
        <w:tc>
          <w:tcPr>
            <w:tcW w:w="1412" w:type="dxa"/>
            <w:vAlign w:val="center"/>
          </w:tcPr>
          <w:p w14:paraId="789D4FC9" w14:textId="38C0DC36"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470,500</w:t>
            </w:r>
          </w:p>
        </w:tc>
        <w:tc>
          <w:tcPr>
            <w:tcW w:w="1742" w:type="dxa"/>
            <w:vAlign w:val="center"/>
          </w:tcPr>
          <w:p w14:paraId="460ACE40" w14:textId="59CCC614"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56,540</w:t>
            </w:r>
          </w:p>
        </w:tc>
        <w:tc>
          <w:tcPr>
            <w:tcW w:w="1701" w:type="dxa"/>
            <w:vAlign w:val="center"/>
          </w:tcPr>
          <w:p w14:paraId="27974D63" w14:textId="1FD7CB87"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49,754</w:t>
            </w:r>
          </w:p>
        </w:tc>
        <w:tc>
          <w:tcPr>
            <w:tcW w:w="1813" w:type="dxa"/>
            <w:vAlign w:val="center"/>
          </w:tcPr>
          <w:p w14:paraId="72808429" w14:textId="34A7C0DA" w:rsidR="008723FE" w:rsidRPr="00740F52" w:rsidRDefault="008723FE" w:rsidP="00A63DC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0F52">
              <w:rPr>
                <w:rFonts w:ascii="Arial" w:hAnsi="Arial" w:cs="Arial"/>
                <w:sz w:val="18"/>
                <w:szCs w:val="18"/>
              </w:rPr>
              <w:t>40,759</w:t>
            </w:r>
          </w:p>
        </w:tc>
      </w:tr>
    </w:tbl>
    <w:p w14:paraId="0D7DDB1D" w14:textId="13E6DA52" w:rsidR="0053347D" w:rsidRDefault="0053347D" w:rsidP="00073B29">
      <w:pPr>
        <w:pStyle w:val="Footnote"/>
      </w:pPr>
    </w:p>
    <w:p w14:paraId="4959B7FC" w14:textId="3B9ED7EE" w:rsidR="003E23B3" w:rsidRPr="00073B29" w:rsidRDefault="003E23B3" w:rsidP="00073B29">
      <w:pPr>
        <w:pStyle w:val="Footnote"/>
      </w:pPr>
      <w:r>
        <w:t>Note: FPD = Flat Panel Display; PV = Photovoltaic Panel</w:t>
      </w:r>
    </w:p>
    <w:p w14:paraId="304BA9A0" w14:textId="6E8DEE2D" w:rsidR="0053347D" w:rsidRPr="00710D11" w:rsidRDefault="0053347D" w:rsidP="00073B29">
      <w:pPr>
        <w:pStyle w:val="Footnote"/>
        <w:rPr>
          <w:szCs w:val="24"/>
        </w:rPr>
      </w:pPr>
      <w:r w:rsidRPr="00073B29">
        <w:t xml:space="preserve">Source: </w:t>
      </w:r>
      <w:r w:rsidR="005C466D" w:rsidRPr="005C466D">
        <w:t xml:space="preserve">Created by the case authors based on </w:t>
      </w:r>
      <w:r w:rsidRPr="00073B29">
        <w:t xml:space="preserve">Tokyo Electron, </w:t>
      </w:r>
      <w:r w:rsidRPr="00BC7DD6">
        <w:rPr>
          <w:i/>
        </w:rPr>
        <w:t>2015</w:t>
      </w:r>
      <w:r w:rsidR="008C64C1" w:rsidRPr="00BC7DD6">
        <w:rPr>
          <w:i/>
        </w:rPr>
        <w:t>:</w:t>
      </w:r>
      <w:r w:rsidR="007123C1" w:rsidRPr="00BC7DD6">
        <w:rPr>
          <w:i/>
        </w:rPr>
        <w:t xml:space="preserve"> </w:t>
      </w:r>
      <w:proofErr w:type="spellStart"/>
      <w:r w:rsidR="007123C1" w:rsidRPr="00BC7DD6">
        <w:rPr>
          <w:i/>
        </w:rPr>
        <w:t>Factbook</w:t>
      </w:r>
      <w:proofErr w:type="spellEnd"/>
      <w:r w:rsidRPr="008C64C1">
        <w:t>,</w:t>
      </w:r>
      <w:r w:rsidRPr="00073B29">
        <w:t xml:space="preserve"> </w:t>
      </w:r>
      <w:r w:rsidR="008C64C1">
        <w:t xml:space="preserve">March. 31, 2015, </w:t>
      </w:r>
      <w:r w:rsidR="00605DF3" w:rsidRPr="00073B29">
        <w:t xml:space="preserve">accessed December 3, 2016, </w:t>
      </w:r>
      <w:r w:rsidRPr="00073B29">
        <w:t>www.tel.com</w:t>
      </w:r>
      <w:r w:rsidRPr="008C64C1">
        <w:t>/ir/library/fb/document/fb2015.pdf</w:t>
      </w:r>
      <w:r w:rsidR="00605DF3" w:rsidRPr="008C64C1">
        <w:t>.</w:t>
      </w:r>
    </w:p>
    <w:p w14:paraId="0D325DC0" w14:textId="77777777" w:rsidR="008723FE" w:rsidRPr="0053347D" w:rsidRDefault="008723FE" w:rsidP="008D4C9D">
      <w:pPr>
        <w:pStyle w:val="ExhibitHeading"/>
        <w:rPr>
          <w:bCs/>
        </w:rPr>
      </w:pPr>
    </w:p>
    <w:p w14:paraId="60433B2E" w14:textId="77777777" w:rsidR="008723FE" w:rsidRDefault="008723FE" w:rsidP="008D4C9D">
      <w:pPr>
        <w:pStyle w:val="ExhibitHeading"/>
        <w:rPr>
          <w:bCs/>
        </w:rPr>
      </w:pPr>
    </w:p>
    <w:p w14:paraId="0E4248E7" w14:textId="77777777" w:rsidR="008723FE" w:rsidRDefault="008723FE" w:rsidP="008D4C9D">
      <w:pPr>
        <w:pStyle w:val="ExhibitHeading"/>
        <w:rPr>
          <w:bCs/>
        </w:rPr>
      </w:pPr>
    </w:p>
    <w:p w14:paraId="76AC2760" w14:textId="77777777" w:rsidR="0069682F" w:rsidRDefault="0069682F" w:rsidP="008D4C9D">
      <w:pPr>
        <w:pStyle w:val="ExhibitHeading"/>
        <w:rPr>
          <w:bCs/>
        </w:rPr>
      </w:pPr>
    </w:p>
    <w:p w14:paraId="456F9712" w14:textId="77777777" w:rsidR="0069682F" w:rsidRDefault="0069682F" w:rsidP="008D4C9D">
      <w:pPr>
        <w:pStyle w:val="ExhibitHeading"/>
        <w:rPr>
          <w:bCs/>
        </w:rPr>
      </w:pPr>
    </w:p>
    <w:p w14:paraId="6503577E" w14:textId="77777777" w:rsidR="0069682F" w:rsidRDefault="0069682F" w:rsidP="008D4C9D">
      <w:pPr>
        <w:pStyle w:val="ExhibitHeading"/>
        <w:rPr>
          <w:bCs/>
        </w:rPr>
      </w:pPr>
    </w:p>
    <w:p w14:paraId="4C406154" w14:textId="77777777" w:rsidR="0069682F" w:rsidRDefault="0069682F" w:rsidP="008D4C9D">
      <w:pPr>
        <w:pStyle w:val="ExhibitHeading"/>
        <w:rPr>
          <w:bCs/>
        </w:rPr>
      </w:pPr>
    </w:p>
    <w:p w14:paraId="4A89A011" w14:textId="77777777" w:rsidR="00400A5D" w:rsidRPr="00A8010A" w:rsidRDefault="00400A5D" w:rsidP="00A8010A">
      <w:pPr>
        <w:pStyle w:val="ExhibitHeading"/>
      </w:pPr>
    </w:p>
    <w:p w14:paraId="3172E9E0" w14:textId="77777777" w:rsidR="00740F52" w:rsidRDefault="00740F52" w:rsidP="00AE3271">
      <w:pPr>
        <w:pStyle w:val="ExhibitHeading"/>
      </w:pPr>
    </w:p>
    <w:p w14:paraId="20831636" w14:textId="77777777" w:rsidR="00740F52" w:rsidRDefault="00740F52" w:rsidP="00AE3271">
      <w:pPr>
        <w:pStyle w:val="ExhibitHeading"/>
      </w:pPr>
    </w:p>
    <w:p w14:paraId="5FF7D54E" w14:textId="77777777" w:rsidR="00740F52" w:rsidRDefault="00740F52" w:rsidP="00AE3271">
      <w:pPr>
        <w:pStyle w:val="ExhibitHeading"/>
      </w:pPr>
    </w:p>
    <w:p w14:paraId="41BEFA50" w14:textId="77777777" w:rsidR="00740F52" w:rsidRDefault="00740F52" w:rsidP="00AE3271">
      <w:pPr>
        <w:pStyle w:val="ExhibitHeading"/>
      </w:pPr>
    </w:p>
    <w:p w14:paraId="569594E5" w14:textId="77777777" w:rsidR="00740F52" w:rsidRDefault="00740F52" w:rsidP="00AE3271">
      <w:pPr>
        <w:pStyle w:val="ExhibitHeading"/>
      </w:pPr>
    </w:p>
    <w:p w14:paraId="437DFA1F" w14:textId="77777777" w:rsidR="00740F52" w:rsidRDefault="00740F52" w:rsidP="00AE3271">
      <w:pPr>
        <w:pStyle w:val="ExhibitHeading"/>
      </w:pPr>
    </w:p>
    <w:p w14:paraId="7F21239A" w14:textId="77777777" w:rsidR="00DF041A" w:rsidRPr="00A8010A" w:rsidRDefault="00DF041A" w:rsidP="00AE3271">
      <w:pPr>
        <w:pStyle w:val="ExhibitHeading"/>
      </w:pPr>
      <w:r w:rsidRPr="00A8010A">
        <w:lastRenderedPageBreak/>
        <w:t>Exhibit 7: Tokyo Electron consolidated sales by region</w:t>
      </w:r>
    </w:p>
    <w:p w14:paraId="355FB798" w14:textId="77777777" w:rsidR="00DF041A" w:rsidRPr="004F5455" w:rsidRDefault="00DF041A" w:rsidP="004F5455">
      <w:pPr>
        <w:pStyle w:val="ExhibitHeading"/>
      </w:pPr>
    </w:p>
    <w:p w14:paraId="34130462" w14:textId="5D25BE4C" w:rsidR="00DF041A" w:rsidRPr="006663CF" w:rsidRDefault="0053347D" w:rsidP="0053347D">
      <w:pPr>
        <w:spacing w:line="360" w:lineRule="auto"/>
        <w:rPr>
          <w:sz w:val="24"/>
          <w:szCs w:val="24"/>
        </w:rPr>
      </w:pPr>
      <w:r>
        <w:rPr>
          <w:noProof/>
          <w:lang w:val="en-US"/>
        </w:rPr>
        <w:drawing>
          <wp:inline distT="0" distB="0" distL="0" distR="0" wp14:anchorId="43248B92" wp14:editId="177E40B4">
            <wp:extent cx="5760720" cy="2912533"/>
            <wp:effectExtent l="0" t="0" r="11430" b="2159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8D6D2E" w14:textId="77777777" w:rsidR="008E7BF4" w:rsidRDefault="008E7BF4" w:rsidP="004F5455">
      <w:pPr>
        <w:pStyle w:val="Footnote"/>
      </w:pPr>
      <w:r>
        <w:t>Note: JPY = Japanese Yen</w:t>
      </w:r>
    </w:p>
    <w:p w14:paraId="6FD2F233" w14:textId="1A1E68A3" w:rsidR="00DF041A" w:rsidRDefault="00DF041A" w:rsidP="004F5455">
      <w:pPr>
        <w:pStyle w:val="Footnote"/>
        <w:rPr>
          <w:lang w:eastAsia="zh-CN"/>
        </w:rPr>
      </w:pPr>
      <w:r w:rsidRPr="006663CF">
        <w:t xml:space="preserve">Source: </w:t>
      </w:r>
      <w:r w:rsidR="005C466D" w:rsidRPr="005C466D">
        <w:t xml:space="preserve">Created by the case authors based on </w:t>
      </w:r>
      <w:r w:rsidR="007123C1" w:rsidRPr="00073B29">
        <w:t xml:space="preserve">Tokyo Electron, </w:t>
      </w:r>
      <w:r w:rsidR="007123C1" w:rsidRPr="00BC7DD6">
        <w:rPr>
          <w:i/>
        </w:rPr>
        <w:t>2015</w:t>
      </w:r>
      <w:r w:rsidR="008C64C1" w:rsidRPr="00BC7DD6">
        <w:rPr>
          <w:i/>
        </w:rPr>
        <w:t xml:space="preserve">: </w:t>
      </w:r>
      <w:proofErr w:type="spellStart"/>
      <w:r w:rsidR="007123C1" w:rsidRPr="00BC7DD6">
        <w:rPr>
          <w:i/>
        </w:rPr>
        <w:t>Factbook</w:t>
      </w:r>
      <w:proofErr w:type="spellEnd"/>
      <w:r w:rsidR="007123C1" w:rsidRPr="00073B29">
        <w:t>,</w:t>
      </w:r>
      <w:r w:rsidR="008C64C1">
        <w:t xml:space="preserve"> March 31, 2015,</w:t>
      </w:r>
      <w:r w:rsidR="001662E4" w:rsidRPr="00073B29">
        <w:t xml:space="preserve"> accessed </w:t>
      </w:r>
      <w:r w:rsidR="00605DF3" w:rsidRPr="00073B29">
        <w:t>December 3</w:t>
      </w:r>
      <w:r w:rsidR="001662E4" w:rsidRPr="00073B29">
        <w:t xml:space="preserve">, 2016, </w:t>
      </w:r>
      <w:hyperlink r:id="rId16" w:history="1">
        <w:r w:rsidR="0069682F" w:rsidRPr="00073B29">
          <w:t>www.tel.com/ir/library/fb/document/fb2015.pdf</w:t>
        </w:r>
      </w:hyperlink>
      <w:r w:rsidR="00605DF3" w:rsidRPr="00073B29">
        <w:t>.</w:t>
      </w:r>
    </w:p>
    <w:p w14:paraId="7A4F20E4" w14:textId="77777777" w:rsidR="0069682F" w:rsidRDefault="0069682F" w:rsidP="004F5455">
      <w:pPr>
        <w:pStyle w:val="Footnote"/>
        <w:rPr>
          <w:lang w:eastAsia="zh-CN"/>
        </w:rPr>
      </w:pPr>
    </w:p>
    <w:p w14:paraId="29BA68ED" w14:textId="77777777" w:rsidR="00B114A3" w:rsidRPr="006663CF" w:rsidRDefault="00B114A3" w:rsidP="004F5455">
      <w:pPr>
        <w:pStyle w:val="Footnote"/>
        <w:rPr>
          <w:lang w:eastAsia="zh-CN"/>
        </w:rPr>
      </w:pPr>
    </w:p>
    <w:p w14:paraId="1F498946" w14:textId="6B8CC7DC" w:rsidR="0069682F" w:rsidRDefault="0069682F" w:rsidP="0069682F">
      <w:pPr>
        <w:pStyle w:val="ExhibitHeading"/>
        <w:rPr>
          <w:bCs/>
        </w:rPr>
      </w:pPr>
      <w:r w:rsidRPr="006663CF">
        <w:rPr>
          <w:bCs/>
        </w:rPr>
        <w:t xml:space="preserve">Exhibit </w:t>
      </w:r>
      <w:r w:rsidR="00302AD6">
        <w:rPr>
          <w:bCs/>
        </w:rPr>
        <w:t>8</w:t>
      </w:r>
      <w:r w:rsidRPr="006663CF">
        <w:rPr>
          <w:bCs/>
        </w:rPr>
        <w:t>: Combined Portfolio of Applied Material</w:t>
      </w:r>
      <w:r w:rsidR="00F30113">
        <w:rPr>
          <w:bCs/>
        </w:rPr>
        <w:t>s</w:t>
      </w:r>
      <w:r w:rsidRPr="006663CF">
        <w:rPr>
          <w:bCs/>
        </w:rPr>
        <w:t xml:space="preserve"> and Tokyo Electron</w:t>
      </w:r>
    </w:p>
    <w:p w14:paraId="173E0167" w14:textId="77777777" w:rsidR="00D36433" w:rsidRPr="0069682F" w:rsidRDefault="00D36433" w:rsidP="00D36433">
      <w:pPr>
        <w:pStyle w:val="ExhibitHeading"/>
        <w:rPr>
          <w:bCs/>
        </w:rPr>
      </w:pPr>
    </w:p>
    <w:tbl>
      <w:tblPr>
        <w:tblW w:w="9108" w:type="dxa"/>
        <w:tblLayout w:type="fixed"/>
        <w:tblLook w:val="04A0" w:firstRow="1" w:lastRow="0" w:firstColumn="1" w:lastColumn="0" w:noHBand="0" w:noVBand="1"/>
      </w:tblPr>
      <w:tblGrid>
        <w:gridCol w:w="2155"/>
        <w:gridCol w:w="2070"/>
        <w:gridCol w:w="2430"/>
        <w:gridCol w:w="2453"/>
      </w:tblGrid>
      <w:tr w:rsidR="00D36433" w:rsidRPr="005566CC" w14:paraId="52D84E00" w14:textId="77777777" w:rsidTr="00F068F5">
        <w:tc>
          <w:tcPr>
            <w:tcW w:w="2155" w:type="dxa"/>
            <w:tcBorders>
              <w:top w:val="single" w:sz="4" w:space="0" w:color="auto"/>
              <w:left w:val="single" w:sz="4" w:space="0" w:color="auto"/>
              <w:bottom w:val="single" w:sz="4" w:space="0" w:color="auto"/>
              <w:right w:val="single" w:sz="4" w:space="0" w:color="auto"/>
            </w:tcBorders>
          </w:tcPr>
          <w:p w14:paraId="4420532C" w14:textId="253F1685" w:rsidR="00D36433" w:rsidRPr="008E7BF4" w:rsidRDefault="00B114A3" w:rsidP="00210E6E">
            <w:pPr>
              <w:autoSpaceDE w:val="0"/>
              <w:autoSpaceDN w:val="0"/>
              <w:adjustRightInd w:val="0"/>
              <w:spacing w:line="360" w:lineRule="auto"/>
              <w:jc w:val="center"/>
              <w:rPr>
                <w:rFonts w:ascii="Arial" w:eastAsia="MS Gothic" w:hAnsi="Arial" w:cs="Arial"/>
                <w:b/>
                <w:bCs/>
                <w:color w:val="000000" w:themeColor="text1"/>
                <w:sz w:val="18"/>
                <w:szCs w:val="18"/>
              </w:rPr>
            </w:pPr>
            <w:r w:rsidRPr="008E7BF4">
              <w:rPr>
                <w:rFonts w:ascii="Arial" w:eastAsia="MS Gothic" w:hAnsi="Arial" w:cs="Arial"/>
                <w:color w:val="000000" w:themeColor="text1"/>
                <w:sz w:val="18"/>
                <w:szCs w:val="18"/>
              </w:rPr>
              <w:t>High-</w:t>
            </w:r>
            <w:r w:rsidR="00D36433" w:rsidRPr="008E7BF4">
              <w:rPr>
                <w:rFonts w:ascii="Arial" w:eastAsia="MS Gothic" w:hAnsi="Arial" w:cs="Arial"/>
                <w:color w:val="000000" w:themeColor="text1"/>
                <w:sz w:val="18"/>
                <w:szCs w:val="18"/>
              </w:rPr>
              <w:t>Speed,</w:t>
            </w:r>
          </w:p>
          <w:p w14:paraId="27238F9C" w14:textId="004FB347" w:rsidR="00D36433" w:rsidRPr="008E7BF4" w:rsidRDefault="00B114A3" w:rsidP="00210E6E">
            <w:pPr>
              <w:autoSpaceDE w:val="0"/>
              <w:autoSpaceDN w:val="0"/>
              <w:adjustRightInd w:val="0"/>
              <w:spacing w:line="360" w:lineRule="auto"/>
              <w:jc w:val="center"/>
              <w:rPr>
                <w:rFonts w:ascii="Arial" w:eastAsia="MS Gothic" w:hAnsi="Arial" w:cs="Arial"/>
                <w:b/>
                <w:bCs/>
                <w:color w:val="000000" w:themeColor="text1"/>
                <w:sz w:val="18"/>
                <w:szCs w:val="18"/>
              </w:rPr>
            </w:pPr>
            <w:r w:rsidRPr="008E7BF4">
              <w:rPr>
                <w:rFonts w:ascii="Arial" w:eastAsia="MS Gothic" w:hAnsi="Arial" w:cs="Arial"/>
                <w:color w:val="000000" w:themeColor="text1"/>
                <w:sz w:val="18"/>
                <w:szCs w:val="18"/>
              </w:rPr>
              <w:t>Low-</w:t>
            </w:r>
            <w:r w:rsidR="00D36433" w:rsidRPr="008E7BF4">
              <w:rPr>
                <w:rFonts w:ascii="Arial" w:eastAsia="MS Gothic" w:hAnsi="Arial" w:cs="Arial"/>
                <w:color w:val="000000" w:themeColor="text1"/>
                <w:sz w:val="18"/>
                <w:szCs w:val="18"/>
              </w:rPr>
              <w:t>Leakage</w:t>
            </w:r>
          </w:p>
          <w:p w14:paraId="1A49183C" w14:textId="77777777" w:rsidR="00D36433" w:rsidRPr="008E7BF4" w:rsidRDefault="00D36433" w:rsidP="00210E6E">
            <w:pPr>
              <w:autoSpaceDE w:val="0"/>
              <w:autoSpaceDN w:val="0"/>
              <w:adjustRightInd w:val="0"/>
              <w:spacing w:line="360" w:lineRule="auto"/>
              <w:jc w:val="center"/>
              <w:rPr>
                <w:rFonts w:ascii="Arial" w:eastAsia="MS Gothic" w:hAnsi="Arial" w:cs="Arial"/>
                <w:b/>
                <w:bCs/>
                <w:color w:val="000000" w:themeColor="text1"/>
                <w:sz w:val="18"/>
                <w:szCs w:val="18"/>
              </w:rPr>
            </w:pPr>
            <w:r w:rsidRPr="008E7BF4">
              <w:rPr>
                <w:rFonts w:ascii="Arial" w:eastAsia="MS Gothic" w:hAnsi="Arial" w:cs="Arial"/>
                <w:color w:val="000000" w:themeColor="text1"/>
                <w:sz w:val="18"/>
                <w:szCs w:val="18"/>
              </w:rPr>
              <w:t>Transistors</w:t>
            </w:r>
          </w:p>
        </w:tc>
        <w:tc>
          <w:tcPr>
            <w:tcW w:w="2070" w:type="dxa"/>
            <w:tcBorders>
              <w:top w:val="single" w:sz="4" w:space="0" w:color="auto"/>
              <w:left w:val="single" w:sz="4" w:space="0" w:color="auto"/>
              <w:bottom w:val="single" w:sz="4" w:space="0" w:color="auto"/>
              <w:right w:val="single" w:sz="4" w:space="0" w:color="auto"/>
            </w:tcBorders>
          </w:tcPr>
          <w:p w14:paraId="013370FF" w14:textId="0C9D5ECC" w:rsidR="00D36433" w:rsidRPr="008E7BF4" w:rsidRDefault="00B114A3" w:rsidP="00B114A3">
            <w:pPr>
              <w:autoSpaceDE w:val="0"/>
              <w:autoSpaceDN w:val="0"/>
              <w:adjustRightInd w:val="0"/>
              <w:spacing w:line="360" w:lineRule="auto"/>
              <w:jc w:val="center"/>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Low-</w:t>
            </w:r>
            <w:r w:rsidR="00D36433" w:rsidRPr="008E7BF4">
              <w:rPr>
                <w:rFonts w:ascii="Arial" w:eastAsia="MS Gothic" w:hAnsi="Arial" w:cs="Arial"/>
                <w:color w:val="000000" w:themeColor="text1"/>
                <w:sz w:val="18"/>
                <w:szCs w:val="18"/>
              </w:rPr>
              <w:t>Resistance and Reliable Interconnect</w:t>
            </w:r>
          </w:p>
        </w:tc>
        <w:tc>
          <w:tcPr>
            <w:tcW w:w="2430" w:type="dxa"/>
            <w:tcBorders>
              <w:top w:val="single" w:sz="4" w:space="0" w:color="auto"/>
              <w:left w:val="single" w:sz="4" w:space="0" w:color="auto"/>
              <w:bottom w:val="single" w:sz="4" w:space="0" w:color="auto"/>
              <w:right w:val="single" w:sz="4" w:space="0" w:color="auto"/>
            </w:tcBorders>
          </w:tcPr>
          <w:p w14:paraId="2D8286C8" w14:textId="77777777" w:rsidR="00D36433" w:rsidRPr="008E7BF4" w:rsidRDefault="00D36433" w:rsidP="00210E6E">
            <w:pPr>
              <w:autoSpaceDE w:val="0"/>
              <w:autoSpaceDN w:val="0"/>
              <w:adjustRightInd w:val="0"/>
              <w:spacing w:line="360" w:lineRule="auto"/>
              <w:jc w:val="center"/>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3D NAND</w:t>
            </w:r>
          </w:p>
          <w:p w14:paraId="03797D94" w14:textId="77777777" w:rsidR="00D36433" w:rsidRPr="008E7BF4" w:rsidRDefault="00D36433" w:rsidP="00210E6E">
            <w:pPr>
              <w:autoSpaceDE w:val="0"/>
              <w:autoSpaceDN w:val="0"/>
              <w:adjustRightInd w:val="0"/>
              <w:spacing w:line="360" w:lineRule="auto"/>
              <w:jc w:val="center"/>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Memory</w:t>
            </w:r>
          </w:p>
        </w:tc>
        <w:tc>
          <w:tcPr>
            <w:tcW w:w="2453" w:type="dxa"/>
            <w:tcBorders>
              <w:top w:val="single" w:sz="4" w:space="0" w:color="auto"/>
              <w:left w:val="single" w:sz="4" w:space="0" w:color="auto"/>
              <w:bottom w:val="single" w:sz="4" w:space="0" w:color="auto"/>
              <w:right w:val="single" w:sz="4" w:space="0" w:color="auto"/>
            </w:tcBorders>
          </w:tcPr>
          <w:p w14:paraId="66D34A5A" w14:textId="77777777" w:rsidR="00D36433" w:rsidRPr="008E7BF4" w:rsidRDefault="00D36433" w:rsidP="00210E6E">
            <w:pPr>
              <w:autoSpaceDE w:val="0"/>
              <w:autoSpaceDN w:val="0"/>
              <w:adjustRightInd w:val="0"/>
              <w:spacing w:line="360" w:lineRule="auto"/>
              <w:jc w:val="center"/>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Low-Cost Scaling Enabled by Patterning</w:t>
            </w:r>
          </w:p>
        </w:tc>
      </w:tr>
      <w:tr w:rsidR="00D36433" w:rsidRPr="00444A29" w14:paraId="53709D85" w14:textId="77777777" w:rsidTr="00F068F5">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tcPr>
          <w:p w14:paraId="4F353C5A"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proofErr w:type="spellStart"/>
            <w:r w:rsidRPr="008E7BF4">
              <w:rPr>
                <w:rFonts w:ascii="Arial" w:eastAsia="MS Gothic" w:hAnsi="Arial" w:cs="Arial"/>
                <w:color w:val="000000" w:themeColor="text1"/>
                <w:sz w:val="18"/>
                <w:szCs w:val="18"/>
              </w:rPr>
              <w:t>Anneal</w:t>
            </w:r>
            <w:r w:rsidRPr="008E7BF4">
              <w:rPr>
                <w:rFonts w:ascii="Arial" w:eastAsia="MS Gothic" w:hAnsi="Arial" w:cs="Arial"/>
                <w:color w:val="000000" w:themeColor="text1"/>
                <w:sz w:val="18"/>
                <w:szCs w:val="18"/>
                <w:vertAlign w:val="superscript"/>
              </w:rPr>
              <w:t>T</w:t>
            </w:r>
            <w:proofErr w:type="spellEnd"/>
          </w:p>
          <w:p w14:paraId="4859272E"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r w:rsidRPr="008E7BF4">
              <w:rPr>
                <w:rFonts w:ascii="Arial" w:eastAsia="MS Gothic" w:hAnsi="Arial" w:cs="Arial"/>
                <w:color w:val="000000" w:themeColor="text1"/>
                <w:sz w:val="18"/>
                <w:szCs w:val="18"/>
              </w:rPr>
              <w:t>CMP</w:t>
            </w:r>
            <w:r w:rsidRPr="008E7BF4">
              <w:rPr>
                <w:rFonts w:ascii="Arial" w:eastAsia="MS Gothic" w:hAnsi="Arial" w:cs="Arial"/>
                <w:color w:val="000000" w:themeColor="text1"/>
                <w:sz w:val="18"/>
                <w:szCs w:val="18"/>
                <w:vertAlign w:val="superscript"/>
              </w:rPr>
              <w:t>T</w:t>
            </w:r>
          </w:p>
          <w:p w14:paraId="1F40EB6D"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r w:rsidRPr="008E7BF4">
              <w:rPr>
                <w:rFonts w:ascii="Arial" w:eastAsia="MS Gothic" w:hAnsi="Arial" w:cs="Arial"/>
                <w:color w:val="000000" w:themeColor="text1"/>
                <w:sz w:val="18"/>
                <w:szCs w:val="18"/>
              </w:rPr>
              <w:t>CVD</w:t>
            </w:r>
            <w:r w:rsidRPr="008E7BF4">
              <w:rPr>
                <w:rFonts w:ascii="Arial" w:eastAsia="MS Gothic" w:hAnsi="Arial" w:cs="Arial"/>
                <w:color w:val="000000" w:themeColor="text1"/>
                <w:sz w:val="18"/>
                <w:szCs w:val="18"/>
                <w:vertAlign w:val="superscript"/>
              </w:rPr>
              <w:t>T</w:t>
            </w:r>
          </w:p>
          <w:p w14:paraId="189474AA"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proofErr w:type="spellStart"/>
            <w:r w:rsidRPr="008E7BF4">
              <w:rPr>
                <w:rFonts w:ascii="Arial" w:eastAsia="MS Gothic" w:hAnsi="Arial" w:cs="Arial"/>
                <w:color w:val="000000" w:themeColor="text1"/>
                <w:sz w:val="18"/>
                <w:szCs w:val="18"/>
              </w:rPr>
              <w:t>Epi</w:t>
            </w:r>
            <w:r w:rsidRPr="008E7BF4">
              <w:rPr>
                <w:rFonts w:ascii="Arial" w:eastAsia="MS Gothic" w:hAnsi="Arial" w:cs="Arial"/>
                <w:color w:val="000000" w:themeColor="text1"/>
                <w:sz w:val="18"/>
                <w:szCs w:val="18"/>
                <w:vertAlign w:val="superscript"/>
              </w:rPr>
              <w:t>T</w:t>
            </w:r>
            <w:proofErr w:type="spellEnd"/>
          </w:p>
          <w:p w14:paraId="124C5CDA"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proofErr w:type="spellStart"/>
            <w:r w:rsidRPr="008E7BF4">
              <w:rPr>
                <w:rFonts w:ascii="Arial" w:eastAsia="MS Gothic" w:hAnsi="Arial" w:cs="Arial"/>
                <w:color w:val="000000" w:themeColor="text1"/>
                <w:sz w:val="18"/>
                <w:szCs w:val="18"/>
              </w:rPr>
              <w:t>Furnace</w:t>
            </w:r>
            <w:r w:rsidRPr="008E7BF4">
              <w:rPr>
                <w:rFonts w:ascii="Arial" w:eastAsia="MS Gothic" w:hAnsi="Arial" w:cs="Arial"/>
                <w:color w:val="000000" w:themeColor="text1"/>
                <w:sz w:val="18"/>
                <w:szCs w:val="18"/>
                <w:vertAlign w:val="superscript"/>
              </w:rPr>
              <w:t>A</w:t>
            </w:r>
            <w:proofErr w:type="spellEnd"/>
          </w:p>
          <w:p w14:paraId="1692C86D"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proofErr w:type="spellStart"/>
            <w:r w:rsidRPr="008E7BF4">
              <w:rPr>
                <w:rFonts w:ascii="Arial" w:eastAsia="MS Gothic" w:hAnsi="Arial" w:cs="Arial"/>
                <w:color w:val="000000" w:themeColor="text1"/>
                <w:sz w:val="18"/>
                <w:szCs w:val="18"/>
              </w:rPr>
              <w:t>Implant</w:t>
            </w:r>
            <w:r w:rsidRPr="008E7BF4">
              <w:rPr>
                <w:rFonts w:ascii="Arial" w:eastAsia="MS Gothic" w:hAnsi="Arial" w:cs="Arial"/>
                <w:color w:val="000000" w:themeColor="text1"/>
                <w:sz w:val="18"/>
                <w:szCs w:val="18"/>
                <w:vertAlign w:val="superscript"/>
              </w:rPr>
              <w:t>T</w:t>
            </w:r>
            <w:proofErr w:type="spellEnd"/>
          </w:p>
          <w:p w14:paraId="181FBE0A"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r w:rsidRPr="008E7BF4">
              <w:rPr>
                <w:rFonts w:ascii="Arial" w:eastAsia="MS Gothic" w:hAnsi="Arial" w:cs="Arial"/>
                <w:color w:val="000000" w:themeColor="text1"/>
                <w:sz w:val="18"/>
                <w:szCs w:val="18"/>
              </w:rPr>
              <w:t>PVD</w:t>
            </w:r>
            <w:r w:rsidRPr="008E7BF4">
              <w:rPr>
                <w:rFonts w:ascii="Arial" w:eastAsia="MS Gothic" w:hAnsi="Arial" w:cs="Arial"/>
                <w:color w:val="000000" w:themeColor="text1"/>
                <w:sz w:val="18"/>
                <w:szCs w:val="18"/>
                <w:vertAlign w:val="superscript"/>
              </w:rPr>
              <w:t>T</w:t>
            </w:r>
          </w:p>
          <w:p w14:paraId="14CA4134"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bCs/>
                <w:color w:val="000000" w:themeColor="text1"/>
                <w:sz w:val="18"/>
                <w:szCs w:val="18"/>
              </w:rPr>
            </w:pPr>
            <w:proofErr w:type="spellStart"/>
            <w:r w:rsidRPr="008E7BF4">
              <w:rPr>
                <w:rFonts w:ascii="Arial" w:eastAsia="MS Gothic" w:hAnsi="Arial" w:cs="Arial"/>
                <w:color w:val="000000" w:themeColor="text1"/>
                <w:sz w:val="18"/>
                <w:szCs w:val="18"/>
              </w:rPr>
              <w:t>Track</w:t>
            </w:r>
            <w:r w:rsidRPr="008E7BF4">
              <w:rPr>
                <w:rFonts w:ascii="Arial" w:eastAsia="MS Gothic" w:hAnsi="Arial" w:cs="Arial"/>
                <w:color w:val="000000" w:themeColor="text1"/>
                <w:sz w:val="18"/>
                <w:szCs w:val="18"/>
                <w:vertAlign w:val="superscript"/>
              </w:rPr>
              <w:t>A</w:t>
            </w:r>
            <w:proofErr w:type="spellEnd"/>
          </w:p>
          <w:p w14:paraId="2E342AE1" w14:textId="77777777" w:rsidR="00D36433" w:rsidRPr="008E7BF4" w:rsidRDefault="00D36433" w:rsidP="00210E6E">
            <w:pPr>
              <w:pStyle w:val="ListParagraph"/>
              <w:numPr>
                <w:ilvl w:val="0"/>
                <w:numId w:val="31"/>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Wet </w:t>
            </w:r>
            <w:proofErr w:type="spellStart"/>
            <w:r w:rsidRPr="008E7BF4">
              <w:rPr>
                <w:rFonts w:ascii="Arial" w:eastAsia="MS Gothic" w:hAnsi="Arial" w:cs="Arial"/>
                <w:color w:val="000000" w:themeColor="text1"/>
                <w:sz w:val="18"/>
                <w:szCs w:val="18"/>
              </w:rPr>
              <w:t>Clean</w:t>
            </w:r>
            <w:r w:rsidRPr="008E7BF4">
              <w:rPr>
                <w:rFonts w:ascii="Arial" w:eastAsia="MS Gothic" w:hAnsi="Arial" w:cs="Arial"/>
                <w:color w:val="000000" w:themeColor="text1"/>
                <w:sz w:val="18"/>
                <w:szCs w:val="18"/>
                <w:vertAlign w:val="superscript"/>
              </w:rPr>
              <w:t>A</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25DBC0D"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CMP</w:t>
            </w:r>
            <w:r w:rsidRPr="008E7BF4">
              <w:rPr>
                <w:rFonts w:ascii="Arial" w:eastAsia="MS Gothic" w:hAnsi="Arial" w:cs="Arial"/>
                <w:color w:val="000000" w:themeColor="text1"/>
                <w:sz w:val="18"/>
                <w:szCs w:val="18"/>
                <w:vertAlign w:val="superscript"/>
              </w:rPr>
              <w:t>T</w:t>
            </w:r>
          </w:p>
          <w:p w14:paraId="01040F0D"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CVD</w:t>
            </w:r>
            <w:r w:rsidRPr="008E7BF4">
              <w:rPr>
                <w:rFonts w:ascii="Arial" w:eastAsia="MS Gothic" w:hAnsi="Arial" w:cs="Arial"/>
                <w:color w:val="000000" w:themeColor="text1"/>
                <w:sz w:val="18"/>
                <w:szCs w:val="18"/>
                <w:vertAlign w:val="superscript"/>
              </w:rPr>
              <w:t>T</w:t>
            </w:r>
          </w:p>
          <w:p w14:paraId="13C20E69"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Dielectric </w:t>
            </w:r>
            <w:proofErr w:type="spellStart"/>
            <w:r w:rsidRPr="008E7BF4">
              <w:rPr>
                <w:rFonts w:ascii="Arial" w:eastAsia="MS Gothic" w:hAnsi="Arial" w:cs="Arial"/>
                <w:color w:val="000000" w:themeColor="text1"/>
                <w:sz w:val="18"/>
                <w:szCs w:val="18"/>
              </w:rPr>
              <w:t>Etch</w:t>
            </w:r>
            <w:r w:rsidRPr="008E7BF4">
              <w:rPr>
                <w:rFonts w:ascii="Arial" w:eastAsia="MS Gothic" w:hAnsi="Arial" w:cs="Arial"/>
                <w:color w:val="000000" w:themeColor="text1"/>
                <w:sz w:val="18"/>
                <w:szCs w:val="18"/>
                <w:vertAlign w:val="superscript"/>
              </w:rPr>
              <w:t>A</w:t>
            </w:r>
            <w:proofErr w:type="spellEnd"/>
          </w:p>
          <w:p w14:paraId="16AF9DD3"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PVD</w:t>
            </w:r>
            <w:r w:rsidRPr="008E7BF4">
              <w:rPr>
                <w:rFonts w:ascii="Arial" w:eastAsia="MS Gothic" w:hAnsi="Arial" w:cs="Arial"/>
                <w:color w:val="000000" w:themeColor="text1"/>
                <w:sz w:val="18"/>
                <w:szCs w:val="18"/>
                <w:vertAlign w:val="superscript"/>
              </w:rPr>
              <w:t>T</w:t>
            </w:r>
          </w:p>
          <w:p w14:paraId="6A467829"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Wet </w:t>
            </w:r>
            <w:proofErr w:type="spellStart"/>
            <w:r w:rsidRPr="008E7BF4">
              <w:rPr>
                <w:rFonts w:ascii="Arial" w:eastAsia="MS Gothic" w:hAnsi="Arial" w:cs="Arial"/>
                <w:color w:val="000000" w:themeColor="text1"/>
                <w:sz w:val="18"/>
                <w:szCs w:val="18"/>
              </w:rPr>
              <w:t>Clean</w:t>
            </w:r>
            <w:r w:rsidRPr="008E7BF4">
              <w:rPr>
                <w:rFonts w:ascii="Arial" w:eastAsia="MS Gothic" w:hAnsi="Arial" w:cs="Arial"/>
                <w:color w:val="000000" w:themeColor="text1"/>
                <w:sz w:val="18"/>
                <w:szCs w:val="18"/>
                <w:vertAlign w:val="superscript"/>
              </w:rPr>
              <w:t>A</w:t>
            </w:r>
            <w:proofErr w:type="spellEnd"/>
          </w:p>
          <w:p w14:paraId="2C7CB08C" w14:textId="77777777" w:rsidR="00D36433" w:rsidRPr="008E7BF4" w:rsidRDefault="00D36433" w:rsidP="00210E6E">
            <w:pPr>
              <w:pStyle w:val="ListParagraph"/>
              <w:numPr>
                <w:ilvl w:val="0"/>
                <w:numId w:val="32"/>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Spin-on </w:t>
            </w:r>
            <w:proofErr w:type="spellStart"/>
            <w:r w:rsidRPr="008E7BF4">
              <w:rPr>
                <w:rFonts w:ascii="Arial" w:eastAsia="MS Gothic" w:hAnsi="Arial" w:cs="Arial"/>
                <w:color w:val="000000" w:themeColor="text1"/>
                <w:sz w:val="18"/>
                <w:szCs w:val="18"/>
              </w:rPr>
              <w:t>Dielectric</w:t>
            </w:r>
            <w:r w:rsidRPr="008E7BF4">
              <w:rPr>
                <w:rFonts w:ascii="Arial" w:eastAsia="MS Gothic" w:hAnsi="Arial" w:cs="Arial"/>
                <w:color w:val="000000" w:themeColor="text1"/>
                <w:sz w:val="18"/>
                <w:szCs w:val="18"/>
                <w:vertAlign w:val="superscript"/>
              </w:rPr>
              <w:t>A</w:t>
            </w:r>
            <w:proofErr w:type="spellEnd"/>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68DBF61"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ALD</w:t>
            </w:r>
            <w:r w:rsidRPr="008E7BF4">
              <w:rPr>
                <w:rFonts w:ascii="Arial" w:eastAsia="MS Gothic" w:hAnsi="Arial" w:cs="Arial"/>
                <w:color w:val="000000" w:themeColor="text1"/>
                <w:sz w:val="18"/>
                <w:szCs w:val="18"/>
                <w:vertAlign w:val="superscript"/>
              </w:rPr>
              <w:t>A</w:t>
            </w:r>
          </w:p>
          <w:p w14:paraId="46F3C1E2"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CMP</w:t>
            </w:r>
            <w:r w:rsidRPr="008E7BF4">
              <w:rPr>
                <w:rFonts w:ascii="Arial" w:eastAsia="MS Gothic" w:hAnsi="Arial" w:cs="Arial"/>
                <w:color w:val="000000" w:themeColor="text1"/>
                <w:sz w:val="18"/>
                <w:szCs w:val="18"/>
                <w:vertAlign w:val="superscript"/>
              </w:rPr>
              <w:t>T</w:t>
            </w:r>
          </w:p>
          <w:p w14:paraId="1061C62F"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Conductor </w:t>
            </w:r>
            <w:proofErr w:type="spellStart"/>
            <w:r w:rsidRPr="008E7BF4">
              <w:rPr>
                <w:rFonts w:ascii="Arial" w:eastAsia="MS Gothic" w:hAnsi="Arial" w:cs="Arial"/>
                <w:color w:val="000000" w:themeColor="text1"/>
                <w:sz w:val="18"/>
                <w:szCs w:val="18"/>
              </w:rPr>
              <w:t>Etch</w:t>
            </w:r>
            <w:r w:rsidRPr="008E7BF4">
              <w:rPr>
                <w:rFonts w:ascii="Arial" w:eastAsia="MS Gothic" w:hAnsi="Arial" w:cs="Arial"/>
                <w:color w:val="000000" w:themeColor="text1"/>
                <w:sz w:val="18"/>
                <w:szCs w:val="18"/>
                <w:vertAlign w:val="superscript"/>
              </w:rPr>
              <w:t>T</w:t>
            </w:r>
            <w:proofErr w:type="spellEnd"/>
          </w:p>
          <w:p w14:paraId="11FCACB4"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Dielectric </w:t>
            </w:r>
            <w:proofErr w:type="spellStart"/>
            <w:r w:rsidRPr="008E7BF4">
              <w:rPr>
                <w:rFonts w:ascii="Arial" w:eastAsia="MS Gothic" w:hAnsi="Arial" w:cs="Arial"/>
                <w:color w:val="000000" w:themeColor="text1"/>
                <w:sz w:val="18"/>
                <w:szCs w:val="18"/>
              </w:rPr>
              <w:t>Etch</w:t>
            </w:r>
            <w:r w:rsidRPr="008E7BF4">
              <w:rPr>
                <w:rFonts w:ascii="Arial" w:eastAsia="MS Gothic" w:hAnsi="Arial" w:cs="Arial"/>
                <w:color w:val="000000" w:themeColor="text1"/>
                <w:sz w:val="18"/>
                <w:szCs w:val="18"/>
                <w:vertAlign w:val="superscript"/>
              </w:rPr>
              <w:t>A</w:t>
            </w:r>
            <w:proofErr w:type="spellEnd"/>
          </w:p>
          <w:p w14:paraId="257A2EA3"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CVD</w:t>
            </w:r>
            <w:r w:rsidRPr="008E7BF4">
              <w:rPr>
                <w:rFonts w:ascii="Arial" w:eastAsia="MS Gothic" w:hAnsi="Arial" w:cs="Arial"/>
                <w:color w:val="000000" w:themeColor="text1"/>
                <w:sz w:val="18"/>
                <w:szCs w:val="18"/>
                <w:vertAlign w:val="superscript"/>
              </w:rPr>
              <w:t>T</w:t>
            </w:r>
          </w:p>
          <w:p w14:paraId="5B5BF45C"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proofErr w:type="spellStart"/>
            <w:r w:rsidRPr="008E7BF4">
              <w:rPr>
                <w:rFonts w:ascii="Arial" w:eastAsia="MS Gothic" w:hAnsi="Arial" w:cs="Arial"/>
                <w:color w:val="000000" w:themeColor="text1"/>
                <w:sz w:val="18"/>
                <w:szCs w:val="18"/>
              </w:rPr>
              <w:t>Furnace</w:t>
            </w:r>
            <w:r w:rsidRPr="008E7BF4">
              <w:rPr>
                <w:rFonts w:ascii="Arial" w:eastAsia="MS Gothic" w:hAnsi="Arial" w:cs="Arial"/>
                <w:color w:val="000000" w:themeColor="text1"/>
                <w:sz w:val="18"/>
                <w:szCs w:val="18"/>
                <w:vertAlign w:val="superscript"/>
              </w:rPr>
              <w:t>A</w:t>
            </w:r>
            <w:proofErr w:type="spellEnd"/>
          </w:p>
          <w:p w14:paraId="71BA62C2"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Selective Material</w:t>
            </w:r>
            <w:r w:rsidRPr="008E7BF4">
              <w:rPr>
                <w:rFonts w:ascii="Arial" w:eastAsia="MS Gothic" w:hAnsi="Arial" w:cs="Arial"/>
                <w:color w:val="000000" w:themeColor="text1"/>
                <w:sz w:val="18"/>
                <w:szCs w:val="18"/>
                <w:vertAlign w:val="superscript"/>
              </w:rPr>
              <w:t xml:space="preserve"> </w:t>
            </w:r>
            <w:proofErr w:type="spellStart"/>
            <w:r w:rsidRPr="008E7BF4">
              <w:rPr>
                <w:rFonts w:ascii="Arial" w:eastAsia="MS Gothic" w:hAnsi="Arial" w:cs="Arial"/>
                <w:color w:val="000000" w:themeColor="text1"/>
                <w:sz w:val="18"/>
                <w:szCs w:val="18"/>
              </w:rPr>
              <w:t>Removal</w:t>
            </w:r>
            <w:r w:rsidRPr="008E7BF4">
              <w:rPr>
                <w:rFonts w:ascii="Arial" w:eastAsia="MS Gothic" w:hAnsi="Arial" w:cs="Arial"/>
                <w:color w:val="000000" w:themeColor="text1"/>
                <w:sz w:val="18"/>
                <w:szCs w:val="18"/>
                <w:vertAlign w:val="superscript"/>
              </w:rPr>
              <w:t>T</w:t>
            </w:r>
            <w:proofErr w:type="spellEnd"/>
          </w:p>
          <w:p w14:paraId="166B978D"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Wet </w:t>
            </w:r>
            <w:proofErr w:type="spellStart"/>
            <w:r w:rsidRPr="008E7BF4">
              <w:rPr>
                <w:rFonts w:ascii="Arial" w:eastAsia="MS Gothic" w:hAnsi="Arial" w:cs="Arial"/>
                <w:color w:val="000000" w:themeColor="text1"/>
                <w:sz w:val="18"/>
                <w:szCs w:val="18"/>
              </w:rPr>
              <w:t>Clean</w:t>
            </w:r>
            <w:r w:rsidRPr="008E7BF4">
              <w:rPr>
                <w:rFonts w:ascii="Arial" w:eastAsia="MS Gothic" w:hAnsi="Arial" w:cs="Arial"/>
                <w:color w:val="000000" w:themeColor="text1"/>
                <w:sz w:val="18"/>
                <w:szCs w:val="18"/>
                <w:vertAlign w:val="superscript"/>
              </w:rPr>
              <w:t>A</w:t>
            </w:r>
            <w:proofErr w:type="spellEnd"/>
          </w:p>
          <w:p w14:paraId="38A1C56E" w14:textId="77777777" w:rsidR="00D36433" w:rsidRPr="008E7BF4" w:rsidRDefault="00D36433" w:rsidP="00210E6E">
            <w:pPr>
              <w:pStyle w:val="ListParagraph"/>
              <w:numPr>
                <w:ilvl w:val="0"/>
                <w:numId w:val="33"/>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Gas Chemical </w:t>
            </w:r>
            <w:proofErr w:type="spellStart"/>
            <w:r w:rsidRPr="008E7BF4">
              <w:rPr>
                <w:rFonts w:ascii="Arial" w:eastAsia="MS Gothic" w:hAnsi="Arial" w:cs="Arial"/>
                <w:color w:val="000000" w:themeColor="text1"/>
                <w:sz w:val="18"/>
                <w:szCs w:val="18"/>
              </w:rPr>
              <w:t>Etch</w:t>
            </w:r>
            <w:r w:rsidRPr="008E7BF4">
              <w:rPr>
                <w:rFonts w:ascii="Arial" w:eastAsia="MS Gothic" w:hAnsi="Arial" w:cs="Arial"/>
                <w:color w:val="000000" w:themeColor="text1"/>
                <w:sz w:val="18"/>
                <w:szCs w:val="18"/>
                <w:vertAlign w:val="superscript"/>
              </w:rPr>
              <w:t>A</w:t>
            </w:r>
            <w:proofErr w:type="spellEnd"/>
          </w:p>
        </w:tc>
        <w:tc>
          <w:tcPr>
            <w:tcW w:w="24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1FD232"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ALD</w:t>
            </w:r>
            <w:r w:rsidRPr="008E7BF4">
              <w:rPr>
                <w:rFonts w:ascii="Arial" w:eastAsia="MS Gothic" w:hAnsi="Arial" w:cs="Arial"/>
                <w:color w:val="000000" w:themeColor="text1"/>
                <w:sz w:val="18"/>
                <w:szCs w:val="18"/>
                <w:vertAlign w:val="superscript"/>
              </w:rPr>
              <w:t>A</w:t>
            </w:r>
          </w:p>
          <w:p w14:paraId="2CCF9BB6"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proofErr w:type="spellStart"/>
            <w:r w:rsidRPr="008E7BF4">
              <w:rPr>
                <w:rFonts w:ascii="Arial" w:eastAsia="MS Gothic" w:hAnsi="Arial" w:cs="Arial"/>
                <w:color w:val="000000" w:themeColor="text1"/>
                <w:sz w:val="18"/>
                <w:szCs w:val="18"/>
              </w:rPr>
              <w:t>Brightfield</w:t>
            </w:r>
            <w:r w:rsidRPr="008E7BF4">
              <w:rPr>
                <w:rFonts w:ascii="Arial" w:eastAsia="MS Gothic" w:hAnsi="Arial" w:cs="Arial"/>
                <w:color w:val="000000" w:themeColor="text1"/>
                <w:sz w:val="18"/>
                <w:szCs w:val="18"/>
                <w:vertAlign w:val="superscript"/>
              </w:rPr>
              <w:t>T</w:t>
            </w:r>
            <w:proofErr w:type="spellEnd"/>
            <w:r w:rsidRPr="008E7BF4">
              <w:rPr>
                <w:rFonts w:ascii="Arial" w:eastAsia="MS Gothic" w:hAnsi="Arial" w:cs="Arial"/>
                <w:color w:val="000000" w:themeColor="text1"/>
                <w:sz w:val="18"/>
                <w:szCs w:val="18"/>
              </w:rPr>
              <w:t xml:space="preserve"> </w:t>
            </w:r>
            <w:proofErr w:type="spellStart"/>
            <w:r w:rsidRPr="008E7BF4">
              <w:rPr>
                <w:rFonts w:ascii="Arial" w:eastAsia="MS Gothic" w:hAnsi="Arial" w:cs="Arial"/>
                <w:color w:val="000000" w:themeColor="text1"/>
                <w:sz w:val="18"/>
                <w:szCs w:val="18"/>
              </w:rPr>
              <w:t>Inspection</w:t>
            </w:r>
            <w:r w:rsidRPr="008E7BF4">
              <w:rPr>
                <w:rFonts w:ascii="Arial" w:eastAsia="MS Gothic" w:hAnsi="Arial" w:cs="Arial"/>
                <w:color w:val="000000" w:themeColor="text1"/>
                <w:sz w:val="18"/>
                <w:szCs w:val="18"/>
                <w:vertAlign w:val="superscript"/>
              </w:rPr>
              <w:t>T</w:t>
            </w:r>
            <w:proofErr w:type="spellEnd"/>
          </w:p>
          <w:p w14:paraId="33955CE6"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CVD</w:t>
            </w:r>
            <w:r w:rsidRPr="008E7BF4">
              <w:rPr>
                <w:rFonts w:ascii="Arial" w:eastAsia="MS Gothic" w:hAnsi="Arial" w:cs="Arial"/>
                <w:color w:val="000000" w:themeColor="text1"/>
                <w:sz w:val="18"/>
                <w:szCs w:val="18"/>
                <w:vertAlign w:val="superscript"/>
              </w:rPr>
              <w:t>T</w:t>
            </w:r>
          </w:p>
          <w:p w14:paraId="0419BDD9"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Defect </w:t>
            </w:r>
            <w:proofErr w:type="spellStart"/>
            <w:r w:rsidRPr="008E7BF4">
              <w:rPr>
                <w:rFonts w:ascii="Arial" w:eastAsia="MS Gothic" w:hAnsi="Arial" w:cs="Arial"/>
                <w:color w:val="000000" w:themeColor="text1"/>
                <w:sz w:val="18"/>
                <w:szCs w:val="18"/>
              </w:rPr>
              <w:t>Review</w:t>
            </w:r>
            <w:r w:rsidRPr="008E7BF4">
              <w:rPr>
                <w:rFonts w:ascii="Arial" w:eastAsia="MS Gothic" w:hAnsi="Arial" w:cs="Arial"/>
                <w:color w:val="000000" w:themeColor="text1"/>
                <w:sz w:val="18"/>
                <w:szCs w:val="18"/>
                <w:vertAlign w:val="superscript"/>
              </w:rPr>
              <w:t>T</w:t>
            </w:r>
            <w:proofErr w:type="spellEnd"/>
          </w:p>
          <w:p w14:paraId="6A94DC96"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Dielectric </w:t>
            </w:r>
            <w:proofErr w:type="spellStart"/>
            <w:r w:rsidRPr="008E7BF4">
              <w:rPr>
                <w:rFonts w:ascii="Arial" w:eastAsia="MS Gothic" w:hAnsi="Arial" w:cs="Arial"/>
                <w:color w:val="000000" w:themeColor="text1"/>
                <w:sz w:val="18"/>
                <w:szCs w:val="18"/>
              </w:rPr>
              <w:t>Etch</w:t>
            </w:r>
            <w:r w:rsidRPr="008E7BF4">
              <w:rPr>
                <w:rFonts w:ascii="Arial" w:eastAsia="MS Gothic" w:hAnsi="Arial" w:cs="Arial"/>
                <w:color w:val="000000" w:themeColor="text1"/>
                <w:sz w:val="18"/>
                <w:szCs w:val="18"/>
                <w:vertAlign w:val="superscript"/>
              </w:rPr>
              <w:t>A</w:t>
            </w:r>
            <w:proofErr w:type="spellEnd"/>
          </w:p>
          <w:p w14:paraId="6BDF4D84"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proofErr w:type="spellStart"/>
            <w:r w:rsidRPr="008E7BF4">
              <w:rPr>
                <w:rFonts w:ascii="Arial" w:eastAsia="MS Gothic" w:hAnsi="Arial" w:cs="Arial"/>
                <w:color w:val="000000" w:themeColor="text1"/>
                <w:sz w:val="18"/>
                <w:szCs w:val="18"/>
              </w:rPr>
              <w:t>Track</w:t>
            </w:r>
            <w:r w:rsidRPr="008E7BF4">
              <w:rPr>
                <w:rFonts w:ascii="Arial" w:eastAsia="MS Gothic" w:hAnsi="Arial" w:cs="Arial"/>
                <w:color w:val="000000" w:themeColor="text1"/>
                <w:sz w:val="18"/>
                <w:szCs w:val="18"/>
                <w:vertAlign w:val="superscript"/>
              </w:rPr>
              <w:t>A</w:t>
            </w:r>
            <w:proofErr w:type="spellEnd"/>
          </w:p>
          <w:p w14:paraId="70ADB7C9" w14:textId="77777777" w:rsidR="00D36433" w:rsidRPr="008E7BF4" w:rsidRDefault="00D36433" w:rsidP="00210E6E">
            <w:pPr>
              <w:pStyle w:val="ListParagraph"/>
              <w:numPr>
                <w:ilvl w:val="0"/>
                <w:numId w:val="34"/>
              </w:numPr>
              <w:autoSpaceDE w:val="0"/>
              <w:autoSpaceDN w:val="0"/>
              <w:adjustRightInd w:val="0"/>
              <w:spacing w:line="360" w:lineRule="auto"/>
              <w:jc w:val="left"/>
              <w:rPr>
                <w:rFonts w:ascii="Arial" w:eastAsia="MS Gothic" w:hAnsi="Arial" w:cs="Arial"/>
                <w:color w:val="000000" w:themeColor="text1"/>
                <w:sz w:val="18"/>
                <w:szCs w:val="18"/>
              </w:rPr>
            </w:pPr>
            <w:r w:rsidRPr="008E7BF4">
              <w:rPr>
                <w:rFonts w:ascii="Arial" w:eastAsia="MS Gothic" w:hAnsi="Arial" w:cs="Arial"/>
                <w:color w:val="000000" w:themeColor="text1"/>
                <w:sz w:val="18"/>
                <w:szCs w:val="18"/>
              </w:rPr>
              <w:t xml:space="preserve">Wet </w:t>
            </w:r>
            <w:proofErr w:type="spellStart"/>
            <w:r w:rsidRPr="008E7BF4">
              <w:rPr>
                <w:rFonts w:ascii="Arial" w:eastAsia="MS Gothic" w:hAnsi="Arial" w:cs="Arial"/>
                <w:color w:val="000000" w:themeColor="text1"/>
                <w:sz w:val="18"/>
                <w:szCs w:val="18"/>
              </w:rPr>
              <w:t>Clean</w:t>
            </w:r>
            <w:r w:rsidRPr="008E7BF4">
              <w:rPr>
                <w:rFonts w:ascii="Arial" w:eastAsia="MS Gothic" w:hAnsi="Arial" w:cs="Arial"/>
                <w:color w:val="000000" w:themeColor="text1"/>
                <w:sz w:val="18"/>
                <w:szCs w:val="18"/>
                <w:vertAlign w:val="superscript"/>
              </w:rPr>
              <w:t>A</w:t>
            </w:r>
            <w:proofErr w:type="spellEnd"/>
          </w:p>
        </w:tc>
      </w:tr>
    </w:tbl>
    <w:p w14:paraId="4065FD4B" w14:textId="77777777" w:rsidR="00A63DCF" w:rsidRDefault="00A63DCF" w:rsidP="00D36433">
      <w:pPr>
        <w:pStyle w:val="Footnote"/>
      </w:pPr>
    </w:p>
    <w:p w14:paraId="2257C8C4" w14:textId="65A97DD1" w:rsidR="00D36433" w:rsidRDefault="00A63DCF" w:rsidP="00D36433">
      <w:pPr>
        <w:pStyle w:val="Footnote"/>
      </w:pPr>
      <w:r>
        <w:t xml:space="preserve">Note: </w:t>
      </w:r>
      <w:r w:rsidR="00D36433">
        <w:t>T</w:t>
      </w:r>
      <w:r>
        <w:t xml:space="preserve"> = </w:t>
      </w:r>
      <w:r w:rsidR="00D36433">
        <w:t xml:space="preserve">Activities </w:t>
      </w:r>
      <w:r w:rsidR="00B114A3">
        <w:t xml:space="preserve">carried out </w:t>
      </w:r>
      <w:r>
        <w:t>by Tokyo Electron; A =</w:t>
      </w:r>
      <w:r w:rsidR="00D36433">
        <w:t xml:space="preserve"> Activities </w:t>
      </w:r>
      <w:r w:rsidR="00B114A3">
        <w:t xml:space="preserve">carried out </w:t>
      </w:r>
      <w:r w:rsidR="00D36433">
        <w:t>by Applied Material</w:t>
      </w:r>
      <w:r w:rsidR="005A701B">
        <w:t>s</w:t>
      </w:r>
      <w:r w:rsidR="008E7BF4">
        <w:t xml:space="preserve">; CMP = </w:t>
      </w:r>
      <w:r w:rsidR="002161A3">
        <w:t>chemical mechanical p</w:t>
      </w:r>
      <w:r w:rsidR="002161A3" w:rsidRPr="002161A3">
        <w:t>olish</w:t>
      </w:r>
      <w:r w:rsidR="008E7BF4">
        <w:t xml:space="preserve">; CVD = </w:t>
      </w:r>
      <w:r w:rsidR="00BA5F80">
        <w:t>chemical vapo</w:t>
      </w:r>
      <w:r w:rsidR="008C64C1">
        <w:t>u</w:t>
      </w:r>
      <w:r w:rsidR="00BA5F80">
        <w:t>r d</w:t>
      </w:r>
      <w:r w:rsidR="00BA5F80" w:rsidRPr="00BA5F80">
        <w:t>eposition</w:t>
      </w:r>
      <w:r w:rsidR="008E7BF4">
        <w:t>; PVD = physical vapo</w:t>
      </w:r>
      <w:r w:rsidR="008C64C1">
        <w:t>u</w:t>
      </w:r>
      <w:r w:rsidR="008E7BF4">
        <w:t xml:space="preserve">r deposition; ALD = </w:t>
      </w:r>
      <w:r w:rsidR="00BA5F80">
        <w:t>a</w:t>
      </w:r>
      <w:r w:rsidR="00BA5F80" w:rsidRPr="00BA5F80">
        <w:t>tomic layer deposition</w:t>
      </w:r>
    </w:p>
    <w:p w14:paraId="5E2A8DF7" w14:textId="7FC28784" w:rsidR="0069682F" w:rsidRPr="00073B29" w:rsidRDefault="0069682F" w:rsidP="00073B29">
      <w:pPr>
        <w:pStyle w:val="Footnote"/>
      </w:pPr>
      <w:r w:rsidRPr="00073B29">
        <w:t xml:space="preserve">Source: </w:t>
      </w:r>
      <w:r w:rsidR="00D83C40" w:rsidRPr="005C466D">
        <w:t>Created by the case authors based on</w:t>
      </w:r>
      <w:r w:rsidR="00D83C40" w:rsidRPr="00073B29">
        <w:t xml:space="preserve"> </w:t>
      </w:r>
      <w:r w:rsidRPr="00073B29">
        <w:t xml:space="preserve">Anne Shields, “Why Applied Materials </w:t>
      </w:r>
      <w:r w:rsidR="007770B2">
        <w:t>C</w:t>
      </w:r>
      <w:r w:rsidR="007770B2" w:rsidRPr="00073B29">
        <w:t xml:space="preserve">onsidered </w:t>
      </w:r>
      <w:r w:rsidR="007770B2">
        <w:t>A</w:t>
      </w:r>
      <w:r w:rsidR="007770B2" w:rsidRPr="00073B29">
        <w:t xml:space="preserve">cquisition </w:t>
      </w:r>
      <w:r w:rsidRPr="00073B29">
        <w:t>of Tokyo Electron</w:t>
      </w:r>
      <w:r w:rsidR="00605DF3" w:rsidRPr="00073B29">
        <w:t>,”</w:t>
      </w:r>
      <w:r w:rsidRPr="00073B29">
        <w:t xml:space="preserve"> </w:t>
      </w:r>
      <w:r w:rsidRPr="00710D11">
        <w:t>Market Realist</w:t>
      </w:r>
      <w:r w:rsidRPr="008C64C1">
        <w:t>,</w:t>
      </w:r>
      <w:r w:rsidRPr="00073B29">
        <w:t xml:space="preserve"> January 12, 2015, accessed </w:t>
      </w:r>
      <w:r w:rsidR="00D36433">
        <w:t>January 26, 2017</w:t>
      </w:r>
      <w:r w:rsidRPr="00073B29">
        <w:t xml:space="preserve">, </w:t>
      </w:r>
      <w:hyperlink r:id="rId17" w:history="1">
        <w:r w:rsidR="00605DF3" w:rsidRPr="00073B29">
          <w:rPr>
            <w:rStyle w:val="Hyperlink"/>
            <w:color w:val="auto"/>
            <w:u w:val="none"/>
          </w:rPr>
          <w:t>http://marketrealist.com/2015/01/applied-materials-considered-acquisition-tokyo-electron</w:t>
        </w:r>
      </w:hyperlink>
      <w:r w:rsidR="00605DF3" w:rsidRPr="00073B29">
        <w:t>.</w:t>
      </w:r>
    </w:p>
    <w:p w14:paraId="50CBAF17" w14:textId="77777777" w:rsidR="00605DF3" w:rsidRDefault="00605DF3" w:rsidP="0069682F">
      <w:pPr>
        <w:pStyle w:val="Footnote"/>
      </w:pPr>
    </w:p>
    <w:p w14:paraId="55426EF1" w14:textId="64682B65" w:rsidR="0080764F" w:rsidRDefault="0080764F">
      <w:pPr>
        <w:spacing w:after="200" w:line="276" w:lineRule="auto"/>
        <w:rPr>
          <w:rFonts w:ascii="Arial" w:hAnsi="Arial" w:cs="Arial"/>
          <w:sz w:val="17"/>
          <w:szCs w:val="17"/>
        </w:rPr>
      </w:pPr>
      <w:r>
        <w:br w:type="page"/>
      </w:r>
    </w:p>
    <w:p w14:paraId="66F7CB47" w14:textId="24528E1E" w:rsidR="0035344F" w:rsidRPr="006F1D9E" w:rsidRDefault="006610CD" w:rsidP="006610CD">
      <w:pPr>
        <w:pStyle w:val="Casehead1"/>
      </w:pPr>
      <w:r>
        <w:lastRenderedPageBreak/>
        <w:t xml:space="preserve">Endnotes </w:t>
      </w:r>
    </w:p>
    <w:sectPr w:rsidR="0035344F" w:rsidRPr="006F1D9E"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D0D19" w14:textId="77777777" w:rsidR="0002047F" w:rsidRDefault="0002047F" w:rsidP="00D75295">
      <w:r>
        <w:separator/>
      </w:r>
    </w:p>
  </w:endnote>
  <w:endnote w:type="continuationSeparator" w:id="0">
    <w:p w14:paraId="09DEDDE4" w14:textId="77777777" w:rsidR="0002047F" w:rsidRDefault="0002047F" w:rsidP="00D75295">
      <w:r>
        <w:continuationSeparator/>
      </w:r>
    </w:p>
  </w:endnote>
  <w:endnote w:id="1">
    <w:p w14:paraId="56A865B4" w14:textId="77777777" w:rsidR="0002047F" w:rsidRPr="00E67AFA" w:rsidRDefault="0002047F" w:rsidP="0080764F">
      <w:pPr>
        <w:pStyle w:val="Footnote"/>
      </w:pPr>
      <w:r w:rsidRPr="00E67AFA">
        <w:rPr>
          <w:rStyle w:val="EndnoteReference"/>
          <w:spacing w:val="-2"/>
          <w:kern w:val="17"/>
        </w:rPr>
        <w:endnoteRef/>
      </w:r>
      <w:r w:rsidRPr="00E67AFA">
        <w:t xml:space="preserve"> This case has been written on the basis of published sources only. Consequently, the interpretation and perspectives presented in this case are not necessarily those of Tokyo Electron Limited or any of its employees.</w:t>
      </w:r>
    </w:p>
  </w:endnote>
  <w:endnote w:id="2">
    <w:p w14:paraId="15527B64" w14:textId="77115102" w:rsidR="0002047F" w:rsidRPr="00E67AFA" w:rsidRDefault="0002047F" w:rsidP="0080764F">
      <w:pPr>
        <w:pStyle w:val="Footnote"/>
      </w:pPr>
      <w:r w:rsidRPr="00E67AFA">
        <w:rPr>
          <w:rStyle w:val="EndnoteReference"/>
          <w:spacing w:val="-2"/>
          <w:kern w:val="17"/>
        </w:rPr>
        <w:endnoteRef/>
      </w:r>
      <w:r w:rsidRPr="00E67AFA">
        <w:t xml:space="preserve"> </w:t>
      </w:r>
      <w:r w:rsidRPr="00710D11">
        <w:t>Bloomberg News</w:t>
      </w:r>
      <w:r w:rsidRPr="00E67AFA">
        <w:t xml:space="preserve"> “Applied Materials Calls </w:t>
      </w:r>
      <w:r>
        <w:t>o</w:t>
      </w:r>
      <w:r w:rsidRPr="00E67AFA">
        <w:t xml:space="preserve">ff Plan to Buy Tokyo Electron </w:t>
      </w:r>
      <w:r>
        <w:t>a</w:t>
      </w:r>
      <w:r w:rsidRPr="00E67AFA">
        <w:t>mid Antitrust Concern,”</w:t>
      </w:r>
      <w:r>
        <w:t xml:space="preserve"> </w:t>
      </w:r>
      <w:proofErr w:type="spellStart"/>
      <w:r>
        <w:t>OregonLive</w:t>
      </w:r>
      <w:proofErr w:type="spellEnd"/>
      <w:r>
        <w:t>: The Oregonian,</w:t>
      </w:r>
      <w:r w:rsidRPr="00E67AFA">
        <w:t xml:space="preserve"> April 27, 2015, accessed December 3, 2016, www.oregonlive.com/silicon-forest/index.ssf/2015/04/applied_materials_calls_off_pl.html</w:t>
      </w:r>
      <w:r>
        <w:t>.</w:t>
      </w:r>
    </w:p>
  </w:endnote>
  <w:endnote w:id="3">
    <w:p w14:paraId="758524FC" w14:textId="6D2DBA4D" w:rsidR="0002047F" w:rsidRPr="00CB00CD" w:rsidRDefault="0002047F" w:rsidP="0080764F">
      <w:pPr>
        <w:pStyle w:val="Footnote"/>
      </w:pPr>
      <w:r w:rsidRPr="008E7BF4">
        <w:rPr>
          <w:rStyle w:val="EndnoteReference"/>
        </w:rPr>
        <w:endnoteRef/>
      </w:r>
      <w:r w:rsidRPr="008E7BF4">
        <w:t xml:space="preserve"> All currency amounts are in US$ unless otherwise specified.</w:t>
      </w:r>
    </w:p>
  </w:endnote>
  <w:endnote w:id="4">
    <w:p w14:paraId="1CAFD86C" w14:textId="6599BAB4" w:rsidR="0002047F" w:rsidRPr="00CB00CD" w:rsidRDefault="0002047F" w:rsidP="0080764F">
      <w:pPr>
        <w:pStyle w:val="Footnote"/>
      </w:pPr>
      <w:r w:rsidRPr="00CB00CD">
        <w:rPr>
          <w:rStyle w:val="EndnoteReference"/>
        </w:rPr>
        <w:endnoteRef/>
      </w:r>
      <w:r w:rsidRPr="00CB00CD">
        <w:t xml:space="preserve"> U.S. International Trade Commission, </w:t>
      </w:r>
      <w:r w:rsidRPr="008E7BF4">
        <w:rPr>
          <w:i/>
        </w:rPr>
        <w:t>Industry Trade and Summary: Semiconductor Manufacturing Equipment</w:t>
      </w:r>
      <w:r>
        <w:t xml:space="preserve">, </w:t>
      </w:r>
      <w:r w:rsidRPr="00CB00CD">
        <w:t>June 2006, accessed June 13, 2016, https://www.usitc.gov/publications/332/pub3868.pdf.</w:t>
      </w:r>
    </w:p>
  </w:endnote>
  <w:endnote w:id="5">
    <w:p w14:paraId="2D2EA5FB" w14:textId="3C547027" w:rsidR="0002047F" w:rsidRPr="00CB00CD" w:rsidRDefault="0002047F" w:rsidP="0080764F">
      <w:pPr>
        <w:pStyle w:val="Footnote"/>
      </w:pPr>
      <w:r w:rsidRPr="00CB00CD">
        <w:rPr>
          <w:rStyle w:val="EndnoteReference"/>
        </w:rPr>
        <w:endnoteRef/>
      </w:r>
      <w:r w:rsidRPr="00CB00CD">
        <w:t xml:space="preserve"> Nicolas </w:t>
      </w:r>
      <w:proofErr w:type="spellStart"/>
      <w:r w:rsidRPr="00CB00CD">
        <w:t>Mokhoff</w:t>
      </w:r>
      <w:proofErr w:type="spellEnd"/>
      <w:r w:rsidRPr="00CB00CD">
        <w:t>, “</w:t>
      </w:r>
      <w:r>
        <w:t xml:space="preserve">News &amp; Analysis: </w:t>
      </w:r>
      <w:r w:rsidRPr="00CB00CD">
        <w:t xml:space="preserve">Semi Industry Fab Costs Limit Industry Growth,” </w:t>
      </w:r>
      <w:r w:rsidRPr="00710D11">
        <w:t>EE Times</w:t>
      </w:r>
      <w:r>
        <w:t>: Connecting the Global Electronics Community</w:t>
      </w:r>
      <w:r w:rsidRPr="00E57FAA">
        <w:t>,</w:t>
      </w:r>
      <w:r w:rsidRPr="00CB00CD">
        <w:t xml:space="preserve"> October 3, 2012, accessed June 13, 2016, www.eetimes.com/document.asp?doc_id=1264577.</w:t>
      </w:r>
    </w:p>
  </w:endnote>
  <w:endnote w:id="6">
    <w:p w14:paraId="02DFCADB" w14:textId="6D06AD0B" w:rsidR="0002047F" w:rsidRPr="00CB00CD" w:rsidRDefault="0002047F" w:rsidP="0080764F">
      <w:pPr>
        <w:pStyle w:val="Footnote"/>
      </w:pPr>
      <w:r w:rsidRPr="00CB00CD">
        <w:rPr>
          <w:rStyle w:val="EndnoteReference"/>
        </w:rPr>
        <w:endnoteRef/>
      </w:r>
      <w:r w:rsidRPr="00CB00CD">
        <w:t xml:space="preserve"> R. Colin Johnson, “</w:t>
      </w:r>
      <w:r>
        <w:t xml:space="preserve">News &amp; Analysis: </w:t>
      </w:r>
      <w:r w:rsidRPr="00CB00CD">
        <w:t xml:space="preserve">Samsung Breaks Ground on $14 Billion Fab,” </w:t>
      </w:r>
      <w:r w:rsidRPr="00710D11">
        <w:t>EE Times</w:t>
      </w:r>
      <w:r>
        <w:t>: Connecting the Global Electronics Community,</w:t>
      </w:r>
      <w:r w:rsidRPr="00CB00CD">
        <w:t xml:space="preserve"> May 8, 2015, accessed July 2, 2016,</w:t>
      </w:r>
      <w:r>
        <w:t xml:space="preserve"> </w:t>
      </w:r>
      <w:r w:rsidRPr="0080764F">
        <w:t>www.eetimes.com/document.asp?doc_id=1326565</w:t>
      </w:r>
      <w:r w:rsidRPr="00CB00CD">
        <w:t>.</w:t>
      </w:r>
    </w:p>
  </w:endnote>
  <w:endnote w:id="7">
    <w:p w14:paraId="23F8036F" w14:textId="34295E28" w:rsidR="0002047F" w:rsidRPr="00E67AFA" w:rsidRDefault="0002047F" w:rsidP="0080764F">
      <w:pPr>
        <w:pStyle w:val="Footnote"/>
      </w:pPr>
      <w:r w:rsidRPr="00E67AFA">
        <w:rPr>
          <w:rStyle w:val="EndnoteReference"/>
          <w:spacing w:val="-2"/>
          <w:kern w:val="17"/>
        </w:rPr>
        <w:endnoteRef/>
      </w:r>
      <w:r w:rsidRPr="00E67AFA">
        <w:t xml:space="preserve"> </w:t>
      </w:r>
      <w:proofErr w:type="spellStart"/>
      <w:r w:rsidRPr="00E67AFA">
        <w:t>Mokhoff</w:t>
      </w:r>
      <w:proofErr w:type="spellEnd"/>
      <w:r w:rsidRPr="00E67AFA">
        <w:t xml:space="preserve">, </w:t>
      </w:r>
      <w:r>
        <w:t>op. cit.</w:t>
      </w:r>
    </w:p>
  </w:endnote>
  <w:endnote w:id="8">
    <w:p w14:paraId="69C0C853" w14:textId="181B9056" w:rsidR="0002047F" w:rsidRPr="00E67AFA" w:rsidRDefault="0002047F" w:rsidP="0080764F">
      <w:pPr>
        <w:pStyle w:val="Footnote"/>
      </w:pPr>
      <w:r w:rsidRPr="00E67AFA">
        <w:rPr>
          <w:rStyle w:val="EndnoteReference"/>
          <w:spacing w:val="-2"/>
          <w:kern w:val="17"/>
        </w:rPr>
        <w:endnoteRef/>
      </w:r>
      <w:r w:rsidRPr="00E67AFA">
        <w:t xml:space="preserve"> David Manners, “Top 20 Semiconductor Companies 2014,” </w:t>
      </w:r>
      <w:r w:rsidRPr="00710D11">
        <w:t>Electronics</w:t>
      </w:r>
      <w:r>
        <w:t xml:space="preserve"> </w:t>
      </w:r>
      <w:r w:rsidRPr="00710D11">
        <w:t>Weekly</w:t>
      </w:r>
      <w:r>
        <w:t>.com</w:t>
      </w:r>
      <w:r w:rsidRPr="00E57FAA">
        <w:t>,</w:t>
      </w:r>
      <w:r w:rsidRPr="00E67AFA">
        <w:t xml:space="preserve"> November 7, 2014, accessed June 26, 2016, www.electronicsweekly.com/news/business/finance/top-20-semiconductor-companies-2014-2014-11.</w:t>
      </w:r>
    </w:p>
  </w:endnote>
  <w:endnote w:id="9">
    <w:p w14:paraId="3D171DCC" w14:textId="4BC84B03" w:rsidR="0002047F" w:rsidRPr="00CB00CD" w:rsidRDefault="0002047F" w:rsidP="0080764F">
      <w:pPr>
        <w:pStyle w:val="Footnote"/>
      </w:pPr>
      <w:r w:rsidRPr="00CB00CD">
        <w:rPr>
          <w:rStyle w:val="EndnoteReference"/>
        </w:rPr>
        <w:endnoteRef/>
      </w:r>
      <w:r w:rsidRPr="00CB00CD">
        <w:t xml:space="preserve"> </w:t>
      </w:r>
      <w:r>
        <w:t xml:space="preserve">Technology Institute, </w:t>
      </w:r>
      <w:r w:rsidRPr="00E57FAA">
        <w:t>“</w:t>
      </w:r>
      <w:r w:rsidRPr="00710D11">
        <w:t>Evolving Landscape of Technology Deals: Semiconductor Industry Device Deal Trends</w:t>
      </w:r>
      <w:r>
        <w:t xml:space="preserve">,” PwC, </w:t>
      </w:r>
      <w:r w:rsidRPr="00CB00CD">
        <w:t>August 2015, accessed December 3, 2016, www.pwc.com/us/en/technology/publications/assets/semiconductor-industry-device-deal-trends.pdf.</w:t>
      </w:r>
    </w:p>
  </w:endnote>
  <w:endnote w:id="10">
    <w:p w14:paraId="4F29A6F0" w14:textId="3EC665EC" w:rsidR="0002047F" w:rsidRPr="00CB00CD" w:rsidRDefault="0002047F" w:rsidP="0080764F">
      <w:pPr>
        <w:pStyle w:val="Footnote"/>
      </w:pPr>
      <w:r w:rsidRPr="00CB00CD">
        <w:rPr>
          <w:rStyle w:val="EndnoteReference"/>
        </w:rPr>
        <w:endnoteRef/>
      </w:r>
      <w:r w:rsidRPr="00CB00CD">
        <w:t xml:space="preserve"> </w:t>
      </w:r>
      <w:r>
        <w:t xml:space="preserve">Press Release: </w:t>
      </w:r>
      <w:r w:rsidRPr="00CB00CD">
        <w:t>Worldwide Semiconductor Manufacturing Equipment Spending Declined 11.5 Percent in 2013, According to Final Results by Gartner, Gartner</w:t>
      </w:r>
      <w:r>
        <w:t>: Newsroom</w:t>
      </w:r>
      <w:r w:rsidRPr="00CB00CD">
        <w:t>, April 7, 2014, accessed June 22, 2016, www.gartner.com/newsroom/id/2701117.</w:t>
      </w:r>
    </w:p>
  </w:endnote>
  <w:endnote w:id="11">
    <w:p w14:paraId="4015D125" w14:textId="5DE321D3" w:rsidR="0002047F" w:rsidRPr="00CB00CD" w:rsidRDefault="0002047F" w:rsidP="0080764F">
      <w:pPr>
        <w:pStyle w:val="Footnote"/>
      </w:pPr>
      <w:r w:rsidRPr="00CB00CD">
        <w:rPr>
          <w:rStyle w:val="EndnoteReference"/>
        </w:rPr>
        <w:endnoteRef/>
      </w:r>
      <w:r w:rsidRPr="00CB00CD">
        <w:t xml:space="preserve"> Dylan McGrath, “Analyst: ASML Holds All the Cards in </w:t>
      </w:r>
      <w:proofErr w:type="spellStart"/>
      <w:r w:rsidRPr="00CB00CD">
        <w:t>Litho</w:t>
      </w:r>
      <w:proofErr w:type="spellEnd"/>
      <w:r w:rsidRPr="00CB00CD">
        <w:t xml:space="preserve">,” </w:t>
      </w:r>
      <w:r w:rsidRPr="00710D11">
        <w:t>EE Times</w:t>
      </w:r>
      <w:r>
        <w:t>: Connecting the Global Electronics Community</w:t>
      </w:r>
      <w:r w:rsidRPr="00CB00CD">
        <w:t>, April 2, 2012, accessed June 15, 2016, www.eetimes.com/document.asp?doc_id=1261461.</w:t>
      </w:r>
    </w:p>
  </w:endnote>
  <w:endnote w:id="12">
    <w:p w14:paraId="48DECC97" w14:textId="5C40F6CF" w:rsidR="0002047F" w:rsidRPr="00CB00CD" w:rsidRDefault="0002047F" w:rsidP="0080764F">
      <w:pPr>
        <w:pStyle w:val="Footnote"/>
      </w:pPr>
      <w:r w:rsidRPr="00CB00CD">
        <w:rPr>
          <w:rStyle w:val="EndnoteReference"/>
        </w:rPr>
        <w:endnoteRef/>
      </w:r>
      <w:r w:rsidRPr="00CB00CD">
        <w:t xml:space="preserve"> Applied Materials, </w:t>
      </w:r>
      <w:r w:rsidRPr="008E7BF4">
        <w:rPr>
          <w:i/>
        </w:rPr>
        <w:t>2015 Annual Report</w:t>
      </w:r>
      <w:r w:rsidRPr="00CB00CD">
        <w:t>,</w:t>
      </w:r>
      <w:r>
        <w:t xml:space="preserve"> December 31, 2015, </w:t>
      </w:r>
      <w:r w:rsidRPr="00CB00CD">
        <w:t>accessed June 20, 2016, http://phx.corporate-ir.net/External.File?item=UGFyZW50SUQ9NjA3OTA1fENoaWxkSUQ9MzIxMDIzfFR5cGU9MQ==&amp;t=1.</w:t>
      </w:r>
    </w:p>
  </w:endnote>
  <w:endnote w:id="13">
    <w:p w14:paraId="119A8F3A" w14:textId="42A54548" w:rsidR="0002047F" w:rsidRPr="00CB00CD" w:rsidRDefault="0002047F" w:rsidP="0080764F">
      <w:pPr>
        <w:pStyle w:val="Footnote"/>
      </w:pPr>
      <w:r w:rsidRPr="00CB00CD">
        <w:rPr>
          <w:rStyle w:val="EndnoteReference"/>
        </w:rPr>
        <w:endnoteRef/>
      </w:r>
      <w:r w:rsidRPr="00CB00CD">
        <w:t xml:space="preserve"> </w:t>
      </w:r>
      <w:r>
        <w:t>Ibid.</w:t>
      </w:r>
    </w:p>
  </w:endnote>
  <w:endnote w:id="14">
    <w:p w14:paraId="05B009CC" w14:textId="51A56E75" w:rsidR="0002047F" w:rsidRPr="00CB00CD" w:rsidRDefault="0002047F" w:rsidP="0080764F">
      <w:pPr>
        <w:pStyle w:val="Footnote"/>
      </w:pPr>
      <w:r w:rsidRPr="00CB00CD">
        <w:rPr>
          <w:rStyle w:val="EndnoteReference"/>
        </w:rPr>
        <w:endnoteRef/>
      </w:r>
      <w:r w:rsidRPr="00CB00CD">
        <w:t xml:space="preserve"> </w:t>
      </w:r>
      <w:r>
        <w:t>Ibid.</w:t>
      </w:r>
    </w:p>
  </w:endnote>
  <w:endnote w:id="15">
    <w:p w14:paraId="495C8E01" w14:textId="6D6F4684" w:rsidR="0002047F" w:rsidRPr="00CB00CD" w:rsidRDefault="0002047F" w:rsidP="0080764F">
      <w:pPr>
        <w:pStyle w:val="Footnote"/>
      </w:pPr>
      <w:r w:rsidRPr="00CB00CD">
        <w:rPr>
          <w:rStyle w:val="EndnoteReference"/>
        </w:rPr>
        <w:endnoteRef/>
      </w:r>
      <w:r w:rsidRPr="00CB00CD">
        <w:t xml:space="preserve"> Lam Research, </w:t>
      </w:r>
      <w:r w:rsidRPr="008E7BF4">
        <w:rPr>
          <w:i/>
        </w:rPr>
        <w:t>Annual Report 2015</w:t>
      </w:r>
      <w:r>
        <w:rPr>
          <w:i/>
        </w:rPr>
        <w:t xml:space="preserve">, </w:t>
      </w:r>
      <w:r w:rsidRPr="00CB00CD">
        <w:t>September 3, 2015, accessed June 21, 2016, http://files.shareholder.com/downloads/LRCX/3229362206x0x851566/274044F5-E5B4-4300-972E-9B0E7C9EFFB2/2015_annual_report_and_proxy_lam_research.pdf.</w:t>
      </w:r>
    </w:p>
  </w:endnote>
  <w:endnote w:id="16">
    <w:p w14:paraId="65F3A3A4" w14:textId="07382B18" w:rsidR="0002047F" w:rsidRPr="00CB00CD" w:rsidRDefault="0002047F" w:rsidP="0080764F">
      <w:pPr>
        <w:pStyle w:val="Footnote"/>
      </w:pPr>
      <w:r w:rsidRPr="00CB00CD">
        <w:rPr>
          <w:rStyle w:val="EndnoteReference"/>
        </w:rPr>
        <w:endnoteRef/>
      </w:r>
      <w:r w:rsidRPr="00CB00CD">
        <w:t xml:space="preserve"> Ibid.</w:t>
      </w:r>
    </w:p>
  </w:endnote>
  <w:endnote w:id="17">
    <w:p w14:paraId="07AB1005" w14:textId="4C9A0713" w:rsidR="0002047F" w:rsidRPr="00CB00CD" w:rsidRDefault="0002047F" w:rsidP="0080764F">
      <w:pPr>
        <w:pStyle w:val="Footnote"/>
      </w:pPr>
      <w:r w:rsidRPr="00CB00CD">
        <w:rPr>
          <w:rStyle w:val="EndnoteReference"/>
        </w:rPr>
        <w:endnoteRef/>
      </w:r>
      <w:r w:rsidRPr="00CB00CD">
        <w:t xml:space="preserve"> Paige Tanner, “The Outlook for the Semiconductor Equipment Market Is Uncertain,” </w:t>
      </w:r>
      <w:r w:rsidRPr="00710D11">
        <w:t>Market Realist</w:t>
      </w:r>
      <w:r w:rsidRPr="00CB00CD">
        <w:t>, December 24, 2015, accessed June 26, 2016, http://marketrealist.com/2015/12/outlook-semiconductor-equipment-market-uncertain.</w:t>
      </w:r>
    </w:p>
  </w:endnote>
  <w:endnote w:id="18">
    <w:p w14:paraId="24762812" w14:textId="730EBE89" w:rsidR="0002047F" w:rsidRPr="00E67AFA" w:rsidRDefault="0002047F" w:rsidP="0080764F">
      <w:pPr>
        <w:pStyle w:val="Footnote"/>
      </w:pPr>
      <w:r w:rsidRPr="00E67AFA">
        <w:rPr>
          <w:rStyle w:val="EndnoteReference"/>
          <w:spacing w:val="-2"/>
          <w:kern w:val="17"/>
        </w:rPr>
        <w:endnoteRef/>
      </w:r>
      <w:r w:rsidRPr="00E67AFA">
        <w:t xml:space="preserve"> “SEMI Reports 2015 Global Semiconductor Equipment Sales of $36.5 Billion,” SEMI, March 14, 2016, accessed December 3, 2016, www.semi.org/en/semi-reports-2015-global-semiconductor-equipment-sales-365-billion. </w:t>
      </w:r>
    </w:p>
  </w:endnote>
  <w:endnote w:id="19">
    <w:p w14:paraId="63EC0218" w14:textId="240C7B9B" w:rsidR="0002047F" w:rsidRPr="00E67AFA" w:rsidRDefault="0002047F" w:rsidP="0080764F">
      <w:pPr>
        <w:pStyle w:val="Footnote"/>
      </w:pPr>
      <w:r w:rsidRPr="00E67AFA">
        <w:rPr>
          <w:rStyle w:val="EndnoteReference"/>
          <w:spacing w:val="-2"/>
          <w:kern w:val="17"/>
        </w:rPr>
        <w:endnoteRef/>
      </w:r>
      <w:r w:rsidRPr="00E67AFA">
        <w:t xml:space="preserve"> “</w:t>
      </w:r>
      <w:r>
        <w:t xml:space="preserve">Press Release: </w:t>
      </w:r>
      <w:r w:rsidRPr="00E67AFA">
        <w:t>Gartner Says Worldwide Semiconductor Capital Spending to Decline 4.7 Percent in 2016,” Gartner, January 11, 2016, accessed December 3, 2016, www.gartner.com/newsroom/id/3184717.</w:t>
      </w:r>
    </w:p>
  </w:endnote>
  <w:endnote w:id="20">
    <w:p w14:paraId="6BCBB104" w14:textId="19667499" w:rsidR="0002047F" w:rsidRPr="00E67AFA" w:rsidRDefault="0002047F" w:rsidP="0080764F">
      <w:pPr>
        <w:pStyle w:val="Footnote"/>
      </w:pPr>
      <w:r w:rsidRPr="00E67AFA">
        <w:rPr>
          <w:rStyle w:val="EndnoteReference"/>
        </w:rPr>
        <w:endnoteRef/>
      </w:r>
      <w:r w:rsidRPr="00E67AFA">
        <w:t xml:space="preserve"> Tanner,</w:t>
      </w:r>
      <w:r>
        <w:t xml:space="preserve"> op. cit. </w:t>
      </w:r>
    </w:p>
  </w:endnote>
  <w:endnote w:id="21">
    <w:p w14:paraId="2692E891" w14:textId="625D6939" w:rsidR="0002047F" w:rsidRDefault="0002047F" w:rsidP="0080764F">
      <w:pPr>
        <w:pStyle w:val="Footnote"/>
      </w:pPr>
      <w:r>
        <w:rPr>
          <w:rStyle w:val="EndnoteReference"/>
        </w:rPr>
        <w:endnoteRef/>
      </w:r>
      <w:r>
        <w:t xml:space="preserve"> </w:t>
      </w:r>
      <w:r w:rsidRPr="00E74923">
        <w:rPr>
          <w:rStyle w:val="FootnoteChar"/>
        </w:rPr>
        <w:t>¥ = JPY = Japanese yen; US$1 = ¥119.89 on October 1, 2015.</w:t>
      </w:r>
    </w:p>
  </w:endnote>
  <w:endnote w:id="22">
    <w:p w14:paraId="4AB0E5B5" w14:textId="1CE14234" w:rsidR="0002047F" w:rsidRDefault="0002047F" w:rsidP="0080764F">
      <w:pPr>
        <w:pStyle w:val="Footnote"/>
      </w:pPr>
      <w:r>
        <w:rPr>
          <w:rStyle w:val="EndnoteReference"/>
        </w:rPr>
        <w:endnoteRef/>
      </w:r>
      <w:r>
        <w:t xml:space="preserve"> </w:t>
      </w:r>
      <w:r w:rsidRPr="003E3F90">
        <w:t xml:space="preserve">“Tokyo Electron </w:t>
      </w:r>
      <w:r>
        <w:t>C</w:t>
      </w:r>
      <w:r w:rsidRPr="003E3F90">
        <w:t>omplete</w:t>
      </w:r>
      <w:r>
        <w:t>s A</w:t>
      </w:r>
      <w:r w:rsidRPr="003E3F90">
        <w:t xml:space="preserve">cquisition of </w:t>
      </w:r>
      <w:proofErr w:type="spellStart"/>
      <w:r w:rsidRPr="003E3F90">
        <w:t>Oerlikon</w:t>
      </w:r>
      <w:proofErr w:type="spellEnd"/>
      <w:r w:rsidRPr="003E3F90">
        <w:t xml:space="preserve"> Solar</w:t>
      </w:r>
      <w:r>
        <w:t>,</w:t>
      </w:r>
      <w:r w:rsidRPr="003E3F90">
        <w:t>”</w:t>
      </w:r>
      <w:r>
        <w:t xml:space="preserve"> TEL:</w:t>
      </w:r>
      <w:r w:rsidRPr="003E3F90">
        <w:t xml:space="preserve"> Tokyo Electron, November 27, 2012, accessed on March 17, 2017, www.tel.com/news/2012/1127_001.htm.</w:t>
      </w:r>
    </w:p>
  </w:endnote>
  <w:endnote w:id="23">
    <w:p w14:paraId="6CEBF818" w14:textId="578693CF" w:rsidR="0002047F" w:rsidRPr="00E67AFA" w:rsidRDefault="0002047F" w:rsidP="0080764F">
      <w:pPr>
        <w:pStyle w:val="Footnote"/>
      </w:pPr>
      <w:r w:rsidRPr="00E67AFA">
        <w:rPr>
          <w:rStyle w:val="EndnoteReference"/>
          <w:spacing w:val="-2"/>
          <w:kern w:val="17"/>
        </w:rPr>
        <w:endnoteRef/>
      </w:r>
      <w:r w:rsidRPr="00E67AFA">
        <w:t xml:space="preserve"> Mark Osborne, “Tokyo Electron to Close </w:t>
      </w:r>
      <w:proofErr w:type="gramStart"/>
      <w:r w:rsidRPr="00E67AFA">
        <w:t>Down</w:t>
      </w:r>
      <w:proofErr w:type="gramEnd"/>
      <w:r w:rsidRPr="00E67AFA">
        <w:t xml:space="preserve"> Former </w:t>
      </w:r>
      <w:proofErr w:type="spellStart"/>
      <w:r w:rsidRPr="00E67AFA">
        <w:t>Oerlikon</w:t>
      </w:r>
      <w:proofErr w:type="spellEnd"/>
      <w:r w:rsidRPr="00E67AFA">
        <w:t xml:space="preserve"> Solar Thin-film Operations,” </w:t>
      </w:r>
      <w:r w:rsidRPr="00710D11">
        <w:t>PV-Tech</w:t>
      </w:r>
      <w:r w:rsidRPr="00E67AFA">
        <w:t xml:space="preserve">, January 30, 2014, </w:t>
      </w:r>
      <w:r w:rsidRPr="0080764F">
        <w:rPr>
          <w:spacing w:val="-4"/>
        </w:rPr>
        <w:t>accessed December 3, 2016, www.pv-tech.org/news/tokyo_electron_to_close_down_former_oerlikon_solar_thin_film_operations.</w:t>
      </w:r>
    </w:p>
  </w:endnote>
  <w:endnote w:id="24">
    <w:p w14:paraId="0D03B7E9" w14:textId="2A471CB7" w:rsidR="0002047F" w:rsidRPr="00E67AFA" w:rsidRDefault="0002047F" w:rsidP="0080764F">
      <w:pPr>
        <w:pStyle w:val="Footnote"/>
      </w:pPr>
      <w:r w:rsidRPr="00E67AFA">
        <w:rPr>
          <w:rStyle w:val="EndnoteReference"/>
        </w:rPr>
        <w:endnoteRef/>
      </w:r>
      <w:r w:rsidRPr="00E67AFA">
        <w:t xml:space="preserve"> </w:t>
      </w:r>
      <w:r w:rsidRPr="008E7BF4">
        <w:t xml:space="preserve">Tokyo Electron, </w:t>
      </w:r>
      <w:r w:rsidRPr="00AE50B9">
        <w:rPr>
          <w:i/>
        </w:rPr>
        <w:t xml:space="preserve">2015 </w:t>
      </w:r>
      <w:proofErr w:type="spellStart"/>
      <w:r w:rsidRPr="00AE50B9">
        <w:rPr>
          <w:i/>
        </w:rPr>
        <w:t>Factbook</w:t>
      </w:r>
      <w:proofErr w:type="spellEnd"/>
      <w:r w:rsidRPr="008E7BF4">
        <w:t>,</w:t>
      </w:r>
      <w:r w:rsidRPr="00E67AFA">
        <w:t xml:space="preserve"> </w:t>
      </w:r>
      <w:r>
        <w:t xml:space="preserve">March 31, 2015, </w:t>
      </w:r>
      <w:r w:rsidRPr="00E67AFA">
        <w:t>accessed June 17, 2016, www.tel.com/ir/library/fb/document/fb2015.pdf.</w:t>
      </w:r>
    </w:p>
  </w:endnote>
  <w:endnote w:id="25">
    <w:p w14:paraId="3C91C0B7" w14:textId="08B5936B" w:rsidR="0002047F" w:rsidRPr="00E67AFA" w:rsidRDefault="0002047F" w:rsidP="0080764F">
      <w:pPr>
        <w:pStyle w:val="Footnote"/>
      </w:pPr>
      <w:r w:rsidRPr="00E67AFA">
        <w:rPr>
          <w:rStyle w:val="EndnoteReference"/>
        </w:rPr>
        <w:endnoteRef/>
      </w:r>
      <w:r w:rsidRPr="00E67AFA">
        <w:t xml:space="preserve"> Tokyo Electron, </w:t>
      </w:r>
      <w:r w:rsidRPr="00AE50B9">
        <w:rPr>
          <w:i/>
        </w:rPr>
        <w:t xml:space="preserve">2015 </w:t>
      </w:r>
      <w:proofErr w:type="spellStart"/>
      <w:r w:rsidRPr="00AE50B9">
        <w:rPr>
          <w:i/>
        </w:rPr>
        <w:t>Factbook</w:t>
      </w:r>
      <w:proofErr w:type="spellEnd"/>
      <w:r w:rsidRPr="00E67AFA">
        <w:t xml:space="preserve">, </w:t>
      </w:r>
      <w:r>
        <w:t xml:space="preserve">op. cit. </w:t>
      </w:r>
    </w:p>
  </w:endnote>
  <w:endnote w:id="26">
    <w:p w14:paraId="0EE07E41" w14:textId="28A86C5F" w:rsidR="0002047F" w:rsidRPr="00E67AFA" w:rsidRDefault="0002047F" w:rsidP="0080764F">
      <w:pPr>
        <w:pStyle w:val="Footnote"/>
      </w:pPr>
      <w:r w:rsidRPr="00E67AFA">
        <w:rPr>
          <w:rStyle w:val="EndnoteReference"/>
        </w:rPr>
        <w:endnoteRef/>
      </w:r>
      <w:r w:rsidRPr="00E67AFA">
        <w:t xml:space="preserve"> Tokyo Electron, </w:t>
      </w:r>
      <w:r w:rsidRPr="008E7BF4">
        <w:rPr>
          <w:i/>
        </w:rPr>
        <w:t>Annual Report 2013</w:t>
      </w:r>
      <w:r>
        <w:rPr>
          <w:i/>
        </w:rPr>
        <w:t>: Review of Operations and Business Outlook</w:t>
      </w:r>
      <w:r w:rsidRPr="00E67AFA">
        <w:t>,</w:t>
      </w:r>
      <w:r>
        <w:t xml:space="preserve"> 13,</w:t>
      </w:r>
      <w:r w:rsidRPr="00E67AFA">
        <w:t xml:space="preserve"> accessed June 24, 2016, www.tel.com/ir/library/ar/document/ar2013_12.pdf.</w:t>
      </w:r>
    </w:p>
  </w:endnote>
  <w:endnote w:id="27">
    <w:p w14:paraId="339992BA" w14:textId="456FFB6F" w:rsidR="0002047F" w:rsidRPr="00E67AFA" w:rsidRDefault="0002047F" w:rsidP="0080764F">
      <w:pPr>
        <w:pStyle w:val="Footnote"/>
      </w:pPr>
      <w:r w:rsidRPr="00E67AFA">
        <w:rPr>
          <w:rStyle w:val="EndnoteReference"/>
          <w:spacing w:val="-2"/>
          <w:kern w:val="17"/>
        </w:rPr>
        <w:endnoteRef/>
      </w:r>
      <w:r w:rsidRPr="00E67AFA">
        <w:t xml:space="preserve"> Tokyo Electron, </w:t>
      </w:r>
      <w:r w:rsidRPr="00E67AFA">
        <w:rPr>
          <w:i/>
        </w:rPr>
        <w:t>Annual Report 2013</w:t>
      </w:r>
      <w:r w:rsidRPr="00E67AFA">
        <w:t xml:space="preserve">, </w:t>
      </w:r>
      <w:r w:rsidR="006976F2">
        <w:t>op. cit.</w:t>
      </w:r>
    </w:p>
  </w:endnote>
  <w:endnote w:id="28">
    <w:p w14:paraId="545A003C" w14:textId="26EC0E0A" w:rsidR="0002047F" w:rsidRPr="00E67AFA" w:rsidRDefault="0002047F" w:rsidP="0080764F">
      <w:pPr>
        <w:pStyle w:val="Footnote"/>
      </w:pPr>
      <w:r w:rsidRPr="00E67AFA">
        <w:rPr>
          <w:rStyle w:val="EndnoteReference"/>
          <w:spacing w:val="-2"/>
          <w:kern w:val="17"/>
        </w:rPr>
        <w:endnoteRef/>
      </w:r>
      <w:r w:rsidRPr="00E67AFA">
        <w:t xml:space="preserve"> Alec Jordan, “Electronics Giants Tokyo Electron and Applied Materials to Merge,” </w:t>
      </w:r>
      <w:r w:rsidRPr="00710D11">
        <w:t>Tokyo Weekender</w:t>
      </w:r>
      <w:r w:rsidRPr="00E67AFA">
        <w:t>, September 30, 2013, accessed December 3, 2016, www.tokyoweekender.com/2013/09/electronics-giants-tokyo-electron-and-applied-materials-to-merge.</w:t>
      </w:r>
    </w:p>
  </w:endnote>
  <w:endnote w:id="29">
    <w:p w14:paraId="491E2CE5" w14:textId="3983CE08" w:rsidR="0002047F" w:rsidRPr="00CB00CD" w:rsidRDefault="0002047F" w:rsidP="0080764F">
      <w:pPr>
        <w:pStyle w:val="Footnote"/>
      </w:pPr>
      <w:r w:rsidRPr="00CB00CD">
        <w:rPr>
          <w:rStyle w:val="EndnoteReference"/>
        </w:rPr>
        <w:endnoteRef/>
      </w:r>
      <w:r w:rsidRPr="00CB00CD">
        <w:t xml:space="preserve"> Igor </w:t>
      </w:r>
      <w:proofErr w:type="spellStart"/>
      <w:r w:rsidRPr="00CB00CD">
        <w:t>Kossov</w:t>
      </w:r>
      <w:proofErr w:type="spellEnd"/>
      <w:r w:rsidRPr="00CB00CD">
        <w:t xml:space="preserve">, “Sealing the Deal: Jones Day Steers Tokyo Electron Merger,” </w:t>
      </w:r>
      <w:r w:rsidRPr="00710D11">
        <w:t>Law 360</w:t>
      </w:r>
      <w:r w:rsidRPr="00661ADB">
        <w:t>,</w:t>
      </w:r>
      <w:r w:rsidRPr="00CB00CD">
        <w:t xml:space="preserve"> October 16, 2013, accessed June 25, 2016, www.law360.com/articles/480918/sealing-the-deal-jones-day-steers-tokyo-electron-merger.</w:t>
      </w:r>
    </w:p>
  </w:endnote>
  <w:endnote w:id="30">
    <w:p w14:paraId="007B72C1" w14:textId="69706565" w:rsidR="0002047F" w:rsidRPr="00CB00CD" w:rsidRDefault="0002047F" w:rsidP="0080764F">
      <w:pPr>
        <w:pStyle w:val="Footnote"/>
      </w:pPr>
      <w:r w:rsidRPr="00CB00CD">
        <w:rPr>
          <w:rStyle w:val="EndnoteReference"/>
        </w:rPr>
        <w:endnoteRef/>
      </w:r>
      <w:r w:rsidRPr="00CB00CD">
        <w:t xml:space="preserve"> Peter Clarke, “Applied, Tokyo Electron Agree to $29 Billion Merger,” </w:t>
      </w:r>
      <w:r w:rsidRPr="00710D11">
        <w:t>EE Times: Connecting the Global Electronics Community</w:t>
      </w:r>
      <w:r w:rsidRPr="00CB00CD">
        <w:t>, September 24, 2013, accessed June 13, 2016, www.eetimes.com/document.asp?doc_id=1319589.</w:t>
      </w:r>
    </w:p>
  </w:endnote>
  <w:endnote w:id="31">
    <w:p w14:paraId="24B93232" w14:textId="45688DE2" w:rsidR="0002047F" w:rsidRPr="00CB00CD" w:rsidRDefault="0002047F" w:rsidP="0080764F">
      <w:pPr>
        <w:pStyle w:val="Footnote"/>
      </w:pPr>
      <w:r w:rsidRPr="00CB00CD">
        <w:rPr>
          <w:rStyle w:val="EndnoteReference"/>
        </w:rPr>
        <w:endnoteRef/>
      </w:r>
      <w:r w:rsidRPr="00CB00CD">
        <w:t xml:space="preserve"> Shigeru Sato and Serena </w:t>
      </w:r>
      <w:proofErr w:type="spellStart"/>
      <w:r w:rsidRPr="00CB00CD">
        <w:t>Saitto</w:t>
      </w:r>
      <w:proofErr w:type="spellEnd"/>
      <w:r w:rsidRPr="00CB00CD">
        <w:t xml:space="preserve">, “Applied Materials CEO Moving Family to Tokyo in Big Deal,” </w:t>
      </w:r>
      <w:r w:rsidRPr="008E7BF4">
        <w:rPr>
          <w:i/>
        </w:rPr>
        <w:t>Bloomberg</w:t>
      </w:r>
      <w:r>
        <w:rPr>
          <w:i/>
        </w:rPr>
        <w:t>: Technology</w:t>
      </w:r>
      <w:r w:rsidRPr="00CB00CD">
        <w:t>, September 25, 2013, accessed June 25, 2016, https://www.bloomberg.com/news/articles/2013-09-25/applied-materials-ceo-moves-family-to-tokyo-in-biggest-purchase.</w:t>
      </w:r>
    </w:p>
  </w:endnote>
  <w:endnote w:id="32">
    <w:p w14:paraId="48CBB1F7" w14:textId="4B9AC735" w:rsidR="0002047F" w:rsidRPr="00CB00CD" w:rsidRDefault="0002047F" w:rsidP="0080764F">
      <w:pPr>
        <w:pStyle w:val="Footnote"/>
      </w:pPr>
      <w:r w:rsidRPr="00CB00CD">
        <w:rPr>
          <w:rStyle w:val="EndnoteReference"/>
        </w:rPr>
        <w:endnoteRef/>
      </w:r>
      <w:r w:rsidRPr="00CB00CD">
        <w:t xml:space="preserve"> </w:t>
      </w:r>
      <w:r w:rsidRPr="006976F2">
        <w:rPr>
          <w:spacing w:val="-8"/>
        </w:rPr>
        <w:t xml:space="preserve">Andy Ng, “A Deeper Look at the Applied Materials–Tokyo Electron Merger,” </w:t>
      </w:r>
      <w:r w:rsidRPr="006976F2">
        <w:rPr>
          <w:i/>
          <w:spacing w:val="-8"/>
        </w:rPr>
        <w:t>Morningstar</w:t>
      </w:r>
      <w:r w:rsidRPr="006976F2">
        <w:rPr>
          <w:spacing w:val="-8"/>
        </w:rPr>
        <w:t>, December 13, 2013, accessed March 18, 2017, http://ibd.morningstar.com/article/article.asp?id=622623&amp;CN=brf295,http://ibd.morningstar.com/archive/archive.asp?inputs=days=14;frmtId=12,%20brf295.</w:t>
      </w:r>
    </w:p>
  </w:endnote>
  <w:endnote w:id="33">
    <w:p w14:paraId="5B49A9AA" w14:textId="7FF5032E" w:rsidR="0002047F" w:rsidRPr="00E67AFA" w:rsidRDefault="0002047F" w:rsidP="0080764F">
      <w:pPr>
        <w:pStyle w:val="Footnote"/>
      </w:pPr>
      <w:r w:rsidRPr="00E67AFA">
        <w:rPr>
          <w:rStyle w:val="EndnoteReference"/>
          <w:spacing w:val="-2"/>
          <w:kern w:val="17"/>
        </w:rPr>
        <w:endnoteRef/>
      </w:r>
      <w:r w:rsidRPr="00E67AFA">
        <w:t xml:space="preserve"> “Applied Materials, Inc. and Tokyo Electron Limited to Combine, Creating a New Global Innovator to Serve the Semiconductor and Display Industries,” </w:t>
      </w:r>
      <w:r>
        <w:t xml:space="preserve">TEL: </w:t>
      </w:r>
      <w:r w:rsidRPr="00E67AFA">
        <w:t>Tokyo Electron, September 24, 2013, accessed December 3, 2016, www.tel.com/news/2013/0924_001.htm.</w:t>
      </w:r>
    </w:p>
  </w:endnote>
  <w:endnote w:id="34">
    <w:p w14:paraId="6E03C43F" w14:textId="220F6040" w:rsidR="0002047F" w:rsidRPr="00CB00CD" w:rsidRDefault="0002047F" w:rsidP="0080764F">
      <w:pPr>
        <w:pStyle w:val="Footnote"/>
      </w:pPr>
      <w:r w:rsidRPr="00CB00CD">
        <w:rPr>
          <w:rStyle w:val="EndnoteReference"/>
        </w:rPr>
        <w:endnoteRef/>
      </w:r>
      <w:r w:rsidRPr="00CB00CD">
        <w:t xml:space="preserve"> Anne Shields, “What Tokyo Electron Acquisition Means for Applied Materials,” </w:t>
      </w:r>
      <w:r w:rsidRPr="00710D11">
        <w:t>Market Realist</w:t>
      </w:r>
      <w:r w:rsidRPr="00CB00CD">
        <w:t>, January 12, 2015, accessed June 25, 2016, http://marketrealist.com/2015/01/acquisition-tokyo-electron-means-applied-materials.</w:t>
      </w:r>
    </w:p>
  </w:endnote>
  <w:endnote w:id="35">
    <w:p w14:paraId="49161ECC" w14:textId="77777777" w:rsidR="0002047F" w:rsidRPr="00E67AFA" w:rsidRDefault="0002047F" w:rsidP="0080764F">
      <w:pPr>
        <w:pStyle w:val="Footnote"/>
      </w:pPr>
      <w:r w:rsidRPr="00E67AFA">
        <w:rPr>
          <w:rStyle w:val="EndnoteReference"/>
          <w:spacing w:val="-2"/>
          <w:kern w:val="17"/>
        </w:rPr>
        <w:endnoteRef/>
      </w:r>
      <w:r w:rsidRPr="00E67AFA">
        <w:t xml:space="preserve"> Paul </w:t>
      </w:r>
      <w:proofErr w:type="spellStart"/>
      <w:r w:rsidRPr="00E67AFA">
        <w:t>Toscano</w:t>
      </w:r>
      <w:proofErr w:type="spellEnd"/>
      <w:r w:rsidRPr="00E67AFA">
        <w:t xml:space="preserve">, “Cramer: Applied Materials, Tokyo Electron Deal Won’t Happen,” </w:t>
      </w:r>
      <w:r w:rsidRPr="00710D11">
        <w:t>CNBC</w:t>
      </w:r>
      <w:r w:rsidRPr="00E67AFA">
        <w:t>, September 24, 2013, accessed December 3, 2016, www.cnbc.com/2013/09/24/cramer-applied-materials-tokyo-electron-deal-wont-happen.html.</w:t>
      </w:r>
    </w:p>
  </w:endnote>
  <w:endnote w:id="36">
    <w:p w14:paraId="33FEBC32" w14:textId="63887D22" w:rsidR="0002047F" w:rsidRPr="00E67AFA" w:rsidRDefault="0002047F" w:rsidP="0080764F">
      <w:pPr>
        <w:pStyle w:val="Footnote"/>
      </w:pPr>
      <w:r w:rsidRPr="00E67AFA">
        <w:rPr>
          <w:rStyle w:val="EndnoteReference"/>
          <w:spacing w:val="-2"/>
          <w:kern w:val="17"/>
        </w:rPr>
        <w:endnoteRef/>
      </w:r>
      <w:r w:rsidRPr="00E67AFA">
        <w:t xml:space="preserve"> Takashi Amano and Brian Womack, “Applied Materials to Buy Tokyo Electron for $9.39 Billion,” </w:t>
      </w:r>
      <w:r w:rsidRPr="008E7BF4">
        <w:rPr>
          <w:i/>
        </w:rPr>
        <w:t>Bloomberg</w:t>
      </w:r>
      <w:r>
        <w:rPr>
          <w:i/>
        </w:rPr>
        <w:t>: Technology</w:t>
      </w:r>
      <w:r w:rsidRPr="00E67AFA">
        <w:t>, September 25, 2013, accessed December 3, 2016, www.bloomberg.com/news/articles/2013-09-24/applied-materials-shares-slip-as-sales-miss-estimates.</w:t>
      </w:r>
    </w:p>
  </w:endnote>
  <w:endnote w:id="37">
    <w:p w14:paraId="246C5B40" w14:textId="4A630A91" w:rsidR="0002047F" w:rsidRPr="00CB00CD" w:rsidRDefault="0002047F" w:rsidP="0080764F">
      <w:pPr>
        <w:pStyle w:val="Footnote"/>
      </w:pPr>
      <w:r w:rsidRPr="00CB00CD">
        <w:rPr>
          <w:rStyle w:val="EndnoteReference"/>
        </w:rPr>
        <w:endnoteRef/>
      </w:r>
      <w:r w:rsidRPr="00CB00CD">
        <w:t xml:space="preserve"> “Comcast–TWC Merger Called Off: Where Do These Companies Stand Now,” </w:t>
      </w:r>
      <w:r w:rsidRPr="008E7BF4">
        <w:rPr>
          <w:i/>
        </w:rPr>
        <w:t>Forbes</w:t>
      </w:r>
      <w:r w:rsidRPr="00CB00CD">
        <w:t>, April 28, 2015, accessed June 26, 2016, www.forbes.com/sites/greatspeculations/2015/04/28/comcast-twc-merger-called-off-where-do-these-companies-stand-now/#55de3b577114.</w:t>
      </w:r>
    </w:p>
  </w:endnote>
  <w:endnote w:id="38">
    <w:p w14:paraId="55FEEE36" w14:textId="5FC2FBBA" w:rsidR="0002047F" w:rsidRPr="00CB00CD" w:rsidRDefault="0002047F" w:rsidP="0080764F">
      <w:pPr>
        <w:pStyle w:val="Footnote"/>
      </w:pPr>
      <w:r w:rsidRPr="00CB00CD">
        <w:rPr>
          <w:rStyle w:val="EndnoteReference"/>
        </w:rPr>
        <w:endnoteRef/>
      </w:r>
      <w:r w:rsidRPr="00CB00CD">
        <w:t xml:space="preserve"> Kevin Orland, “Sysco Terminates $3.5 Billion Planned Takeover of US Foods,” </w:t>
      </w:r>
      <w:r w:rsidRPr="008E7BF4">
        <w:rPr>
          <w:i/>
        </w:rPr>
        <w:t>Bloomberg</w:t>
      </w:r>
      <w:r w:rsidRPr="00CB00CD">
        <w:t>, June 29, 2015, accessed June 26, 2016, www.bloomberg.com/news/articles/2015-06-29/sysco-terminates-3-5-billion-planned-merger-with-us-foods.</w:t>
      </w:r>
    </w:p>
  </w:endnote>
  <w:endnote w:id="39">
    <w:p w14:paraId="6D88579B" w14:textId="60141FAF" w:rsidR="0002047F" w:rsidRPr="00CB00CD" w:rsidRDefault="0002047F" w:rsidP="0080764F">
      <w:pPr>
        <w:pStyle w:val="Footnote"/>
      </w:pPr>
      <w:r w:rsidRPr="00CB00CD">
        <w:rPr>
          <w:rStyle w:val="EndnoteReference"/>
        </w:rPr>
        <w:endnoteRef/>
      </w:r>
      <w:r w:rsidRPr="00CB00CD">
        <w:t xml:space="preserve"> “Big Picture Issue, Strategic Missteps Doomed Merger for Applied Materials and Tokyo Electron,” </w:t>
      </w:r>
      <w:r w:rsidRPr="008E7BF4">
        <w:rPr>
          <w:i/>
        </w:rPr>
        <w:t>Forbes</w:t>
      </w:r>
      <w:r w:rsidRPr="00CB00CD">
        <w:t>, June 18, 2015, accessed July 1, 2016, https://www.forbes.com/sites/mergermarket/2015/06/18/big-picture-issue-strategic-missteps-doomed-merger-for-applied-materials-and-tokyo-electron/#2d8a56da4db3.</w:t>
      </w:r>
    </w:p>
  </w:endnote>
  <w:endnote w:id="40">
    <w:p w14:paraId="1B774CC2" w14:textId="7F105E47" w:rsidR="0002047F" w:rsidRPr="00E67AFA" w:rsidRDefault="0002047F" w:rsidP="0080764F">
      <w:pPr>
        <w:pStyle w:val="Footnote"/>
      </w:pPr>
      <w:r w:rsidRPr="00E67AFA">
        <w:rPr>
          <w:rStyle w:val="EndnoteReference"/>
          <w:spacing w:val="-2"/>
          <w:kern w:val="17"/>
        </w:rPr>
        <w:endnoteRef/>
      </w:r>
      <w:r w:rsidRPr="00E67AFA">
        <w:t xml:space="preserve"> Peter Clarke, “Applied Materials, Tokyo Electron Merger Delayed,” </w:t>
      </w:r>
      <w:r w:rsidRPr="00710D11">
        <w:t>Electronics 360</w:t>
      </w:r>
      <w:r w:rsidRPr="00E67AFA">
        <w:t>, December 1, 2014, accessed December 3, 2016, http://electronics360.globalspec.com/article/4771/applied-materials-tokyo-electron-merger-delayed.</w:t>
      </w:r>
    </w:p>
  </w:endnote>
  <w:endnote w:id="41">
    <w:p w14:paraId="6F15985A" w14:textId="34A2F2C3" w:rsidR="0002047F" w:rsidRPr="00CB00CD" w:rsidRDefault="0002047F" w:rsidP="0080764F">
      <w:pPr>
        <w:pStyle w:val="Footnote"/>
      </w:pPr>
      <w:r w:rsidRPr="00CB00CD">
        <w:rPr>
          <w:rStyle w:val="EndnoteReference"/>
        </w:rPr>
        <w:endnoteRef/>
      </w:r>
      <w:r w:rsidRPr="00CB00CD">
        <w:t xml:space="preserve"> </w:t>
      </w:r>
      <w:r>
        <w:t>Ibid.</w:t>
      </w:r>
    </w:p>
  </w:endnote>
  <w:endnote w:id="42">
    <w:p w14:paraId="5B6ED3A0" w14:textId="33E34211" w:rsidR="0002047F" w:rsidRPr="00CB00CD" w:rsidRDefault="0002047F" w:rsidP="0080764F">
      <w:pPr>
        <w:pStyle w:val="Footnote"/>
      </w:pPr>
      <w:r w:rsidRPr="00CB00CD">
        <w:rPr>
          <w:rStyle w:val="EndnoteReference"/>
        </w:rPr>
        <w:endnoteRef/>
      </w:r>
      <w:r w:rsidRPr="00CB00CD">
        <w:t xml:space="preserve"> Junko Fujita, “Tokyo Electron: Merger with Applied Materials Could Be Delayed to Next Year,” </w:t>
      </w:r>
      <w:r w:rsidRPr="008E7BF4">
        <w:rPr>
          <w:i/>
        </w:rPr>
        <w:t>Reuters</w:t>
      </w:r>
      <w:r w:rsidRPr="00CB00CD">
        <w:t>, October 29, 2014, accessed June 28, 2016, www.reuters.com/article/us-tokyo-electron-applied-material-m-a-idUSKBN0II0HM20141029.</w:t>
      </w:r>
    </w:p>
  </w:endnote>
  <w:endnote w:id="43">
    <w:p w14:paraId="25D59478" w14:textId="09E2A666" w:rsidR="0002047F" w:rsidRPr="00CB00CD" w:rsidRDefault="0002047F" w:rsidP="0080764F">
      <w:pPr>
        <w:pStyle w:val="Footnote"/>
      </w:pPr>
      <w:r w:rsidRPr="00CB00CD">
        <w:rPr>
          <w:rStyle w:val="EndnoteReference"/>
        </w:rPr>
        <w:endnoteRef/>
      </w:r>
      <w:r w:rsidRPr="00CB00CD">
        <w:t xml:space="preserve"> Melissa </w:t>
      </w:r>
      <w:proofErr w:type="spellStart"/>
      <w:r w:rsidRPr="00CB00CD">
        <w:t>Lipman</w:t>
      </w:r>
      <w:proofErr w:type="spellEnd"/>
      <w:r w:rsidRPr="00CB00CD">
        <w:t xml:space="preserve">, “$29B Applied–Tokyo Electron Deal to Get Close Antitrust Look,” </w:t>
      </w:r>
      <w:r w:rsidRPr="00710D11">
        <w:t>Law 360</w:t>
      </w:r>
      <w:r w:rsidRPr="00CB00CD">
        <w:t>, September 24, 2013, accessed June 28, 2016, www.law360.com/articles/475466/29b-applied-tokyo-electron-deal-to-get-close-antitrust-look.</w:t>
      </w:r>
    </w:p>
  </w:endnote>
  <w:endnote w:id="44">
    <w:p w14:paraId="4AC86852" w14:textId="0F3C421D" w:rsidR="0002047F" w:rsidRPr="00E67AFA" w:rsidRDefault="0002047F" w:rsidP="0080764F">
      <w:pPr>
        <w:pStyle w:val="Footnote"/>
      </w:pPr>
      <w:r w:rsidRPr="00E67AFA">
        <w:rPr>
          <w:rStyle w:val="EndnoteReference"/>
          <w:spacing w:val="-2"/>
          <w:kern w:val="17"/>
        </w:rPr>
        <w:endnoteRef/>
      </w:r>
      <w:r w:rsidRPr="00E67AFA">
        <w:t xml:space="preserve"> Melissa </w:t>
      </w:r>
      <w:proofErr w:type="spellStart"/>
      <w:r w:rsidRPr="00E67AFA">
        <w:t>Lipman</w:t>
      </w:r>
      <w:proofErr w:type="spellEnd"/>
      <w:r w:rsidRPr="00E67AFA">
        <w:t>, op. cit., accessed December 3, 2016.</w:t>
      </w:r>
    </w:p>
  </w:endnote>
  <w:endnote w:id="45">
    <w:p w14:paraId="6C6D05DC" w14:textId="5738DFD6" w:rsidR="0002047F" w:rsidRPr="00CB00CD" w:rsidRDefault="0002047F" w:rsidP="0080764F">
      <w:pPr>
        <w:pStyle w:val="Footnote"/>
      </w:pPr>
      <w:r w:rsidRPr="00CB00CD">
        <w:rPr>
          <w:rStyle w:val="EndnoteReference"/>
        </w:rPr>
        <w:endnoteRef/>
      </w:r>
      <w:r w:rsidRPr="00CB00CD">
        <w:t xml:space="preserve"> Jane </w:t>
      </w:r>
      <w:proofErr w:type="spellStart"/>
      <w:r w:rsidRPr="00CB00CD">
        <w:t>Onyanga-Omara</w:t>
      </w:r>
      <w:proofErr w:type="spellEnd"/>
      <w:r w:rsidRPr="00CB00CD">
        <w:t xml:space="preserve"> and Kevin McCoy, “Applied Materials–Tokyo Electron Merger Scrapped,” </w:t>
      </w:r>
      <w:r w:rsidRPr="008E7BF4">
        <w:rPr>
          <w:i/>
        </w:rPr>
        <w:t>USA Today</w:t>
      </w:r>
      <w:r w:rsidRPr="00CB00CD">
        <w:t>, April 27, 2015, accessed June 30, 2016, www.usatoday.com/story/money/business/2015/04/27</w:t>
      </w:r>
      <w:bookmarkStart w:id="0" w:name="_GoBack"/>
      <w:bookmarkEnd w:id="0"/>
      <w:r w:rsidRPr="00CB00CD">
        <w:t>/applied-materials-tokyo-electron/26438619.</w:t>
      </w:r>
    </w:p>
  </w:endnote>
  <w:endnote w:id="46">
    <w:p w14:paraId="0556F453" w14:textId="4D49DF63" w:rsidR="0002047F" w:rsidRPr="00E67AFA" w:rsidRDefault="0002047F" w:rsidP="0080764F">
      <w:pPr>
        <w:pStyle w:val="Footnote"/>
      </w:pPr>
      <w:r w:rsidRPr="00E67AFA">
        <w:rPr>
          <w:rStyle w:val="EndnoteReference"/>
          <w:spacing w:val="-2"/>
          <w:kern w:val="17"/>
        </w:rPr>
        <w:endnoteRef/>
      </w:r>
      <w:r w:rsidRPr="00E67AFA">
        <w:t xml:space="preserve"> “Big Picture Issue, Strategic Missteps Doomed Merger for Applied Materials and Tokyo Electron,” </w:t>
      </w:r>
      <w:r w:rsidRPr="008E7BF4">
        <w:rPr>
          <w:i/>
        </w:rPr>
        <w:t>Forbes</w:t>
      </w:r>
      <w:r w:rsidRPr="00E67AFA">
        <w:t xml:space="preserve">, June 18, 2015, accessed December 3, 2016, </w:t>
      </w:r>
      <w:r w:rsidRPr="00CB00CD">
        <w:t>https://www.forbes.com/sites/mergermarket/2015/06/18/big-picture-issue-strategic-missteps-doomed-merger-for-applied-materials-and-tokyo-electron/#2d8a56da4db3</w:t>
      </w:r>
      <w:r w:rsidRPr="00E67AFA">
        <w:t>.</w:t>
      </w:r>
    </w:p>
  </w:endnote>
  <w:endnote w:id="47">
    <w:p w14:paraId="73E7C228" w14:textId="2712E882" w:rsidR="0002047F" w:rsidRPr="00E67AFA" w:rsidRDefault="0002047F" w:rsidP="0080764F">
      <w:pPr>
        <w:pStyle w:val="Footnote"/>
      </w:pPr>
      <w:r w:rsidRPr="00E67AFA">
        <w:rPr>
          <w:rStyle w:val="EndnoteReference"/>
          <w:spacing w:val="-2"/>
          <w:kern w:val="17"/>
        </w:rPr>
        <w:endnoteRef/>
      </w:r>
      <w:r w:rsidRPr="00E67AFA">
        <w:t xml:space="preserve"> </w:t>
      </w:r>
      <w:r>
        <w:t xml:space="preserve">Bloomberg News, </w:t>
      </w:r>
      <w:r w:rsidRPr="00E67AFA">
        <w:t xml:space="preserve">“Applied Materials Calls </w:t>
      </w:r>
      <w:r>
        <w:t>o</w:t>
      </w:r>
      <w:r w:rsidRPr="00E67AFA">
        <w:t xml:space="preserve">ff Plan to Buy Tokyo Electron </w:t>
      </w:r>
      <w:r>
        <w:t>a</w:t>
      </w:r>
      <w:r w:rsidRPr="00E67AFA">
        <w:t xml:space="preserve">mid Antitrust Concern,” </w:t>
      </w:r>
      <w:proofErr w:type="spellStart"/>
      <w:r>
        <w:t>OregonLive</w:t>
      </w:r>
      <w:proofErr w:type="spellEnd"/>
      <w:r>
        <w:t xml:space="preserve">: The Oregonian, </w:t>
      </w:r>
      <w:r w:rsidRPr="00E67AFA">
        <w:t>April 27, 2015, accessed December 3, 2016, www.oregonlive.com/silicon-forest/index.ssf/2015/04/applied_materials_calls_off_pl.html</w:t>
      </w:r>
      <w:r>
        <w:t>.</w:t>
      </w:r>
    </w:p>
  </w:endnote>
  <w:endnote w:id="48">
    <w:p w14:paraId="1D10669A" w14:textId="6958340B" w:rsidR="0002047F" w:rsidRPr="00E67AFA" w:rsidRDefault="0002047F" w:rsidP="0080764F">
      <w:pPr>
        <w:pStyle w:val="Footnote"/>
      </w:pPr>
      <w:r w:rsidRPr="00E67AFA">
        <w:rPr>
          <w:rStyle w:val="EndnoteReference"/>
          <w:spacing w:val="-2"/>
          <w:kern w:val="17"/>
        </w:rPr>
        <w:endnoteRef/>
      </w:r>
      <w:r w:rsidRPr="00E67AFA">
        <w:t xml:space="preserve"> Jason </w:t>
      </w:r>
      <w:proofErr w:type="spellStart"/>
      <w:r w:rsidRPr="00E67AFA">
        <w:t>Clenfield</w:t>
      </w:r>
      <w:proofErr w:type="spellEnd"/>
      <w:r w:rsidRPr="00E67AFA">
        <w:t xml:space="preserve"> and Takashi Amano, “Tokyo Electron Slumps Most Since 1982 as Takeover Bid Scrapped,” </w:t>
      </w:r>
      <w:r w:rsidRPr="008E7BF4">
        <w:rPr>
          <w:i/>
        </w:rPr>
        <w:t>Bloomberg</w:t>
      </w:r>
      <w:r w:rsidRPr="00E67AFA">
        <w:t xml:space="preserve">, April 27, 2015, accessed December 3, 2016, www.bloomberg.com/news/articles/2015-04-27/tokyo-electron-applied-materials-pull-deal-on-regulator-concern. </w:t>
      </w:r>
    </w:p>
  </w:endnote>
  <w:endnote w:id="49">
    <w:p w14:paraId="38361107" w14:textId="7E4CEBF4" w:rsidR="0002047F" w:rsidRPr="00CB00CD" w:rsidRDefault="0002047F" w:rsidP="0080764F">
      <w:pPr>
        <w:pStyle w:val="Footnote"/>
      </w:pPr>
      <w:r w:rsidRPr="00CB00CD">
        <w:rPr>
          <w:rStyle w:val="EndnoteReference"/>
        </w:rPr>
        <w:endnoteRef/>
      </w:r>
      <w:r w:rsidRPr="00CB00CD">
        <w:t xml:space="preserve"> Bob Johnson and Takashi Ogawa, “Lam Research, KLA-Tencor Merger Will Create New Equipment Market Giant,” Gartner, October 26, 2015, accessed June 30, 2016, https://www.gartner.com/doc/3156931/lam-research-klatencor-merger-create.</w:t>
      </w:r>
    </w:p>
  </w:endnote>
  <w:endnote w:id="50">
    <w:p w14:paraId="7820A8F3" w14:textId="1F698F1E" w:rsidR="0002047F" w:rsidRPr="00CB00CD" w:rsidRDefault="0002047F" w:rsidP="0080764F">
      <w:pPr>
        <w:pStyle w:val="Footnote"/>
      </w:pPr>
      <w:r w:rsidRPr="00CB00CD">
        <w:rPr>
          <w:rStyle w:val="EndnoteReference"/>
        </w:rPr>
        <w:endnoteRef/>
      </w:r>
      <w:r w:rsidRPr="00CB00CD">
        <w:t xml:space="preserve"> Tim </w:t>
      </w:r>
      <w:proofErr w:type="spellStart"/>
      <w:r w:rsidRPr="00CB00CD">
        <w:t>Culpan</w:t>
      </w:r>
      <w:proofErr w:type="spellEnd"/>
      <w:r w:rsidRPr="00CB00CD">
        <w:t xml:space="preserve"> and Ian King, “The Price of Getting Apple’s Attention: $12 Billion,” </w:t>
      </w:r>
      <w:r w:rsidRPr="008E7BF4">
        <w:rPr>
          <w:i/>
        </w:rPr>
        <w:t>Bloomberg</w:t>
      </w:r>
      <w:r w:rsidRPr="00CB00CD">
        <w:t>, February 16, 2015, accessed July 1, 2016, https://www.bloomberg.com/news/articles/2015-02-16/booming-u-s-seen-with-taiwan-buoying-applied-materials-to-lam.</w:t>
      </w:r>
    </w:p>
  </w:endnote>
  <w:endnote w:id="51">
    <w:p w14:paraId="08886B26" w14:textId="32C42563" w:rsidR="0002047F" w:rsidRPr="00CB00CD" w:rsidRDefault="0002047F" w:rsidP="0080764F">
      <w:pPr>
        <w:pStyle w:val="Footnote"/>
      </w:pPr>
      <w:r w:rsidRPr="00CB00CD">
        <w:rPr>
          <w:rStyle w:val="EndnoteReference"/>
        </w:rPr>
        <w:endnoteRef/>
      </w:r>
      <w:r w:rsidRPr="00CB00CD">
        <w:t xml:space="preserve"> </w:t>
      </w:r>
      <w:proofErr w:type="spellStart"/>
      <w:r w:rsidRPr="00CB00CD">
        <w:t>Abhirup</w:t>
      </w:r>
      <w:proofErr w:type="spellEnd"/>
      <w:r w:rsidRPr="00CB00CD">
        <w:t xml:space="preserve"> Roy and Anya George </w:t>
      </w:r>
      <w:proofErr w:type="spellStart"/>
      <w:r w:rsidRPr="00CB00CD">
        <w:t>Tharakan</w:t>
      </w:r>
      <w:proofErr w:type="spellEnd"/>
      <w:r w:rsidRPr="00CB00CD">
        <w:t xml:space="preserve">, “Intel Serves </w:t>
      </w:r>
      <w:proofErr w:type="gramStart"/>
      <w:r w:rsidRPr="00CB00CD">
        <w:t>Up</w:t>
      </w:r>
      <w:proofErr w:type="gramEnd"/>
      <w:r w:rsidRPr="00CB00CD">
        <w:t xml:space="preserve"> Revenue, Profit Beat as Data </w:t>
      </w:r>
      <w:proofErr w:type="spellStart"/>
      <w:r w:rsidRPr="00CB00CD">
        <w:t>Center</w:t>
      </w:r>
      <w:proofErr w:type="spellEnd"/>
      <w:r w:rsidRPr="00CB00CD">
        <w:t xml:space="preserve"> Business Grows,” </w:t>
      </w:r>
      <w:r w:rsidRPr="008E7BF4">
        <w:rPr>
          <w:i/>
        </w:rPr>
        <w:t>Reuters</w:t>
      </w:r>
      <w:r w:rsidRPr="00CB00CD">
        <w:t>, July 15, 2015, accessed July 1, 2016, www.reuters.com/article/us-intel-results-idUSKCN0PP2L720150715.</w:t>
      </w:r>
    </w:p>
  </w:endnote>
  <w:endnote w:id="52">
    <w:p w14:paraId="1241AC89" w14:textId="75529FB0" w:rsidR="0002047F" w:rsidRPr="00CB00CD" w:rsidRDefault="0002047F" w:rsidP="0080764F">
      <w:pPr>
        <w:pStyle w:val="Footnote"/>
      </w:pPr>
      <w:r w:rsidRPr="00CB00CD">
        <w:rPr>
          <w:rStyle w:val="EndnoteReference"/>
        </w:rPr>
        <w:endnoteRef/>
      </w:r>
      <w:r w:rsidRPr="00CB00CD">
        <w:t xml:space="preserve"> James </w:t>
      </w:r>
      <w:proofErr w:type="spellStart"/>
      <w:r w:rsidRPr="00CB00CD">
        <w:t>Niccolai</w:t>
      </w:r>
      <w:proofErr w:type="spellEnd"/>
      <w:r w:rsidRPr="00CB00CD">
        <w:t xml:space="preserve">, “Intel Sales Sag as PC Sales Slowdown Drags On,” </w:t>
      </w:r>
      <w:r w:rsidRPr="00710D11">
        <w:t>Computerworld</w:t>
      </w:r>
      <w:r w:rsidRPr="001A09FF">
        <w:t>,</w:t>
      </w:r>
      <w:r w:rsidRPr="00CB00CD">
        <w:t xml:space="preserve"> April 14, 2015, accessed July 1, 2016, www.computerworld.com/article/2909904/business-issues/intel-sales-sag-as-pc-sales-slowdown-drags-on.html.</w:t>
      </w:r>
    </w:p>
  </w:endnote>
  <w:endnote w:id="53">
    <w:p w14:paraId="193CF558" w14:textId="35171B97" w:rsidR="0002047F" w:rsidRPr="00E67AFA" w:rsidRDefault="0002047F" w:rsidP="0080764F">
      <w:pPr>
        <w:pStyle w:val="Footnote"/>
      </w:pPr>
      <w:r w:rsidRPr="00E67AFA">
        <w:rPr>
          <w:rStyle w:val="EndnoteReference"/>
          <w:spacing w:val="-2"/>
          <w:kern w:val="17"/>
        </w:rPr>
        <w:endnoteRef/>
      </w:r>
      <w:r w:rsidRPr="00E67AFA">
        <w:t xml:space="preserve"> Masahide Kimura, “With Merger Hopes Dashed, Tokyo Electron Walks Hard Road Alone</w:t>
      </w:r>
      <w:r>
        <w:t>,</w:t>
      </w:r>
      <w:r w:rsidRPr="00E67AFA">
        <w:t xml:space="preserve">” </w:t>
      </w:r>
      <w:r w:rsidRPr="008E7BF4">
        <w:rPr>
          <w:i/>
        </w:rPr>
        <w:t>Nikkei Asian Review</w:t>
      </w:r>
      <w:r w:rsidRPr="00E67AFA">
        <w:t>, June 19, 2015, accessed December 3, 2016, http://asia.nikkei.com/Business/Companies/With-merger-hopes-dashed-Tokyo-Electron-walks-hard-road-alone.</w:t>
      </w:r>
    </w:p>
  </w:endnote>
  <w:endnote w:id="54">
    <w:p w14:paraId="6CC77A18" w14:textId="7C3EF5D9" w:rsidR="0002047F" w:rsidRPr="00CB00CD" w:rsidRDefault="0002047F" w:rsidP="0080764F">
      <w:pPr>
        <w:pStyle w:val="Footnote"/>
      </w:pPr>
      <w:r w:rsidRPr="00CB00CD">
        <w:rPr>
          <w:rStyle w:val="EndnoteReference"/>
        </w:rPr>
        <w:endnoteRef/>
      </w:r>
      <w:r w:rsidRPr="00CB00CD">
        <w:t xml:space="preserve"> VLSI Research, </w:t>
      </w:r>
      <w:proofErr w:type="gramStart"/>
      <w:r w:rsidRPr="008E7BF4">
        <w:rPr>
          <w:i/>
        </w:rPr>
        <w:t>The</w:t>
      </w:r>
      <w:proofErr w:type="gramEnd"/>
      <w:r w:rsidRPr="008E7BF4">
        <w:rPr>
          <w:i/>
        </w:rPr>
        <w:t xml:space="preserve"> 2012 Ranked 1st Suppliers</w:t>
      </w:r>
      <w:r>
        <w:rPr>
          <w:i/>
        </w:rPr>
        <w:t xml:space="preserve">, </w:t>
      </w:r>
      <w:r w:rsidRPr="00CB00CD">
        <w:t>May 24, 2012, accessed July 3, 2016, https://www.vlsiresearch.com/public/cms_pdf_upload/700227.pdf.</w:t>
      </w:r>
    </w:p>
  </w:endnote>
  <w:endnote w:id="55">
    <w:p w14:paraId="00D62D45" w14:textId="527530B6" w:rsidR="0002047F" w:rsidRPr="00CB00CD" w:rsidRDefault="0002047F" w:rsidP="0080764F">
      <w:pPr>
        <w:pStyle w:val="Footnote"/>
      </w:pPr>
      <w:r w:rsidRPr="00CB00CD">
        <w:rPr>
          <w:rStyle w:val="EndnoteReference"/>
        </w:rPr>
        <w:endnoteRef/>
      </w:r>
      <w:r w:rsidRPr="00CB00CD">
        <w:t xml:space="preserve"> Tokyo Electron, </w:t>
      </w:r>
      <w:r w:rsidRPr="008E7BF4">
        <w:rPr>
          <w:i/>
        </w:rPr>
        <w:t>Annual Report 2015</w:t>
      </w:r>
      <w:r>
        <w:rPr>
          <w:i/>
        </w:rPr>
        <w:t>: For the Year Ended March 31, 2015</w:t>
      </w:r>
      <w:r w:rsidRPr="00CB00CD">
        <w:t>,</w:t>
      </w:r>
      <w:r>
        <w:t xml:space="preserve"> June 2015,</w:t>
      </w:r>
      <w:r w:rsidRPr="00CB00CD">
        <w:t xml:space="preserve"> accessed June 17, 2016, www.tel.com/ir/library/ar/document/ar2015_all.pdf.</w:t>
      </w:r>
    </w:p>
  </w:endnote>
  <w:endnote w:id="56">
    <w:p w14:paraId="36630A5B" w14:textId="4895A9A5" w:rsidR="0002047F" w:rsidRDefault="0002047F" w:rsidP="0080764F">
      <w:pPr>
        <w:pStyle w:val="Footnote"/>
      </w:pPr>
      <w:r w:rsidRPr="00CB00CD">
        <w:rPr>
          <w:rStyle w:val="EndnoteReference"/>
        </w:rPr>
        <w:endnoteRef/>
      </w:r>
      <w:r w:rsidRPr="00CB00CD">
        <w:t xml:space="preserve"> Michael Murphy, “A Close-up on Semiconductors Equipment Manufacturers,” </w:t>
      </w:r>
      <w:r w:rsidRPr="008E7BF4">
        <w:rPr>
          <w:i/>
        </w:rPr>
        <w:t>AAII Journal</w:t>
      </w:r>
      <w:r>
        <w:t xml:space="preserve">, </w:t>
      </w:r>
      <w:r w:rsidRPr="00CB00CD">
        <w:t>January 1999, accessed June 17, 2016, https://www.aaii.com/journal/article/a-close-up-on-semiconductor-equipment-manufacturers.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ヒラギノ明朝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F8D1D" w14:textId="77777777" w:rsidR="0002047F" w:rsidRDefault="0002047F" w:rsidP="00D75295">
      <w:r>
        <w:separator/>
      </w:r>
    </w:p>
  </w:footnote>
  <w:footnote w:type="continuationSeparator" w:id="0">
    <w:p w14:paraId="65014111" w14:textId="77777777" w:rsidR="0002047F" w:rsidRDefault="0002047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ACD0" w14:textId="142F2B8E" w:rsidR="0002047F" w:rsidRDefault="0002047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39D0">
      <w:rPr>
        <w:rFonts w:ascii="Arial" w:hAnsi="Arial"/>
        <w:b/>
        <w:noProof/>
      </w:rPr>
      <w:t>10</w:t>
    </w:r>
    <w:r>
      <w:rPr>
        <w:rFonts w:ascii="Arial" w:hAnsi="Arial"/>
        <w:b/>
      </w:rPr>
      <w:fldChar w:fldCharType="end"/>
    </w:r>
    <w:r>
      <w:rPr>
        <w:rFonts w:ascii="Arial" w:hAnsi="Arial"/>
        <w:b/>
      </w:rPr>
      <w:tab/>
    </w:r>
    <w:r w:rsidR="008F37C9">
      <w:rPr>
        <w:rFonts w:ascii="Arial" w:hAnsi="Arial"/>
        <w:b/>
      </w:rPr>
      <w:t>9B17M059</w:t>
    </w:r>
  </w:p>
  <w:p w14:paraId="2D04A751" w14:textId="77777777" w:rsidR="0002047F" w:rsidRPr="00C92CC4" w:rsidRDefault="0002047F">
    <w:pPr>
      <w:pStyle w:val="Header"/>
      <w:rPr>
        <w:sz w:val="18"/>
        <w:szCs w:val="18"/>
      </w:rPr>
    </w:pPr>
  </w:p>
  <w:p w14:paraId="26939CBA" w14:textId="77777777" w:rsidR="0002047F" w:rsidRPr="00C92CC4" w:rsidRDefault="0002047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66EBA"/>
    <w:multiLevelType w:val="hybridMultilevel"/>
    <w:tmpl w:val="391A2E16"/>
    <w:lvl w:ilvl="0" w:tplc="5F9436BC">
      <w:start w:val="1"/>
      <w:numFmt w:val="bullet"/>
      <w:lvlText w:val=""/>
      <w:lvlJc w:val="left"/>
      <w:pPr>
        <w:ind w:left="480" w:hanging="48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0B32C2A"/>
    <w:multiLevelType w:val="hybridMultilevel"/>
    <w:tmpl w:val="06346A2E"/>
    <w:lvl w:ilvl="0" w:tplc="00003B25">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E501C"/>
    <w:multiLevelType w:val="hybridMultilevel"/>
    <w:tmpl w:val="14648366"/>
    <w:lvl w:ilvl="0" w:tplc="5F9436BC">
      <w:start w:val="1"/>
      <w:numFmt w:val="bullet"/>
      <w:lvlText w:val=""/>
      <w:lvlJc w:val="left"/>
      <w:pPr>
        <w:ind w:left="480" w:hanging="48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3E02C31"/>
    <w:multiLevelType w:val="hybridMultilevel"/>
    <w:tmpl w:val="8A7E9646"/>
    <w:lvl w:ilvl="0" w:tplc="99643E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5944422B"/>
    <w:multiLevelType w:val="hybridMultilevel"/>
    <w:tmpl w:val="3B00D8A2"/>
    <w:lvl w:ilvl="0" w:tplc="5F9436BC">
      <w:start w:val="1"/>
      <w:numFmt w:val="bullet"/>
      <w:lvlText w:val=""/>
      <w:lvlJc w:val="left"/>
      <w:pPr>
        <w:ind w:left="480" w:hanging="48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4D62522"/>
    <w:multiLevelType w:val="hybridMultilevel"/>
    <w:tmpl w:val="99BEB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6F457371"/>
    <w:multiLevelType w:val="hybridMultilevel"/>
    <w:tmpl w:val="27C6526E"/>
    <w:lvl w:ilvl="0" w:tplc="5F9436BC">
      <w:start w:val="1"/>
      <w:numFmt w:val="bullet"/>
      <w:lvlText w:val=""/>
      <w:lvlJc w:val="left"/>
      <w:pPr>
        <w:ind w:left="480" w:hanging="48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2"/>
  </w:num>
  <w:num w:numId="14">
    <w:abstractNumId w:val="23"/>
  </w:num>
  <w:num w:numId="15">
    <w:abstractNumId w:val="24"/>
  </w:num>
  <w:num w:numId="16">
    <w:abstractNumId w:val="26"/>
  </w:num>
  <w:num w:numId="17">
    <w:abstractNumId w:val="17"/>
  </w:num>
  <w:num w:numId="18">
    <w:abstractNumId w:val="28"/>
  </w:num>
  <w:num w:numId="19">
    <w:abstractNumId w:val="11"/>
  </w:num>
  <w:num w:numId="20">
    <w:abstractNumId w:val="10"/>
  </w:num>
  <w:num w:numId="21">
    <w:abstractNumId w:val="30"/>
  </w:num>
  <w:num w:numId="22">
    <w:abstractNumId w:val="21"/>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6"/>
  </w:num>
  <w:num w:numId="29">
    <w:abstractNumId w:val="27"/>
  </w:num>
  <w:num w:numId="30">
    <w:abstractNumId w:val="20"/>
  </w:num>
  <w:num w:numId="31">
    <w:abstractNumId w:val="13"/>
  </w:num>
  <w:num w:numId="32">
    <w:abstractNumId w:val="29"/>
  </w:num>
  <w:num w:numId="33">
    <w:abstractNumId w:val="2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EF8"/>
    <w:rsid w:val="00013360"/>
    <w:rsid w:val="000169F1"/>
    <w:rsid w:val="0002047F"/>
    <w:rsid w:val="000216CE"/>
    <w:rsid w:val="00022EF6"/>
    <w:rsid w:val="00023710"/>
    <w:rsid w:val="00025DC7"/>
    <w:rsid w:val="00026486"/>
    <w:rsid w:val="00031BCE"/>
    <w:rsid w:val="00031FD1"/>
    <w:rsid w:val="00033846"/>
    <w:rsid w:val="00041EA7"/>
    <w:rsid w:val="00043700"/>
    <w:rsid w:val="00044ECC"/>
    <w:rsid w:val="00052172"/>
    <w:rsid w:val="000531D3"/>
    <w:rsid w:val="00053386"/>
    <w:rsid w:val="0005646B"/>
    <w:rsid w:val="0006006B"/>
    <w:rsid w:val="0006111B"/>
    <w:rsid w:val="00065D13"/>
    <w:rsid w:val="0007195D"/>
    <w:rsid w:val="000731A7"/>
    <w:rsid w:val="00073B29"/>
    <w:rsid w:val="000774A7"/>
    <w:rsid w:val="00080D33"/>
    <w:rsid w:val="0008102D"/>
    <w:rsid w:val="00093C28"/>
    <w:rsid w:val="00094315"/>
    <w:rsid w:val="00094C0E"/>
    <w:rsid w:val="0009712B"/>
    <w:rsid w:val="000A00CE"/>
    <w:rsid w:val="000A4B3F"/>
    <w:rsid w:val="000A51E9"/>
    <w:rsid w:val="000A7D60"/>
    <w:rsid w:val="000C415D"/>
    <w:rsid w:val="000C48ED"/>
    <w:rsid w:val="000E719F"/>
    <w:rsid w:val="000F0C22"/>
    <w:rsid w:val="000F1267"/>
    <w:rsid w:val="000F6B09"/>
    <w:rsid w:val="000F6FDC"/>
    <w:rsid w:val="0010101F"/>
    <w:rsid w:val="00103D81"/>
    <w:rsid w:val="00104567"/>
    <w:rsid w:val="00113EDB"/>
    <w:rsid w:val="00115DE5"/>
    <w:rsid w:val="00116CD1"/>
    <w:rsid w:val="0011793D"/>
    <w:rsid w:val="001253CB"/>
    <w:rsid w:val="0012732D"/>
    <w:rsid w:val="00132FB3"/>
    <w:rsid w:val="001409DE"/>
    <w:rsid w:val="00141E45"/>
    <w:rsid w:val="00141E6B"/>
    <w:rsid w:val="00143EDD"/>
    <w:rsid w:val="001444E2"/>
    <w:rsid w:val="00154FC9"/>
    <w:rsid w:val="00157429"/>
    <w:rsid w:val="001632BC"/>
    <w:rsid w:val="001635AB"/>
    <w:rsid w:val="00165F4C"/>
    <w:rsid w:val="001662E4"/>
    <w:rsid w:val="0017043D"/>
    <w:rsid w:val="0017254F"/>
    <w:rsid w:val="00180A1E"/>
    <w:rsid w:val="0019241A"/>
    <w:rsid w:val="00193D44"/>
    <w:rsid w:val="00196C05"/>
    <w:rsid w:val="001A09FF"/>
    <w:rsid w:val="001A0A3C"/>
    <w:rsid w:val="001A3AEC"/>
    <w:rsid w:val="001A4A03"/>
    <w:rsid w:val="001A5335"/>
    <w:rsid w:val="001A752D"/>
    <w:rsid w:val="001B412E"/>
    <w:rsid w:val="001B43F4"/>
    <w:rsid w:val="001B5528"/>
    <w:rsid w:val="001C0E64"/>
    <w:rsid w:val="001C3557"/>
    <w:rsid w:val="001D3815"/>
    <w:rsid w:val="001D57A0"/>
    <w:rsid w:val="001D6227"/>
    <w:rsid w:val="001D67CA"/>
    <w:rsid w:val="001F3CED"/>
    <w:rsid w:val="00202C4D"/>
    <w:rsid w:val="00203AA1"/>
    <w:rsid w:val="002052FE"/>
    <w:rsid w:val="002065D2"/>
    <w:rsid w:val="00206E7B"/>
    <w:rsid w:val="00207C05"/>
    <w:rsid w:val="00207EFC"/>
    <w:rsid w:val="00210E6E"/>
    <w:rsid w:val="00213E98"/>
    <w:rsid w:val="002156E0"/>
    <w:rsid w:val="002161A3"/>
    <w:rsid w:val="00216566"/>
    <w:rsid w:val="0022550F"/>
    <w:rsid w:val="00231DBD"/>
    <w:rsid w:val="00240D1A"/>
    <w:rsid w:val="00241A4D"/>
    <w:rsid w:val="00242E96"/>
    <w:rsid w:val="00245A21"/>
    <w:rsid w:val="00246207"/>
    <w:rsid w:val="00250AB8"/>
    <w:rsid w:val="002539ED"/>
    <w:rsid w:val="0026055A"/>
    <w:rsid w:val="002612A7"/>
    <w:rsid w:val="00264E36"/>
    <w:rsid w:val="00273A61"/>
    <w:rsid w:val="0028542B"/>
    <w:rsid w:val="00286BF2"/>
    <w:rsid w:val="0029461A"/>
    <w:rsid w:val="00296279"/>
    <w:rsid w:val="002A54CE"/>
    <w:rsid w:val="002A6662"/>
    <w:rsid w:val="002C35A1"/>
    <w:rsid w:val="002C7DB7"/>
    <w:rsid w:val="002D2431"/>
    <w:rsid w:val="002D5A69"/>
    <w:rsid w:val="002D6350"/>
    <w:rsid w:val="002E32F0"/>
    <w:rsid w:val="002E3A59"/>
    <w:rsid w:val="002E3AA4"/>
    <w:rsid w:val="002F134D"/>
    <w:rsid w:val="002F460C"/>
    <w:rsid w:val="002F48D6"/>
    <w:rsid w:val="002F7C01"/>
    <w:rsid w:val="00300537"/>
    <w:rsid w:val="00302AD6"/>
    <w:rsid w:val="003061B9"/>
    <w:rsid w:val="00314A13"/>
    <w:rsid w:val="0031606B"/>
    <w:rsid w:val="00322B9D"/>
    <w:rsid w:val="00324B9F"/>
    <w:rsid w:val="00326311"/>
    <w:rsid w:val="003274BD"/>
    <w:rsid w:val="00327B0E"/>
    <w:rsid w:val="00330491"/>
    <w:rsid w:val="0033247D"/>
    <w:rsid w:val="00332E26"/>
    <w:rsid w:val="00333DEA"/>
    <w:rsid w:val="00341F0A"/>
    <w:rsid w:val="00343728"/>
    <w:rsid w:val="0034446F"/>
    <w:rsid w:val="00345619"/>
    <w:rsid w:val="0035344F"/>
    <w:rsid w:val="00354899"/>
    <w:rsid w:val="0035496F"/>
    <w:rsid w:val="00355FD6"/>
    <w:rsid w:val="00361C12"/>
    <w:rsid w:val="00361C8E"/>
    <w:rsid w:val="00362D77"/>
    <w:rsid w:val="00364A5C"/>
    <w:rsid w:val="00370552"/>
    <w:rsid w:val="003717C8"/>
    <w:rsid w:val="00373FB1"/>
    <w:rsid w:val="003748AA"/>
    <w:rsid w:val="00374B96"/>
    <w:rsid w:val="00377033"/>
    <w:rsid w:val="00384B96"/>
    <w:rsid w:val="003852D6"/>
    <w:rsid w:val="00392205"/>
    <w:rsid w:val="003927C6"/>
    <w:rsid w:val="003A1589"/>
    <w:rsid w:val="003A3A16"/>
    <w:rsid w:val="003A3AA0"/>
    <w:rsid w:val="003A4363"/>
    <w:rsid w:val="003B30D8"/>
    <w:rsid w:val="003B3160"/>
    <w:rsid w:val="003B357D"/>
    <w:rsid w:val="003B3D71"/>
    <w:rsid w:val="003B7EF2"/>
    <w:rsid w:val="003C1D30"/>
    <w:rsid w:val="003C3894"/>
    <w:rsid w:val="003C3FA4"/>
    <w:rsid w:val="003E23B3"/>
    <w:rsid w:val="003E3343"/>
    <w:rsid w:val="003E430F"/>
    <w:rsid w:val="003F05D6"/>
    <w:rsid w:val="003F0848"/>
    <w:rsid w:val="003F276E"/>
    <w:rsid w:val="003F2B0C"/>
    <w:rsid w:val="00400A5D"/>
    <w:rsid w:val="004029A7"/>
    <w:rsid w:val="00407E4F"/>
    <w:rsid w:val="00412165"/>
    <w:rsid w:val="004127D1"/>
    <w:rsid w:val="00413BFC"/>
    <w:rsid w:val="004221E4"/>
    <w:rsid w:val="00424843"/>
    <w:rsid w:val="00430483"/>
    <w:rsid w:val="00430BF2"/>
    <w:rsid w:val="00435B1A"/>
    <w:rsid w:val="00435F26"/>
    <w:rsid w:val="004374B8"/>
    <w:rsid w:val="004404B6"/>
    <w:rsid w:val="00444A29"/>
    <w:rsid w:val="00446107"/>
    <w:rsid w:val="00446D59"/>
    <w:rsid w:val="00446D9C"/>
    <w:rsid w:val="00450580"/>
    <w:rsid w:val="00453465"/>
    <w:rsid w:val="00453DA3"/>
    <w:rsid w:val="0045737B"/>
    <w:rsid w:val="00470FF9"/>
    <w:rsid w:val="00471088"/>
    <w:rsid w:val="004731C1"/>
    <w:rsid w:val="0047356C"/>
    <w:rsid w:val="004759BF"/>
    <w:rsid w:val="00480EB8"/>
    <w:rsid w:val="00483AF9"/>
    <w:rsid w:val="00485F52"/>
    <w:rsid w:val="004A4406"/>
    <w:rsid w:val="004B1CCB"/>
    <w:rsid w:val="004C1B4B"/>
    <w:rsid w:val="004D000D"/>
    <w:rsid w:val="004D73A5"/>
    <w:rsid w:val="004E4BD1"/>
    <w:rsid w:val="004F0E0C"/>
    <w:rsid w:val="004F4BAD"/>
    <w:rsid w:val="004F5455"/>
    <w:rsid w:val="004F556A"/>
    <w:rsid w:val="004F7C1F"/>
    <w:rsid w:val="005058FC"/>
    <w:rsid w:val="005122E7"/>
    <w:rsid w:val="0051524A"/>
    <w:rsid w:val="00520080"/>
    <w:rsid w:val="0052419C"/>
    <w:rsid w:val="0052751E"/>
    <w:rsid w:val="00532CF5"/>
    <w:rsid w:val="0053347D"/>
    <w:rsid w:val="00534777"/>
    <w:rsid w:val="0053580B"/>
    <w:rsid w:val="00536197"/>
    <w:rsid w:val="005511A1"/>
    <w:rsid w:val="005520EF"/>
    <w:rsid w:val="005528CB"/>
    <w:rsid w:val="00555EA1"/>
    <w:rsid w:val="00557F00"/>
    <w:rsid w:val="00564A5E"/>
    <w:rsid w:val="00566771"/>
    <w:rsid w:val="005749CC"/>
    <w:rsid w:val="00581E2E"/>
    <w:rsid w:val="0058322A"/>
    <w:rsid w:val="005839AC"/>
    <w:rsid w:val="005839E1"/>
    <w:rsid w:val="00584F15"/>
    <w:rsid w:val="00590485"/>
    <w:rsid w:val="005A327F"/>
    <w:rsid w:val="005A6BC0"/>
    <w:rsid w:val="005A701B"/>
    <w:rsid w:val="005B3492"/>
    <w:rsid w:val="005C0C5D"/>
    <w:rsid w:val="005C291B"/>
    <w:rsid w:val="005C39E4"/>
    <w:rsid w:val="005C466D"/>
    <w:rsid w:val="005C4D48"/>
    <w:rsid w:val="005C507B"/>
    <w:rsid w:val="005C79EB"/>
    <w:rsid w:val="005D202E"/>
    <w:rsid w:val="005D7D29"/>
    <w:rsid w:val="005E1F79"/>
    <w:rsid w:val="005E5BB1"/>
    <w:rsid w:val="005E6239"/>
    <w:rsid w:val="005E6767"/>
    <w:rsid w:val="005F3563"/>
    <w:rsid w:val="0060387F"/>
    <w:rsid w:val="00605DF3"/>
    <w:rsid w:val="00611F29"/>
    <w:rsid w:val="006163F7"/>
    <w:rsid w:val="00616C74"/>
    <w:rsid w:val="00623D56"/>
    <w:rsid w:val="00627490"/>
    <w:rsid w:val="00627668"/>
    <w:rsid w:val="00631980"/>
    <w:rsid w:val="006324DB"/>
    <w:rsid w:val="00652606"/>
    <w:rsid w:val="006610CD"/>
    <w:rsid w:val="00661ADB"/>
    <w:rsid w:val="00662573"/>
    <w:rsid w:val="0066661E"/>
    <w:rsid w:val="00674E5A"/>
    <w:rsid w:val="00682754"/>
    <w:rsid w:val="00686DEF"/>
    <w:rsid w:val="00687E3D"/>
    <w:rsid w:val="00694D3B"/>
    <w:rsid w:val="0069682F"/>
    <w:rsid w:val="006976F2"/>
    <w:rsid w:val="006A0456"/>
    <w:rsid w:val="006A1E0D"/>
    <w:rsid w:val="006A58A9"/>
    <w:rsid w:val="006A606D"/>
    <w:rsid w:val="006A6D75"/>
    <w:rsid w:val="006B32BE"/>
    <w:rsid w:val="006B45D0"/>
    <w:rsid w:val="006B7F7A"/>
    <w:rsid w:val="006C0371"/>
    <w:rsid w:val="006C08B6"/>
    <w:rsid w:val="006C0B1A"/>
    <w:rsid w:val="006C2FC1"/>
    <w:rsid w:val="006C4384"/>
    <w:rsid w:val="006C4956"/>
    <w:rsid w:val="006C6065"/>
    <w:rsid w:val="006C7F9F"/>
    <w:rsid w:val="006D11C0"/>
    <w:rsid w:val="006D2BE8"/>
    <w:rsid w:val="006D323F"/>
    <w:rsid w:val="006E2F6D"/>
    <w:rsid w:val="006E58F6"/>
    <w:rsid w:val="006E77E1"/>
    <w:rsid w:val="006F0603"/>
    <w:rsid w:val="006F0EBD"/>
    <w:rsid w:val="006F131D"/>
    <w:rsid w:val="006F1D9E"/>
    <w:rsid w:val="006F39E5"/>
    <w:rsid w:val="006F5D67"/>
    <w:rsid w:val="00700C67"/>
    <w:rsid w:val="007034D7"/>
    <w:rsid w:val="00710D11"/>
    <w:rsid w:val="007123C1"/>
    <w:rsid w:val="00714E72"/>
    <w:rsid w:val="007175E1"/>
    <w:rsid w:val="00721E6B"/>
    <w:rsid w:val="00740F52"/>
    <w:rsid w:val="00741190"/>
    <w:rsid w:val="00752BCD"/>
    <w:rsid w:val="0076403F"/>
    <w:rsid w:val="00766DA1"/>
    <w:rsid w:val="007770B2"/>
    <w:rsid w:val="00785FAE"/>
    <w:rsid w:val="007866A6"/>
    <w:rsid w:val="007872CE"/>
    <w:rsid w:val="00791A2B"/>
    <w:rsid w:val="00796FF3"/>
    <w:rsid w:val="007A07EB"/>
    <w:rsid w:val="007A1307"/>
    <w:rsid w:val="007A130D"/>
    <w:rsid w:val="007A49C5"/>
    <w:rsid w:val="007A4D73"/>
    <w:rsid w:val="007B6C79"/>
    <w:rsid w:val="007C4AC0"/>
    <w:rsid w:val="007C6D2B"/>
    <w:rsid w:val="007D4102"/>
    <w:rsid w:val="007D425D"/>
    <w:rsid w:val="007D5DDB"/>
    <w:rsid w:val="007D61E1"/>
    <w:rsid w:val="007E39B8"/>
    <w:rsid w:val="007E5921"/>
    <w:rsid w:val="007F58BE"/>
    <w:rsid w:val="007F5EF1"/>
    <w:rsid w:val="007F732D"/>
    <w:rsid w:val="0080764F"/>
    <w:rsid w:val="00816B58"/>
    <w:rsid w:val="00821FFC"/>
    <w:rsid w:val="00823716"/>
    <w:rsid w:val="0082534D"/>
    <w:rsid w:val="008271CA"/>
    <w:rsid w:val="00827CB0"/>
    <w:rsid w:val="008348CD"/>
    <w:rsid w:val="0083734D"/>
    <w:rsid w:val="00840519"/>
    <w:rsid w:val="00841B86"/>
    <w:rsid w:val="008429B8"/>
    <w:rsid w:val="008467D5"/>
    <w:rsid w:val="008474B4"/>
    <w:rsid w:val="00854ACE"/>
    <w:rsid w:val="00855588"/>
    <w:rsid w:val="00856D9F"/>
    <w:rsid w:val="00863323"/>
    <w:rsid w:val="00866F6D"/>
    <w:rsid w:val="00870B81"/>
    <w:rsid w:val="008723A2"/>
    <w:rsid w:val="008723FE"/>
    <w:rsid w:val="00880458"/>
    <w:rsid w:val="00881EE1"/>
    <w:rsid w:val="00884641"/>
    <w:rsid w:val="008918C5"/>
    <w:rsid w:val="008A36CC"/>
    <w:rsid w:val="008A4DC4"/>
    <w:rsid w:val="008A5932"/>
    <w:rsid w:val="008B50E6"/>
    <w:rsid w:val="008C64C1"/>
    <w:rsid w:val="008D4C9D"/>
    <w:rsid w:val="008D6843"/>
    <w:rsid w:val="008E1994"/>
    <w:rsid w:val="008E1ACD"/>
    <w:rsid w:val="008E2EDD"/>
    <w:rsid w:val="008E3792"/>
    <w:rsid w:val="008E37B8"/>
    <w:rsid w:val="008E7BF4"/>
    <w:rsid w:val="008F1FD8"/>
    <w:rsid w:val="008F37C9"/>
    <w:rsid w:val="008F37D3"/>
    <w:rsid w:val="008F3E4E"/>
    <w:rsid w:val="0090056F"/>
    <w:rsid w:val="009011DF"/>
    <w:rsid w:val="0090294C"/>
    <w:rsid w:val="00902D61"/>
    <w:rsid w:val="009067A4"/>
    <w:rsid w:val="0090722E"/>
    <w:rsid w:val="009073AE"/>
    <w:rsid w:val="0091014F"/>
    <w:rsid w:val="0091163B"/>
    <w:rsid w:val="00914DB5"/>
    <w:rsid w:val="00915D7D"/>
    <w:rsid w:val="00920D3D"/>
    <w:rsid w:val="00923824"/>
    <w:rsid w:val="00924A29"/>
    <w:rsid w:val="00925788"/>
    <w:rsid w:val="00926C60"/>
    <w:rsid w:val="00927C54"/>
    <w:rsid w:val="009340DB"/>
    <w:rsid w:val="00934385"/>
    <w:rsid w:val="00935F41"/>
    <w:rsid w:val="00944719"/>
    <w:rsid w:val="00944FE8"/>
    <w:rsid w:val="00945F9E"/>
    <w:rsid w:val="00956AAB"/>
    <w:rsid w:val="009672B9"/>
    <w:rsid w:val="00972498"/>
    <w:rsid w:val="00972A01"/>
    <w:rsid w:val="00974CC6"/>
    <w:rsid w:val="00975C2D"/>
    <w:rsid w:val="00976AD4"/>
    <w:rsid w:val="00976B74"/>
    <w:rsid w:val="00981F20"/>
    <w:rsid w:val="0098301B"/>
    <w:rsid w:val="00985077"/>
    <w:rsid w:val="009865C2"/>
    <w:rsid w:val="0099616C"/>
    <w:rsid w:val="009973CA"/>
    <w:rsid w:val="00997D61"/>
    <w:rsid w:val="009A1FF8"/>
    <w:rsid w:val="009A312F"/>
    <w:rsid w:val="009A5348"/>
    <w:rsid w:val="009A67BB"/>
    <w:rsid w:val="009B183F"/>
    <w:rsid w:val="009B68ED"/>
    <w:rsid w:val="009B7677"/>
    <w:rsid w:val="009C579F"/>
    <w:rsid w:val="009C5F6D"/>
    <w:rsid w:val="009C62F6"/>
    <w:rsid w:val="009C646A"/>
    <w:rsid w:val="009C76D5"/>
    <w:rsid w:val="009D073D"/>
    <w:rsid w:val="009D4987"/>
    <w:rsid w:val="009E0C0F"/>
    <w:rsid w:val="009E5FEB"/>
    <w:rsid w:val="009F0598"/>
    <w:rsid w:val="009F400C"/>
    <w:rsid w:val="009F7AA4"/>
    <w:rsid w:val="00A1133B"/>
    <w:rsid w:val="00A15833"/>
    <w:rsid w:val="00A40053"/>
    <w:rsid w:val="00A47160"/>
    <w:rsid w:val="00A5117A"/>
    <w:rsid w:val="00A5220B"/>
    <w:rsid w:val="00A559DB"/>
    <w:rsid w:val="00A63DCF"/>
    <w:rsid w:val="00A671B0"/>
    <w:rsid w:val="00A67310"/>
    <w:rsid w:val="00A7693E"/>
    <w:rsid w:val="00A8010A"/>
    <w:rsid w:val="00A809F9"/>
    <w:rsid w:val="00A80C57"/>
    <w:rsid w:val="00A93B39"/>
    <w:rsid w:val="00A96180"/>
    <w:rsid w:val="00AA4A42"/>
    <w:rsid w:val="00AB1400"/>
    <w:rsid w:val="00AB3C73"/>
    <w:rsid w:val="00AC42C8"/>
    <w:rsid w:val="00AC7481"/>
    <w:rsid w:val="00AD0E0E"/>
    <w:rsid w:val="00AD7550"/>
    <w:rsid w:val="00AE118A"/>
    <w:rsid w:val="00AE3271"/>
    <w:rsid w:val="00AE50B9"/>
    <w:rsid w:val="00AF35FC"/>
    <w:rsid w:val="00B024A8"/>
    <w:rsid w:val="00B03639"/>
    <w:rsid w:val="00B047B5"/>
    <w:rsid w:val="00B04EA0"/>
    <w:rsid w:val="00B0652A"/>
    <w:rsid w:val="00B114A3"/>
    <w:rsid w:val="00B135E3"/>
    <w:rsid w:val="00B147C1"/>
    <w:rsid w:val="00B15CAF"/>
    <w:rsid w:val="00B243A5"/>
    <w:rsid w:val="00B35466"/>
    <w:rsid w:val="00B36EBF"/>
    <w:rsid w:val="00B3757D"/>
    <w:rsid w:val="00B40937"/>
    <w:rsid w:val="00B423EF"/>
    <w:rsid w:val="00B440B3"/>
    <w:rsid w:val="00B453DE"/>
    <w:rsid w:val="00B457CE"/>
    <w:rsid w:val="00B46DFC"/>
    <w:rsid w:val="00B4742F"/>
    <w:rsid w:val="00B54F2B"/>
    <w:rsid w:val="00B55636"/>
    <w:rsid w:val="00B64FD1"/>
    <w:rsid w:val="00B67D10"/>
    <w:rsid w:val="00B71316"/>
    <w:rsid w:val="00B71477"/>
    <w:rsid w:val="00B73018"/>
    <w:rsid w:val="00B738D9"/>
    <w:rsid w:val="00B73FE3"/>
    <w:rsid w:val="00B83002"/>
    <w:rsid w:val="00B90173"/>
    <w:rsid w:val="00B901F9"/>
    <w:rsid w:val="00B928A6"/>
    <w:rsid w:val="00B94D8F"/>
    <w:rsid w:val="00B97F40"/>
    <w:rsid w:val="00BA12CB"/>
    <w:rsid w:val="00BA5F80"/>
    <w:rsid w:val="00BA6F1A"/>
    <w:rsid w:val="00BB39BA"/>
    <w:rsid w:val="00BB7A1B"/>
    <w:rsid w:val="00BC18A2"/>
    <w:rsid w:val="00BC489B"/>
    <w:rsid w:val="00BC7DD6"/>
    <w:rsid w:val="00BD03E0"/>
    <w:rsid w:val="00BD164C"/>
    <w:rsid w:val="00BD3552"/>
    <w:rsid w:val="00BD5596"/>
    <w:rsid w:val="00BD6EFB"/>
    <w:rsid w:val="00BE20B4"/>
    <w:rsid w:val="00BF2C0B"/>
    <w:rsid w:val="00BF31F0"/>
    <w:rsid w:val="00C00DFF"/>
    <w:rsid w:val="00C0134C"/>
    <w:rsid w:val="00C11A6B"/>
    <w:rsid w:val="00C11AE0"/>
    <w:rsid w:val="00C12A71"/>
    <w:rsid w:val="00C15BE2"/>
    <w:rsid w:val="00C16DBF"/>
    <w:rsid w:val="00C22219"/>
    <w:rsid w:val="00C2419D"/>
    <w:rsid w:val="00C30AA1"/>
    <w:rsid w:val="00C317B0"/>
    <w:rsid w:val="00C3447F"/>
    <w:rsid w:val="00C3610B"/>
    <w:rsid w:val="00C40355"/>
    <w:rsid w:val="00C418F2"/>
    <w:rsid w:val="00C434B0"/>
    <w:rsid w:val="00C6099A"/>
    <w:rsid w:val="00C60E44"/>
    <w:rsid w:val="00C7376F"/>
    <w:rsid w:val="00C73A37"/>
    <w:rsid w:val="00C74EF4"/>
    <w:rsid w:val="00C80B49"/>
    <w:rsid w:val="00C81491"/>
    <w:rsid w:val="00C81676"/>
    <w:rsid w:val="00C81982"/>
    <w:rsid w:val="00C8470C"/>
    <w:rsid w:val="00C86C4F"/>
    <w:rsid w:val="00C8765F"/>
    <w:rsid w:val="00C92CC4"/>
    <w:rsid w:val="00CA0AFB"/>
    <w:rsid w:val="00CA2CE1"/>
    <w:rsid w:val="00CA3976"/>
    <w:rsid w:val="00CA4390"/>
    <w:rsid w:val="00CA757B"/>
    <w:rsid w:val="00CB00CD"/>
    <w:rsid w:val="00CB6B09"/>
    <w:rsid w:val="00CB7435"/>
    <w:rsid w:val="00CB788B"/>
    <w:rsid w:val="00CC1324"/>
    <w:rsid w:val="00CC1787"/>
    <w:rsid w:val="00CC182C"/>
    <w:rsid w:val="00CC5067"/>
    <w:rsid w:val="00CC6A28"/>
    <w:rsid w:val="00CD0539"/>
    <w:rsid w:val="00CD0824"/>
    <w:rsid w:val="00CD28F2"/>
    <w:rsid w:val="00CD2908"/>
    <w:rsid w:val="00CE38F5"/>
    <w:rsid w:val="00CE5730"/>
    <w:rsid w:val="00CE6DCD"/>
    <w:rsid w:val="00CF177E"/>
    <w:rsid w:val="00CF3304"/>
    <w:rsid w:val="00CF4B11"/>
    <w:rsid w:val="00CF5FEC"/>
    <w:rsid w:val="00D00C70"/>
    <w:rsid w:val="00D01489"/>
    <w:rsid w:val="00D02037"/>
    <w:rsid w:val="00D02E1B"/>
    <w:rsid w:val="00D03A82"/>
    <w:rsid w:val="00D06947"/>
    <w:rsid w:val="00D13465"/>
    <w:rsid w:val="00D15344"/>
    <w:rsid w:val="00D179AB"/>
    <w:rsid w:val="00D17A54"/>
    <w:rsid w:val="00D208FB"/>
    <w:rsid w:val="00D31BEC"/>
    <w:rsid w:val="00D31F09"/>
    <w:rsid w:val="00D36433"/>
    <w:rsid w:val="00D369BF"/>
    <w:rsid w:val="00D436EE"/>
    <w:rsid w:val="00D45FAE"/>
    <w:rsid w:val="00D46BE1"/>
    <w:rsid w:val="00D50845"/>
    <w:rsid w:val="00D54665"/>
    <w:rsid w:val="00D55A38"/>
    <w:rsid w:val="00D6076B"/>
    <w:rsid w:val="00D63150"/>
    <w:rsid w:val="00D6459A"/>
    <w:rsid w:val="00D64A32"/>
    <w:rsid w:val="00D64EFC"/>
    <w:rsid w:val="00D65739"/>
    <w:rsid w:val="00D66D19"/>
    <w:rsid w:val="00D706DE"/>
    <w:rsid w:val="00D73C7C"/>
    <w:rsid w:val="00D75295"/>
    <w:rsid w:val="00D75A5F"/>
    <w:rsid w:val="00D7653B"/>
    <w:rsid w:val="00D76CE9"/>
    <w:rsid w:val="00D80468"/>
    <w:rsid w:val="00D83C40"/>
    <w:rsid w:val="00D87B46"/>
    <w:rsid w:val="00D9731D"/>
    <w:rsid w:val="00D9765A"/>
    <w:rsid w:val="00D97F12"/>
    <w:rsid w:val="00DB142E"/>
    <w:rsid w:val="00DB42E7"/>
    <w:rsid w:val="00DB52A3"/>
    <w:rsid w:val="00DC285E"/>
    <w:rsid w:val="00DD217A"/>
    <w:rsid w:val="00DD42B1"/>
    <w:rsid w:val="00DE33C6"/>
    <w:rsid w:val="00DE362A"/>
    <w:rsid w:val="00DF041A"/>
    <w:rsid w:val="00DF25DA"/>
    <w:rsid w:val="00DF32C2"/>
    <w:rsid w:val="00DF3594"/>
    <w:rsid w:val="00DF3991"/>
    <w:rsid w:val="00DF5D08"/>
    <w:rsid w:val="00DF6141"/>
    <w:rsid w:val="00DF6802"/>
    <w:rsid w:val="00DF6E07"/>
    <w:rsid w:val="00E042BB"/>
    <w:rsid w:val="00E04790"/>
    <w:rsid w:val="00E15D86"/>
    <w:rsid w:val="00E23484"/>
    <w:rsid w:val="00E25F97"/>
    <w:rsid w:val="00E41C57"/>
    <w:rsid w:val="00E471A7"/>
    <w:rsid w:val="00E525F5"/>
    <w:rsid w:val="00E52B8B"/>
    <w:rsid w:val="00E5407D"/>
    <w:rsid w:val="00E5609F"/>
    <w:rsid w:val="00E56553"/>
    <w:rsid w:val="00E56D19"/>
    <w:rsid w:val="00E57FAA"/>
    <w:rsid w:val="00E6007E"/>
    <w:rsid w:val="00E635CF"/>
    <w:rsid w:val="00E6489B"/>
    <w:rsid w:val="00E67AFA"/>
    <w:rsid w:val="00E71B33"/>
    <w:rsid w:val="00E74923"/>
    <w:rsid w:val="00E760E5"/>
    <w:rsid w:val="00E83CA8"/>
    <w:rsid w:val="00E853E5"/>
    <w:rsid w:val="00E8685E"/>
    <w:rsid w:val="00E87774"/>
    <w:rsid w:val="00E87F9B"/>
    <w:rsid w:val="00E92173"/>
    <w:rsid w:val="00E92CC1"/>
    <w:rsid w:val="00EA78EC"/>
    <w:rsid w:val="00EA7BB7"/>
    <w:rsid w:val="00EB14C1"/>
    <w:rsid w:val="00EB5410"/>
    <w:rsid w:val="00EC6E0A"/>
    <w:rsid w:val="00ED0778"/>
    <w:rsid w:val="00ED4E18"/>
    <w:rsid w:val="00EE11B5"/>
    <w:rsid w:val="00EE1C89"/>
    <w:rsid w:val="00EE1F37"/>
    <w:rsid w:val="00EE70B7"/>
    <w:rsid w:val="00EF1F40"/>
    <w:rsid w:val="00EF3C49"/>
    <w:rsid w:val="00EF6940"/>
    <w:rsid w:val="00F00B33"/>
    <w:rsid w:val="00F0159C"/>
    <w:rsid w:val="00F03B72"/>
    <w:rsid w:val="00F068F5"/>
    <w:rsid w:val="00F105B7"/>
    <w:rsid w:val="00F1274E"/>
    <w:rsid w:val="00F12EAF"/>
    <w:rsid w:val="00F14C10"/>
    <w:rsid w:val="00F1735B"/>
    <w:rsid w:val="00F17A21"/>
    <w:rsid w:val="00F212C1"/>
    <w:rsid w:val="00F22B04"/>
    <w:rsid w:val="00F24E47"/>
    <w:rsid w:val="00F30113"/>
    <w:rsid w:val="00F328B3"/>
    <w:rsid w:val="00F33FCC"/>
    <w:rsid w:val="00F340BD"/>
    <w:rsid w:val="00F3569F"/>
    <w:rsid w:val="00F36E55"/>
    <w:rsid w:val="00F4174F"/>
    <w:rsid w:val="00F50E91"/>
    <w:rsid w:val="00F517EB"/>
    <w:rsid w:val="00F52590"/>
    <w:rsid w:val="00F57CBC"/>
    <w:rsid w:val="00F57D29"/>
    <w:rsid w:val="00F733A2"/>
    <w:rsid w:val="00F74507"/>
    <w:rsid w:val="00F76C2A"/>
    <w:rsid w:val="00F7733F"/>
    <w:rsid w:val="00F8038A"/>
    <w:rsid w:val="00F81F79"/>
    <w:rsid w:val="00F830CE"/>
    <w:rsid w:val="00F83821"/>
    <w:rsid w:val="00F839D0"/>
    <w:rsid w:val="00F865CD"/>
    <w:rsid w:val="00F92A99"/>
    <w:rsid w:val="00F933BF"/>
    <w:rsid w:val="00F96201"/>
    <w:rsid w:val="00F96ECA"/>
    <w:rsid w:val="00FA3726"/>
    <w:rsid w:val="00FA69C7"/>
    <w:rsid w:val="00FB1A39"/>
    <w:rsid w:val="00FB32F8"/>
    <w:rsid w:val="00FB373B"/>
    <w:rsid w:val="00FC1187"/>
    <w:rsid w:val="00FC30E9"/>
    <w:rsid w:val="00FC3999"/>
    <w:rsid w:val="00FC71C0"/>
    <w:rsid w:val="00FD02AC"/>
    <w:rsid w:val="00FD0B18"/>
    <w:rsid w:val="00FD0F82"/>
    <w:rsid w:val="00FD3B08"/>
    <w:rsid w:val="00FD7671"/>
    <w:rsid w:val="00FE0E79"/>
    <w:rsid w:val="00FE3E8A"/>
    <w:rsid w:val="00FE714F"/>
    <w:rsid w:val="00FF344E"/>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3A3357C"/>
  <w15:docId w15:val="{E24170D4-0B5E-4269-8CCA-E2469371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table" w:customStyle="1" w:styleId="GridTable6Colorful1">
    <w:name w:val="Grid Table 6 Colorful1"/>
    <w:basedOn w:val="TableNormal"/>
    <w:uiPriority w:val="51"/>
    <w:rsid w:val="00DF041A"/>
    <w:pPr>
      <w:spacing w:after="0" w:line="240" w:lineRule="auto"/>
    </w:pPr>
    <w:rPr>
      <w:rFonts w:ascii="Arial" w:eastAsia="Arial" w:hAnsi="Arial" w:cs="Arial"/>
      <w:color w:val="000000" w:themeColor="text1"/>
      <w:kern w:val="2"/>
      <w:lang w:val="fr-FR"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2-Accent5">
    <w:name w:val="Medium Shading 2 Accent 5"/>
    <w:basedOn w:val="TableNormal"/>
    <w:uiPriority w:val="64"/>
    <w:rsid w:val="008723F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9682F"/>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marketrealist.com/2015/01/applied-materials-considered-acquisition-tokyo-electron/" TargetMode="External"/><Relationship Id="rId2" Type="http://schemas.openxmlformats.org/officeDocument/2006/relationships/numbering" Target="numbering.xml"/><Relationship Id="rId16" Type="http://schemas.openxmlformats.org/officeDocument/2006/relationships/hyperlink" Target="http://www.tel.com/ir/library/fb/document/fb201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laire\Desktop\Case%20Writing%20Exhibi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laire\Desktop\Case%20Writing%20Exhibi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001lu1.lu1.arcelor.net\home$\A0552452\My%20Documents\Arcelor\Personal\Jours%20de%20Cong&#233;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s001lu1.lu1.arcelor.net\home$\A0552452\My%20Documents\Arcelor\Personal\Jours%20de%20Cong&#233;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s001lu1.lu1.arcelor.net\home$\A0552452\My%20Documents\Arcelor\Personal\Jours%20de%20Cong&#233;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strCache>
            </c:strRef>
          </c:tx>
          <c:spPr>
            <a:solidFill>
              <a:schemeClr val="dk1">
                <a:tint val="88500"/>
              </a:schemeClr>
            </a:solidFill>
            <a:ln>
              <a:noFill/>
            </a:ln>
            <a:effectLst/>
          </c:spPr>
          <c:invertIfNegative val="0"/>
          <c:dLbls>
            <c:dLbl>
              <c:idx val="1"/>
              <c:layout>
                <c:manualLayout>
                  <c:x val="-6.8282690337999304E-3"/>
                  <c:y val="4.1386445938954497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4.55217935586662E-3"/>
                  <c:y val="9.3119503362648695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7921965967978801E-7"/>
                  <c:y val="3.00051733057424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6.8282690337998896E-3"/>
                  <c:y val="4.1386445938955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4.55217935586662E-3"/>
                  <c:y val="1.4485256078634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4.55217935586662E-3"/>
                  <c:y val="2.89969897063437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4.55217935586662E-3"/>
                  <c:y val="3.00051733057424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6.8282690337999304E-3"/>
                  <c:y val="4.1386445938955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2.483186756337300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4.5523585755262996E-3"/>
                  <c:y val="-6.2079668908432504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1"/>
              <c:layout>
                <c:manualLayout>
                  <c:x val="-1.13804483896665E-2"/>
                  <c:y val="2.48314602164641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2"/>
              <c:layout>
                <c:manualLayout>
                  <c:x val="-8.3455657437345805E-17"/>
                  <c:y val="1.4485256078634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3"/>
              <c:layout>
                <c:manualLayout>
                  <c:x val="-4.55217935586679E-3"/>
                  <c:y val="-1.0346611484739201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4"/>
              <c:layout>
                <c:manualLayout>
                  <c:x val="6.8282690337999304E-3"/>
                  <c:y val="-1.0350684953827701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5"/>
              <c:layout>
                <c:manualLayout>
                  <c:x val="0"/>
                  <c:y val="1.96585618210036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6"/>
              <c:layout>
                <c:manualLayout>
                  <c:x val="-2.27608967793331E-3"/>
                  <c:y val="-1.655457837558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numRef>
              <c:f>Feuil1!$A$2:$A$18</c:f>
              <c:numCache>
                <c:formatCode>General</c:formatCode>
                <c:ptCount val="17"/>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numCache>
            </c:numRef>
          </c:cat>
          <c:val>
            <c:numRef>
              <c:f>Feuil1!$B$2:$B$18</c:f>
              <c:numCache>
                <c:formatCode>0.00</c:formatCode>
                <c:ptCount val="17"/>
                <c:pt idx="1">
                  <c:v>47.7</c:v>
                </c:pt>
                <c:pt idx="2">
                  <c:v>28</c:v>
                </c:pt>
                <c:pt idx="3">
                  <c:v>19.7</c:v>
                </c:pt>
                <c:pt idx="4">
                  <c:v>22.2</c:v>
                </c:pt>
                <c:pt idx="5">
                  <c:v>18.100000000000001</c:v>
                </c:pt>
                <c:pt idx="6">
                  <c:v>9.4</c:v>
                </c:pt>
                <c:pt idx="7">
                  <c:v>40.5</c:v>
                </c:pt>
                <c:pt idx="8">
                  <c:v>42.8</c:v>
                </c:pt>
                <c:pt idx="9">
                  <c:v>29.5</c:v>
                </c:pt>
                <c:pt idx="10">
                  <c:v>15.9</c:v>
                </c:pt>
                <c:pt idx="11">
                  <c:v>39.9</c:v>
                </c:pt>
                <c:pt idx="12">
                  <c:v>43.5</c:v>
                </c:pt>
                <c:pt idx="13">
                  <c:v>36.9</c:v>
                </c:pt>
                <c:pt idx="14">
                  <c:v>32</c:v>
                </c:pt>
                <c:pt idx="15">
                  <c:v>39.5</c:v>
                </c:pt>
                <c:pt idx="16">
                  <c:v>40.4</c:v>
                </c:pt>
              </c:numCache>
            </c:numRef>
          </c:val>
          <c:extLst xmlns:c16r2="http://schemas.microsoft.com/office/drawing/2015/06/chart">
            <c:ext xmlns:c16="http://schemas.microsoft.com/office/drawing/2014/chart" uri="{C3380CC4-5D6E-409C-BE32-E72D297353CC}">
              <c16:uniqueId val="{00000000-D600-4BE4-8059-BAEEF2E52ABC}"/>
            </c:ext>
          </c:extLst>
        </c:ser>
        <c:dLbls>
          <c:dLblPos val="inEnd"/>
          <c:showLegendKey val="0"/>
          <c:showVal val="1"/>
          <c:showCatName val="0"/>
          <c:showSerName val="0"/>
          <c:showPercent val="0"/>
          <c:showBubbleSize val="0"/>
        </c:dLbls>
        <c:gapWidth val="100"/>
        <c:overlap val="-24"/>
        <c:axId val="919385968"/>
        <c:axId val="238403712"/>
      </c:barChart>
      <c:catAx>
        <c:axId val="9193859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Years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38403712"/>
        <c:crosses val="autoZero"/>
        <c:auto val="1"/>
        <c:lblAlgn val="ctr"/>
        <c:lblOffset val="100"/>
        <c:noMultiLvlLbl val="0"/>
      </c:catAx>
      <c:valAx>
        <c:axId val="23840371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Semiconductor</a:t>
                </a:r>
                <a:r>
                  <a:rPr lang="en-US" baseline="0"/>
                  <a:t> equipment billings (in US$ billions)</a:t>
                </a:r>
                <a:endParaRPr lang="en-US"/>
              </a:p>
            </c:rich>
          </c:tx>
          <c:layout/>
          <c:overlay val="0"/>
          <c:spPr>
            <a:noFill/>
            <a:ln>
              <a:noFill/>
            </a:ln>
            <a:effectLst/>
          </c:spPr>
        </c:title>
        <c:numFmt formatCode="General"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1938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solidFill>
            <a:sysClr val="windowText" lastClr="000000"/>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Feuil2!$B$18</c:f>
              <c:strCache>
                <c:ptCount val="1"/>
                <c:pt idx="0">
                  <c:v>Semiconductor </c:v>
                </c:pt>
              </c:strCache>
            </c:strRef>
          </c:tx>
          <c:spPr>
            <a:solidFill>
              <a:schemeClr val="dk1">
                <a:tint val="88500"/>
              </a:schemeClr>
            </a:solidFill>
            <a:ln>
              <a:noFill/>
            </a:ln>
            <a:effectLst/>
          </c:spPr>
          <c:invertIfNegative val="0"/>
          <c:dLbls>
            <c:delete val="1"/>
          </c:dLbls>
          <c:cat>
            <c:numRef>
              <c:f>Feuil2!$A$19:$A$45</c:f>
              <c:numCache>
                <c:formatCode>0</c:formatCode>
                <c:ptCount val="27"/>
                <c:pt idx="0">
                  <c:v>1987</c:v>
                </c:pt>
                <c:pt idx="1">
                  <c:v>1988</c:v>
                </c:pt>
                <c:pt idx="2">
                  <c:v>1989</c:v>
                </c:pt>
                <c:pt idx="3">
                  <c:v>1990</c:v>
                </c:pt>
                <c:pt idx="4">
                  <c:v>1991</c:v>
                </c:pt>
                <c:pt idx="5">
                  <c:v>1992</c:v>
                </c:pt>
                <c:pt idx="6">
                  <c:v>1993</c:v>
                </c:pt>
                <c:pt idx="7">
                  <c:v>1994</c:v>
                </c:pt>
                <c:pt idx="8">
                  <c:v>1995</c:v>
                </c:pt>
                <c:pt idx="9">
                  <c:v>1996</c:v>
                </c:pt>
                <c:pt idx="10">
                  <c:v>1997</c:v>
                </c:pt>
                <c:pt idx="11" formatCode="General">
                  <c:v>1998</c:v>
                </c:pt>
                <c:pt idx="12" formatCode="General">
                  <c:v>1999</c:v>
                </c:pt>
                <c:pt idx="13" formatCode="General">
                  <c:v>2000</c:v>
                </c:pt>
                <c:pt idx="14" formatCode="General">
                  <c:v>2001</c:v>
                </c:pt>
                <c:pt idx="15" formatCode="General">
                  <c:v>2002</c:v>
                </c:pt>
                <c:pt idx="16" formatCode="General">
                  <c:v>2003</c:v>
                </c:pt>
                <c:pt idx="17" formatCode="General">
                  <c:v>2004</c:v>
                </c:pt>
                <c:pt idx="18" formatCode="General">
                  <c:v>2005</c:v>
                </c:pt>
                <c:pt idx="19" formatCode="General">
                  <c:v>2006</c:v>
                </c:pt>
                <c:pt idx="20" formatCode="General">
                  <c:v>2007</c:v>
                </c:pt>
                <c:pt idx="21" formatCode="General">
                  <c:v>2008</c:v>
                </c:pt>
                <c:pt idx="22" formatCode="General">
                  <c:v>2009</c:v>
                </c:pt>
                <c:pt idx="23" formatCode="General">
                  <c:v>2010</c:v>
                </c:pt>
                <c:pt idx="24" formatCode="General">
                  <c:v>2011</c:v>
                </c:pt>
                <c:pt idx="25" formatCode="General">
                  <c:v>2012</c:v>
                </c:pt>
                <c:pt idx="26" formatCode="General">
                  <c:v>2013</c:v>
                </c:pt>
              </c:numCache>
            </c:numRef>
          </c:cat>
          <c:val>
            <c:numRef>
              <c:f>Feuil2!$B$19:$B$45</c:f>
              <c:numCache>
                <c:formatCode>#,##0</c:formatCode>
                <c:ptCount val="27"/>
                <c:pt idx="0">
                  <c:v>33</c:v>
                </c:pt>
                <c:pt idx="1">
                  <c:v>45</c:v>
                </c:pt>
                <c:pt idx="2">
                  <c:v>49</c:v>
                </c:pt>
                <c:pt idx="3">
                  <c:v>51</c:v>
                </c:pt>
                <c:pt idx="4">
                  <c:v>55</c:v>
                </c:pt>
                <c:pt idx="5">
                  <c:v>60</c:v>
                </c:pt>
                <c:pt idx="6">
                  <c:v>77</c:v>
                </c:pt>
                <c:pt idx="7">
                  <c:v>102</c:v>
                </c:pt>
                <c:pt idx="8">
                  <c:v>144</c:v>
                </c:pt>
                <c:pt idx="9">
                  <c:v>132</c:v>
                </c:pt>
                <c:pt idx="10">
                  <c:v>137</c:v>
                </c:pt>
                <c:pt idx="11">
                  <c:v>126</c:v>
                </c:pt>
                <c:pt idx="12">
                  <c:v>149</c:v>
                </c:pt>
                <c:pt idx="13">
                  <c:v>204</c:v>
                </c:pt>
                <c:pt idx="14">
                  <c:v>139</c:v>
                </c:pt>
                <c:pt idx="15">
                  <c:v>141</c:v>
                </c:pt>
                <c:pt idx="16">
                  <c:v>166</c:v>
                </c:pt>
                <c:pt idx="17">
                  <c:v>214</c:v>
                </c:pt>
                <c:pt idx="18">
                  <c:v>228</c:v>
                </c:pt>
                <c:pt idx="19">
                  <c:v>248</c:v>
                </c:pt>
                <c:pt idx="20">
                  <c:v>256</c:v>
                </c:pt>
                <c:pt idx="21">
                  <c:v>249</c:v>
                </c:pt>
                <c:pt idx="22">
                  <c:v>226</c:v>
                </c:pt>
                <c:pt idx="23">
                  <c:v>298</c:v>
                </c:pt>
                <c:pt idx="24">
                  <c:v>300</c:v>
                </c:pt>
                <c:pt idx="25">
                  <c:v>298</c:v>
                </c:pt>
                <c:pt idx="26">
                  <c:v>301</c:v>
                </c:pt>
              </c:numCache>
            </c:numRef>
          </c:val>
          <c:extLst xmlns:c16r2="http://schemas.microsoft.com/office/drawing/2015/06/chart">
            <c:ext xmlns:c16="http://schemas.microsoft.com/office/drawing/2014/chart" uri="{C3380CC4-5D6E-409C-BE32-E72D297353CC}">
              <c16:uniqueId val="{00000000-F211-4959-99A5-8893B5DD8993}"/>
            </c:ext>
          </c:extLst>
        </c:ser>
        <c:ser>
          <c:idx val="1"/>
          <c:order val="1"/>
          <c:tx>
            <c:strRef>
              <c:f>Feuil2!$C$18</c:f>
              <c:strCache>
                <c:ptCount val="1"/>
                <c:pt idx="0">
                  <c:v>Equipment &amp; material</c:v>
                </c:pt>
              </c:strCache>
            </c:strRef>
          </c:tx>
          <c:spPr>
            <a:solidFill>
              <a:schemeClr val="dk1">
                <a:tint val="55000"/>
              </a:schemeClr>
            </a:solidFill>
            <a:ln>
              <a:noFill/>
            </a:ln>
            <a:effectLst/>
          </c:spPr>
          <c:invertIfNegative val="0"/>
          <c:dLbls>
            <c:delete val="1"/>
          </c:dLbls>
          <c:cat>
            <c:numRef>
              <c:f>Feuil2!$A$19:$A$45</c:f>
              <c:numCache>
                <c:formatCode>0</c:formatCode>
                <c:ptCount val="27"/>
                <c:pt idx="0">
                  <c:v>1987</c:v>
                </c:pt>
                <c:pt idx="1">
                  <c:v>1988</c:v>
                </c:pt>
                <c:pt idx="2">
                  <c:v>1989</c:v>
                </c:pt>
                <c:pt idx="3">
                  <c:v>1990</c:v>
                </c:pt>
                <c:pt idx="4">
                  <c:v>1991</c:v>
                </c:pt>
                <c:pt idx="5">
                  <c:v>1992</c:v>
                </c:pt>
                <c:pt idx="6">
                  <c:v>1993</c:v>
                </c:pt>
                <c:pt idx="7">
                  <c:v>1994</c:v>
                </c:pt>
                <c:pt idx="8">
                  <c:v>1995</c:v>
                </c:pt>
                <c:pt idx="9">
                  <c:v>1996</c:v>
                </c:pt>
                <c:pt idx="10">
                  <c:v>1997</c:v>
                </c:pt>
                <c:pt idx="11" formatCode="General">
                  <c:v>1998</c:v>
                </c:pt>
                <c:pt idx="12" formatCode="General">
                  <c:v>1999</c:v>
                </c:pt>
                <c:pt idx="13" formatCode="General">
                  <c:v>2000</c:v>
                </c:pt>
                <c:pt idx="14" formatCode="General">
                  <c:v>2001</c:v>
                </c:pt>
                <c:pt idx="15" formatCode="General">
                  <c:v>2002</c:v>
                </c:pt>
                <c:pt idx="16" formatCode="General">
                  <c:v>2003</c:v>
                </c:pt>
                <c:pt idx="17" formatCode="General">
                  <c:v>2004</c:v>
                </c:pt>
                <c:pt idx="18" formatCode="General">
                  <c:v>2005</c:v>
                </c:pt>
                <c:pt idx="19" formatCode="General">
                  <c:v>2006</c:v>
                </c:pt>
                <c:pt idx="20" formatCode="General">
                  <c:v>2007</c:v>
                </c:pt>
                <c:pt idx="21" formatCode="General">
                  <c:v>2008</c:v>
                </c:pt>
                <c:pt idx="22" formatCode="General">
                  <c:v>2009</c:v>
                </c:pt>
                <c:pt idx="23" formatCode="General">
                  <c:v>2010</c:v>
                </c:pt>
                <c:pt idx="24" formatCode="General">
                  <c:v>2011</c:v>
                </c:pt>
                <c:pt idx="25" formatCode="General">
                  <c:v>2012</c:v>
                </c:pt>
                <c:pt idx="26" formatCode="General">
                  <c:v>2013</c:v>
                </c:pt>
              </c:numCache>
            </c:numRef>
          </c:cat>
          <c:val>
            <c:numRef>
              <c:f>Feuil2!$C$19:$C$45</c:f>
              <c:numCache>
                <c:formatCode>#,##0</c:formatCode>
                <c:ptCount val="27"/>
                <c:pt idx="0">
                  <c:v>11</c:v>
                </c:pt>
                <c:pt idx="1">
                  <c:v>15</c:v>
                </c:pt>
                <c:pt idx="2">
                  <c:v>16</c:v>
                </c:pt>
                <c:pt idx="3">
                  <c:v>16</c:v>
                </c:pt>
                <c:pt idx="4">
                  <c:v>18</c:v>
                </c:pt>
                <c:pt idx="5">
                  <c:v>17</c:v>
                </c:pt>
                <c:pt idx="6">
                  <c:v>22</c:v>
                </c:pt>
                <c:pt idx="7">
                  <c:v>29</c:v>
                </c:pt>
                <c:pt idx="8">
                  <c:v>40</c:v>
                </c:pt>
                <c:pt idx="9">
                  <c:v>44</c:v>
                </c:pt>
                <c:pt idx="10">
                  <c:v>48</c:v>
                </c:pt>
                <c:pt idx="11">
                  <c:v>41</c:v>
                </c:pt>
                <c:pt idx="12">
                  <c:v>47</c:v>
                </c:pt>
                <c:pt idx="13">
                  <c:v>75</c:v>
                </c:pt>
                <c:pt idx="14">
                  <c:v>48</c:v>
                </c:pt>
                <c:pt idx="15">
                  <c:v>41</c:v>
                </c:pt>
                <c:pt idx="16">
                  <c:v>46</c:v>
                </c:pt>
                <c:pt idx="17">
                  <c:v>66</c:v>
                </c:pt>
                <c:pt idx="18">
                  <c:v>64</c:v>
                </c:pt>
                <c:pt idx="19">
                  <c:v>78</c:v>
                </c:pt>
                <c:pt idx="20">
                  <c:v>85</c:v>
                </c:pt>
                <c:pt idx="21">
                  <c:v>72</c:v>
                </c:pt>
                <c:pt idx="22">
                  <c:v>51</c:v>
                </c:pt>
                <c:pt idx="23">
                  <c:v>85</c:v>
                </c:pt>
                <c:pt idx="24">
                  <c:v>91</c:v>
                </c:pt>
                <c:pt idx="25">
                  <c:v>89</c:v>
                </c:pt>
                <c:pt idx="26">
                  <c:v>88</c:v>
                </c:pt>
              </c:numCache>
            </c:numRef>
          </c:val>
          <c:extLst xmlns:c16r2="http://schemas.microsoft.com/office/drawing/2015/06/chart">
            <c:ext xmlns:c16="http://schemas.microsoft.com/office/drawing/2014/chart" uri="{C3380CC4-5D6E-409C-BE32-E72D297353CC}">
              <c16:uniqueId val="{00000001-F211-4959-99A5-8893B5DD8993}"/>
            </c:ext>
          </c:extLst>
        </c:ser>
        <c:dLbls>
          <c:showLegendKey val="0"/>
          <c:showVal val="1"/>
          <c:showCatName val="0"/>
          <c:showSerName val="0"/>
          <c:showPercent val="0"/>
          <c:showBubbleSize val="0"/>
        </c:dLbls>
        <c:gapWidth val="75"/>
        <c:axId val="238404888"/>
        <c:axId val="240620688"/>
      </c:barChart>
      <c:catAx>
        <c:axId val="2384048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Years</a:t>
                </a:r>
              </a:p>
            </c:rich>
          </c:tx>
          <c:layout/>
          <c:overlay val="0"/>
          <c:spPr>
            <a:noFill/>
            <a:ln>
              <a:noFill/>
            </a:ln>
            <a:effectLst/>
          </c:spPr>
        </c:title>
        <c:numFmt formatCode="0" sourceLinked="1"/>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40620688"/>
        <c:crosses val="autoZero"/>
        <c:auto val="1"/>
        <c:lblAlgn val="ctr"/>
        <c:lblOffset val="100"/>
        <c:noMultiLvlLbl val="0"/>
      </c:catAx>
      <c:valAx>
        <c:axId val="240620688"/>
        <c:scaling>
          <c:orientation val="minMax"/>
        </c:scaling>
        <c:delete val="0"/>
        <c:axPos val="l"/>
        <c:majorGridlines>
          <c:spPr>
            <a:ln w="9525" cap="flat" cmpd="sng" algn="ctr">
              <a:solidFill>
                <a:schemeClr val="tx2">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Revenues (in US$ billions)</a:t>
                </a:r>
              </a:p>
            </c:rich>
          </c:tx>
          <c:layout/>
          <c:overlay val="0"/>
          <c:spPr>
            <a:noFill/>
            <a:ln>
              <a:noFill/>
            </a:ln>
            <a:effectLst/>
          </c:spPr>
        </c:title>
        <c:numFmt formatCode="#,##0"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38404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solidFill>
            <a:schemeClr val="tx1"/>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Growth of the Internet of Things</a:t>
            </a:r>
          </a:p>
        </c:rich>
      </c:tx>
      <c:layout/>
      <c:overlay val="0"/>
      <c:spPr>
        <a:noFill/>
        <a:ln>
          <a:noFill/>
        </a:ln>
        <a:effectLst/>
      </c:spPr>
    </c:title>
    <c:autoTitleDeleted val="0"/>
    <c:plotArea>
      <c:layout/>
      <c:lineChart>
        <c:grouping val="standard"/>
        <c:varyColors val="0"/>
        <c:ser>
          <c:idx val="0"/>
          <c:order val="0"/>
          <c:tx>
            <c:strRef>
              <c:f>Ivey!$A$2</c:f>
              <c:strCache>
                <c:ptCount val="1"/>
                <c:pt idx="0">
                  <c:v>Number of Devices (In Billion)</c:v>
                </c:pt>
              </c:strCache>
            </c:strRef>
          </c:tx>
          <c:spPr>
            <a:ln w="28575" cap="rnd" cmpd="sng" algn="ctr">
              <a:solidFill>
                <a:schemeClr val="dk1">
                  <a:tint val="88500"/>
                  <a:shade val="95000"/>
                  <a:satMod val="105000"/>
                </a:schemeClr>
              </a:solidFill>
              <a:prstDash val="solid"/>
              <a:round/>
            </a:ln>
            <a:effectLst/>
          </c:spPr>
          <c:marker>
            <c:symbol val="none"/>
          </c:marker>
          <c:cat>
            <c:strRef>
              <c:f>Ivey!$B$1:$N$1</c:f>
              <c:strCache>
                <c:ptCount val="13"/>
                <c:pt idx="0">
                  <c:v>1988</c:v>
                </c:pt>
                <c:pt idx="1">
                  <c:v>1992</c:v>
                </c:pt>
                <c:pt idx="2">
                  <c:v>2003</c:v>
                </c:pt>
                <c:pt idx="3">
                  <c:v>2009</c:v>
                </c:pt>
                <c:pt idx="4">
                  <c:v>2012</c:v>
                </c:pt>
                <c:pt idx="5">
                  <c:v>2013</c:v>
                </c:pt>
                <c:pt idx="6">
                  <c:v>2014</c:v>
                </c:pt>
                <c:pt idx="7">
                  <c:v>2015</c:v>
                </c:pt>
                <c:pt idx="8">
                  <c:v>2016</c:v>
                </c:pt>
                <c:pt idx="9">
                  <c:v>2017</c:v>
                </c:pt>
                <c:pt idx="10">
                  <c:v>2018</c:v>
                </c:pt>
                <c:pt idx="11">
                  <c:v>2019</c:v>
                </c:pt>
                <c:pt idx="12">
                  <c:v>2020</c:v>
                </c:pt>
              </c:strCache>
            </c:strRef>
          </c:cat>
          <c:val>
            <c:numRef>
              <c:f>Ivey!$B$2:$N$2</c:f>
              <c:numCache>
                <c:formatCode>0.000</c:formatCode>
                <c:ptCount val="13"/>
                <c:pt idx="0">
                  <c:v>0</c:v>
                </c:pt>
                <c:pt idx="1">
                  <c:v>1E-3</c:v>
                </c:pt>
                <c:pt idx="2">
                  <c:v>0.5</c:v>
                </c:pt>
                <c:pt idx="3">
                  <c:v>4.3</c:v>
                </c:pt>
                <c:pt idx="4">
                  <c:v>8.7000000000000011</c:v>
                </c:pt>
                <c:pt idx="5">
                  <c:v>11.2</c:v>
                </c:pt>
                <c:pt idx="6">
                  <c:v>14.2</c:v>
                </c:pt>
                <c:pt idx="7">
                  <c:v>18.2</c:v>
                </c:pt>
                <c:pt idx="8">
                  <c:v>22.9</c:v>
                </c:pt>
                <c:pt idx="9">
                  <c:v>28.4</c:v>
                </c:pt>
                <c:pt idx="10">
                  <c:v>34.799999999999997</c:v>
                </c:pt>
                <c:pt idx="11">
                  <c:v>42.1</c:v>
                </c:pt>
                <c:pt idx="12">
                  <c:v>50.1</c:v>
                </c:pt>
              </c:numCache>
            </c:numRef>
          </c:val>
          <c:smooth val="0"/>
          <c:extLst xmlns:c16r2="http://schemas.microsoft.com/office/drawing/2015/06/chart">
            <c:ext xmlns:c16="http://schemas.microsoft.com/office/drawing/2014/chart" uri="{C3380CC4-5D6E-409C-BE32-E72D297353CC}">
              <c16:uniqueId val="{00000000-D7A6-4B2F-983F-FA0B7FD092D3}"/>
            </c:ext>
          </c:extLst>
        </c:ser>
        <c:dLbls>
          <c:showLegendKey val="0"/>
          <c:showVal val="0"/>
          <c:showCatName val="0"/>
          <c:showSerName val="0"/>
          <c:showPercent val="0"/>
          <c:showBubbleSize val="0"/>
        </c:dLbls>
        <c:smooth val="0"/>
        <c:axId val="240621080"/>
        <c:axId val="240626200"/>
      </c:lineChart>
      <c:catAx>
        <c:axId val="2406210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Years</a:t>
                </a:r>
              </a:p>
            </c:rich>
          </c:tx>
          <c:layout/>
          <c:overlay val="0"/>
          <c:spPr>
            <a:noFill/>
            <a:ln>
              <a:noFill/>
            </a:ln>
            <a:effectLst/>
          </c:sp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40626200"/>
        <c:crosses val="autoZero"/>
        <c:auto val="1"/>
        <c:lblAlgn val="ctr"/>
        <c:lblOffset val="100"/>
        <c:noMultiLvlLbl val="0"/>
      </c:catAx>
      <c:valAx>
        <c:axId val="2406262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Number of devices (in billions)</a:t>
                </a:r>
              </a:p>
            </c:rich>
          </c:tx>
          <c:layout/>
          <c:overlay val="0"/>
          <c:spPr>
            <a:noFill/>
            <a:ln>
              <a:noFill/>
            </a:ln>
            <a:effectLst/>
          </c:sp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40621080"/>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Devices per world population</a:t>
            </a:r>
          </a:p>
        </c:rich>
      </c:tx>
      <c:layout/>
      <c:overlay val="0"/>
      <c:spPr>
        <a:noFill/>
        <a:ln>
          <a:noFill/>
        </a:ln>
        <a:effectLst/>
      </c:spPr>
    </c:title>
    <c:autoTitleDeleted val="0"/>
    <c:plotArea>
      <c:layout/>
      <c:lineChart>
        <c:grouping val="standard"/>
        <c:varyColors val="0"/>
        <c:ser>
          <c:idx val="2"/>
          <c:order val="1"/>
          <c:tx>
            <c:strRef>
              <c:f>Ivey!$A$23</c:f>
              <c:strCache>
                <c:ptCount val="1"/>
                <c:pt idx="0">
                  <c:v>Connected Devices (in billions)</c:v>
                </c:pt>
              </c:strCache>
            </c:strRef>
          </c:tx>
          <c:spPr>
            <a:ln w="28575" cap="rnd" cmpd="sng" algn="ctr">
              <a:solidFill>
                <a:schemeClr val="dk1">
                  <a:tint val="75000"/>
                  <a:shade val="95000"/>
                  <a:satMod val="105000"/>
                </a:schemeClr>
              </a:solidFill>
              <a:prstDash val="solid"/>
              <a:round/>
            </a:ln>
            <a:effectLst/>
          </c:spPr>
          <c:marker>
            <c:symbol val="none"/>
          </c:marker>
          <c:cat>
            <c:numRef>
              <c:f>Ivey!$B$21:$E$21</c:f>
              <c:numCache>
                <c:formatCode>General</c:formatCode>
                <c:ptCount val="4"/>
                <c:pt idx="0">
                  <c:v>2003</c:v>
                </c:pt>
                <c:pt idx="1">
                  <c:v>2010</c:v>
                </c:pt>
                <c:pt idx="2">
                  <c:v>2015</c:v>
                </c:pt>
                <c:pt idx="3">
                  <c:v>2020</c:v>
                </c:pt>
              </c:numCache>
            </c:numRef>
          </c:cat>
          <c:val>
            <c:numRef>
              <c:f>Ivey!$B$23:$E$23</c:f>
              <c:numCache>
                <c:formatCode>0.00</c:formatCode>
                <c:ptCount val="4"/>
                <c:pt idx="0">
                  <c:v>0.5</c:v>
                </c:pt>
                <c:pt idx="1">
                  <c:v>12.5</c:v>
                </c:pt>
                <c:pt idx="2">
                  <c:v>25</c:v>
                </c:pt>
                <c:pt idx="3">
                  <c:v>50</c:v>
                </c:pt>
              </c:numCache>
            </c:numRef>
          </c:val>
          <c:smooth val="0"/>
          <c:extLst xmlns:c16r2="http://schemas.microsoft.com/office/drawing/2015/06/chart">
            <c:ext xmlns:c16="http://schemas.microsoft.com/office/drawing/2014/chart" uri="{C3380CC4-5D6E-409C-BE32-E72D297353CC}">
              <c16:uniqueId val="{00000000-E2F6-4902-901A-1DED812E6DCB}"/>
            </c:ext>
          </c:extLst>
        </c:ser>
        <c:ser>
          <c:idx val="3"/>
          <c:order val="2"/>
          <c:tx>
            <c:strRef>
              <c:f>Ivey!$A$24</c:f>
              <c:strCache>
                <c:ptCount val="1"/>
                <c:pt idx="0">
                  <c:v>Connected Devices per person</c:v>
                </c:pt>
              </c:strCache>
            </c:strRef>
          </c:tx>
          <c:spPr>
            <a:ln w="28575" cap="rnd" cmpd="sng" algn="ctr">
              <a:solidFill>
                <a:schemeClr val="dk1">
                  <a:tint val="98500"/>
                  <a:shade val="95000"/>
                  <a:satMod val="105000"/>
                </a:schemeClr>
              </a:solidFill>
              <a:prstDash val="solid"/>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Ivey!$B$21:$E$21</c:f>
              <c:numCache>
                <c:formatCode>General</c:formatCode>
                <c:ptCount val="4"/>
                <c:pt idx="0">
                  <c:v>2003</c:v>
                </c:pt>
                <c:pt idx="1">
                  <c:v>2010</c:v>
                </c:pt>
                <c:pt idx="2">
                  <c:v>2015</c:v>
                </c:pt>
                <c:pt idx="3">
                  <c:v>2020</c:v>
                </c:pt>
              </c:numCache>
            </c:numRef>
          </c:cat>
          <c:val>
            <c:numRef>
              <c:f>Ivey!$B$24:$E$24</c:f>
              <c:numCache>
                <c:formatCode>0.00</c:formatCode>
                <c:ptCount val="4"/>
                <c:pt idx="0">
                  <c:v>7.9365079365079402E-2</c:v>
                </c:pt>
                <c:pt idx="1">
                  <c:v>1.838235294117647</c:v>
                </c:pt>
                <c:pt idx="2">
                  <c:v>3.4722222222222219</c:v>
                </c:pt>
                <c:pt idx="3">
                  <c:v>6.5789473684210504</c:v>
                </c:pt>
              </c:numCache>
            </c:numRef>
          </c:val>
          <c:smooth val="0"/>
          <c:extLst xmlns:c16r2="http://schemas.microsoft.com/office/drawing/2015/06/chart">
            <c:ext xmlns:c16="http://schemas.microsoft.com/office/drawing/2014/chart" uri="{C3380CC4-5D6E-409C-BE32-E72D297353CC}">
              <c16:uniqueId val="{00000001-E2F6-4902-901A-1DED812E6DCB}"/>
            </c:ext>
          </c:extLst>
        </c:ser>
        <c:dLbls>
          <c:showLegendKey val="0"/>
          <c:showVal val="0"/>
          <c:showCatName val="0"/>
          <c:showSerName val="0"/>
          <c:showPercent val="0"/>
          <c:showBubbleSize val="0"/>
        </c:dLbls>
        <c:marker val="1"/>
        <c:smooth val="0"/>
        <c:axId val="236065616"/>
        <c:axId val="236064832"/>
      </c:lineChart>
      <c:lineChart>
        <c:grouping val="standard"/>
        <c:varyColors val="0"/>
        <c:ser>
          <c:idx val="1"/>
          <c:order val="0"/>
          <c:tx>
            <c:strRef>
              <c:f>Ivey!$A$22</c:f>
              <c:strCache>
                <c:ptCount val="1"/>
                <c:pt idx="0">
                  <c:v>World Population (in billions)</c:v>
                </c:pt>
              </c:strCache>
            </c:strRef>
          </c:tx>
          <c:spPr>
            <a:ln w="28575" cap="rnd" cmpd="sng" algn="ctr">
              <a:solidFill>
                <a:schemeClr val="dk1">
                  <a:tint val="55000"/>
                  <a:shade val="95000"/>
                  <a:satMod val="105000"/>
                </a:schemeClr>
              </a:solidFill>
              <a:prstDash val="solid"/>
              <a:round/>
            </a:ln>
            <a:effectLst/>
          </c:spPr>
          <c:marker>
            <c:symbol val="none"/>
          </c:marker>
          <c:cat>
            <c:numRef>
              <c:f>Ivey!$B$21:$E$21</c:f>
              <c:numCache>
                <c:formatCode>General</c:formatCode>
                <c:ptCount val="4"/>
                <c:pt idx="0">
                  <c:v>2003</c:v>
                </c:pt>
                <c:pt idx="1">
                  <c:v>2010</c:v>
                </c:pt>
                <c:pt idx="2">
                  <c:v>2015</c:v>
                </c:pt>
                <c:pt idx="3">
                  <c:v>2020</c:v>
                </c:pt>
              </c:numCache>
            </c:numRef>
          </c:cat>
          <c:val>
            <c:numRef>
              <c:f>Ivey!$B$22:$E$22</c:f>
              <c:numCache>
                <c:formatCode>0.00</c:formatCode>
                <c:ptCount val="4"/>
                <c:pt idx="0">
                  <c:v>6.3</c:v>
                </c:pt>
                <c:pt idx="1">
                  <c:v>6.8</c:v>
                </c:pt>
                <c:pt idx="2">
                  <c:v>7.2</c:v>
                </c:pt>
                <c:pt idx="3">
                  <c:v>7.6</c:v>
                </c:pt>
              </c:numCache>
            </c:numRef>
          </c:val>
          <c:smooth val="0"/>
          <c:extLst xmlns:c16r2="http://schemas.microsoft.com/office/drawing/2015/06/chart">
            <c:ext xmlns:c16="http://schemas.microsoft.com/office/drawing/2014/chart" uri="{C3380CC4-5D6E-409C-BE32-E72D297353CC}">
              <c16:uniqueId val="{00000002-E2F6-4902-901A-1DED812E6DCB}"/>
            </c:ext>
          </c:extLst>
        </c:ser>
        <c:dLbls>
          <c:showLegendKey val="0"/>
          <c:showVal val="0"/>
          <c:showCatName val="0"/>
          <c:showSerName val="0"/>
          <c:showPercent val="0"/>
          <c:showBubbleSize val="0"/>
        </c:dLbls>
        <c:marker val="1"/>
        <c:smooth val="0"/>
        <c:axId val="907477712"/>
        <c:axId val="907476144"/>
      </c:lineChart>
      <c:catAx>
        <c:axId val="2360656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Years</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36064832"/>
        <c:crosses val="autoZero"/>
        <c:auto val="1"/>
        <c:lblAlgn val="ctr"/>
        <c:lblOffset val="100"/>
        <c:noMultiLvlLbl val="0"/>
      </c:catAx>
      <c:valAx>
        <c:axId val="23606483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Number of Devices (In Billions)</a:t>
                </a:r>
              </a:p>
            </c:rich>
          </c:tx>
          <c:layout/>
          <c:overlay val="0"/>
          <c:spPr>
            <a:noFill/>
            <a:ln>
              <a:noFill/>
            </a:ln>
            <a:effectLst/>
          </c:sp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36065616"/>
        <c:crosses val="autoZero"/>
        <c:crossBetween val="between"/>
      </c:valAx>
      <c:valAx>
        <c:axId val="907476144"/>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World Population (In Billions)</a:t>
                </a:r>
              </a:p>
            </c:rich>
          </c:tx>
          <c:layout/>
          <c:overlay val="0"/>
          <c:spPr>
            <a:noFill/>
            <a:ln>
              <a:noFill/>
            </a:ln>
            <a:effectLst/>
          </c:sp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07477712"/>
        <c:crosses val="max"/>
        <c:crossBetween val="between"/>
      </c:valAx>
      <c:catAx>
        <c:axId val="907477712"/>
        <c:scaling>
          <c:orientation val="minMax"/>
        </c:scaling>
        <c:delete val="1"/>
        <c:axPos val="b"/>
        <c:numFmt formatCode="General" sourceLinked="1"/>
        <c:majorTickMark val="out"/>
        <c:minorTickMark val="none"/>
        <c:tickLblPos val="nextTo"/>
        <c:crossAx val="907476144"/>
        <c:crosses val="autoZero"/>
        <c:auto val="1"/>
        <c:lblAlgn val="ctr"/>
        <c:lblOffset val="100"/>
        <c:noMultiLvlLbl val="0"/>
      </c:catAx>
      <c:spPr>
        <a:solidFill>
          <a:schemeClr val="bg1"/>
        </a:solidFill>
        <a:ln>
          <a:noFill/>
        </a:ln>
        <a:effectLst/>
      </c:spPr>
    </c:plotArea>
    <c:legend>
      <c:legendPos val="r"/>
      <c:layout>
        <c:manualLayout>
          <c:xMode val="edge"/>
          <c:yMode val="edge"/>
          <c:x val="0.70436611628532597"/>
          <c:y val="0.48720531305618497"/>
          <c:w val="0.28640027337303098"/>
          <c:h val="0.268245347959473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rAngAx val="1"/>
    </c:view3D>
    <c:floor>
      <c:thickness val="0"/>
      <c:spPr>
        <a:noFill/>
        <a:ln w="9525" cap="flat" cmpd="sng" algn="ctr">
          <a:solidFill>
            <a:schemeClr val="tx1">
              <a:tint val="75000"/>
              <a:shade val="95000"/>
              <a:satMod val="105000"/>
            </a:schemeClr>
          </a:solidFill>
          <a:prstDash val="solid"/>
          <a:round/>
        </a:ln>
        <a:effectLst/>
        <a:sp3d contourW="9525">
          <a:contourClr>
            <a:schemeClr val="tx1">
              <a:tint val="75000"/>
              <a:shade val="95000"/>
              <a:satMod val="105000"/>
            </a:schemeClr>
          </a:contourClr>
        </a:sp3d>
      </c:spPr>
    </c:floor>
    <c:sideWall>
      <c:thickness val="0"/>
      <c:spPr>
        <a:noFill/>
        <a:ln>
          <a:noFill/>
        </a:ln>
        <a:effectLst/>
        <a:sp3d/>
      </c:spPr>
    </c:sideWall>
    <c:backWall>
      <c:thickness val="0"/>
      <c:spPr>
        <a:noFill/>
        <a:ln w="25400">
          <a:noFill/>
        </a:ln>
        <a:effectLst/>
        <a:sp3d/>
      </c:spPr>
    </c:backWall>
    <c:plotArea>
      <c:layout/>
      <c:bar3DChart>
        <c:barDir val="col"/>
        <c:grouping val="stacked"/>
        <c:varyColors val="0"/>
        <c:ser>
          <c:idx val="1"/>
          <c:order val="0"/>
          <c:tx>
            <c:strRef>
              <c:f>Ivey!$A$49</c:f>
              <c:strCache>
                <c:ptCount val="1"/>
                <c:pt idx="0">
                  <c:v>Japan</c:v>
                </c:pt>
              </c:strCache>
            </c:strRef>
          </c:tx>
          <c:spPr>
            <a:solidFill>
              <a:schemeClr val="dk1">
                <a:tint val="55000"/>
              </a:schemeClr>
            </a:solidFill>
            <a:ln>
              <a:noFill/>
            </a:ln>
            <a:effectLst/>
            <a:sp3d/>
          </c:spPr>
          <c:invertIfNegative val="0"/>
          <c:cat>
            <c:numRef>
              <c:f>Ivey!$B$48:$L$48</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Ivey!$B$49:$L$49</c:f>
              <c:numCache>
                <c:formatCode>_(* #,##0_);_(* \(#,##0\);_(* "-"_);_(@_)</c:formatCode>
                <c:ptCount val="11"/>
                <c:pt idx="0">
                  <c:v>232677</c:v>
                </c:pt>
                <c:pt idx="1">
                  <c:v>262531</c:v>
                </c:pt>
                <c:pt idx="2">
                  <c:v>313816</c:v>
                </c:pt>
                <c:pt idx="3">
                  <c:v>323946</c:v>
                </c:pt>
                <c:pt idx="4">
                  <c:v>208870</c:v>
                </c:pt>
                <c:pt idx="5">
                  <c:v>162608</c:v>
                </c:pt>
                <c:pt idx="6">
                  <c:v>182165</c:v>
                </c:pt>
                <c:pt idx="7">
                  <c:v>171364</c:v>
                </c:pt>
                <c:pt idx="8">
                  <c:v>118503</c:v>
                </c:pt>
                <c:pt idx="9">
                  <c:v>161630</c:v>
                </c:pt>
                <c:pt idx="10">
                  <c:v>95045</c:v>
                </c:pt>
              </c:numCache>
            </c:numRef>
          </c:val>
          <c:extLst xmlns:c16r2="http://schemas.microsoft.com/office/drawing/2015/06/chart">
            <c:ext xmlns:c16="http://schemas.microsoft.com/office/drawing/2014/chart" uri="{C3380CC4-5D6E-409C-BE32-E72D297353CC}">
              <c16:uniqueId val="{00000000-AC47-45D2-9067-BF0E8D9CF236}"/>
            </c:ext>
          </c:extLst>
        </c:ser>
        <c:ser>
          <c:idx val="2"/>
          <c:order val="1"/>
          <c:tx>
            <c:strRef>
              <c:f>Ivey!$A$50</c:f>
              <c:strCache>
                <c:ptCount val="1"/>
                <c:pt idx="0">
                  <c:v>USA</c:v>
                </c:pt>
              </c:strCache>
            </c:strRef>
          </c:tx>
          <c:spPr>
            <a:solidFill>
              <a:schemeClr val="dk1">
                <a:tint val="75000"/>
              </a:schemeClr>
            </a:solidFill>
            <a:ln>
              <a:noFill/>
            </a:ln>
            <a:effectLst/>
            <a:sp3d/>
          </c:spPr>
          <c:invertIfNegative val="0"/>
          <c:cat>
            <c:numRef>
              <c:f>Ivey!$B$48:$L$48</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Ivey!$B$50:$L$50</c:f>
              <c:numCache>
                <c:formatCode>_(* #,##0_);_(* \(#,##0\);_(* "-"_);_(@_)</c:formatCode>
                <c:ptCount val="11"/>
                <c:pt idx="0">
                  <c:v>62768</c:v>
                </c:pt>
                <c:pt idx="1">
                  <c:v>93314</c:v>
                </c:pt>
                <c:pt idx="2">
                  <c:v>108760</c:v>
                </c:pt>
                <c:pt idx="3">
                  <c:v>108760</c:v>
                </c:pt>
                <c:pt idx="4">
                  <c:v>65536</c:v>
                </c:pt>
                <c:pt idx="5">
                  <c:v>55640</c:v>
                </c:pt>
                <c:pt idx="6">
                  <c:v>103013</c:v>
                </c:pt>
                <c:pt idx="7">
                  <c:v>114951</c:v>
                </c:pt>
                <c:pt idx="8">
                  <c:v>117193</c:v>
                </c:pt>
                <c:pt idx="9">
                  <c:v>104616</c:v>
                </c:pt>
                <c:pt idx="10">
                  <c:v>135425</c:v>
                </c:pt>
              </c:numCache>
            </c:numRef>
          </c:val>
          <c:extLst xmlns:c16r2="http://schemas.microsoft.com/office/drawing/2015/06/chart">
            <c:ext xmlns:c16="http://schemas.microsoft.com/office/drawing/2014/chart" uri="{C3380CC4-5D6E-409C-BE32-E72D297353CC}">
              <c16:uniqueId val="{00000001-AC47-45D2-9067-BF0E8D9CF236}"/>
            </c:ext>
          </c:extLst>
        </c:ser>
        <c:ser>
          <c:idx val="3"/>
          <c:order val="2"/>
          <c:tx>
            <c:strRef>
              <c:f>Ivey!$A$51</c:f>
              <c:strCache>
                <c:ptCount val="1"/>
                <c:pt idx="0">
                  <c:v>Europe</c:v>
                </c:pt>
              </c:strCache>
            </c:strRef>
          </c:tx>
          <c:spPr>
            <a:solidFill>
              <a:schemeClr val="dk1">
                <a:tint val="98500"/>
              </a:schemeClr>
            </a:solidFill>
            <a:ln>
              <a:noFill/>
            </a:ln>
            <a:effectLst/>
            <a:sp3d/>
          </c:spPr>
          <c:invertIfNegative val="0"/>
          <c:cat>
            <c:numRef>
              <c:f>Ivey!$B$48:$L$48</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Ivey!$B$51:$L$51</c:f>
              <c:numCache>
                <c:formatCode>_(* #,##0_);_(* \(#,##0\);_(* "-"_);_(@_)</c:formatCode>
                <c:ptCount val="11"/>
                <c:pt idx="0">
                  <c:v>31137</c:v>
                </c:pt>
                <c:pt idx="1">
                  <c:v>45047</c:v>
                </c:pt>
                <c:pt idx="2">
                  <c:v>36941</c:v>
                </c:pt>
                <c:pt idx="3">
                  <c:v>36941</c:v>
                </c:pt>
                <c:pt idx="4">
                  <c:v>30403</c:v>
                </c:pt>
                <c:pt idx="5">
                  <c:v>11040</c:v>
                </c:pt>
                <c:pt idx="6">
                  <c:v>28584</c:v>
                </c:pt>
                <c:pt idx="7">
                  <c:v>57052</c:v>
                </c:pt>
                <c:pt idx="8">
                  <c:v>38707</c:v>
                </c:pt>
                <c:pt idx="9">
                  <c:v>33861</c:v>
                </c:pt>
                <c:pt idx="10">
                  <c:v>62465</c:v>
                </c:pt>
              </c:numCache>
            </c:numRef>
          </c:val>
          <c:extLst xmlns:c16r2="http://schemas.microsoft.com/office/drawing/2015/06/chart">
            <c:ext xmlns:c16="http://schemas.microsoft.com/office/drawing/2014/chart" uri="{C3380CC4-5D6E-409C-BE32-E72D297353CC}">
              <c16:uniqueId val="{00000002-AC47-45D2-9067-BF0E8D9CF236}"/>
            </c:ext>
          </c:extLst>
        </c:ser>
        <c:ser>
          <c:idx val="4"/>
          <c:order val="3"/>
          <c:tx>
            <c:strRef>
              <c:f>Ivey!$A$52</c:f>
              <c:strCache>
                <c:ptCount val="1"/>
                <c:pt idx="0">
                  <c:v>Asia</c:v>
                </c:pt>
              </c:strCache>
            </c:strRef>
          </c:tx>
          <c:spPr>
            <a:solidFill>
              <a:schemeClr val="dk1">
                <a:tint val="30000"/>
              </a:schemeClr>
            </a:solidFill>
            <a:ln>
              <a:noFill/>
            </a:ln>
            <a:effectLst/>
            <a:sp3d/>
          </c:spPr>
          <c:invertIfNegative val="0"/>
          <c:cat>
            <c:numRef>
              <c:f>Ivey!$B$48:$L$48</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Ivey!$B$52:$L$52</c:f>
              <c:numCache>
                <c:formatCode>_(* #,##0_);_(* \(#,##0\);_(* "-"_);_(@_)</c:formatCode>
                <c:ptCount val="11"/>
                <c:pt idx="0">
                  <c:v>309125</c:v>
                </c:pt>
                <c:pt idx="1">
                  <c:v>272792</c:v>
                </c:pt>
                <c:pt idx="2">
                  <c:v>436443</c:v>
                </c:pt>
                <c:pt idx="3">
                  <c:v>436443</c:v>
                </c:pt>
                <c:pt idx="4">
                  <c:v>203271</c:v>
                </c:pt>
                <c:pt idx="5">
                  <c:v>189347</c:v>
                </c:pt>
                <c:pt idx="6">
                  <c:v>354959</c:v>
                </c:pt>
                <c:pt idx="7">
                  <c:v>289273</c:v>
                </c:pt>
                <c:pt idx="8">
                  <c:v>222895</c:v>
                </c:pt>
                <c:pt idx="9">
                  <c:v>312061</c:v>
                </c:pt>
                <c:pt idx="10">
                  <c:v>320187</c:v>
                </c:pt>
              </c:numCache>
            </c:numRef>
          </c:val>
          <c:extLst xmlns:c16r2="http://schemas.microsoft.com/office/drawing/2015/06/chart">
            <c:ext xmlns:c16="http://schemas.microsoft.com/office/drawing/2014/chart" uri="{C3380CC4-5D6E-409C-BE32-E72D297353CC}">
              <c16:uniqueId val="{00000003-AC47-45D2-9067-BF0E8D9CF236}"/>
            </c:ext>
          </c:extLst>
        </c:ser>
        <c:dLbls>
          <c:showLegendKey val="0"/>
          <c:showVal val="0"/>
          <c:showCatName val="0"/>
          <c:showSerName val="0"/>
          <c:showPercent val="0"/>
          <c:showBubbleSize val="0"/>
        </c:dLbls>
        <c:gapWidth val="150"/>
        <c:shape val="box"/>
        <c:axId val="851295680"/>
        <c:axId val="851296072"/>
        <c:axId val="0"/>
      </c:bar3DChart>
      <c:catAx>
        <c:axId val="8512956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Years</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51296072"/>
        <c:crosses val="autoZero"/>
        <c:auto val="1"/>
        <c:lblAlgn val="ctr"/>
        <c:lblOffset val="100"/>
        <c:noMultiLvlLbl val="0"/>
      </c:catAx>
      <c:valAx>
        <c:axId val="85129607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en-US" sz="1100" b="1"/>
                  <a:t>Sales (in million JPY)</a:t>
                </a:r>
              </a:p>
            </c:rich>
          </c:tx>
          <c:layout/>
          <c:overlay val="0"/>
          <c:spPr>
            <a:noFill/>
            <a:ln>
              <a:noFill/>
            </a:ln>
            <a:effectLst/>
          </c:spPr>
        </c:title>
        <c:numFmt formatCode="_(* #,##0_);_(* \(#,##0\);_(* &quot;-&quot;_);_(@_)"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51295680"/>
        <c:crosses val="autoZero"/>
        <c:crossBetween val="between"/>
      </c:valAx>
      <c:spPr>
        <a:noFill/>
        <a:ln w="25400">
          <a:noFill/>
        </a:ln>
        <a:effectLst/>
      </c:spPr>
    </c:plotArea>
    <c:legend>
      <c:legendPos val="r"/>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0.27429</cdr:x>
      <cdr:y>0.10429</cdr:y>
    </cdr:from>
    <cdr:to>
      <cdr:x>0.80408</cdr:x>
      <cdr:y>0.15337</cdr:y>
    </cdr:to>
    <cdr:sp macro="" textlink="">
      <cdr:nvSpPr>
        <cdr:cNvPr id="2" name="ZoneTexte 1"/>
        <cdr:cNvSpPr txBox="1"/>
      </cdr:nvSpPr>
      <cdr:spPr>
        <a:xfrm xmlns:a="http://schemas.openxmlformats.org/drawingml/2006/main">
          <a:off x="1666875" y="323850"/>
          <a:ext cx="3219450" cy="152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r-FR"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00689-B66C-45C4-869C-A1D9F78B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3</cp:revision>
  <cp:lastPrinted>2011-06-23T13:34:00Z</cp:lastPrinted>
  <dcterms:created xsi:type="dcterms:W3CDTF">2017-04-24T14:26:00Z</dcterms:created>
  <dcterms:modified xsi:type="dcterms:W3CDTF">2017-04-26T16:03:00Z</dcterms:modified>
</cp:coreProperties>
</file>