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E2F2F" w14:textId="5C87F703" w:rsidR="008467D5" w:rsidRPr="00DC36FD" w:rsidRDefault="00B30851" w:rsidP="00013360">
      <w:pPr>
        <w:tabs>
          <w:tab w:val="left" w:pos="-1440"/>
          <w:tab w:val="left" w:pos="-720"/>
          <w:tab w:val="left" w:pos="1"/>
          <w:tab w:val="right" w:pos="9360"/>
        </w:tabs>
        <w:jc w:val="both"/>
        <w:rPr>
          <w:rFonts w:ascii="Arial" w:hAnsi="Arial"/>
          <w:sz w:val="24"/>
          <w:lang w:val="en-GB"/>
        </w:rPr>
      </w:pPr>
      <w:r w:rsidRPr="00A569EA">
        <w:rPr>
          <w:rFonts w:ascii="Arial" w:hAnsi="Arial"/>
          <w:b/>
          <w:noProof/>
          <w:sz w:val="24"/>
        </w:rPr>
        <w:drawing>
          <wp:inline distT="0" distB="0" distL="0" distR="0" wp14:anchorId="671C0E4C" wp14:editId="3A5D679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0563362" w14:textId="77777777" w:rsidR="00856D9F" w:rsidRPr="00DC36FD"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55FDFA8F" w14:textId="1C352D77" w:rsidR="00D75295" w:rsidRPr="00DC36FD" w:rsidRDefault="001C682D" w:rsidP="00F105B7">
      <w:pPr>
        <w:pStyle w:val="ProductNumber"/>
        <w:rPr>
          <w:lang w:val="en-GB"/>
        </w:rPr>
      </w:pPr>
      <w:r>
        <w:rPr>
          <w:lang w:val="en-GB"/>
        </w:rPr>
        <w:t>9B17M061</w:t>
      </w:r>
    </w:p>
    <w:p w14:paraId="0B82367D" w14:textId="77777777" w:rsidR="00D75295" w:rsidRPr="00DC36FD" w:rsidRDefault="00D75295" w:rsidP="00D75295">
      <w:pPr>
        <w:jc w:val="right"/>
        <w:rPr>
          <w:rFonts w:ascii="Arial" w:hAnsi="Arial"/>
          <w:b/>
          <w:sz w:val="28"/>
          <w:szCs w:val="28"/>
          <w:lang w:val="en-GB"/>
        </w:rPr>
      </w:pPr>
    </w:p>
    <w:p w14:paraId="1D711A86" w14:textId="77777777" w:rsidR="00866F6D" w:rsidRPr="00DC36FD" w:rsidRDefault="00866F6D" w:rsidP="00D75295">
      <w:pPr>
        <w:jc w:val="right"/>
        <w:rPr>
          <w:rFonts w:ascii="Arial" w:hAnsi="Arial"/>
          <w:b/>
          <w:sz w:val="28"/>
          <w:szCs w:val="28"/>
          <w:lang w:val="en-GB"/>
        </w:rPr>
      </w:pPr>
    </w:p>
    <w:p w14:paraId="17135A9A" w14:textId="77777777" w:rsidR="00013360" w:rsidRPr="00DC36FD" w:rsidRDefault="00EA3BC2" w:rsidP="00013360">
      <w:pPr>
        <w:pStyle w:val="CaseTitle"/>
        <w:spacing w:after="0" w:line="240" w:lineRule="auto"/>
        <w:rPr>
          <w:lang w:val="en-GB"/>
        </w:rPr>
      </w:pPr>
      <w:r w:rsidRPr="00DC36FD">
        <w:rPr>
          <w:lang w:val="en-GB"/>
        </w:rPr>
        <w:t>meakin enterprises: balancing risks in the agriculture industry</w:t>
      </w:r>
    </w:p>
    <w:p w14:paraId="5C878A34" w14:textId="77777777" w:rsidR="00013360" w:rsidRPr="00DC36FD" w:rsidRDefault="00013360" w:rsidP="00013360">
      <w:pPr>
        <w:pStyle w:val="CaseTitle"/>
        <w:spacing w:after="0" w:line="240" w:lineRule="auto"/>
        <w:rPr>
          <w:sz w:val="20"/>
          <w:szCs w:val="20"/>
          <w:lang w:val="en-GB"/>
        </w:rPr>
      </w:pPr>
    </w:p>
    <w:p w14:paraId="56CDD8F0" w14:textId="77777777" w:rsidR="00CA3976" w:rsidRPr="00DC36FD" w:rsidRDefault="00CA3976" w:rsidP="00013360">
      <w:pPr>
        <w:pStyle w:val="CaseTitle"/>
        <w:spacing w:after="0" w:line="240" w:lineRule="auto"/>
        <w:rPr>
          <w:sz w:val="20"/>
          <w:szCs w:val="20"/>
          <w:lang w:val="en-GB"/>
        </w:rPr>
      </w:pPr>
    </w:p>
    <w:p w14:paraId="3208462E" w14:textId="77777777" w:rsidR="00013360" w:rsidRPr="00DC36FD" w:rsidRDefault="00013360" w:rsidP="00013360">
      <w:pPr>
        <w:pStyle w:val="CaseTitle"/>
        <w:spacing w:after="0" w:line="240" w:lineRule="auto"/>
        <w:rPr>
          <w:sz w:val="20"/>
          <w:szCs w:val="20"/>
          <w:lang w:val="en-GB"/>
        </w:rPr>
      </w:pPr>
    </w:p>
    <w:p w14:paraId="02792822" w14:textId="77777777" w:rsidR="00013360" w:rsidRPr="00DC36FD" w:rsidRDefault="008D5F87" w:rsidP="00104567">
      <w:pPr>
        <w:pStyle w:val="StyleCopyrightStatementAfter0ptBottomSinglesolidline1"/>
        <w:rPr>
          <w:lang w:val="en-GB"/>
        </w:rPr>
      </w:pPr>
      <w:r w:rsidRPr="00DC36FD">
        <w:rPr>
          <w:lang w:val="en-GB"/>
        </w:rPr>
        <w:t>Tyler Case and Douglas Kalesnikoff</w:t>
      </w:r>
      <w:r w:rsidR="007E5921" w:rsidRPr="00DC36FD">
        <w:rPr>
          <w:lang w:val="en-GB"/>
        </w:rPr>
        <w:t xml:space="preserve"> wrote this case sol</w:t>
      </w:r>
      <w:r w:rsidR="00D75295" w:rsidRPr="00DC36FD">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7D055685" w14:textId="77777777" w:rsidR="00013360" w:rsidRPr="00DC36FD" w:rsidRDefault="00013360" w:rsidP="00104567">
      <w:pPr>
        <w:pStyle w:val="StyleCopyrightStatementAfter0ptBottomSinglesolidline1"/>
        <w:rPr>
          <w:lang w:val="en-GB"/>
        </w:rPr>
      </w:pPr>
    </w:p>
    <w:p w14:paraId="6DABD82C" w14:textId="77777777" w:rsidR="00B30851" w:rsidRPr="00E23AB7" w:rsidRDefault="00B30851" w:rsidP="00B30851">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7490F1EA" w14:textId="77777777" w:rsidR="00B30851" w:rsidRDefault="00B30851" w:rsidP="00B30851">
      <w:pPr>
        <w:pStyle w:val="StyleCopyrightStatementAfter0ptBottomSinglesolidline1"/>
      </w:pPr>
    </w:p>
    <w:p w14:paraId="7B097B07" w14:textId="71A1FCF5" w:rsidR="003B7EF2" w:rsidRPr="00DC36FD" w:rsidRDefault="00B30851" w:rsidP="003B7EF2">
      <w:pPr>
        <w:pStyle w:val="StyleStyleCopyrightStatementAfter0ptBottomSinglesolid"/>
        <w:rPr>
          <w:lang w:val="en-GB"/>
        </w:rPr>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lang w:val="en-GB"/>
        </w:rPr>
        <w:tab/>
      </w:r>
      <w:r w:rsidR="003B7EF2" w:rsidRPr="00DC36FD">
        <w:rPr>
          <w:lang w:val="en-GB"/>
        </w:rPr>
        <w:t xml:space="preserve">Version: </w:t>
      </w:r>
      <w:r w:rsidR="00361C8E" w:rsidRPr="00DC36FD">
        <w:rPr>
          <w:lang w:val="en-GB"/>
        </w:rPr>
        <w:t>201</w:t>
      </w:r>
      <w:r w:rsidR="007F51FC" w:rsidRPr="00DC36FD">
        <w:rPr>
          <w:lang w:val="en-GB"/>
        </w:rPr>
        <w:t>7</w:t>
      </w:r>
      <w:r w:rsidR="00361C8E" w:rsidRPr="00DC36FD">
        <w:rPr>
          <w:lang w:val="en-GB"/>
        </w:rPr>
        <w:t>-</w:t>
      </w:r>
      <w:r w:rsidR="008D5F87" w:rsidRPr="00DC36FD">
        <w:rPr>
          <w:lang w:val="en-GB"/>
        </w:rPr>
        <w:t>0</w:t>
      </w:r>
      <w:r w:rsidR="005C6BEF">
        <w:rPr>
          <w:lang w:val="en-GB"/>
        </w:rPr>
        <w:t>5</w:t>
      </w:r>
      <w:r w:rsidR="00361C8E" w:rsidRPr="00DC36FD">
        <w:rPr>
          <w:lang w:val="en-GB"/>
        </w:rPr>
        <w:t>-</w:t>
      </w:r>
      <w:r w:rsidR="005C6BEF">
        <w:rPr>
          <w:lang w:val="en-GB"/>
        </w:rPr>
        <w:t>0</w:t>
      </w:r>
      <w:r w:rsidR="00237A79">
        <w:rPr>
          <w:lang w:val="en-GB"/>
        </w:rPr>
        <w:t>8</w:t>
      </w:r>
    </w:p>
    <w:p w14:paraId="35C1B441" w14:textId="77777777" w:rsidR="003B7EF2" w:rsidRPr="00DC36FD" w:rsidRDefault="003B7EF2" w:rsidP="00104567">
      <w:pPr>
        <w:pStyle w:val="StyleCopyrightStatementAfter0ptBottomSinglesolidline1"/>
        <w:rPr>
          <w:rFonts w:ascii="Times New Roman" w:hAnsi="Times New Roman"/>
          <w:sz w:val="20"/>
          <w:lang w:val="en-GB"/>
        </w:rPr>
      </w:pPr>
    </w:p>
    <w:p w14:paraId="632CED10" w14:textId="77777777" w:rsidR="00566410" w:rsidRPr="00DC36FD" w:rsidRDefault="00566410" w:rsidP="00104567">
      <w:pPr>
        <w:pStyle w:val="StyleCopyrightStatementAfter0ptBottomSinglesolidline1"/>
        <w:rPr>
          <w:rFonts w:ascii="Times New Roman" w:hAnsi="Times New Roman"/>
          <w:sz w:val="20"/>
          <w:lang w:val="en-GB"/>
        </w:rPr>
      </w:pPr>
    </w:p>
    <w:p w14:paraId="4D8F7BA4" w14:textId="41F6F642" w:rsidR="008D5F87" w:rsidRPr="00DC36FD" w:rsidRDefault="008D5F87" w:rsidP="008D5F87">
      <w:pPr>
        <w:pStyle w:val="BodyTextMain"/>
        <w:rPr>
          <w:lang w:val="en-GB"/>
        </w:rPr>
      </w:pPr>
      <w:r w:rsidRPr="00DC36FD">
        <w:rPr>
          <w:lang w:val="en-GB"/>
        </w:rPr>
        <w:t>It was</w:t>
      </w:r>
      <w:r w:rsidR="00876428">
        <w:rPr>
          <w:lang w:val="en-GB"/>
        </w:rPr>
        <w:t xml:space="preserve"> not</w:t>
      </w:r>
      <w:r w:rsidRPr="00DC36FD">
        <w:rPr>
          <w:lang w:val="en-GB"/>
        </w:rPr>
        <w:t xml:space="preserve"> until January 25</w:t>
      </w:r>
      <w:r w:rsidR="00DC36FD">
        <w:rPr>
          <w:lang w:val="en-GB"/>
        </w:rPr>
        <w:t>,</w:t>
      </w:r>
      <w:r w:rsidRPr="00DC36FD">
        <w:rPr>
          <w:lang w:val="en-GB"/>
        </w:rPr>
        <w:t xml:space="preserve"> 2017</w:t>
      </w:r>
      <w:r w:rsidR="00DC36FD">
        <w:rPr>
          <w:lang w:val="en-GB"/>
        </w:rPr>
        <w:t>,</w:t>
      </w:r>
      <w:r w:rsidRPr="00DC36FD">
        <w:rPr>
          <w:lang w:val="en-GB"/>
        </w:rPr>
        <w:t xml:space="preserve"> that </w:t>
      </w:r>
      <w:proofErr w:type="spellStart"/>
      <w:r w:rsidRPr="00DC36FD">
        <w:rPr>
          <w:lang w:val="en-GB"/>
        </w:rPr>
        <w:t>Daved</w:t>
      </w:r>
      <w:proofErr w:type="spellEnd"/>
      <w:r w:rsidRPr="00DC36FD">
        <w:rPr>
          <w:lang w:val="en-GB"/>
        </w:rPr>
        <w:t xml:space="preserve"> </w:t>
      </w:r>
      <w:proofErr w:type="spellStart"/>
      <w:r w:rsidRPr="00DC36FD">
        <w:rPr>
          <w:lang w:val="en-GB"/>
        </w:rPr>
        <w:t>Meakin</w:t>
      </w:r>
      <w:proofErr w:type="spellEnd"/>
      <w:r w:rsidRPr="00DC36FD">
        <w:rPr>
          <w:lang w:val="en-GB"/>
        </w:rPr>
        <w:t xml:space="preserve"> was finally able to catch his breath after the hectic </w:t>
      </w:r>
      <w:r w:rsidR="00BD693B">
        <w:rPr>
          <w:lang w:val="en-GB"/>
        </w:rPr>
        <w:t xml:space="preserve">2016 </w:t>
      </w:r>
      <w:r w:rsidRPr="00DC36FD">
        <w:rPr>
          <w:lang w:val="en-GB"/>
        </w:rPr>
        <w:t xml:space="preserve">farming and trucking season. </w:t>
      </w:r>
      <w:proofErr w:type="spellStart"/>
      <w:r w:rsidR="00DC36FD">
        <w:rPr>
          <w:lang w:val="en-GB"/>
        </w:rPr>
        <w:t>Meakin</w:t>
      </w:r>
      <w:proofErr w:type="spellEnd"/>
      <w:r w:rsidR="00DC36FD" w:rsidRPr="00DC36FD">
        <w:rPr>
          <w:lang w:val="en-GB"/>
        </w:rPr>
        <w:t xml:space="preserve"> </w:t>
      </w:r>
      <w:r w:rsidR="00DC36FD">
        <w:rPr>
          <w:lang w:val="en-GB"/>
        </w:rPr>
        <w:t xml:space="preserve">was </w:t>
      </w:r>
      <w:r w:rsidR="00DC36FD" w:rsidRPr="00DC36FD">
        <w:rPr>
          <w:lang w:val="en-GB"/>
        </w:rPr>
        <w:t>review</w:t>
      </w:r>
      <w:r w:rsidR="00DC36FD">
        <w:rPr>
          <w:lang w:val="en-GB"/>
        </w:rPr>
        <w:t>ing</w:t>
      </w:r>
      <w:r w:rsidR="00DC36FD" w:rsidRPr="00DC36FD">
        <w:rPr>
          <w:lang w:val="en-GB"/>
        </w:rPr>
        <w:t xml:space="preserve"> </w:t>
      </w:r>
      <w:r w:rsidRPr="00DC36FD">
        <w:rPr>
          <w:lang w:val="en-GB"/>
        </w:rPr>
        <w:t xml:space="preserve">the financial statements for 2016 as compared with 2015 for </w:t>
      </w:r>
      <w:proofErr w:type="spellStart"/>
      <w:r w:rsidRPr="00DC36FD">
        <w:rPr>
          <w:lang w:val="en-GB"/>
        </w:rPr>
        <w:t>Meakin</w:t>
      </w:r>
      <w:proofErr w:type="spellEnd"/>
      <w:r w:rsidRPr="00DC36FD">
        <w:rPr>
          <w:lang w:val="en-GB"/>
        </w:rPr>
        <w:t xml:space="preserve"> Industrial Ag Corp.</w:t>
      </w:r>
      <w:r w:rsidR="00566410" w:rsidRPr="00DC36FD">
        <w:rPr>
          <w:lang w:val="en-GB"/>
        </w:rPr>
        <w:t xml:space="preserve"> (</w:t>
      </w:r>
      <w:proofErr w:type="spellStart"/>
      <w:r w:rsidRPr="00DC36FD">
        <w:rPr>
          <w:lang w:val="en-GB"/>
        </w:rPr>
        <w:t>Meakin</w:t>
      </w:r>
      <w:proofErr w:type="spellEnd"/>
      <w:r w:rsidRPr="00DC36FD">
        <w:rPr>
          <w:lang w:val="en-GB"/>
        </w:rPr>
        <w:t xml:space="preserve"> Industrial</w:t>
      </w:r>
      <w:r w:rsidR="00566410" w:rsidRPr="00DC36FD">
        <w:rPr>
          <w:lang w:val="en-GB"/>
        </w:rPr>
        <w:t xml:space="preserve">) and </w:t>
      </w:r>
      <w:proofErr w:type="spellStart"/>
      <w:r w:rsidR="00566410" w:rsidRPr="00DC36FD">
        <w:rPr>
          <w:lang w:val="en-GB"/>
        </w:rPr>
        <w:t>Meakin</w:t>
      </w:r>
      <w:proofErr w:type="spellEnd"/>
      <w:r w:rsidR="00566410" w:rsidRPr="00DC36FD">
        <w:rPr>
          <w:lang w:val="en-GB"/>
        </w:rPr>
        <w:t xml:space="preserve"> Farms Inc. (</w:t>
      </w:r>
      <w:proofErr w:type="spellStart"/>
      <w:r w:rsidRPr="00DC36FD">
        <w:rPr>
          <w:lang w:val="en-GB"/>
        </w:rPr>
        <w:t>Meakin</w:t>
      </w:r>
      <w:proofErr w:type="spellEnd"/>
      <w:r w:rsidRPr="00DC36FD">
        <w:rPr>
          <w:lang w:val="en-GB"/>
        </w:rPr>
        <w:t xml:space="preserve"> Farms). While </w:t>
      </w:r>
      <w:r w:rsidR="00850EA5">
        <w:rPr>
          <w:lang w:val="en-GB"/>
        </w:rPr>
        <w:t>both</w:t>
      </w:r>
      <w:r w:rsidR="00850EA5" w:rsidRPr="00DC36FD">
        <w:rPr>
          <w:lang w:val="en-GB"/>
        </w:rPr>
        <w:t xml:space="preserve"> </w:t>
      </w:r>
      <w:r w:rsidRPr="00DC36FD">
        <w:rPr>
          <w:lang w:val="en-GB"/>
        </w:rPr>
        <w:t>organization</w:t>
      </w:r>
      <w:r w:rsidR="00850EA5">
        <w:rPr>
          <w:lang w:val="en-GB"/>
        </w:rPr>
        <w:t>s</w:t>
      </w:r>
      <w:r w:rsidRPr="00DC36FD">
        <w:rPr>
          <w:lang w:val="en-GB"/>
        </w:rPr>
        <w:t xml:space="preserve"> remained viable, he wondered what he should do for 2017 and beyond</w:t>
      </w:r>
      <w:r w:rsidR="00DC36FD">
        <w:rPr>
          <w:lang w:val="en-GB"/>
        </w:rPr>
        <w:t>,</w:t>
      </w:r>
      <w:r w:rsidRPr="00DC36FD">
        <w:rPr>
          <w:lang w:val="en-GB"/>
        </w:rPr>
        <w:t xml:space="preserve"> given the unique structure of the business</w:t>
      </w:r>
      <w:r w:rsidR="00850EA5">
        <w:rPr>
          <w:lang w:val="en-GB"/>
        </w:rPr>
        <w:t>es</w:t>
      </w:r>
      <w:r w:rsidRPr="00DC36FD">
        <w:rPr>
          <w:lang w:val="en-GB"/>
        </w:rPr>
        <w:t xml:space="preserve"> and the vast uncertainty of the agricultural industry. Should he remain at the 2016 farm size of 3,200 seeded acres</w:t>
      </w:r>
      <w:r w:rsidR="00DC36FD">
        <w:rPr>
          <w:lang w:val="en-GB"/>
        </w:rPr>
        <w:t xml:space="preserve"> (1,295 hectares</w:t>
      </w:r>
      <w:r w:rsidR="005E6410">
        <w:rPr>
          <w:rStyle w:val="FootnoteReference"/>
          <w:lang w:val="en-GB"/>
        </w:rPr>
        <w:footnoteReference w:id="1"/>
      </w:r>
      <w:r w:rsidR="00DC36FD">
        <w:rPr>
          <w:lang w:val="en-GB"/>
        </w:rPr>
        <w:t>)</w:t>
      </w:r>
      <w:r w:rsidR="00566410" w:rsidRPr="00DC36FD">
        <w:rPr>
          <w:lang w:val="en-GB"/>
        </w:rPr>
        <w:t>,</w:t>
      </w:r>
      <w:r w:rsidRPr="00DC36FD">
        <w:rPr>
          <w:lang w:val="en-GB"/>
        </w:rPr>
        <w:t xml:space="preserve"> or </w:t>
      </w:r>
      <w:r w:rsidR="005E6410">
        <w:rPr>
          <w:lang w:val="en-GB"/>
        </w:rPr>
        <w:t>go</w:t>
      </w:r>
      <w:r w:rsidRPr="00DC36FD">
        <w:rPr>
          <w:lang w:val="en-GB"/>
        </w:rPr>
        <w:t xml:space="preserve"> back</w:t>
      </w:r>
      <w:r w:rsidR="005E6410">
        <w:rPr>
          <w:lang w:val="en-GB"/>
        </w:rPr>
        <w:t xml:space="preserve"> up</w:t>
      </w:r>
      <w:r w:rsidRPr="00DC36FD">
        <w:rPr>
          <w:lang w:val="en-GB"/>
        </w:rPr>
        <w:t xml:space="preserve"> to </w:t>
      </w:r>
      <w:r w:rsidR="00F504C4">
        <w:rPr>
          <w:lang w:val="en-GB"/>
        </w:rPr>
        <w:t>approximately</w:t>
      </w:r>
      <w:r w:rsidR="00F504C4" w:rsidRPr="00DC36FD">
        <w:rPr>
          <w:lang w:val="en-GB"/>
        </w:rPr>
        <w:t xml:space="preserve"> </w:t>
      </w:r>
      <w:r w:rsidRPr="00DC36FD">
        <w:rPr>
          <w:lang w:val="en-GB"/>
        </w:rPr>
        <w:t xml:space="preserve">4,000 acres </w:t>
      </w:r>
      <w:r w:rsidR="00DC36FD">
        <w:rPr>
          <w:lang w:val="en-GB"/>
        </w:rPr>
        <w:t xml:space="preserve">(1,620 hectares), </w:t>
      </w:r>
      <w:r w:rsidRPr="00DC36FD">
        <w:rPr>
          <w:lang w:val="en-GB"/>
        </w:rPr>
        <w:t>as he had farmed in 2015?</w:t>
      </w:r>
      <w:r w:rsidR="00DC36FD" w:rsidRPr="00DC36FD">
        <w:rPr>
          <w:lang w:val="en-GB"/>
        </w:rPr>
        <w:t xml:space="preserve"> </w:t>
      </w:r>
      <w:r w:rsidRPr="00DC36FD">
        <w:rPr>
          <w:lang w:val="en-GB"/>
        </w:rPr>
        <w:t>What should he do with the trucking business</w:t>
      </w:r>
      <w:r w:rsidR="00F504C4">
        <w:rPr>
          <w:lang w:val="en-GB"/>
        </w:rPr>
        <w:t>—</w:t>
      </w:r>
      <w:r w:rsidRPr="00DC36FD">
        <w:rPr>
          <w:lang w:val="en-GB"/>
        </w:rPr>
        <w:t>expand, contract</w:t>
      </w:r>
      <w:r w:rsidR="00F504C4">
        <w:rPr>
          <w:lang w:val="en-GB"/>
        </w:rPr>
        <w:t>,</w:t>
      </w:r>
      <w:r w:rsidRPr="00DC36FD">
        <w:rPr>
          <w:lang w:val="en-GB"/>
        </w:rPr>
        <w:t xml:space="preserve"> or maintain the </w:t>
      </w:r>
      <w:r w:rsidR="00850EA5">
        <w:rPr>
          <w:lang w:val="en-GB"/>
        </w:rPr>
        <w:t>current levels</w:t>
      </w:r>
      <w:r w:rsidR="0068124C">
        <w:rPr>
          <w:lang w:val="en-GB"/>
        </w:rPr>
        <w:t xml:space="preserve"> of business</w:t>
      </w:r>
      <w:r w:rsidRPr="00DC36FD">
        <w:rPr>
          <w:lang w:val="en-GB"/>
        </w:rPr>
        <w:t>? Could he expand both operations</w:t>
      </w:r>
      <w:r w:rsidR="00DC36FD">
        <w:rPr>
          <w:lang w:val="en-GB"/>
        </w:rPr>
        <w:t>,</w:t>
      </w:r>
      <w:r w:rsidRPr="00DC36FD">
        <w:rPr>
          <w:lang w:val="en-GB"/>
        </w:rPr>
        <w:t xml:space="preserve"> or would he </w:t>
      </w:r>
      <w:r w:rsidR="00DC36FD">
        <w:rPr>
          <w:lang w:val="en-GB"/>
        </w:rPr>
        <w:t>need</w:t>
      </w:r>
      <w:r w:rsidR="00DC36FD" w:rsidRPr="00DC36FD">
        <w:rPr>
          <w:lang w:val="en-GB"/>
        </w:rPr>
        <w:t xml:space="preserve"> </w:t>
      </w:r>
      <w:r w:rsidRPr="00DC36FD">
        <w:rPr>
          <w:lang w:val="en-GB"/>
        </w:rPr>
        <w:t xml:space="preserve">to </w:t>
      </w:r>
      <w:r w:rsidR="0068124C">
        <w:rPr>
          <w:lang w:val="en-GB"/>
        </w:rPr>
        <w:t xml:space="preserve">have a </w:t>
      </w:r>
      <w:r w:rsidRPr="00DC36FD">
        <w:rPr>
          <w:lang w:val="en-GB"/>
        </w:rPr>
        <w:t>contract</w:t>
      </w:r>
      <w:r w:rsidR="0068124C">
        <w:rPr>
          <w:lang w:val="en-GB"/>
        </w:rPr>
        <w:t>ion in</w:t>
      </w:r>
      <w:r w:rsidRPr="00DC36FD">
        <w:rPr>
          <w:lang w:val="en-GB"/>
        </w:rPr>
        <w:t xml:space="preserve"> one to </w:t>
      </w:r>
      <w:r w:rsidR="00BD693B">
        <w:rPr>
          <w:lang w:val="en-GB"/>
        </w:rPr>
        <w:t xml:space="preserve">enable an </w:t>
      </w:r>
      <w:r w:rsidR="00BD693B" w:rsidRPr="00DC36FD">
        <w:rPr>
          <w:lang w:val="en-GB"/>
        </w:rPr>
        <w:t>expan</w:t>
      </w:r>
      <w:r w:rsidR="00BD693B">
        <w:rPr>
          <w:lang w:val="en-GB"/>
        </w:rPr>
        <w:t>sion</w:t>
      </w:r>
      <w:r w:rsidR="00BD693B" w:rsidRPr="00DC36FD">
        <w:rPr>
          <w:lang w:val="en-GB"/>
        </w:rPr>
        <w:t xml:space="preserve"> </w:t>
      </w:r>
      <w:r w:rsidRPr="00DC36FD">
        <w:rPr>
          <w:lang w:val="en-GB"/>
        </w:rPr>
        <w:t>in the other? What were the risks and benefits of the changing business environment</w:t>
      </w:r>
      <w:r w:rsidR="00DC36FD">
        <w:rPr>
          <w:lang w:val="en-GB"/>
        </w:rPr>
        <w:t>,</w:t>
      </w:r>
      <w:r w:rsidRPr="00DC36FD">
        <w:rPr>
          <w:lang w:val="en-GB"/>
        </w:rPr>
        <w:t xml:space="preserve"> and how would they influence his decision?</w:t>
      </w:r>
      <w:r w:rsidR="00DC36FD" w:rsidRPr="00DC36FD">
        <w:rPr>
          <w:lang w:val="en-GB"/>
        </w:rPr>
        <w:t xml:space="preserve"> </w:t>
      </w:r>
    </w:p>
    <w:p w14:paraId="148733F3" w14:textId="77777777" w:rsidR="008D5F87" w:rsidRPr="00DC36FD" w:rsidRDefault="008D5F87" w:rsidP="008D5F87">
      <w:pPr>
        <w:pStyle w:val="BodyTextMain"/>
        <w:rPr>
          <w:lang w:val="en-GB"/>
        </w:rPr>
      </w:pPr>
    </w:p>
    <w:p w14:paraId="21E09DF0" w14:textId="77777777" w:rsidR="008D5F87" w:rsidRPr="00DC36FD" w:rsidRDefault="008D5F87" w:rsidP="008D5F87">
      <w:pPr>
        <w:pStyle w:val="BodyTextMain"/>
        <w:rPr>
          <w:lang w:val="en-GB"/>
        </w:rPr>
      </w:pPr>
    </w:p>
    <w:p w14:paraId="46CFC15C" w14:textId="0316C473" w:rsidR="008D5F87" w:rsidRDefault="008D5F87" w:rsidP="009D3CCD">
      <w:pPr>
        <w:pStyle w:val="Casehead1"/>
        <w:rPr>
          <w:lang w:val="en-GB"/>
        </w:rPr>
      </w:pPr>
      <w:r w:rsidRPr="00DC36FD">
        <w:rPr>
          <w:lang w:val="en-GB"/>
        </w:rPr>
        <w:t>MEAKIN ENTERPRISES: COMPANY HISTORY</w:t>
      </w:r>
    </w:p>
    <w:p w14:paraId="107ECAD4" w14:textId="77777777" w:rsidR="00BD693B" w:rsidRPr="00DC36FD" w:rsidRDefault="00BD693B" w:rsidP="009D3CCD">
      <w:pPr>
        <w:pStyle w:val="Casehead1"/>
        <w:rPr>
          <w:lang w:val="en-GB"/>
        </w:rPr>
      </w:pPr>
    </w:p>
    <w:p w14:paraId="2B39B8EB" w14:textId="23F82CEB" w:rsidR="008D5F87" w:rsidRPr="00DC36FD" w:rsidRDefault="00C73894" w:rsidP="008D5F87">
      <w:pPr>
        <w:pStyle w:val="BodyTextMain"/>
        <w:rPr>
          <w:lang w:val="en-GB"/>
        </w:rPr>
      </w:pPr>
      <w:r>
        <w:rPr>
          <w:lang w:val="en-GB"/>
        </w:rPr>
        <w:t>A</w:t>
      </w:r>
      <w:r w:rsidR="008D5F87" w:rsidRPr="00DC36FD">
        <w:rPr>
          <w:lang w:val="en-GB"/>
        </w:rPr>
        <w:t>s a child</w:t>
      </w:r>
      <w:r w:rsidR="00DC36FD">
        <w:rPr>
          <w:lang w:val="en-GB"/>
        </w:rPr>
        <w:t>,</w:t>
      </w:r>
      <w:r w:rsidR="008D5F87" w:rsidRPr="00DC36FD">
        <w:rPr>
          <w:lang w:val="en-GB"/>
        </w:rPr>
        <w:t xml:space="preserve"> </w:t>
      </w:r>
      <w:proofErr w:type="spellStart"/>
      <w:r>
        <w:rPr>
          <w:lang w:val="en-GB"/>
        </w:rPr>
        <w:t>Meakin</w:t>
      </w:r>
      <w:proofErr w:type="spellEnd"/>
      <w:r w:rsidR="008D5F87" w:rsidRPr="00DC36FD">
        <w:rPr>
          <w:lang w:val="en-GB"/>
        </w:rPr>
        <w:t xml:space="preserve"> </w:t>
      </w:r>
      <w:r w:rsidR="00BD693B">
        <w:rPr>
          <w:lang w:val="en-GB"/>
        </w:rPr>
        <w:t xml:space="preserve">had </w:t>
      </w:r>
      <w:r w:rsidR="008D5F87" w:rsidRPr="00DC36FD">
        <w:rPr>
          <w:lang w:val="en-GB"/>
        </w:rPr>
        <w:t xml:space="preserve">spent many days with his grandparents on the family farm near Langham, Saskatchewan. Like many </w:t>
      </w:r>
      <w:r w:rsidR="00BD693B">
        <w:rPr>
          <w:lang w:val="en-GB"/>
        </w:rPr>
        <w:t>children</w:t>
      </w:r>
      <w:r w:rsidR="008D5F87" w:rsidRPr="00DC36FD">
        <w:rPr>
          <w:lang w:val="en-GB"/>
        </w:rPr>
        <w:t xml:space="preserve">, when </w:t>
      </w:r>
      <w:proofErr w:type="spellStart"/>
      <w:r w:rsidR="00DC36FD">
        <w:rPr>
          <w:lang w:val="en-GB"/>
        </w:rPr>
        <w:t>Meakin</w:t>
      </w:r>
      <w:proofErr w:type="spellEnd"/>
      <w:r w:rsidR="00DC36FD" w:rsidRPr="00DC36FD">
        <w:rPr>
          <w:lang w:val="en-GB"/>
        </w:rPr>
        <w:t xml:space="preserve"> </w:t>
      </w:r>
      <w:r w:rsidR="008D5F87" w:rsidRPr="00DC36FD">
        <w:rPr>
          <w:lang w:val="en-GB"/>
        </w:rPr>
        <w:t>graduated from high school</w:t>
      </w:r>
      <w:r w:rsidR="00DC36FD">
        <w:rPr>
          <w:lang w:val="en-GB"/>
        </w:rPr>
        <w:t>,</w:t>
      </w:r>
      <w:r w:rsidR="008D5F87" w:rsidRPr="00DC36FD">
        <w:rPr>
          <w:lang w:val="en-GB"/>
        </w:rPr>
        <w:t xml:space="preserve"> he was encouraged to </w:t>
      </w:r>
      <w:r w:rsidR="00BD693B">
        <w:rPr>
          <w:lang w:val="en-GB"/>
        </w:rPr>
        <w:t>attend</w:t>
      </w:r>
      <w:r w:rsidR="008D5F87" w:rsidRPr="00DC36FD">
        <w:rPr>
          <w:lang w:val="en-GB"/>
        </w:rPr>
        <w:t xml:space="preserve"> university and develop a career away from the farm. </w:t>
      </w:r>
      <w:r w:rsidR="00DC36FD">
        <w:rPr>
          <w:lang w:val="en-GB"/>
        </w:rPr>
        <w:t>He</w:t>
      </w:r>
      <w:r w:rsidR="00DC36FD" w:rsidRPr="00DC36FD">
        <w:rPr>
          <w:lang w:val="en-GB"/>
        </w:rPr>
        <w:t xml:space="preserve"> </w:t>
      </w:r>
      <w:r w:rsidR="008D5F87" w:rsidRPr="00DC36FD">
        <w:rPr>
          <w:lang w:val="en-GB"/>
        </w:rPr>
        <w:t xml:space="preserve">followed this advice and earned an </w:t>
      </w:r>
      <w:r w:rsidR="005E6410">
        <w:rPr>
          <w:lang w:val="en-GB"/>
        </w:rPr>
        <w:t>e</w:t>
      </w:r>
      <w:r w:rsidR="008D5F87" w:rsidRPr="00DC36FD">
        <w:rPr>
          <w:lang w:val="en-GB"/>
        </w:rPr>
        <w:t xml:space="preserve">ngineering degree in 1998 and went to work for a farm implement manufacturer in Regina, Saskatchewan, some 300 </w:t>
      </w:r>
      <w:proofErr w:type="gramStart"/>
      <w:r w:rsidR="00DC36FD" w:rsidRPr="00DC36FD">
        <w:rPr>
          <w:lang w:val="en-GB"/>
        </w:rPr>
        <w:t>kilomet</w:t>
      </w:r>
      <w:r w:rsidR="00DC36FD">
        <w:rPr>
          <w:lang w:val="en-GB"/>
        </w:rPr>
        <w:t>re</w:t>
      </w:r>
      <w:r w:rsidR="00DC36FD" w:rsidRPr="00DC36FD">
        <w:rPr>
          <w:lang w:val="en-GB"/>
        </w:rPr>
        <w:t>s</w:t>
      </w:r>
      <w:proofErr w:type="gramEnd"/>
      <w:r w:rsidR="00DC36FD" w:rsidRPr="00DC36FD">
        <w:rPr>
          <w:lang w:val="en-GB"/>
        </w:rPr>
        <w:t xml:space="preserve"> </w:t>
      </w:r>
      <w:r w:rsidR="008D5F87" w:rsidRPr="00DC36FD">
        <w:rPr>
          <w:lang w:val="en-GB"/>
        </w:rPr>
        <w:t>away from the family farm.</w:t>
      </w:r>
    </w:p>
    <w:p w14:paraId="6077E8AF" w14:textId="77777777" w:rsidR="008D5F87" w:rsidRPr="00DC36FD" w:rsidRDefault="008D5F87" w:rsidP="008D5F87">
      <w:pPr>
        <w:pStyle w:val="BodyTextMain"/>
        <w:rPr>
          <w:lang w:val="en-GB"/>
        </w:rPr>
      </w:pPr>
    </w:p>
    <w:p w14:paraId="73266F31" w14:textId="7C382A7E" w:rsidR="008D5F87" w:rsidRPr="00DC36FD" w:rsidRDefault="00DC36FD" w:rsidP="008D5F87">
      <w:pPr>
        <w:pStyle w:val="BodyTextMain"/>
        <w:rPr>
          <w:lang w:val="en-GB"/>
        </w:rPr>
      </w:pPr>
      <w:r>
        <w:rPr>
          <w:lang w:val="en-GB"/>
        </w:rPr>
        <w:t>Alt</w:t>
      </w:r>
      <w:r w:rsidRPr="00DC36FD">
        <w:rPr>
          <w:lang w:val="en-GB"/>
        </w:rPr>
        <w:t xml:space="preserve">hough </w:t>
      </w:r>
      <w:proofErr w:type="spellStart"/>
      <w:r>
        <w:rPr>
          <w:lang w:val="en-GB"/>
        </w:rPr>
        <w:t>Meakin</w:t>
      </w:r>
      <w:proofErr w:type="spellEnd"/>
      <w:r w:rsidRPr="00DC36FD">
        <w:rPr>
          <w:lang w:val="en-GB"/>
        </w:rPr>
        <w:t xml:space="preserve"> </w:t>
      </w:r>
      <w:r w:rsidR="008D5F87" w:rsidRPr="00DC36FD">
        <w:rPr>
          <w:lang w:val="en-GB"/>
        </w:rPr>
        <w:t xml:space="preserve">had a successful and fulfilling career as an engineer, </w:t>
      </w:r>
      <w:r w:rsidR="00BD693B">
        <w:rPr>
          <w:lang w:val="en-GB"/>
        </w:rPr>
        <w:t xml:space="preserve">farming remained </w:t>
      </w:r>
      <w:r w:rsidR="008D5F87" w:rsidRPr="00DC36FD">
        <w:rPr>
          <w:lang w:val="en-GB"/>
        </w:rPr>
        <w:t>his passion. By 2004</w:t>
      </w:r>
      <w:r>
        <w:rPr>
          <w:lang w:val="en-GB"/>
        </w:rPr>
        <w:t>,</w:t>
      </w:r>
      <w:r w:rsidR="008D5F87" w:rsidRPr="00DC36FD">
        <w:rPr>
          <w:lang w:val="en-GB"/>
        </w:rPr>
        <w:t xml:space="preserve"> when </w:t>
      </w:r>
      <w:proofErr w:type="spellStart"/>
      <w:r>
        <w:rPr>
          <w:lang w:val="en-GB"/>
        </w:rPr>
        <w:t>Meakin</w:t>
      </w:r>
      <w:proofErr w:type="spellEnd"/>
      <w:r w:rsidRPr="00DC36FD">
        <w:rPr>
          <w:lang w:val="en-GB"/>
        </w:rPr>
        <w:t xml:space="preserve"> </w:t>
      </w:r>
      <w:r w:rsidR="008D5F87" w:rsidRPr="00DC36FD">
        <w:rPr>
          <w:lang w:val="en-GB"/>
        </w:rPr>
        <w:t>had chosen to return to Langham to embark on a career in farming, the family farm had already been sold</w:t>
      </w:r>
      <w:r>
        <w:rPr>
          <w:lang w:val="en-GB"/>
        </w:rPr>
        <w:t>,</w:t>
      </w:r>
      <w:r w:rsidR="008D5F87" w:rsidRPr="00DC36FD">
        <w:rPr>
          <w:lang w:val="en-GB"/>
        </w:rPr>
        <w:t xml:space="preserve"> as land prices </w:t>
      </w:r>
      <w:r>
        <w:rPr>
          <w:lang w:val="en-GB"/>
        </w:rPr>
        <w:t>had been</w:t>
      </w:r>
      <w:r w:rsidRPr="00DC36FD">
        <w:rPr>
          <w:lang w:val="en-GB"/>
        </w:rPr>
        <w:t xml:space="preserve"> </w:t>
      </w:r>
      <w:r w:rsidR="008D5F87" w:rsidRPr="00DC36FD">
        <w:rPr>
          <w:lang w:val="en-GB"/>
        </w:rPr>
        <w:t xml:space="preserve">favourable and no successor had been identified. </w:t>
      </w:r>
      <w:proofErr w:type="spellStart"/>
      <w:r>
        <w:rPr>
          <w:lang w:val="en-GB"/>
        </w:rPr>
        <w:t>Meakin</w:t>
      </w:r>
      <w:proofErr w:type="spellEnd"/>
      <w:r w:rsidRPr="00DC36FD">
        <w:rPr>
          <w:lang w:val="en-GB"/>
        </w:rPr>
        <w:t xml:space="preserve"> </w:t>
      </w:r>
      <w:r w:rsidR="008D5F87" w:rsidRPr="00DC36FD">
        <w:rPr>
          <w:lang w:val="en-GB"/>
        </w:rPr>
        <w:t xml:space="preserve">was left with the unenviable task of starting a farming operation from scratch. </w:t>
      </w:r>
    </w:p>
    <w:p w14:paraId="2484A10A" w14:textId="77777777" w:rsidR="008D5F87" w:rsidRPr="00DC36FD" w:rsidRDefault="008D5F87" w:rsidP="008D5F87">
      <w:pPr>
        <w:pStyle w:val="BodyTextMain"/>
        <w:rPr>
          <w:lang w:val="en-GB"/>
        </w:rPr>
      </w:pPr>
    </w:p>
    <w:p w14:paraId="0F22C863" w14:textId="763DA249" w:rsidR="008D5F87" w:rsidRPr="00DC36FD" w:rsidRDefault="008D5F87" w:rsidP="008D5F87">
      <w:pPr>
        <w:pStyle w:val="BodyTextMain"/>
        <w:rPr>
          <w:lang w:val="en-GB"/>
        </w:rPr>
      </w:pPr>
      <w:r w:rsidRPr="00DC36FD">
        <w:rPr>
          <w:lang w:val="en-GB"/>
        </w:rPr>
        <w:t>In 2005</w:t>
      </w:r>
      <w:r w:rsidR="00DC36FD">
        <w:rPr>
          <w:lang w:val="en-GB"/>
        </w:rPr>
        <w:t>,</w:t>
      </w:r>
      <w:r w:rsidRPr="00DC36FD">
        <w:rPr>
          <w:lang w:val="en-GB"/>
        </w:rPr>
        <w:t xml:space="preserve"> </w:t>
      </w:r>
      <w:proofErr w:type="spellStart"/>
      <w:r w:rsidR="00DC36FD">
        <w:rPr>
          <w:lang w:val="en-GB"/>
        </w:rPr>
        <w:t>Meakin</w:t>
      </w:r>
      <w:proofErr w:type="spellEnd"/>
      <w:r w:rsidR="00DC36FD" w:rsidRPr="00DC36FD">
        <w:rPr>
          <w:lang w:val="en-GB"/>
        </w:rPr>
        <w:t xml:space="preserve"> </w:t>
      </w:r>
      <w:r w:rsidRPr="00DC36FD">
        <w:rPr>
          <w:lang w:val="en-GB"/>
        </w:rPr>
        <w:t xml:space="preserve">started </w:t>
      </w:r>
      <w:r w:rsidR="00BD693B">
        <w:rPr>
          <w:lang w:val="en-GB"/>
        </w:rPr>
        <w:t>his</w:t>
      </w:r>
      <w:r w:rsidR="00BD693B" w:rsidRPr="00DC36FD">
        <w:rPr>
          <w:lang w:val="en-GB"/>
        </w:rPr>
        <w:t xml:space="preserve"> </w:t>
      </w:r>
      <w:r w:rsidRPr="00DC36FD">
        <w:rPr>
          <w:lang w:val="en-GB"/>
        </w:rPr>
        <w:t xml:space="preserve">farming operation, </w:t>
      </w:r>
      <w:proofErr w:type="spellStart"/>
      <w:r w:rsidRPr="00DC36FD">
        <w:rPr>
          <w:lang w:val="en-GB"/>
        </w:rPr>
        <w:t>Meakin</w:t>
      </w:r>
      <w:proofErr w:type="spellEnd"/>
      <w:r w:rsidRPr="00DC36FD">
        <w:rPr>
          <w:lang w:val="en-GB"/>
        </w:rPr>
        <w:t xml:space="preserve"> Farms, by purchasing one quarter section (160 acres</w:t>
      </w:r>
      <w:r w:rsidR="00DC36FD">
        <w:rPr>
          <w:lang w:val="en-GB"/>
        </w:rPr>
        <w:t>, or 65 hectares</w:t>
      </w:r>
      <w:r w:rsidRPr="00DC36FD">
        <w:rPr>
          <w:lang w:val="en-GB"/>
        </w:rPr>
        <w:t xml:space="preserve">) of land from his grandmother and </w:t>
      </w:r>
      <w:r w:rsidR="00DC36FD" w:rsidRPr="00DC36FD">
        <w:rPr>
          <w:lang w:val="en-GB"/>
        </w:rPr>
        <w:t>supplement</w:t>
      </w:r>
      <w:r w:rsidR="00DC36FD">
        <w:rPr>
          <w:lang w:val="en-GB"/>
        </w:rPr>
        <w:t>ing</w:t>
      </w:r>
      <w:r w:rsidR="00DC36FD" w:rsidRPr="00DC36FD">
        <w:rPr>
          <w:lang w:val="en-GB"/>
        </w:rPr>
        <w:t xml:space="preserve"> </w:t>
      </w:r>
      <w:r w:rsidRPr="00DC36FD">
        <w:rPr>
          <w:lang w:val="en-GB"/>
        </w:rPr>
        <w:t xml:space="preserve">the </w:t>
      </w:r>
      <w:r w:rsidR="00DC36FD">
        <w:rPr>
          <w:lang w:val="en-GB"/>
        </w:rPr>
        <w:t xml:space="preserve">owned </w:t>
      </w:r>
      <w:r w:rsidRPr="00DC36FD">
        <w:rPr>
          <w:lang w:val="en-GB"/>
        </w:rPr>
        <w:t xml:space="preserve">acreage with rented land. </w:t>
      </w:r>
      <w:r w:rsidRPr="00DC36FD">
        <w:rPr>
          <w:lang w:val="en-GB"/>
        </w:rPr>
        <w:lastRenderedPageBreak/>
        <w:t xml:space="preserve">Through the years, </w:t>
      </w:r>
      <w:proofErr w:type="spellStart"/>
      <w:r w:rsidR="00DC36FD">
        <w:rPr>
          <w:lang w:val="en-GB"/>
        </w:rPr>
        <w:t>Meakin</w:t>
      </w:r>
      <w:proofErr w:type="spellEnd"/>
      <w:r w:rsidR="00DC36FD" w:rsidRPr="00DC36FD">
        <w:rPr>
          <w:lang w:val="en-GB"/>
        </w:rPr>
        <w:t xml:space="preserve"> </w:t>
      </w:r>
      <w:r w:rsidRPr="00DC36FD">
        <w:rPr>
          <w:lang w:val="en-GB"/>
        </w:rPr>
        <w:t xml:space="preserve">gradually bought more land and rented </w:t>
      </w:r>
      <w:r w:rsidR="00DC36FD">
        <w:rPr>
          <w:lang w:val="en-GB"/>
        </w:rPr>
        <w:t xml:space="preserve">additional </w:t>
      </w:r>
      <w:r w:rsidRPr="00DC36FD">
        <w:rPr>
          <w:lang w:val="en-GB"/>
        </w:rPr>
        <w:t>land to increase the land base. The farm size peaked in 2015 at 3,840 acres</w:t>
      </w:r>
      <w:r w:rsidR="001F70CC" w:rsidRPr="00DC36FD">
        <w:rPr>
          <w:lang w:val="en-GB"/>
        </w:rPr>
        <w:t xml:space="preserve"> (1,554 hectares)</w:t>
      </w:r>
      <w:r w:rsidRPr="00DC36FD">
        <w:rPr>
          <w:lang w:val="en-GB"/>
        </w:rPr>
        <w:t>.</w:t>
      </w:r>
      <w:r w:rsidR="00DC36FD" w:rsidRPr="00DC36FD">
        <w:rPr>
          <w:lang w:val="en-GB"/>
        </w:rPr>
        <w:t xml:space="preserve"> </w:t>
      </w:r>
    </w:p>
    <w:p w14:paraId="5617836F" w14:textId="36C65DF4" w:rsidR="008D5F87" w:rsidRPr="00DC36FD" w:rsidRDefault="008D5F87" w:rsidP="008D5F87">
      <w:pPr>
        <w:pStyle w:val="BodyTextMain"/>
        <w:rPr>
          <w:lang w:val="en-GB"/>
        </w:rPr>
      </w:pPr>
      <w:r w:rsidRPr="00DC36FD">
        <w:rPr>
          <w:lang w:val="en-GB"/>
        </w:rPr>
        <w:t xml:space="preserve">While growing the farm, </w:t>
      </w:r>
      <w:proofErr w:type="spellStart"/>
      <w:r w:rsidR="00DC36FD">
        <w:rPr>
          <w:lang w:val="en-GB"/>
        </w:rPr>
        <w:t>Meakin</w:t>
      </w:r>
      <w:proofErr w:type="spellEnd"/>
      <w:r w:rsidR="00DC36FD" w:rsidRPr="00DC36FD">
        <w:rPr>
          <w:lang w:val="en-GB"/>
        </w:rPr>
        <w:t xml:space="preserve"> </w:t>
      </w:r>
      <w:r w:rsidRPr="00DC36FD">
        <w:rPr>
          <w:lang w:val="en-GB"/>
        </w:rPr>
        <w:t>employed a true entrepreneurial approach and used his professional engineering skills to be of service to other farmers in equipment modifications, servicing, repairs</w:t>
      </w:r>
      <w:r w:rsidR="00DC36FD">
        <w:rPr>
          <w:lang w:val="en-GB"/>
        </w:rPr>
        <w:t>,</w:t>
      </w:r>
      <w:r w:rsidRPr="00DC36FD">
        <w:rPr>
          <w:lang w:val="en-GB"/>
        </w:rPr>
        <w:t xml:space="preserve"> and grain hauling</w:t>
      </w:r>
      <w:r w:rsidR="00DC36FD">
        <w:rPr>
          <w:lang w:val="en-GB"/>
        </w:rPr>
        <w:t>.</w:t>
      </w:r>
      <w:r w:rsidRPr="00DC36FD">
        <w:rPr>
          <w:lang w:val="en-GB"/>
        </w:rPr>
        <w:t xml:space="preserve"> </w:t>
      </w:r>
      <w:r w:rsidR="00DC36FD">
        <w:rPr>
          <w:lang w:val="en-GB"/>
        </w:rPr>
        <w:t>In this way, he</w:t>
      </w:r>
      <w:r w:rsidRPr="00DC36FD">
        <w:rPr>
          <w:lang w:val="en-GB"/>
        </w:rPr>
        <w:t xml:space="preserve"> gain</w:t>
      </w:r>
      <w:r w:rsidR="00DC36FD">
        <w:rPr>
          <w:lang w:val="en-GB"/>
        </w:rPr>
        <w:t>ed</w:t>
      </w:r>
      <w:r w:rsidRPr="00DC36FD">
        <w:rPr>
          <w:lang w:val="en-GB"/>
        </w:rPr>
        <w:t xml:space="preserve"> farming skills while creating income and cash flow to expand his own farming operation. This farm service income led to the creation of </w:t>
      </w:r>
      <w:proofErr w:type="spellStart"/>
      <w:r w:rsidRPr="00DC36FD">
        <w:rPr>
          <w:lang w:val="en-GB"/>
        </w:rPr>
        <w:t>Meakin</w:t>
      </w:r>
      <w:proofErr w:type="spellEnd"/>
      <w:r w:rsidRPr="00DC36FD">
        <w:rPr>
          <w:lang w:val="en-GB"/>
        </w:rPr>
        <w:t xml:space="preserve"> Industrial, which grew into a trucking operation for the hauling of grain bins, grain, seed</w:t>
      </w:r>
      <w:r w:rsidR="00DC36FD">
        <w:rPr>
          <w:lang w:val="en-GB"/>
        </w:rPr>
        <w:t>,</w:t>
      </w:r>
      <w:r w:rsidRPr="00DC36FD">
        <w:rPr>
          <w:lang w:val="en-GB"/>
        </w:rPr>
        <w:t xml:space="preserve"> and fertilizer</w:t>
      </w:r>
      <w:r w:rsidR="00DC36FD">
        <w:rPr>
          <w:lang w:val="en-GB"/>
        </w:rPr>
        <w:t>,</w:t>
      </w:r>
      <w:r w:rsidRPr="00DC36FD">
        <w:rPr>
          <w:lang w:val="en-GB"/>
        </w:rPr>
        <w:t xml:space="preserve"> with annual revenues of </w:t>
      </w:r>
      <w:r w:rsidR="00DC36FD">
        <w:rPr>
          <w:lang w:val="en-GB"/>
        </w:rPr>
        <w:t>more than</w:t>
      </w:r>
      <w:r w:rsidR="00DC36FD" w:rsidRPr="00DC36FD">
        <w:rPr>
          <w:lang w:val="en-GB"/>
        </w:rPr>
        <w:t xml:space="preserve"> </w:t>
      </w:r>
      <w:r w:rsidR="00D1089F" w:rsidRPr="00DC36FD">
        <w:rPr>
          <w:lang w:val="en-GB"/>
        </w:rPr>
        <w:t>CA</w:t>
      </w:r>
      <w:r w:rsidRPr="00DC36FD">
        <w:rPr>
          <w:lang w:val="en-GB"/>
        </w:rPr>
        <w:t>$250,000</w:t>
      </w:r>
      <w:r w:rsidR="00D1089F" w:rsidRPr="00DC36FD">
        <w:rPr>
          <w:rStyle w:val="FootnoteReference"/>
          <w:lang w:val="en-GB"/>
        </w:rPr>
        <w:footnoteReference w:id="2"/>
      </w:r>
      <w:r w:rsidRPr="00DC36FD">
        <w:rPr>
          <w:lang w:val="en-GB"/>
        </w:rPr>
        <w:t xml:space="preserve"> by 2016. </w:t>
      </w:r>
    </w:p>
    <w:p w14:paraId="5F1A0DD7" w14:textId="77777777" w:rsidR="008D5F87" w:rsidRPr="00DC36FD" w:rsidRDefault="008D5F87" w:rsidP="007F362E">
      <w:pPr>
        <w:pStyle w:val="BodyTextMain"/>
        <w:rPr>
          <w:lang w:val="en-GB"/>
        </w:rPr>
      </w:pPr>
    </w:p>
    <w:p w14:paraId="0591ED1E" w14:textId="3779849E" w:rsidR="008D5F87" w:rsidRPr="00DC36FD" w:rsidRDefault="008D5F87" w:rsidP="007F362E">
      <w:pPr>
        <w:pStyle w:val="BodyTextMain"/>
        <w:rPr>
          <w:lang w:val="en-GB"/>
        </w:rPr>
      </w:pPr>
    </w:p>
    <w:p w14:paraId="4A423C9D" w14:textId="384FDEF1" w:rsidR="008D5F87" w:rsidRPr="00DC36FD" w:rsidRDefault="00835EC4" w:rsidP="000D347B">
      <w:pPr>
        <w:pStyle w:val="Casehead1"/>
        <w:rPr>
          <w:lang w:val="en-GB"/>
        </w:rPr>
      </w:pPr>
      <w:r>
        <w:rPr>
          <w:lang w:val="en-GB"/>
        </w:rPr>
        <w:t xml:space="preserve">THE </w:t>
      </w:r>
      <w:r w:rsidR="008D5F87" w:rsidRPr="00DC36FD">
        <w:rPr>
          <w:lang w:val="en-GB"/>
        </w:rPr>
        <w:t>Agriculture Industry</w:t>
      </w:r>
    </w:p>
    <w:p w14:paraId="6A1C2D06" w14:textId="77777777" w:rsidR="008D5F87" w:rsidRPr="00DC36FD" w:rsidRDefault="008D5F87" w:rsidP="008D5F87">
      <w:pPr>
        <w:pStyle w:val="Casehead2"/>
        <w:rPr>
          <w:lang w:val="en-GB"/>
        </w:rPr>
      </w:pPr>
    </w:p>
    <w:p w14:paraId="55F81ECA" w14:textId="6B28A841" w:rsidR="008D5F87" w:rsidRPr="00DC36FD" w:rsidRDefault="00835EC4" w:rsidP="000D347B">
      <w:pPr>
        <w:pStyle w:val="Casehead2"/>
        <w:rPr>
          <w:lang w:val="en-GB"/>
        </w:rPr>
      </w:pPr>
      <w:r>
        <w:rPr>
          <w:lang w:val="en-GB"/>
        </w:rPr>
        <w:t xml:space="preserve">The </w:t>
      </w:r>
      <w:r w:rsidR="008D5F87" w:rsidRPr="00DC36FD">
        <w:rPr>
          <w:lang w:val="en-GB"/>
        </w:rPr>
        <w:t>Supply Chain: Sourcing Inputs</w:t>
      </w:r>
    </w:p>
    <w:p w14:paraId="2AC1FC88" w14:textId="77777777" w:rsidR="008D5F87" w:rsidRPr="00DC36FD" w:rsidRDefault="008D5F87" w:rsidP="008D5F87">
      <w:pPr>
        <w:pStyle w:val="BodyTextMain"/>
        <w:rPr>
          <w:lang w:val="en-GB"/>
        </w:rPr>
      </w:pPr>
    </w:p>
    <w:p w14:paraId="6F01BC61" w14:textId="730F2850" w:rsidR="008D5F87" w:rsidRPr="00DC36FD" w:rsidRDefault="008D5F87" w:rsidP="008D5F87">
      <w:pPr>
        <w:pStyle w:val="BodyTextMain"/>
        <w:rPr>
          <w:lang w:val="en-GB"/>
        </w:rPr>
      </w:pPr>
      <w:r w:rsidRPr="00DC36FD">
        <w:rPr>
          <w:lang w:val="en-GB"/>
        </w:rPr>
        <w:t>The size and structure of the agriculture industry ha</w:t>
      </w:r>
      <w:r w:rsidR="000D347B" w:rsidRPr="00DC36FD">
        <w:rPr>
          <w:lang w:val="en-GB"/>
        </w:rPr>
        <w:t>d</w:t>
      </w:r>
      <w:r w:rsidRPr="00DC36FD">
        <w:rPr>
          <w:lang w:val="en-GB"/>
        </w:rPr>
        <w:t xml:space="preserve"> seen significant change in recent decades</w:t>
      </w:r>
      <w:r w:rsidR="000D347B" w:rsidRPr="00DC36FD">
        <w:rPr>
          <w:lang w:val="en-GB"/>
        </w:rPr>
        <w:t>:</w:t>
      </w:r>
      <w:r w:rsidR="00DC36FD" w:rsidRPr="00DC36FD">
        <w:rPr>
          <w:lang w:val="en-GB"/>
        </w:rPr>
        <w:t xml:space="preserve"> </w:t>
      </w:r>
      <w:r w:rsidR="00835EC4">
        <w:rPr>
          <w:lang w:val="en-GB"/>
        </w:rPr>
        <w:t>t</w:t>
      </w:r>
      <w:r w:rsidRPr="00DC36FD">
        <w:rPr>
          <w:lang w:val="en-GB"/>
        </w:rPr>
        <w:t xml:space="preserve">he total number of Saskatchewan farms </w:t>
      </w:r>
      <w:r w:rsidR="00835EC4" w:rsidRPr="00DC36FD">
        <w:rPr>
          <w:lang w:val="en-GB"/>
        </w:rPr>
        <w:t>ha</w:t>
      </w:r>
      <w:r w:rsidR="00835EC4">
        <w:rPr>
          <w:lang w:val="en-GB"/>
        </w:rPr>
        <w:t>d</w:t>
      </w:r>
      <w:r w:rsidR="00835EC4" w:rsidRPr="00DC36FD">
        <w:rPr>
          <w:lang w:val="en-GB"/>
        </w:rPr>
        <w:t xml:space="preserve"> </w:t>
      </w:r>
      <w:r w:rsidRPr="00DC36FD">
        <w:rPr>
          <w:lang w:val="en-GB"/>
        </w:rPr>
        <w:t>decreased from 63,431 in 1986 to 36,952 in 2011</w:t>
      </w:r>
      <w:r w:rsidR="000D347B" w:rsidRPr="00DC36FD">
        <w:rPr>
          <w:lang w:val="en-GB"/>
        </w:rPr>
        <w:t>,</w:t>
      </w:r>
      <w:r w:rsidRPr="00DC36FD">
        <w:rPr>
          <w:rStyle w:val="FootnoteReference"/>
          <w:lang w:val="en-GB"/>
        </w:rPr>
        <w:footnoteReference w:id="3"/>
      </w:r>
      <w:r w:rsidRPr="00DC36FD">
        <w:rPr>
          <w:lang w:val="en-GB"/>
        </w:rPr>
        <w:t xml:space="preserve"> and a further decrease was evident. The average farm size ha</w:t>
      </w:r>
      <w:r w:rsidR="000D347B" w:rsidRPr="00DC36FD">
        <w:rPr>
          <w:lang w:val="en-GB"/>
        </w:rPr>
        <w:t>d</w:t>
      </w:r>
      <w:r w:rsidRPr="00DC36FD">
        <w:rPr>
          <w:lang w:val="en-GB"/>
        </w:rPr>
        <w:t xml:space="preserve"> grown substantially from </w:t>
      </w:r>
      <w:r w:rsidR="00C862E0">
        <w:rPr>
          <w:lang w:val="en-GB"/>
        </w:rPr>
        <w:t>1,036</w:t>
      </w:r>
      <w:r w:rsidRPr="00DC36FD">
        <w:rPr>
          <w:lang w:val="en-GB"/>
        </w:rPr>
        <w:t xml:space="preserve"> acres </w:t>
      </w:r>
      <w:r w:rsidR="00302BA1">
        <w:rPr>
          <w:lang w:val="en-GB"/>
        </w:rPr>
        <w:t xml:space="preserve">(419 hectares) </w:t>
      </w:r>
      <w:r w:rsidRPr="00DC36FD">
        <w:rPr>
          <w:lang w:val="en-GB"/>
        </w:rPr>
        <w:t xml:space="preserve">in 1986 to 1,668 acres </w:t>
      </w:r>
      <w:r w:rsidR="00302BA1">
        <w:rPr>
          <w:lang w:val="en-GB"/>
        </w:rPr>
        <w:t xml:space="preserve">(675 hectares) </w:t>
      </w:r>
      <w:r w:rsidRPr="00DC36FD">
        <w:rPr>
          <w:lang w:val="en-GB"/>
        </w:rPr>
        <w:t>in 2011</w:t>
      </w:r>
      <w:r w:rsidR="00302BA1">
        <w:rPr>
          <w:lang w:val="en-GB"/>
        </w:rPr>
        <w:t>,</w:t>
      </w:r>
      <w:r w:rsidR="00640F9D" w:rsidRPr="00DC36FD">
        <w:rPr>
          <w:lang w:val="en-GB"/>
        </w:rPr>
        <w:t xml:space="preserve"> </w:t>
      </w:r>
      <w:r w:rsidRPr="00DC36FD">
        <w:rPr>
          <w:lang w:val="en-GB"/>
        </w:rPr>
        <w:t xml:space="preserve">with many active farming operations managing 5,000 acres </w:t>
      </w:r>
      <w:r w:rsidR="00302BA1">
        <w:rPr>
          <w:lang w:val="en-GB"/>
        </w:rPr>
        <w:t xml:space="preserve">(2,023 hectares) </w:t>
      </w:r>
      <w:r w:rsidRPr="00DC36FD">
        <w:rPr>
          <w:lang w:val="en-GB"/>
        </w:rPr>
        <w:t>or more.</w:t>
      </w:r>
      <w:r w:rsidR="00640F9D" w:rsidRPr="00DC36FD">
        <w:rPr>
          <w:rStyle w:val="FootnoteReference"/>
          <w:lang w:val="en-GB"/>
        </w:rPr>
        <w:footnoteReference w:id="4"/>
      </w:r>
      <w:r w:rsidRPr="00DC36FD">
        <w:rPr>
          <w:lang w:val="en-GB"/>
        </w:rPr>
        <w:t xml:space="preserve"> </w:t>
      </w:r>
    </w:p>
    <w:p w14:paraId="30A4C050" w14:textId="77777777" w:rsidR="008D5F87" w:rsidRPr="00DC36FD" w:rsidRDefault="008D5F87" w:rsidP="008D5F87">
      <w:pPr>
        <w:pStyle w:val="BodyTextMain"/>
        <w:rPr>
          <w:lang w:val="en-GB"/>
        </w:rPr>
      </w:pPr>
    </w:p>
    <w:p w14:paraId="3B728645" w14:textId="16666CE7" w:rsidR="008D5F87" w:rsidRPr="00DC36FD" w:rsidRDefault="008D5F87" w:rsidP="008D5F87">
      <w:pPr>
        <w:pStyle w:val="BodyTextMain"/>
        <w:rPr>
          <w:lang w:val="en-GB"/>
        </w:rPr>
      </w:pPr>
      <w:r w:rsidRPr="00DC36FD">
        <w:rPr>
          <w:lang w:val="en-GB"/>
        </w:rPr>
        <w:t>The thousands of Saskatchewan farmers typically purchased their crop inputs</w:t>
      </w:r>
      <w:r w:rsidR="00302BA1">
        <w:rPr>
          <w:lang w:val="en-GB"/>
        </w:rPr>
        <w:t>,</w:t>
      </w:r>
      <w:r w:rsidRPr="00DC36FD">
        <w:rPr>
          <w:lang w:val="en-GB"/>
        </w:rPr>
        <w:t xml:space="preserve"> such as seed, fertilizer</w:t>
      </w:r>
      <w:r w:rsidR="00302BA1">
        <w:rPr>
          <w:lang w:val="en-GB"/>
        </w:rPr>
        <w:t>,</w:t>
      </w:r>
      <w:r w:rsidRPr="00DC36FD">
        <w:rPr>
          <w:lang w:val="en-GB"/>
        </w:rPr>
        <w:t xml:space="preserve"> and chemicals</w:t>
      </w:r>
      <w:r w:rsidR="00302BA1">
        <w:rPr>
          <w:lang w:val="en-GB"/>
        </w:rPr>
        <w:t>,</w:t>
      </w:r>
      <w:r w:rsidRPr="00DC36FD">
        <w:rPr>
          <w:lang w:val="en-GB"/>
        </w:rPr>
        <w:t xml:space="preserve"> from </w:t>
      </w:r>
      <w:r w:rsidR="00302BA1">
        <w:rPr>
          <w:lang w:val="en-GB"/>
        </w:rPr>
        <w:t>numerous</w:t>
      </w:r>
      <w:r w:rsidRPr="00DC36FD">
        <w:rPr>
          <w:lang w:val="en-GB"/>
        </w:rPr>
        <w:t xml:space="preserve"> independent retailers across the province.</w:t>
      </w:r>
      <w:r w:rsidR="00DC36FD" w:rsidRPr="00DC36FD">
        <w:rPr>
          <w:lang w:val="en-GB"/>
        </w:rPr>
        <w:t xml:space="preserve"> </w:t>
      </w:r>
      <w:r w:rsidR="00302BA1">
        <w:rPr>
          <w:lang w:val="en-GB"/>
        </w:rPr>
        <w:t>L</w:t>
      </w:r>
      <w:r w:rsidRPr="00DC36FD">
        <w:rPr>
          <w:lang w:val="en-GB"/>
        </w:rPr>
        <w:t>arge, multinational agrochemical and biotechnology companies</w:t>
      </w:r>
      <w:r w:rsidR="00302BA1">
        <w:rPr>
          <w:lang w:val="en-GB"/>
        </w:rPr>
        <w:t>,</w:t>
      </w:r>
      <w:r w:rsidRPr="00DC36FD">
        <w:rPr>
          <w:lang w:val="en-GB"/>
        </w:rPr>
        <w:t xml:space="preserve"> such as Monsanto, Bayer</w:t>
      </w:r>
      <w:r w:rsidR="001A33A3">
        <w:rPr>
          <w:lang w:val="en-GB"/>
        </w:rPr>
        <w:t xml:space="preserve"> Inc.</w:t>
      </w:r>
      <w:r w:rsidRPr="00DC36FD">
        <w:rPr>
          <w:lang w:val="en-GB"/>
        </w:rPr>
        <w:t>, Syngenta</w:t>
      </w:r>
      <w:r w:rsidR="00D37A56">
        <w:rPr>
          <w:lang w:val="en-GB"/>
        </w:rPr>
        <w:t xml:space="preserve"> Canada Inc.</w:t>
      </w:r>
      <w:r w:rsidRPr="00DC36FD">
        <w:rPr>
          <w:lang w:val="en-GB"/>
        </w:rPr>
        <w:t>, DuPont, BASF</w:t>
      </w:r>
      <w:r w:rsidR="001A33A3">
        <w:rPr>
          <w:lang w:val="en-GB"/>
        </w:rPr>
        <w:t xml:space="preserve"> SE</w:t>
      </w:r>
      <w:r w:rsidR="00302BA1">
        <w:rPr>
          <w:lang w:val="en-GB"/>
        </w:rPr>
        <w:t>,</w:t>
      </w:r>
      <w:r w:rsidRPr="00DC36FD">
        <w:rPr>
          <w:lang w:val="en-GB"/>
        </w:rPr>
        <w:t xml:space="preserve"> and Dow </w:t>
      </w:r>
      <w:proofErr w:type="spellStart"/>
      <w:r w:rsidRPr="00DC36FD">
        <w:rPr>
          <w:lang w:val="en-GB"/>
        </w:rPr>
        <w:t>Agro</w:t>
      </w:r>
      <w:r w:rsidR="00D37A56">
        <w:rPr>
          <w:lang w:val="en-GB"/>
        </w:rPr>
        <w:t>S</w:t>
      </w:r>
      <w:r w:rsidRPr="00DC36FD">
        <w:rPr>
          <w:lang w:val="en-GB"/>
        </w:rPr>
        <w:t>ciences</w:t>
      </w:r>
      <w:proofErr w:type="spellEnd"/>
      <w:r w:rsidR="00D37A56">
        <w:rPr>
          <w:lang w:val="en-GB"/>
        </w:rPr>
        <w:t xml:space="preserve"> LLC</w:t>
      </w:r>
      <w:r w:rsidR="00302BA1">
        <w:rPr>
          <w:lang w:val="en-GB"/>
        </w:rPr>
        <w:t>, supplied many of these inputs to the retailers</w:t>
      </w:r>
      <w:r w:rsidRPr="00DC36FD">
        <w:rPr>
          <w:lang w:val="en-GB"/>
        </w:rPr>
        <w:t xml:space="preserve">. Farmers were free to choose their retailer of choice and </w:t>
      </w:r>
      <w:r w:rsidR="00302BA1">
        <w:rPr>
          <w:lang w:val="en-GB"/>
        </w:rPr>
        <w:t xml:space="preserve">to </w:t>
      </w:r>
      <w:r w:rsidRPr="00DC36FD">
        <w:rPr>
          <w:lang w:val="en-GB"/>
        </w:rPr>
        <w:t xml:space="preserve">seek </w:t>
      </w:r>
      <w:r w:rsidR="00835EC4">
        <w:rPr>
          <w:lang w:val="en-GB"/>
        </w:rPr>
        <w:t>a</w:t>
      </w:r>
      <w:r w:rsidR="00835EC4" w:rsidRPr="00DC36FD">
        <w:rPr>
          <w:lang w:val="en-GB"/>
        </w:rPr>
        <w:t xml:space="preserve"> </w:t>
      </w:r>
      <w:r w:rsidRPr="00DC36FD">
        <w:rPr>
          <w:lang w:val="en-GB"/>
        </w:rPr>
        <w:t>low</w:t>
      </w:r>
      <w:r w:rsidR="00302BA1">
        <w:rPr>
          <w:lang w:val="en-GB"/>
        </w:rPr>
        <w:t>-</w:t>
      </w:r>
      <w:r w:rsidRPr="00DC36FD">
        <w:rPr>
          <w:lang w:val="en-GB"/>
        </w:rPr>
        <w:t>cost provider</w:t>
      </w:r>
      <w:r w:rsidR="00566410" w:rsidRPr="00DC36FD">
        <w:rPr>
          <w:lang w:val="en-GB"/>
        </w:rPr>
        <w:t>,</w:t>
      </w:r>
      <w:r w:rsidRPr="00DC36FD">
        <w:rPr>
          <w:lang w:val="en-GB"/>
        </w:rPr>
        <w:t xml:space="preserve"> but price differences between retailers were negligible</w:t>
      </w:r>
      <w:r w:rsidR="00302BA1">
        <w:rPr>
          <w:lang w:val="en-GB"/>
        </w:rPr>
        <w:t>,</w:t>
      </w:r>
      <w:r w:rsidRPr="00DC36FD">
        <w:rPr>
          <w:lang w:val="en-GB"/>
        </w:rPr>
        <w:t xml:space="preserve"> and many sought to create relationships with their local retailer in an effort </w:t>
      </w:r>
      <w:r w:rsidR="00302BA1">
        <w:rPr>
          <w:lang w:val="en-GB"/>
        </w:rPr>
        <w:t xml:space="preserve">not only </w:t>
      </w:r>
      <w:r w:rsidRPr="00DC36FD">
        <w:rPr>
          <w:lang w:val="en-GB"/>
        </w:rPr>
        <w:t>to reduce transport distances but</w:t>
      </w:r>
      <w:r w:rsidR="00566410" w:rsidRPr="00DC36FD">
        <w:rPr>
          <w:lang w:val="en-GB"/>
        </w:rPr>
        <w:t xml:space="preserve"> also,</w:t>
      </w:r>
      <w:r w:rsidRPr="00DC36FD">
        <w:rPr>
          <w:lang w:val="en-GB"/>
        </w:rPr>
        <w:t xml:space="preserve"> more importantly, </w:t>
      </w:r>
      <w:r w:rsidR="00302BA1">
        <w:rPr>
          <w:lang w:val="en-GB"/>
        </w:rPr>
        <w:t xml:space="preserve">to </w:t>
      </w:r>
      <w:r w:rsidRPr="00DC36FD">
        <w:rPr>
          <w:lang w:val="en-GB"/>
        </w:rPr>
        <w:t>gain access to new products, application methods</w:t>
      </w:r>
      <w:r w:rsidR="00566410" w:rsidRPr="00DC36FD">
        <w:rPr>
          <w:lang w:val="en-GB"/>
        </w:rPr>
        <w:t>,</w:t>
      </w:r>
      <w:r w:rsidRPr="00DC36FD">
        <w:rPr>
          <w:lang w:val="en-GB"/>
        </w:rPr>
        <w:t xml:space="preserve"> and farming techniques.</w:t>
      </w:r>
      <w:r w:rsidR="00DC36FD" w:rsidRPr="00DC36FD">
        <w:rPr>
          <w:lang w:val="en-GB"/>
        </w:rPr>
        <w:t xml:space="preserve"> </w:t>
      </w:r>
      <w:r w:rsidRPr="00DC36FD">
        <w:rPr>
          <w:lang w:val="en-GB"/>
        </w:rPr>
        <w:t xml:space="preserve">As with the farms themselves, </w:t>
      </w:r>
      <w:r w:rsidR="00302BA1">
        <w:rPr>
          <w:lang w:val="en-GB"/>
        </w:rPr>
        <w:t xml:space="preserve">much of </w:t>
      </w:r>
      <w:r w:rsidRPr="00DC36FD">
        <w:rPr>
          <w:lang w:val="en-GB"/>
        </w:rPr>
        <w:t>the production and retailing of agricultural inputs</w:t>
      </w:r>
      <w:r w:rsidR="00302BA1">
        <w:rPr>
          <w:lang w:val="en-GB"/>
        </w:rPr>
        <w:t xml:space="preserve"> had been consolidated</w:t>
      </w:r>
      <w:r w:rsidRPr="00DC36FD">
        <w:rPr>
          <w:lang w:val="en-GB"/>
        </w:rPr>
        <w:t xml:space="preserve">. </w:t>
      </w:r>
      <w:r w:rsidR="00302BA1">
        <w:rPr>
          <w:lang w:val="en-GB"/>
        </w:rPr>
        <w:t>For example, m</w:t>
      </w:r>
      <w:r w:rsidRPr="00DC36FD">
        <w:rPr>
          <w:lang w:val="en-GB"/>
        </w:rPr>
        <w:t>any of the input retailers had other regionally affiliated stores</w:t>
      </w:r>
      <w:r w:rsidR="00302BA1">
        <w:rPr>
          <w:lang w:val="en-GB"/>
        </w:rPr>
        <w:t>,</w:t>
      </w:r>
      <w:r w:rsidRPr="00DC36FD">
        <w:rPr>
          <w:lang w:val="en-GB"/>
        </w:rPr>
        <w:t xml:space="preserve"> and the large inland grain terminals that historically handled grain were increasingly adding input sales to their product and service mix. Furthermore, fertilizer and fuel markets, two crucial inputs, had seen vast price variability in recent years</w:t>
      </w:r>
      <w:r w:rsidR="00302BA1">
        <w:rPr>
          <w:lang w:val="en-GB"/>
        </w:rPr>
        <w:t>,</w:t>
      </w:r>
      <w:r w:rsidRPr="00DC36FD">
        <w:rPr>
          <w:lang w:val="en-GB"/>
        </w:rPr>
        <w:t xml:space="preserve"> given </w:t>
      </w:r>
      <w:r w:rsidR="00302BA1">
        <w:rPr>
          <w:lang w:val="en-GB"/>
        </w:rPr>
        <w:t xml:space="preserve">the </w:t>
      </w:r>
      <w:r w:rsidRPr="00DC36FD">
        <w:rPr>
          <w:lang w:val="en-GB"/>
        </w:rPr>
        <w:t>changing microeconomic factors.</w:t>
      </w:r>
      <w:r w:rsidR="00DC36FD" w:rsidRPr="00DC36FD">
        <w:rPr>
          <w:lang w:val="en-GB"/>
        </w:rPr>
        <w:t xml:space="preserve"> </w:t>
      </w:r>
      <w:r w:rsidRPr="00DC36FD">
        <w:rPr>
          <w:lang w:val="en-GB"/>
        </w:rPr>
        <w:t>As a result of this supply chain, the farmer had become very much a price</w:t>
      </w:r>
      <w:r w:rsidR="00302BA1">
        <w:rPr>
          <w:lang w:val="en-GB"/>
        </w:rPr>
        <w:t>-</w:t>
      </w:r>
      <w:r w:rsidRPr="00DC36FD">
        <w:rPr>
          <w:lang w:val="en-GB"/>
        </w:rPr>
        <w:t xml:space="preserve">taker with many of the crop inputs having volatile prices. </w:t>
      </w:r>
    </w:p>
    <w:p w14:paraId="3395CA4D" w14:textId="77777777" w:rsidR="008D5F87" w:rsidRPr="00DC36FD" w:rsidRDefault="008D5F87" w:rsidP="008D5F87">
      <w:pPr>
        <w:pStyle w:val="BodyTextMain"/>
        <w:rPr>
          <w:lang w:val="en-GB"/>
        </w:rPr>
      </w:pPr>
    </w:p>
    <w:p w14:paraId="147EBF85" w14:textId="2E2709D2" w:rsidR="008D5F87" w:rsidRPr="00DC36FD" w:rsidRDefault="008D5F87" w:rsidP="008D5F87">
      <w:pPr>
        <w:pStyle w:val="BodyTextMain"/>
        <w:rPr>
          <w:lang w:val="en-GB"/>
        </w:rPr>
      </w:pPr>
      <w:r w:rsidRPr="00DC36FD">
        <w:rPr>
          <w:lang w:val="en-GB"/>
        </w:rPr>
        <w:t>The prices of the crop inputs supplied to the farmer varied</w:t>
      </w:r>
      <w:r w:rsidR="00302BA1">
        <w:rPr>
          <w:lang w:val="en-GB"/>
        </w:rPr>
        <w:t>,</w:t>
      </w:r>
      <w:r w:rsidRPr="00DC36FD">
        <w:rPr>
          <w:lang w:val="en-GB"/>
        </w:rPr>
        <w:t xml:space="preserve"> due to </w:t>
      </w:r>
      <w:r w:rsidR="00302BA1">
        <w:rPr>
          <w:lang w:val="en-GB"/>
        </w:rPr>
        <w:t xml:space="preserve">not only </w:t>
      </w:r>
      <w:r w:rsidRPr="00DC36FD">
        <w:rPr>
          <w:lang w:val="en-GB"/>
        </w:rPr>
        <w:t>the changing commodity prices of the inputs but also crop selection. Of the main inputs of seed, fertilizer</w:t>
      </w:r>
      <w:r w:rsidR="00302BA1">
        <w:rPr>
          <w:lang w:val="en-GB"/>
        </w:rPr>
        <w:t>,</w:t>
      </w:r>
      <w:r w:rsidRPr="00DC36FD">
        <w:rPr>
          <w:lang w:val="en-GB"/>
        </w:rPr>
        <w:t xml:space="preserve"> and chemicals, the highest input cost was most often fertilizer. In crop selection, the farmer faced difficult investment decisions</w:t>
      </w:r>
      <w:r w:rsidR="00302BA1">
        <w:rPr>
          <w:lang w:val="en-GB"/>
        </w:rPr>
        <w:t>;</w:t>
      </w:r>
      <w:r w:rsidRPr="00DC36FD">
        <w:rPr>
          <w:lang w:val="en-GB"/>
        </w:rPr>
        <w:t xml:space="preserve"> for example, while canola traditionally realized a higher selling price than wheat, the required seed, fertilizer</w:t>
      </w:r>
      <w:r w:rsidR="00302BA1">
        <w:rPr>
          <w:lang w:val="en-GB"/>
        </w:rPr>
        <w:t>,</w:t>
      </w:r>
      <w:r w:rsidRPr="00DC36FD">
        <w:rPr>
          <w:lang w:val="en-GB"/>
        </w:rPr>
        <w:t xml:space="preserve"> and chemicals costs were also greater for canola.</w:t>
      </w:r>
    </w:p>
    <w:p w14:paraId="5D861919" w14:textId="77777777" w:rsidR="008D5F87" w:rsidRPr="00DC36FD" w:rsidRDefault="008D5F87" w:rsidP="008D5F87">
      <w:pPr>
        <w:pStyle w:val="BodyTextMain"/>
        <w:rPr>
          <w:lang w:val="en-GB"/>
        </w:rPr>
      </w:pPr>
    </w:p>
    <w:p w14:paraId="7C7DAE5E" w14:textId="77777777" w:rsidR="008D5F87" w:rsidRPr="00DC36FD" w:rsidRDefault="008D5F87" w:rsidP="008D5F87">
      <w:pPr>
        <w:pStyle w:val="BodyTextMain"/>
        <w:rPr>
          <w:lang w:val="en-GB"/>
        </w:rPr>
      </w:pPr>
    </w:p>
    <w:p w14:paraId="7C9747A0" w14:textId="77777777" w:rsidR="008D5F87" w:rsidRPr="00DC36FD" w:rsidRDefault="008D5F87" w:rsidP="000D347B">
      <w:pPr>
        <w:pStyle w:val="Casehead2"/>
        <w:rPr>
          <w:lang w:val="en-GB"/>
        </w:rPr>
      </w:pPr>
      <w:r w:rsidRPr="00DC36FD">
        <w:rPr>
          <w:lang w:val="en-GB"/>
        </w:rPr>
        <w:t>From Field to Plate</w:t>
      </w:r>
    </w:p>
    <w:p w14:paraId="52A3D284" w14:textId="77777777" w:rsidR="008D5F87" w:rsidRPr="00DC36FD" w:rsidRDefault="008D5F87" w:rsidP="008D5F87">
      <w:pPr>
        <w:pStyle w:val="BodyTextMain"/>
        <w:rPr>
          <w:lang w:val="en-GB"/>
        </w:rPr>
      </w:pPr>
    </w:p>
    <w:p w14:paraId="71CFE280" w14:textId="68C1A728" w:rsidR="008D5F87" w:rsidRPr="00DC36FD" w:rsidRDefault="008D5F87" w:rsidP="008D5F87">
      <w:pPr>
        <w:pStyle w:val="BodyTextMain"/>
        <w:rPr>
          <w:lang w:val="en-GB"/>
        </w:rPr>
      </w:pPr>
      <w:r w:rsidRPr="00DC36FD">
        <w:rPr>
          <w:lang w:val="en-GB"/>
        </w:rPr>
        <w:t>The marketing of commodities was a vital skill not often associated with farming. Farmers aimed to be low</w:t>
      </w:r>
      <w:r w:rsidR="009D2262">
        <w:rPr>
          <w:lang w:val="en-GB"/>
        </w:rPr>
        <w:t>-</w:t>
      </w:r>
      <w:r w:rsidRPr="00DC36FD">
        <w:rPr>
          <w:lang w:val="en-GB"/>
        </w:rPr>
        <w:t>cost producer</w:t>
      </w:r>
      <w:r w:rsidR="00173337">
        <w:rPr>
          <w:lang w:val="en-GB"/>
        </w:rPr>
        <w:t>s</w:t>
      </w:r>
      <w:r w:rsidRPr="00DC36FD">
        <w:rPr>
          <w:lang w:val="en-GB"/>
        </w:rPr>
        <w:t xml:space="preserve"> but also </w:t>
      </w:r>
      <w:r w:rsidR="009D2262">
        <w:rPr>
          <w:lang w:val="en-GB"/>
        </w:rPr>
        <w:t xml:space="preserve">needed to </w:t>
      </w:r>
      <w:r w:rsidRPr="00DC36FD">
        <w:rPr>
          <w:lang w:val="en-GB"/>
        </w:rPr>
        <w:t>maximize their profitability in commodity sales</w:t>
      </w:r>
      <w:r w:rsidR="009D2262">
        <w:rPr>
          <w:lang w:val="en-GB"/>
        </w:rPr>
        <w:t>,</w:t>
      </w:r>
      <w:r w:rsidRPr="00DC36FD">
        <w:rPr>
          <w:lang w:val="en-GB"/>
        </w:rPr>
        <w:t xml:space="preserve"> where prices were largely determined by global supply and demand. Many modern farmers were skilled in marketing commodities</w:t>
      </w:r>
      <w:r w:rsidR="000D347B" w:rsidRPr="00DC36FD">
        <w:rPr>
          <w:lang w:val="en-GB"/>
        </w:rPr>
        <w:t>,</w:t>
      </w:r>
      <w:r w:rsidRPr="00DC36FD">
        <w:rPr>
          <w:lang w:val="en-GB"/>
        </w:rPr>
        <w:t xml:space="preserve"> </w:t>
      </w:r>
      <w:r w:rsidRPr="00DC36FD">
        <w:rPr>
          <w:lang w:val="en-GB"/>
        </w:rPr>
        <w:lastRenderedPageBreak/>
        <w:t>as crops such as canola, peas</w:t>
      </w:r>
      <w:r w:rsidR="009D2262">
        <w:rPr>
          <w:lang w:val="en-GB"/>
        </w:rPr>
        <w:t>,</w:t>
      </w:r>
      <w:r w:rsidRPr="00DC36FD">
        <w:rPr>
          <w:lang w:val="en-GB"/>
        </w:rPr>
        <w:t xml:space="preserve"> and lentils ha</w:t>
      </w:r>
      <w:r w:rsidR="000D347B" w:rsidRPr="00DC36FD">
        <w:rPr>
          <w:lang w:val="en-GB"/>
        </w:rPr>
        <w:t>d</w:t>
      </w:r>
      <w:r w:rsidRPr="00DC36FD">
        <w:rPr>
          <w:lang w:val="en-GB"/>
        </w:rPr>
        <w:t xml:space="preserve"> been traded in an open market system for decades. The marketing of wheat and barley, however, had recently changed with </w:t>
      </w:r>
      <w:r w:rsidR="000D347B" w:rsidRPr="00DC36FD">
        <w:rPr>
          <w:lang w:val="en-GB"/>
        </w:rPr>
        <w:t xml:space="preserve">the </w:t>
      </w:r>
      <w:r w:rsidRPr="00DC36FD">
        <w:rPr>
          <w:lang w:val="en-GB"/>
        </w:rPr>
        <w:t>dismantling of the Canadian Wheat Board marketing agency in 2012</w:t>
      </w:r>
      <w:r w:rsidR="009D2262">
        <w:rPr>
          <w:lang w:val="en-GB"/>
        </w:rPr>
        <w:t>, which</w:t>
      </w:r>
      <w:r w:rsidRPr="00DC36FD">
        <w:rPr>
          <w:lang w:val="en-GB"/>
        </w:rPr>
        <w:t xml:space="preserve"> paved the way for a free market system that allowed farmers to capitalize on market opportunities but also exposed them to risks. Many farmers argued that </w:t>
      </w:r>
      <w:r w:rsidR="00CF1427">
        <w:rPr>
          <w:lang w:val="en-GB"/>
        </w:rPr>
        <w:t>the Canadian Wheat Board’s</w:t>
      </w:r>
      <w:r w:rsidRPr="00DC36FD">
        <w:rPr>
          <w:lang w:val="en-GB"/>
        </w:rPr>
        <w:t xml:space="preserve"> monopolistic system </w:t>
      </w:r>
      <w:r w:rsidR="00CF1427">
        <w:rPr>
          <w:lang w:val="en-GB"/>
        </w:rPr>
        <w:t xml:space="preserve">had </w:t>
      </w:r>
      <w:r w:rsidRPr="00DC36FD">
        <w:rPr>
          <w:lang w:val="en-GB"/>
        </w:rPr>
        <w:t>limited sales and subsequent price opportunities</w:t>
      </w:r>
      <w:r w:rsidR="009D2262">
        <w:rPr>
          <w:lang w:val="en-GB"/>
        </w:rPr>
        <w:t>,</w:t>
      </w:r>
      <w:r w:rsidRPr="00DC36FD">
        <w:rPr>
          <w:lang w:val="en-GB"/>
        </w:rPr>
        <w:t xml:space="preserve"> while others felt that the pooling system </w:t>
      </w:r>
      <w:r w:rsidR="00CF1427">
        <w:rPr>
          <w:lang w:val="en-GB"/>
        </w:rPr>
        <w:t xml:space="preserve">had </w:t>
      </w:r>
      <w:r w:rsidRPr="00DC36FD">
        <w:rPr>
          <w:lang w:val="en-GB"/>
        </w:rPr>
        <w:t xml:space="preserve">offered the best returns for their commodities. </w:t>
      </w:r>
    </w:p>
    <w:p w14:paraId="13B9A33D" w14:textId="77777777" w:rsidR="002D6A9B" w:rsidRPr="00DC36FD" w:rsidRDefault="002D6A9B" w:rsidP="008D5F87">
      <w:pPr>
        <w:pStyle w:val="BodyTextMain"/>
        <w:rPr>
          <w:lang w:val="en-GB"/>
        </w:rPr>
      </w:pPr>
    </w:p>
    <w:p w14:paraId="2C8343F8" w14:textId="0B5ECA3B" w:rsidR="008D5F87" w:rsidRPr="00DC36FD" w:rsidRDefault="008D5F87" w:rsidP="008D5F87">
      <w:pPr>
        <w:pStyle w:val="BodyTextMain"/>
        <w:rPr>
          <w:lang w:val="en-GB"/>
        </w:rPr>
      </w:pPr>
      <w:r w:rsidRPr="00DC36FD">
        <w:rPr>
          <w:lang w:val="en-GB"/>
        </w:rPr>
        <w:t>Farmers often attempted to reduce production risks and “lock in” prices by forward contracting a specified amount of crop at a minimum quality level and specified price. These contracts could be made using intermediary brokerage agents or directly with distribution processors and terminals. In practice, forward contracting was a useful risk management tool</w:t>
      </w:r>
      <w:r w:rsidR="000D347B" w:rsidRPr="00DC36FD">
        <w:rPr>
          <w:lang w:val="en-GB"/>
        </w:rPr>
        <w:t>,</w:t>
      </w:r>
      <w:r w:rsidRPr="00DC36FD">
        <w:rPr>
          <w:lang w:val="en-GB"/>
        </w:rPr>
        <w:t xml:space="preserve"> but </w:t>
      </w:r>
      <w:r w:rsidR="009D2262" w:rsidRPr="00DC36FD">
        <w:rPr>
          <w:lang w:val="en-GB"/>
        </w:rPr>
        <w:t>if discrepancies arose</w:t>
      </w:r>
      <w:r w:rsidR="009D2262">
        <w:rPr>
          <w:lang w:val="en-GB"/>
        </w:rPr>
        <w:t>,</w:t>
      </w:r>
      <w:r w:rsidR="009D2262" w:rsidRPr="00DC36FD">
        <w:rPr>
          <w:lang w:val="en-GB"/>
        </w:rPr>
        <w:t xml:space="preserve"> </w:t>
      </w:r>
      <w:r w:rsidRPr="00DC36FD">
        <w:rPr>
          <w:lang w:val="en-GB"/>
        </w:rPr>
        <w:t>the agreements c</w:t>
      </w:r>
      <w:r w:rsidR="000D347B" w:rsidRPr="00DC36FD">
        <w:rPr>
          <w:lang w:val="en-GB"/>
        </w:rPr>
        <w:t>ould</w:t>
      </w:r>
      <w:r w:rsidRPr="00DC36FD">
        <w:rPr>
          <w:lang w:val="en-GB"/>
        </w:rPr>
        <w:t xml:space="preserve"> be difficult for individual farmers to enforce with larger processors. Determining the grade of commodities was not an exact science, particularly given the volume of product handled by both farmers and processors. Farmers were always seeking to produce and market the highest-grade commodities possible to capitalize on </w:t>
      </w:r>
      <w:r w:rsidR="009D2262">
        <w:rPr>
          <w:lang w:val="en-GB"/>
        </w:rPr>
        <w:t xml:space="preserve">their </w:t>
      </w:r>
      <w:r w:rsidRPr="00DC36FD">
        <w:rPr>
          <w:lang w:val="en-GB"/>
        </w:rPr>
        <w:t>price potential</w:t>
      </w:r>
      <w:r w:rsidR="009D2262">
        <w:rPr>
          <w:lang w:val="en-GB"/>
        </w:rPr>
        <w:t>,</w:t>
      </w:r>
      <w:r w:rsidRPr="00DC36FD">
        <w:rPr>
          <w:lang w:val="en-GB"/>
        </w:rPr>
        <w:t xml:space="preserve"> while processing and distribution intermediaries were trying to realistically assess </w:t>
      </w:r>
      <w:r w:rsidR="009D2262">
        <w:rPr>
          <w:lang w:val="en-GB"/>
        </w:rPr>
        <w:t xml:space="preserve">the </w:t>
      </w:r>
      <w:r w:rsidRPr="00DC36FD">
        <w:rPr>
          <w:lang w:val="en-GB"/>
        </w:rPr>
        <w:t>grades. Disagreements existed.</w:t>
      </w:r>
      <w:r w:rsidR="00DC36FD" w:rsidRPr="00DC36FD">
        <w:rPr>
          <w:lang w:val="en-GB"/>
        </w:rPr>
        <w:t xml:space="preserve"> </w:t>
      </w:r>
      <w:r w:rsidRPr="00DC36FD">
        <w:rPr>
          <w:lang w:val="en-GB"/>
        </w:rPr>
        <w:t xml:space="preserve">Fluctuations in production, both </w:t>
      </w:r>
      <w:r w:rsidR="000D347B" w:rsidRPr="00DC36FD">
        <w:rPr>
          <w:lang w:val="en-GB"/>
        </w:rPr>
        <w:t>locally and internationally, le</w:t>
      </w:r>
      <w:r w:rsidRPr="00DC36FD">
        <w:rPr>
          <w:lang w:val="en-GB"/>
        </w:rPr>
        <w:t>d to a wide variation in the price per bushel of crops produced (see Exhibit 1).</w:t>
      </w:r>
    </w:p>
    <w:p w14:paraId="42D3552A" w14:textId="77777777" w:rsidR="008D5F87" w:rsidRPr="00DC36FD" w:rsidRDefault="008D5F87" w:rsidP="008D5F87">
      <w:pPr>
        <w:pStyle w:val="BodyTextMain"/>
        <w:rPr>
          <w:lang w:val="en-GB"/>
        </w:rPr>
      </w:pPr>
    </w:p>
    <w:p w14:paraId="4076FE74" w14:textId="4E80EFE8" w:rsidR="008D5F87" w:rsidRPr="00DC36FD" w:rsidRDefault="008D5F87" w:rsidP="008D5F87">
      <w:pPr>
        <w:pStyle w:val="BodyTextMain"/>
        <w:rPr>
          <w:lang w:val="en-GB"/>
        </w:rPr>
      </w:pPr>
      <w:r w:rsidRPr="00DC36FD">
        <w:rPr>
          <w:lang w:val="en-GB"/>
        </w:rPr>
        <w:t xml:space="preserve">As was the case with the production and marketing of all commodities, differentiation of the final product was difficult. Farmers regularly sought means to make their products more appealing to processing intermediaries and final consumers alike. Some means of differentiation included </w:t>
      </w:r>
      <w:r w:rsidR="009D2262" w:rsidRPr="00DC36FD">
        <w:rPr>
          <w:lang w:val="en-GB"/>
        </w:rPr>
        <w:t>attaining premium</w:t>
      </w:r>
      <w:r w:rsidR="009D2262">
        <w:rPr>
          <w:lang w:val="en-GB"/>
        </w:rPr>
        <w:t>-</w:t>
      </w:r>
      <w:r w:rsidR="009D2262" w:rsidRPr="00DC36FD">
        <w:rPr>
          <w:lang w:val="en-GB"/>
        </w:rPr>
        <w:t xml:space="preserve">grade quality </w:t>
      </w:r>
      <w:r w:rsidR="009D2262">
        <w:rPr>
          <w:lang w:val="en-GB"/>
        </w:rPr>
        <w:t xml:space="preserve">crops or </w:t>
      </w:r>
      <w:r w:rsidRPr="00DC36FD">
        <w:rPr>
          <w:lang w:val="en-GB"/>
        </w:rPr>
        <w:t xml:space="preserve">producing new crops and crop varieties </w:t>
      </w:r>
      <w:r w:rsidR="009D2262">
        <w:rPr>
          <w:lang w:val="en-GB"/>
        </w:rPr>
        <w:t>that had</w:t>
      </w:r>
      <w:r w:rsidR="009D2262" w:rsidRPr="00DC36FD">
        <w:rPr>
          <w:lang w:val="en-GB"/>
        </w:rPr>
        <w:t xml:space="preserve"> </w:t>
      </w:r>
      <w:r w:rsidRPr="00DC36FD">
        <w:rPr>
          <w:lang w:val="en-GB"/>
        </w:rPr>
        <w:t>characteristics desired by consumers.</w:t>
      </w:r>
      <w:r w:rsidR="00DC36FD" w:rsidRPr="00DC36FD">
        <w:rPr>
          <w:lang w:val="en-GB"/>
        </w:rPr>
        <w:t xml:space="preserve"> </w:t>
      </w:r>
      <w:r w:rsidRPr="00DC36FD">
        <w:rPr>
          <w:lang w:val="en-GB"/>
        </w:rPr>
        <w:t>The organic movement</w:t>
      </w:r>
      <w:r w:rsidR="009D2262">
        <w:rPr>
          <w:lang w:val="en-GB"/>
        </w:rPr>
        <w:t>,</w:t>
      </w:r>
      <w:r w:rsidRPr="00DC36FD">
        <w:rPr>
          <w:lang w:val="en-GB"/>
        </w:rPr>
        <w:t xml:space="preserve"> </w:t>
      </w:r>
      <w:r w:rsidR="009D2262">
        <w:rPr>
          <w:lang w:val="en-GB"/>
        </w:rPr>
        <w:t xml:space="preserve">which </w:t>
      </w:r>
      <w:r w:rsidRPr="00DC36FD">
        <w:rPr>
          <w:lang w:val="en-GB"/>
        </w:rPr>
        <w:t>had resonated with end</w:t>
      </w:r>
      <w:r w:rsidR="009D2262">
        <w:rPr>
          <w:lang w:val="en-GB"/>
        </w:rPr>
        <w:t>-</w:t>
      </w:r>
      <w:r w:rsidRPr="00DC36FD">
        <w:rPr>
          <w:lang w:val="en-GB"/>
        </w:rPr>
        <w:t>consumers in recent years</w:t>
      </w:r>
      <w:r w:rsidR="009D2262">
        <w:rPr>
          <w:lang w:val="en-GB"/>
        </w:rPr>
        <w:t>,</w:t>
      </w:r>
      <w:r w:rsidRPr="00DC36FD">
        <w:rPr>
          <w:lang w:val="en-GB"/>
        </w:rPr>
        <w:t xml:space="preserve"> could yield price premiums for producers</w:t>
      </w:r>
      <w:r w:rsidR="009D2262">
        <w:rPr>
          <w:lang w:val="en-GB"/>
        </w:rPr>
        <w:t>,</w:t>
      </w:r>
      <w:r w:rsidRPr="00DC36FD">
        <w:rPr>
          <w:lang w:val="en-GB"/>
        </w:rPr>
        <w:t xml:space="preserve"> but much misinformation persisted</w:t>
      </w:r>
      <w:r w:rsidR="009D2262">
        <w:rPr>
          <w:lang w:val="en-GB"/>
        </w:rPr>
        <w:t>,</w:t>
      </w:r>
      <w:r w:rsidRPr="00DC36FD">
        <w:rPr>
          <w:lang w:val="en-GB"/>
        </w:rPr>
        <w:t xml:space="preserve"> and many farmers questioned the profitability and land use of organic production. </w:t>
      </w:r>
    </w:p>
    <w:p w14:paraId="300C8BF2" w14:textId="77777777" w:rsidR="008D5F87" w:rsidRPr="00DC36FD" w:rsidRDefault="008D5F87" w:rsidP="008D5F87">
      <w:pPr>
        <w:pStyle w:val="BodyTextMain"/>
        <w:rPr>
          <w:lang w:val="en-GB"/>
        </w:rPr>
      </w:pPr>
    </w:p>
    <w:p w14:paraId="6C619AA7" w14:textId="4E8DF3C5" w:rsidR="008D5F87" w:rsidRPr="00DE040F" w:rsidRDefault="008D5F87" w:rsidP="008D5F87">
      <w:pPr>
        <w:pStyle w:val="BodyTextMain"/>
        <w:rPr>
          <w:spacing w:val="-2"/>
          <w:lang w:val="en-GB"/>
        </w:rPr>
      </w:pPr>
      <w:r w:rsidRPr="00DE040F">
        <w:rPr>
          <w:spacing w:val="-2"/>
          <w:lang w:val="en-GB"/>
        </w:rPr>
        <w:t xml:space="preserve">Upon completion of harvest, farmers delivered their commodities to </w:t>
      </w:r>
      <w:r w:rsidR="009D2262" w:rsidRPr="00DE040F">
        <w:rPr>
          <w:spacing w:val="-2"/>
          <w:lang w:val="en-GB"/>
        </w:rPr>
        <w:t>several</w:t>
      </w:r>
      <w:r w:rsidRPr="00DE040F">
        <w:rPr>
          <w:spacing w:val="-2"/>
          <w:lang w:val="en-GB"/>
        </w:rPr>
        <w:t xml:space="preserve"> inland terminals and processors. Some farmer</w:t>
      </w:r>
      <w:r w:rsidR="009D2262" w:rsidRPr="00DE040F">
        <w:rPr>
          <w:spacing w:val="-2"/>
          <w:lang w:val="en-GB"/>
        </w:rPr>
        <w:t>-</w:t>
      </w:r>
      <w:r w:rsidRPr="00DE040F">
        <w:rPr>
          <w:spacing w:val="-2"/>
          <w:lang w:val="en-GB"/>
        </w:rPr>
        <w:t>owned co</w:t>
      </w:r>
      <w:r w:rsidR="009D2262" w:rsidRPr="00DE040F">
        <w:rPr>
          <w:spacing w:val="-2"/>
          <w:lang w:val="en-GB"/>
        </w:rPr>
        <w:t>-</w:t>
      </w:r>
      <w:r w:rsidRPr="00DE040F">
        <w:rPr>
          <w:spacing w:val="-2"/>
          <w:lang w:val="en-GB"/>
        </w:rPr>
        <w:t>operatives and independent intermediaries existed, particularly in the processing of pulse crops such as peas and lentils</w:t>
      </w:r>
      <w:r w:rsidR="000D347B" w:rsidRPr="00DE040F">
        <w:rPr>
          <w:spacing w:val="-2"/>
          <w:lang w:val="en-GB"/>
        </w:rPr>
        <w:t>,</w:t>
      </w:r>
      <w:r w:rsidRPr="00DE040F">
        <w:rPr>
          <w:spacing w:val="-2"/>
          <w:lang w:val="en-GB"/>
        </w:rPr>
        <w:t xml:space="preserve"> but much of the processing capacity was also held by a few large, multinational agriculture corporations such as Cargill </w:t>
      </w:r>
      <w:r w:rsidR="001A33A3">
        <w:rPr>
          <w:spacing w:val="-2"/>
          <w:lang w:val="en-GB"/>
        </w:rPr>
        <w:t xml:space="preserve">Inc. </w:t>
      </w:r>
      <w:r w:rsidRPr="00DE040F">
        <w:rPr>
          <w:spacing w:val="-2"/>
          <w:lang w:val="en-GB"/>
        </w:rPr>
        <w:t>and Viterra</w:t>
      </w:r>
      <w:r w:rsidR="001A33A3">
        <w:rPr>
          <w:spacing w:val="-2"/>
          <w:lang w:val="en-GB"/>
        </w:rPr>
        <w:t xml:space="preserve"> Inc.</w:t>
      </w:r>
      <w:r w:rsidRPr="00DE040F">
        <w:rPr>
          <w:spacing w:val="-2"/>
          <w:lang w:val="en-GB"/>
        </w:rPr>
        <w:t xml:space="preserve">, many of </w:t>
      </w:r>
      <w:r w:rsidR="00F90686" w:rsidRPr="00DE040F">
        <w:rPr>
          <w:spacing w:val="-2"/>
          <w:lang w:val="en-GB"/>
        </w:rPr>
        <w:t xml:space="preserve">which </w:t>
      </w:r>
      <w:r w:rsidRPr="00DE040F">
        <w:rPr>
          <w:spacing w:val="-2"/>
          <w:lang w:val="en-GB"/>
        </w:rPr>
        <w:t>also supplied the inputs and agronomy services used by farmers. The iconic image of the small</w:t>
      </w:r>
      <w:r w:rsidR="00F90686" w:rsidRPr="00DE040F">
        <w:rPr>
          <w:spacing w:val="-2"/>
          <w:lang w:val="en-GB"/>
        </w:rPr>
        <w:t>-</w:t>
      </w:r>
      <w:r w:rsidRPr="00DE040F">
        <w:rPr>
          <w:spacing w:val="-2"/>
          <w:lang w:val="en-GB"/>
        </w:rPr>
        <w:t>town prairie grain elevator had all but disappeared to make way for more modern and efficient grain terminals. These large terminals were strategically located in the province to reduce the rail infrastructure needed to move the commodities to shipping ports in Vancouver, Churchill, Thunder Bay</w:t>
      </w:r>
      <w:r w:rsidR="00F90686" w:rsidRPr="00DE040F">
        <w:rPr>
          <w:spacing w:val="-2"/>
          <w:lang w:val="en-GB"/>
        </w:rPr>
        <w:t>,</w:t>
      </w:r>
      <w:r w:rsidRPr="00DE040F">
        <w:rPr>
          <w:spacing w:val="-2"/>
          <w:lang w:val="en-GB"/>
        </w:rPr>
        <w:t xml:space="preserve"> and the St. Lawrence River. The consolidation of the inland terminals meant that more grain was transported from country farms to terminals via roadways with truck and trailer. The rail system was an oligopoly dominated by </w:t>
      </w:r>
      <w:r w:rsidR="00DE040F" w:rsidRPr="00DE040F">
        <w:rPr>
          <w:spacing w:val="-2"/>
          <w:lang w:val="en-GB"/>
        </w:rPr>
        <w:t xml:space="preserve">the </w:t>
      </w:r>
      <w:r w:rsidRPr="00DE040F">
        <w:rPr>
          <w:spacing w:val="-2"/>
          <w:lang w:val="en-GB"/>
        </w:rPr>
        <w:t>C</w:t>
      </w:r>
      <w:r w:rsidR="00AA2E4E" w:rsidRPr="00DE040F">
        <w:rPr>
          <w:spacing w:val="-2"/>
          <w:lang w:val="en-GB"/>
        </w:rPr>
        <w:t xml:space="preserve">anadian </w:t>
      </w:r>
      <w:r w:rsidRPr="00DE040F">
        <w:rPr>
          <w:spacing w:val="-2"/>
          <w:lang w:val="en-GB"/>
        </w:rPr>
        <w:t>N</w:t>
      </w:r>
      <w:r w:rsidR="00AA2E4E" w:rsidRPr="00DE040F">
        <w:rPr>
          <w:spacing w:val="-2"/>
          <w:lang w:val="en-GB"/>
        </w:rPr>
        <w:t>ational Railway</w:t>
      </w:r>
      <w:r w:rsidRPr="00DE040F">
        <w:rPr>
          <w:spacing w:val="-2"/>
          <w:lang w:val="en-GB"/>
        </w:rPr>
        <w:t xml:space="preserve"> and </w:t>
      </w:r>
      <w:r w:rsidR="00DE040F" w:rsidRPr="00DE040F">
        <w:rPr>
          <w:spacing w:val="-2"/>
          <w:lang w:val="en-GB"/>
        </w:rPr>
        <w:t xml:space="preserve">the </w:t>
      </w:r>
      <w:r w:rsidRPr="00DE040F">
        <w:rPr>
          <w:spacing w:val="-2"/>
          <w:lang w:val="en-GB"/>
        </w:rPr>
        <w:t>C</w:t>
      </w:r>
      <w:r w:rsidR="00AA2E4E" w:rsidRPr="00DE040F">
        <w:rPr>
          <w:spacing w:val="-2"/>
          <w:lang w:val="en-GB"/>
        </w:rPr>
        <w:t xml:space="preserve">anadian </w:t>
      </w:r>
      <w:r w:rsidRPr="00DE040F">
        <w:rPr>
          <w:spacing w:val="-2"/>
          <w:lang w:val="en-GB"/>
        </w:rPr>
        <w:t>P</w:t>
      </w:r>
      <w:r w:rsidR="00AA2E4E" w:rsidRPr="00DE040F">
        <w:rPr>
          <w:spacing w:val="-2"/>
          <w:lang w:val="en-GB"/>
        </w:rPr>
        <w:t>acific</w:t>
      </w:r>
      <w:r w:rsidRPr="00DE040F">
        <w:rPr>
          <w:spacing w:val="-2"/>
          <w:lang w:val="en-GB"/>
        </w:rPr>
        <w:t xml:space="preserve"> Rail</w:t>
      </w:r>
      <w:r w:rsidR="00AA2E4E" w:rsidRPr="00DE040F">
        <w:rPr>
          <w:spacing w:val="-2"/>
          <w:lang w:val="en-GB"/>
        </w:rPr>
        <w:t>way</w:t>
      </w:r>
      <w:r w:rsidR="00F90686" w:rsidRPr="00DE040F">
        <w:rPr>
          <w:spacing w:val="-2"/>
          <w:lang w:val="en-GB"/>
        </w:rPr>
        <w:t>,</w:t>
      </w:r>
      <w:r w:rsidRPr="00DE040F">
        <w:rPr>
          <w:spacing w:val="-2"/>
          <w:lang w:val="en-GB"/>
        </w:rPr>
        <w:t xml:space="preserve"> and the scheduling of grain cars could be problematic</w:t>
      </w:r>
      <w:r w:rsidR="00F90686" w:rsidRPr="00DE040F">
        <w:rPr>
          <w:spacing w:val="-2"/>
          <w:lang w:val="en-GB"/>
        </w:rPr>
        <w:t>,</w:t>
      </w:r>
      <w:r w:rsidRPr="00DE040F">
        <w:rPr>
          <w:spacing w:val="-2"/>
          <w:lang w:val="en-GB"/>
        </w:rPr>
        <w:t xml:space="preserve"> resulting in the terminals becoming filled to capacity and forcing farmers to invest in grain storage while also straining </w:t>
      </w:r>
      <w:r w:rsidR="00F90686" w:rsidRPr="00DE040F">
        <w:rPr>
          <w:spacing w:val="-2"/>
          <w:lang w:val="en-GB"/>
        </w:rPr>
        <w:t xml:space="preserve">their </w:t>
      </w:r>
      <w:r w:rsidRPr="00DE040F">
        <w:rPr>
          <w:spacing w:val="-2"/>
          <w:lang w:val="en-GB"/>
        </w:rPr>
        <w:t>cash flow.</w:t>
      </w:r>
      <w:r w:rsidRPr="00DE040F">
        <w:rPr>
          <w:rStyle w:val="FootnoteReference"/>
          <w:spacing w:val="-2"/>
          <w:lang w:val="en-GB"/>
        </w:rPr>
        <w:footnoteReference w:id="5"/>
      </w:r>
    </w:p>
    <w:p w14:paraId="7776ED67" w14:textId="77777777" w:rsidR="008D5F87" w:rsidRPr="00DC36FD" w:rsidRDefault="008D5F87" w:rsidP="008D5F87">
      <w:pPr>
        <w:pStyle w:val="BodyTextMain"/>
        <w:rPr>
          <w:lang w:val="en-GB"/>
        </w:rPr>
      </w:pPr>
    </w:p>
    <w:p w14:paraId="287E889F" w14:textId="764E52B5" w:rsidR="008D5F87" w:rsidRDefault="008D5F87" w:rsidP="008D5F87">
      <w:pPr>
        <w:pStyle w:val="BodyTextMain"/>
        <w:rPr>
          <w:lang w:val="en-GB"/>
        </w:rPr>
      </w:pPr>
      <w:r w:rsidRPr="00DC36FD">
        <w:rPr>
          <w:lang w:val="en-GB"/>
        </w:rPr>
        <w:t>The final market for commodities varied from year to year</w:t>
      </w:r>
      <w:r w:rsidR="00F90686">
        <w:rPr>
          <w:lang w:val="en-GB"/>
        </w:rPr>
        <w:t>,</w:t>
      </w:r>
      <w:r w:rsidRPr="00DC36FD">
        <w:rPr>
          <w:lang w:val="en-GB"/>
        </w:rPr>
        <w:t xml:space="preserve"> and new markets were emerging.</w:t>
      </w:r>
      <w:r w:rsidR="00DC36FD" w:rsidRPr="00DC36FD">
        <w:rPr>
          <w:lang w:val="en-GB"/>
        </w:rPr>
        <w:t xml:space="preserve"> </w:t>
      </w:r>
      <w:r w:rsidRPr="00DC36FD">
        <w:rPr>
          <w:lang w:val="en-GB"/>
        </w:rPr>
        <w:t xml:space="preserve">While some of the canola was used locally in crushing plants to create canola oil and meal, Canada exported </w:t>
      </w:r>
      <w:r w:rsidR="00F90686">
        <w:rPr>
          <w:lang w:val="en-GB"/>
        </w:rPr>
        <w:t>approximately</w:t>
      </w:r>
      <w:r w:rsidR="00F90686" w:rsidRPr="00DC36FD">
        <w:rPr>
          <w:lang w:val="en-GB"/>
        </w:rPr>
        <w:t xml:space="preserve"> </w:t>
      </w:r>
      <w:r w:rsidRPr="00DC36FD">
        <w:rPr>
          <w:lang w:val="en-GB"/>
        </w:rPr>
        <w:t>90</w:t>
      </w:r>
      <w:r w:rsidR="00F90686">
        <w:rPr>
          <w:lang w:val="en-GB"/>
        </w:rPr>
        <w:t xml:space="preserve"> per cent</w:t>
      </w:r>
      <w:r w:rsidRPr="00DC36FD">
        <w:rPr>
          <w:lang w:val="en-GB"/>
        </w:rPr>
        <w:t xml:space="preserve"> of the canola produced nationwide. Key canola markets included the United States, Mexico, </w:t>
      </w:r>
      <w:r w:rsidR="00F90686">
        <w:rPr>
          <w:lang w:val="en-GB"/>
        </w:rPr>
        <w:t xml:space="preserve">and </w:t>
      </w:r>
      <w:r w:rsidRPr="00DC36FD">
        <w:rPr>
          <w:lang w:val="en-GB"/>
        </w:rPr>
        <w:t>the European Union for biodiesel development</w:t>
      </w:r>
      <w:r w:rsidR="000D347B" w:rsidRPr="00DC36FD">
        <w:rPr>
          <w:lang w:val="en-GB"/>
        </w:rPr>
        <w:t>,</w:t>
      </w:r>
      <w:r w:rsidRPr="00DC36FD">
        <w:rPr>
          <w:lang w:val="en-GB"/>
        </w:rPr>
        <w:t xml:space="preserve"> and China and Japan </w:t>
      </w:r>
      <w:r w:rsidR="00DE3787">
        <w:rPr>
          <w:lang w:val="en-GB"/>
        </w:rPr>
        <w:t>for</w:t>
      </w:r>
      <w:r w:rsidR="00DE3787" w:rsidRPr="00DC36FD">
        <w:rPr>
          <w:lang w:val="en-GB"/>
        </w:rPr>
        <w:t xml:space="preserve"> </w:t>
      </w:r>
      <w:r w:rsidRPr="00DC36FD">
        <w:rPr>
          <w:lang w:val="en-GB"/>
        </w:rPr>
        <w:t>edible oil. Peas were generally used for human consumption in regions such as India, Bangladesh</w:t>
      </w:r>
      <w:r w:rsidR="00F90686">
        <w:rPr>
          <w:lang w:val="en-GB"/>
        </w:rPr>
        <w:t>,</w:t>
      </w:r>
      <w:r w:rsidRPr="00DC36FD">
        <w:rPr>
          <w:lang w:val="en-GB"/>
        </w:rPr>
        <w:t xml:space="preserve"> and China. Wheat was Canada’s most significant grain export </w:t>
      </w:r>
      <w:r w:rsidR="00F90686">
        <w:rPr>
          <w:lang w:val="en-GB"/>
        </w:rPr>
        <w:t>to</w:t>
      </w:r>
      <w:r w:rsidR="00F90686" w:rsidRPr="00DC36FD">
        <w:rPr>
          <w:lang w:val="en-GB"/>
        </w:rPr>
        <w:t xml:space="preserve"> </w:t>
      </w:r>
      <w:r w:rsidR="006F75EE">
        <w:rPr>
          <w:lang w:val="en-GB"/>
        </w:rPr>
        <w:t xml:space="preserve">some </w:t>
      </w:r>
      <w:r w:rsidRPr="00DC36FD">
        <w:rPr>
          <w:lang w:val="en-GB"/>
        </w:rPr>
        <w:t xml:space="preserve">major import markets in the Western Hemisphere </w:t>
      </w:r>
      <w:r w:rsidRPr="00DC36FD">
        <w:rPr>
          <w:lang w:val="en-GB"/>
        </w:rPr>
        <w:lastRenderedPageBreak/>
        <w:t xml:space="preserve">(United States, Mexico, Colombia, </w:t>
      </w:r>
      <w:r w:rsidR="00F90686">
        <w:rPr>
          <w:lang w:val="en-GB"/>
        </w:rPr>
        <w:t xml:space="preserve">and </w:t>
      </w:r>
      <w:r w:rsidRPr="00DC36FD">
        <w:rPr>
          <w:lang w:val="en-GB"/>
        </w:rPr>
        <w:t xml:space="preserve">Peru), Europe, Asia (Indonesia, China, </w:t>
      </w:r>
      <w:r w:rsidR="00CD09C6">
        <w:rPr>
          <w:lang w:val="en-GB"/>
        </w:rPr>
        <w:t xml:space="preserve">and </w:t>
      </w:r>
      <w:r w:rsidRPr="00DC36FD">
        <w:rPr>
          <w:lang w:val="en-GB"/>
        </w:rPr>
        <w:t>Bangladesh)</w:t>
      </w:r>
      <w:r w:rsidR="000D347B" w:rsidRPr="00DC36FD">
        <w:rPr>
          <w:lang w:val="en-GB"/>
        </w:rPr>
        <w:t>,</w:t>
      </w:r>
      <w:r w:rsidRPr="00DC36FD">
        <w:rPr>
          <w:lang w:val="en-GB"/>
        </w:rPr>
        <w:t xml:space="preserve"> and Africa (Nigeria).</w:t>
      </w:r>
      <w:r w:rsidRPr="00DC36FD">
        <w:rPr>
          <w:rStyle w:val="FootnoteReference"/>
          <w:lang w:val="en-GB"/>
        </w:rPr>
        <w:footnoteReference w:id="6"/>
      </w:r>
      <w:r w:rsidRPr="00DC36FD">
        <w:rPr>
          <w:lang w:val="en-GB"/>
        </w:rPr>
        <w:t xml:space="preserve"> </w:t>
      </w:r>
    </w:p>
    <w:p w14:paraId="35C7E66F" w14:textId="77777777" w:rsidR="00CD09C6" w:rsidRDefault="00CD09C6" w:rsidP="008D5F87">
      <w:pPr>
        <w:pStyle w:val="BodyTextMain"/>
        <w:rPr>
          <w:lang w:val="en-GB"/>
        </w:rPr>
      </w:pPr>
    </w:p>
    <w:p w14:paraId="6F29EF90" w14:textId="77777777" w:rsidR="00CD09C6" w:rsidRPr="00DC36FD" w:rsidRDefault="00CD09C6" w:rsidP="008D5F87">
      <w:pPr>
        <w:pStyle w:val="BodyTextMain"/>
        <w:rPr>
          <w:lang w:val="en-GB"/>
        </w:rPr>
      </w:pPr>
    </w:p>
    <w:p w14:paraId="78B58898" w14:textId="77777777" w:rsidR="008D5F87" w:rsidRPr="00DC36FD" w:rsidRDefault="008D5F87" w:rsidP="000D347B">
      <w:pPr>
        <w:pStyle w:val="Casehead2"/>
        <w:rPr>
          <w:lang w:val="en-GB"/>
        </w:rPr>
      </w:pPr>
      <w:r w:rsidRPr="00DC36FD">
        <w:rPr>
          <w:lang w:val="en-GB"/>
        </w:rPr>
        <w:t>Weather and Pests</w:t>
      </w:r>
    </w:p>
    <w:p w14:paraId="674621B5" w14:textId="77777777" w:rsidR="008D5F87" w:rsidRPr="00DC36FD" w:rsidRDefault="008D5F87" w:rsidP="008D5F87">
      <w:pPr>
        <w:pStyle w:val="BodyTextMain"/>
        <w:rPr>
          <w:lang w:val="en-GB"/>
        </w:rPr>
      </w:pPr>
    </w:p>
    <w:p w14:paraId="08880B94" w14:textId="093E3719" w:rsidR="008D5F87" w:rsidRPr="00DC36FD" w:rsidRDefault="00AA0158" w:rsidP="008D5F87">
      <w:pPr>
        <w:pStyle w:val="BodyTextMain"/>
        <w:rPr>
          <w:lang w:val="en-GB"/>
        </w:rPr>
      </w:pPr>
      <w:r>
        <w:rPr>
          <w:lang w:val="en-GB"/>
        </w:rPr>
        <w:t>A</w:t>
      </w:r>
      <w:r w:rsidR="008D5F87" w:rsidRPr="00DC36FD">
        <w:rPr>
          <w:lang w:val="en-GB"/>
        </w:rPr>
        <w:t xml:space="preserve"> number of exogenous variables influenced agriculture, </w:t>
      </w:r>
      <w:r w:rsidR="00E967CC">
        <w:rPr>
          <w:lang w:val="en-GB"/>
        </w:rPr>
        <w:t xml:space="preserve">but </w:t>
      </w:r>
      <w:r w:rsidR="008D5F87" w:rsidRPr="00DC36FD">
        <w:rPr>
          <w:lang w:val="en-GB"/>
        </w:rPr>
        <w:t xml:space="preserve">perhaps none </w:t>
      </w:r>
      <w:r w:rsidR="00BC65A0">
        <w:rPr>
          <w:lang w:val="en-GB"/>
        </w:rPr>
        <w:t>was</w:t>
      </w:r>
      <w:r w:rsidR="00BC65A0" w:rsidRPr="00DC36FD">
        <w:rPr>
          <w:lang w:val="en-GB"/>
        </w:rPr>
        <w:t xml:space="preserve"> </w:t>
      </w:r>
      <w:r w:rsidR="008D5F87" w:rsidRPr="00DC36FD">
        <w:rPr>
          <w:lang w:val="en-GB"/>
        </w:rPr>
        <w:t xml:space="preserve">more impactful than weather conditions. Producers </w:t>
      </w:r>
      <w:r w:rsidR="00BC65A0">
        <w:rPr>
          <w:lang w:val="en-GB"/>
        </w:rPr>
        <w:t>needed</w:t>
      </w:r>
      <w:r w:rsidR="00BC65A0" w:rsidRPr="00DC36FD">
        <w:rPr>
          <w:lang w:val="en-GB"/>
        </w:rPr>
        <w:t xml:space="preserve"> </w:t>
      </w:r>
      <w:r w:rsidR="000D347B" w:rsidRPr="00DC36FD">
        <w:rPr>
          <w:lang w:val="en-GB"/>
        </w:rPr>
        <w:t>to</w:t>
      </w:r>
      <w:r w:rsidR="008D5F87" w:rsidRPr="00DC36FD">
        <w:rPr>
          <w:lang w:val="en-GB"/>
        </w:rPr>
        <w:t xml:space="preserve"> regularly contend with </w:t>
      </w:r>
      <w:r w:rsidR="004871B9">
        <w:rPr>
          <w:lang w:val="en-GB"/>
        </w:rPr>
        <w:t>weather-related</w:t>
      </w:r>
      <w:r w:rsidR="008D5F87" w:rsidRPr="00DC36FD">
        <w:rPr>
          <w:lang w:val="en-GB"/>
        </w:rPr>
        <w:t xml:space="preserve"> factors such as excessive rain or drought, damaging winds, hail</w:t>
      </w:r>
      <w:r w:rsidR="00BC65A0">
        <w:rPr>
          <w:lang w:val="en-GB"/>
        </w:rPr>
        <w:t>,</w:t>
      </w:r>
      <w:r w:rsidR="008D5F87" w:rsidRPr="00DC36FD">
        <w:rPr>
          <w:lang w:val="en-GB"/>
        </w:rPr>
        <w:t xml:space="preserve"> and extremes in temperature (heat and frost). Farmers attempted to mitigate weather risks through insurance, crop rotation, production contracts</w:t>
      </w:r>
      <w:r w:rsidR="00BC65A0">
        <w:rPr>
          <w:lang w:val="en-GB"/>
        </w:rPr>
        <w:t>,</w:t>
      </w:r>
      <w:r w:rsidR="008D5F87" w:rsidRPr="00DC36FD">
        <w:rPr>
          <w:lang w:val="en-GB"/>
        </w:rPr>
        <w:t xml:space="preserve"> and plant varieties but uncertainty persisted. Furthermore, some scientists and interest groups were concerned that weather conditions were becoming unpredictable</w:t>
      </w:r>
      <w:r w:rsidR="00BC65A0">
        <w:rPr>
          <w:lang w:val="en-GB"/>
        </w:rPr>
        <w:t>,</w:t>
      </w:r>
      <w:r w:rsidR="008D5F87" w:rsidRPr="00DC36FD">
        <w:rPr>
          <w:lang w:val="en-GB"/>
        </w:rPr>
        <w:t xml:space="preserve"> given the influence of global climate change. </w:t>
      </w:r>
    </w:p>
    <w:p w14:paraId="6630D2AD" w14:textId="77777777" w:rsidR="008D5F87" w:rsidRPr="00DC36FD" w:rsidRDefault="008D5F87" w:rsidP="008D5F87">
      <w:pPr>
        <w:pStyle w:val="BodyTextMain"/>
        <w:rPr>
          <w:lang w:val="en-GB"/>
        </w:rPr>
      </w:pPr>
    </w:p>
    <w:p w14:paraId="7A0F339A" w14:textId="501C4618" w:rsidR="008D5F87" w:rsidRPr="00CD09C6" w:rsidRDefault="008D5F87" w:rsidP="008D5F87">
      <w:pPr>
        <w:pStyle w:val="BodyTextMain"/>
        <w:rPr>
          <w:spacing w:val="-4"/>
          <w:lang w:val="en-GB"/>
        </w:rPr>
      </w:pPr>
      <w:r w:rsidRPr="00CD09C6">
        <w:rPr>
          <w:spacing w:val="-4"/>
          <w:lang w:val="en-GB"/>
        </w:rPr>
        <w:t>In addition to weather variables, farmers needed to regularly monitor and control yield-robbing pest pressures in the form of weeds, disease, fungi</w:t>
      </w:r>
      <w:r w:rsidR="00BC65A0" w:rsidRPr="00CD09C6">
        <w:rPr>
          <w:spacing w:val="-4"/>
          <w:lang w:val="en-GB"/>
        </w:rPr>
        <w:t>,</w:t>
      </w:r>
      <w:r w:rsidRPr="00CD09C6">
        <w:rPr>
          <w:spacing w:val="-4"/>
          <w:lang w:val="en-GB"/>
        </w:rPr>
        <w:t xml:space="preserve"> and insects. Modern producers had long relied on herbicides and pesticides as effective means to control these pests. The use of herbicides had increased in recent years as farmers adopt</w:t>
      </w:r>
      <w:r w:rsidR="00636E07" w:rsidRPr="00CD09C6">
        <w:rPr>
          <w:spacing w:val="-4"/>
          <w:lang w:val="en-GB"/>
        </w:rPr>
        <w:t>ed</w:t>
      </w:r>
      <w:r w:rsidRPr="00CD09C6">
        <w:rPr>
          <w:spacing w:val="-4"/>
          <w:lang w:val="en-GB"/>
        </w:rPr>
        <w:t xml:space="preserve"> a “zero-till” approach in an effort to capitalize on valuable soil moisture and nutrients that traditional tillage methods released into the atmosphere. Modern herbicides were much more effective in controlling pests </w:t>
      </w:r>
      <w:r w:rsidR="00BC65A0" w:rsidRPr="00CD09C6">
        <w:rPr>
          <w:spacing w:val="-4"/>
          <w:lang w:val="en-GB"/>
        </w:rPr>
        <w:t xml:space="preserve">and led to fewer </w:t>
      </w:r>
      <w:r w:rsidRPr="00CD09C6">
        <w:rPr>
          <w:spacing w:val="-4"/>
          <w:lang w:val="en-GB"/>
        </w:rPr>
        <w:t xml:space="preserve">health and safety concerns; still, some interest groups were concerned about </w:t>
      </w:r>
      <w:r w:rsidR="00BC65A0" w:rsidRPr="00CD09C6">
        <w:rPr>
          <w:spacing w:val="-4"/>
          <w:lang w:val="en-GB"/>
        </w:rPr>
        <w:t xml:space="preserve">herbicides’ </w:t>
      </w:r>
      <w:r w:rsidRPr="00CD09C6">
        <w:rPr>
          <w:spacing w:val="-4"/>
          <w:lang w:val="en-GB"/>
        </w:rPr>
        <w:t>long-term ecological impacts.</w:t>
      </w:r>
      <w:r w:rsidR="00DC36FD" w:rsidRPr="00CD09C6">
        <w:rPr>
          <w:spacing w:val="-4"/>
          <w:lang w:val="en-GB"/>
        </w:rPr>
        <w:t xml:space="preserve"> </w:t>
      </w:r>
      <w:r w:rsidRPr="00CD09C6">
        <w:rPr>
          <w:spacing w:val="-4"/>
          <w:lang w:val="en-GB"/>
        </w:rPr>
        <w:t>The impact of weather and pests resulted in variations in production yields (see Exhibit 2).</w:t>
      </w:r>
    </w:p>
    <w:p w14:paraId="343B8558" w14:textId="77777777" w:rsidR="008D5F87" w:rsidRPr="00DC36FD" w:rsidRDefault="008D5F87" w:rsidP="008D5F87">
      <w:pPr>
        <w:pStyle w:val="BodyTextMain"/>
        <w:rPr>
          <w:lang w:val="en-GB"/>
        </w:rPr>
      </w:pPr>
    </w:p>
    <w:p w14:paraId="6A77581C" w14:textId="77777777" w:rsidR="008D5F87" w:rsidRPr="00DC36FD" w:rsidRDefault="008D5F87" w:rsidP="008D5F87">
      <w:pPr>
        <w:pStyle w:val="BodyTextMain"/>
        <w:rPr>
          <w:lang w:val="en-GB"/>
        </w:rPr>
      </w:pPr>
    </w:p>
    <w:p w14:paraId="7F7C0D86" w14:textId="77777777" w:rsidR="008D5F87" w:rsidRPr="00DC36FD" w:rsidRDefault="008D5F87" w:rsidP="000D347B">
      <w:pPr>
        <w:pStyle w:val="Casehead2"/>
        <w:rPr>
          <w:lang w:val="en-GB"/>
        </w:rPr>
      </w:pPr>
      <w:r w:rsidRPr="00DC36FD">
        <w:rPr>
          <w:lang w:val="en-GB"/>
        </w:rPr>
        <w:t>The Increasing Value of Farm Land</w:t>
      </w:r>
    </w:p>
    <w:p w14:paraId="551FC856" w14:textId="77777777" w:rsidR="008D5F87" w:rsidRPr="00DC36FD" w:rsidRDefault="008D5F87" w:rsidP="008D5F87">
      <w:pPr>
        <w:pStyle w:val="BodyTextMain"/>
        <w:rPr>
          <w:lang w:val="en-GB"/>
        </w:rPr>
      </w:pPr>
    </w:p>
    <w:p w14:paraId="3F55726B" w14:textId="67B9F95B" w:rsidR="008D5F87" w:rsidRPr="00DC36FD" w:rsidRDefault="008D5F87" w:rsidP="008D5F87">
      <w:pPr>
        <w:pStyle w:val="BodyTextMain"/>
        <w:rPr>
          <w:spacing w:val="-4"/>
          <w:lang w:val="en-GB"/>
        </w:rPr>
      </w:pPr>
      <w:r w:rsidRPr="00DC36FD">
        <w:rPr>
          <w:spacing w:val="-4"/>
          <w:lang w:val="en-GB"/>
        </w:rPr>
        <w:t xml:space="preserve">One of the greatest challenges </w:t>
      </w:r>
      <w:r w:rsidR="00DB6BE1">
        <w:rPr>
          <w:spacing w:val="-4"/>
          <w:lang w:val="en-GB"/>
        </w:rPr>
        <w:t>affe</w:t>
      </w:r>
      <w:r w:rsidR="00DB6BE1" w:rsidRPr="00DC36FD">
        <w:rPr>
          <w:spacing w:val="-4"/>
          <w:lang w:val="en-GB"/>
        </w:rPr>
        <w:t>ct</w:t>
      </w:r>
      <w:r w:rsidR="00DB6BE1">
        <w:rPr>
          <w:spacing w:val="-4"/>
          <w:lang w:val="en-GB"/>
        </w:rPr>
        <w:t>ing</w:t>
      </w:r>
      <w:r w:rsidR="00DB6BE1" w:rsidRPr="00DC36FD">
        <w:rPr>
          <w:spacing w:val="-4"/>
          <w:lang w:val="en-GB"/>
        </w:rPr>
        <w:t xml:space="preserve"> </w:t>
      </w:r>
      <w:r w:rsidRPr="00DC36FD">
        <w:rPr>
          <w:spacing w:val="-4"/>
          <w:lang w:val="en-GB"/>
        </w:rPr>
        <w:t xml:space="preserve">the viability of modern farms </w:t>
      </w:r>
      <w:r w:rsidR="00DB6BE1">
        <w:rPr>
          <w:spacing w:val="-4"/>
          <w:lang w:val="en-GB"/>
        </w:rPr>
        <w:t>was</w:t>
      </w:r>
      <w:r w:rsidR="00DB6BE1" w:rsidRPr="00DC36FD">
        <w:rPr>
          <w:spacing w:val="-4"/>
          <w:lang w:val="en-GB"/>
        </w:rPr>
        <w:t xml:space="preserve"> </w:t>
      </w:r>
      <w:r w:rsidRPr="00DC36FD">
        <w:rPr>
          <w:spacing w:val="-4"/>
          <w:lang w:val="en-GB"/>
        </w:rPr>
        <w:t xml:space="preserve">the immense capital </w:t>
      </w:r>
      <w:r w:rsidR="00DB6BE1">
        <w:rPr>
          <w:spacing w:val="-4"/>
          <w:lang w:val="en-GB"/>
        </w:rPr>
        <w:t>expenditure</w:t>
      </w:r>
      <w:r w:rsidR="00DB6BE1" w:rsidRPr="00DC36FD">
        <w:rPr>
          <w:spacing w:val="-4"/>
          <w:lang w:val="en-GB"/>
        </w:rPr>
        <w:t xml:space="preserve"> </w:t>
      </w:r>
      <w:r w:rsidRPr="00DC36FD">
        <w:rPr>
          <w:spacing w:val="-4"/>
          <w:lang w:val="en-GB"/>
        </w:rPr>
        <w:t xml:space="preserve">necessary to maintain an appropriate land base to contend with the ever-growing size of competing farms. Land prices had increased significantly in the </w:t>
      </w:r>
      <w:r w:rsidR="00DB6BE1">
        <w:rPr>
          <w:spacing w:val="-4"/>
          <w:lang w:val="en-GB"/>
        </w:rPr>
        <w:t>p</w:t>
      </w:r>
      <w:r w:rsidR="00DB6BE1" w:rsidRPr="00DC36FD">
        <w:rPr>
          <w:spacing w:val="-4"/>
          <w:lang w:val="en-GB"/>
        </w:rPr>
        <w:t xml:space="preserve">ast </w:t>
      </w:r>
      <w:r w:rsidRPr="00DC36FD">
        <w:rPr>
          <w:spacing w:val="-4"/>
          <w:lang w:val="en-GB"/>
        </w:rPr>
        <w:t xml:space="preserve">decade (see Exhibit 3). </w:t>
      </w:r>
      <w:r w:rsidR="00636E07">
        <w:rPr>
          <w:spacing w:val="-4"/>
          <w:lang w:val="en-GB"/>
        </w:rPr>
        <w:t>Although</w:t>
      </w:r>
      <w:r w:rsidRPr="00DC36FD">
        <w:rPr>
          <w:spacing w:val="-4"/>
          <w:lang w:val="en-GB"/>
        </w:rPr>
        <w:t xml:space="preserve"> high land prices were a welcome sight for retiring farmers looking to sell </w:t>
      </w:r>
      <w:r w:rsidR="00DB6BE1">
        <w:rPr>
          <w:spacing w:val="-4"/>
          <w:lang w:val="en-GB"/>
        </w:rPr>
        <w:t xml:space="preserve">their </w:t>
      </w:r>
      <w:r w:rsidRPr="00DC36FD">
        <w:rPr>
          <w:spacing w:val="-4"/>
          <w:lang w:val="en-GB"/>
        </w:rPr>
        <w:t>land, the prices were prohibitive for those looking to start or expand.</w:t>
      </w:r>
      <w:r w:rsidR="00DC36FD" w:rsidRPr="00DC36FD">
        <w:rPr>
          <w:spacing w:val="-4"/>
          <w:lang w:val="en-GB"/>
        </w:rPr>
        <w:t xml:space="preserve"> </w:t>
      </w:r>
    </w:p>
    <w:p w14:paraId="4C135148" w14:textId="410A5FE2" w:rsidR="008D5F87" w:rsidRPr="00DC36FD" w:rsidRDefault="008D5F87" w:rsidP="008D5F87">
      <w:pPr>
        <w:pStyle w:val="BodyTextMain"/>
        <w:rPr>
          <w:lang w:val="en-GB"/>
        </w:rPr>
      </w:pPr>
    </w:p>
    <w:p w14:paraId="1C220BE7" w14:textId="6BC4A3A7" w:rsidR="008D5F87" w:rsidRPr="007F362E" w:rsidRDefault="008D5F87" w:rsidP="008D5F87">
      <w:pPr>
        <w:pStyle w:val="BodyTextMain"/>
        <w:rPr>
          <w:spacing w:val="-2"/>
          <w:lang w:val="en-GB"/>
        </w:rPr>
      </w:pPr>
      <w:r w:rsidRPr="007F362E">
        <w:rPr>
          <w:spacing w:val="-2"/>
          <w:lang w:val="en-GB"/>
        </w:rPr>
        <w:t xml:space="preserve">Land prices varied significantly from province to province and </w:t>
      </w:r>
      <w:r w:rsidR="00636E07">
        <w:rPr>
          <w:spacing w:val="-2"/>
          <w:lang w:val="en-GB"/>
        </w:rPr>
        <w:t>from</w:t>
      </w:r>
      <w:r w:rsidR="00DB6BE1" w:rsidRPr="007F362E">
        <w:rPr>
          <w:spacing w:val="-2"/>
          <w:lang w:val="en-GB"/>
        </w:rPr>
        <w:t xml:space="preserve"> </w:t>
      </w:r>
      <w:r w:rsidRPr="007F362E">
        <w:rPr>
          <w:spacing w:val="-2"/>
          <w:lang w:val="en-GB"/>
        </w:rPr>
        <w:t>region</w:t>
      </w:r>
      <w:r w:rsidR="00636E07">
        <w:rPr>
          <w:spacing w:val="-2"/>
          <w:lang w:val="en-GB"/>
        </w:rPr>
        <w:t xml:space="preserve"> to region</w:t>
      </w:r>
      <w:r w:rsidRPr="007F362E">
        <w:rPr>
          <w:spacing w:val="-2"/>
          <w:lang w:val="en-GB"/>
        </w:rPr>
        <w:t xml:space="preserve"> within </w:t>
      </w:r>
      <w:r w:rsidR="00636E07">
        <w:rPr>
          <w:spacing w:val="-2"/>
          <w:lang w:val="en-GB"/>
        </w:rPr>
        <w:t xml:space="preserve">each </w:t>
      </w:r>
      <w:r w:rsidRPr="007F362E">
        <w:rPr>
          <w:spacing w:val="-2"/>
          <w:lang w:val="en-GB"/>
        </w:rPr>
        <w:t>province.</w:t>
      </w:r>
      <w:r w:rsidR="00DC36FD" w:rsidRPr="007F362E">
        <w:rPr>
          <w:spacing w:val="-2"/>
          <w:lang w:val="en-GB"/>
        </w:rPr>
        <w:t xml:space="preserve"> </w:t>
      </w:r>
      <w:r w:rsidR="00DB6BE1" w:rsidRPr="007F362E">
        <w:rPr>
          <w:spacing w:val="-2"/>
          <w:lang w:val="en-GB"/>
        </w:rPr>
        <w:t>Numerous</w:t>
      </w:r>
      <w:r w:rsidRPr="007F362E">
        <w:rPr>
          <w:spacing w:val="-2"/>
          <w:lang w:val="en-GB"/>
        </w:rPr>
        <w:t xml:space="preserve"> factors influenced land prices</w:t>
      </w:r>
      <w:r w:rsidR="00DB6BE1" w:rsidRPr="007F362E">
        <w:rPr>
          <w:spacing w:val="-2"/>
          <w:lang w:val="en-GB"/>
        </w:rPr>
        <w:t>,</w:t>
      </w:r>
      <w:r w:rsidRPr="007F362E">
        <w:rPr>
          <w:spacing w:val="-2"/>
          <w:lang w:val="en-GB"/>
        </w:rPr>
        <w:t xml:space="preserve"> </w:t>
      </w:r>
      <w:r w:rsidR="00DB6BE1" w:rsidRPr="007F362E">
        <w:rPr>
          <w:spacing w:val="-2"/>
          <w:lang w:val="en-GB"/>
        </w:rPr>
        <w:t xml:space="preserve">including </w:t>
      </w:r>
      <w:r w:rsidR="004871B9" w:rsidRPr="007F362E">
        <w:rPr>
          <w:spacing w:val="-2"/>
          <w:lang w:val="en-GB"/>
        </w:rPr>
        <w:t xml:space="preserve">farmers’ </w:t>
      </w:r>
      <w:r w:rsidRPr="007F362E">
        <w:rPr>
          <w:spacing w:val="-2"/>
          <w:lang w:val="en-GB"/>
        </w:rPr>
        <w:t xml:space="preserve">crop income and cash position, the health of the land </w:t>
      </w:r>
      <w:r w:rsidR="00087EC4" w:rsidRPr="007F362E">
        <w:rPr>
          <w:spacing w:val="-2"/>
          <w:lang w:val="en-GB"/>
        </w:rPr>
        <w:t xml:space="preserve">as a result of </w:t>
      </w:r>
      <w:r w:rsidRPr="007F362E">
        <w:rPr>
          <w:spacing w:val="-2"/>
          <w:lang w:val="en-GB"/>
        </w:rPr>
        <w:t xml:space="preserve">historical farming practices, </w:t>
      </w:r>
      <w:r w:rsidR="00DB6BE1" w:rsidRPr="007F362E">
        <w:rPr>
          <w:spacing w:val="-2"/>
          <w:lang w:val="en-GB"/>
        </w:rPr>
        <w:t xml:space="preserve">the land’s </w:t>
      </w:r>
      <w:r w:rsidRPr="007F362E">
        <w:rPr>
          <w:spacing w:val="-2"/>
          <w:lang w:val="en-GB"/>
        </w:rPr>
        <w:t>proneness to drought or flooding, tree coverage, oil or natural gas wells</w:t>
      </w:r>
      <w:r w:rsidR="00DB6BE1" w:rsidRPr="007F362E">
        <w:rPr>
          <w:spacing w:val="-2"/>
          <w:lang w:val="en-GB"/>
        </w:rPr>
        <w:t xml:space="preserve"> on the property</w:t>
      </w:r>
      <w:r w:rsidRPr="007F362E">
        <w:rPr>
          <w:spacing w:val="-2"/>
          <w:lang w:val="en-GB"/>
        </w:rPr>
        <w:t xml:space="preserve">, proximity to urban </w:t>
      </w:r>
      <w:r w:rsidR="00DB6BE1" w:rsidRPr="007F362E">
        <w:rPr>
          <w:spacing w:val="-2"/>
          <w:lang w:val="en-GB"/>
        </w:rPr>
        <w:t>centres</w:t>
      </w:r>
      <w:r w:rsidRPr="007F362E">
        <w:rPr>
          <w:spacing w:val="-2"/>
          <w:lang w:val="en-GB"/>
        </w:rPr>
        <w:t>, foreign investment</w:t>
      </w:r>
      <w:r w:rsidR="00DB6BE1" w:rsidRPr="007F362E">
        <w:rPr>
          <w:spacing w:val="-2"/>
          <w:lang w:val="en-GB"/>
        </w:rPr>
        <w:t>,</w:t>
      </w:r>
      <w:r w:rsidRPr="007F362E">
        <w:rPr>
          <w:spacing w:val="-2"/>
          <w:lang w:val="en-GB"/>
        </w:rPr>
        <w:t xml:space="preserve"> and competitive pressures from expanding farms. Farm Credit Canada noted that </w:t>
      </w:r>
      <w:r w:rsidR="00DB6BE1" w:rsidRPr="007F362E">
        <w:rPr>
          <w:spacing w:val="-2"/>
          <w:lang w:val="en-GB"/>
        </w:rPr>
        <w:t>numerous</w:t>
      </w:r>
      <w:r w:rsidRPr="007F362E">
        <w:rPr>
          <w:spacing w:val="-2"/>
          <w:lang w:val="en-GB"/>
        </w:rPr>
        <w:t xml:space="preserve"> profitable growing seasons and limited available land</w:t>
      </w:r>
      <w:r w:rsidR="00087EC4" w:rsidRPr="007F362E">
        <w:rPr>
          <w:spacing w:val="-2"/>
          <w:lang w:val="en-GB"/>
        </w:rPr>
        <w:t>,</w:t>
      </w:r>
      <w:r w:rsidRPr="007F362E">
        <w:rPr>
          <w:spacing w:val="-2"/>
          <w:lang w:val="en-GB"/>
        </w:rPr>
        <w:t xml:space="preserve"> as a result of expanding farms and family succession</w:t>
      </w:r>
      <w:r w:rsidR="00087EC4" w:rsidRPr="007F362E">
        <w:rPr>
          <w:spacing w:val="-2"/>
          <w:lang w:val="en-GB"/>
        </w:rPr>
        <w:t>,</w:t>
      </w:r>
      <w:r w:rsidRPr="007F362E">
        <w:rPr>
          <w:spacing w:val="-2"/>
          <w:lang w:val="en-GB"/>
        </w:rPr>
        <w:t xml:space="preserve"> had resulted in high demand for land.</w:t>
      </w:r>
      <w:r w:rsidR="00517B60" w:rsidRPr="007F362E">
        <w:rPr>
          <w:rStyle w:val="FootnoteReference"/>
          <w:spacing w:val="-2"/>
          <w:lang w:val="en-GB"/>
        </w:rPr>
        <w:footnoteReference w:id="7"/>
      </w:r>
      <w:r w:rsidR="00DC36FD" w:rsidRPr="007F362E">
        <w:rPr>
          <w:spacing w:val="-2"/>
          <w:lang w:val="en-GB"/>
        </w:rPr>
        <w:t xml:space="preserve"> </w:t>
      </w:r>
      <w:r w:rsidRPr="007F362E">
        <w:rPr>
          <w:spacing w:val="-2"/>
          <w:lang w:val="en-GB"/>
        </w:rPr>
        <w:t>Purchase prices varied from as low as $1</w:t>
      </w:r>
      <w:r w:rsidR="00DB6BE1" w:rsidRPr="007F362E">
        <w:rPr>
          <w:spacing w:val="-2"/>
          <w:lang w:val="en-GB"/>
        </w:rPr>
        <w:t>,</w:t>
      </w:r>
      <w:r w:rsidRPr="007F362E">
        <w:rPr>
          <w:spacing w:val="-2"/>
          <w:lang w:val="en-GB"/>
        </w:rPr>
        <w:t>000</w:t>
      </w:r>
      <w:r w:rsidR="004871B9" w:rsidRPr="007F362E">
        <w:rPr>
          <w:spacing w:val="-2"/>
          <w:lang w:val="en-GB"/>
        </w:rPr>
        <w:t xml:space="preserve"> per </w:t>
      </w:r>
      <w:r w:rsidRPr="007F362E">
        <w:rPr>
          <w:spacing w:val="-2"/>
          <w:lang w:val="en-GB"/>
        </w:rPr>
        <w:t xml:space="preserve">acre </w:t>
      </w:r>
      <w:r w:rsidR="005602AB" w:rsidRPr="007F362E">
        <w:rPr>
          <w:spacing w:val="-2"/>
          <w:lang w:val="en-GB"/>
        </w:rPr>
        <w:t>($405</w:t>
      </w:r>
      <w:r w:rsidR="004871B9" w:rsidRPr="007F362E">
        <w:rPr>
          <w:spacing w:val="-2"/>
          <w:lang w:val="en-GB"/>
        </w:rPr>
        <w:t xml:space="preserve"> per </w:t>
      </w:r>
      <w:r w:rsidR="005602AB" w:rsidRPr="007F362E">
        <w:rPr>
          <w:spacing w:val="-2"/>
          <w:lang w:val="en-GB"/>
        </w:rPr>
        <w:t xml:space="preserve">hectare) </w:t>
      </w:r>
      <w:r w:rsidRPr="007F362E">
        <w:rPr>
          <w:spacing w:val="-2"/>
          <w:lang w:val="en-GB"/>
        </w:rPr>
        <w:t>to well over $2,500</w:t>
      </w:r>
      <w:r w:rsidR="004871B9" w:rsidRPr="007F362E">
        <w:rPr>
          <w:spacing w:val="-2"/>
          <w:lang w:val="en-GB"/>
        </w:rPr>
        <w:t xml:space="preserve"> per </w:t>
      </w:r>
      <w:r w:rsidRPr="007F362E">
        <w:rPr>
          <w:spacing w:val="-2"/>
          <w:lang w:val="en-GB"/>
        </w:rPr>
        <w:t xml:space="preserve">acre </w:t>
      </w:r>
      <w:r w:rsidR="005602AB" w:rsidRPr="007F362E">
        <w:rPr>
          <w:spacing w:val="-2"/>
          <w:lang w:val="en-GB"/>
        </w:rPr>
        <w:t>($1,012</w:t>
      </w:r>
      <w:r w:rsidR="004871B9" w:rsidRPr="007F362E">
        <w:rPr>
          <w:spacing w:val="-2"/>
          <w:lang w:val="en-GB"/>
        </w:rPr>
        <w:t xml:space="preserve"> per </w:t>
      </w:r>
      <w:r w:rsidR="005602AB" w:rsidRPr="007F362E">
        <w:rPr>
          <w:spacing w:val="-2"/>
          <w:lang w:val="en-GB"/>
        </w:rPr>
        <w:t xml:space="preserve">hectare), </w:t>
      </w:r>
      <w:r w:rsidRPr="007F362E">
        <w:rPr>
          <w:spacing w:val="-2"/>
          <w:lang w:val="en-GB"/>
        </w:rPr>
        <w:t>given some of the aforementioned influences. Lease rates were similarly volatile</w:t>
      </w:r>
      <w:r w:rsidR="005602AB" w:rsidRPr="007F362E">
        <w:rPr>
          <w:spacing w:val="-2"/>
          <w:lang w:val="en-GB"/>
        </w:rPr>
        <w:t>,</w:t>
      </w:r>
      <w:r w:rsidRPr="007F362E">
        <w:rPr>
          <w:spacing w:val="-2"/>
          <w:lang w:val="en-GB"/>
        </w:rPr>
        <w:t xml:space="preserve"> and varied with rates as low as $40</w:t>
      </w:r>
      <w:r w:rsidR="004871B9" w:rsidRPr="007F362E">
        <w:rPr>
          <w:spacing w:val="-2"/>
          <w:lang w:val="en-GB"/>
        </w:rPr>
        <w:t xml:space="preserve"> per </w:t>
      </w:r>
      <w:r w:rsidRPr="007F362E">
        <w:rPr>
          <w:spacing w:val="-2"/>
          <w:lang w:val="en-GB"/>
        </w:rPr>
        <w:t xml:space="preserve">acre </w:t>
      </w:r>
      <w:r w:rsidR="005602AB" w:rsidRPr="007F362E">
        <w:rPr>
          <w:spacing w:val="-2"/>
          <w:lang w:val="en-GB"/>
        </w:rPr>
        <w:t>($16</w:t>
      </w:r>
      <w:r w:rsidR="004871B9" w:rsidRPr="007F362E">
        <w:rPr>
          <w:spacing w:val="-2"/>
          <w:lang w:val="en-GB"/>
        </w:rPr>
        <w:t xml:space="preserve"> per </w:t>
      </w:r>
      <w:r w:rsidR="005602AB" w:rsidRPr="007F362E">
        <w:rPr>
          <w:spacing w:val="-2"/>
          <w:lang w:val="en-GB"/>
        </w:rPr>
        <w:t xml:space="preserve">hectare) </w:t>
      </w:r>
      <w:r w:rsidRPr="007F362E">
        <w:rPr>
          <w:spacing w:val="-2"/>
          <w:lang w:val="en-GB"/>
        </w:rPr>
        <w:t>to upwards of $100</w:t>
      </w:r>
      <w:r w:rsidR="004871B9" w:rsidRPr="007F362E">
        <w:rPr>
          <w:spacing w:val="-2"/>
          <w:lang w:val="en-GB"/>
        </w:rPr>
        <w:t xml:space="preserve"> per </w:t>
      </w:r>
      <w:r w:rsidRPr="007F362E">
        <w:rPr>
          <w:spacing w:val="-2"/>
          <w:lang w:val="en-GB"/>
        </w:rPr>
        <w:t xml:space="preserve">acre </w:t>
      </w:r>
      <w:r w:rsidR="005602AB" w:rsidRPr="007F362E">
        <w:rPr>
          <w:spacing w:val="-2"/>
          <w:lang w:val="en-GB"/>
        </w:rPr>
        <w:t>($40</w:t>
      </w:r>
      <w:r w:rsidR="004871B9" w:rsidRPr="007F362E">
        <w:rPr>
          <w:spacing w:val="-2"/>
          <w:lang w:val="en-GB"/>
        </w:rPr>
        <w:t xml:space="preserve"> per </w:t>
      </w:r>
      <w:r w:rsidR="005602AB" w:rsidRPr="007F362E">
        <w:rPr>
          <w:spacing w:val="-2"/>
          <w:lang w:val="en-GB"/>
        </w:rPr>
        <w:t xml:space="preserve">hectare) </w:t>
      </w:r>
      <w:r w:rsidRPr="007F362E">
        <w:rPr>
          <w:spacing w:val="-2"/>
          <w:lang w:val="en-GB"/>
        </w:rPr>
        <w:t>in certain regions.</w:t>
      </w:r>
      <w:r w:rsidR="00DC36FD" w:rsidRPr="007F362E">
        <w:rPr>
          <w:spacing w:val="-2"/>
          <w:lang w:val="en-GB"/>
        </w:rPr>
        <w:t xml:space="preserve"> </w:t>
      </w:r>
    </w:p>
    <w:p w14:paraId="612F611A" w14:textId="77777777" w:rsidR="008D5F87" w:rsidRPr="00DC36FD" w:rsidRDefault="008D5F87" w:rsidP="008D5F87">
      <w:pPr>
        <w:pStyle w:val="BodyTextMain"/>
        <w:rPr>
          <w:lang w:val="en-GB"/>
        </w:rPr>
      </w:pPr>
    </w:p>
    <w:p w14:paraId="1EEB41BC" w14:textId="520F793A" w:rsidR="00517B60" w:rsidRDefault="008D5F87" w:rsidP="008D5F87">
      <w:pPr>
        <w:pStyle w:val="BodyTextMain"/>
        <w:rPr>
          <w:lang w:val="en-GB"/>
        </w:rPr>
      </w:pPr>
      <w:r w:rsidRPr="00DC36FD">
        <w:rPr>
          <w:lang w:val="en-GB"/>
        </w:rPr>
        <w:t xml:space="preserve">The </w:t>
      </w:r>
      <w:r w:rsidR="005602AB">
        <w:rPr>
          <w:lang w:val="en-GB"/>
        </w:rPr>
        <w:t>“</w:t>
      </w:r>
      <w:r w:rsidRPr="00DC36FD">
        <w:rPr>
          <w:lang w:val="en-GB"/>
        </w:rPr>
        <w:t>lease versus buy</w:t>
      </w:r>
      <w:r w:rsidR="005602AB">
        <w:rPr>
          <w:lang w:val="en-GB"/>
        </w:rPr>
        <w:t>”</w:t>
      </w:r>
      <w:r w:rsidRPr="00DC36FD">
        <w:rPr>
          <w:lang w:val="en-GB"/>
        </w:rPr>
        <w:t xml:space="preserve"> debate was a common discussion among farmers.</w:t>
      </w:r>
      <w:r w:rsidR="00DC36FD" w:rsidRPr="00DC36FD">
        <w:rPr>
          <w:lang w:val="en-GB"/>
        </w:rPr>
        <w:t xml:space="preserve"> </w:t>
      </w:r>
      <w:r w:rsidRPr="00DC36FD">
        <w:rPr>
          <w:lang w:val="en-GB"/>
        </w:rPr>
        <w:t xml:space="preserve">Purchasing land enabled the upside potential of capital appreciation but required </w:t>
      </w:r>
      <w:r w:rsidR="00C23312">
        <w:rPr>
          <w:lang w:val="en-GB"/>
        </w:rPr>
        <w:t xml:space="preserve">either </w:t>
      </w:r>
      <w:r w:rsidRPr="00DC36FD">
        <w:rPr>
          <w:lang w:val="en-GB"/>
        </w:rPr>
        <w:t>an extensive cash investment or financing.</w:t>
      </w:r>
      <w:r w:rsidR="00DC36FD" w:rsidRPr="00DC36FD">
        <w:rPr>
          <w:lang w:val="en-GB"/>
        </w:rPr>
        <w:t xml:space="preserve"> </w:t>
      </w:r>
      <w:r w:rsidRPr="00DC36FD">
        <w:rPr>
          <w:lang w:val="en-GB"/>
        </w:rPr>
        <w:t xml:space="preserve">Furthermore, land prices had been rising for </w:t>
      </w:r>
      <w:r w:rsidR="00C23312">
        <w:rPr>
          <w:lang w:val="en-GB"/>
        </w:rPr>
        <w:t>several</w:t>
      </w:r>
      <w:r w:rsidRPr="00DC36FD">
        <w:rPr>
          <w:lang w:val="en-GB"/>
        </w:rPr>
        <w:t xml:space="preserve"> years</w:t>
      </w:r>
      <w:r w:rsidR="00C23312">
        <w:rPr>
          <w:lang w:val="en-GB"/>
        </w:rPr>
        <w:t>,</w:t>
      </w:r>
      <w:r w:rsidRPr="00DC36FD">
        <w:rPr>
          <w:lang w:val="en-GB"/>
        </w:rPr>
        <w:t xml:space="preserve"> and some industry insiders wondered </w:t>
      </w:r>
      <w:r w:rsidR="00C23312">
        <w:rPr>
          <w:lang w:val="en-GB"/>
        </w:rPr>
        <w:t>whether</w:t>
      </w:r>
      <w:r w:rsidR="00C23312" w:rsidRPr="00DC36FD">
        <w:rPr>
          <w:lang w:val="en-GB"/>
        </w:rPr>
        <w:t xml:space="preserve"> </w:t>
      </w:r>
      <w:r w:rsidRPr="00DC36FD">
        <w:rPr>
          <w:lang w:val="en-GB"/>
        </w:rPr>
        <w:t xml:space="preserve">prices </w:t>
      </w:r>
      <w:r w:rsidR="00C23312">
        <w:rPr>
          <w:lang w:val="en-GB"/>
        </w:rPr>
        <w:t>would</w:t>
      </w:r>
      <w:r w:rsidR="00C23312" w:rsidRPr="00DC36FD">
        <w:rPr>
          <w:lang w:val="en-GB"/>
        </w:rPr>
        <w:t xml:space="preserve"> </w:t>
      </w:r>
      <w:r w:rsidRPr="00DC36FD">
        <w:rPr>
          <w:lang w:val="en-GB"/>
        </w:rPr>
        <w:t>begin to level out or even decline in the near future.</w:t>
      </w:r>
      <w:r w:rsidR="00DC36FD" w:rsidRPr="00DC36FD">
        <w:rPr>
          <w:lang w:val="en-GB"/>
        </w:rPr>
        <w:t xml:space="preserve"> </w:t>
      </w:r>
      <w:r w:rsidRPr="00DC36FD">
        <w:rPr>
          <w:lang w:val="en-GB"/>
        </w:rPr>
        <w:t>Inclement weather or low commodity prices</w:t>
      </w:r>
      <w:r w:rsidR="00C23312">
        <w:rPr>
          <w:lang w:val="en-GB"/>
        </w:rPr>
        <w:t>, or both,</w:t>
      </w:r>
      <w:r w:rsidRPr="00DC36FD">
        <w:rPr>
          <w:lang w:val="en-GB"/>
        </w:rPr>
        <w:t xml:space="preserve"> could further strain land prices at any time.</w:t>
      </w:r>
      <w:r w:rsidR="00DC36FD" w:rsidRPr="00DC36FD">
        <w:rPr>
          <w:lang w:val="en-GB"/>
        </w:rPr>
        <w:t xml:space="preserve"> </w:t>
      </w:r>
      <w:r w:rsidRPr="00DC36FD">
        <w:rPr>
          <w:lang w:val="en-GB"/>
        </w:rPr>
        <w:t>Leasing land reduced some of the risks of land purchases</w:t>
      </w:r>
      <w:r w:rsidR="00C23312">
        <w:rPr>
          <w:lang w:val="en-GB"/>
        </w:rPr>
        <w:t>,</w:t>
      </w:r>
      <w:r w:rsidRPr="00DC36FD">
        <w:rPr>
          <w:lang w:val="en-GB"/>
        </w:rPr>
        <w:t xml:space="preserve"> but limited capital appreciation and determining lease rates could be challenging for both farmers and landlords.</w:t>
      </w:r>
      <w:r w:rsidR="00DC36FD" w:rsidRPr="00DC36FD">
        <w:rPr>
          <w:lang w:val="en-GB"/>
        </w:rPr>
        <w:t xml:space="preserve"> </w:t>
      </w:r>
      <w:r w:rsidRPr="00DC36FD">
        <w:rPr>
          <w:lang w:val="en-GB"/>
        </w:rPr>
        <w:t xml:space="preserve">Securing leased land for periods of more than </w:t>
      </w:r>
      <w:r w:rsidR="00C23312">
        <w:rPr>
          <w:lang w:val="en-GB"/>
        </w:rPr>
        <w:t>five</w:t>
      </w:r>
      <w:r w:rsidR="00C23312" w:rsidRPr="00DC36FD">
        <w:rPr>
          <w:lang w:val="en-GB"/>
        </w:rPr>
        <w:t xml:space="preserve"> </w:t>
      </w:r>
      <w:r w:rsidRPr="00DC36FD">
        <w:rPr>
          <w:lang w:val="en-GB"/>
        </w:rPr>
        <w:t xml:space="preserve">years at a time was </w:t>
      </w:r>
      <w:r w:rsidR="00C23312">
        <w:rPr>
          <w:lang w:val="en-GB"/>
        </w:rPr>
        <w:t>an un</w:t>
      </w:r>
      <w:r w:rsidRPr="00DC36FD">
        <w:rPr>
          <w:lang w:val="en-GB"/>
        </w:rPr>
        <w:t>common practice</w:t>
      </w:r>
      <w:r w:rsidR="00C23312">
        <w:rPr>
          <w:lang w:val="en-GB"/>
        </w:rPr>
        <w:t>,</w:t>
      </w:r>
      <w:r w:rsidRPr="00DC36FD">
        <w:rPr>
          <w:lang w:val="en-GB"/>
        </w:rPr>
        <w:t xml:space="preserve"> </w:t>
      </w:r>
      <w:r w:rsidRPr="00DC36FD">
        <w:rPr>
          <w:lang w:val="en-GB"/>
        </w:rPr>
        <w:lastRenderedPageBreak/>
        <w:t>and many farm operations had seen their leased acreage fluctuate from year to year, making equipment investments difficult.</w:t>
      </w:r>
      <w:r w:rsidR="00DC36FD" w:rsidRPr="00DC36FD">
        <w:rPr>
          <w:lang w:val="en-GB"/>
        </w:rPr>
        <w:t xml:space="preserve"> </w:t>
      </w:r>
      <w:r w:rsidRPr="00DC36FD">
        <w:rPr>
          <w:lang w:val="en-GB"/>
        </w:rPr>
        <w:t>When making land acquisitions, the price was only one factor.</w:t>
      </w:r>
      <w:r w:rsidR="00DC36FD" w:rsidRPr="00DC36FD">
        <w:rPr>
          <w:lang w:val="en-GB"/>
        </w:rPr>
        <w:t xml:space="preserve"> </w:t>
      </w:r>
      <w:r w:rsidRPr="00DC36FD">
        <w:rPr>
          <w:lang w:val="en-GB"/>
        </w:rPr>
        <w:t xml:space="preserve">Farmers also </w:t>
      </w:r>
      <w:r w:rsidR="00C23312">
        <w:rPr>
          <w:lang w:val="en-GB"/>
        </w:rPr>
        <w:t xml:space="preserve">needed to </w:t>
      </w:r>
      <w:r w:rsidRPr="00DC36FD">
        <w:rPr>
          <w:lang w:val="en-GB"/>
        </w:rPr>
        <w:t xml:space="preserve">assess the location and quality of the land, the timing of expansion, their financial situation, the market situation and, finally, the </w:t>
      </w:r>
      <w:r w:rsidR="00C23312">
        <w:rPr>
          <w:lang w:val="en-GB"/>
        </w:rPr>
        <w:t xml:space="preserve">business’s </w:t>
      </w:r>
      <w:r w:rsidRPr="00DC36FD">
        <w:rPr>
          <w:lang w:val="en-GB"/>
        </w:rPr>
        <w:t>short</w:t>
      </w:r>
      <w:r w:rsidR="00C23312">
        <w:rPr>
          <w:lang w:val="en-GB"/>
        </w:rPr>
        <w:t>-</w:t>
      </w:r>
      <w:r w:rsidRPr="00DC36FD">
        <w:rPr>
          <w:lang w:val="en-GB"/>
        </w:rPr>
        <w:t xml:space="preserve"> and long</w:t>
      </w:r>
      <w:r w:rsidR="00C23312">
        <w:rPr>
          <w:lang w:val="en-GB"/>
        </w:rPr>
        <w:t>-</w:t>
      </w:r>
      <w:r w:rsidRPr="00DC36FD">
        <w:rPr>
          <w:lang w:val="en-GB"/>
        </w:rPr>
        <w:t xml:space="preserve">term goals. </w:t>
      </w:r>
    </w:p>
    <w:p w14:paraId="32D4688A" w14:textId="77777777" w:rsidR="00CD09C6" w:rsidRDefault="00CD09C6" w:rsidP="008D5F87">
      <w:pPr>
        <w:pStyle w:val="BodyTextMain"/>
        <w:rPr>
          <w:lang w:val="en-GB"/>
        </w:rPr>
      </w:pPr>
    </w:p>
    <w:p w14:paraId="19BB414A" w14:textId="77777777" w:rsidR="00CD09C6" w:rsidRDefault="00CD09C6" w:rsidP="008D5F87">
      <w:pPr>
        <w:pStyle w:val="BodyTextMain"/>
        <w:rPr>
          <w:lang w:val="en-GB"/>
        </w:rPr>
      </w:pPr>
    </w:p>
    <w:p w14:paraId="6FEDD6A4" w14:textId="77777777" w:rsidR="008D5F87" w:rsidRPr="00DC36FD" w:rsidRDefault="008D5F87" w:rsidP="000D347B">
      <w:pPr>
        <w:pStyle w:val="Casehead2"/>
        <w:rPr>
          <w:lang w:val="en-GB"/>
        </w:rPr>
      </w:pPr>
      <w:r w:rsidRPr="00DC36FD">
        <w:rPr>
          <w:lang w:val="en-GB"/>
        </w:rPr>
        <w:t>Skilled Labour in Short Supply</w:t>
      </w:r>
    </w:p>
    <w:p w14:paraId="125054A1" w14:textId="77777777" w:rsidR="008D5F87" w:rsidRPr="00DC36FD" w:rsidRDefault="008D5F87" w:rsidP="008D5F87">
      <w:pPr>
        <w:pStyle w:val="BodyTextMain"/>
        <w:rPr>
          <w:lang w:val="en-GB"/>
        </w:rPr>
      </w:pPr>
    </w:p>
    <w:p w14:paraId="2ECB727D" w14:textId="1AF80AC7" w:rsidR="008D5F87" w:rsidRPr="00DC36FD" w:rsidRDefault="008D5F87" w:rsidP="008D5F87">
      <w:pPr>
        <w:pStyle w:val="BodyTextMain"/>
        <w:rPr>
          <w:lang w:val="en-GB"/>
        </w:rPr>
      </w:pPr>
      <w:r w:rsidRPr="00DC36FD">
        <w:rPr>
          <w:lang w:val="en-GB"/>
        </w:rPr>
        <w:t>The availability of skilled labour posed constraints for many farms. In past decades, many farms were family</w:t>
      </w:r>
      <w:r w:rsidR="00C23312">
        <w:rPr>
          <w:lang w:val="en-GB"/>
        </w:rPr>
        <w:t>-</w:t>
      </w:r>
      <w:r w:rsidRPr="00DC36FD">
        <w:rPr>
          <w:lang w:val="en-GB"/>
        </w:rPr>
        <w:t>run operations</w:t>
      </w:r>
      <w:r w:rsidR="00C23312">
        <w:rPr>
          <w:lang w:val="en-GB"/>
        </w:rPr>
        <w:t>,</w:t>
      </w:r>
      <w:r w:rsidRPr="00DC36FD">
        <w:rPr>
          <w:lang w:val="en-GB"/>
        </w:rPr>
        <w:t xml:space="preserve"> where multiple generations would come together to bring in their </w:t>
      </w:r>
      <w:r w:rsidR="00C23312">
        <w:rPr>
          <w:lang w:val="en-GB"/>
        </w:rPr>
        <w:t xml:space="preserve">own </w:t>
      </w:r>
      <w:r w:rsidRPr="00DC36FD">
        <w:rPr>
          <w:lang w:val="en-GB"/>
        </w:rPr>
        <w:t>harvest and that of the</w:t>
      </w:r>
      <w:r w:rsidR="00C23312">
        <w:rPr>
          <w:lang w:val="en-GB"/>
        </w:rPr>
        <w:t>ir</w:t>
      </w:r>
      <w:r w:rsidRPr="00DC36FD">
        <w:rPr>
          <w:lang w:val="en-GB"/>
        </w:rPr>
        <w:t xml:space="preserve"> neighbo</w:t>
      </w:r>
      <w:r w:rsidR="00C23312">
        <w:rPr>
          <w:lang w:val="en-GB"/>
        </w:rPr>
        <w:t>u</w:t>
      </w:r>
      <w:r w:rsidRPr="00DC36FD">
        <w:rPr>
          <w:lang w:val="en-GB"/>
        </w:rPr>
        <w:t>rs. The dynamics were changing</w:t>
      </w:r>
      <w:r w:rsidR="00087EC4">
        <w:rPr>
          <w:lang w:val="en-GB"/>
        </w:rPr>
        <w:t>,</w:t>
      </w:r>
      <w:r w:rsidRPr="00DC36FD">
        <w:rPr>
          <w:lang w:val="en-GB"/>
        </w:rPr>
        <w:t xml:space="preserve"> as children were often encouraged to pursue post-secondary education</w:t>
      </w:r>
      <w:r w:rsidR="00C23312">
        <w:rPr>
          <w:lang w:val="en-GB"/>
        </w:rPr>
        <w:t>,</w:t>
      </w:r>
      <w:r w:rsidRPr="00DC36FD">
        <w:rPr>
          <w:lang w:val="en-GB"/>
        </w:rPr>
        <w:t xml:space="preserve"> and many did not return to the farm. The average age of farmers in Saskatchewan had increased from 50.5 in 2001 to 54.2 in 2011.</w:t>
      </w:r>
      <w:r w:rsidRPr="00DC36FD">
        <w:rPr>
          <w:rStyle w:val="FootnoteReference"/>
          <w:lang w:val="en-GB"/>
        </w:rPr>
        <w:footnoteReference w:id="8"/>
      </w:r>
      <w:r w:rsidRPr="00DC36FD">
        <w:rPr>
          <w:lang w:val="en-GB"/>
        </w:rPr>
        <w:t xml:space="preserve"> Families were getting smaller</w:t>
      </w:r>
      <w:r w:rsidR="009B168F">
        <w:rPr>
          <w:lang w:val="en-GB"/>
        </w:rPr>
        <w:t>,</w:t>
      </w:r>
      <w:r w:rsidRPr="00DC36FD">
        <w:rPr>
          <w:lang w:val="en-GB"/>
        </w:rPr>
        <w:t xml:space="preserve"> and farms were getting larger, relying more on large-scale technology to replace the </w:t>
      </w:r>
      <w:r w:rsidR="009B168F">
        <w:rPr>
          <w:lang w:val="en-GB"/>
        </w:rPr>
        <w:t xml:space="preserve">once </w:t>
      </w:r>
      <w:r w:rsidRPr="00DC36FD">
        <w:rPr>
          <w:lang w:val="en-GB"/>
        </w:rPr>
        <w:t>historic abundance of labour. The jobs that remained were challenging to fill</w:t>
      </w:r>
      <w:r w:rsidR="009B168F">
        <w:rPr>
          <w:lang w:val="en-GB"/>
        </w:rPr>
        <w:t>,</w:t>
      </w:r>
      <w:r w:rsidRPr="00DC36FD">
        <w:rPr>
          <w:lang w:val="en-GB"/>
        </w:rPr>
        <w:t xml:space="preserve"> as </w:t>
      </w:r>
      <w:r w:rsidR="009B168F">
        <w:rPr>
          <w:lang w:val="en-GB"/>
        </w:rPr>
        <w:t xml:space="preserve">they required a combination of skills that weren’t always available: </w:t>
      </w:r>
      <w:r w:rsidRPr="00DC36FD">
        <w:rPr>
          <w:lang w:val="en-GB"/>
        </w:rPr>
        <w:t xml:space="preserve">the agribusiness management necessary to execute a successful growing season </w:t>
      </w:r>
      <w:r w:rsidR="009B168F">
        <w:rPr>
          <w:lang w:val="en-GB"/>
        </w:rPr>
        <w:t>and</w:t>
      </w:r>
      <w:r w:rsidRPr="00DC36FD">
        <w:rPr>
          <w:lang w:val="en-GB"/>
        </w:rPr>
        <w:t xml:space="preserve"> the technical skills of operating modern farm equipment. The seasonal nature of the business further exacerbated the problem and drove many prospective farm workers in rural areas into oil and gas jobs while farms close to the urban </w:t>
      </w:r>
      <w:r w:rsidR="009B168F" w:rsidRPr="00DC36FD">
        <w:rPr>
          <w:lang w:val="en-GB"/>
        </w:rPr>
        <w:t>cent</w:t>
      </w:r>
      <w:r w:rsidR="009B168F">
        <w:rPr>
          <w:lang w:val="en-GB"/>
        </w:rPr>
        <w:t>re</w:t>
      </w:r>
      <w:r w:rsidR="009B168F" w:rsidRPr="00DC36FD">
        <w:rPr>
          <w:lang w:val="en-GB"/>
        </w:rPr>
        <w:t xml:space="preserve">s </w:t>
      </w:r>
      <w:r w:rsidRPr="00DC36FD">
        <w:rPr>
          <w:lang w:val="en-GB"/>
        </w:rPr>
        <w:t>always contend</w:t>
      </w:r>
      <w:r w:rsidR="009B168F">
        <w:rPr>
          <w:lang w:val="en-GB"/>
        </w:rPr>
        <w:t>ed</w:t>
      </w:r>
      <w:r w:rsidRPr="00DC36FD">
        <w:rPr>
          <w:lang w:val="en-GB"/>
        </w:rPr>
        <w:t xml:space="preserve"> with the draw of city opportunities. Even the grandparents and retired neighbo</w:t>
      </w:r>
      <w:r w:rsidR="009B168F">
        <w:rPr>
          <w:lang w:val="en-GB"/>
        </w:rPr>
        <w:t>u</w:t>
      </w:r>
      <w:r w:rsidRPr="00DC36FD">
        <w:rPr>
          <w:lang w:val="en-GB"/>
        </w:rPr>
        <w:t>rs that were once relied on as seasonal help were less relevant as a labour pool</w:t>
      </w:r>
      <w:r w:rsidR="009B168F">
        <w:rPr>
          <w:lang w:val="en-GB"/>
        </w:rPr>
        <w:t>,</w:t>
      </w:r>
      <w:r w:rsidRPr="00DC36FD">
        <w:rPr>
          <w:lang w:val="en-GB"/>
        </w:rPr>
        <w:t xml:space="preserve"> given the complex nature of modern farm equipment. Operating a modern combine was more akin to flying an aircraft than driving a car. Many farm owners also maintained off-farm occupations to help alleviate the ever-present risk of a crop failure and cash flow concerns. </w:t>
      </w:r>
    </w:p>
    <w:p w14:paraId="4DF4029F" w14:textId="77777777" w:rsidR="008D5F87" w:rsidRPr="00DC36FD" w:rsidRDefault="008D5F87" w:rsidP="008D5F87">
      <w:pPr>
        <w:pStyle w:val="BodyTextMain"/>
        <w:rPr>
          <w:lang w:val="en-GB"/>
        </w:rPr>
      </w:pPr>
    </w:p>
    <w:p w14:paraId="2515661B" w14:textId="77777777" w:rsidR="008D5F87" w:rsidRPr="00DC36FD" w:rsidRDefault="008D5F87" w:rsidP="008D5F87">
      <w:pPr>
        <w:pStyle w:val="BodyTextMain"/>
        <w:rPr>
          <w:lang w:val="en-GB"/>
        </w:rPr>
      </w:pPr>
    </w:p>
    <w:p w14:paraId="40FAD334" w14:textId="5DEF0415" w:rsidR="008D5F87" w:rsidRPr="00DC36FD" w:rsidRDefault="00122B1B" w:rsidP="000D347B">
      <w:pPr>
        <w:pStyle w:val="Casehead2"/>
        <w:rPr>
          <w:lang w:val="en-GB"/>
        </w:rPr>
      </w:pPr>
      <w:r>
        <w:rPr>
          <w:lang w:val="en-GB"/>
        </w:rPr>
        <w:t xml:space="preserve">The </w:t>
      </w:r>
      <w:r w:rsidR="008D5F87" w:rsidRPr="00DC36FD">
        <w:rPr>
          <w:lang w:val="en-GB"/>
        </w:rPr>
        <w:t>Crisis of Cash Flow</w:t>
      </w:r>
    </w:p>
    <w:p w14:paraId="718550F9" w14:textId="77777777" w:rsidR="008D5F87" w:rsidRPr="00DC36FD" w:rsidRDefault="008D5F87" w:rsidP="008D5F87">
      <w:pPr>
        <w:pStyle w:val="BodyTextMain"/>
        <w:rPr>
          <w:lang w:val="en-GB"/>
        </w:rPr>
      </w:pPr>
    </w:p>
    <w:p w14:paraId="22804D8E" w14:textId="683846D0" w:rsidR="008D5F87" w:rsidRPr="00DC36FD" w:rsidRDefault="008D5F87" w:rsidP="008D5F87">
      <w:pPr>
        <w:pStyle w:val="BodyTextMain"/>
        <w:rPr>
          <w:lang w:val="en-GB"/>
        </w:rPr>
      </w:pPr>
      <w:r w:rsidRPr="00DC36FD">
        <w:rPr>
          <w:lang w:val="en-GB"/>
        </w:rPr>
        <w:t>A significant risk for a farming operation was managing cash flows. While most businesses had working capital requirements for inventory and receivables, the working capital typically turned into cash inflows in a matter of a few months. In farming, the lead times from the cash outflows</w:t>
      </w:r>
      <w:r w:rsidR="009B168F">
        <w:rPr>
          <w:lang w:val="en-GB"/>
        </w:rPr>
        <w:t>,</w:t>
      </w:r>
      <w:r w:rsidRPr="00DC36FD">
        <w:rPr>
          <w:lang w:val="en-GB"/>
        </w:rPr>
        <w:t xml:space="preserve"> such as crop inputs, </w:t>
      </w:r>
      <w:r w:rsidR="009B168F">
        <w:rPr>
          <w:lang w:val="en-GB"/>
        </w:rPr>
        <w:t xml:space="preserve">the </w:t>
      </w:r>
      <w:r w:rsidRPr="00DC36FD">
        <w:rPr>
          <w:lang w:val="en-GB"/>
        </w:rPr>
        <w:t xml:space="preserve">interest and principal on </w:t>
      </w:r>
      <w:r w:rsidR="009B168F">
        <w:rPr>
          <w:lang w:val="en-GB"/>
        </w:rPr>
        <w:t xml:space="preserve">the </w:t>
      </w:r>
      <w:r w:rsidRPr="00DC36FD">
        <w:rPr>
          <w:lang w:val="en-GB"/>
        </w:rPr>
        <w:t xml:space="preserve">financing of land and machinery, fuel, wages, </w:t>
      </w:r>
      <w:r w:rsidR="009B168F">
        <w:rPr>
          <w:lang w:val="en-GB"/>
        </w:rPr>
        <w:t xml:space="preserve">and </w:t>
      </w:r>
      <w:r w:rsidRPr="00DC36FD">
        <w:rPr>
          <w:lang w:val="en-GB"/>
        </w:rPr>
        <w:t>insurance</w:t>
      </w:r>
      <w:r w:rsidR="009B168F">
        <w:rPr>
          <w:lang w:val="en-GB"/>
        </w:rPr>
        <w:t>,</w:t>
      </w:r>
      <w:r w:rsidRPr="00DC36FD">
        <w:rPr>
          <w:lang w:val="en-GB"/>
        </w:rPr>
        <w:t xml:space="preserve"> preceded the cash inflows from crop sales by many months and sometimes </w:t>
      </w:r>
      <w:r w:rsidR="00B31FA6">
        <w:rPr>
          <w:lang w:val="en-GB"/>
        </w:rPr>
        <w:t>by more than</w:t>
      </w:r>
      <w:r w:rsidR="00B31FA6" w:rsidRPr="00DC36FD">
        <w:rPr>
          <w:lang w:val="en-GB"/>
        </w:rPr>
        <w:t xml:space="preserve"> </w:t>
      </w:r>
      <w:r w:rsidRPr="00DC36FD">
        <w:rPr>
          <w:lang w:val="en-GB"/>
        </w:rPr>
        <w:t xml:space="preserve">a year. </w:t>
      </w:r>
    </w:p>
    <w:p w14:paraId="2F2C060C" w14:textId="77777777" w:rsidR="008D5F87" w:rsidRPr="00DC36FD" w:rsidRDefault="008D5F87" w:rsidP="008D5F87">
      <w:pPr>
        <w:pStyle w:val="BodyTextMain"/>
        <w:rPr>
          <w:lang w:val="en-GB"/>
        </w:rPr>
      </w:pPr>
    </w:p>
    <w:p w14:paraId="46F0BC72" w14:textId="7FB114AE" w:rsidR="008D5F87" w:rsidRPr="00DC36FD" w:rsidRDefault="008D5F87" w:rsidP="008D5F87">
      <w:pPr>
        <w:pStyle w:val="BodyTextMain"/>
        <w:rPr>
          <w:lang w:val="en-GB"/>
        </w:rPr>
      </w:pPr>
      <w:r w:rsidRPr="00DC36FD">
        <w:rPr>
          <w:lang w:val="en-GB"/>
        </w:rPr>
        <w:t xml:space="preserve">As almost all of the farm’s cash outflows </w:t>
      </w:r>
      <w:r w:rsidR="009B168F">
        <w:rPr>
          <w:lang w:val="en-GB"/>
        </w:rPr>
        <w:t>we</w:t>
      </w:r>
      <w:r w:rsidR="009B168F" w:rsidRPr="00DC36FD">
        <w:rPr>
          <w:lang w:val="en-GB"/>
        </w:rPr>
        <w:t xml:space="preserve">re </w:t>
      </w:r>
      <w:r w:rsidRPr="00DC36FD">
        <w:rPr>
          <w:lang w:val="en-GB"/>
        </w:rPr>
        <w:t xml:space="preserve">expended before the crop was harvested and ultimately sold, the economic effects of a crop failure were particularly acute. While other businesses could potentially avoid variable expenses if the revenue </w:t>
      </w:r>
      <w:r w:rsidR="009B168F" w:rsidRPr="00DC36FD">
        <w:rPr>
          <w:lang w:val="en-GB"/>
        </w:rPr>
        <w:t>d</w:t>
      </w:r>
      <w:r w:rsidR="009B168F">
        <w:rPr>
          <w:lang w:val="en-GB"/>
        </w:rPr>
        <w:t>id</w:t>
      </w:r>
      <w:r w:rsidR="009B168F" w:rsidRPr="00DC36FD">
        <w:rPr>
          <w:lang w:val="en-GB"/>
        </w:rPr>
        <w:t xml:space="preserve"> </w:t>
      </w:r>
      <w:r w:rsidRPr="00DC36FD">
        <w:rPr>
          <w:lang w:val="en-GB"/>
        </w:rPr>
        <w:t>not materialize, farmer</w:t>
      </w:r>
      <w:r w:rsidR="009B168F">
        <w:rPr>
          <w:lang w:val="en-GB"/>
        </w:rPr>
        <w:t>s</w:t>
      </w:r>
      <w:r w:rsidRPr="00DC36FD">
        <w:rPr>
          <w:lang w:val="en-GB"/>
        </w:rPr>
        <w:t xml:space="preserve"> had already incurred all of the</w:t>
      </w:r>
      <w:r w:rsidR="00B31FA6">
        <w:rPr>
          <w:lang w:val="en-GB"/>
        </w:rPr>
        <w:t>ir</w:t>
      </w:r>
      <w:r w:rsidRPr="00DC36FD">
        <w:rPr>
          <w:lang w:val="en-GB"/>
        </w:rPr>
        <w:t xml:space="preserve"> fixed and variable expenses before any revenue was realized. Thus</w:t>
      </w:r>
      <w:r w:rsidR="009B168F">
        <w:rPr>
          <w:lang w:val="en-GB"/>
        </w:rPr>
        <w:t>,</w:t>
      </w:r>
      <w:r w:rsidRPr="00DC36FD">
        <w:rPr>
          <w:lang w:val="en-GB"/>
        </w:rPr>
        <w:t xml:space="preserve"> any reduction in revenue</w:t>
      </w:r>
      <w:r w:rsidR="009B168F">
        <w:rPr>
          <w:lang w:val="en-GB"/>
        </w:rPr>
        <w:t>,</w:t>
      </w:r>
      <w:r w:rsidRPr="00DC36FD">
        <w:rPr>
          <w:lang w:val="en-GB"/>
        </w:rPr>
        <w:t xml:space="preserve"> due to crop failure or low commodity prices</w:t>
      </w:r>
      <w:r w:rsidR="009B168F">
        <w:rPr>
          <w:lang w:val="en-GB"/>
        </w:rPr>
        <w:t>,</w:t>
      </w:r>
      <w:r w:rsidRPr="00DC36FD">
        <w:rPr>
          <w:lang w:val="en-GB"/>
        </w:rPr>
        <w:t xml:space="preserve"> directly affected the operating earnings of the farm operation with little or no reduction of expenses. </w:t>
      </w:r>
    </w:p>
    <w:p w14:paraId="1C7A4333" w14:textId="77777777" w:rsidR="008D5F87" w:rsidRPr="00DC36FD" w:rsidRDefault="008D5F87" w:rsidP="008D5F87">
      <w:pPr>
        <w:pStyle w:val="BodyTextMain"/>
        <w:rPr>
          <w:lang w:val="en-GB"/>
        </w:rPr>
      </w:pPr>
    </w:p>
    <w:p w14:paraId="1970B094" w14:textId="77777777" w:rsidR="008D5F87" w:rsidRPr="00DC36FD" w:rsidRDefault="008D5F87" w:rsidP="008D5F87">
      <w:pPr>
        <w:pStyle w:val="BodyTextMain"/>
        <w:rPr>
          <w:lang w:val="en-GB"/>
        </w:rPr>
      </w:pPr>
    </w:p>
    <w:p w14:paraId="1332E853" w14:textId="316A5882" w:rsidR="008D5F87" w:rsidRPr="00DC36FD" w:rsidRDefault="009B168F" w:rsidP="00566410">
      <w:pPr>
        <w:pStyle w:val="Casehead2"/>
        <w:rPr>
          <w:lang w:val="en-GB"/>
        </w:rPr>
      </w:pPr>
      <w:r>
        <w:rPr>
          <w:lang w:val="en-GB"/>
        </w:rPr>
        <w:t xml:space="preserve">The </w:t>
      </w:r>
      <w:r w:rsidR="008D5F87" w:rsidRPr="00DC36FD">
        <w:rPr>
          <w:lang w:val="en-GB"/>
        </w:rPr>
        <w:t xml:space="preserve">Trucking Industry </w:t>
      </w:r>
    </w:p>
    <w:p w14:paraId="2307615D" w14:textId="77777777" w:rsidR="008D5F87" w:rsidRPr="00DC36FD" w:rsidRDefault="008D5F87" w:rsidP="008D5F87">
      <w:pPr>
        <w:pStyle w:val="Casehead2"/>
        <w:rPr>
          <w:lang w:val="en-GB"/>
        </w:rPr>
      </w:pPr>
    </w:p>
    <w:p w14:paraId="6D2F02E0" w14:textId="77777777" w:rsidR="008D5F87" w:rsidRPr="00DC36FD" w:rsidRDefault="008D5F87" w:rsidP="00566410">
      <w:pPr>
        <w:pStyle w:val="Casehead3"/>
        <w:rPr>
          <w:lang w:val="en-GB"/>
        </w:rPr>
      </w:pPr>
      <w:r w:rsidRPr="00DC36FD">
        <w:rPr>
          <w:lang w:val="en-GB"/>
        </w:rPr>
        <w:t>Bin Hauling</w:t>
      </w:r>
    </w:p>
    <w:p w14:paraId="3F8E4043" w14:textId="77777777" w:rsidR="008D5F87" w:rsidRPr="00DC36FD" w:rsidRDefault="008D5F87" w:rsidP="008D5F87">
      <w:pPr>
        <w:pStyle w:val="BodyTextMain"/>
        <w:rPr>
          <w:lang w:val="en-GB"/>
        </w:rPr>
      </w:pPr>
    </w:p>
    <w:p w14:paraId="4F4431F7" w14:textId="77925FB3" w:rsidR="008D5F87" w:rsidRPr="00DC36FD" w:rsidRDefault="009B168F" w:rsidP="008D5F87">
      <w:pPr>
        <w:pStyle w:val="BodyTextMain"/>
        <w:rPr>
          <w:lang w:val="en-GB"/>
        </w:rPr>
      </w:pPr>
      <w:r>
        <w:rPr>
          <w:lang w:val="en-GB"/>
        </w:rPr>
        <w:t>T</w:t>
      </w:r>
      <w:r w:rsidRPr="00DC36FD">
        <w:rPr>
          <w:lang w:val="en-GB"/>
        </w:rPr>
        <w:t>he demand for on-site grain bins had increased in the past decade</w:t>
      </w:r>
      <w:r>
        <w:rPr>
          <w:lang w:val="en-GB"/>
        </w:rPr>
        <w:t>,</w:t>
      </w:r>
      <w:r w:rsidRPr="00DC36FD">
        <w:rPr>
          <w:lang w:val="en-GB"/>
        </w:rPr>
        <w:t xml:space="preserve"> </w:t>
      </w:r>
      <w:r>
        <w:rPr>
          <w:lang w:val="en-GB"/>
        </w:rPr>
        <w:t>as a result of</w:t>
      </w:r>
      <w:r w:rsidRPr="00DC36FD">
        <w:rPr>
          <w:lang w:val="en-GB"/>
        </w:rPr>
        <w:t xml:space="preserve"> </w:t>
      </w:r>
      <w:r w:rsidR="008D5F87" w:rsidRPr="00DC36FD">
        <w:rPr>
          <w:lang w:val="en-GB"/>
        </w:rPr>
        <w:t>the growing size of farm operations and the distance of the farms to grain terminals. Grain bins varied in length and diameter</w:t>
      </w:r>
      <w:r w:rsidR="001B45E0">
        <w:rPr>
          <w:lang w:val="en-GB"/>
        </w:rPr>
        <w:t>;</w:t>
      </w:r>
      <w:r w:rsidR="008D5F87" w:rsidRPr="00DC36FD">
        <w:rPr>
          <w:lang w:val="en-GB"/>
        </w:rPr>
        <w:t xml:space="preserve"> the </w:t>
      </w:r>
      <w:r w:rsidR="008D5F87" w:rsidRPr="00DC36FD">
        <w:rPr>
          <w:lang w:val="en-GB"/>
        </w:rPr>
        <w:lastRenderedPageBreak/>
        <w:t xml:space="preserve">larger bins </w:t>
      </w:r>
      <w:r w:rsidR="001B45E0">
        <w:rPr>
          <w:lang w:val="en-GB"/>
        </w:rPr>
        <w:t>were</w:t>
      </w:r>
      <w:r w:rsidR="008D5F87" w:rsidRPr="00DC36FD">
        <w:rPr>
          <w:lang w:val="en-GB"/>
        </w:rPr>
        <w:t xml:space="preserve"> up to 32 feet </w:t>
      </w:r>
      <w:r w:rsidR="00A1299F">
        <w:rPr>
          <w:lang w:val="en-GB"/>
        </w:rPr>
        <w:t xml:space="preserve">(9.8 metres) </w:t>
      </w:r>
      <w:r w:rsidR="008D5F87" w:rsidRPr="00DC36FD">
        <w:rPr>
          <w:lang w:val="en-GB"/>
        </w:rPr>
        <w:t xml:space="preserve">long and </w:t>
      </w:r>
      <w:r w:rsidR="001B45E0">
        <w:rPr>
          <w:lang w:val="en-GB"/>
        </w:rPr>
        <w:t xml:space="preserve">had </w:t>
      </w:r>
      <w:r w:rsidR="008D5F87" w:rsidRPr="00DC36FD">
        <w:rPr>
          <w:lang w:val="en-GB"/>
        </w:rPr>
        <w:t>a diameter of 20 f</w:t>
      </w:r>
      <w:r w:rsidR="00A1299F">
        <w:rPr>
          <w:lang w:val="en-GB"/>
        </w:rPr>
        <w:t>ee</w:t>
      </w:r>
      <w:r w:rsidR="008D5F87" w:rsidRPr="00DC36FD">
        <w:rPr>
          <w:lang w:val="en-GB"/>
        </w:rPr>
        <w:t>t</w:t>
      </w:r>
      <w:r w:rsidR="00A1299F">
        <w:rPr>
          <w:lang w:val="en-GB"/>
        </w:rPr>
        <w:t xml:space="preserve"> (6 metres)</w:t>
      </w:r>
      <w:r w:rsidR="008D5F87" w:rsidRPr="00DC36FD">
        <w:rPr>
          <w:lang w:val="en-GB"/>
        </w:rPr>
        <w:t xml:space="preserve">. Bin delivery required the use of a pilot truck (the largest bins require two pilot trucks) to </w:t>
      </w:r>
      <w:r w:rsidR="00A1299F">
        <w:rPr>
          <w:lang w:val="en-GB"/>
        </w:rPr>
        <w:t>precede</w:t>
      </w:r>
      <w:r w:rsidR="00A1299F" w:rsidRPr="00DC36FD">
        <w:rPr>
          <w:lang w:val="en-GB"/>
        </w:rPr>
        <w:t xml:space="preserve"> </w:t>
      </w:r>
      <w:r w:rsidR="008D5F87" w:rsidRPr="00DC36FD">
        <w:rPr>
          <w:lang w:val="en-GB"/>
        </w:rPr>
        <w:t xml:space="preserve">the truck </w:t>
      </w:r>
      <w:r w:rsidR="00967187">
        <w:rPr>
          <w:lang w:val="en-GB"/>
        </w:rPr>
        <w:t xml:space="preserve">that was </w:t>
      </w:r>
      <w:r w:rsidR="008D5F87" w:rsidRPr="00DC36FD">
        <w:rPr>
          <w:lang w:val="en-GB"/>
        </w:rPr>
        <w:t>hauling the bin to warn of the large load approaching on the highway.</w:t>
      </w:r>
      <w:r w:rsidR="00DC36FD" w:rsidRPr="00DC36FD">
        <w:rPr>
          <w:lang w:val="en-GB"/>
        </w:rPr>
        <w:t xml:space="preserve"> </w:t>
      </w:r>
    </w:p>
    <w:p w14:paraId="063DB297" w14:textId="77777777" w:rsidR="008D5F87" w:rsidRPr="00DC36FD" w:rsidRDefault="008D5F87" w:rsidP="008D5F87">
      <w:pPr>
        <w:pStyle w:val="BodyTextMain"/>
        <w:rPr>
          <w:lang w:val="en-GB"/>
        </w:rPr>
      </w:pPr>
    </w:p>
    <w:p w14:paraId="07F906E0" w14:textId="4773498D" w:rsidR="008D5F87" w:rsidRPr="00DC36FD" w:rsidRDefault="008D5F87" w:rsidP="008D5F87">
      <w:pPr>
        <w:pStyle w:val="BodyTextMain"/>
        <w:rPr>
          <w:lang w:val="en-GB"/>
        </w:rPr>
      </w:pPr>
      <w:r w:rsidRPr="00DC36FD">
        <w:rPr>
          <w:lang w:val="en-GB"/>
        </w:rPr>
        <w:t>Bin hauling required specialized trailers that enabled the large round grain storage bins to be delivered to a farm fully assembled (see Exhibit 4).</w:t>
      </w:r>
      <w:r w:rsidR="00DC36FD" w:rsidRPr="00DC36FD">
        <w:rPr>
          <w:lang w:val="en-GB"/>
        </w:rPr>
        <w:t xml:space="preserve"> </w:t>
      </w:r>
      <w:r w:rsidRPr="00DC36FD">
        <w:rPr>
          <w:lang w:val="en-GB"/>
        </w:rPr>
        <w:t xml:space="preserve">The trailers utilized a hydraulic lift system to transport the grain bins in a horizontal position. Once at their delivered destination, the trailers were able to place the bins in a specific location in a vertical position. </w:t>
      </w:r>
    </w:p>
    <w:p w14:paraId="778985CE" w14:textId="77777777" w:rsidR="008D5F87" w:rsidRPr="00DC36FD" w:rsidRDefault="008D5F87" w:rsidP="008D5F87">
      <w:pPr>
        <w:pStyle w:val="BodyTextMain"/>
        <w:rPr>
          <w:lang w:val="en-GB"/>
        </w:rPr>
      </w:pPr>
    </w:p>
    <w:p w14:paraId="71DF2625" w14:textId="4AD9D550" w:rsidR="008D5F87" w:rsidRPr="00DC36FD" w:rsidRDefault="008D5F87" w:rsidP="008D5F87">
      <w:pPr>
        <w:pStyle w:val="BodyTextMain"/>
        <w:rPr>
          <w:lang w:val="en-GB"/>
        </w:rPr>
      </w:pPr>
      <w:r w:rsidRPr="00DC36FD">
        <w:rPr>
          <w:lang w:val="en-GB"/>
        </w:rPr>
        <w:t>The hauling of bins required permits from the Ministry of Highways</w:t>
      </w:r>
      <w:r w:rsidR="00A1299F">
        <w:rPr>
          <w:lang w:val="en-GB"/>
        </w:rPr>
        <w:t>,</w:t>
      </w:r>
      <w:r w:rsidRPr="00DC36FD">
        <w:rPr>
          <w:lang w:val="en-GB"/>
        </w:rPr>
        <w:t xml:space="preserve"> and the larger bins also required coordination with the provincial power company to lift power lines that cross</w:t>
      </w:r>
      <w:r w:rsidR="00A1299F">
        <w:rPr>
          <w:lang w:val="en-GB"/>
        </w:rPr>
        <w:t>ed</w:t>
      </w:r>
      <w:r w:rsidRPr="00DC36FD">
        <w:rPr>
          <w:lang w:val="en-GB"/>
        </w:rPr>
        <w:t xml:space="preserve"> the highway. As a result, a great deal of management time was needed in coordinating deliveries, obtaining permits</w:t>
      </w:r>
      <w:r w:rsidR="00A1299F">
        <w:rPr>
          <w:lang w:val="en-GB"/>
        </w:rPr>
        <w:t>,</w:t>
      </w:r>
      <w:r w:rsidRPr="00DC36FD">
        <w:rPr>
          <w:lang w:val="en-GB"/>
        </w:rPr>
        <w:t xml:space="preserve"> and arranging for the lifting of power lines. Also, two drivers (three for the larger bins) were needed for each delivery to accommodate both the pilot truck and the delivery truck.</w:t>
      </w:r>
    </w:p>
    <w:p w14:paraId="18C75274" w14:textId="77777777" w:rsidR="008D5F87" w:rsidRPr="00DC36FD" w:rsidRDefault="008D5F87" w:rsidP="008D5F87">
      <w:pPr>
        <w:pStyle w:val="BodyTextMain"/>
        <w:rPr>
          <w:lang w:val="en-GB"/>
        </w:rPr>
      </w:pPr>
    </w:p>
    <w:p w14:paraId="31B2ED1B" w14:textId="2CD98742" w:rsidR="008D5F87" w:rsidRPr="00DC36FD" w:rsidRDefault="008D5F87" w:rsidP="008D5F87">
      <w:pPr>
        <w:pStyle w:val="BodyTextMain"/>
        <w:rPr>
          <w:lang w:val="en-GB"/>
        </w:rPr>
      </w:pPr>
      <w:r w:rsidRPr="00DC36FD">
        <w:rPr>
          <w:lang w:val="en-GB"/>
        </w:rPr>
        <w:t xml:space="preserve">The peak period for bin hauling </w:t>
      </w:r>
      <w:r w:rsidR="00A1299F">
        <w:rPr>
          <w:lang w:val="en-GB"/>
        </w:rPr>
        <w:t>occurred from</w:t>
      </w:r>
      <w:r w:rsidRPr="00DC36FD">
        <w:rPr>
          <w:lang w:val="en-GB"/>
        </w:rPr>
        <w:t xml:space="preserve"> August to October, which coincided with the harvest period and the increased need for grain storage.</w:t>
      </w:r>
    </w:p>
    <w:p w14:paraId="383EEACB" w14:textId="77777777" w:rsidR="008D5F87" w:rsidRPr="00DC36FD" w:rsidRDefault="008D5F87" w:rsidP="008D5F87">
      <w:pPr>
        <w:pStyle w:val="BodyTextMain"/>
        <w:rPr>
          <w:lang w:val="en-GB"/>
        </w:rPr>
      </w:pPr>
    </w:p>
    <w:p w14:paraId="60C23A3F" w14:textId="77777777" w:rsidR="008D5F87" w:rsidRPr="00DC36FD" w:rsidRDefault="008D5F87" w:rsidP="008D5F87">
      <w:pPr>
        <w:pStyle w:val="BodyTextMain"/>
        <w:rPr>
          <w:lang w:val="en-GB"/>
        </w:rPr>
      </w:pPr>
    </w:p>
    <w:p w14:paraId="16416E30" w14:textId="498BDBF6" w:rsidR="008D5F87" w:rsidRPr="00DC36FD" w:rsidRDefault="008D5F87" w:rsidP="00566410">
      <w:pPr>
        <w:pStyle w:val="Casehead3"/>
        <w:rPr>
          <w:lang w:val="en-GB"/>
        </w:rPr>
      </w:pPr>
      <w:r w:rsidRPr="00DC36FD">
        <w:rPr>
          <w:lang w:val="en-GB"/>
        </w:rPr>
        <w:t>Grain, Seed</w:t>
      </w:r>
      <w:r w:rsidR="00CF4AB2">
        <w:rPr>
          <w:lang w:val="en-GB"/>
        </w:rPr>
        <w:t>,</w:t>
      </w:r>
      <w:r w:rsidRPr="00DC36FD">
        <w:rPr>
          <w:lang w:val="en-GB"/>
        </w:rPr>
        <w:t xml:space="preserve"> and Fertilizer Hauling</w:t>
      </w:r>
    </w:p>
    <w:p w14:paraId="672CDF1B" w14:textId="77777777" w:rsidR="008D5F87" w:rsidRPr="00DC36FD" w:rsidRDefault="008D5F87" w:rsidP="008D5F87">
      <w:pPr>
        <w:pStyle w:val="BodyTextMain"/>
        <w:rPr>
          <w:lang w:val="en-GB"/>
        </w:rPr>
      </w:pPr>
    </w:p>
    <w:p w14:paraId="3F780D70" w14:textId="50BAC660" w:rsidR="008D5F87" w:rsidRPr="00DC36FD" w:rsidRDefault="008D5F87" w:rsidP="008D5F87">
      <w:pPr>
        <w:pStyle w:val="BodyTextMain"/>
        <w:rPr>
          <w:lang w:val="en-GB"/>
        </w:rPr>
      </w:pPr>
      <w:r w:rsidRPr="00DC36FD">
        <w:rPr>
          <w:lang w:val="en-GB"/>
        </w:rPr>
        <w:t>Grain hauling was a service provided to other farmers for the delivery of their grain to the grain terminals. As the distance of the farms to grain terminals increased, larger trailers were utilized to haul grain.</w:t>
      </w:r>
      <w:r w:rsidR="00566410" w:rsidRPr="00DC36FD">
        <w:rPr>
          <w:lang w:val="en-GB"/>
        </w:rPr>
        <w:t xml:space="preserve"> </w:t>
      </w:r>
      <w:r w:rsidRPr="00DC36FD">
        <w:rPr>
          <w:lang w:val="en-GB"/>
        </w:rPr>
        <w:t xml:space="preserve">Grain and fertilizer could be delivered using a “Super B Train” trailer </w:t>
      </w:r>
      <w:r w:rsidR="00CF4AB2">
        <w:rPr>
          <w:lang w:val="en-GB"/>
        </w:rPr>
        <w:t xml:space="preserve">that </w:t>
      </w:r>
      <w:r w:rsidRPr="00DC36FD">
        <w:rPr>
          <w:lang w:val="en-GB"/>
        </w:rPr>
        <w:t xml:space="preserve">could haul </w:t>
      </w:r>
      <w:r w:rsidR="00967187">
        <w:rPr>
          <w:lang w:val="en-GB"/>
        </w:rPr>
        <w:t xml:space="preserve">a payload of </w:t>
      </w:r>
      <w:r w:rsidRPr="00DC36FD">
        <w:rPr>
          <w:lang w:val="en-GB"/>
        </w:rPr>
        <w:t>up to 46.5 ton</w:t>
      </w:r>
      <w:r w:rsidR="00967187">
        <w:rPr>
          <w:lang w:val="en-GB"/>
        </w:rPr>
        <w:t>s</w:t>
      </w:r>
      <w:r w:rsidRPr="00DC36FD">
        <w:rPr>
          <w:lang w:val="en-GB"/>
        </w:rPr>
        <w:t xml:space="preserve"> (</w:t>
      </w:r>
      <w:r w:rsidR="00CF4AB2">
        <w:rPr>
          <w:lang w:val="en-GB"/>
        </w:rPr>
        <w:t>42.2 tonnes, or approximately</w:t>
      </w:r>
      <w:r w:rsidR="00CF4AB2" w:rsidRPr="00DC36FD">
        <w:rPr>
          <w:lang w:val="en-GB"/>
        </w:rPr>
        <w:t xml:space="preserve"> </w:t>
      </w:r>
      <w:r w:rsidRPr="00DC36FD">
        <w:rPr>
          <w:lang w:val="en-GB"/>
        </w:rPr>
        <w:t>1</w:t>
      </w:r>
      <w:r w:rsidR="00A1299F">
        <w:rPr>
          <w:lang w:val="en-GB"/>
        </w:rPr>
        <w:t>,</w:t>
      </w:r>
      <w:r w:rsidRPr="00DC36FD">
        <w:rPr>
          <w:lang w:val="en-GB"/>
        </w:rPr>
        <w:t>700 bushels of wheat)</w:t>
      </w:r>
      <w:r w:rsidR="00C322A5">
        <w:rPr>
          <w:lang w:val="en-GB"/>
        </w:rPr>
        <w:t>,</w:t>
      </w:r>
      <w:r w:rsidRPr="00DC36FD">
        <w:rPr>
          <w:lang w:val="en-GB"/>
        </w:rPr>
        <w:t xml:space="preserve"> depending on road conditions (see Exhibit 5).</w:t>
      </w:r>
      <w:r w:rsidRPr="00DC36FD">
        <w:rPr>
          <w:rStyle w:val="FootnoteReference"/>
          <w:lang w:val="en-GB"/>
        </w:rPr>
        <w:footnoteReference w:id="9"/>
      </w:r>
      <w:r w:rsidR="00DC36FD" w:rsidRPr="00DC36FD">
        <w:rPr>
          <w:lang w:val="en-GB"/>
        </w:rPr>
        <w:t xml:space="preserve"> </w:t>
      </w:r>
      <w:r w:rsidRPr="00DC36FD">
        <w:rPr>
          <w:lang w:val="en-GB"/>
        </w:rPr>
        <w:t xml:space="preserve">Fertilizer was particularly corrosive </w:t>
      </w:r>
      <w:r w:rsidR="00967187">
        <w:rPr>
          <w:lang w:val="en-GB"/>
        </w:rPr>
        <w:t>to</w:t>
      </w:r>
      <w:r w:rsidR="00967187" w:rsidRPr="00DC36FD">
        <w:rPr>
          <w:lang w:val="en-GB"/>
        </w:rPr>
        <w:t xml:space="preserve"> </w:t>
      </w:r>
      <w:r w:rsidRPr="00DC36FD">
        <w:rPr>
          <w:lang w:val="en-GB"/>
        </w:rPr>
        <w:t xml:space="preserve">trailers and could increase </w:t>
      </w:r>
      <w:r w:rsidR="00C322A5">
        <w:rPr>
          <w:lang w:val="en-GB"/>
        </w:rPr>
        <w:t xml:space="preserve">both </w:t>
      </w:r>
      <w:r w:rsidRPr="00DC36FD">
        <w:rPr>
          <w:lang w:val="en-GB"/>
        </w:rPr>
        <w:t xml:space="preserve">depreciation </w:t>
      </w:r>
      <w:r w:rsidR="00C322A5">
        <w:rPr>
          <w:lang w:val="en-GB"/>
        </w:rPr>
        <w:t>and the</w:t>
      </w:r>
      <w:r w:rsidRPr="00DC36FD">
        <w:rPr>
          <w:lang w:val="en-GB"/>
        </w:rPr>
        <w:t xml:space="preserve"> costs associated with maintaining safety for insurance.</w:t>
      </w:r>
      <w:r w:rsidR="00DC36FD" w:rsidRPr="00DC36FD">
        <w:rPr>
          <w:lang w:val="en-GB"/>
        </w:rPr>
        <w:t xml:space="preserve"> </w:t>
      </w:r>
      <w:r w:rsidRPr="00DC36FD">
        <w:rPr>
          <w:lang w:val="en-GB"/>
        </w:rPr>
        <w:t xml:space="preserve">Some trucking companies maintained special trailers to haul corrosive fertilizer or </w:t>
      </w:r>
      <w:r w:rsidR="00C322A5">
        <w:rPr>
          <w:lang w:val="en-GB"/>
        </w:rPr>
        <w:t xml:space="preserve">used </w:t>
      </w:r>
      <w:r w:rsidRPr="00DC36FD">
        <w:rPr>
          <w:lang w:val="en-GB"/>
        </w:rPr>
        <w:t>smaller grain trailers to access farmyards and gravel roads when spring season weight restrictions were in effect.</w:t>
      </w:r>
    </w:p>
    <w:p w14:paraId="7BA85A79" w14:textId="77777777" w:rsidR="008D5F87" w:rsidRPr="00DC36FD" w:rsidRDefault="008D5F87" w:rsidP="008D5F87">
      <w:pPr>
        <w:pStyle w:val="BodyTextMain"/>
        <w:rPr>
          <w:lang w:val="en-GB"/>
        </w:rPr>
      </w:pPr>
    </w:p>
    <w:p w14:paraId="04A3DD88" w14:textId="77777777" w:rsidR="008D5F87" w:rsidRPr="00DC36FD" w:rsidRDefault="008D5F87" w:rsidP="008D5F87">
      <w:pPr>
        <w:pStyle w:val="BodyTextMain"/>
        <w:rPr>
          <w:b/>
          <w:lang w:val="en-GB"/>
        </w:rPr>
      </w:pPr>
    </w:p>
    <w:p w14:paraId="1D764A67" w14:textId="77777777" w:rsidR="008D5F87" w:rsidRPr="00DC36FD" w:rsidRDefault="008D5F87" w:rsidP="00566410">
      <w:pPr>
        <w:pStyle w:val="Casehead3"/>
        <w:rPr>
          <w:lang w:val="en-GB"/>
        </w:rPr>
      </w:pPr>
      <w:r w:rsidRPr="00DC36FD">
        <w:rPr>
          <w:lang w:val="en-GB"/>
        </w:rPr>
        <w:t>Chemical Hauling</w:t>
      </w:r>
    </w:p>
    <w:p w14:paraId="5E111A66" w14:textId="77777777" w:rsidR="008D5F87" w:rsidRPr="00DC36FD" w:rsidRDefault="008D5F87" w:rsidP="008D5F87">
      <w:pPr>
        <w:pStyle w:val="BodyTextMain"/>
        <w:rPr>
          <w:lang w:val="en-GB"/>
        </w:rPr>
      </w:pPr>
    </w:p>
    <w:p w14:paraId="512E91BF" w14:textId="3F47FB14" w:rsidR="008D5F87" w:rsidRPr="00DC36FD" w:rsidRDefault="008D5F87" w:rsidP="008D5F87">
      <w:pPr>
        <w:pStyle w:val="BodyTextMain"/>
        <w:rPr>
          <w:lang w:val="en-GB"/>
        </w:rPr>
      </w:pPr>
      <w:r w:rsidRPr="00DC36FD">
        <w:rPr>
          <w:lang w:val="en-GB"/>
        </w:rPr>
        <w:t>Hauling chemicals and other goods required a flat</w:t>
      </w:r>
      <w:r w:rsidR="00C322A5">
        <w:rPr>
          <w:lang w:val="en-GB"/>
        </w:rPr>
        <w:t>-</w:t>
      </w:r>
      <w:r w:rsidRPr="00DC36FD">
        <w:rPr>
          <w:lang w:val="en-GB"/>
        </w:rPr>
        <w:t>deck trailer</w:t>
      </w:r>
      <w:r w:rsidR="00C322A5">
        <w:rPr>
          <w:lang w:val="en-GB"/>
        </w:rPr>
        <w:t>,</w:t>
      </w:r>
      <w:r w:rsidRPr="00DC36FD">
        <w:rPr>
          <w:lang w:val="en-GB"/>
        </w:rPr>
        <w:t xml:space="preserve"> which was the least complex and </w:t>
      </w:r>
      <w:r w:rsidR="00C322A5">
        <w:rPr>
          <w:lang w:val="en-GB"/>
        </w:rPr>
        <w:t xml:space="preserve">least </w:t>
      </w:r>
      <w:r w:rsidRPr="00DC36FD">
        <w:rPr>
          <w:lang w:val="en-GB"/>
        </w:rPr>
        <w:t xml:space="preserve">expensive of the three trailers but was very useful in a variety of applications. The driver needed to attain hazardous goods training to haul chemicals. </w:t>
      </w:r>
    </w:p>
    <w:p w14:paraId="029A2C4D" w14:textId="77777777" w:rsidR="008D5F87" w:rsidRPr="00DC36FD" w:rsidRDefault="008D5F87" w:rsidP="008D5F87">
      <w:pPr>
        <w:pStyle w:val="BodyTextMain"/>
        <w:rPr>
          <w:lang w:val="en-GB"/>
        </w:rPr>
      </w:pPr>
    </w:p>
    <w:p w14:paraId="6FA22644" w14:textId="77777777" w:rsidR="008D5F87" w:rsidRPr="00DC36FD" w:rsidRDefault="008D5F87" w:rsidP="008D5F87">
      <w:pPr>
        <w:pStyle w:val="BodyTextMain"/>
        <w:rPr>
          <w:lang w:val="en-GB"/>
        </w:rPr>
      </w:pPr>
    </w:p>
    <w:p w14:paraId="3AA2E38F" w14:textId="77777777" w:rsidR="008D5F87" w:rsidRPr="00DC36FD" w:rsidRDefault="008D5F87" w:rsidP="00566410">
      <w:pPr>
        <w:pStyle w:val="Casehead3"/>
        <w:rPr>
          <w:lang w:val="en-GB"/>
        </w:rPr>
      </w:pPr>
      <w:r w:rsidRPr="00DC36FD">
        <w:rPr>
          <w:lang w:val="en-GB"/>
        </w:rPr>
        <w:t>The Impact of Weather</w:t>
      </w:r>
    </w:p>
    <w:p w14:paraId="1600C23D" w14:textId="77777777" w:rsidR="008D5F87" w:rsidRPr="00DC36FD" w:rsidRDefault="008D5F87" w:rsidP="008D5F87">
      <w:pPr>
        <w:pStyle w:val="BodyTextMain"/>
        <w:rPr>
          <w:lang w:val="en-GB"/>
        </w:rPr>
      </w:pPr>
    </w:p>
    <w:p w14:paraId="3628571B" w14:textId="3423991C" w:rsidR="008D5F87" w:rsidRPr="00DC36FD" w:rsidRDefault="008D5F87" w:rsidP="008D5F87">
      <w:pPr>
        <w:pStyle w:val="BodyTextMain"/>
        <w:rPr>
          <w:lang w:val="en-GB"/>
        </w:rPr>
      </w:pPr>
      <w:r w:rsidRPr="00DC36FD">
        <w:rPr>
          <w:lang w:val="en-GB"/>
        </w:rPr>
        <w:t xml:space="preserve">Weather had a profound effect on the profitability of </w:t>
      </w:r>
      <w:r w:rsidR="00C322A5">
        <w:rPr>
          <w:lang w:val="en-GB"/>
        </w:rPr>
        <w:t>both the</w:t>
      </w:r>
      <w:r w:rsidRPr="00DC36FD">
        <w:rPr>
          <w:lang w:val="en-GB"/>
        </w:rPr>
        <w:t xml:space="preserve"> farming operation and the trucking operation. The excessive rain, drought, winds, </w:t>
      </w:r>
      <w:r w:rsidR="00C322A5">
        <w:rPr>
          <w:lang w:val="en-GB"/>
        </w:rPr>
        <w:t xml:space="preserve">and </w:t>
      </w:r>
      <w:r w:rsidRPr="00DC36FD">
        <w:rPr>
          <w:lang w:val="en-GB"/>
        </w:rPr>
        <w:t xml:space="preserve">hail that resulted in lower crop yields could </w:t>
      </w:r>
      <w:r w:rsidR="00C322A5">
        <w:rPr>
          <w:lang w:val="en-GB"/>
        </w:rPr>
        <w:t xml:space="preserve">also </w:t>
      </w:r>
      <w:r w:rsidRPr="00DC36FD">
        <w:rPr>
          <w:lang w:val="en-GB"/>
        </w:rPr>
        <w:t>lower the demand for grain bins and grain hauling</w:t>
      </w:r>
      <w:r w:rsidR="00C322A5">
        <w:rPr>
          <w:lang w:val="en-GB"/>
        </w:rPr>
        <w:t>,</w:t>
      </w:r>
      <w:r w:rsidRPr="00DC36FD">
        <w:rPr>
          <w:lang w:val="en-GB"/>
        </w:rPr>
        <w:t xml:space="preserve"> and could make deliveries challenging.</w:t>
      </w:r>
      <w:r w:rsidR="00DC36FD" w:rsidRPr="00DC36FD">
        <w:rPr>
          <w:lang w:val="en-GB"/>
        </w:rPr>
        <w:t xml:space="preserve"> </w:t>
      </w:r>
    </w:p>
    <w:p w14:paraId="44A28272" w14:textId="77777777" w:rsidR="008D5F87" w:rsidRPr="00DC36FD" w:rsidRDefault="008D5F87" w:rsidP="008D5F87">
      <w:pPr>
        <w:pStyle w:val="BodyTextMain"/>
        <w:rPr>
          <w:lang w:val="en-GB"/>
        </w:rPr>
      </w:pPr>
    </w:p>
    <w:p w14:paraId="0DD51E51" w14:textId="77777777" w:rsidR="007F362E" w:rsidRDefault="007F362E" w:rsidP="00566410">
      <w:pPr>
        <w:pStyle w:val="Casehead3"/>
        <w:rPr>
          <w:lang w:val="en-GB"/>
        </w:rPr>
      </w:pPr>
    </w:p>
    <w:p w14:paraId="29732EE0" w14:textId="77777777" w:rsidR="008D5F87" w:rsidRPr="00DC36FD" w:rsidRDefault="008D5F87" w:rsidP="00566410">
      <w:pPr>
        <w:pStyle w:val="Casehead3"/>
        <w:rPr>
          <w:lang w:val="en-GB"/>
        </w:rPr>
      </w:pPr>
      <w:r w:rsidRPr="00DC36FD">
        <w:rPr>
          <w:lang w:val="en-GB"/>
        </w:rPr>
        <w:t>Skilled Labour Still a Concern</w:t>
      </w:r>
    </w:p>
    <w:p w14:paraId="42DA0A96" w14:textId="77777777" w:rsidR="008D5F87" w:rsidRPr="00DC36FD" w:rsidRDefault="008D5F87" w:rsidP="008D5F87">
      <w:pPr>
        <w:pStyle w:val="BodyTextMain"/>
        <w:rPr>
          <w:lang w:val="en-GB"/>
        </w:rPr>
      </w:pPr>
    </w:p>
    <w:p w14:paraId="41D4F3B5" w14:textId="63F38C03" w:rsidR="008D5F87" w:rsidRPr="00DC36FD" w:rsidRDefault="00C322A5" w:rsidP="008D5F87">
      <w:pPr>
        <w:pStyle w:val="BodyTextMain"/>
        <w:rPr>
          <w:lang w:val="en-GB"/>
        </w:rPr>
      </w:pPr>
      <w:r>
        <w:rPr>
          <w:lang w:val="en-GB"/>
        </w:rPr>
        <w:lastRenderedPageBreak/>
        <w:t xml:space="preserve">To </w:t>
      </w:r>
      <w:r w:rsidR="008D5F87" w:rsidRPr="00DC36FD">
        <w:rPr>
          <w:lang w:val="en-GB"/>
        </w:rPr>
        <w:t>drive large trucks for the different types of deliveries, a driver needed a Class 1 licen</w:t>
      </w:r>
      <w:r>
        <w:rPr>
          <w:lang w:val="en-GB"/>
        </w:rPr>
        <w:t>c</w:t>
      </w:r>
      <w:r w:rsidR="008D5F87" w:rsidRPr="00DC36FD">
        <w:rPr>
          <w:lang w:val="en-GB"/>
        </w:rPr>
        <w:t>e</w:t>
      </w:r>
      <w:r>
        <w:rPr>
          <w:lang w:val="en-GB"/>
        </w:rPr>
        <w:t>, which required</w:t>
      </w:r>
      <w:r w:rsidR="008D5F87" w:rsidRPr="00DC36FD">
        <w:rPr>
          <w:lang w:val="en-GB"/>
        </w:rPr>
        <w:t xml:space="preserve"> oral or written knowledge tests for Class 1 vehicles and a road test in a Class 1 vehicle. A pre-trip inspection</w:t>
      </w:r>
      <w:r>
        <w:rPr>
          <w:lang w:val="en-GB"/>
        </w:rPr>
        <w:t>,</w:t>
      </w:r>
      <w:r w:rsidR="008D5F87" w:rsidRPr="00DC36FD">
        <w:rPr>
          <w:lang w:val="en-GB"/>
        </w:rPr>
        <w:t xml:space="preserve"> known as a circle check</w:t>
      </w:r>
      <w:r>
        <w:rPr>
          <w:lang w:val="en-GB"/>
        </w:rPr>
        <w:t>,</w:t>
      </w:r>
      <w:r w:rsidR="008D5F87" w:rsidRPr="00DC36FD">
        <w:rPr>
          <w:lang w:val="en-GB"/>
        </w:rPr>
        <w:t xml:space="preserve"> needed to be demonstrated at the time of the road test.</w:t>
      </w:r>
      <w:r w:rsidR="00C2111E" w:rsidRPr="00DC36FD">
        <w:rPr>
          <w:rStyle w:val="FootnoteReference"/>
          <w:lang w:val="en-GB"/>
        </w:rPr>
        <w:footnoteReference w:id="10"/>
      </w:r>
      <w:r w:rsidR="008D5F87" w:rsidRPr="00DC36FD">
        <w:rPr>
          <w:lang w:val="en-GB"/>
        </w:rPr>
        <w:t xml:space="preserve"> Drivers possessing this licen</w:t>
      </w:r>
      <w:r>
        <w:rPr>
          <w:lang w:val="en-GB"/>
        </w:rPr>
        <w:t>c</w:t>
      </w:r>
      <w:r w:rsidR="008D5F87" w:rsidRPr="00DC36FD">
        <w:rPr>
          <w:lang w:val="en-GB"/>
        </w:rPr>
        <w:t>e were in high demand, particularly during peak delivery seasons. Drivers typically sought to own and operate their own trucks and trailers</w:t>
      </w:r>
      <w:r>
        <w:rPr>
          <w:lang w:val="en-GB"/>
        </w:rPr>
        <w:t>,</w:t>
      </w:r>
      <w:r w:rsidR="008D5F87" w:rsidRPr="00DC36FD">
        <w:rPr>
          <w:lang w:val="en-GB"/>
        </w:rPr>
        <w:t xml:space="preserve"> often under the umbrella of a larger established trucking company. Maintaining loyal, long</w:t>
      </w:r>
      <w:r>
        <w:rPr>
          <w:lang w:val="en-GB"/>
        </w:rPr>
        <w:t>-</w:t>
      </w:r>
      <w:r w:rsidR="008D5F87" w:rsidRPr="00DC36FD">
        <w:rPr>
          <w:lang w:val="en-GB"/>
        </w:rPr>
        <w:t>standing employees was often a challenge</w:t>
      </w:r>
      <w:r>
        <w:rPr>
          <w:lang w:val="en-GB"/>
        </w:rPr>
        <w:t>,</w:t>
      </w:r>
      <w:r w:rsidR="008D5F87" w:rsidRPr="00DC36FD">
        <w:rPr>
          <w:lang w:val="en-GB"/>
        </w:rPr>
        <w:t xml:space="preserve"> as competitors could entice drivers away </w:t>
      </w:r>
      <w:r>
        <w:rPr>
          <w:lang w:val="en-GB"/>
        </w:rPr>
        <w:t>by offering</w:t>
      </w:r>
      <w:r w:rsidRPr="00DC36FD">
        <w:rPr>
          <w:lang w:val="en-GB"/>
        </w:rPr>
        <w:t xml:space="preserve"> </w:t>
      </w:r>
      <w:r w:rsidR="008D5F87" w:rsidRPr="00DC36FD">
        <w:rPr>
          <w:lang w:val="en-GB"/>
        </w:rPr>
        <w:t xml:space="preserve">higher wages. Drivers could be paid hourly or </w:t>
      </w:r>
      <w:r>
        <w:rPr>
          <w:lang w:val="en-GB"/>
        </w:rPr>
        <w:t xml:space="preserve">by </w:t>
      </w:r>
      <w:r w:rsidR="008D5F87" w:rsidRPr="00DC36FD">
        <w:rPr>
          <w:lang w:val="en-GB"/>
        </w:rPr>
        <w:t>piece rate by the tonnage hauled</w:t>
      </w:r>
      <w:r w:rsidR="008376DC">
        <w:rPr>
          <w:lang w:val="en-GB"/>
        </w:rPr>
        <w:t>,</w:t>
      </w:r>
      <w:r w:rsidR="008D5F87" w:rsidRPr="00DC36FD">
        <w:rPr>
          <w:lang w:val="en-GB"/>
        </w:rPr>
        <w:t xml:space="preserve"> while some farm employees receive</w:t>
      </w:r>
      <w:r w:rsidR="008376DC">
        <w:rPr>
          <w:lang w:val="en-GB"/>
        </w:rPr>
        <w:t>d</w:t>
      </w:r>
      <w:r w:rsidR="008D5F87" w:rsidRPr="00DC36FD">
        <w:rPr>
          <w:lang w:val="en-GB"/>
        </w:rPr>
        <w:t xml:space="preserve"> a salary and operate</w:t>
      </w:r>
      <w:r w:rsidR="008376DC">
        <w:rPr>
          <w:lang w:val="en-GB"/>
        </w:rPr>
        <w:t>d</w:t>
      </w:r>
      <w:r w:rsidR="008D5F87" w:rsidRPr="00DC36FD">
        <w:rPr>
          <w:lang w:val="en-GB"/>
        </w:rPr>
        <w:t xml:space="preserve"> a truck and trailer as part of their farming duties. One of the challenges in the hauling business was employing drivers over a cyclical year</w:t>
      </w:r>
      <w:r w:rsidR="008376DC">
        <w:rPr>
          <w:lang w:val="en-GB"/>
        </w:rPr>
        <w:t>,</w:t>
      </w:r>
      <w:r w:rsidR="008D5F87" w:rsidRPr="00DC36FD">
        <w:rPr>
          <w:lang w:val="en-GB"/>
        </w:rPr>
        <w:t xml:space="preserve"> where demand fluctuated from season to season and even from month to month. The scheduling of deliveries could also be complicated</w:t>
      </w:r>
      <w:r w:rsidR="008376DC">
        <w:rPr>
          <w:lang w:val="en-GB"/>
        </w:rPr>
        <w:t>,</w:t>
      </w:r>
      <w:r w:rsidR="008D5F87" w:rsidRPr="00DC36FD">
        <w:rPr>
          <w:lang w:val="en-GB"/>
        </w:rPr>
        <w:t xml:space="preserve"> as trucking companies sought to link deliveries and make use of “back hauls” to avoid empty miles on the road. Scheduling needs increased commensurately with deliveries. </w:t>
      </w:r>
    </w:p>
    <w:p w14:paraId="21965114" w14:textId="77777777" w:rsidR="008D5F87" w:rsidRPr="00DC36FD" w:rsidRDefault="008D5F87" w:rsidP="008D5F87">
      <w:pPr>
        <w:pStyle w:val="BodyTextMain"/>
        <w:rPr>
          <w:lang w:val="en-GB"/>
        </w:rPr>
      </w:pPr>
    </w:p>
    <w:p w14:paraId="1EB13C71" w14:textId="77777777" w:rsidR="008D5F87" w:rsidRPr="00DC36FD" w:rsidRDefault="008D5F87" w:rsidP="008D5F87">
      <w:pPr>
        <w:pStyle w:val="BodyTextMain"/>
        <w:rPr>
          <w:lang w:val="en-GB"/>
        </w:rPr>
      </w:pPr>
    </w:p>
    <w:p w14:paraId="10687C2B" w14:textId="77777777" w:rsidR="008D5F87" w:rsidRPr="00DC36FD" w:rsidRDefault="008D5F87" w:rsidP="008D5F87">
      <w:pPr>
        <w:pStyle w:val="Casehead1"/>
        <w:rPr>
          <w:lang w:val="en-GB"/>
        </w:rPr>
      </w:pPr>
      <w:r w:rsidRPr="00DC36FD">
        <w:rPr>
          <w:lang w:val="en-GB"/>
        </w:rPr>
        <w:t>COMPANY OPERATIONS</w:t>
      </w:r>
    </w:p>
    <w:p w14:paraId="13702B2E" w14:textId="77777777" w:rsidR="008D5F87" w:rsidRPr="00DC36FD" w:rsidRDefault="008D5F87" w:rsidP="008D5F87">
      <w:pPr>
        <w:pStyle w:val="Casehead1"/>
        <w:rPr>
          <w:lang w:val="en-GB"/>
        </w:rPr>
      </w:pPr>
    </w:p>
    <w:p w14:paraId="513547F8" w14:textId="77777777" w:rsidR="008D5F87" w:rsidRPr="00DC36FD" w:rsidRDefault="008D5F87" w:rsidP="00566410">
      <w:pPr>
        <w:pStyle w:val="Casehead2"/>
        <w:rPr>
          <w:lang w:val="en-GB"/>
        </w:rPr>
      </w:pPr>
      <w:r w:rsidRPr="00DC36FD">
        <w:rPr>
          <w:lang w:val="en-GB"/>
        </w:rPr>
        <w:t>Farming Operation</w:t>
      </w:r>
    </w:p>
    <w:p w14:paraId="0416E125" w14:textId="77777777" w:rsidR="008D5F87" w:rsidRPr="00DC36FD" w:rsidRDefault="008D5F87" w:rsidP="008D5F87">
      <w:pPr>
        <w:pStyle w:val="BodyTextMain"/>
        <w:rPr>
          <w:lang w:val="en-GB"/>
        </w:rPr>
      </w:pPr>
    </w:p>
    <w:p w14:paraId="7CC7F911" w14:textId="4F8DE1F2" w:rsidR="008D5F87" w:rsidRPr="00DC36FD" w:rsidRDefault="008D5F87" w:rsidP="008D5F87">
      <w:pPr>
        <w:pStyle w:val="BodyTextMain"/>
        <w:rPr>
          <w:lang w:val="en-GB"/>
        </w:rPr>
      </w:pPr>
      <w:r w:rsidRPr="00DC36FD">
        <w:rPr>
          <w:lang w:val="en-GB"/>
        </w:rPr>
        <w:t xml:space="preserve">The statement of earnings for </w:t>
      </w:r>
      <w:proofErr w:type="spellStart"/>
      <w:r w:rsidRPr="00DC36FD">
        <w:rPr>
          <w:lang w:val="en-GB"/>
        </w:rPr>
        <w:t>Meakin</w:t>
      </w:r>
      <w:proofErr w:type="spellEnd"/>
      <w:r w:rsidRPr="00DC36FD">
        <w:rPr>
          <w:lang w:val="en-GB"/>
        </w:rPr>
        <w:t xml:space="preserve"> Farms for the three-year period </w:t>
      </w:r>
      <w:r w:rsidR="008376DC">
        <w:rPr>
          <w:lang w:val="en-GB"/>
        </w:rPr>
        <w:t xml:space="preserve">2014–2016 </w:t>
      </w:r>
      <w:r w:rsidRPr="00DC36FD">
        <w:rPr>
          <w:lang w:val="en-GB"/>
        </w:rPr>
        <w:t xml:space="preserve">is provided in Exhibit </w:t>
      </w:r>
      <w:r w:rsidR="00D1089F" w:rsidRPr="00DC36FD">
        <w:rPr>
          <w:lang w:val="en-GB"/>
        </w:rPr>
        <w:t>6</w:t>
      </w:r>
      <w:r w:rsidRPr="00DC36FD">
        <w:rPr>
          <w:lang w:val="en-GB"/>
        </w:rPr>
        <w:t>.</w:t>
      </w:r>
    </w:p>
    <w:p w14:paraId="1EAAFCF6" w14:textId="77777777" w:rsidR="008D5F87" w:rsidRPr="00DC36FD" w:rsidRDefault="008D5F87" w:rsidP="008D5F87">
      <w:pPr>
        <w:pStyle w:val="BodyTextMain"/>
        <w:rPr>
          <w:lang w:val="en-GB"/>
        </w:rPr>
      </w:pPr>
    </w:p>
    <w:p w14:paraId="20B71F8B" w14:textId="3CF7BEA1" w:rsidR="008D5F87" w:rsidRPr="00DC36FD" w:rsidRDefault="008D5F87" w:rsidP="008D5F87">
      <w:pPr>
        <w:pStyle w:val="BodyTextMain"/>
        <w:rPr>
          <w:lang w:val="en-GB"/>
        </w:rPr>
      </w:pPr>
    </w:p>
    <w:p w14:paraId="2C41D77D" w14:textId="114F3B84" w:rsidR="008D5F87" w:rsidRPr="00DC36FD" w:rsidRDefault="008D5F87" w:rsidP="00566410">
      <w:pPr>
        <w:pStyle w:val="Casehead3"/>
        <w:rPr>
          <w:lang w:val="en-GB"/>
        </w:rPr>
      </w:pPr>
      <w:r w:rsidRPr="00DC36FD">
        <w:rPr>
          <w:lang w:val="en-GB"/>
        </w:rPr>
        <w:t>Land: Lease or Buy?</w:t>
      </w:r>
    </w:p>
    <w:p w14:paraId="74F48E87" w14:textId="77777777" w:rsidR="008D5F87" w:rsidRPr="00DC36FD" w:rsidRDefault="008D5F87" w:rsidP="008D5F87">
      <w:pPr>
        <w:pStyle w:val="BodyTextMain"/>
        <w:rPr>
          <w:lang w:val="en-GB"/>
        </w:rPr>
      </w:pPr>
    </w:p>
    <w:p w14:paraId="650CD31E" w14:textId="6DCF19CE" w:rsidR="008D5F87" w:rsidRPr="00DC36FD" w:rsidRDefault="008376DC" w:rsidP="008D5F87">
      <w:pPr>
        <w:pStyle w:val="BodyTextMain"/>
        <w:rPr>
          <w:lang w:val="en-GB"/>
        </w:rPr>
      </w:pPr>
      <w:proofErr w:type="spellStart"/>
      <w:r>
        <w:rPr>
          <w:lang w:val="en-GB"/>
        </w:rPr>
        <w:t>Meakin</w:t>
      </w:r>
      <w:proofErr w:type="spellEnd"/>
      <w:r w:rsidRPr="00DC36FD">
        <w:rPr>
          <w:lang w:val="en-GB"/>
        </w:rPr>
        <w:t xml:space="preserve"> </w:t>
      </w:r>
      <w:r w:rsidR="008D5F87" w:rsidRPr="00DC36FD">
        <w:rPr>
          <w:lang w:val="en-GB"/>
        </w:rPr>
        <w:t>was in the unique and challenging position of trying to start a farm from scratch</w:t>
      </w:r>
      <w:r w:rsidR="00305081">
        <w:rPr>
          <w:lang w:val="en-GB"/>
        </w:rPr>
        <w:t>,</w:t>
      </w:r>
      <w:r w:rsidR="008D5F87" w:rsidRPr="00DC36FD">
        <w:rPr>
          <w:lang w:val="en-GB"/>
        </w:rPr>
        <w:t xml:space="preserve"> and the increasing prices were both a benefit and a curse.</w:t>
      </w:r>
      <w:r w:rsidR="00DC36FD" w:rsidRPr="00DC36FD">
        <w:rPr>
          <w:lang w:val="en-GB"/>
        </w:rPr>
        <w:t xml:space="preserve"> </w:t>
      </w:r>
      <w:r w:rsidR="008D5F87" w:rsidRPr="00DC36FD">
        <w:rPr>
          <w:lang w:val="en-GB"/>
        </w:rPr>
        <w:t xml:space="preserve">He was able to further leverage more financing as a result of the capital appreciation of his existing land but was limited in his ability to lease or buy more land given the high prices. The </w:t>
      </w:r>
      <w:r>
        <w:rPr>
          <w:lang w:val="en-GB"/>
        </w:rPr>
        <w:t xml:space="preserve">number of </w:t>
      </w:r>
      <w:r w:rsidR="008D5F87" w:rsidRPr="00DC36FD">
        <w:rPr>
          <w:lang w:val="en-GB"/>
        </w:rPr>
        <w:t>seeded acres farmed had fluctuated from 2014 to 2016</w:t>
      </w:r>
      <w:r>
        <w:rPr>
          <w:lang w:val="en-GB"/>
        </w:rPr>
        <w:t>,</w:t>
      </w:r>
      <w:r w:rsidR="008D5F87" w:rsidRPr="00DC36FD">
        <w:rPr>
          <w:lang w:val="en-GB"/>
        </w:rPr>
        <w:t xml:space="preserve"> as </w:t>
      </w:r>
      <w:proofErr w:type="spellStart"/>
      <w:r w:rsidR="008D5F87" w:rsidRPr="00DC36FD">
        <w:rPr>
          <w:lang w:val="en-GB"/>
        </w:rPr>
        <w:t>Meakin</w:t>
      </w:r>
      <w:proofErr w:type="spellEnd"/>
      <w:r w:rsidR="008D5F87" w:rsidRPr="00DC36FD">
        <w:rPr>
          <w:lang w:val="en-GB"/>
        </w:rPr>
        <w:t xml:space="preserve"> Farms changed the proportion of land leased and owned (see Exhibit </w:t>
      </w:r>
      <w:r w:rsidR="00D1089F" w:rsidRPr="00DC36FD">
        <w:rPr>
          <w:lang w:val="en-GB"/>
        </w:rPr>
        <w:t>7</w:t>
      </w:r>
      <w:r w:rsidR="008D5F87" w:rsidRPr="00DC36FD">
        <w:rPr>
          <w:lang w:val="en-GB"/>
        </w:rPr>
        <w:t>).</w:t>
      </w:r>
    </w:p>
    <w:p w14:paraId="380C0C54" w14:textId="77777777" w:rsidR="008D5F87" w:rsidRPr="00DC36FD" w:rsidRDefault="008D5F87" w:rsidP="008D5F87">
      <w:pPr>
        <w:pStyle w:val="BodyTextMain"/>
        <w:rPr>
          <w:lang w:val="en-GB"/>
        </w:rPr>
      </w:pPr>
    </w:p>
    <w:p w14:paraId="4141B19B" w14:textId="61FBFAA0" w:rsidR="008D5F87" w:rsidRPr="00DC36FD" w:rsidRDefault="008D5F87" w:rsidP="008D5F87">
      <w:pPr>
        <w:pStyle w:val="BodyTextMain"/>
        <w:rPr>
          <w:lang w:val="en-GB"/>
        </w:rPr>
      </w:pPr>
      <w:r w:rsidRPr="00DC36FD">
        <w:rPr>
          <w:lang w:val="en-GB"/>
        </w:rPr>
        <w:t xml:space="preserve">The </w:t>
      </w:r>
      <w:r w:rsidR="008376DC">
        <w:rPr>
          <w:lang w:val="en-GB"/>
        </w:rPr>
        <w:t xml:space="preserve">2016 </w:t>
      </w:r>
      <w:r w:rsidRPr="00DC36FD">
        <w:rPr>
          <w:lang w:val="en-GB"/>
        </w:rPr>
        <w:t xml:space="preserve">reduction in acreage was the result of </w:t>
      </w:r>
      <w:proofErr w:type="spellStart"/>
      <w:r w:rsidR="00305081">
        <w:rPr>
          <w:lang w:val="en-GB"/>
        </w:rPr>
        <w:t>Meakin</w:t>
      </w:r>
      <w:proofErr w:type="spellEnd"/>
      <w:r w:rsidR="00305081" w:rsidRPr="00DC36FD">
        <w:rPr>
          <w:lang w:val="en-GB"/>
        </w:rPr>
        <w:t xml:space="preserve"> </w:t>
      </w:r>
      <w:r w:rsidRPr="00DC36FD">
        <w:rPr>
          <w:lang w:val="en-GB"/>
        </w:rPr>
        <w:t xml:space="preserve">not </w:t>
      </w:r>
      <w:r w:rsidR="00305081">
        <w:rPr>
          <w:lang w:val="en-GB"/>
        </w:rPr>
        <w:t xml:space="preserve">having </w:t>
      </w:r>
      <w:r w:rsidR="00305081" w:rsidRPr="00DC36FD">
        <w:rPr>
          <w:lang w:val="en-GB"/>
        </w:rPr>
        <w:t>renew</w:t>
      </w:r>
      <w:r w:rsidR="00305081">
        <w:rPr>
          <w:lang w:val="en-GB"/>
        </w:rPr>
        <w:t>ed</w:t>
      </w:r>
      <w:r w:rsidR="00305081" w:rsidRPr="00DC36FD">
        <w:rPr>
          <w:lang w:val="en-GB"/>
        </w:rPr>
        <w:t xml:space="preserve"> </w:t>
      </w:r>
      <w:r w:rsidRPr="00DC36FD">
        <w:rPr>
          <w:lang w:val="en-GB"/>
        </w:rPr>
        <w:t xml:space="preserve">a lease on 800 acres </w:t>
      </w:r>
      <w:r w:rsidR="00982F9C">
        <w:rPr>
          <w:lang w:val="en-GB"/>
        </w:rPr>
        <w:t xml:space="preserve">(324 hectares) </w:t>
      </w:r>
      <w:r w:rsidRPr="00DC36FD">
        <w:rPr>
          <w:lang w:val="en-GB"/>
        </w:rPr>
        <w:t>of land due to the high lease rate of $62</w:t>
      </w:r>
      <w:r w:rsidR="00982F9C">
        <w:rPr>
          <w:lang w:val="en-GB"/>
        </w:rPr>
        <w:t xml:space="preserve"> per </w:t>
      </w:r>
      <w:r w:rsidRPr="00DC36FD">
        <w:rPr>
          <w:lang w:val="en-GB"/>
        </w:rPr>
        <w:t>acre</w:t>
      </w:r>
      <w:r w:rsidR="00982F9C">
        <w:rPr>
          <w:lang w:val="en-GB"/>
        </w:rPr>
        <w:t xml:space="preserve"> ($25 per hectare)</w:t>
      </w:r>
      <w:r w:rsidRPr="00DC36FD">
        <w:rPr>
          <w:lang w:val="en-GB"/>
        </w:rPr>
        <w:t xml:space="preserve">. </w:t>
      </w:r>
      <w:proofErr w:type="spellStart"/>
      <w:r w:rsidRPr="00DC36FD">
        <w:rPr>
          <w:lang w:val="en-GB"/>
        </w:rPr>
        <w:t>Meakin</w:t>
      </w:r>
      <w:proofErr w:type="spellEnd"/>
      <w:r w:rsidRPr="00DC36FD">
        <w:rPr>
          <w:lang w:val="en-GB"/>
        </w:rPr>
        <w:t xml:space="preserve"> Farms had incurred rental rates ranging from $45 to $62</w:t>
      </w:r>
      <w:r w:rsidR="00982F9C">
        <w:rPr>
          <w:lang w:val="en-GB"/>
        </w:rPr>
        <w:t xml:space="preserve"> per </w:t>
      </w:r>
      <w:r w:rsidRPr="00DC36FD">
        <w:rPr>
          <w:lang w:val="en-GB"/>
        </w:rPr>
        <w:t xml:space="preserve">acre </w:t>
      </w:r>
      <w:r w:rsidR="00982F9C">
        <w:rPr>
          <w:lang w:val="en-GB"/>
        </w:rPr>
        <w:t xml:space="preserve">($18 to $25 per hectare) </w:t>
      </w:r>
      <w:r w:rsidRPr="00DC36FD">
        <w:rPr>
          <w:lang w:val="en-GB"/>
        </w:rPr>
        <w:t>over the past three years. It was likely that additional farmland could be leased at $55</w:t>
      </w:r>
      <w:r w:rsidR="00982F9C">
        <w:rPr>
          <w:lang w:val="en-GB"/>
        </w:rPr>
        <w:t xml:space="preserve"> per </w:t>
      </w:r>
      <w:r w:rsidRPr="00DC36FD">
        <w:rPr>
          <w:lang w:val="en-GB"/>
        </w:rPr>
        <w:t xml:space="preserve">acre </w:t>
      </w:r>
      <w:r w:rsidR="00982F9C">
        <w:rPr>
          <w:lang w:val="en-GB"/>
        </w:rPr>
        <w:t xml:space="preserve">($22 per hectare) </w:t>
      </w:r>
      <w:r w:rsidRPr="00DC36FD">
        <w:rPr>
          <w:lang w:val="en-GB"/>
        </w:rPr>
        <w:t>in the near term. In 2017, the company purchased two additional quarters of previously rented land (320 acres</w:t>
      </w:r>
      <w:r w:rsidR="00982F9C">
        <w:rPr>
          <w:lang w:val="en-GB"/>
        </w:rPr>
        <w:t>, or 130 hectares</w:t>
      </w:r>
      <w:r w:rsidRPr="00DC36FD">
        <w:rPr>
          <w:lang w:val="en-GB"/>
        </w:rPr>
        <w:t>)</w:t>
      </w:r>
      <w:r w:rsidR="00982F9C">
        <w:rPr>
          <w:lang w:val="en-GB"/>
        </w:rPr>
        <w:t>,</w:t>
      </w:r>
      <w:r w:rsidRPr="00DC36FD">
        <w:rPr>
          <w:lang w:val="en-GB"/>
        </w:rPr>
        <w:t xml:space="preserve"> which brought the total land owned up to 1,200 acres</w:t>
      </w:r>
      <w:r w:rsidR="00982F9C">
        <w:rPr>
          <w:lang w:val="en-GB"/>
        </w:rPr>
        <w:t xml:space="preserve"> (486 hectares)</w:t>
      </w:r>
      <w:r w:rsidRPr="00DC36FD">
        <w:rPr>
          <w:lang w:val="en-GB"/>
        </w:rPr>
        <w:t>.</w:t>
      </w:r>
    </w:p>
    <w:p w14:paraId="10475EE7" w14:textId="77777777" w:rsidR="008D5F87" w:rsidRPr="00DC36FD" w:rsidRDefault="008D5F87" w:rsidP="008D5F87">
      <w:pPr>
        <w:pStyle w:val="BodyTextMain"/>
        <w:rPr>
          <w:lang w:val="en-GB"/>
        </w:rPr>
      </w:pPr>
    </w:p>
    <w:p w14:paraId="1D10845C" w14:textId="799CE8A5" w:rsidR="008D5F87" w:rsidRPr="00DC36FD" w:rsidRDefault="008D5F87" w:rsidP="008D5F87">
      <w:pPr>
        <w:pStyle w:val="BodyTextMain"/>
        <w:rPr>
          <w:lang w:val="en-GB"/>
        </w:rPr>
      </w:pPr>
    </w:p>
    <w:p w14:paraId="1DB278FE" w14:textId="77777777" w:rsidR="008D5F87" w:rsidRPr="00DC36FD" w:rsidRDefault="008D5F87" w:rsidP="00566410">
      <w:pPr>
        <w:pStyle w:val="Casehead3"/>
        <w:rPr>
          <w:lang w:val="en-GB"/>
        </w:rPr>
      </w:pPr>
      <w:r w:rsidRPr="00DC36FD">
        <w:rPr>
          <w:lang w:val="en-GB"/>
        </w:rPr>
        <w:t>Crop Choices</w:t>
      </w:r>
    </w:p>
    <w:p w14:paraId="62D86B42" w14:textId="77777777" w:rsidR="001445C8" w:rsidRPr="00DC36FD" w:rsidRDefault="001445C8" w:rsidP="001445C8">
      <w:pPr>
        <w:pStyle w:val="BodyTextMain"/>
        <w:rPr>
          <w:lang w:val="en-GB"/>
        </w:rPr>
      </w:pPr>
    </w:p>
    <w:p w14:paraId="15BF10CC" w14:textId="731952F7" w:rsidR="002D6A9B" w:rsidRPr="00DC36FD" w:rsidRDefault="008D5F87" w:rsidP="002F29AD">
      <w:pPr>
        <w:pStyle w:val="BodyTextMain"/>
        <w:rPr>
          <w:lang w:val="en-GB"/>
        </w:rPr>
      </w:pPr>
      <w:r w:rsidRPr="00DC36FD">
        <w:rPr>
          <w:lang w:val="en-GB"/>
        </w:rPr>
        <w:t xml:space="preserve">As with most farms, </w:t>
      </w:r>
      <w:proofErr w:type="spellStart"/>
      <w:r w:rsidRPr="00DC36FD">
        <w:rPr>
          <w:lang w:val="en-GB"/>
        </w:rPr>
        <w:t>Meakin</w:t>
      </w:r>
      <w:proofErr w:type="spellEnd"/>
      <w:r w:rsidRPr="00DC36FD">
        <w:rPr>
          <w:lang w:val="en-GB"/>
        </w:rPr>
        <w:t xml:space="preserve"> Farms produced a variety of crops</w:t>
      </w:r>
      <w:r w:rsidR="00982F9C">
        <w:rPr>
          <w:lang w:val="en-GB"/>
        </w:rPr>
        <w:t>—</w:t>
      </w:r>
      <w:r w:rsidRPr="00DC36FD">
        <w:rPr>
          <w:lang w:val="en-GB"/>
        </w:rPr>
        <w:t>namely canola, wheat</w:t>
      </w:r>
      <w:r w:rsidR="00982F9C">
        <w:rPr>
          <w:lang w:val="en-GB"/>
        </w:rPr>
        <w:t>,</w:t>
      </w:r>
      <w:r w:rsidRPr="00DC36FD">
        <w:rPr>
          <w:lang w:val="en-GB"/>
        </w:rPr>
        <w:t xml:space="preserve"> and field peas. The choice of one crop over another was not merely based on the highest price commodity. The farming practices for each commodity differed. For example, canola</w:t>
      </w:r>
      <w:r w:rsidR="00982F9C">
        <w:rPr>
          <w:lang w:val="en-GB"/>
        </w:rPr>
        <w:t>,</w:t>
      </w:r>
      <w:r w:rsidRPr="00DC36FD">
        <w:rPr>
          <w:lang w:val="en-GB"/>
        </w:rPr>
        <w:t xml:space="preserve"> </w:t>
      </w:r>
      <w:r w:rsidR="00982F9C">
        <w:rPr>
          <w:lang w:val="en-GB"/>
        </w:rPr>
        <w:t xml:space="preserve">which was </w:t>
      </w:r>
      <w:r w:rsidRPr="00DC36FD">
        <w:rPr>
          <w:lang w:val="en-GB"/>
        </w:rPr>
        <w:t>often the highest priced commodity, required more fertilizer than wheat. In addition, the harvesting of canola was a two-step process of first knocking down the crop into swaths and then picking up the crop with a combine</w:t>
      </w:r>
      <w:r w:rsidR="00982F9C">
        <w:rPr>
          <w:lang w:val="en-GB"/>
        </w:rPr>
        <w:t>;</w:t>
      </w:r>
      <w:r w:rsidRPr="00DC36FD">
        <w:rPr>
          <w:lang w:val="en-GB"/>
        </w:rPr>
        <w:t xml:space="preserve"> thus</w:t>
      </w:r>
      <w:r w:rsidR="00982F9C">
        <w:rPr>
          <w:lang w:val="en-GB"/>
        </w:rPr>
        <w:t>,</w:t>
      </w:r>
      <w:r w:rsidRPr="00DC36FD">
        <w:rPr>
          <w:lang w:val="en-GB"/>
        </w:rPr>
        <w:t xml:space="preserve"> requiring two passes in the field</w:t>
      </w:r>
      <w:r w:rsidR="00982F9C">
        <w:rPr>
          <w:lang w:val="en-GB"/>
        </w:rPr>
        <w:t>,</w:t>
      </w:r>
      <w:r w:rsidRPr="00DC36FD">
        <w:rPr>
          <w:lang w:val="en-GB"/>
        </w:rPr>
        <w:t xml:space="preserve"> incurring the </w:t>
      </w:r>
      <w:r w:rsidR="00982F9C">
        <w:rPr>
          <w:lang w:val="en-GB"/>
        </w:rPr>
        <w:t>twice the costs in</w:t>
      </w:r>
      <w:r w:rsidR="00982F9C" w:rsidRPr="00DC36FD">
        <w:rPr>
          <w:lang w:val="en-GB"/>
        </w:rPr>
        <w:t xml:space="preserve"> </w:t>
      </w:r>
      <w:r w:rsidRPr="00DC36FD">
        <w:rPr>
          <w:lang w:val="en-GB"/>
        </w:rPr>
        <w:t>equipment, fuel</w:t>
      </w:r>
      <w:r w:rsidR="00982F9C">
        <w:rPr>
          <w:lang w:val="en-GB"/>
        </w:rPr>
        <w:t>,</w:t>
      </w:r>
      <w:r w:rsidRPr="00DC36FD">
        <w:rPr>
          <w:lang w:val="en-GB"/>
        </w:rPr>
        <w:t xml:space="preserve"> and labour </w:t>
      </w:r>
      <w:r w:rsidR="00982F9C">
        <w:rPr>
          <w:lang w:val="en-GB"/>
        </w:rPr>
        <w:t>as w</w:t>
      </w:r>
      <w:r w:rsidRPr="00DC36FD">
        <w:rPr>
          <w:lang w:val="en-GB"/>
        </w:rPr>
        <w:t>heat and peas</w:t>
      </w:r>
      <w:r w:rsidR="00982F9C">
        <w:rPr>
          <w:lang w:val="en-GB"/>
        </w:rPr>
        <w:t>, which,</w:t>
      </w:r>
      <w:r w:rsidRPr="00DC36FD">
        <w:rPr>
          <w:lang w:val="en-GB"/>
        </w:rPr>
        <w:t xml:space="preserve"> </w:t>
      </w:r>
      <w:r w:rsidR="00982F9C">
        <w:rPr>
          <w:lang w:val="en-GB"/>
        </w:rPr>
        <w:t>when</w:t>
      </w:r>
      <w:r w:rsidRPr="00DC36FD">
        <w:rPr>
          <w:lang w:val="en-GB"/>
        </w:rPr>
        <w:t xml:space="preserve"> “straight cut” harvested, </w:t>
      </w:r>
      <w:r w:rsidR="00982F9C" w:rsidRPr="00DC36FD">
        <w:rPr>
          <w:lang w:val="en-GB"/>
        </w:rPr>
        <w:t>requir</w:t>
      </w:r>
      <w:r w:rsidR="00982F9C">
        <w:rPr>
          <w:lang w:val="en-GB"/>
        </w:rPr>
        <w:t>ed</w:t>
      </w:r>
      <w:r w:rsidR="00982F9C" w:rsidRPr="00DC36FD">
        <w:rPr>
          <w:lang w:val="en-GB"/>
        </w:rPr>
        <w:t xml:space="preserve"> </w:t>
      </w:r>
      <w:r w:rsidRPr="00DC36FD">
        <w:rPr>
          <w:lang w:val="en-GB"/>
        </w:rPr>
        <w:t>only one pass.</w:t>
      </w:r>
      <w:r w:rsidR="00DC36FD" w:rsidRPr="00DC36FD">
        <w:rPr>
          <w:lang w:val="en-GB"/>
        </w:rPr>
        <w:t xml:space="preserve"> </w:t>
      </w:r>
      <w:r w:rsidRPr="00DC36FD">
        <w:rPr>
          <w:lang w:val="en-GB"/>
        </w:rPr>
        <w:t xml:space="preserve">Field peas were beneficial to soil health by </w:t>
      </w:r>
      <w:r w:rsidR="00C072EC">
        <w:rPr>
          <w:lang w:val="en-GB"/>
        </w:rPr>
        <w:t>fixing</w:t>
      </w:r>
      <w:r w:rsidRPr="00DC36FD">
        <w:rPr>
          <w:lang w:val="en-GB"/>
        </w:rPr>
        <w:t xml:space="preserve"> nitrogen and making it more available to crops planted in subsequent years.</w:t>
      </w:r>
      <w:r w:rsidR="00DC36FD" w:rsidRPr="00DC36FD">
        <w:rPr>
          <w:lang w:val="en-GB"/>
        </w:rPr>
        <w:t xml:space="preserve"> </w:t>
      </w:r>
      <w:r w:rsidRPr="00DC36FD">
        <w:rPr>
          <w:lang w:val="en-GB"/>
        </w:rPr>
        <w:t xml:space="preserve">A healthy crop rotation of seeding </w:t>
      </w:r>
      <w:r w:rsidRPr="00DC36FD">
        <w:rPr>
          <w:lang w:val="en-GB"/>
        </w:rPr>
        <w:lastRenderedPageBreak/>
        <w:t xml:space="preserve">different crops from year to year on the same land also helped to reduce the impact </w:t>
      </w:r>
      <w:r w:rsidR="00F80305">
        <w:rPr>
          <w:lang w:val="en-GB"/>
        </w:rPr>
        <w:t xml:space="preserve">of </w:t>
      </w:r>
      <w:r w:rsidRPr="00DC36FD">
        <w:rPr>
          <w:lang w:val="en-GB"/>
        </w:rPr>
        <w:t>diseases, weeds</w:t>
      </w:r>
      <w:r w:rsidR="00F80305">
        <w:rPr>
          <w:lang w:val="en-GB"/>
        </w:rPr>
        <w:t>,</w:t>
      </w:r>
      <w:r w:rsidRPr="00DC36FD">
        <w:rPr>
          <w:lang w:val="en-GB"/>
        </w:rPr>
        <w:t xml:space="preserve"> and pests.</w:t>
      </w:r>
      <w:r w:rsidR="00DC36FD" w:rsidRPr="00DC36FD">
        <w:rPr>
          <w:lang w:val="en-GB"/>
        </w:rPr>
        <w:t xml:space="preserve"> </w:t>
      </w:r>
      <w:r w:rsidR="00F80305">
        <w:rPr>
          <w:lang w:val="en-GB"/>
        </w:rPr>
        <w:t xml:space="preserve">During the past three years, </w:t>
      </w:r>
      <w:proofErr w:type="spellStart"/>
      <w:r w:rsidRPr="00DC36FD">
        <w:rPr>
          <w:lang w:val="en-GB"/>
        </w:rPr>
        <w:t>Meakin</w:t>
      </w:r>
      <w:proofErr w:type="spellEnd"/>
      <w:r w:rsidRPr="00DC36FD">
        <w:rPr>
          <w:lang w:val="en-GB"/>
        </w:rPr>
        <w:t xml:space="preserve"> Farms had shifted </w:t>
      </w:r>
      <w:r w:rsidR="002F29AD">
        <w:rPr>
          <w:lang w:val="en-GB"/>
        </w:rPr>
        <w:t xml:space="preserve">away </w:t>
      </w:r>
      <w:r w:rsidRPr="00DC36FD">
        <w:rPr>
          <w:lang w:val="en-GB"/>
        </w:rPr>
        <w:t xml:space="preserve">from wheat </w:t>
      </w:r>
      <w:r w:rsidR="002F29AD">
        <w:rPr>
          <w:lang w:val="en-GB"/>
        </w:rPr>
        <w:t xml:space="preserve">and </w:t>
      </w:r>
      <w:r w:rsidRPr="00DC36FD">
        <w:rPr>
          <w:lang w:val="en-GB"/>
        </w:rPr>
        <w:t>toward</w:t>
      </w:r>
      <w:r w:rsidR="002F29AD">
        <w:rPr>
          <w:lang w:val="en-GB"/>
        </w:rPr>
        <w:t>s</w:t>
      </w:r>
      <w:r w:rsidRPr="00DC36FD">
        <w:rPr>
          <w:lang w:val="en-GB"/>
        </w:rPr>
        <w:t xml:space="preserve"> canola (see Exhibit </w:t>
      </w:r>
      <w:r w:rsidR="00D1089F" w:rsidRPr="00DC36FD">
        <w:rPr>
          <w:lang w:val="en-GB"/>
        </w:rPr>
        <w:t>8</w:t>
      </w:r>
      <w:r w:rsidRPr="00DC36FD">
        <w:rPr>
          <w:lang w:val="en-GB"/>
        </w:rPr>
        <w:t xml:space="preserve">). </w:t>
      </w:r>
    </w:p>
    <w:p w14:paraId="0053F2A3" w14:textId="4963EF4C" w:rsidR="007F362E" w:rsidRDefault="007F362E" w:rsidP="00566410">
      <w:pPr>
        <w:pStyle w:val="Casehead3"/>
        <w:rPr>
          <w:lang w:val="en-GB"/>
        </w:rPr>
      </w:pPr>
    </w:p>
    <w:p w14:paraId="3F5BC72B" w14:textId="77777777" w:rsidR="00DE040F" w:rsidRDefault="00DE040F" w:rsidP="00566410">
      <w:pPr>
        <w:pStyle w:val="Casehead3"/>
        <w:rPr>
          <w:lang w:val="en-GB"/>
        </w:rPr>
      </w:pPr>
    </w:p>
    <w:p w14:paraId="13EF9BD5" w14:textId="32597A68" w:rsidR="008D5F87" w:rsidRPr="00DC36FD" w:rsidRDefault="008D5F87" w:rsidP="00566410">
      <w:pPr>
        <w:pStyle w:val="Casehead3"/>
        <w:rPr>
          <w:lang w:val="en-GB"/>
        </w:rPr>
      </w:pPr>
      <w:r w:rsidRPr="00DC36FD">
        <w:rPr>
          <w:lang w:val="en-GB"/>
        </w:rPr>
        <w:t>Equipment Utilization</w:t>
      </w:r>
    </w:p>
    <w:p w14:paraId="6A39FF63" w14:textId="77777777" w:rsidR="001445C8" w:rsidRPr="00DC36FD" w:rsidRDefault="001445C8" w:rsidP="001445C8">
      <w:pPr>
        <w:pStyle w:val="BodyTextMain"/>
        <w:rPr>
          <w:lang w:val="en-GB"/>
        </w:rPr>
      </w:pPr>
    </w:p>
    <w:p w14:paraId="4E075DF8" w14:textId="226789E6" w:rsidR="008D5F87" w:rsidRPr="00DC36FD" w:rsidRDefault="008D5F87" w:rsidP="001445C8">
      <w:pPr>
        <w:pStyle w:val="BodyTextMain"/>
        <w:rPr>
          <w:lang w:val="en-GB"/>
        </w:rPr>
      </w:pPr>
      <w:proofErr w:type="spellStart"/>
      <w:r w:rsidRPr="00DC36FD">
        <w:rPr>
          <w:lang w:val="en-GB"/>
        </w:rPr>
        <w:t>Meakin</w:t>
      </w:r>
      <w:proofErr w:type="spellEnd"/>
      <w:r w:rsidRPr="00DC36FD">
        <w:rPr>
          <w:lang w:val="en-GB"/>
        </w:rPr>
        <w:t xml:space="preserve"> Farms used older farm equipment that was stretched to the limit in farming </w:t>
      </w:r>
      <w:r w:rsidR="00F80305">
        <w:rPr>
          <w:lang w:val="en-GB"/>
        </w:rPr>
        <w:t>more than</w:t>
      </w:r>
      <w:r w:rsidR="00F80305" w:rsidRPr="00DC36FD">
        <w:rPr>
          <w:lang w:val="en-GB"/>
        </w:rPr>
        <w:t xml:space="preserve"> </w:t>
      </w:r>
      <w:r w:rsidRPr="00DC36FD">
        <w:rPr>
          <w:lang w:val="en-GB"/>
        </w:rPr>
        <w:t xml:space="preserve">3,800 acres </w:t>
      </w:r>
      <w:r w:rsidR="00F80305">
        <w:rPr>
          <w:lang w:val="en-GB"/>
        </w:rPr>
        <w:t xml:space="preserve">(1,538 hectares) </w:t>
      </w:r>
      <w:r w:rsidRPr="00DC36FD">
        <w:rPr>
          <w:lang w:val="en-GB"/>
        </w:rPr>
        <w:t>in 2015 and was underutilized in 2016</w:t>
      </w:r>
      <w:r w:rsidR="00F80305">
        <w:rPr>
          <w:lang w:val="en-GB"/>
        </w:rPr>
        <w:t>,</w:t>
      </w:r>
      <w:r w:rsidRPr="00DC36FD">
        <w:rPr>
          <w:lang w:val="en-GB"/>
        </w:rPr>
        <w:t xml:space="preserve"> as yields were down due to hail damage on 640 acres </w:t>
      </w:r>
      <w:r w:rsidR="00F80305">
        <w:rPr>
          <w:lang w:val="en-GB"/>
        </w:rPr>
        <w:t xml:space="preserve">(259 hectares) </w:t>
      </w:r>
      <w:r w:rsidRPr="00DC36FD">
        <w:rPr>
          <w:lang w:val="en-GB"/>
        </w:rPr>
        <w:t>of land. If the farm</w:t>
      </w:r>
      <w:r w:rsidR="00F80305">
        <w:rPr>
          <w:lang w:val="en-GB"/>
        </w:rPr>
        <w:t xml:space="preserve"> size</w:t>
      </w:r>
      <w:r w:rsidRPr="00DC36FD">
        <w:rPr>
          <w:lang w:val="en-GB"/>
        </w:rPr>
        <w:t xml:space="preserve"> were to return to </w:t>
      </w:r>
      <w:r w:rsidR="00F80305">
        <w:rPr>
          <w:lang w:val="en-GB"/>
        </w:rPr>
        <w:t>more than</w:t>
      </w:r>
      <w:r w:rsidR="00F80305" w:rsidRPr="00DC36FD">
        <w:rPr>
          <w:lang w:val="en-GB"/>
        </w:rPr>
        <w:t xml:space="preserve"> </w:t>
      </w:r>
      <w:r w:rsidRPr="00DC36FD">
        <w:rPr>
          <w:lang w:val="en-GB"/>
        </w:rPr>
        <w:t xml:space="preserve">3,800 acres </w:t>
      </w:r>
      <w:r w:rsidR="00F80305">
        <w:rPr>
          <w:lang w:val="en-GB"/>
        </w:rPr>
        <w:t>(1,538 hectares), it</w:t>
      </w:r>
      <w:r w:rsidR="00F80305" w:rsidRPr="00DC36FD">
        <w:rPr>
          <w:lang w:val="en-GB"/>
        </w:rPr>
        <w:t xml:space="preserve"> </w:t>
      </w:r>
      <w:r w:rsidRPr="00DC36FD">
        <w:rPr>
          <w:lang w:val="en-GB"/>
        </w:rPr>
        <w:t xml:space="preserve">would likely </w:t>
      </w:r>
      <w:r w:rsidR="00F80305">
        <w:rPr>
          <w:lang w:val="en-GB"/>
        </w:rPr>
        <w:t>need</w:t>
      </w:r>
      <w:r w:rsidRPr="00DC36FD">
        <w:rPr>
          <w:lang w:val="en-GB"/>
        </w:rPr>
        <w:t xml:space="preserve"> a further investment of $100,000 in seeding and harvesting equipment. </w:t>
      </w:r>
    </w:p>
    <w:p w14:paraId="50ECF465" w14:textId="77777777" w:rsidR="00BC1E22" w:rsidRPr="00DC36FD" w:rsidRDefault="00BC1E22" w:rsidP="001445C8">
      <w:pPr>
        <w:pStyle w:val="BodyTextMain"/>
        <w:rPr>
          <w:lang w:val="en-GB"/>
        </w:rPr>
      </w:pPr>
    </w:p>
    <w:p w14:paraId="0A964844" w14:textId="7C953A7E" w:rsidR="007D461E" w:rsidRPr="00DC36FD" w:rsidRDefault="007D461E" w:rsidP="001445C8">
      <w:pPr>
        <w:pStyle w:val="BodyTextMain"/>
        <w:rPr>
          <w:lang w:val="en-GB"/>
        </w:rPr>
      </w:pPr>
    </w:p>
    <w:p w14:paraId="0BACC73E" w14:textId="2F043F02" w:rsidR="008D5F87" w:rsidRPr="00DC36FD" w:rsidRDefault="008D5F87" w:rsidP="00566410">
      <w:pPr>
        <w:pStyle w:val="Casehead3"/>
        <w:rPr>
          <w:lang w:val="en-GB"/>
        </w:rPr>
      </w:pPr>
      <w:r w:rsidRPr="00DC36FD">
        <w:rPr>
          <w:lang w:val="en-GB"/>
        </w:rPr>
        <w:t xml:space="preserve">Human Resources: </w:t>
      </w:r>
      <w:proofErr w:type="spellStart"/>
      <w:r w:rsidRPr="00DC36FD">
        <w:rPr>
          <w:lang w:val="en-GB"/>
        </w:rPr>
        <w:t>Daved</w:t>
      </w:r>
      <w:proofErr w:type="spellEnd"/>
      <w:r w:rsidRPr="00DC36FD">
        <w:rPr>
          <w:lang w:val="en-GB"/>
        </w:rPr>
        <w:t xml:space="preserve"> </w:t>
      </w:r>
      <w:proofErr w:type="spellStart"/>
      <w:r w:rsidR="00F80305">
        <w:rPr>
          <w:lang w:val="en-GB"/>
        </w:rPr>
        <w:t>Meakin</w:t>
      </w:r>
      <w:proofErr w:type="spellEnd"/>
      <w:r w:rsidR="00F80305">
        <w:rPr>
          <w:lang w:val="en-GB"/>
        </w:rPr>
        <w:t xml:space="preserve"> </w:t>
      </w:r>
      <w:r w:rsidRPr="00DC36FD">
        <w:rPr>
          <w:lang w:val="en-GB"/>
        </w:rPr>
        <w:t xml:space="preserve">as a Key to Success </w:t>
      </w:r>
    </w:p>
    <w:p w14:paraId="7E644852" w14:textId="77777777" w:rsidR="001445C8" w:rsidRPr="00DC36FD" w:rsidRDefault="001445C8" w:rsidP="001445C8">
      <w:pPr>
        <w:pStyle w:val="BodyTextMain"/>
        <w:rPr>
          <w:lang w:val="en-GB"/>
        </w:rPr>
      </w:pPr>
    </w:p>
    <w:p w14:paraId="683777D5" w14:textId="3B2575A2" w:rsidR="008D5F87" w:rsidRPr="00DC36FD" w:rsidRDefault="008D5F87" w:rsidP="001445C8">
      <w:pPr>
        <w:pStyle w:val="BodyTextMain"/>
        <w:rPr>
          <w:lang w:val="en-GB"/>
        </w:rPr>
      </w:pPr>
      <w:r w:rsidRPr="00DC36FD">
        <w:rPr>
          <w:lang w:val="en-GB"/>
        </w:rPr>
        <w:t>The availability of farm labour could be problematic. The need for the farm labour was seasonal</w:t>
      </w:r>
      <w:r w:rsidR="00F80305">
        <w:rPr>
          <w:lang w:val="en-GB"/>
        </w:rPr>
        <w:t>,</w:t>
      </w:r>
      <w:r w:rsidRPr="00DC36FD">
        <w:rPr>
          <w:lang w:val="en-GB"/>
        </w:rPr>
        <w:t xml:space="preserve"> yet the responsibilities of the labour, when operating complex equipment, were great. Like most farm operations </w:t>
      </w:r>
      <w:proofErr w:type="spellStart"/>
      <w:r w:rsidR="00F80305">
        <w:rPr>
          <w:lang w:val="en-GB"/>
        </w:rPr>
        <w:t>Meakin</w:t>
      </w:r>
      <w:proofErr w:type="spellEnd"/>
      <w:r w:rsidR="00F80305" w:rsidRPr="00DC36FD">
        <w:rPr>
          <w:lang w:val="en-GB"/>
        </w:rPr>
        <w:t xml:space="preserve"> rel</w:t>
      </w:r>
      <w:r w:rsidR="00F80305">
        <w:rPr>
          <w:lang w:val="en-GB"/>
        </w:rPr>
        <w:t>ied</w:t>
      </w:r>
      <w:r w:rsidR="00F80305" w:rsidRPr="00DC36FD">
        <w:rPr>
          <w:lang w:val="en-GB"/>
        </w:rPr>
        <w:t xml:space="preserve"> </w:t>
      </w:r>
      <w:r w:rsidRPr="00DC36FD">
        <w:rPr>
          <w:lang w:val="en-GB"/>
        </w:rPr>
        <w:t xml:space="preserve">on </w:t>
      </w:r>
      <w:r w:rsidR="00F80305">
        <w:rPr>
          <w:lang w:val="en-GB"/>
        </w:rPr>
        <w:t xml:space="preserve">both </w:t>
      </w:r>
      <w:r w:rsidRPr="00DC36FD">
        <w:rPr>
          <w:lang w:val="en-GB"/>
        </w:rPr>
        <w:t xml:space="preserve">seasonal farm labour </w:t>
      </w:r>
      <w:r w:rsidR="00F80305">
        <w:rPr>
          <w:lang w:val="en-GB"/>
        </w:rPr>
        <w:t>and</w:t>
      </w:r>
      <w:r w:rsidRPr="00DC36FD">
        <w:rPr>
          <w:lang w:val="en-GB"/>
        </w:rPr>
        <w:t xml:space="preserve"> family</w:t>
      </w:r>
      <w:r w:rsidR="00F80305">
        <w:rPr>
          <w:lang w:val="en-GB"/>
        </w:rPr>
        <w:t>.</w:t>
      </w:r>
      <w:r w:rsidRPr="00DC36FD">
        <w:rPr>
          <w:lang w:val="en-GB"/>
        </w:rPr>
        <w:t xml:space="preserve"> </w:t>
      </w:r>
      <w:r w:rsidR="00F80305">
        <w:rPr>
          <w:lang w:val="en-GB"/>
        </w:rPr>
        <w:t>For example,</w:t>
      </w:r>
      <w:r w:rsidRPr="00DC36FD">
        <w:rPr>
          <w:lang w:val="en-GB"/>
        </w:rPr>
        <w:t xml:space="preserve"> </w:t>
      </w:r>
      <w:proofErr w:type="spellStart"/>
      <w:r w:rsidR="00F80305">
        <w:rPr>
          <w:lang w:val="en-GB"/>
        </w:rPr>
        <w:t>Meakin</w:t>
      </w:r>
      <w:r w:rsidR="00F80305" w:rsidRPr="00DC36FD">
        <w:rPr>
          <w:lang w:val="en-GB"/>
        </w:rPr>
        <w:t>’s</w:t>
      </w:r>
      <w:proofErr w:type="spellEnd"/>
      <w:r w:rsidR="00F80305" w:rsidRPr="00DC36FD">
        <w:rPr>
          <w:lang w:val="en-GB"/>
        </w:rPr>
        <w:t xml:space="preserve"> </w:t>
      </w:r>
      <w:r w:rsidRPr="00DC36FD">
        <w:rPr>
          <w:lang w:val="en-GB"/>
        </w:rPr>
        <w:t xml:space="preserve">spouse, Nicole, a </w:t>
      </w:r>
      <w:r w:rsidR="00B03565">
        <w:rPr>
          <w:lang w:val="en-GB"/>
        </w:rPr>
        <w:t>c</w:t>
      </w:r>
      <w:r w:rsidRPr="00DC36FD">
        <w:rPr>
          <w:lang w:val="en-GB"/>
        </w:rPr>
        <w:t xml:space="preserve">hartered </w:t>
      </w:r>
      <w:r w:rsidR="00B03565">
        <w:rPr>
          <w:lang w:val="en-GB"/>
        </w:rPr>
        <w:t>p</w:t>
      </w:r>
      <w:r w:rsidRPr="00DC36FD">
        <w:rPr>
          <w:lang w:val="en-GB"/>
        </w:rPr>
        <w:t xml:space="preserve">rofessional </w:t>
      </w:r>
      <w:r w:rsidR="00B03565">
        <w:rPr>
          <w:lang w:val="en-GB"/>
        </w:rPr>
        <w:t>a</w:t>
      </w:r>
      <w:r w:rsidRPr="00DC36FD">
        <w:rPr>
          <w:lang w:val="en-GB"/>
        </w:rPr>
        <w:t xml:space="preserve">ccountant </w:t>
      </w:r>
      <w:r w:rsidR="00F80305">
        <w:rPr>
          <w:lang w:val="en-GB"/>
        </w:rPr>
        <w:t>who had</w:t>
      </w:r>
      <w:r w:rsidR="00F80305" w:rsidRPr="00DC36FD">
        <w:rPr>
          <w:lang w:val="en-GB"/>
        </w:rPr>
        <w:t xml:space="preserve"> </w:t>
      </w:r>
      <w:r w:rsidRPr="00DC36FD">
        <w:rPr>
          <w:lang w:val="en-GB"/>
        </w:rPr>
        <w:t xml:space="preserve">an off-farm career, often pitched in to operate the combines during the peak harvest season. In addition, </w:t>
      </w:r>
      <w:proofErr w:type="spellStart"/>
      <w:r w:rsidR="00F80305">
        <w:rPr>
          <w:lang w:val="en-GB"/>
        </w:rPr>
        <w:t>Meakin</w:t>
      </w:r>
      <w:r w:rsidR="00F80305" w:rsidRPr="00DC36FD">
        <w:rPr>
          <w:lang w:val="en-GB"/>
        </w:rPr>
        <w:t>’s</w:t>
      </w:r>
      <w:proofErr w:type="spellEnd"/>
      <w:r w:rsidR="00F80305" w:rsidRPr="00DC36FD">
        <w:rPr>
          <w:lang w:val="en-GB"/>
        </w:rPr>
        <w:t xml:space="preserve"> </w:t>
      </w:r>
      <w:r w:rsidRPr="00DC36FD">
        <w:rPr>
          <w:lang w:val="en-GB"/>
        </w:rPr>
        <w:t>management time was split between working on the farm and operating the trucking operation. Unfortunately, the busy bin</w:t>
      </w:r>
      <w:r w:rsidR="00F80305">
        <w:rPr>
          <w:lang w:val="en-GB"/>
        </w:rPr>
        <w:t>-</w:t>
      </w:r>
      <w:r w:rsidRPr="00DC36FD">
        <w:rPr>
          <w:lang w:val="en-GB"/>
        </w:rPr>
        <w:t xml:space="preserve">hauling component of the trucking operation often coincided with the harvest season of the farm. </w:t>
      </w:r>
    </w:p>
    <w:p w14:paraId="32FD24EF" w14:textId="77777777" w:rsidR="001445C8" w:rsidRPr="00DC36FD" w:rsidRDefault="001445C8" w:rsidP="001445C8">
      <w:pPr>
        <w:pStyle w:val="BodyTextMain"/>
        <w:rPr>
          <w:lang w:val="en-GB"/>
        </w:rPr>
      </w:pPr>
    </w:p>
    <w:p w14:paraId="347EB6A6" w14:textId="29324ADC" w:rsidR="008D5F87" w:rsidRPr="00DE040F" w:rsidRDefault="00F80305" w:rsidP="001445C8">
      <w:pPr>
        <w:pStyle w:val="BodyTextMain"/>
        <w:rPr>
          <w:spacing w:val="-4"/>
          <w:lang w:val="en-GB"/>
        </w:rPr>
      </w:pPr>
      <w:proofErr w:type="spellStart"/>
      <w:r w:rsidRPr="00DE040F">
        <w:rPr>
          <w:spacing w:val="-4"/>
          <w:lang w:val="en-GB"/>
        </w:rPr>
        <w:t>Meakin</w:t>
      </w:r>
      <w:proofErr w:type="spellEnd"/>
      <w:r w:rsidRPr="00DE040F">
        <w:rPr>
          <w:spacing w:val="-4"/>
          <w:lang w:val="en-GB"/>
        </w:rPr>
        <w:t xml:space="preserve"> </w:t>
      </w:r>
      <w:r w:rsidR="008D5F87" w:rsidRPr="00DE040F">
        <w:rPr>
          <w:spacing w:val="-4"/>
          <w:lang w:val="en-GB"/>
        </w:rPr>
        <w:t xml:space="preserve">was clearly pivotal to the success of the business </w:t>
      </w:r>
      <w:r w:rsidRPr="00DE040F">
        <w:rPr>
          <w:spacing w:val="-4"/>
          <w:lang w:val="en-GB"/>
        </w:rPr>
        <w:t xml:space="preserve">because of </w:t>
      </w:r>
      <w:r w:rsidR="008D5F87" w:rsidRPr="00DE040F">
        <w:rPr>
          <w:spacing w:val="-4"/>
          <w:lang w:val="en-GB"/>
        </w:rPr>
        <w:t>his time, relationships</w:t>
      </w:r>
      <w:r w:rsidRPr="00DE040F">
        <w:rPr>
          <w:spacing w:val="-4"/>
          <w:lang w:val="en-GB"/>
        </w:rPr>
        <w:t>,</w:t>
      </w:r>
      <w:r w:rsidR="008D5F87" w:rsidRPr="00DE040F">
        <w:rPr>
          <w:spacing w:val="-4"/>
          <w:lang w:val="en-GB"/>
        </w:rPr>
        <w:t xml:space="preserve"> and expertise</w:t>
      </w:r>
      <w:r w:rsidRPr="00DE040F">
        <w:rPr>
          <w:spacing w:val="-4"/>
          <w:lang w:val="en-GB"/>
        </w:rPr>
        <w:t>,</w:t>
      </w:r>
      <w:r w:rsidR="008D5F87" w:rsidRPr="00DE040F">
        <w:rPr>
          <w:spacing w:val="-4"/>
          <w:lang w:val="en-GB"/>
        </w:rPr>
        <w:t xml:space="preserve"> </w:t>
      </w:r>
      <w:r w:rsidRPr="00DE040F">
        <w:rPr>
          <w:spacing w:val="-4"/>
          <w:lang w:val="en-GB"/>
        </w:rPr>
        <w:t xml:space="preserve">which drove </w:t>
      </w:r>
      <w:r w:rsidR="008D5F87" w:rsidRPr="00DE040F">
        <w:rPr>
          <w:spacing w:val="-4"/>
          <w:lang w:val="en-GB"/>
        </w:rPr>
        <w:t>the organization. Farming was also one of Saskatchewan’s most hazardous industries</w:t>
      </w:r>
      <w:r w:rsidRPr="00DE040F">
        <w:rPr>
          <w:spacing w:val="-4"/>
          <w:lang w:val="en-GB"/>
        </w:rPr>
        <w:t>,</w:t>
      </w:r>
      <w:r w:rsidR="008D5F87" w:rsidRPr="00DE040F">
        <w:rPr>
          <w:spacing w:val="-4"/>
          <w:lang w:val="en-GB"/>
        </w:rPr>
        <w:t xml:space="preserve"> with</w:t>
      </w:r>
      <w:r w:rsidR="00550034" w:rsidRPr="00DE040F">
        <w:rPr>
          <w:spacing w:val="-4"/>
          <w:lang w:val="en-GB"/>
        </w:rPr>
        <w:t xml:space="preserve"> a</w:t>
      </w:r>
      <w:r w:rsidRPr="00DE040F">
        <w:rPr>
          <w:spacing w:val="-4"/>
          <w:lang w:val="en-GB"/>
        </w:rPr>
        <w:t>n average</w:t>
      </w:r>
      <w:r w:rsidR="00550034" w:rsidRPr="00DE040F">
        <w:rPr>
          <w:spacing w:val="-4"/>
          <w:lang w:val="en-GB"/>
        </w:rPr>
        <w:t xml:space="preserve"> of</w:t>
      </w:r>
      <w:r w:rsidR="008D5F87" w:rsidRPr="00DE040F">
        <w:rPr>
          <w:spacing w:val="-4"/>
          <w:lang w:val="en-GB"/>
        </w:rPr>
        <w:t xml:space="preserve"> 13 people killed each year and many others injured.</w:t>
      </w:r>
      <w:r w:rsidR="008D5F87" w:rsidRPr="00DE040F">
        <w:rPr>
          <w:rStyle w:val="FootnoteReference"/>
          <w:spacing w:val="-4"/>
          <w:lang w:val="en-GB"/>
        </w:rPr>
        <w:footnoteReference w:id="11"/>
      </w:r>
      <w:r w:rsidR="00DC36FD" w:rsidRPr="00DE040F">
        <w:rPr>
          <w:spacing w:val="-4"/>
          <w:lang w:val="en-GB"/>
        </w:rPr>
        <w:t xml:space="preserve"> </w:t>
      </w:r>
      <w:r w:rsidR="008D5F87" w:rsidRPr="00DE040F">
        <w:rPr>
          <w:spacing w:val="-4"/>
          <w:lang w:val="en-GB"/>
        </w:rPr>
        <w:t xml:space="preserve">In the unfortunate event of his injury or death, the company operations would most certainly fail. As with many busy managers and entrepreneurs, </w:t>
      </w:r>
      <w:proofErr w:type="spellStart"/>
      <w:r w:rsidR="00195887" w:rsidRPr="00DE040F">
        <w:rPr>
          <w:spacing w:val="-4"/>
          <w:lang w:val="en-GB"/>
        </w:rPr>
        <w:t>Meakin</w:t>
      </w:r>
      <w:proofErr w:type="spellEnd"/>
      <w:r w:rsidR="00195887" w:rsidRPr="00DE040F">
        <w:rPr>
          <w:spacing w:val="-4"/>
          <w:lang w:val="en-GB"/>
        </w:rPr>
        <w:t xml:space="preserve"> </w:t>
      </w:r>
      <w:r w:rsidR="008D5F87" w:rsidRPr="00DE040F">
        <w:rPr>
          <w:spacing w:val="-4"/>
          <w:lang w:val="en-GB"/>
        </w:rPr>
        <w:t xml:space="preserve">also wanted balance </w:t>
      </w:r>
      <w:r w:rsidR="00195887" w:rsidRPr="00DE040F">
        <w:rPr>
          <w:spacing w:val="-4"/>
          <w:lang w:val="en-GB"/>
        </w:rPr>
        <w:t xml:space="preserve">his </w:t>
      </w:r>
      <w:r w:rsidR="008D5F87" w:rsidRPr="00DE040F">
        <w:rPr>
          <w:spacing w:val="-4"/>
          <w:lang w:val="en-GB"/>
        </w:rPr>
        <w:t xml:space="preserve">obligations of work and life with his personal interests and family being key priorities. </w:t>
      </w:r>
    </w:p>
    <w:p w14:paraId="7C31BF44" w14:textId="77777777" w:rsidR="001445C8" w:rsidRPr="00DC36FD" w:rsidRDefault="001445C8" w:rsidP="001445C8">
      <w:pPr>
        <w:pStyle w:val="BodyTextMain"/>
        <w:rPr>
          <w:lang w:val="en-GB"/>
        </w:rPr>
      </w:pPr>
    </w:p>
    <w:p w14:paraId="1B83800D" w14:textId="03F1F567" w:rsidR="001445C8" w:rsidRPr="00DC36FD" w:rsidRDefault="001445C8" w:rsidP="001445C8">
      <w:pPr>
        <w:pStyle w:val="BodyTextMain"/>
        <w:rPr>
          <w:lang w:val="en-GB"/>
        </w:rPr>
      </w:pPr>
    </w:p>
    <w:p w14:paraId="1ED43F60" w14:textId="2FA68438" w:rsidR="008D5F87" w:rsidRPr="00DC36FD" w:rsidRDefault="008D5F87" w:rsidP="00566410">
      <w:pPr>
        <w:pStyle w:val="Casehead3"/>
        <w:rPr>
          <w:lang w:val="en-GB"/>
        </w:rPr>
      </w:pPr>
      <w:r w:rsidRPr="00DC36FD">
        <w:rPr>
          <w:lang w:val="en-GB"/>
        </w:rPr>
        <w:t xml:space="preserve">Financing </w:t>
      </w:r>
      <w:r w:rsidR="00930FF2">
        <w:rPr>
          <w:lang w:val="en-GB"/>
        </w:rPr>
        <w:t>w</w:t>
      </w:r>
      <w:r w:rsidRPr="00DC36FD">
        <w:rPr>
          <w:lang w:val="en-GB"/>
        </w:rPr>
        <w:t>ith Long</w:t>
      </w:r>
      <w:r w:rsidR="00195887">
        <w:rPr>
          <w:lang w:val="en-GB"/>
        </w:rPr>
        <w:t>-</w:t>
      </w:r>
      <w:r w:rsidRPr="00DC36FD">
        <w:rPr>
          <w:lang w:val="en-GB"/>
        </w:rPr>
        <w:t>Term Debt</w:t>
      </w:r>
    </w:p>
    <w:p w14:paraId="4F9018BF" w14:textId="77777777" w:rsidR="001445C8" w:rsidRPr="00DC36FD" w:rsidRDefault="001445C8" w:rsidP="001445C8">
      <w:pPr>
        <w:pStyle w:val="BodyTextMain"/>
        <w:rPr>
          <w:lang w:val="en-GB"/>
        </w:rPr>
      </w:pPr>
    </w:p>
    <w:p w14:paraId="66122D2D" w14:textId="271E963A" w:rsidR="008D5F87" w:rsidRPr="007F362E" w:rsidRDefault="008D5F87" w:rsidP="001445C8">
      <w:pPr>
        <w:pStyle w:val="BodyTextMain"/>
        <w:rPr>
          <w:spacing w:val="-4"/>
          <w:lang w:val="en-GB"/>
        </w:rPr>
      </w:pPr>
      <w:r w:rsidRPr="007F362E">
        <w:rPr>
          <w:spacing w:val="-4"/>
          <w:lang w:val="en-GB"/>
        </w:rPr>
        <w:t xml:space="preserve">Farmland and equipment </w:t>
      </w:r>
      <w:r w:rsidR="00195887" w:rsidRPr="007F362E">
        <w:rPr>
          <w:spacing w:val="-4"/>
          <w:lang w:val="en-GB"/>
        </w:rPr>
        <w:t xml:space="preserve">were </w:t>
      </w:r>
      <w:r w:rsidRPr="007F362E">
        <w:rPr>
          <w:spacing w:val="-4"/>
          <w:lang w:val="en-GB"/>
        </w:rPr>
        <w:t xml:space="preserve">financed with long-term debt. As a </w:t>
      </w:r>
      <w:r w:rsidR="00195887" w:rsidRPr="007F362E">
        <w:rPr>
          <w:spacing w:val="-4"/>
          <w:lang w:val="en-GB"/>
        </w:rPr>
        <w:t xml:space="preserve">farming operation </w:t>
      </w:r>
      <w:r w:rsidRPr="007F362E">
        <w:rPr>
          <w:spacing w:val="-4"/>
          <w:lang w:val="en-GB"/>
        </w:rPr>
        <w:t>that did not benefit from a land-</w:t>
      </w:r>
      <w:proofErr w:type="spellStart"/>
      <w:r w:rsidRPr="007F362E">
        <w:rPr>
          <w:spacing w:val="-4"/>
          <w:lang w:val="en-GB"/>
        </w:rPr>
        <w:t>base</w:t>
      </w:r>
      <w:proofErr w:type="spellEnd"/>
      <w:r w:rsidRPr="007F362E">
        <w:rPr>
          <w:spacing w:val="-4"/>
          <w:lang w:val="en-GB"/>
        </w:rPr>
        <w:t xml:space="preserve"> inheritance, </w:t>
      </w:r>
      <w:proofErr w:type="spellStart"/>
      <w:r w:rsidRPr="007F362E">
        <w:rPr>
          <w:spacing w:val="-4"/>
          <w:lang w:val="en-GB"/>
        </w:rPr>
        <w:t>Meakin</w:t>
      </w:r>
      <w:proofErr w:type="spellEnd"/>
      <w:r w:rsidRPr="007F362E">
        <w:rPr>
          <w:spacing w:val="-4"/>
          <w:lang w:val="en-GB"/>
        </w:rPr>
        <w:t xml:space="preserve"> Farms was highly leveraged with 75</w:t>
      </w:r>
      <w:r w:rsidR="00195887" w:rsidRPr="007F362E">
        <w:rPr>
          <w:spacing w:val="-4"/>
          <w:lang w:val="en-GB"/>
        </w:rPr>
        <w:t xml:space="preserve"> per cent</w:t>
      </w:r>
      <w:r w:rsidRPr="007F362E">
        <w:rPr>
          <w:spacing w:val="-4"/>
          <w:lang w:val="en-GB"/>
        </w:rPr>
        <w:t xml:space="preserve"> of the land and equipment financed. </w:t>
      </w:r>
    </w:p>
    <w:p w14:paraId="51F71232" w14:textId="77777777" w:rsidR="00195887" w:rsidRPr="00DC36FD" w:rsidRDefault="00195887" w:rsidP="001445C8">
      <w:pPr>
        <w:pStyle w:val="BodyTextMain"/>
        <w:rPr>
          <w:lang w:val="en-GB"/>
        </w:rPr>
      </w:pPr>
    </w:p>
    <w:p w14:paraId="625C16B9" w14:textId="2D90CE9C" w:rsidR="008D5F87" w:rsidRPr="00DC36FD" w:rsidRDefault="008D5F87" w:rsidP="001445C8">
      <w:pPr>
        <w:pStyle w:val="BodyTextMain"/>
        <w:rPr>
          <w:lang w:val="en-GB"/>
        </w:rPr>
      </w:pPr>
      <w:r w:rsidRPr="00DC36FD">
        <w:rPr>
          <w:lang w:val="en-GB"/>
        </w:rPr>
        <w:t>In addition, the costs of crop inputs for seed, fertilizer</w:t>
      </w:r>
      <w:r w:rsidR="00195887">
        <w:rPr>
          <w:lang w:val="en-GB"/>
        </w:rPr>
        <w:t>,</w:t>
      </w:r>
      <w:r w:rsidRPr="00DC36FD">
        <w:rPr>
          <w:lang w:val="en-GB"/>
        </w:rPr>
        <w:t xml:space="preserve"> and chemicals, which ranged between $110 and $130 per acre</w:t>
      </w:r>
      <w:r w:rsidR="00195887">
        <w:rPr>
          <w:lang w:val="en-GB"/>
        </w:rPr>
        <w:t xml:space="preserve"> ($45</w:t>
      </w:r>
      <w:r w:rsidR="00930FF2">
        <w:rPr>
          <w:lang w:val="en-GB"/>
        </w:rPr>
        <w:t xml:space="preserve"> and </w:t>
      </w:r>
      <w:r w:rsidR="00195887">
        <w:rPr>
          <w:lang w:val="en-GB"/>
        </w:rPr>
        <w:t>$53 per hectare)</w:t>
      </w:r>
      <w:r w:rsidRPr="00DC36FD">
        <w:rPr>
          <w:lang w:val="en-GB"/>
        </w:rPr>
        <w:t xml:space="preserve">, </w:t>
      </w:r>
      <w:r w:rsidR="00195887">
        <w:rPr>
          <w:lang w:val="en-GB"/>
        </w:rPr>
        <w:t>needed</w:t>
      </w:r>
      <w:r w:rsidR="00195887" w:rsidRPr="00DC36FD">
        <w:rPr>
          <w:lang w:val="en-GB"/>
        </w:rPr>
        <w:t xml:space="preserve"> </w:t>
      </w:r>
      <w:r w:rsidRPr="00DC36FD">
        <w:rPr>
          <w:lang w:val="en-GB"/>
        </w:rPr>
        <w:t>to be financed until the resulting crop was harvested and sold. The costs of fuel, wages, insurance</w:t>
      </w:r>
      <w:r w:rsidR="00195887">
        <w:rPr>
          <w:lang w:val="en-GB"/>
        </w:rPr>
        <w:t>,</w:t>
      </w:r>
      <w:r w:rsidRPr="00DC36FD">
        <w:rPr>
          <w:lang w:val="en-GB"/>
        </w:rPr>
        <w:t xml:space="preserve"> and repairs, ranging from $25</w:t>
      </w:r>
      <w:r w:rsidR="00195887">
        <w:rPr>
          <w:lang w:val="en-GB"/>
        </w:rPr>
        <w:t>–</w:t>
      </w:r>
      <w:r w:rsidRPr="00DC36FD">
        <w:rPr>
          <w:lang w:val="en-GB"/>
        </w:rPr>
        <w:t>$35 per acre</w:t>
      </w:r>
      <w:r w:rsidR="00195887">
        <w:rPr>
          <w:lang w:val="en-GB"/>
        </w:rPr>
        <w:t xml:space="preserve"> </w:t>
      </w:r>
      <w:r w:rsidR="00C072EC">
        <w:rPr>
          <w:lang w:val="en-GB"/>
        </w:rPr>
        <w:t>(</w:t>
      </w:r>
      <w:r w:rsidR="00195887">
        <w:rPr>
          <w:lang w:val="en-GB"/>
        </w:rPr>
        <w:t>$10–$14 per hectare)</w:t>
      </w:r>
      <w:r w:rsidRPr="00DC36FD">
        <w:rPr>
          <w:lang w:val="en-GB"/>
        </w:rPr>
        <w:t>, along with the long-term debt servicing</w:t>
      </w:r>
      <w:r w:rsidR="0049759C">
        <w:rPr>
          <w:lang w:val="en-GB"/>
        </w:rPr>
        <w:t>,</w:t>
      </w:r>
      <w:r w:rsidRPr="00DC36FD">
        <w:rPr>
          <w:lang w:val="en-GB"/>
        </w:rPr>
        <w:t xml:space="preserve"> also required cash outflow before the crop </w:t>
      </w:r>
      <w:r w:rsidR="00195887">
        <w:rPr>
          <w:lang w:val="en-GB"/>
        </w:rPr>
        <w:t>wa</w:t>
      </w:r>
      <w:r w:rsidR="00195887" w:rsidRPr="00DC36FD">
        <w:rPr>
          <w:lang w:val="en-GB"/>
        </w:rPr>
        <w:t xml:space="preserve">s </w:t>
      </w:r>
      <w:r w:rsidRPr="00DC36FD">
        <w:rPr>
          <w:lang w:val="en-GB"/>
        </w:rPr>
        <w:t xml:space="preserve">sold. This </w:t>
      </w:r>
      <w:r w:rsidR="00195887">
        <w:rPr>
          <w:lang w:val="en-GB"/>
        </w:rPr>
        <w:t xml:space="preserve">situation </w:t>
      </w:r>
      <w:r w:rsidRPr="00DC36FD">
        <w:rPr>
          <w:lang w:val="en-GB"/>
        </w:rPr>
        <w:t>resulted in high levels of operating lines of credit and bank indebtedness.</w:t>
      </w:r>
    </w:p>
    <w:p w14:paraId="01E0AF52" w14:textId="77777777" w:rsidR="001445C8" w:rsidRPr="00DC36FD" w:rsidRDefault="001445C8" w:rsidP="001445C8">
      <w:pPr>
        <w:pStyle w:val="BodyTextMain"/>
        <w:rPr>
          <w:lang w:val="en-GB"/>
        </w:rPr>
      </w:pPr>
    </w:p>
    <w:p w14:paraId="23B296C9" w14:textId="77777777" w:rsidR="001445C8" w:rsidRPr="00DC36FD" w:rsidRDefault="001445C8" w:rsidP="001445C8">
      <w:pPr>
        <w:pStyle w:val="BodyTextMain"/>
        <w:rPr>
          <w:lang w:val="en-GB"/>
        </w:rPr>
      </w:pPr>
    </w:p>
    <w:p w14:paraId="154F6721" w14:textId="49B858AA" w:rsidR="008D5F87" w:rsidRPr="00DC36FD" w:rsidRDefault="00930FF2" w:rsidP="00566410">
      <w:pPr>
        <w:pStyle w:val="Casehead2"/>
        <w:rPr>
          <w:lang w:val="en-GB"/>
        </w:rPr>
      </w:pPr>
      <w:r>
        <w:rPr>
          <w:lang w:val="en-GB"/>
        </w:rPr>
        <w:t xml:space="preserve">The </w:t>
      </w:r>
      <w:r w:rsidR="008D5F87" w:rsidRPr="00DC36FD">
        <w:rPr>
          <w:lang w:val="en-GB"/>
        </w:rPr>
        <w:t>Trucking Operation</w:t>
      </w:r>
    </w:p>
    <w:p w14:paraId="223419C2" w14:textId="53BC8D47" w:rsidR="001445C8" w:rsidRPr="00DC36FD" w:rsidRDefault="001445C8" w:rsidP="001445C8">
      <w:pPr>
        <w:pStyle w:val="BodyTextMain"/>
        <w:rPr>
          <w:lang w:val="en-GB"/>
        </w:rPr>
      </w:pPr>
    </w:p>
    <w:p w14:paraId="43CCE6DE" w14:textId="37ABDA57" w:rsidR="008D5F87" w:rsidRPr="00B03565" w:rsidRDefault="008D5F87" w:rsidP="001445C8">
      <w:pPr>
        <w:pStyle w:val="BodyTextMain"/>
        <w:rPr>
          <w:spacing w:val="-2"/>
          <w:lang w:val="en-GB"/>
        </w:rPr>
      </w:pPr>
      <w:r w:rsidRPr="00B03565">
        <w:rPr>
          <w:spacing w:val="-2"/>
          <w:lang w:val="en-GB"/>
        </w:rPr>
        <w:t xml:space="preserve">The statement of earnings for </w:t>
      </w:r>
      <w:proofErr w:type="spellStart"/>
      <w:r w:rsidRPr="00B03565">
        <w:rPr>
          <w:spacing w:val="-2"/>
          <w:lang w:val="en-GB"/>
        </w:rPr>
        <w:t>Meakin</w:t>
      </w:r>
      <w:proofErr w:type="spellEnd"/>
      <w:r w:rsidRPr="00B03565">
        <w:rPr>
          <w:spacing w:val="-2"/>
          <w:lang w:val="en-GB"/>
        </w:rPr>
        <w:t xml:space="preserve"> Industrial for the three-year period </w:t>
      </w:r>
      <w:r w:rsidR="00195887" w:rsidRPr="00B03565">
        <w:rPr>
          <w:spacing w:val="-2"/>
          <w:lang w:val="en-GB"/>
        </w:rPr>
        <w:t xml:space="preserve">2014–2016 </w:t>
      </w:r>
      <w:r w:rsidRPr="00B03565">
        <w:rPr>
          <w:spacing w:val="-2"/>
          <w:lang w:val="en-GB"/>
        </w:rPr>
        <w:t xml:space="preserve">is provided in Exhibit </w:t>
      </w:r>
      <w:r w:rsidR="00D1089F" w:rsidRPr="00B03565">
        <w:rPr>
          <w:spacing w:val="-2"/>
          <w:lang w:val="en-GB"/>
        </w:rPr>
        <w:t>9</w:t>
      </w:r>
      <w:r w:rsidRPr="00B03565">
        <w:rPr>
          <w:spacing w:val="-2"/>
          <w:lang w:val="en-GB"/>
        </w:rPr>
        <w:t>.</w:t>
      </w:r>
    </w:p>
    <w:p w14:paraId="26C19FC0" w14:textId="77777777" w:rsidR="001445C8" w:rsidRPr="00DC36FD" w:rsidRDefault="001445C8" w:rsidP="001445C8">
      <w:pPr>
        <w:pStyle w:val="BodyTextMain"/>
        <w:rPr>
          <w:lang w:val="en-GB"/>
        </w:rPr>
      </w:pPr>
    </w:p>
    <w:p w14:paraId="27BDF29C" w14:textId="77777777" w:rsidR="008D5F87" w:rsidRPr="00DC36FD" w:rsidRDefault="008D5F87" w:rsidP="00566410">
      <w:pPr>
        <w:pStyle w:val="Casehead3"/>
        <w:rPr>
          <w:lang w:val="en-GB"/>
        </w:rPr>
      </w:pPr>
      <w:r w:rsidRPr="00DC36FD">
        <w:rPr>
          <w:lang w:val="en-GB"/>
        </w:rPr>
        <w:lastRenderedPageBreak/>
        <w:t>Type</w:t>
      </w:r>
      <w:r w:rsidR="009C2BEE" w:rsidRPr="00DC36FD">
        <w:rPr>
          <w:lang w:val="en-GB"/>
        </w:rPr>
        <w:t>s</w:t>
      </w:r>
      <w:r w:rsidRPr="00DC36FD">
        <w:rPr>
          <w:lang w:val="en-GB"/>
        </w:rPr>
        <w:t xml:space="preserve"> of Hauling </w:t>
      </w:r>
    </w:p>
    <w:p w14:paraId="3D10FFA6" w14:textId="77777777" w:rsidR="001445C8" w:rsidRPr="00DC36FD" w:rsidRDefault="001445C8" w:rsidP="001445C8">
      <w:pPr>
        <w:pStyle w:val="Casehead3"/>
        <w:rPr>
          <w:lang w:val="en-GB"/>
        </w:rPr>
      </w:pPr>
    </w:p>
    <w:p w14:paraId="502C46E4" w14:textId="0A792AA6" w:rsidR="008D5F87" w:rsidRPr="00DC36FD" w:rsidRDefault="008D5F87" w:rsidP="00B90D0E">
      <w:pPr>
        <w:pStyle w:val="BodyTextMain"/>
        <w:numPr>
          <w:ilvl w:val="0"/>
          <w:numId w:val="2"/>
        </w:numPr>
        <w:rPr>
          <w:lang w:val="en-GB"/>
        </w:rPr>
      </w:pPr>
      <w:r w:rsidRPr="00DC36FD">
        <w:rPr>
          <w:i/>
          <w:lang w:val="en-GB"/>
        </w:rPr>
        <w:t>Bin Hauling</w:t>
      </w:r>
      <w:r w:rsidR="00566410" w:rsidRPr="00DC36FD">
        <w:rPr>
          <w:lang w:val="en-GB"/>
        </w:rPr>
        <w:t xml:space="preserve">: </w:t>
      </w:r>
      <w:r w:rsidRPr="00DC36FD">
        <w:rPr>
          <w:lang w:val="en-GB"/>
        </w:rPr>
        <w:t>The trucking operation</w:t>
      </w:r>
      <w:r w:rsidR="00195887">
        <w:rPr>
          <w:lang w:val="en-GB"/>
        </w:rPr>
        <w:t>,</w:t>
      </w:r>
      <w:r w:rsidRPr="00DC36FD">
        <w:rPr>
          <w:lang w:val="en-GB"/>
        </w:rPr>
        <w:t xml:space="preserve"> </w:t>
      </w:r>
      <w:proofErr w:type="spellStart"/>
      <w:r w:rsidRPr="00DC36FD">
        <w:rPr>
          <w:lang w:val="en-GB"/>
        </w:rPr>
        <w:t>Meakin</w:t>
      </w:r>
      <w:proofErr w:type="spellEnd"/>
      <w:r w:rsidRPr="00DC36FD">
        <w:rPr>
          <w:lang w:val="en-GB"/>
        </w:rPr>
        <w:t xml:space="preserve"> Industrial</w:t>
      </w:r>
      <w:r w:rsidR="00195887">
        <w:rPr>
          <w:lang w:val="en-GB"/>
        </w:rPr>
        <w:t>,</w:t>
      </w:r>
      <w:r w:rsidRPr="00DC36FD">
        <w:rPr>
          <w:lang w:val="en-GB"/>
        </w:rPr>
        <w:t xml:space="preserve"> began in 2013. The genesis of this business was to primarily service the delivery needs of two large industrial bin manufacturers for Central Saskatchewan. The bin manufacturers typically outsourced the delivery of grain bins to private operators such as </w:t>
      </w:r>
      <w:proofErr w:type="spellStart"/>
      <w:r w:rsidRPr="00DC36FD">
        <w:rPr>
          <w:lang w:val="en-GB"/>
        </w:rPr>
        <w:t>Meakin</w:t>
      </w:r>
      <w:proofErr w:type="spellEnd"/>
      <w:r w:rsidRPr="00DC36FD">
        <w:rPr>
          <w:lang w:val="en-GB"/>
        </w:rPr>
        <w:t xml:space="preserve"> Industrial. The grain bins varied in length and diameter</w:t>
      </w:r>
      <w:r w:rsidR="00930FF2">
        <w:rPr>
          <w:lang w:val="en-GB"/>
        </w:rPr>
        <w:t>,</w:t>
      </w:r>
      <w:r w:rsidRPr="00DC36FD">
        <w:rPr>
          <w:lang w:val="en-GB"/>
        </w:rPr>
        <w:t xml:space="preserve"> with </w:t>
      </w:r>
      <w:proofErr w:type="spellStart"/>
      <w:r w:rsidRPr="00DC36FD">
        <w:rPr>
          <w:lang w:val="en-GB"/>
        </w:rPr>
        <w:t>Meakin</w:t>
      </w:r>
      <w:proofErr w:type="spellEnd"/>
      <w:r w:rsidRPr="00DC36FD">
        <w:rPr>
          <w:lang w:val="en-GB"/>
        </w:rPr>
        <w:t xml:space="preserve"> Industrial’s current equipment able to transport bins up to 32 feet </w:t>
      </w:r>
      <w:r w:rsidR="00195887">
        <w:rPr>
          <w:lang w:val="en-GB"/>
        </w:rPr>
        <w:t xml:space="preserve">(10 metres) </w:t>
      </w:r>
      <w:r w:rsidRPr="00DC36FD">
        <w:rPr>
          <w:lang w:val="en-GB"/>
        </w:rPr>
        <w:t xml:space="preserve">long and </w:t>
      </w:r>
      <w:r w:rsidR="00006E57">
        <w:rPr>
          <w:lang w:val="en-GB"/>
        </w:rPr>
        <w:t xml:space="preserve">with </w:t>
      </w:r>
      <w:r w:rsidRPr="00DC36FD">
        <w:rPr>
          <w:lang w:val="en-GB"/>
        </w:rPr>
        <w:t>a diameter of 20 f</w:t>
      </w:r>
      <w:r w:rsidR="00195887">
        <w:rPr>
          <w:lang w:val="en-GB"/>
        </w:rPr>
        <w:t>ee</w:t>
      </w:r>
      <w:r w:rsidRPr="00DC36FD">
        <w:rPr>
          <w:lang w:val="en-GB"/>
        </w:rPr>
        <w:t>t</w:t>
      </w:r>
      <w:r w:rsidR="00195887">
        <w:rPr>
          <w:lang w:val="en-GB"/>
        </w:rPr>
        <w:t xml:space="preserve"> (6 metres)</w:t>
      </w:r>
      <w:r w:rsidRPr="00DC36FD">
        <w:rPr>
          <w:lang w:val="en-GB"/>
        </w:rPr>
        <w:t>.</w:t>
      </w:r>
      <w:r w:rsidR="00DC36FD" w:rsidRPr="00DC36FD">
        <w:rPr>
          <w:lang w:val="en-GB"/>
        </w:rPr>
        <w:t xml:space="preserve"> </w:t>
      </w:r>
    </w:p>
    <w:p w14:paraId="4DA86C86" w14:textId="77777777" w:rsidR="00566410" w:rsidRPr="00DC36FD" w:rsidRDefault="00566410" w:rsidP="001445C8">
      <w:pPr>
        <w:pStyle w:val="BodyTextMain"/>
        <w:rPr>
          <w:lang w:val="en-GB"/>
        </w:rPr>
      </w:pPr>
    </w:p>
    <w:p w14:paraId="51582666" w14:textId="205FBD09" w:rsidR="008D5F87" w:rsidRPr="00DC36FD" w:rsidRDefault="008D5F87" w:rsidP="009C2BEE">
      <w:pPr>
        <w:pStyle w:val="BodyTextMain"/>
        <w:ind w:left="360"/>
        <w:rPr>
          <w:lang w:val="en-GB"/>
        </w:rPr>
      </w:pPr>
      <w:r w:rsidRPr="00DC36FD">
        <w:rPr>
          <w:lang w:val="en-GB"/>
        </w:rPr>
        <w:t xml:space="preserve">In 2014, </w:t>
      </w:r>
      <w:proofErr w:type="spellStart"/>
      <w:r w:rsidRPr="00DC36FD">
        <w:rPr>
          <w:lang w:val="en-GB"/>
        </w:rPr>
        <w:t>Meakin</w:t>
      </w:r>
      <w:proofErr w:type="spellEnd"/>
      <w:r w:rsidRPr="00DC36FD">
        <w:rPr>
          <w:lang w:val="en-GB"/>
        </w:rPr>
        <w:t xml:space="preserve"> Industrial had contracts with two large bin manufacturers</w:t>
      </w:r>
      <w:r w:rsidR="00195887">
        <w:rPr>
          <w:lang w:val="en-GB"/>
        </w:rPr>
        <w:t>,</w:t>
      </w:r>
      <w:r w:rsidRPr="00DC36FD">
        <w:rPr>
          <w:lang w:val="en-GB"/>
        </w:rPr>
        <w:t xml:space="preserve"> </w:t>
      </w:r>
      <w:r w:rsidR="00195887">
        <w:rPr>
          <w:lang w:val="en-GB"/>
        </w:rPr>
        <w:t>which</w:t>
      </w:r>
      <w:r w:rsidRPr="00DC36FD">
        <w:rPr>
          <w:lang w:val="en-GB"/>
        </w:rPr>
        <w:t xml:space="preserve"> resulted in revenues of </w:t>
      </w:r>
      <w:r w:rsidR="00195887">
        <w:rPr>
          <w:lang w:val="en-GB"/>
        </w:rPr>
        <w:t xml:space="preserve">more than </w:t>
      </w:r>
      <w:r w:rsidRPr="00DC36FD">
        <w:rPr>
          <w:lang w:val="en-GB"/>
        </w:rPr>
        <w:t xml:space="preserve">$150,000. In 2015, </w:t>
      </w:r>
      <w:proofErr w:type="spellStart"/>
      <w:r w:rsidRPr="00DC36FD">
        <w:rPr>
          <w:lang w:val="en-GB"/>
        </w:rPr>
        <w:t>Meakin</w:t>
      </w:r>
      <w:proofErr w:type="spellEnd"/>
      <w:r w:rsidRPr="00DC36FD">
        <w:rPr>
          <w:lang w:val="en-GB"/>
        </w:rPr>
        <w:t xml:space="preserve"> Industrial lost one of the contracts with a major bin manufacturer to a competitor that undercut the delivery charges. The bin hauling remained strong in 2015, albeit only </w:t>
      </w:r>
      <w:r w:rsidR="00195887">
        <w:rPr>
          <w:lang w:val="en-GB"/>
        </w:rPr>
        <w:t>for</w:t>
      </w:r>
      <w:r w:rsidRPr="00DC36FD">
        <w:rPr>
          <w:lang w:val="en-GB"/>
        </w:rPr>
        <w:t xml:space="preserve"> one of two bin manufacturers, due to a need for on-farm grain storage </w:t>
      </w:r>
      <w:r w:rsidR="00195887">
        <w:rPr>
          <w:lang w:val="en-GB"/>
        </w:rPr>
        <w:t>because of</w:t>
      </w:r>
      <w:r w:rsidRPr="00DC36FD">
        <w:rPr>
          <w:lang w:val="en-GB"/>
        </w:rPr>
        <w:t xml:space="preserve"> a backlog of rail car grain deliveries. </w:t>
      </w:r>
      <w:r w:rsidR="00195887">
        <w:rPr>
          <w:lang w:val="en-GB"/>
        </w:rPr>
        <w:t xml:space="preserve">In </w:t>
      </w:r>
      <w:r w:rsidRPr="00DC36FD">
        <w:rPr>
          <w:lang w:val="en-GB"/>
        </w:rPr>
        <w:t>2016</w:t>
      </w:r>
      <w:r w:rsidR="00195887">
        <w:rPr>
          <w:lang w:val="en-GB"/>
        </w:rPr>
        <w:t>,</w:t>
      </w:r>
      <w:r w:rsidRPr="00DC36FD">
        <w:rPr>
          <w:lang w:val="en-GB"/>
        </w:rPr>
        <w:t xml:space="preserve"> </w:t>
      </w:r>
      <w:r w:rsidR="00195887">
        <w:rPr>
          <w:lang w:val="en-GB"/>
        </w:rPr>
        <w:t>the</w:t>
      </w:r>
      <w:r w:rsidRPr="00DC36FD">
        <w:rPr>
          <w:lang w:val="en-GB"/>
        </w:rPr>
        <w:t xml:space="preserve"> demand for bin hauling </w:t>
      </w:r>
      <w:r w:rsidR="00195887">
        <w:rPr>
          <w:lang w:val="en-GB"/>
        </w:rPr>
        <w:t xml:space="preserve">declined </w:t>
      </w:r>
      <w:r w:rsidRPr="00DC36FD">
        <w:rPr>
          <w:lang w:val="en-GB"/>
        </w:rPr>
        <w:t xml:space="preserve">due to </w:t>
      </w:r>
      <w:r w:rsidR="005E7886">
        <w:rPr>
          <w:lang w:val="en-GB"/>
        </w:rPr>
        <w:t xml:space="preserve">some </w:t>
      </w:r>
      <w:r w:rsidRPr="00DC36FD">
        <w:rPr>
          <w:lang w:val="en-GB"/>
        </w:rPr>
        <w:t>hail damage in the area during the 2016 growing season.</w:t>
      </w:r>
    </w:p>
    <w:p w14:paraId="3DC5E91A" w14:textId="77777777" w:rsidR="001445C8" w:rsidRPr="00DC36FD" w:rsidRDefault="001445C8" w:rsidP="001445C8">
      <w:pPr>
        <w:pStyle w:val="BodyTextMain"/>
        <w:rPr>
          <w:lang w:val="en-GB"/>
        </w:rPr>
      </w:pPr>
    </w:p>
    <w:p w14:paraId="6C8C6050" w14:textId="13E3CFC0" w:rsidR="008D5F87" w:rsidRPr="00DC36FD" w:rsidRDefault="008D5F87" w:rsidP="00B90D0E">
      <w:pPr>
        <w:pStyle w:val="BodyTextMain"/>
        <w:numPr>
          <w:ilvl w:val="0"/>
          <w:numId w:val="2"/>
        </w:numPr>
        <w:rPr>
          <w:lang w:val="en-GB"/>
        </w:rPr>
      </w:pPr>
      <w:r w:rsidRPr="00DC36FD">
        <w:rPr>
          <w:i/>
          <w:lang w:val="en-GB"/>
        </w:rPr>
        <w:t>Grain Hauling</w:t>
      </w:r>
      <w:r w:rsidR="00566410" w:rsidRPr="00DC36FD">
        <w:rPr>
          <w:lang w:val="en-GB"/>
        </w:rPr>
        <w:t xml:space="preserve">: </w:t>
      </w:r>
      <w:r w:rsidRPr="00DC36FD">
        <w:rPr>
          <w:lang w:val="en-GB"/>
        </w:rPr>
        <w:t xml:space="preserve">Grain hauling was a service provided to other farmers for the delivery of their grain to the inland processing terminals. </w:t>
      </w:r>
      <w:proofErr w:type="spellStart"/>
      <w:r w:rsidRPr="00DC36FD">
        <w:rPr>
          <w:lang w:val="en-GB"/>
        </w:rPr>
        <w:t>Meakin</w:t>
      </w:r>
      <w:proofErr w:type="spellEnd"/>
      <w:r w:rsidRPr="00DC36FD">
        <w:rPr>
          <w:lang w:val="en-GB"/>
        </w:rPr>
        <w:t xml:space="preserve"> Industrial provided this service to </w:t>
      </w:r>
      <w:r w:rsidR="005E7886">
        <w:rPr>
          <w:lang w:val="en-GB"/>
        </w:rPr>
        <w:t>10–15</w:t>
      </w:r>
      <w:r w:rsidRPr="00DC36FD">
        <w:rPr>
          <w:lang w:val="en-GB"/>
        </w:rPr>
        <w:t xml:space="preserve"> farmers within a </w:t>
      </w:r>
      <w:r w:rsidR="005E7886">
        <w:rPr>
          <w:lang w:val="en-GB"/>
        </w:rPr>
        <w:t>100-</w:t>
      </w:r>
      <w:r w:rsidR="005E7886" w:rsidRPr="00DC36FD">
        <w:rPr>
          <w:lang w:val="en-GB"/>
        </w:rPr>
        <w:t>kilomet</w:t>
      </w:r>
      <w:r w:rsidR="005E7886">
        <w:rPr>
          <w:lang w:val="en-GB"/>
        </w:rPr>
        <w:t>re</w:t>
      </w:r>
      <w:r w:rsidR="005E7886" w:rsidRPr="00DC36FD">
        <w:rPr>
          <w:lang w:val="en-GB"/>
        </w:rPr>
        <w:t xml:space="preserve"> </w:t>
      </w:r>
      <w:r w:rsidRPr="00DC36FD">
        <w:rPr>
          <w:lang w:val="en-GB"/>
        </w:rPr>
        <w:t xml:space="preserve">radius of </w:t>
      </w:r>
      <w:proofErr w:type="spellStart"/>
      <w:r w:rsidRPr="00DC36FD">
        <w:rPr>
          <w:lang w:val="en-GB"/>
        </w:rPr>
        <w:t>Meakin</w:t>
      </w:r>
      <w:proofErr w:type="spellEnd"/>
      <w:r w:rsidRPr="00DC36FD">
        <w:rPr>
          <w:lang w:val="en-GB"/>
        </w:rPr>
        <w:t xml:space="preserve"> Farms. When one of the contracts for grain bins was not renewed in 2015, </w:t>
      </w:r>
      <w:proofErr w:type="spellStart"/>
      <w:r w:rsidR="005E7886">
        <w:rPr>
          <w:lang w:val="en-GB"/>
        </w:rPr>
        <w:t>Meakin</w:t>
      </w:r>
      <w:proofErr w:type="spellEnd"/>
      <w:r w:rsidR="005E7886" w:rsidRPr="00DC36FD">
        <w:rPr>
          <w:lang w:val="en-GB"/>
        </w:rPr>
        <w:t xml:space="preserve"> </w:t>
      </w:r>
      <w:r w:rsidRPr="00DC36FD">
        <w:rPr>
          <w:lang w:val="en-GB"/>
        </w:rPr>
        <w:t>set out to expand the grain</w:t>
      </w:r>
      <w:r w:rsidR="005E7886">
        <w:rPr>
          <w:lang w:val="en-GB"/>
        </w:rPr>
        <w:t>-</w:t>
      </w:r>
      <w:r w:rsidRPr="00DC36FD">
        <w:rPr>
          <w:lang w:val="en-GB"/>
        </w:rPr>
        <w:t xml:space="preserve">hauling portion of the business. </w:t>
      </w:r>
      <w:proofErr w:type="spellStart"/>
      <w:r w:rsidRPr="00DC36FD">
        <w:rPr>
          <w:lang w:val="en-GB"/>
        </w:rPr>
        <w:t>Meakin</w:t>
      </w:r>
      <w:proofErr w:type="spellEnd"/>
      <w:r w:rsidRPr="00DC36FD">
        <w:rPr>
          <w:lang w:val="en-GB"/>
        </w:rPr>
        <w:t xml:space="preserve"> Farms was also able to reduce </w:t>
      </w:r>
      <w:r w:rsidR="005E7886">
        <w:rPr>
          <w:lang w:val="en-GB"/>
        </w:rPr>
        <w:t>its</w:t>
      </w:r>
      <w:r w:rsidR="005E7886" w:rsidRPr="00DC36FD">
        <w:rPr>
          <w:lang w:val="en-GB"/>
        </w:rPr>
        <w:t xml:space="preserve"> </w:t>
      </w:r>
      <w:r w:rsidRPr="00DC36FD">
        <w:rPr>
          <w:lang w:val="en-GB"/>
        </w:rPr>
        <w:t xml:space="preserve">own grain delivery costs by utilizing the services and equipment of </w:t>
      </w:r>
      <w:proofErr w:type="spellStart"/>
      <w:r w:rsidRPr="00DC36FD">
        <w:rPr>
          <w:lang w:val="en-GB"/>
        </w:rPr>
        <w:t>Meakin</w:t>
      </w:r>
      <w:proofErr w:type="spellEnd"/>
      <w:r w:rsidRPr="00DC36FD">
        <w:rPr>
          <w:lang w:val="en-GB"/>
        </w:rPr>
        <w:t xml:space="preserve"> Industrial.</w:t>
      </w:r>
    </w:p>
    <w:p w14:paraId="6057BD0B" w14:textId="77777777" w:rsidR="001445C8" w:rsidRPr="00DC36FD" w:rsidRDefault="001445C8" w:rsidP="001445C8">
      <w:pPr>
        <w:pStyle w:val="BodyTextMain"/>
        <w:rPr>
          <w:lang w:val="en-GB"/>
        </w:rPr>
      </w:pPr>
    </w:p>
    <w:p w14:paraId="20FC4310" w14:textId="25A5A52F" w:rsidR="008D5F87" w:rsidRPr="00DC36FD" w:rsidRDefault="008D5F87" w:rsidP="00B90D0E">
      <w:pPr>
        <w:pStyle w:val="BodyTextMain"/>
        <w:numPr>
          <w:ilvl w:val="0"/>
          <w:numId w:val="2"/>
        </w:numPr>
        <w:rPr>
          <w:spacing w:val="-4"/>
          <w:lang w:val="en-GB"/>
        </w:rPr>
      </w:pPr>
      <w:r w:rsidRPr="00DC36FD">
        <w:rPr>
          <w:i/>
          <w:spacing w:val="-4"/>
          <w:lang w:val="en-GB"/>
        </w:rPr>
        <w:t>Seed, Fertilizer and Chemical Hauling</w:t>
      </w:r>
      <w:r w:rsidR="00566410" w:rsidRPr="00DC36FD">
        <w:rPr>
          <w:spacing w:val="-4"/>
          <w:lang w:val="en-GB"/>
        </w:rPr>
        <w:t xml:space="preserve">: </w:t>
      </w:r>
      <w:r w:rsidRPr="00DC36FD">
        <w:rPr>
          <w:spacing w:val="-4"/>
          <w:lang w:val="en-GB"/>
        </w:rPr>
        <w:t>During the spring seeding season</w:t>
      </w:r>
      <w:r w:rsidR="005E7886">
        <w:rPr>
          <w:spacing w:val="-4"/>
          <w:lang w:val="en-GB"/>
        </w:rPr>
        <w:t>,</w:t>
      </w:r>
      <w:r w:rsidRPr="00DC36FD">
        <w:rPr>
          <w:spacing w:val="-4"/>
          <w:lang w:val="en-GB"/>
        </w:rPr>
        <w:t xml:space="preserve"> </w:t>
      </w:r>
      <w:proofErr w:type="spellStart"/>
      <w:r w:rsidRPr="00DC36FD">
        <w:rPr>
          <w:spacing w:val="-4"/>
          <w:lang w:val="en-GB"/>
        </w:rPr>
        <w:t>Meakin</w:t>
      </w:r>
      <w:proofErr w:type="spellEnd"/>
      <w:r w:rsidRPr="00DC36FD">
        <w:rPr>
          <w:spacing w:val="-4"/>
          <w:lang w:val="en-GB"/>
        </w:rPr>
        <w:t xml:space="preserve"> Industrial was busy hauling seed, fertilizer</w:t>
      </w:r>
      <w:r w:rsidR="005E7886">
        <w:rPr>
          <w:spacing w:val="-4"/>
          <w:lang w:val="en-GB"/>
        </w:rPr>
        <w:t>,</w:t>
      </w:r>
      <w:r w:rsidRPr="00DC36FD">
        <w:rPr>
          <w:spacing w:val="-4"/>
          <w:lang w:val="en-GB"/>
        </w:rPr>
        <w:t xml:space="preserve"> and chemicals to farmers within a </w:t>
      </w:r>
      <w:r w:rsidR="005E7886">
        <w:rPr>
          <w:spacing w:val="-4"/>
          <w:lang w:val="en-GB"/>
        </w:rPr>
        <w:t>100-</w:t>
      </w:r>
      <w:r w:rsidR="005E7886" w:rsidRPr="00DC36FD">
        <w:rPr>
          <w:spacing w:val="-4"/>
          <w:lang w:val="en-GB"/>
        </w:rPr>
        <w:t>kilomet</w:t>
      </w:r>
      <w:r w:rsidR="005E7886">
        <w:rPr>
          <w:spacing w:val="-4"/>
          <w:lang w:val="en-GB"/>
        </w:rPr>
        <w:t>re</w:t>
      </w:r>
      <w:r w:rsidR="005E7886" w:rsidRPr="00DC36FD">
        <w:rPr>
          <w:spacing w:val="-4"/>
          <w:lang w:val="en-GB"/>
        </w:rPr>
        <w:t xml:space="preserve"> </w:t>
      </w:r>
      <w:r w:rsidRPr="00DC36FD">
        <w:rPr>
          <w:spacing w:val="-4"/>
          <w:lang w:val="en-GB"/>
        </w:rPr>
        <w:t xml:space="preserve">radius of </w:t>
      </w:r>
      <w:proofErr w:type="spellStart"/>
      <w:r w:rsidRPr="00DC36FD">
        <w:rPr>
          <w:spacing w:val="-4"/>
          <w:lang w:val="en-GB"/>
        </w:rPr>
        <w:t>Meakin</w:t>
      </w:r>
      <w:proofErr w:type="spellEnd"/>
      <w:r w:rsidRPr="00DC36FD">
        <w:rPr>
          <w:spacing w:val="-4"/>
          <w:lang w:val="en-GB"/>
        </w:rPr>
        <w:t xml:space="preserve"> Farms. A unique flatbed trailer was needed to haul chemicals</w:t>
      </w:r>
      <w:r w:rsidR="005E7886">
        <w:rPr>
          <w:spacing w:val="-4"/>
          <w:lang w:val="en-GB"/>
        </w:rPr>
        <w:t>,</w:t>
      </w:r>
      <w:r w:rsidRPr="00DC36FD">
        <w:rPr>
          <w:spacing w:val="-4"/>
          <w:lang w:val="en-GB"/>
        </w:rPr>
        <w:t xml:space="preserve"> and the driver </w:t>
      </w:r>
      <w:r w:rsidR="005E7886">
        <w:rPr>
          <w:spacing w:val="-4"/>
          <w:lang w:val="en-GB"/>
        </w:rPr>
        <w:t>needed to have</w:t>
      </w:r>
      <w:r w:rsidR="005E7886" w:rsidRPr="00DC36FD">
        <w:rPr>
          <w:spacing w:val="-4"/>
          <w:lang w:val="en-GB"/>
        </w:rPr>
        <w:t xml:space="preserve"> </w:t>
      </w:r>
      <w:r w:rsidRPr="00DC36FD">
        <w:rPr>
          <w:spacing w:val="-4"/>
          <w:lang w:val="en-GB"/>
        </w:rPr>
        <w:t>attain</w:t>
      </w:r>
      <w:r w:rsidR="005E7886">
        <w:rPr>
          <w:spacing w:val="-4"/>
          <w:lang w:val="en-GB"/>
        </w:rPr>
        <w:t>ed</w:t>
      </w:r>
      <w:r w:rsidRPr="00DC36FD">
        <w:rPr>
          <w:spacing w:val="-4"/>
          <w:lang w:val="en-GB"/>
        </w:rPr>
        <w:t xml:space="preserve"> hazardous goods training.</w:t>
      </w:r>
    </w:p>
    <w:p w14:paraId="08A57E27" w14:textId="77777777" w:rsidR="001445C8" w:rsidRPr="00DC36FD" w:rsidRDefault="001445C8" w:rsidP="001445C8">
      <w:pPr>
        <w:pStyle w:val="BodyTextMain"/>
        <w:rPr>
          <w:lang w:val="en-GB"/>
        </w:rPr>
      </w:pPr>
    </w:p>
    <w:p w14:paraId="4FE560A1" w14:textId="77777777" w:rsidR="001445C8" w:rsidRPr="00DC36FD" w:rsidRDefault="001445C8" w:rsidP="001445C8">
      <w:pPr>
        <w:pStyle w:val="BodyTextMain"/>
        <w:rPr>
          <w:lang w:val="en-GB"/>
        </w:rPr>
      </w:pPr>
    </w:p>
    <w:p w14:paraId="2DB8DEC0" w14:textId="77777777" w:rsidR="008D5F87" w:rsidRPr="00DC36FD" w:rsidRDefault="008D5F87" w:rsidP="00566410">
      <w:pPr>
        <w:pStyle w:val="Casehead3"/>
        <w:rPr>
          <w:lang w:val="en-GB"/>
        </w:rPr>
      </w:pPr>
      <w:r w:rsidRPr="00DC36FD">
        <w:rPr>
          <w:lang w:val="en-GB"/>
        </w:rPr>
        <w:t>Human Resources: Time in Short Supply</w:t>
      </w:r>
    </w:p>
    <w:p w14:paraId="2846328F" w14:textId="77777777" w:rsidR="001445C8" w:rsidRPr="00DC36FD" w:rsidRDefault="001445C8" w:rsidP="001445C8">
      <w:pPr>
        <w:pStyle w:val="BodyTextMain"/>
        <w:rPr>
          <w:lang w:val="en-GB"/>
        </w:rPr>
      </w:pPr>
    </w:p>
    <w:p w14:paraId="280E6461" w14:textId="2D8447AA" w:rsidR="008D5F87" w:rsidRPr="00DC36FD" w:rsidRDefault="008D5F87" w:rsidP="001445C8">
      <w:pPr>
        <w:pStyle w:val="BodyTextMain"/>
        <w:rPr>
          <w:lang w:val="en-GB"/>
        </w:rPr>
      </w:pPr>
      <w:r w:rsidRPr="00DC36FD">
        <w:rPr>
          <w:lang w:val="en-GB"/>
        </w:rPr>
        <w:t xml:space="preserve">As a result of the seasonality of the hauling business, </w:t>
      </w:r>
      <w:proofErr w:type="spellStart"/>
      <w:r w:rsidRPr="00DC36FD">
        <w:rPr>
          <w:lang w:val="en-GB"/>
        </w:rPr>
        <w:t>Meakin</w:t>
      </w:r>
      <w:proofErr w:type="spellEnd"/>
      <w:r w:rsidRPr="00DC36FD">
        <w:rPr>
          <w:lang w:val="en-GB"/>
        </w:rPr>
        <w:t xml:space="preserve"> Industrial faced similar challenges to the farming operation </w:t>
      </w:r>
      <w:r w:rsidR="005E7886">
        <w:rPr>
          <w:lang w:val="en-GB"/>
        </w:rPr>
        <w:t>in terms of</w:t>
      </w:r>
      <w:r w:rsidRPr="00DC36FD">
        <w:rPr>
          <w:lang w:val="en-GB"/>
        </w:rPr>
        <w:t xml:space="preserve"> the availability of skilled employees.</w:t>
      </w:r>
      <w:r w:rsidR="00DC36FD" w:rsidRPr="00DC36FD">
        <w:rPr>
          <w:lang w:val="en-GB"/>
        </w:rPr>
        <w:t xml:space="preserve"> </w:t>
      </w:r>
      <w:r w:rsidR="001B17C7">
        <w:rPr>
          <w:lang w:val="en-GB"/>
        </w:rPr>
        <w:t>As noted earlier, t</w:t>
      </w:r>
      <w:r w:rsidR="005E7886">
        <w:rPr>
          <w:lang w:val="en-GB"/>
        </w:rPr>
        <w:t xml:space="preserve">o </w:t>
      </w:r>
      <w:r w:rsidRPr="00DC36FD">
        <w:rPr>
          <w:lang w:val="en-GB"/>
        </w:rPr>
        <w:t xml:space="preserve">drive large trucks for the different types of deliveries </w:t>
      </w:r>
      <w:r w:rsidR="005E7886">
        <w:rPr>
          <w:lang w:val="en-GB"/>
        </w:rPr>
        <w:t xml:space="preserve">required </w:t>
      </w:r>
      <w:r w:rsidRPr="00DC36FD">
        <w:rPr>
          <w:lang w:val="en-GB"/>
        </w:rPr>
        <w:t>a Class 1 licen</w:t>
      </w:r>
      <w:r w:rsidR="005E7886">
        <w:rPr>
          <w:lang w:val="en-GB"/>
        </w:rPr>
        <w:t>c</w:t>
      </w:r>
      <w:r w:rsidRPr="00DC36FD">
        <w:rPr>
          <w:lang w:val="en-GB"/>
        </w:rPr>
        <w:t>e. In addition, driver</w:t>
      </w:r>
      <w:r w:rsidR="005E7886">
        <w:rPr>
          <w:lang w:val="en-GB"/>
        </w:rPr>
        <w:t>s</w:t>
      </w:r>
      <w:r w:rsidRPr="00DC36FD">
        <w:rPr>
          <w:lang w:val="en-GB"/>
        </w:rPr>
        <w:t xml:space="preserve"> </w:t>
      </w:r>
      <w:r w:rsidR="005E7886">
        <w:rPr>
          <w:lang w:val="en-GB"/>
        </w:rPr>
        <w:t>who</w:t>
      </w:r>
      <w:r w:rsidR="005E7886" w:rsidRPr="00DC36FD">
        <w:rPr>
          <w:lang w:val="en-GB"/>
        </w:rPr>
        <w:t xml:space="preserve"> haul</w:t>
      </w:r>
      <w:r w:rsidR="005E7886">
        <w:rPr>
          <w:lang w:val="en-GB"/>
        </w:rPr>
        <w:t>ed</w:t>
      </w:r>
      <w:r w:rsidR="005E7886" w:rsidRPr="00DC36FD">
        <w:rPr>
          <w:lang w:val="en-GB"/>
        </w:rPr>
        <w:t xml:space="preserve"> </w:t>
      </w:r>
      <w:r w:rsidRPr="00DC36FD">
        <w:rPr>
          <w:lang w:val="en-GB"/>
        </w:rPr>
        <w:t>chemicals required hazardous goods training. Also, two drivers (three for the larger bins) were needed for each delivery to accommodate both the pilot truck and the delivery truck for bin hauling.</w:t>
      </w:r>
    </w:p>
    <w:p w14:paraId="4B2D9B34" w14:textId="77777777" w:rsidR="001445C8" w:rsidRPr="00DC36FD" w:rsidRDefault="001445C8" w:rsidP="001445C8">
      <w:pPr>
        <w:pStyle w:val="BodyTextMain"/>
        <w:rPr>
          <w:lang w:val="en-GB"/>
        </w:rPr>
      </w:pPr>
    </w:p>
    <w:p w14:paraId="2FA7FC0C" w14:textId="0330F569" w:rsidR="008D5F87" w:rsidRPr="00DC36FD" w:rsidRDefault="005E7886" w:rsidP="001445C8">
      <w:pPr>
        <w:pStyle w:val="BodyTextMain"/>
        <w:rPr>
          <w:lang w:val="en-GB"/>
        </w:rPr>
      </w:pPr>
      <w:proofErr w:type="spellStart"/>
      <w:r>
        <w:rPr>
          <w:lang w:val="en-GB"/>
        </w:rPr>
        <w:t>Meakin</w:t>
      </w:r>
      <w:r w:rsidRPr="00DC36FD">
        <w:rPr>
          <w:lang w:val="en-GB"/>
        </w:rPr>
        <w:t>’s</w:t>
      </w:r>
      <w:proofErr w:type="spellEnd"/>
      <w:r w:rsidRPr="00DC36FD">
        <w:rPr>
          <w:lang w:val="en-GB"/>
        </w:rPr>
        <w:t xml:space="preserve"> </w:t>
      </w:r>
      <w:r w:rsidR="008D5F87" w:rsidRPr="00DC36FD">
        <w:rPr>
          <w:lang w:val="en-GB"/>
        </w:rPr>
        <w:t>management time was split between working on the farm and operating the trucking operation. The hauling of bins required permits from the provincial Ministry of Highways</w:t>
      </w:r>
      <w:r>
        <w:rPr>
          <w:lang w:val="en-GB"/>
        </w:rPr>
        <w:t>,</w:t>
      </w:r>
      <w:r w:rsidR="008D5F87" w:rsidRPr="00DC36FD">
        <w:rPr>
          <w:lang w:val="en-GB"/>
        </w:rPr>
        <w:t xml:space="preserve"> and the larger bins also required coordination with the provincial power company to lift power lines that crossed the highway. As a result, a great deal of management time was needed in coordinating deliveries, securing permits</w:t>
      </w:r>
      <w:r>
        <w:rPr>
          <w:lang w:val="en-GB"/>
        </w:rPr>
        <w:t>,</w:t>
      </w:r>
      <w:r w:rsidR="008D5F87" w:rsidRPr="00DC36FD">
        <w:rPr>
          <w:lang w:val="en-GB"/>
        </w:rPr>
        <w:t xml:space="preserve"> and arranging for the lifting of power lines. </w:t>
      </w:r>
    </w:p>
    <w:p w14:paraId="5A7D3040" w14:textId="77777777" w:rsidR="001445C8" w:rsidRPr="00DC36FD" w:rsidRDefault="001445C8" w:rsidP="001445C8">
      <w:pPr>
        <w:pStyle w:val="BodyTextMain"/>
        <w:rPr>
          <w:lang w:val="en-GB"/>
        </w:rPr>
      </w:pPr>
    </w:p>
    <w:p w14:paraId="0FB0E391" w14:textId="77777777" w:rsidR="001445C8" w:rsidRPr="00DC36FD" w:rsidRDefault="001445C8" w:rsidP="001445C8">
      <w:pPr>
        <w:pStyle w:val="BodyTextMain"/>
        <w:rPr>
          <w:lang w:val="en-GB"/>
        </w:rPr>
      </w:pPr>
    </w:p>
    <w:p w14:paraId="1016DCC3" w14:textId="2933E1BF" w:rsidR="008D5F87" w:rsidRPr="00DC36FD" w:rsidRDefault="008D5F87" w:rsidP="00566410">
      <w:pPr>
        <w:pStyle w:val="Casehead3"/>
        <w:rPr>
          <w:lang w:val="en-GB"/>
        </w:rPr>
      </w:pPr>
      <w:r w:rsidRPr="00DC36FD">
        <w:rPr>
          <w:lang w:val="en-GB"/>
        </w:rPr>
        <w:t xml:space="preserve">Financing </w:t>
      </w:r>
      <w:r w:rsidR="005E7886">
        <w:rPr>
          <w:lang w:val="en-GB"/>
        </w:rPr>
        <w:t>w</w:t>
      </w:r>
      <w:r w:rsidRPr="00DC36FD">
        <w:rPr>
          <w:lang w:val="en-GB"/>
        </w:rPr>
        <w:t>ith More Debt</w:t>
      </w:r>
    </w:p>
    <w:p w14:paraId="581FE953" w14:textId="77777777" w:rsidR="001445C8" w:rsidRPr="00DC36FD" w:rsidRDefault="001445C8" w:rsidP="001445C8">
      <w:pPr>
        <w:pStyle w:val="BodyTextMain"/>
        <w:rPr>
          <w:lang w:val="en-GB"/>
        </w:rPr>
      </w:pPr>
    </w:p>
    <w:p w14:paraId="5B46EFBD" w14:textId="23C7B0D8" w:rsidR="008D5F87" w:rsidRPr="00DC36FD" w:rsidRDefault="008D5F87" w:rsidP="001445C8">
      <w:pPr>
        <w:pStyle w:val="BodyTextMain"/>
        <w:rPr>
          <w:lang w:val="en-GB"/>
        </w:rPr>
      </w:pPr>
      <w:r w:rsidRPr="00DC36FD">
        <w:rPr>
          <w:lang w:val="en-GB"/>
        </w:rPr>
        <w:t>The cost of financing equipment for the trucking operation was relatively high</w:t>
      </w:r>
      <w:r w:rsidR="005E7886">
        <w:rPr>
          <w:lang w:val="en-GB"/>
        </w:rPr>
        <w:t>,</w:t>
      </w:r>
      <w:r w:rsidRPr="00DC36FD">
        <w:rPr>
          <w:lang w:val="en-GB"/>
        </w:rPr>
        <w:t xml:space="preserve"> with interest rates usually at 8</w:t>
      </w:r>
      <w:r w:rsidR="005E7886">
        <w:rPr>
          <w:lang w:val="en-GB"/>
        </w:rPr>
        <w:t xml:space="preserve"> per cent</w:t>
      </w:r>
      <w:r w:rsidRPr="00DC36FD">
        <w:rPr>
          <w:lang w:val="en-GB"/>
        </w:rPr>
        <w:t>. All of the trucks were owned and financed with bank debt</w:t>
      </w:r>
      <w:r w:rsidR="005E7886">
        <w:rPr>
          <w:lang w:val="en-GB"/>
        </w:rPr>
        <w:t>,</w:t>
      </w:r>
      <w:r w:rsidRPr="00DC36FD">
        <w:rPr>
          <w:lang w:val="en-GB"/>
        </w:rPr>
        <w:t xml:space="preserve"> while most of the trailers were leased on five</w:t>
      </w:r>
      <w:r w:rsidR="005E7886">
        <w:rPr>
          <w:lang w:val="en-GB"/>
        </w:rPr>
        <w:t>-</w:t>
      </w:r>
      <w:r w:rsidRPr="00DC36FD">
        <w:rPr>
          <w:lang w:val="en-GB"/>
        </w:rPr>
        <w:t>year terms.</w:t>
      </w:r>
    </w:p>
    <w:p w14:paraId="4B6816A7" w14:textId="77777777" w:rsidR="001445C8" w:rsidRPr="00DC36FD" w:rsidRDefault="001445C8" w:rsidP="001445C8">
      <w:pPr>
        <w:pStyle w:val="BodyTextMain"/>
        <w:rPr>
          <w:lang w:val="en-GB"/>
        </w:rPr>
      </w:pPr>
    </w:p>
    <w:p w14:paraId="7339DB35" w14:textId="77777777" w:rsidR="001445C8" w:rsidRPr="00DC36FD" w:rsidRDefault="001445C8" w:rsidP="001445C8">
      <w:pPr>
        <w:pStyle w:val="BodyTextMain"/>
        <w:rPr>
          <w:lang w:val="en-GB"/>
        </w:rPr>
      </w:pPr>
    </w:p>
    <w:p w14:paraId="0D9B7898" w14:textId="043EDF82" w:rsidR="008D5F87" w:rsidRPr="00DC36FD" w:rsidRDefault="008D5F87" w:rsidP="00566410">
      <w:pPr>
        <w:pStyle w:val="Casehead3"/>
        <w:rPr>
          <w:lang w:val="en-GB"/>
        </w:rPr>
      </w:pPr>
      <w:r w:rsidRPr="00DC36FD">
        <w:rPr>
          <w:lang w:val="en-GB"/>
        </w:rPr>
        <w:lastRenderedPageBreak/>
        <w:t>Word</w:t>
      </w:r>
      <w:r w:rsidR="005E7886">
        <w:rPr>
          <w:lang w:val="en-GB"/>
        </w:rPr>
        <w:t>-</w:t>
      </w:r>
      <w:r w:rsidRPr="00DC36FD">
        <w:rPr>
          <w:lang w:val="en-GB"/>
        </w:rPr>
        <w:t>of</w:t>
      </w:r>
      <w:r w:rsidR="005E7886">
        <w:rPr>
          <w:lang w:val="en-GB"/>
        </w:rPr>
        <w:t>-</w:t>
      </w:r>
      <w:r w:rsidRPr="00DC36FD">
        <w:rPr>
          <w:lang w:val="en-GB"/>
        </w:rPr>
        <w:t>Mouth Marketing</w:t>
      </w:r>
    </w:p>
    <w:p w14:paraId="206E07E8" w14:textId="77777777" w:rsidR="001445C8" w:rsidRPr="00DC36FD" w:rsidRDefault="001445C8" w:rsidP="001445C8">
      <w:pPr>
        <w:pStyle w:val="BodyTextMain"/>
        <w:rPr>
          <w:lang w:val="en-GB"/>
        </w:rPr>
      </w:pPr>
    </w:p>
    <w:p w14:paraId="38321AF6" w14:textId="78E29218" w:rsidR="008D5F87" w:rsidRPr="00DC36FD" w:rsidRDefault="008D5F87" w:rsidP="001445C8">
      <w:pPr>
        <w:pStyle w:val="BodyTextMain"/>
        <w:rPr>
          <w:lang w:val="en-GB"/>
        </w:rPr>
      </w:pPr>
      <w:r w:rsidRPr="00DC36FD">
        <w:rPr>
          <w:lang w:val="en-GB"/>
        </w:rPr>
        <w:t xml:space="preserve">Marketing for </w:t>
      </w:r>
      <w:proofErr w:type="spellStart"/>
      <w:r w:rsidRPr="00DC36FD">
        <w:rPr>
          <w:lang w:val="en-GB"/>
        </w:rPr>
        <w:t>Meakin</w:t>
      </w:r>
      <w:proofErr w:type="spellEnd"/>
      <w:r w:rsidRPr="00DC36FD">
        <w:rPr>
          <w:lang w:val="en-GB"/>
        </w:rPr>
        <w:t xml:space="preserve"> Industrial was mainly done through word of mouth. The contracts with bin manufacturers were secured through direct marketing by personal contact from </w:t>
      </w:r>
      <w:proofErr w:type="spellStart"/>
      <w:r w:rsidR="005E7886">
        <w:rPr>
          <w:lang w:val="en-GB"/>
        </w:rPr>
        <w:t>Meakin</w:t>
      </w:r>
      <w:proofErr w:type="spellEnd"/>
      <w:r w:rsidRPr="00DC36FD">
        <w:rPr>
          <w:lang w:val="en-GB"/>
        </w:rPr>
        <w:t xml:space="preserve">. All trucks were marked as </w:t>
      </w:r>
      <w:r w:rsidR="005E7886">
        <w:rPr>
          <w:lang w:val="en-GB"/>
        </w:rPr>
        <w:t>“</w:t>
      </w:r>
      <w:proofErr w:type="spellStart"/>
      <w:r w:rsidRPr="00DC36FD">
        <w:rPr>
          <w:lang w:val="en-GB"/>
        </w:rPr>
        <w:t>Meakin</w:t>
      </w:r>
      <w:proofErr w:type="spellEnd"/>
      <w:r w:rsidRPr="00DC36FD">
        <w:rPr>
          <w:lang w:val="en-GB"/>
        </w:rPr>
        <w:t xml:space="preserve"> Industrial Ag</w:t>
      </w:r>
      <w:r w:rsidR="005E7886">
        <w:rPr>
          <w:lang w:val="en-GB"/>
        </w:rPr>
        <w:t>”</w:t>
      </w:r>
      <w:r w:rsidRPr="00DC36FD">
        <w:rPr>
          <w:lang w:val="en-GB"/>
        </w:rPr>
        <w:t xml:space="preserve"> to facilitate name recognition when the trucks were delivering products on the highways.</w:t>
      </w:r>
      <w:r w:rsidR="00DC36FD" w:rsidRPr="00DC36FD">
        <w:rPr>
          <w:lang w:val="en-GB"/>
        </w:rPr>
        <w:t xml:space="preserve"> </w:t>
      </w:r>
    </w:p>
    <w:p w14:paraId="75411460" w14:textId="77777777" w:rsidR="001445C8" w:rsidRPr="00DC36FD" w:rsidRDefault="001445C8" w:rsidP="001445C8">
      <w:pPr>
        <w:pStyle w:val="BodyTextMain"/>
        <w:rPr>
          <w:lang w:val="en-GB"/>
        </w:rPr>
      </w:pPr>
    </w:p>
    <w:p w14:paraId="2D68A9C0" w14:textId="77777777" w:rsidR="00BC1E22" w:rsidRPr="00DC36FD" w:rsidRDefault="00BC1E22" w:rsidP="001445C8">
      <w:pPr>
        <w:pStyle w:val="BodyTextMain"/>
        <w:rPr>
          <w:lang w:val="en-GB"/>
        </w:rPr>
      </w:pPr>
    </w:p>
    <w:p w14:paraId="5CB78BE0" w14:textId="77777777" w:rsidR="008D5F87" w:rsidRPr="00DC36FD" w:rsidRDefault="008D5F87" w:rsidP="001445C8">
      <w:pPr>
        <w:pStyle w:val="Casehead1"/>
        <w:rPr>
          <w:lang w:val="en-GB"/>
        </w:rPr>
      </w:pPr>
      <w:r w:rsidRPr="00DC36FD">
        <w:rPr>
          <w:lang w:val="en-GB"/>
        </w:rPr>
        <w:t>THE FUTURE</w:t>
      </w:r>
    </w:p>
    <w:p w14:paraId="087E0AE3" w14:textId="77777777" w:rsidR="001445C8" w:rsidRPr="00DC36FD" w:rsidRDefault="001445C8" w:rsidP="001445C8">
      <w:pPr>
        <w:pStyle w:val="BodyTextMain"/>
        <w:rPr>
          <w:lang w:val="en-GB"/>
        </w:rPr>
      </w:pPr>
    </w:p>
    <w:p w14:paraId="66745944" w14:textId="15CDE256" w:rsidR="008D5F87" w:rsidRPr="00DC36FD" w:rsidRDefault="008D5F87" w:rsidP="001445C8">
      <w:pPr>
        <w:pStyle w:val="BodyTextMain"/>
        <w:rPr>
          <w:lang w:val="en-GB"/>
        </w:rPr>
      </w:pPr>
      <w:r w:rsidRPr="00DC36FD">
        <w:rPr>
          <w:lang w:val="en-GB"/>
        </w:rPr>
        <w:t xml:space="preserve">In January 2017, </w:t>
      </w:r>
      <w:proofErr w:type="spellStart"/>
      <w:r w:rsidRPr="00DC36FD">
        <w:rPr>
          <w:lang w:val="en-GB"/>
        </w:rPr>
        <w:t>Meakin</w:t>
      </w:r>
      <w:proofErr w:type="spellEnd"/>
      <w:r w:rsidRPr="00DC36FD">
        <w:rPr>
          <w:lang w:val="en-GB"/>
        </w:rPr>
        <w:t xml:space="preserve"> Farms purchased </w:t>
      </w:r>
      <w:r w:rsidR="005E7886">
        <w:rPr>
          <w:lang w:val="en-GB"/>
        </w:rPr>
        <w:t>an additional</w:t>
      </w:r>
      <w:r w:rsidR="005E7886" w:rsidRPr="00DC36FD">
        <w:rPr>
          <w:lang w:val="en-GB"/>
        </w:rPr>
        <w:t xml:space="preserve"> </w:t>
      </w:r>
      <w:r w:rsidRPr="00DC36FD">
        <w:rPr>
          <w:lang w:val="en-GB"/>
        </w:rPr>
        <w:t xml:space="preserve">320 acres </w:t>
      </w:r>
      <w:r w:rsidR="005E7886">
        <w:rPr>
          <w:lang w:val="en-GB"/>
        </w:rPr>
        <w:t xml:space="preserve">(130 hectares) </w:t>
      </w:r>
      <w:r w:rsidRPr="00DC36FD">
        <w:rPr>
          <w:lang w:val="en-GB"/>
        </w:rPr>
        <w:t>of farm</w:t>
      </w:r>
      <w:r w:rsidR="00A374EE">
        <w:rPr>
          <w:lang w:val="en-GB"/>
        </w:rPr>
        <w:t xml:space="preserve"> </w:t>
      </w:r>
      <w:r w:rsidRPr="00DC36FD">
        <w:rPr>
          <w:lang w:val="en-GB"/>
        </w:rPr>
        <w:t xml:space="preserve">land </w:t>
      </w:r>
      <w:r w:rsidR="005E7886">
        <w:rPr>
          <w:lang w:val="en-GB"/>
        </w:rPr>
        <w:t xml:space="preserve">that it had </w:t>
      </w:r>
      <w:r w:rsidRPr="00DC36FD">
        <w:rPr>
          <w:lang w:val="en-GB"/>
        </w:rPr>
        <w:t>previously rented for $260,000; 75</w:t>
      </w:r>
      <w:r w:rsidR="00930FF2">
        <w:rPr>
          <w:lang w:val="en-GB"/>
        </w:rPr>
        <w:t xml:space="preserve"> per cent</w:t>
      </w:r>
      <w:r w:rsidRPr="00DC36FD">
        <w:rPr>
          <w:lang w:val="en-GB"/>
        </w:rPr>
        <w:t xml:space="preserve"> </w:t>
      </w:r>
      <w:r w:rsidR="005E7886">
        <w:rPr>
          <w:lang w:val="en-GB"/>
        </w:rPr>
        <w:t xml:space="preserve">of the cost was </w:t>
      </w:r>
      <w:r w:rsidRPr="00DC36FD">
        <w:rPr>
          <w:lang w:val="en-GB"/>
        </w:rPr>
        <w:t>financed at a mortgage rate of 4</w:t>
      </w:r>
      <w:r w:rsidR="005E7886">
        <w:rPr>
          <w:lang w:val="en-GB"/>
        </w:rPr>
        <w:t xml:space="preserve"> per cent</w:t>
      </w:r>
      <w:r w:rsidRPr="00DC36FD">
        <w:rPr>
          <w:lang w:val="en-GB"/>
        </w:rPr>
        <w:t>.</w:t>
      </w:r>
      <w:r w:rsidR="00566410" w:rsidRPr="00DC36FD">
        <w:rPr>
          <w:lang w:val="en-GB"/>
        </w:rPr>
        <w:t xml:space="preserve"> </w:t>
      </w:r>
      <w:r w:rsidRPr="00DC36FD">
        <w:rPr>
          <w:lang w:val="en-GB"/>
        </w:rPr>
        <w:t xml:space="preserve">As </w:t>
      </w:r>
      <w:proofErr w:type="spellStart"/>
      <w:r w:rsidR="005E7886">
        <w:rPr>
          <w:lang w:val="en-GB"/>
        </w:rPr>
        <w:t>Meakin</w:t>
      </w:r>
      <w:proofErr w:type="spellEnd"/>
      <w:r w:rsidR="005E7886" w:rsidRPr="00DC36FD">
        <w:rPr>
          <w:lang w:val="en-GB"/>
        </w:rPr>
        <w:t xml:space="preserve"> </w:t>
      </w:r>
      <w:r w:rsidRPr="00DC36FD">
        <w:rPr>
          <w:lang w:val="en-GB"/>
        </w:rPr>
        <w:t xml:space="preserve">contemplated his future plans, he </w:t>
      </w:r>
      <w:r w:rsidR="005E7886">
        <w:rPr>
          <w:lang w:val="en-GB"/>
        </w:rPr>
        <w:t>received</w:t>
      </w:r>
      <w:r w:rsidRPr="00DC36FD">
        <w:rPr>
          <w:lang w:val="en-GB"/>
        </w:rPr>
        <w:t xml:space="preserve"> a letter notifying him of the opportunity to lease </w:t>
      </w:r>
      <w:r w:rsidR="005E7886">
        <w:rPr>
          <w:lang w:val="en-GB"/>
        </w:rPr>
        <w:t>an additional</w:t>
      </w:r>
      <w:r w:rsidR="005E7886" w:rsidRPr="00DC36FD">
        <w:rPr>
          <w:lang w:val="en-GB"/>
        </w:rPr>
        <w:t xml:space="preserve"> </w:t>
      </w:r>
      <w:r w:rsidRPr="00DC36FD">
        <w:rPr>
          <w:lang w:val="en-GB"/>
        </w:rPr>
        <w:t xml:space="preserve">960 acres </w:t>
      </w:r>
      <w:r w:rsidR="005E7886">
        <w:rPr>
          <w:lang w:val="en-GB"/>
        </w:rPr>
        <w:t xml:space="preserve">(389 hectares) </w:t>
      </w:r>
      <w:r w:rsidRPr="00DC36FD">
        <w:rPr>
          <w:lang w:val="en-GB"/>
        </w:rPr>
        <w:t>of government-owned farmland at $55</w:t>
      </w:r>
      <w:r w:rsidR="005E7886">
        <w:rPr>
          <w:lang w:val="en-GB"/>
        </w:rPr>
        <w:t xml:space="preserve"> per </w:t>
      </w:r>
      <w:r w:rsidRPr="00DC36FD">
        <w:rPr>
          <w:lang w:val="en-GB"/>
        </w:rPr>
        <w:t xml:space="preserve">acre </w:t>
      </w:r>
      <w:r w:rsidR="005E7886">
        <w:rPr>
          <w:lang w:val="en-GB"/>
        </w:rPr>
        <w:t xml:space="preserve">($22 per hectare), </w:t>
      </w:r>
      <w:r w:rsidRPr="00DC36FD">
        <w:rPr>
          <w:lang w:val="en-GB"/>
        </w:rPr>
        <w:t xml:space="preserve">which coincided with the rate he </w:t>
      </w:r>
      <w:r w:rsidR="005E7886">
        <w:rPr>
          <w:lang w:val="en-GB"/>
        </w:rPr>
        <w:t>wa</w:t>
      </w:r>
      <w:r w:rsidR="005E7886" w:rsidRPr="00DC36FD">
        <w:rPr>
          <w:lang w:val="en-GB"/>
        </w:rPr>
        <w:t xml:space="preserve">s </w:t>
      </w:r>
      <w:r w:rsidRPr="00DC36FD">
        <w:rPr>
          <w:lang w:val="en-GB"/>
        </w:rPr>
        <w:t xml:space="preserve">currently paying </w:t>
      </w:r>
      <w:r w:rsidR="005E7886">
        <w:rPr>
          <w:lang w:val="en-GB"/>
        </w:rPr>
        <w:t>for</w:t>
      </w:r>
      <w:r w:rsidR="005E7886" w:rsidRPr="00DC36FD">
        <w:rPr>
          <w:lang w:val="en-GB"/>
        </w:rPr>
        <w:t xml:space="preserve"> </w:t>
      </w:r>
      <w:r w:rsidRPr="00DC36FD">
        <w:rPr>
          <w:lang w:val="en-GB"/>
        </w:rPr>
        <w:t xml:space="preserve">other rented land. Just as he began to prepare projections for an expanded farm size, he received a text message from the large industrial bin manufacturer that had previously opted for another contractor in 2015. </w:t>
      </w:r>
      <w:r w:rsidR="005E7886">
        <w:rPr>
          <w:lang w:val="en-GB"/>
        </w:rPr>
        <w:t>It was</w:t>
      </w:r>
      <w:r w:rsidRPr="00DC36FD">
        <w:rPr>
          <w:lang w:val="en-GB"/>
        </w:rPr>
        <w:t xml:space="preserve"> dissatisfied with the service from </w:t>
      </w:r>
      <w:proofErr w:type="spellStart"/>
      <w:r w:rsidR="005E7886">
        <w:rPr>
          <w:lang w:val="en-GB"/>
        </w:rPr>
        <w:t>Meakin</w:t>
      </w:r>
      <w:r w:rsidR="005E7886" w:rsidRPr="00DC36FD">
        <w:rPr>
          <w:lang w:val="en-GB"/>
        </w:rPr>
        <w:t>’s</w:t>
      </w:r>
      <w:proofErr w:type="spellEnd"/>
      <w:r w:rsidR="005E7886" w:rsidRPr="00DC36FD">
        <w:rPr>
          <w:lang w:val="en-GB"/>
        </w:rPr>
        <w:t xml:space="preserve"> </w:t>
      </w:r>
      <w:r w:rsidRPr="00DC36FD">
        <w:rPr>
          <w:lang w:val="en-GB"/>
        </w:rPr>
        <w:t xml:space="preserve">competitor and </w:t>
      </w:r>
      <w:r w:rsidR="005E7886">
        <w:rPr>
          <w:lang w:val="en-GB"/>
        </w:rPr>
        <w:t>wanted</w:t>
      </w:r>
      <w:r w:rsidRPr="00DC36FD">
        <w:rPr>
          <w:lang w:val="en-GB"/>
        </w:rPr>
        <w:t xml:space="preserve"> him to handle the contract moving forward</w:t>
      </w:r>
      <w:r w:rsidR="005E7886">
        <w:rPr>
          <w:lang w:val="en-GB"/>
        </w:rPr>
        <w:t>, and</w:t>
      </w:r>
      <w:r w:rsidRPr="00DC36FD">
        <w:rPr>
          <w:lang w:val="en-GB"/>
        </w:rPr>
        <w:t xml:space="preserve"> </w:t>
      </w:r>
      <w:r w:rsidR="005E7886" w:rsidRPr="00DC36FD">
        <w:rPr>
          <w:lang w:val="en-GB"/>
        </w:rPr>
        <w:t>offer</w:t>
      </w:r>
      <w:r w:rsidR="005E7886">
        <w:rPr>
          <w:lang w:val="en-GB"/>
        </w:rPr>
        <w:t>ed</w:t>
      </w:r>
      <w:r w:rsidR="005E7886" w:rsidRPr="00DC36FD">
        <w:rPr>
          <w:lang w:val="en-GB"/>
        </w:rPr>
        <w:t xml:space="preserve"> </w:t>
      </w:r>
      <w:r w:rsidRPr="00DC36FD">
        <w:rPr>
          <w:lang w:val="en-GB"/>
        </w:rPr>
        <w:t>a 5</w:t>
      </w:r>
      <w:r w:rsidR="005E7886">
        <w:rPr>
          <w:lang w:val="en-GB"/>
        </w:rPr>
        <w:t xml:space="preserve"> per cent</w:t>
      </w:r>
      <w:r w:rsidRPr="00DC36FD">
        <w:rPr>
          <w:lang w:val="en-GB"/>
        </w:rPr>
        <w:t xml:space="preserve"> price increase for his services.</w:t>
      </w:r>
      <w:r w:rsidR="00DC36FD" w:rsidRPr="00DC36FD">
        <w:rPr>
          <w:lang w:val="en-GB"/>
        </w:rPr>
        <w:t xml:space="preserve"> </w:t>
      </w:r>
    </w:p>
    <w:p w14:paraId="18916564" w14:textId="77777777" w:rsidR="001445C8" w:rsidRPr="00DC36FD" w:rsidRDefault="001445C8" w:rsidP="001445C8">
      <w:pPr>
        <w:pStyle w:val="BodyTextMain"/>
        <w:rPr>
          <w:lang w:val="en-GB"/>
        </w:rPr>
      </w:pPr>
    </w:p>
    <w:p w14:paraId="1CEB5F15" w14:textId="1D727EE1" w:rsidR="008D5F87" w:rsidRPr="00DC36FD" w:rsidRDefault="005E7886" w:rsidP="001445C8">
      <w:pPr>
        <w:pStyle w:val="BodyTextMain"/>
        <w:rPr>
          <w:lang w:val="en-GB"/>
        </w:rPr>
      </w:pPr>
      <w:proofErr w:type="spellStart"/>
      <w:r>
        <w:rPr>
          <w:lang w:val="en-GB"/>
        </w:rPr>
        <w:t>Meakin</w:t>
      </w:r>
      <w:r w:rsidRPr="00DC36FD">
        <w:rPr>
          <w:lang w:val="en-GB"/>
        </w:rPr>
        <w:t>’s</w:t>
      </w:r>
      <w:proofErr w:type="spellEnd"/>
      <w:r w:rsidRPr="00DC36FD">
        <w:rPr>
          <w:lang w:val="en-GB"/>
        </w:rPr>
        <w:t xml:space="preserve"> </w:t>
      </w:r>
      <w:r w:rsidR="008D5F87" w:rsidRPr="00DC36FD">
        <w:rPr>
          <w:lang w:val="en-GB"/>
        </w:rPr>
        <w:t xml:space="preserve">excitement </w:t>
      </w:r>
      <w:r>
        <w:rPr>
          <w:lang w:val="en-GB"/>
        </w:rPr>
        <w:t>for</w:t>
      </w:r>
      <w:r w:rsidRPr="00DC36FD">
        <w:rPr>
          <w:lang w:val="en-GB"/>
        </w:rPr>
        <w:t xml:space="preserve"> </w:t>
      </w:r>
      <w:r w:rsidR="008D5F87" w:rsidRPr="00DC36FD">
        <w:rPr>
          <w:lang w:val="en-GB"/>
        </w:rPr>
        <w:t xml:space="preserve">the new opportunities was short-lived when he recalled </w:t>
      </w:r>
      <w:r w:rsidR="00F410B1">
        <w:rPr>
          <w:lang w:val="en-GB"/>
        </w:rPr>
        <w:t xml:space="preserve">that in </w:t>
      </w:r>
      <w:r w:rsidR="008D5F87" w:rsidRPr="00DC36FD">
        <w:rPr>
          <w:lang w:val="en-GB"/>
        </w:rPr>
        <w:t xml:space="preserve">2016 </w:t>
      </w:r>
      <w:r w:rsidR="000C6C51">
        <w:rPr>
          <w:lang w:val="en-GB"/>
        </w:rPr>
        <w:t>h</w:t>
      </w:r>
      <w:r w:rsidR="008D5F87" w:rsidRPr="00DC36FD">
        <w:rPr>
          <w:lang w:val="en-GB"/>
        </w:rPr>
        <w:t xml:space="preserve">e </w:t>
      </w:r>
      <w:r w:rsidR="000C6C51">
        <w:rPr>
          <w:lang w:val="en-GB"/>
        </w:rPr>
        <w:t>had been</w:t>
      </w:r>
      <w:r w:rsidR="000C6C51" w:rsidRPr="00DC36FD">
        <w:rPr>
          <w:lang w:val="en-GB"/>
        </w:rPr>
        <w:t xml:space="preserve"> </w:t>
      </w:r>
      <w:r w:rsidR="00F410B1">
        <w:rPr>
          <w:lang w:val="en-GB"/>
        </w:rPr>
        <w:t>overloaded</w:t>
      </w:r>
      <w:r w:rsidR="008D5F87" w:rsidRPr="00DC36FD">
        <w:rPr>
          <w:lang w:val="en-GB"/>
        </w:rPr>
        <w:t xml:space="preserve"> with management responsibilities. The demands on his time and </w:t>
      </w:r>
      <w:r w:rsidR="000C6C51">
        <w:rPr>
          <w:lang w:val="en-GB"/>
        </w:rPr>
        <w:t xml:space="preserve">the need for </w:t>
      </w:r>
      <w:r w:rsidR="008D5F87" w:rsidRPr="00DC36FD">
        <w:rPr>
          <w:lang w:val="en-GB"/>
        </w:rPr>
        <w:t xml:space="preserve">hired labour, which was </w:t>
      </w:r>
      <w:r w:rsidR="000C6C51">
        <w:rPr>
          <w:lang w:val="en-GB"/>
        </w:rPr>
        <w:t>difficult</w:t>
      </w:r>
      <w:r w:rsidR="008D5F87" w:rsidRPr="00DC36FD">
        <w:rPr>
          <w:lang w:val="en-GB"/>
        </w:rPr>
        <w:t xml:space="preserve"> to find, </w:t>
      </w:r>
      <w:r w:rsidR="000C6C51" w:rsidRPr="00DC36FD">
        <w:rPr>
          <w:lang w:val="en-GB"/>
        </w:rPr>
        <w:t>w</w:t>
      </w:r>
      <w:r w:rsidR="000C6C51">
        <w:rPr>
          <w:lang w:val="en-GB"/>
        </w:rPr>
        <w:t>ere</w:t>
      </w:r>
      <w:r w:rsidR="000C6C51" w:rsidRPr="00DC36FD">
        <w:rPr>
          <w:lang w:val="en-GB"/>
        </w:rPr>
        <w:t xml:space="preserve"> </w:t>
      </w:r>
      <w:r w:rsidR="008D5F87" w:rsidRPr="00DC36FD">
        <w:rPr>
          <w:lang w:val="en-GB"/>
        </w:rPr>
        <w:t xml:space="preserve">at a maximum. In addition, the </w:t>
      </w:r>
      <w:r w:rsidR="000C6C51">
        <w:rPr>
          <w:lang w:val="en-GB"/>
        </w:rPr>
        <w:t xml:space="preserve">farm’s </w:t>
      </w:r>
      <w:r w:rsidR="008D5F87" w:rsidRPr="00DC36FD">
        <w:rPr>
          <w:lang w:val="en-GB"/>
        </w:rPr>
        <w:t>poor financial results in 2016</w:t>
      </w:r>
      <w:r w:rsidR="000C6C51">
        <w:rPr>
          <w:lang w:val="en-GB"/>
        </w:rPr>
        <w:t>,</w:t>
      </w:r>
      <w:r w:rsidR="008D5F87" w:rsidRPr="00DC36FD">
        <w:rPr>
          <w:lang w:val="en-GB"/>
        </w:rPr>
        <w:t xml:space="preserve"> </w:t>
      </w:r>
      <w:r w:rsidR="000C6C51">
        <w:rPr>
          <w:lang w:val="en-GB"/>
        </w:rPr>
        <w:t>as a result of</w:t>
      </w:r>
      <w:r w:rsidR="008D5F87" w:rsidRPr="00DC36FD">
        <w:rPr>
          <w:lang w:val="en-GB"/>
        </w:rPr>
        <w:t xml:space="preserve"> hail damage</w:t>
      </w:r>
      <w:r w:rsidR="000C6C51">
        <w:rPr>
          <w:lang w:val="en-GB"/>
        </w:rPr>
        <w:t>,</w:t>
      </w:r>
      <w:r w:rsidR="008D5F87" w:rsidRPr="00DC36FD">
        <w:rPr>
          <w:lang w:val="en-GB"/>
        </w:rPr>
        <w:t xml:space="preserve"> and the additional financing of the 2017 land purchase would leave </w:t>
      </w:r>
      <w:r w:rsidR="000C6C51">
        <w:rPr>
          <w:lang w:val="en-GB"/>
        </w:rPr>
        <w:t>little</w:t>
      </w:r>
      <w:r w:rsidR="008D5F87" w:rsidRPr="00DC36FD">
        <w:rPr>
          <w:lang w:val="en-GB"/>
        </w:rPr>
        <w:t xml:space="preserve"> financing capacity to expand his farming and trucking equipment.</w:t>
      </w:r>
    </w:p>
    <w:p w14:paraId="0CAB737C" w14:textId="77777777" w:rsidR="001445C8" w:rsidRPr="00DC36FD" w:rsidRDefault="001445C8" w:rsidP="001445C8">
      <w:pPr>
        <w:pStyle w:val="BodyTextMain"/>
        <w:rPr>
          <w:lang w:val="en-GB"/>
        </w:rPr>
      </w:pPr>
    </w:p>
    <w:p w14:paraId="287A2122" w14:textId="77DC97F2" w:rsidR="008D5F87" w:rsidRPr="00DC36FD" w:rsidRDefault="000C6C51" w:rsidP="001445C8">
      <w:pPr>
        <w:pStyle w:val="BodyTextMain"/>
        <w:rPr>
          <w:lang w:val="en-GB"/>
        </w:rPr>
      </w:pPr>
      <w:proofErr w:type="spellStart"/>
      <w:r>
        <w:rPr>
          <w:lang w:val="en-GB"/>
        </w:rPr>
        <w:t>Meakin</w:t>
      </w:r>
      <w:proofErr w:type="spellEnd"/>
      <w:r w:rsidRPr="00DC36FD">
        <w:rPr>
          <w:lang w:val="en-GB"/>
        </w:rPr>
        <w:t xml:space="preserve"> </w:t>
      </w:r>
      <w:r w:rsidR="008D5F87" w:rsidRPr="00DC36FD">
        <w:rPr>
          <w:lang w:val="en-GB"/>
        </w:rPr>
        <w:t>quickly realized that the constraints of management time, labour</w:t>
      </w:r>
      <w:r>
        <w:rPr>
          <w:lang w:val="en-GB"/>
        </w:rPr>
        <w:t>,</w:t>
      </w:r>
      <w:r w:rsidR="008D5F87" w:rsidRPr="00DC36FD">
        <w:rPr>
          <w:lang w:val="en-GB"/>
        </w:rPr>
        <w:t xml:space="preserve"> and financing would result in some </w:t>
      </w:r>
      <w:r>
        <w:rPr>
          <w:lang w:val="en-GB"/>
        </w:rPr>
        <w:t>difficult</w:t>
      </w:r>
      <w:r w:rsidRPr="00DC36FD">
        <w:rPr>
          <w:lang w:val="en-GB"/>
        </w:rPr>
        <w:t xml:space="preserve"> </w:t>
      </w:r>
      <w:r w:rsidR="008D5F87" w:rsidRPr="00DC36FD">
        <w:rPr>
          <w:lang w:val="en-GB"/>
        </w:rPr>
        <w:t>choices. He could choose one of following three options for 2017:</w:t>
      </w:r>
    </w:p>
    <w:p w14:paraId="7055DAF5" w14:textId="77777777" w:rsidR="001445C8" w:rsidRPr="00DC36FD" w:rsidRDefault="001445C8" w:rsidP="001445C8">
      <w:pPr>
        <w:pStyle w:val="BodyTextMain"/>
        <w:rPr>
          <w:lang w:val="en-GB"/>
        </w:rPr>
      </w:pPr>
    </w:p>
    <w:p w14:paraId="28BDDF64" w14:textId="5B330967" w:rsidR="008D5F87" w:rsidRPr="00DC36FD" w:rsidRDefault="008D5F87" w:rsidP="00B90D0E">
      <w:pPr>
        <w:pStyle w:val="BodyTextMain"/>
        <w:numPr>
          <w:ilvl w:val="0"/>
          <w:numId w:val="1"/>
        </w:numPr>
        <w:rPr>
          <w:lang w:val="en-GB"/>
        </w:rPr>
      </w:pPr>
      <w:r w:rsidRPr="00DC36FD">
        <w:rPr>
          <w:lang w:val="en-GB"/>
        </w:rPr>
        <w:t xml:space="preserve">Option 1: </w:t>
      </w:r>
      <w:r w:rsidR="007C0CF5">
        <w:rPr>
          <w:lang w:val="en-GB"/>
        </w:rPr>
        <w:t>Maintain the</w:t>
      </w:r>
      <w:r w:rsidR="0068124C">
        <w:rPr>
          <w:lang w:val="en-GB"/>
        </w:rPr>
        <w:t xml:space="preserve"> current levels of business</w:t>
      </w:r>
      <w:r w:rsidR="000C6C51">
        <w:rPr>
          <w:lang w:val="en-GB"/>
        </w:rPr>
        <w:t>.</w:t>
      </w:r>
      <w:r w:rsidRPr="00DC36FD">
        <w:rPr>
          <w:lang w:val="en-GB"/>
        </w:rPr>
        <w:t xml:space="preserve"> </w:t>
      </w:r>
      <w:r w:rsidR="000C6C51">
        <w:rPr>
          <w:lang w:val="en-GB"/>
        </w:rPr>
        <w:t>K</w:t>
      </w:r>
      <w:r w:rsidRPr="00DC36FD">
        <w:rPr>
          <w:lang w:val="en-GB"/>
        </w:rPr>
        <w:t xml:space="preserve">eep the farm size at 3,200 acres </w:t>
      </w:r>
      <w:r w:rsidR="000C6C51">
        <w:rPr>
          <w:lang w:val="en-GB"/>
        </w:rPr>
        <w:t xml:space="preserve">(1,295 hectares) </w:t>
      </w:r>
      <w:r w:rsidRPr="00DC36FD">
        <w:rPr>
          <w:lang w:val="en-GB"/>
        </w:rPr>
        <w:t>(substituting the 320 additional owned acres</w:t>
      </w:r>
      <w:r w:rsidR="000C6C51">
        <w:rPr>
          <w:lang w:val="en-GB"/>
        </w:rPr>
        <w:t xml:space="preserve"> [130 hectares]</w:t>
      </w:r>
      <w:r w:rsidRPr="00DC36FD">
        <w:rPr>
          <w:lang w:val="en-GB"/>
        </w:rPr>
        <w:t xml:space="preserve"> for rented acres) and keep the trucking business the same size</w:t>
      </w:r>
      <w:r w:rsidR="000C6C51">
        <w:rPr>
          <w:lang w:val="en-GB"/>
        </w:rPr>
        <w:t>,</w:t>
      </w:r>
      <w:r w:rsidRPr="00DC36FD">
        <w:rPr>
          <w:lang w:val="en-GB"/>
        </w:rPr>
        <w:t xml:space="preserve"> </w:t>
      </w:r>
      <w:r w:rsidR="000C6C51">
        <w:rPr>
          <w:lang w:val="en-GB"/>
        </w:rPr>
        <w:t>thereby</w:t>
      </w:r>
      <w:r w:rsidR="000C6C51" w:rsidRPr="00DC36FD">
        <w:rPr>
          <w:lang w:val="en-GB"/>
        </w:rPr>
        <w:t xml:space="preserve"> </w:t>
      </w:r>
      <w:r w:rsidRPr="00DC36FD">
        <w:rPr>
          <w:lang w:val="en-GB"/>
        </w:rPr>
        <w:t xml:space="preserve">forgoing both the land lease and </w:t>
      </w:r>
      <w:r w:rsidR="000C6C51">
        <w:rPr>
          <w:lang w:val="en-GB"/>
        </w:rPr>
        <w:t xml:space="preserve">the </w:t>
      </w:r>
      <w:r w:rsidRPr="00DC36FD">
        <w:rPr>
          <w:lang w:val="en-GB"/>
        </w:rPr>
        <w:t>bin</w:t>
      </w:r>
      <w:r w:rsidR="000C6C51">
        <w:rPr>
          <w:lang w:val="en-GB"/>
        </w:rPr>
        <w:t>-</w:t>
      </w:r>
      <w:r w:rsidRPr="00DC36FD">
        <w:rPr>
          <w:lang w:val="en-GB"/>
        </w:rPr>
        <w:t xml:space="preserve">hauling </w:t>
      </w:r>
      <w:r w:rsidR="000C6C51" w:rsidRPr="00DC36FD">
        <w:rPr>
          <w:lang w:val="en-GB"/>
        </w:rPr>
        <w:t>opportunit</w:t>
      </w:r>
      <w:r w:rsidR="000C6C51">
        <w:rPr>
          <w:lang w:val="en-GB"/>
        </w:rPr>
        <w:t>ies</w:t>
      </w:r>
      <w:r w:rsidRPr="00DC36FD">
        <w:rPr>
          <w:lang w:val="en-GB"/>
        </w:rPr>
        <w:t>.</w:t>
      </w:r>
    </w:p>
    <w:p w14:paraId="172FD8DF" w14:textId="59E95256" w:rsidR="008D5F87" w:rsidRPr="00DC36FD" w:rsidRDefault="008D5F87" w:rsidP="00B90D0E">
      <w:pPr>
        <w:pStyle w:val="BodyTextMain"/>
        <w:numPr>
          <w:ilvl w:val="0"/>
          <w:numId w:val="1"/>
        </w:numPr>
        <w:rPr>
          <w:lang w:val="en-GB"/>
        </w:rPr>
      </w:pPr>
      <w:r w:rsidRPr="00DC36FD">
        <w:rPr>
          <w:lang w:val="en-GB"/>
        </w:rPr>
        <w:t xml:space="preserve">Option 2: Expand the farm to 4,160 acres </w:t>
      </w:r>
      <w:r w:rsidR="000C6C51">
        <w:rPr>
          <w:lang w:val="en-GB"/>
        </w:rPr>
        <w:t xml:space="preserve">(1,684 hectares) </w:t>
      </w:r>
      <w:r w:rsidRPr="00DC36FD">
        <w:rPr>
          <w:lang w:val="en-GB"/>
        </w:rPr>
        <w:t xml:space="preserve">and </w:t>
      </w:r>
      <w:r w:rsidR="00B11754">
        <w:rPr>
          <w:lang w:val="en-GB"/>
        </w:rPr>
        <w:t>reduce</w:t>
      </w:r>
      <w:r w:rsidR="00B11754" w:rsidRPr="00DC36FD">
        <w:rPr>
          <w:lang w:val="en-GB"/>
        </w:rPr>
        <w:t xml:space="preserve"> </w:t>
      </w:r>
      <w:r w:rsidRPr="00DC36FD">
        <w:rPr>
          <w:lang w:val="en-GB"/>
        </w:rPr>
        <w:t>the trucking business</w:t>
      </w:r>
      <w:r w:rsidR="000C6C51">
        <w:rPr>
          <w:lang w:val="en-GB"/>
        </w:rPr>
        <w:t>.</w:t>
      </w:r>
      <w:r w:rsidRPr="00DC36FD">
        <w:rPr>
          <w:lang w:val="en-GB"/>
        </w:rPr>
        <w:t xml:space="preserve"> </w:t>
      </w:r>
      <w:proofErr w:type="spellStart"/>
      <w:r w:rsidR="000C6C51">
        <w:rPr>
          <w:lang w:val="en-GB"/>
        </w:rPr>
        <w:t>Meakin</w:t>
      </w:r>
      <w:proofErr w:type="spellEnd"/>
      <w:r w:rsidRPr="00DC36FD">
        <w:rPr>
          <w:lang w:val="en-GB"/>
        </w:rPr>
        <w:t xml:space="preserve"> did not have the management time and </w:t>
      </w:r>
      <w:r w:rsidR="000C6C51">
        <w:rPr>
          <w:lang w:val="en-GB"/>
        </w:rPr>
        <w:t xml:space="preserve">needed </w:t>
      </w:r>
      <w:r w:rsidRPr="00DC36FD">
        <w:rPr>
          <w:lang w:val="en-GB"/>
        </w:rPr>
        <w:t>labour resources to both increase the farm size and maintain the trucking operation. Given the similarity in peak seasons</w:t>
      </w:r>
      <w:r w:rsidR="000C6C51">
        <w:rPr>
          <w:lang w:val="en-GB"/>
        </w:rPr>
        <w:t>,</w:t>
      </w:r>
      <w:r w:rsidRPr="00DC36FD">
        <w:rPr>
          <w:lang w:val="en-GB"/>
        </w:rPr>
        <w:t xml:space="preserve"> the bin hauling would </w:t>
      </w:r>
      <w:r w:rsidR="000C6C51">
        <w:rPr>
          <w:lang w:val="en-GB"/>
        </w:rPr>
        <w:t>need</w:t>
      </w:r>
      <w:r w:rsidR="000C6C51" w:rsidRPr="00DC36FD">
        <w:rPr>
          <w:lang w:val="en-GB"/>
        </w:rPr>
        <w:t xml:space="preserve"> </w:t>
      </w:r>
      <w:r w:rsidRPr="00DC36FD">
        <w:rPr>
          <w:lang w:val="en-GB"/>
        </w:rPr>
        <w:t xml:space="preserve">to be eliminated if </w:t>
      </w:r>
      <w:proofErr w:type="spellStart"/>
      <w:r w:rsidR="000C6C51">
        <w:rPr>
          <w:lang w:val="en-GB"/>
        </w:rPr>
        <w:t>Meakin</w:t>
      </w:r>
      <w:proofErr w:type="spellEnd"/>
      <w:r w:rsidR="000C6C51" w:rsidRPr="00DC36FD">
        <w:rPr>
          <w:lang w:val="en-GB"/>
        </w:rPr>
        <w:t xml:space="preserve"> </w:t>
      </w:r>
      <w:r w:rsidRPr="00DC36FD">
        <w:rPr>
          <w:lang w:val="en-GB"/>
        </w:rPr>
        <w:t>were to expand the farm.</w:t>
      </w:r>
      <w:r w:rsidR="00DC36FD" w:rsidRPr="00DC36FD">
        <w:rPr>
          <w:lang w:val="en-GB"/>
        </w:rPr>
        <w:t xml:space="preserve"> </w:t>
      </w:r>
      <w:r w:rsidR="000C6C51">
        <w:rPr>
          <w:lang w:val="en-GB"/>
        </w:rPr>
        <w:t>He</w:t>
      </w:r>
      <w:r w:rsidR="000C6C51" w:rsidRPr="00DC36FD">
        <w:rPr>
          <w:lang w:val="en-GB"/>
        </w:rPr>
        <w:t xml:space="preserve"> </w:t>
      </w:r>
      <w:r w:rsidRPr="00DC36FD">
        <w:rPr>
          <w:lang w:val="en-GB"/>
        </w:rPr>
        <w:t xml:space="preserve">would need to invest $100,000 </w:t>
      </w:r>
      <w:r w:rsidR="000C6C51">
        <w:rPr>
          <w:lang w:val="en-GB"/>
        </w:rPr>
        <w:t xml:space="preserve">in </w:t>
      </w:r>
      <w:r w:rsidRPr="00DC36FD">
        <w:rPr>
          <w:lang w:val="en-GB"/>
        </w:rPr>
        <w:t>seeding and harvesting equipment to expand the farm size</w:t>
      </w:r>
      <w:r w:rsidR="000C6C51">
        <w:rPr>
          <w:lang w:val="en-GB"/>
        </w:rPr>
        <w:t>,</w:t>
      </w:r>
      <w:r w:rsidRPr="00DC36FD">
        <w:rPr>
          <w:lang w:val="en-GB"/>
        </w:rPr>
        <w:t xml:space="preserve"> </w:t>
      </w:r>
      <w:r w:rsidR="000C6C51">
        <w:rPr>
          <w:lang w:val="en-GB"/>
        </w:rPr>
        <w:t xml:space="preserve">of </w:t>
      </w:r>
      <w:r w:rsidRPr="00DC36FD">
        <w:rPr>
          <w:lang w:val="en-GB"/>
        </w:rPr>
        <w:t>which he could finance 50</w:t>
      </w:r>
      <w:r w:rsidR="000C6C51">
        <w:rPr>
          <w:lang w:val="en-GB"/>
        </w:rPr>
        <w:t xml:space="preserve"> per cent</w:t>
      </w:r>
      <w:r w:rsidRPr="00DC36FD">
        <w:rPr>
          <w:lang w:val="en-GB"/>
        </w:rPr>
        <w:t xml:space="preserve"> at </w:t>
      </w:r>
      <w:r w:rsidR="000C6C51">
        <w:rPr>
          <w:lang w:val="en-GB"/>
        </w:rPr>
        <w:t xml:space="preserve">an interest rate of </w:t>
      </w:r>
      <w:r w:rsidRPr="00DC36FD">
        <w:rPr>
          <w:lang w:val="en-GB"/>
        </w:rPr>
        <w:t>8</w:t>
      </w:r>
      <w:r w:rsidR="000C6C51">
        <w:rPr>
          <w:lang w:val="en-GB"/>
        </w:rPr>
        <w:t xml:space="preserve"> per cent</w:t>
      </w:r>
      <w:r w:rsidRPr="00DC36FD">
        <w:rPr>
          <w:lang w:val="en-GB"/>
        </w:rPr>
        <w:t xml:space="preserve">. </w:t>
      </w:r>
      <w:proofErr w:type="spellStart"/>
      <w:r w:rsidR="000C6C51">
        <w:rPr>
          <w:lang w:val="en-GB"/>
        </w:rPr>
        <w:t>Meakin</w:t>
      </w:r>
      <w:proofErr w:type="spellEnd"/>
      <w:r w:rsidR="000C6C51" w:rsidRPr="00DC36FD">
        <w:rPr>
          <w:lang w:val="en-GB"/>
        </w:rPr>
        <w:t xml:space="preserve"> </w:t>
      </w:r>
      <w:r w:rsidRPr="00DC36FD">
        <w:rPr>
          <w:lang w:val="en-GB"/>
        </w:rPr>
        <w:t>would be able to sell the existing bin</w:t>
      </w:r>
      <w:r w:rsidR="000C6C51">
        <w:rPr>
          <w:lang w:val="en-GB"/>
        </w:rPr>
        <w:t>-</w:t>
      </w:r>
      <w:r w:rsidRPr="00DC36FD">
        <w:rPr>
          <w:lang w:val="en-GB"/>
        </w:rPr>
        <w:t xml:space="preserve">hauling trailers for $50,000 to </w:t>
      </w:r>
      <w:r w:rsidR="000C6C51">
        <w:rPr>
          <w:lang w:val="en-GB"/>
        </w:rPr>
        <w:t>pay</w:t>
      </w:r>
      <w:r w:rsidRPr="00DC36FD">
        <w:rPr>
          <w:lang w:val="en-GB"/>
        </w:rPr>
        <w:t xml:space="preserve"> for the remainder of the funds needed for the farm expansion.</w:t>
      </w:r>
    </w:p>
    <w:p w14:paraId="02B62714" w14:textId="6825F948" w:rsidR="008D5F87" w:rsidRPr="00B11754" w:rsidRDefault="008D5F87" w:rsidP="00B11754">
      <w:pPr>
        <w:pStyle w:val="BodyTextMain"/>
        <w:numPr>
          <w:ilvl w:val="0"/>
          <w:numId w:val="1"/>
        </w:numPr>
        <w:spacing w:after="200" w:line="276" w:lineRule="auto"/>
        <w:rPr>
          <w:lang w:val="en-GB"/>
        </w:rPr>
      </w:pPr>
      <w:r w:rsidRPr="00B11754">
        <w:rPr>
          <w:lang w:val="en-GB"/>
        </w:rPr>
        <w:t xml:space="preserve">Option 3: </w:t>
      </w:r>
      <w:r w:rsidR="00B11754" w:rsidRPr="00B11754">
        <w:rPr>
          <w:lang w:val="en-GB"/>
        </w:rPr>
        <w:t xml:space="preserve">Reduce </w:t>
      </w:r>
      <w:r w:rsidRPr="00B11754">
        <w:rPr>
          <w:lang w:val="en-GB"/>
        </w:rPr>
        <w:t xml:space="preserve">the farm to 2,240 acres </w:t>
      </w:r>
      <w:r w:rsidR="000C6C51" w:rsidRPr="00B11754">
        <w:rPr>
          <w:lang w:val="en-GB"/>
        </w:rPr>
        <w:t xml:space="preserve">(907 hectares) </w:t>
      </w:r>
      <w:r w:rsidRPr="00B11754">
        <w:rPr>
          <w:lang w:val="en-GB"/>
        </w:rPr>
        <w:t>and expand the trucking business</w:t>
      </w:r>
      <w:r w:rsidR="000C6C51" w:rsidRPr="00B11754">
        <w:rPr>
          <w:lang w:val="en-GB"/>
        </w:rPr>
        <w:t>.</w:t>
      </w:r>
      <w:r w:rsidRPr="00B11754">
        <w:rPr>
          <w:lang w:val="en-GB"/>
        </w:rPr>
        <w:t xml:space="preserve"> </w:t>
      </w:r>
      <w:r w:rsidR="000C6C51" w:rsidRPr="00B11754">
        <w:rPr>
          <w:lang w:val="en-GB"/>
        </w:rPr>
        <w:t>D</w:t>
      </w:r>
      <w:r w:rsidRPr="00B11754">
        <w:rPr>
          <w:lang w:val="en-GB"/>
        </w:rPr>
        <w:t>ue to the constraints of management time and labour resources</w:t>
      </w:r>
      <w:r w:rsidR="000C6C51" w:rsidRPr="00B11754">
        <w:rPr>
          <w:lang w:val="en-GB"/>
        </w:rPr>
        <w:t>,</w:t>
      </w:r>
      <w:r w:rsidRPr="00B11754">
        <w:rPr>
          <w:lang w:val="en-GB"/>
        </w:rPr>
        <w:t xml:space="preserve"> </w:t>
      </w:r>
      <w:proofErr w:type="spellStart"/>
      <w:r w:rsidR="000C6C51" w:rsidRPr="00B11754">
        <w:rPr>
          <w:lang w:val="en-GB"/>
        </w:rPr>
        <w:t>Meakin</w:t>
      </w:r>
      <w:proofErr w:type="spellEnd"/>
      <w:r w:rsidR="000C6C51" w:rsidRPr="00B11754">
        <w:rPr>
          <w:lang w:val="en-GB"/>
        </w:rPr>
        <w:t xml:space="preserve"> </w:t>
      </w:r>
      <w:r w:rsidRPr="00B11754">
        <w:rPr>
          <w:lang w:val="en-GB"/>
        </w:rPr>
        <w:t xml:space="preserve">could not both increase the trucking operation and maintain the farm size. </w:t>
      </w:r>
      <w:r w:rsidR="000C6C51" w:rsidRPr="00B11754">
        <w:rPr>
          <w:lang w:val="en-GB"/>
        </w:rPr>
        <w:t xml:space="preserve">He </w:t>
      </w:r>
      <w:r w:rsidRPr="00B11754">
        <w:rPr>
          <w:lang w:val="en-GB"/>
        </w:rPr>
        <w:t xml:space="preserve">would need to invest $100,000 </w:t>
      </w:r>
      <w:r w:rsidR="006A7BB7" w:rsidRPr="00B11754">
        <w:rPr>
          <w:lang w:val="en-GB"/>
        </w:rPr>
        <w:t xml:space="preserve">in </w:t>
      </w:r>
      <w:r w:rsidRPr="00B11754">
        <w:rPr>
          <w:lang w:val="en-GB"/>
        </w:rPr>
        <w:t>bin</w:t>
      </w:r>
      <w:r w:rsidR="006A7BB7" w:rsidRPr="00B11754">
        <w:rPr>
          <w:lang w:val="en-GB"/>
        </w:rPr>
        <w:t>-</w:t>
      </w:r>
      <w:r w:rsidRPr="00B11754">
        <w:rPr>
          <w:lang w:val="en-GB"/>
        </w:rPr>
        <w:t>hauling trailers and pilot trucks to service the new bin</w:t>
      </w:r>
      <w:r w:rsidR="006A7BB7" w:rsidRPr="00B11754">
        <w:rPr>
          <w:lang w:val="en-GB"/>
        </w:rPr>
        <w:t>-</w:t>
      </w:r>
      <w:r w:rsidRPr="00B11754">
        <w:rPr>
          <w:lang w:val="en-GB"/>
        </w:rPr>
        <w:t>hauling contract</w:t>
      </w:r>
      <w:r w:rsidR="006A7BB7" w:rsidRPr="00B11754">
        <w:rPr>
          <w:lang w:val="en-GB"/>
        </w:rPr>
        <w:t>,</w:t>
      </w:r>
      <w:r w:rsidRPr="00B11754">
        <w:rPr>
          <w:lang w:val="en-GB"/>
        </w:rPr>
        <w:t xml:space="preserve"> </w:t>
      </w:r>
      <w:r w:rsidR="006A7BB7" w:rsidRPr="00B11754">
        <w:rPr>
          <w:lang w:val="en-GB"/>
        </w:rPr>
        <w:t xml:space="preserve">of </w:t>
      </w:r>
      <w:r w:rsidRPr="00B11754">
        <w:rPr>
          <w:lang w:val="en-GB"/>
        </w:rPr>
        <w:t>which he could finance 50</w:t>
      </w:r>
      <w:r w:rsidR="006A7BB7" w:rsidRPr="00B11754">
        <w:rPr>
          <w:lang w:val="en-GB"/>
        </w:rPr>
        <w:t xml:space="preserve"> per cent</w:t>
      </w:r>
      <w:r w:rsidRPr="00B11754">
        <w:rPr>
          <w:lang w:val="en-GB"/>
        </w:rPr>
        <w:t xml:space="preserve"> at </w:t>
      </w:r>
      <w:r w:rsidR="006A7BB7" w:rsidRPr="00B11754">
        <w:rPr>
          <w:lang w:val="en-GB"/>
        </w:rPr>
        <w:t xml:space="preserve">an interest rate of </w:t>
      </w:r>
      <w:r w:rsidRPr="00B11754">
        <w:rPr>
          <w:lang w:val="en-GB"/>
        </w:rPr>
        <w:t>8</w:t>
      </w:r>
      <w:r w:rsidR="006A7BB7" w:rsidRPr="00B11754">
        <w:rPr>
          <w:lang w:val="en-GB"/>
        </w:rPr>
        <w:t xml:space="preserve"> per cent</w:t>
      </w:r>
      <w:r w:rsidRPr="00B11754">
        <w:rPr>
          <w:lang w:val="en-GB"/>
        </w:rPr>
        <w:t xml:space="preserve">. </w:t>
      </w:r>
      <w:proofErr w:type="spellStart"/>
      <w:r w:rsidR="006A7BB7" w:rsidRPr="00B11754">
        <w:rPr>
          <w:lang w:val="en-GB"/>
        </w:rPr>
        <w:t>Meakin</w:t>
      </w:r>
      <w:proofErr w:type="spellEnd"/>
      <w:r w:rsidR="006A7BB7" w:rsidRPr="00B11754">
        <w:rPr>
          <w:lang w:val="en-GB"/>
        </w:rPr>
        <w:t xml:space="preserve"> </w:t>
      </w:r>
      <w:r w:rsidRPr="00B11754">
        <w:rPr>
          <w:lang w:val="en-GB"/>
        </w:rPr>
        <w:t xml:space="preserve">would be able to sell the existing seeding and harvesting equipment for $50,000 to </w:t>
      </w:r>
      <w:r w:rsidR="006A7BB7" w:rsidRPr="00B11754">
        <w:rPr>
          <w:lang w:val="en-GB"/>
        </w:rPr>
        <w:t xml:space="preserve">pay </w:t>
      </w:r>
      <w:r w:rsidRPr="00B11754">
        <w:rPr>
          <w:lang w:val="en-GB"/>
        </w:rPr>
        <w:t>for the remainder of the funds needs for the trucking expansion.</w:t>
      </w:r>
      <w:r w:rsidRPr="00B11754">
        <w:rPr>
          <w:lang w:val="en-GB"/>
        </w:rPr>
        <w:br w:type="page"/>
      </w:r>
    </w:p>
    <w:p w14:paraId="29731899" w14:textId="37202A93" w:rsidR="009D2262" w:rsidRDefault="008D5F87" w:rsidP="001445C8">
      <w:pPr>
        <w:pStyle w:val="ExhibitHeading"/>
        <w:rPr>
          <w:lang w:val="en-GB"/>
        </w:rPr>
      </w:pPr>
      <w:r w:rsidRPr="00DC36FD">
        <w:rPr>
          <w:lang w:val="en-GB"/>
        </w:rPr>
        <w:lastRenderedPageBreak/>
        <w:t>EXHIBIT 1: CANOLA, WHEAT</w:t>
      </w:r>
      <w:r w:rsidR="009D2262">
        <w:rPr>
          <w:lang w:val="en-GB"/>
        </w:rPr>
        <w:t>,</w:t>
      </w:r>
      <w:r w:rsidRPr="00DC36FD">
        <w:rPr>
          <w:lang w:val="en-GB"/>
        </w:rPr>
        <w:t xml:space="preserve"> AND FIELD PEAS CROP PRICES</w:t>
      </w:r>
      <w:r w:rsidR="009D2262">
        <w:rPr>
          <w:lang w:val="en-GB"/>
        </w:rPr>
        <w:t>, 2014–2016</w:t>
      </w:r>
      <w:r w:rsidRPr="00DC36FD">
        <w:rPr>
          <w:lang w:val="en-GB"/>
        </w:rPr>
        <w:t xml:space="preserve"> </w:t>
      </w:r>
    </w:p>
    <w:p w14:paraId="2105D0A2" w14:textId="1FD1A311" w:rsidR="008D5F87" w:rsidRPr="00DC36FD" w:rsidRDefault="008D5F87" w:rsidP="001445C8">
      <w:pPr>
        <w:pStyle w:val="ExhibitHeading"/>
        <w:rPr>
          <w:lang w:val="en-GB"/>
        </w:rPr>
      </w:pPr>
      <w:r w:rsidRPr="00DC36FD">
        <w:rPr>
          <w:lang w:val="en-GB"/>
        </w:rPr>
        <w:t>(</w:t>
      </w:r>
      <w:r w:rsidR="009D2262">
        <w:rPr>
          <w:lang w:val="en-GB"/>
        </w:rPr>
        <w:t xml:space="preserve">in </w:t>
      </w:r>
      <w:r w:rsidR="00341ACC">
        <w:rPr>
          <w:lang w:val="en-GB"/>
        </w:rPr>
        <w:t xml:space="preserve">Canadian </w:t>
      </w:r>
      <w:r w:rsidRPr="00DC36FD">
        <w:rPr>
          <w:lang w:val="en-GB"/>
        </w:rPr>
        <w:t>DOLLARS PER BUSHEL)</w:t>
      </w:r>
    </w:p>
    <w:p w14:paraId="77218A54" w14:textId="77777777" w:rsidR="001445C8" w:rsidRPr="00DC36FD" w:rsidRDefault="001445C8" w:rsidP="001445C8">
      <w:pPr>
        <w:pStyle w:val="ExhibitHeading"/>
        <w:rPr>
          <w:lang w:val="en-GB"/>
        </w:rPr>
      </w:pPr>
    </w:p>
    <w:tbl>
      <w:tblPr>
        <w:tblStyle w:val="PlainTable5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3"/>
        <w:gridCol w:w="703"/>
        <w:gridCol w:w="902"/>
        <w:gridCol w:w="1088"/>
        <w:gridCol w:w="801"/>
        <w:gridCol w:w="900"/>
        <w:gridCol w:w="955"/>
        <w:gridCol w:w="844"/>
        <w:gridCol w:w="905"/>
        <w:gridCol w:w="989"/>
      </w:tblGrid>
      <w:tr w:rsidR="008D5F87" w:rsidRPr="00DC36FD" w14:paraId="18454B42" w14:textId="77777777" w:rsidTr="002F6776">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100" w:firstRow="0" w:lastRow="0" w:firstColumn="1" w:lastColumn="0" w:oddVBand="0" w:evenVBand="0" w:oddHBand="0" w:evenHBand="0" w:firstRowFirstColumn="1" w:firstRowLastColumn="0" w:lastRowFirstColumn="0" w:lastRowLastColumn="0"/>
            <w:tcW w:w="1274" w:type="dxa"/>
            <w:vMerge w:val="restart"/>
            <w:tcBorders>
              <w:top w:val="nil"/>
              <w:left w:val="nil"/>
              <w:bottom w:val="none" w:sz="0" w:space="0" w:color="auto"/>
              <w:right w:val="none" w:sz="0" w:space="0" w:color="auto"/>
            </w:tcBorders>
            <w:shd w:val="clear" w:color="auto" w:fill="auto"/>
          </w:tcPr>
          <w:p w14:paraId="5CC4A130" w14:textId="77777777" w:rsidR="008D5F87" w:rsidRPr="00DC36FD" w:rsidRDefault="008D5F87" w:rsidP="00EB3FC1">
            <w:pPr>
              <w:jc w:val="both"/>
              <w:rPr>
                <w:color w:val="000000" w:themeColor="text1"/>
                <w:sz w:val="22"/>
                <w:lang w:val="en-GB"/>
              </w:rPr>
            </w:pPr>
          </w:p>
        </w:tc>
        <w:tc>
          <w:tcPr>
            <w:tcW w:w="2692" w:type="dxa"/>
            <w:gridSpan w:val="3"/>
            <w:tcBorders>
              <w:bottom w:val="none" w:sz="0" w:space="0" w:color="auto"/>
            </w:tcBorders>
            <w:shd w:val="clear" w:color="auto" w:fill="auto"/>
          </w:tcPr>
          <w:p w14:paraId="7E68A532" w14:textId="77777777" w:rsidR="008D5F87" w:rsidRPr="00DC36FD" w:rsidRDefault="008D5F87" w:rsidP="00EB3FC1">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color w:val="000000" w:themeColor="text1"/>
                <w:sz w:val="18"/>
                <w:szCs w:val="18"/>
                <w:lang w:val="en-GB"/>
              </w:rPr>
            </w:pPr>
            <w:r w:rsidRPr="00DC36FD">
              <w:rPr>
                <w:rFonts w:ascii="Arial" w:hAnsi="Arial" w:cs="Arial"/>
                <w:b/>
                <w:i w:val="0"/>
                <w:color w:val="000000" w:themeColor="text1"/>
                <w:sz w:val="18"/>
                <w:szCs w:val="18"/>
                <w:lang w:val="en-GB"/>
              </w:rPr>
              <w:t>2016</w:t>
            </w:r>
          </w:p>
        </w:tc>
        <w:tc>
          <w:tcPr>
            <w:tcW w:w="2656" w:type="dxa"/>
            <w:gridSpan w:val="3"/>
            <w:tcBorders>
              <w:bottom w:val="none" w:sz="0" w:space="0" w:color="auto"/>
            </w:tcBorders>
            <w:shd w:val="clear" w:color="auto" w:fill="auto"/>
          </w:tcPr>
          <w:p w14:paraId="0F966B8C" w14:textId="77777777" w:rsidR="008D5F87" w:rsidRPr="00DC36FD" w:rsidRDefault="008D5F87" w:rsidP="00EB3FC1">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color w:val="000000" w:themeColor="text1"/>
                <w:sz w:val="18"/>
                <w:szCs w:val="18"/>
                <w:lang w:val="en-GB"/>
              </w:rPr>
            </w:pPr>
            <w:r w:rsidRPr="00DC36FD">
              <w:rPr>
                <w:rFonts w:ascii="Arial" w:hAnsi="Arial" w:cs="Arial"/>
                <w:b/>
                <w:i w:val="0"/>
                <w:color w:val="000000" w:themeColor="text1"/>
                <w:sz w:val="18"/>
                <w:szCs w:val="18"/>
                <w:lang w:val="en-GB"/>
              </w:rPr>
              <w:t>2015</w:t>
            </w:r>
          </w:p>
        </w:tc>
        <w:tc>
          <w:tcPr>
            <w:tcW w:w="2738" w:type="dxa"/>
            <w:gridSpan w:val="3"/>
            <w:tcBorders>
              <w:bottom w:val="none" w:sz="0" w:space="0" w:color="auto"/>
            </w:tcBorders>
            <w:shd w:val="clear" w:color="auto" w:fill="auto"/>
          </w:tcPr>
          <w:p w14:paraId="18A8A16B" w14:textId="77777777" w:rsidR="008D5F87" w:rsidRPr="00DC36FD" w:rsidRDefault="008D5F87" w:rsidP="00EB3FC1">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color w:val="000000" w:themeColor="text1"/>
                <w:sz w:val="18"/>
                <w:szCs w:val="18"/>
                <w:lang w:val="en-GB"/>
              </w:rPr>
            </w:pPr>
            <w:r w:rsidRPr="00DC36FD">
              <w:rPr>
                <w:rFonts w:ascii="Arial" w:hAnsi="Arial" w:cs="Arial"/>
                <w:b/>
                <w:i w:val="0"/>
                <w:color w:val="000000" w:themeColor="text1"/>
                <w:sz w:val="18"/>
                <w:szCs w:val="18"/>
                <w:lang w:val="en-GB"/>
              </w:rPr>
              <w:t>2014</w:t>
            </w:r>
          </w:p>
        </w:tc>
      </w:tr>
      <w:tr w:rsidR="001C651F" w:rsidRPr="00DC36FD" w14:paraId="24F47FF7" w14:textId="77777777" w:rsidTr="002F677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4" w:type="dxa"/>
            <w:vMerge/>
            <w:tcBorders>
              <w:left w:val="nil"/>
            </w:tcBorders>
            <w:shd w:val="clear" w:color="auto" w:fill="auto"/>
          </w:tcPr>
          <w:p w14:paraId="3564DE19" w14:textId="77777777" w:rsidR="008D5F87" w:rsidRPr="00DC36FD" w:rsidRDefault="008D5F87" w:rsidP="00EB3FC1">
            <w:pPr>
              <w:jc w:val="both"/>
              <w:rPr>
                <w:color w:val="000000" w:themeColor="text1"/>
                <w:sz w:val="22"/>
                <w:lang w:val="en-GB"/>
              </w:rPr>
            </w:pPr>
          </w:p>
        </w:tc>
        <w:tc>
          <w:tcPr>
            <w:tcW w:w="701" w:type="dxa"/>
            <w:shd w:val="clear" w:color="auto" w:fill="auto"/>
          </w:tcPr>
          <w:p w14:paraId="79A9249E"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000000" w:themeColor="text1"/>
                <w:sz w:val="18"/>
                <w:szCs w:val="18"/>
                <w:lang w:val="en-GB"/>
              </w:rPr>
            </w:pPr>
            <w:r w:rsidRPr="00DC36FD">
              <w:rPr>
                <w:rFonts w:ascii="Arial" w:hAnsi="Arial" w:cs="Arial"/>
                <w:i/>
                <w:color w:val="000000" w:themeColor="text1"/>
                <w:sz w:val="18"/>
                <w:szCs w:val="18"/>
                <w:lang w:val="en-GB"/>
              </w:rPr>
              <w:t>Low</w:t>
            </w:r>
          </w:p>
        </w:tc>
        <w:tc>
          <w:tcPr>
            <w:tcW w:w="903" w:type="dxa"/>
            <w:shd w:val="clear" w:color="auto" w:fill="auto"/>
          </w:tcPr>
          <w:p w14:paraId="68EEC2CC"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000000" w:themeColor="text1"/>
                <w:sz w:val="18"/>
                <w:szCs w:val="18"/>
                <w:lang w:val="en-GB"/>
              </w:rPr>
            </w:pPr>
            <w:r w:rsidRPr="00DC36FD">
              <w:rPr>
                <w:rFonts w:ascii="Arial" w:hAnsi="Arial" w:cs="Arial"/>
                <w:i/>
                <w:color w:val="000000" w:themeColor="text1"/>
                <w:sz w:val="18"/>
                <w:szCs w:val="18"/>
                <w:lang w:val="en-GB"/>
              </w:rPr>
              <w:t>High</w:t>
            </w:r>
          </w:p>
        </w:tc>
        <w:tc>
          <w:tcPr>
            <w:tcW w:w="1088" w:type="dxa"/>
            <w:shd w:val="clear" w:color="auto" w:fill="auto"/>
          </w:tcPr>
          <w:p w14:paraId="2AB400A0"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000000" w:themeColor="text1"/>
                <w:sz w:val="18"/>
                <w:szCs w:val="18"/>
                <w:lang w:val="en-GB"/>
              </w:rPr>
            </w:pPr>
            <w:r w:rsidRPr="00DC36FD">
              <w:rPr>
                <w:rFonts w:ascii="Arial" w:hAnsi="Arial" w:cs="Arial"/>
                <w:i/>
                <w:color w:val="000000" w:themeColor="text1"/>
                <w:sz w:val="18"/>
                <w:szCs w:val="18"/>
                <w:lang w:val="en-GB"/>
              </w:rPr>
              <w:t>Average</w:t>
            </w:r>
          </w:p>
        </w:tc>
        <w:tc>
          <w:tcPr>
            <w:tcW w:w="801" w:type="dxa"/>
            <w:shd w:val="clear" w:color="auto" w:fill="auto"/>
          </w:tcPr>
          <w:p w14:paraId="5688BEE8"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000000" w:themeColor="text1"/>
                <w:sz w:val="18"/>
                <w:szCs w:val="18"/>
                <w:lang w:val="en-GB"/>
              </w:rPr>
            </w:pPr>
            <w:r w:rsidRPr="00DC36FD">
              <w:rPr>
                <w:rFonts w:ascii="Arial" w:hAnsi="Arial" w:cs="Arial"/>
                <w:i/>
                <w:color w:val="000000" w:themeColor="text1"/>
                <w:sz w:val="18"/>
                <w:szCs w:val="18"/>
                <w:lang w:val="en-GB"/>
              </w:rPr>
              <w:t>Low</w:t>
            </w:r>
          </w:p>
        </w:tc>
        <w:tc>
          <w:tcPr>
            <w:tcW w:w="900" w:type="dxa"/>
            <w:shd w:val="clear" w:color="auto" w:fill="auto"/>
          </w:tcPr>
          <w:p w14:paraId="5710C0BE"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000000" w:themeColor="text1"/>
                <w:sz w:val="18"/>
                <w:szCs w:val="18"/>
                <w:lang w:val="en-GB"/>
              </w:rPr>
            </w:pPr>
            <w:r w:rsidRPr="00DC36FD">
              <w:rPr>
                <w:rFonts w:ascii="Arial" w:hAnsi="Arial" w:cs="Arial"/>
                <w:i/>
                <w:color w:val="000000" w:themeColor="text1"/>
                <w:sz w:val="18"/>
                <w:szCs w:val="18"/>
                <w:lang w:val="en-GB"/>
              </w:rPr>
              <w:t>High</w:t>
            </w:r>
          </w:p>
        </w:tc>
        <w:tc>
          <w:tcPr>
            <w:tcW w:w="955" w:type="dxa"/>
            <w:shd w:val="clear" w:color="auto" w:fill="auto"/>
          </w:tcPr>
          <w:p w14:paraId="38BF1988"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000000" w:themeColor="text1"/>
                <w:sz w:val="18"/>
                <w:szCs w:val="18"/>
                <w:lang w:val="en-GB"/>
              </w:rPr>
            </w:pPr>
            <w:r w:rsidRPr="00DC36FD">
              <w:rPr>
                <w:rFonts w:ascii="Arial" w:hAnsi="Arial" w:cs="Arial"/>
                <w:i/>
                <w:color w:val="000000" w:themeColor="text1"/>
                <w:sz w:val="18"/>
                <w:szCs w:val="18"/>
                <w:lang w:val="en-GB"/>
              </w:rPr>
              <w:t>Average</w:t>
            </w:r>
          </w:p>
        </w:tc>
        <w:tc>
          <w:tcPr>
            <w:tcW w:w="844" w:type="dxa"/>
            <w:shd w:val="clear" w:color="auto" w:fill="auto"/>
          </w:tcPr>
          <w:p w14:paraId="16434E73"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000000" w:themeColor="text1"/>
                <w:sz w:val="18"/>
                <w:szCs w:val="18"/>
                <w:lang w:val="en-GB"/>
              </w:rPr>
            </w:pPr>
            <w:r w:rsidRPr="00DC36FD">
              <w:rPr>
                <w:rFonts w:ascii="Arial" w:hAnsi="Arial" w:cs="Arial"/>
                <w:i/>
                <w:color w:val="000000" w:themeColor="text1"/>
                <w:sz w:val="18"/>
                <w:szCs w:val="18"/>
                <w:lang w:val="en-GB"/>
              </w:rPr>
              <w:t>Low</w:t>
            </w:r>
          </w:p>
        </w:tc>
        <w:tc>
          <w:tcPr>
            <w:tcW w:w="905" w:type="dxa"/>
            <w:shd w:val="clear" w:color="auto" w:fill="auto"/>
          </w:tcPr>
          <w:p w14:paraId="2F2555AA"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000000" w:themeColor="text1"/>
                <w:sz w:val="18"/>
                <w:szCs w:val="18"/>
                <w:lang w:val="en-GB"/>
              </w:rPr>
            </w:pPr>
            <w:r w:rsidRPr="00DC36FD">
              <w:rPr>
                <w:rFonts w:ascii="Arial" w:hAnsi="Arial" w:cs="Arial"/>
                <w:i/>
                <w:color w:val="000000" w:themeColor="text1"/>
                <w:sz w:val="18"/>
                <w:szCs w:val="18"/>
                <w:lang w:val="en-GB"/>
              </w:rPr>
              <w:t>High</w:t>
            </w:r>
          </w:p>
        </w:tc>
        <w:tc>
          <w:tcPr>
            <w:tcW w:w="989" w:type="dxa"/>
            <w:shd w:val="clear" w:color="auto" w:fill="auto"/>
          </w:tcPr>
          <w:p w14:paraId="465423F6"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000000" w:themeColor="text1"/>
                <w:sz w:val="18"/>
                <w:szCs w:val="18"/>
                <w:lang w:val="en-GB"/>
              </w:rPr>
            </w:pPr>
            <w:r w:rsidRPr="00DC36FD">
              <w:rPr>
                <w:rFonts w:ascii="Arial" w:hAnsi="Arial" w:cs="Arial"/>
                <w:i/>
                <w:color w:val="000000" w:themeColor="text1"/>
                <w:sz w:val="18"/>
                <w:szCs w:val="18"/>
                <w:lang w:val="en-GB"/>
              </w:rPr>
              <w:t>Average</w:t>
            </w:r>
          </w:p>
        </w:tc>
      </w:tr>
      <w:tr w:rsidR="009C2BEE" w:rsidRPr="00DC36FD" w14:paraId="795496F0" w14:textId="77777777" w:rsidTr="00D1089F">
        <w:trPr>
          <w:trHeight w:val="269"/>
          <w:jc w:val="center"/>
        </w:trPr>
        <w:tc>
          <w:tcPr>
            <w:cnfStyle w:val="001000000000" w:firstRow="0" w:lastRow="0" w:firstColumn="1" w:lastColumn="0" w:oddVBand="0" w:evenVBand="0" w:oddHBand="0" w:evenHBand="0" w:firstRowFirstColumn="0" w:firstRowLastColumn="0" w:lastRowFirstColumn="0" w:lastRowLastColumn="0"/>
            <w:tcW w:w="1274" w:type="dxa"/>
            <w:shd w:val="clear" w:color="auto" w:fill="auto"/>
          </w:tcPr>
          <w:p w14:paraId="52DDFA46" w14:textId="77777777" w:rsidR="008D5F87" w:rsidRPr="00DC36FD" w:rsidRDefault="008D5F87" w:rsidP="00EB3FC1">
            <w:pPr>
              <w:jc w:val="both"/>
              <w:rPr>
                <w:rFonts w:ascii="Arial" w:hAnsi="Arial" w:cs="Arial"/>
                <w:b/>
                <w:i w:val="0"/>
                <w:color w:val="000000" w:themeColor="text1"/>
                <w:sz w:val="18"/>
                <w:szCs w:val="18"/>
                <w:lang w:val="en-GB"/>
              </w:rPr>
            </w:pPr>
            <w:r w:rsidRPr="00DC36FD">
              <w:rPr>
                <w:rFonts w:ascii="Arial" w:hAnsi="Arial" w:cs="Arial"/>
                <w:b/>
                <w:i w:val="0"/>
                <w:color w:val="000000" w:themeColor="text1"/>
                <w:sz w:val="18"/>
                <w:szCs w:val="18"/>
                <w:lang w:val="en-GB"/>
              </w:rPr>
              <w:t>Canola</w:t>
            </w:r>
          </w:p>
        </w:tc>
        <w:tc>
          <w:tcPr>
            <w:tcW w:w="704" w:type="dxa"/>
            <w:shd w:val="clear" w:color="auto" w:fill="auto"/>
          </w:tcPr>
          <w:p w14:paraId="28D73D93" w14:textId="77777777" w:rsidR="008D5F87" w:rsidRPr="00DC36FD" w:rsidRDefault="008D5F87" w:rsidP="00D44E8B">
            <w:pPr>
              <w:tabs>
                <w:tab w:val="decimal" w:pos="179"/>
              </w:tabs>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DC36FD">
              <w:rPr>
                <w:rFonts w:ascii="Arial" w:hAnsi="Arial" w:cs="Arial"/>
                <w:sz w:val="18"/>
                <w:szCs w:val="18"/>
                <w:lang w:val="en-GB"/>
              </w:rPr>
              <w:t>9.25</w:t>
            </w:r>
          </w:p>
        </w:tc>
        <w:tc>
          <w:tcPr>
            <w:tcW w:w="900" w:type="dxa"/>
            <w:shd w:val="clear" w:color="auto" w:fill="auto"/>
          </w:tcPr>
          <w:p w14:paraId="64620AB0" w14:textId="77777777" w:rsidR="008D5F87" w:rsidRPr="00DC36FD" w:rsidRDefault="008D5F87" w:rsidP="00D44E8B">
            <w:pPr>
              <w:tabs>
                <w:tab w:val="decimal" w:pos="326"/>
              </w:tabs>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DC36FD">
              <w:rPr>
                <w:rFonts w:ascii="Arial" w:hAnsi="Arial" w:cs="Arial"/>
                <w:sz w:val="18"/>
                <w:szCs w:val="18"/>
                <w:lang w:val="en-GB"/>
              </w:rPr>
              <w:t>11.29</w:t>
            </w:r>
          </w:p>
        </w:tc>
        <w:tc>
          <w:tcPr>
            <w:tcW w:w="1088" w:type="dxa"/>
            <w:shd w:val="clear" w:color="auto" w:fill="auto"/>
          </w:tcPr>
          <w:p w14:paraId="2040FD6C" w14:textId="77777777" w:rsidR="008D5F87" w:rsidRPr="00DC36FD" w:rsidRDefault="008D5F87" w:rsidP="00D44E8B">
            <w:pPr>
              <w:tabs>
                <w:tab w:val="decimal" w:pos="416"/>
              </w:tabs>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DC36FD">
              <w:rPr>
                <w:rFonts w:ascii="Arial" w:hAnsi="Arial" w:cs="Arial"/>
                <w:sz w:val="18"/>
                <w:szCs w:val="18"/>
                <w:lang w:val="en-GB"/>
              </w:rPr>
              <w:t>10.29</w:t>
            </w:r>
          </w:p>
        </w:tc>
        <w:tc>
          <w:tcPr>
            <w:tcW w:w="801" w:type="dxa"/>
            <w:shd w:val="clear" w:color="auto" w:fill="auto"/>
          </w:tcPr>
          <w:p w14:paraId="7846D8E5" w14:textId="77777777" w:rsidR="008D5F87" w:rsidRPr="00DC36FD" w:rsidRDefault="008D5F87" w:rsidP="00D44E8B">
            <w:pPr>
              <w:tabs>
                <w:tab w:val="decimal" w:pos="179"/>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GB"/>
              </w:rPr>
            </w:pPr>
            <w:r w:rsidRPr="00DC36FD">
              <w:rPr>
                <w:rFonts w:ascii="Arial" w:hAnsi="Arial" w:cs="Arial"/>
                <w:color w:val="000000" w:themeColor="text1"/>
                <w:sz w:val="18"/>
                <w:szCs w:val="18"/>
                <w:lang w:val="en-GB"/>
              </w:rPr>
              <w:t>9.53</w:t>
            </w:r>
          </w:p>
        </w:tc>
        <w:tc>
          <w:tcPr>
            <w:tcW w:w="900" w:type="dxa"/>
            <w:shd w:val="clear" w:color="auto" w:fill="auto"/>
          </w:tcPr>
          <w:p w14:paraId="50FBC007" w14:textId="77777777" w:rsidR="008D5F87" w:rsidRPr="00DC36FD" w:rsidRDefault="008D5F87" w:rsidP="00D44E8B">
            <w:pPr>
              <w:tabs>
                <w:tab w:val="decimal" w:pos="370"/>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GB"/>
              </w:rPr>
            </w:pPr>
            <w:r w:rsidRPr="00DC36FD">
              <w:rPr>
                <w:rFonts w:ascii="Arial" w:hAnsi="Arial" w:cs="Arial"/>
                <w:color w:val="000000" w:themeColor="text1"/>
                <w:sz w:val="18"/>
                <w:szCs w:val="18"/>
                <w:lang w:val="en-GB"/>
              </w:rPr>
              <w:t>11.24</w:t>
            </w:r>
          </w:p>
        </w:tc>
        <w:tc>
          <w:tcPr>
            <w:tcW w:w="955" w:type="dxa"/>
            <w:shd w:val="clear" w:color="auto" w:fill="auto"/>
          </w:tcPr>
          <w:p w14:paraId="6502A9AD" w14:textId="77777777" w:rsidR="008D5F87" w:rsidRPr="00DC36FD" w:rsidRDefault="008D5F87" w:rsidP="00D44E8B">
            <w:pPr>
              <w:tabs>
                <w:tab w:val="decimal" w:pos="321"/>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GB"/>
              </w:rPr>
            </w:pPr>
            <w:r w:rsidRPr="00DC36FD">
              <w:rPr>
                <w:rFonts w:ascii="Arial" w:hAnsi="Arial" w:cs="Arial"/>
                <w:color w:val="000000" w:themeColor="text1"/>
                <w:sz w:val="18"/>
                <w:szCs w:val="18"/>
                <w:lang w:val="en-GB"/>
              </w:rPr>
              <w:t>10.06</w:t>
            </w:r>
          </w:p>
        </w:tc>
        <w:tc>
          <w:tcPr>
            <w:tcW w:w="844" w:type="dxa"/>
            <w:shd w:val="clear" w:color="auto" w:fill="auto"/>
          </w:tcPr>
          <w:p w14:paraId="32344996" w14:textId="77777777" w:rsidR="008D5F87" w:rsidRPr="00DC36FD" w:rsidRDefault="008D5F87" w:rsidP="00D44E8B">
            <w:pPr>
              <w:tabs>
                <w:tab w:val="decimal" w:pos="216"/>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GB"/>
              </w:rPr>
            </w:pPr>
            <w:r w:rsidRPr="00DC36FD">
              <w:rPr>
                <w:rFonts w:ascii="Arial" w:hAnsi="Arial" w:cs="Arial"/>
                <w:color w:val="000000" w:themeColor="text1"/>
                <w:sz w:val="18"/>
                <w:szCs w:val="18"/>
                <w:lang w:val="en-GB"/>
              </w:rPr>
              <w:t>8.03</w:t>
            </w:r>
          </w:p>
        </w:tc>
        <w:tc>
          <w:tcPr>
            <w:tcW w:w="905" w:type="dxa"/>
            <w:shd w:val="clear" w:color="auto" w:fill="auto"/>
          </w:tcPr>
          <w:p w14:paraId="1AF7BD03" w14:textId="77777777" w:rsidR="008D5F87" w:rsidRPr="00DC36FD" w:rsidRDefault="008D5F87" w:rsidP="00D44E8B">
            <w:pPr>
              <w:tabs>
                <w:tab w:val="decimal" w:pos="364"/>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GB"/>
              </w:rPr>
            </w:pPr>
            <w:r w:rsidRPr="00DC36FD">
              <w:rPr>
                <w:rFonts w:ascii="Arial" w:hAnsi="Arial" w:cs="Arial"/>
                <w:color w:val="000000" w:themeColor="text1"/>
                <w:sz w:val="18"/>
                <w:szCs w:val="18"/>
                <w:lang w:val="en-GB"/>
              </w:rPr>
              <w:t>10.38</w:t>
            </w:r>
          </w:p>
        </w:tc>
        <w:tc>
          <w:tcPr>
            <w:tcW w:w="989" w:type="dxa"/>
            <w:shd w:val="clear" w:color="auto" w:fill="auto"/>
          </w:tcPr>
          <w:p w14:paraId="2D1AD470" w14:textId="77777777" w:rsidR="008D5F87" w:rsidRPr="00DC36FD" w:rsidRDefault="008D5F87" w:rsidP="00D44E8B">
            <w:pPr>
              <w:tabs>
                <w:tab w:val="decimal" w:pos="310"/>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GB"/>
              </w:rPr>
            </w:pPr>
            <w:r w:rsidRPr="00DC36FD">
              <w:rPr>
                <w:rFonts w:ascii="Arial" w:hAnsi="Arial" w:cs="Arial"/>
                <w:color w:val="000000" w:themeColor="text1"/>
                <w:sz w:val="18"/>
                <w:szCs w:val="18"/>
                <w:lang w:val="en-GB"/>
              </w:rPr>
              <w:t>9.24</w:t>
            </w:r>
          </w:p>
        </w:tc>
      </w:tr>
      <w:tr w:rsidR="008D5F87" w:rsidRPr="00DC36FD" w14:paraId="74D2A139" w14:textId="77777777" w:rsidTr="00D1089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4" w:type="dxa"/>
            <w:tcBorders>
              <w:right w:val="none" w:sz="0" w:space="0" w:color="auto"/>
            </w:tcBorders>
            <w:shd w:val="clear" w:color="auto" w:fill="auto"/>
          </w:tcPr>
          <w:p w14:paraId="3D2F759D" w14:textId="77777777" w:rsidR="008D5F87" w:rsidRPr="00DC36FD" w:rsidRDefault="008D5F87" w:rsidP="00EB3FC1">
            <w:pPr>
              <w:jc w:val="both"/>
              <w:rPr>
                <w:rFonts w:ascii="Arial" w:hAnsi="Arial" w:cs="Arial"/>
                <w:b/>
                <w:i w:val="0"/>
                <w:color w:val="000000" w:themeColor="text1"/>
                <w:sz w:val="18"/>
                <w:szCs w:val="18"/>
                <w:lang w:val="en-GB"/>
              </w:rPr>
            </w:pPr>
            <w:r w:rsidRPr="00DC36FD">
              <w:rPr>
                <w:rFonts w:ascii="Arial" w:hAnsi="Arial" w:cs="Arial"/>
                <w:b/>
                <w:i w:val="0"/>
                <w:color w:val="000000" w:themeColor="text1"/>
                <w:sz w:val="18"/>
                <w:szCs w:val="18"/>
                <w:lang w:val="en-GB"/>
              </w:rPr>
              <w:t>Wheat</w:t>
            </w:r>
          </w:p>
        </w:tc>
        <w:tc>
          <w:tcPr>
            <w:tcW w:w="704" w:type="dxa"/>
            <w:shd w:val="clear" w:color="auto" w:fill="auto"/>
          </w:tcPr>
          <w:p w14:paraId="60BFEEC3" w14:textId="77777777" w:rsidR="008D5F87" w:rsidRPr="00DC36FD" w:rsidRDefault="008D5F87" w:rsidP="00D44E8B">
            <w:pPr>
              <w:tabs>
                <w:tab w:val="decimal" w:pos="179"/>
              </w:tabs>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DC36FD">
              <w:rPr>
                <w:rFonts w:ascii="Arial" w:hAnsi="Arial" w:cs="Arial"/>
                <w:sz w:val="18"/>
                <w:szCs w:val="18"/>
                <w:lang w:val="en-GB"/>
              </w:rPr>
              <w:t>5.38</w:t>
            </w:r>
          </w:p>
        </w:tc>
        <w:tc>
          <w:tcPr>
            <w:tcW w:w="900" w:type="dxa"/>
            <w:shd w:val="clear" w:color="auto" w:fill="auto"/>
          </w:tcPr>
          <w:p w14:paraId="3E3789CE" w14:textId="77777777" w:rsidR="008D5F87" w:rsidRPr="00DC36FD" w:rsidRDefault="008D5F87" w:rsidP="00D44E8B">
            <w:pPr>
              <w:tabs>
                <w:tab w:val="decimal" w:pos="326"/>
              </w:tabs>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DC36FD">
              <w:rPr>
                <w:rFonts w:ascii="Arial" w:hAnsi="Arial" w:cs="Arial"/>
                <w:sz w:val="18"/>
                <w:szCs w:val="18"/>
                <w:lang w:val="en-GB"/>
              </w:rPr>
              <w:t>6.46</w:t>
            </w:r>
          </w:p>
        </w:tc>
        <w:tc>
          <w:tcPr>
            <w:tcW w:w="1088" w:type="dxa"/>
            <w:shd w:val="clear" w:color="auto" w:fill="auto"/>
          </w:tcPr>
          <w:p w14:paraId="73AE6AF1" w14:textId="77777777" w:rsidR="008D5F87" w:rsidRPr="00DC36FD" w:rsidRDefault="008D5F87" w:rsidP="00D44E8B">
            <w:pPr>
              <w:tabs>
                <w:tab w:val="decimal" w:pos="416"/>
              </w:tabs>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DC36FD">
              <w:rPr>
                <w:rFonts w:ascii="Arial" w:hAnsi="Arial" w:cs="Arial"/>
                <w:sz w:val="18"/>
                <w:szCs w:val="18"/>
                <w:lang w:val="en-GB"/>
              </w:rPr>
              <w:t>6.06</w:t>
            </w:r>
          </w:p>
        </w:tc>
        <w:tc>
          <w:tcPr>
            <w:tcW w:w="801" w:type="dxa"/>
            <w:shd w:val="clear" w:color="auto" w:fill="auto"/>
          </w:tcPr>
          <w:p w14:paraId="054987DB" w14:textId="77777777" w:rsidR="008D5F87" w:rsidRPr="00DC36FD" w:rsidRDefault="008D5F87" w:rsidP="00D44E8B">
            <w:pPr>
              <w:tabs>
                <w:tab w:val="decimal" w:pos="179"/>
              </w:tabs>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en-GB"/>
              </w:rPr>
            </w:pPr>
            <w:r w:rsidRPr="00DC36FD">
              <w:rPr>
                <w:rFonts w:ascii="Arial" w:hAnsi="Arial" w:cs="Arial"/>
                <w:color w:val="000000" w:themeColor="text1"/>
                <w:sz w:val="18"/>
                <w:szCs w:val="18"/>
                <w:lang w:val="en-GB"/>
              </w:rPr>
              <w:t>5.03</w:t>
            </w:r>
          </w:p>
        </w:tc>
        <w:tc>
          <w:tcPr>
            <w:tcW w:w="900" w:type="dxa"/>
            <w:shd w:val="clear" w:color="auto" w:fill="auto"/>
          </w:tcPr>
          <w:p w14:paraId="70ED8A0A" w14:textId="77777777" w:rsidR="008D5F87" w:rsidRPr="00DC36FD" w:rsidRDefault="008D5F87" w:rsidP="00D44E8B">
            <w:pPr>
              <w:tabs>
                <w:tab w:val="decimal" w:pos="370"/>
              </w:tabs>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en-GB"/>
              </w:rPr>
            </w:pPr>
            <w:r w:rsidRPr="00DC36FD">
              <w:rPr>
                <w:rFonts w:ascii="Arial" w:hAnsi="Arial" w:cs="Arial"/>
                <w:color w:val="000000" w:themeColor="text1"/>
                <w:sz w:val="18"/>
                <w:szCs w:val="18"/>
                <w:lang w:val="en-GB"/>
              </w:rPr>
              <w:t>6.48</w:t>
            </w:r>
          </w:p>
        </w:tc>
        <w:tc>
          <w:tcPr>
            <w:tcW w:w="955" w:type="dxa"/>
            <w:shd w:val="clear" w:color="auto" w:fill="auto"/>
          </w:tcPr>
          <w:p w14:paraId="63D58549" w14:textId="77777777" w:rsidR="008D5F87" w:rsidRPr="00DC36FD" w:rsidRDefault="008D5F87" w:rsidP="00D44E8B">
            <w:pPr>
              <w:tabs>
                <w:tab w:val="decimal" w:pos="321"/>
              </w:tabs>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en-GB"/>
              </w:rPr>
            </w:pPr>
            <w:r w:rsidRPr="00DC36FD">
              <w:rPr>
                <w:rFonts w:ascii="Arial" w:hAnsi="Arial" w:cs="Arial"/>
                <w:color w:val="000000" w:themeColor="text1"/>
                <w:sz w:val="18"/>
                <w:szCs w:val="18"/>
                <w:lang w:val="en-GB"/>
              </w:rPr>
              <w:t>5.83</w:t>
            </w:r>
          </w:p>
        </w:tc>
        <w:tc>
          <w:tcPr>
            <w:tcW w:w="844" w:type="dxa"/>
            <w:shd w:val="clear" w:color="auto" w:fill="auto"/>
          </w:tcPr>
          <w:p w14:paraId="116731D7" w14:textId="77777777" w:rsidR="008D5F87" w:rsidRPr="00DC36FD" w:rsidRDefault="008D5F87" w:rsidP="00D44E8B">
            <w:pPr>
              <w:tabs>
                <w:tab w:val="decimal" w:pos="216"/>
              </w:tabs>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en-GB"/>
              </w:rPr>
            </w:pPr>
            <w:r w:rsidRPr="00DC36FD">
              <w:rPr>
                <w:rFonts w:ascii="Arial" w:hAnsi="Arial" w:cs="Arial"/>
                <w:color w:val="000000" w:themeColor="text1"/>
                <w:sz w:val="18"/>
                <w:szCs w:val="18"/>
                <w:lang w:val="en-GB"/>
              </w:rPr>
              <w:t>4.71</w:t>
            </w:r>
          </w:p>
        </w:tc>
        <w:tc>
          <w:tcPr>
            <w:tcW w:w="905" w:type="dxa"/>
            <w:shd w:val="clear" w:color="auto" w:fill="auto"/>
          </w:tcPr>
          <w:p w14:paraId="3EEFC34C" w14:textId="77777777" w:rsidR="008D5F87" w:rsidRPr="00DC36FD" w:rsidRDefault="008D5F87" w:rsidP="00D44E8B">
            <w:pPr>
              <w:tabs>
                <w:tab w:val="decimal" w:pos="364"/>
              </w:tabs>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en-GB"/>
              </w:rPr>
            </w:pPr>
            <w:r w:rsidRPr="00DC36FD">
              <w:rPr>
                <w:rFonts w:ascii="Arial" w:hAnsi="Arial" w:cs="Arial"/>
                <w:color w:val="000000" w:themeColor="text1"/>
                <w:sz w:val="18"/>
                <w:szCs w:val="18"/>
                <w:lang w:val="en-GB"/>
              </w:rPr>
              <w:t>6.31</w:t>
            </w:r>
          </w:p>
        </w:tc>
        <w:tc>
          <w:tcPr>
            <w:tcW w:w="989" w:type="dxa"/>
            <w:shd w:val="clear" w:color="auto" w:fill="auto"/>
          </w:tcPr>
          <w:p w14:paraId="0F240B4F" w14:textId="77777777" w:rsidR="008D5F87" w:rsidRPr="00DC36FD" w:rsidRDefault="008D5F87" w:rsidP="00D44E8B">
            <w:pPr>
              <w:tabs>
                <w:tab w:val="decimal" w:pos="310"/>
              </w:tabs>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en-GB"/>
              </w:rPr>
            </w:pPr>
            <w:r w:rsidRPr="00DC36FD">
              <w:rPr>
                <w:rFonts w:ascii="Arial" w:hAnsi="Arial" w:cs="Arial"/>
                <w:color w:val="000000" w:themeColor="text1"/>
                <w:sz w:val="18"/>
                <w:szCs w:val="18"/>
                <w:lang w:val="en-GB"/>
              </w:rPr>
              <w:t>5.41</w:t>
            </w:r>
          </w:p>
        </w:tc>
      </w:tr>
      <w:tr w:rsidR="009C2BEE" w:rsidRPr="00DC36FD" w14:paraId="549C8B05" w14:textId="77777777" w:rsidTr="00D1089F">
        <w:trPr>
          <w:trHeight w:val="269"/>
          <w:jc w:val="center"/>
        </w:trPr>
        <w:tc>
          <w:tcPr>
            <w:cnfStyle w:val="001000000000" w:firstRow="0" w:lastRow="0" w:firstColumn="1" w:lastColumn="0" w:oddVBand="0" w:evenVBand="0" w:oddHBand="0" w:evenHBand="0" w:firstRowFirstColumn="0" w:firstRowLastColumn="0" w:lastRowFirstColumn="0" w:lastRowLastColumn="0"/>
            <w:tcW w:w="1274" w:type="dxa"/>
            <w:shd w:val="clear" w:color="auto" w:fill="auto"/>
          </w:tcPr>
          <w:p w14:paraId="4F800B81" w14:textId="77777777" w:rsidR="008D5F87" w:rsidRPr="00DC36FD" w:rsidRDefault="008D5F87" w:rsidP="00EB3FC1">
            <w:pPr>
              <w:jc w:val="both"/>
              <w:rPr>
                <w:rFonts w:ascii="Arial" w:hAnsi="Arial" w:cs="Arial"/>
                <w:b/>
                <w:i w:val="0"/>
                <w:color w:val="000000" w:themeColor="text1"/>
                <w:sz w:val="18"/>
                <w:szCs w:val="18"/>
                <w:lang w:val="en-GB"/>
              </w:rPr>
            </w:pPr>
            <w:r w:rsidRPr="00DC36FD">
              <w:rPr>
                <w:rFonts w:ascii="Arial" w:hAnsi="Arial" w:cs="Arial"/>
                <w:b/>
                <w:i w:val="0"/>
                <w:color w:val="000000" w:themeColor="text1"/>
                <w:sz w:val="18"/>
                <w:szCs w:val="18"/>
                <w:lang w:val="en-GB"/>
              </w:rPr>
              <w:t>Field Peas</w:t>
            </w:r>
          </w:p>
        </w:tc>
        <w:tc>
          <w:tcPr>
            <w:tcW w:w="704" w:type="dxa"/>
            <w:shd w:val="clear" w:color="auto" w:fill="auto"/>
          </w:tcPr>
          <w:p w14:paraId="7E46412E" w14:textId="77777777" w:rsidR="008D5F87" w:rsidRPr="00DC36FD" w:rsidRDefault="008D5F87" w:rsidP="00D44E8B">
            <w:pPr>
              <w:tabs>
                <w:tab w:val="decimal" w:pos="179"/>
              </w:tabs>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DC36FD">
              <w:rPr>
                <w:rFonts w:ascii="Arial" w:hAnsi="Arial" w:cs="Arial"/>
                <w:sz w:val="18"/>
                <w:szCs w:val="18"/>
                <w:lang w:val="en-GB"/>
              </w:rPr>
              <w:t>6.87</w:t>
            </w:r>
          </w:p>
        </w:tc>
        <w:tc>
          <w:tcPr>
            <w:tcW w:w="900" w:type="dxa"/>
            <w:shd w:val="clear" w:color="auto" w:fill="auto"/>
          </w:tcPr>
          <w:p w14:paraId="683F8270" w14:textId="77777777" w:rsidR="008D5F87" w:rsidRPr="00DC36FD" w:rsidRDefault="008D5F87" w:rsidP="00D44E8B">
            <w:pPr>
              <w:tabs>
                <w:tab w:val="decimal" w:pos="326"/>
              </w:tabs>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DC36FD">
              <w:rPr>
                <w:rFonts w:ascii="Arial" w:hAnsi="Arial" w:cs="Arial"/>
                <w:sz w:val="18"/>
                <w:szCs w:val="18"/>
                <w:lang w:val="en-GB"/>
              </w:rPr>
              <w:t>14.07</w:t>
            </w:r>
          </w:p>
        </w:tc>
        <w:tc>
          <w:tcPr>
            <w:tcW w:w="1088" w:type="dxa"/>
            <w:shd w:val="clear" w:color="auto" w:fill="auto"/>
          </w:tcPr>
          <w:p w14:paraId="677BDEEC" w14:textId="77777777" w:rsidR="008D5F87" w:rsidRPr="00DC36FD" w:rsidRDefault="008D5F87" w:rsidP="00D44E8B">
            <w:pPr>
              <w:tabs>
                <w:tab w:val="decimal" w:pos="416"/>
              </w:tabs>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DC36FD">
              <w:rPr>
                <w:rFonts w:ascii="Arial" w:hAnsi="Arial" w:cs="Arial"/>
                <w:sz w:val="18"/>
                <w:szCs w:val="18"/>
                <w:lang w:val="en-GB"/>
              </w:rPr>
              <w:t>10.42</w:t>
            </w:r>
          </w:p>
        </w:tc>
        <w:tc>
          <w:tcPr>
            <w:tcW w:w="801" w:type="dxa"/>
            <w:shd w:val="clear" w:color="auto" w:fill="auto"/>
          </w:tcPr>
          <w:p w14:paraId="1623F494" w14:textId="77777777" w:rsidR="008D5F87" w:rsidRPr="00DC36FD" w:rsidRDefault="008D5F87" w:rsidP="00D44E8B">
            <w:pPr>
              <w:tabs>
                <w:tab w:val="decimal" w:pos="179"/>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GB"/>
              </w:rPr>
            </w:pPr>
            <w:r w:rsidRPr="00DC36FD">
              <w:rPr>
                <w:rFonts w:ascii="Arial" w:hAnsi="Arial" w:cs="Arial"/>
                <w:color w:val="000000" w:themeColor="text1"/>
                <w:sz w:val="18"/>
                <w:szCs w:val="18"/>
                <w:lang w:val="en-GB"/>
              </w:rPr>
              <w:t>7.11</w:t>
            </w:r>
          </w:p>
        </w:tc>
        <w:tc>
          <w:tcPr>
            <w:tcW w:w="900" w:type="dxa"/>
            <w:shd w:val="clear" w:color="auto" w:fill="auto"/>
          </w:tcPr>
          <w:p w14:paraId="7C6A9A5E" w14:textId="77777777" w:rsidR="008D5F87" w:rsidRPr="00DC36FD" w:rsidRDefault="008D5F87" w:rsidP="00D44E8B">
            <w:pPr>
              <w:tabs>
                <w:tab w:val="decimal" w:pos="370"/>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GB"/>
              </w:rPr>
            </w:pPr>
            <w:r w:rsidRPr="00DC36FD">
              <w:rPr>
                <w:rFonts w:ascii="Arial" w:hAnsi="Arial" w:cs="Arial"/>
                <w:color w:val="000000" w:themeColor="text1"/>
                <w:sz w:val="18"/>
                <w:szCs w:val="18"/>
                <w:lang w:val="en-GB"/>
              </w:rPr>
              <w:t>10.98</w:t>
            </w:r>
          </w:p>
        </w:tc>
        <w:tc>
          <w:tcPr>
            <w:tcW w:w="955" w:type="dxa"/>
            <w:shd w:val="clear" w:color="auto" w:fill="auto"/>
          </w:tcPr>
          <w:p w14:paraId="20B108BA" w14:textId="77777777" w:rsidR="008D5F87" w:rsidRPr="00DC36FD" w:rsidRDefault="008D5F87" w:rsidP="00D44E8B">
            <w:pPr>
              <w:tabs>
                <w:tab w:val="decimal" w:pos="321"/>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GB"/>
              </w:rPr>
            </w:pPr>
            <w:r w:rsidRPr="00DC36FD">
              <w:rPr>
                <w:rFonts w:ascii="Arial" w:hAnsi="Arial" w:cs="Arial"/>
                <w:color w:val="000000" w:themeColor="text1"/>
                <w:sz w:val="18"/>
                <w:szCs w:val="18"/>
                <w:lang w:val="en-GB"/>
              </w:rPr>
              <w:t>8.73</w:t>
            </w:r>
          </w:p>
        </w:tc>
        <w:tc>
          <w:tcPr>
            <w:tcW w:w="844" w:type="dxa"/>
            <w:shd w:val="clear" w:color="auto" w:fill="auto"/>
          </w:tcPr>
          <w:p w14:paraId="42A895B8" w14:textId="77777777" w:rsidR="008D5F87" w:rsidRPr="00DC36FD" w:rsidRDefault="008D5F87" w:rsidP="00D44E8B">
            <w:pPr>
              <w:tabs>
                <w:tab w:val="decimal" w:pos="216"/>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GB"/>
              </w:rPr>
            </w:pPr>
            <w:r w:rsidRPr="00DC36FD">
              <w:rPr>
                <w:rFonts w:ascii="Arial" w:hAnsi="Arial" w:cs="Arial"/>
                <w:color w:val="000000" w:themeColor="text1"/>
                <w:sz w:val="18"/>
                <w:szCs w:val="18"/>
                <w:lang w:val="en-GB"/>
              </w:rPr>
              <w:t>5.40</w:t>
            </w:r>
          </w:p>
        </w:tc>
        <w:tc>
          <w:tcPr>
            <w:tcW w:w="905" w:type="dxa"/>
            <w:shd w:val="clear" w:color="auto" w:fill="auto"/>
          </w:tcPr>
          <w:p w14:paraId="58849EFD" w14:textId="77777777" w:rsidR="008D5F87" w:rsidRPr="00DC36FD" w:rsidRDefault="008D5F87" w:rsidP="00D44E8B">
            <w:pPr>
              <w:tabs>
                <w:tab w:val="decimal" w:pos="364"/>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GB"/>
              </w:rPr>
            </w:pPr>
            <w:r w:rsidRPr="00DC36FD">
              <w:rPr>
                <w:rFonts w:ascii="Arial" w:hAnsi="Arial" w:cs="Arial"/>
                <w:color w:val="000000" w:themeColor="text1"/>
                <w:sz w:val="18"/>
                <w:szCs w:val="18"/>
                <w:lang w:val="en-GB"/>
              </w:rPr>
              <w:t>7.11</w:t>
            </w:r>
          </w:p>
        </w:tc>
        <w:tc>
          <w:tcPr>
            <w:tcW w:w="989" w:type="dxa"/>
            <w:shd w:val="clear" w:color="auto" w:fill="auto"/>
          </w:tcPr>
          <w:p w14:paraId="72D4465E" w14:textId="77777777" w:rsidR="008D5F87" w:rsidRPr="00DC36FD" w:rsidRDefault="008D5F87" w:rsidP="00D44E8B">
            <w:pPr>
              <w:tabs>
                <w:tab w:val="decimal" w:pos="310"/>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GB"/>
              </w:rPr>
            </w:pPr>
            <w:r w:rsidRPr="00DC36FD">
              <w:rPr>
                <w:rFonts w:ascii="Arial" w:hAnsi="Arial" w:cs="Arial"/>
                <w:color w:val="000000" w:themeColor="text1"/>
                <w:sz w:val="18"/>
                <w:szCs w:val="18"/>
                <w:lang w:val="en-GB"/>
              </w:rPr>
              <w:t>6.33</w:t>
            </w:r>
          </w:p>
        </w:tc>
      </w:tr>
    </w:tbl>
    <w:p w14:paraId="148E16DC" w14:textId="77777777" w:rsidR="008D5F87" w:rsidRDefault="008D5F87" w:rsidP="001445C8">
      <w:pPr>
        <w:pStyle w:val="Footnote"/>
        <w:rPr>
          <w:lang w:val="en-GB"/>
        </w:rPr>
      </w:pPr>
    </w:p>
    <w:p w14:paraId="7A3F365D" w14:textId="2FD5B89D" w:rsidR="00B11754" w:rsidRPr="00DC36FD" w:rsidRDefault="00B11754" w:rsidP="001445C8">
      <w:pPr>
        <w:pStyle w:val="Footnote"/>
        <w:rPr>
          <w:lang w:val="en-GB"/>
        </w:rPr>
      </w:pPr>
      <w:r>
        <w:rPr>
          <w:lang w:val="en-GB"/>
        </w:rPr>
        <w:t>Note: 1 bushel = 35 litres</w:t>
      </w:r>
      <w:r w:rsidR="00755BA9">
        <w:rPr>
          <w:lang w:val="en-GB"/>
        </w:rPr>
        <w:t>; 1 tonne of canola = 44.092 bushels, 1 tonne of wheat = 36.744 bushels, and 1 tonne of peas = 36.744 bushels</w:t>
      </w:r>
    </w:p>
    <w:p w14:paraId="2A0FB9CF" w14:textId="3FB0E75B" w:rsidR="008D5F87" w:rsidRPr="00DC36FD" w:rsidRDefault="008D5F87" w:rsidP="001445C8">
      <w:pPr>
        <w:pStyle w:val="Footnote"/>
        <w:rPr>
          <w:lang w:val="en-GB"/>
        </w:rPr>
      </w:pPr>
      <w:r w:rsidRPr="00DC36FD">
        <w:rPr>
          <w:lang w:val="en-GB"/>
        </w:rPr>
        <w:t>Source: Created by the authors using Government of Saskatchewan, “Saskatchewan Cash Prices</w:t>
      </w:r>
      <w:r w:rsidR="00681189">
        <w:rPr>
          <w:lang w:val="en-GB"/>
        </w:rPr>
        <w:t>,</w:t>
      </w:r>
      <w:r w:rsidRPr="00DC36FD">
        <w:rPr>
          <w:lang w:val="en-GB"/>
        </w:rPr>
        <w:t xml:space="preserve">” accessed September 20, 2016, www.agr.gov.sk.ca/apps/markettrends/. </w:t>
      </w:r>
    </w:p>
    <w:p w14:paraId="38580368" w14:textId="77777777" w:rsidR="008D5F87" w:rsidRPr="00DC36FD" w:rsidRDefault="008D5F87" w:rsidP="001445C8">
      <w:pPr>
        <w:pStyle w:val="Footnote"/>
        <w:rPr>
          <w:lang w:val="en-GB"/>
        </w:rPr>
      </w:pPr>
    </w:p>
    <w:p w14:paraId="23877204" w14:textId="77777777" w:rsidR="008D5F87" w:rsidRPr="00DC36FD" w:rsidRDefault="008D5F87" w:rsidP="001445C8">
      <w:pPr>
        <w:pStyle w:val="Footnote"/>
        <w:rPr>
          <w:lang w:val="en-GB"/>
        </w:rPr>
      </w:pPr>
    </w:p>
    <w:p w14:paraId="1E2DD700" w14:textId="00A85F0F" w:rsidR="008D5F87" w:rsidRPr="00DC36FD" w:rsidRDefault="008D5F87" w:rsidP="001445C8">
      <w:pPr>
        <w:pStyle w:val="ExhibitHeading"/>
        <w:rPr>
          <w:lang w:val="en-GB"/>
        </w:rPr>
      </w:pPr>
      <w:r w:rsidRPr="00DC36FD">
        <w:rPr>
          <w:lang w:val="en-GB"/>
        </w:rPr>
        <w:t>EXHIBIT 2: SASKATCHEWAN CANOLA, WHEAT</w:t>
      </w:r>
      <w:r w:rsidR="00681189">
        <w:rPr>
          <w:lang w:val="en-GB"/>
        </w:rPr>
        <w:t>,</w:t>
      </w:r>
      <w:r w:rsidRPr="00DC36FD">
        <w:rPr>
          <w:lang w:val="en-GB"/>
        </w:rPr>
        <w:t xml:space="preserve"> AND FIELD PEA</w:t>
      </w:r>
      <w:r w:rsidR="00681189">
        <w:rPr>
          <w:lang w:val="en-GB"/>
        </w:rPr>
        <w:t>s</w:t>
      </w:r>
      <w:r w:rsidRPr="00DC36FD">
        <w:rPr>
          <w:lang w:val="en-GB"/>
        </w:rPr>
        <w:t xml:space="preserve"> PRODUCTION AVERAGES</w:t>
      </w:r>
      <w:r w:rsidR="00BC65A0">
        <w:rPr>
          <w:lang w:val="en-GB"/>
        </w:rPr>
        <w:t>, 2014–2016</w:t>
      </w:r>
      <w:r w:rsidRPr="00DC36FD">
        <w:rPr>
          <w:lang w:val="en-GB"/>
        </w:rPr>
        <w:t xml:space="preserve"> (</w:t>
      </w:r>
      <w:r w:rsidR="00BC65A0">
        <w:rPr>
          <w:lang w:val="en-GB"/>
        </w:rPr>
        <w:t xml:space="preserve">in </w:t>
      </w:r>
      <w:r w:rsidRPr="00DC36FD">
        <w:rPr>
          <w:lang w:val="en-GB"/>
        </w:rPr>
        <w:t xml:space="preserve">BUSHELS PER ACRE) </w:t>
      </w:r>
    </w:p>
    <w:p w14:paraId="5F9DE2C8" w14:textId="77777777" w:rsidR="001445C8" w:rsidRPr="00DC36FD" w:rsidRDefault="001445C8" w:rsidP="001445C8">
      <w:pPr>
        <w:pStyle w:val="ExhibitHeading"/>
        <w:rPr>
          <w:lang w:val="en-GB"/>
        </w:rPr>
      </w:pPr>
    </w:p>
    <w:tbl>
      <w:tblPr>
        <w:tblStyle w:val="PlainTable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424"/>
        <w:gridCol w:w="1440"/>
        <w:gridCol w:w="1440"/>
      </w:tblGrid>
      <w:tr w:rsidR="008D5F87" w:rsidRPr="00DC36FD" w14:paraId="3B428799" w14:textId="77777777" w:rsidTr="002F6776">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100" w:firstRow="0" w:lastRow="0" w:firstColumn="1" w:lastColumn="0" w:oddVBand="0" w:evenVBand="0" w:oddHBand="0" w:evenHBand="0" w:firstRowFirstColumn="1" w:firstRowLastColumn="0" w:lastRowFirstColumn="0" w:lastRowLastColumn="0"/>
            <w:tcW w:w="1276" w:type="dxa"/>
            <w:vMerge w:val="restart"/>
            <w:tcBorders>
              <w:top w:val="nil"/>
              <w:left w:val="nil"/>
              <w:bottom w:val="none" w:sz="0" w:space="0" w:color="auto"/>
              <w:right w:val="none" w:sz="0" w:space="0" w:color="auto"/>
            </w:tcBorders>
            <w:shd w:val="clear" w:color="auto" w:fill="auto"/>
          </w:tcPr>
          <w:p w14:paraId="4711ECF2" w14:textId="77777777" w:rsidR="008D5F87" w:rsidRPr="00DC36FD" w:rsidRDefault="008D5F87" w:rsidP="00EB3FC1">
            <w:pPr>
              <w:jc w:val="both"/>
              <w:rPr>
                <w:rFonts w:ascii="Arial" w:hAnsi="Arial" w:cs="Arial"/>
                <w:color w:val="000000"/>
                <w:sz w:val="18"/>
                <w:szCs w:val="18"/>
                <w:lang w:val="en-GB"/>
              </w:rPr>
            </w:pPr>
          </w:p>
        </w:tc>
        <w:tc>
          <w:tcPr>
            <w:tcW w:w="1424" w:type="dxa"/>
            <w:tcBorders>
              <w:bottom w:val="none" w:sz="0" w:space="0" w:color="auto"/>
            </w:tcBorders>
            <w:shd w:val="clear" w:color="auto" w:fill="auto"/>
          </w:tcPr>
          <w:p w14:paraId="15BBD509" w14:textId="77777777" w:rsidR="008D5F87" w:rsidRPr="00DC36FD" w:rsidRDefault="008D5F87" w:rsidP="00D44E8B">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iCs w:val="0"/>
                <w:color w:val="000000"/>
                <w:sz w:val="18"/>
                <w:szCs w:val="18"/>
                <w:lang w:val="en-GB"/>
              </w:rPr>
            </w:pPr>
            <w:r w:rsidRPr="00DC36FD">
              <w:rPr>
                <w:rFonts w:ascii="Arial" w:hAnsi="Arial" w:cs="Arial"/>
                <w:b/>
                <w:i w:val="0"/>
                <w:color w:val="000000"/>
                <w:sz w:val="18"/>
                <w:szCs w:val="18"/>
                <w:lang w:val="en-GB"/>
              </w:rPr>
              <w:t>2016*</w:t>
            </w:r>
          </w:p>
        </w:tc>
        <w:tc>
          <w:tcPr>
            <w:tcW w:w="1440" w:type="dxa"/>
            <w:tcBorders>
              <w:bottom w:val="none" w:sz="0" w:space="0" w:color="auto"/>
            </w:tcBorders>
            <w:shd w:val="clear" w:color="auto" w:fill="auto"/>
          </w:tcPr>
          <w:p w14:paraId="61E87AEE" w14:textId="77777777" w:rsidR="008D5F87" w:rsidRPr="00DC36FD" w:rsidRDefault="008D5F87" w:rsidP="00D44E8B">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iCs w:val="0"/>
                <w:color w:val="000000"/>
                <w:sz w:val="18"/>
                <w:szCs w:val="18"/>
                <w:lang w:val="en-GB"/>
              </w:rPr>
            </w:pPr>
            <w:r w:rsidRPr="00DC36FD">
              <w:rPr>
                <w:rFonts w:ascii="Arial" w:hAnsi="Arial" w:cs="Arial"/>
                <w:b/>
                <w:i w:val="0"/>
                <w:color w:val="000000"/>
                <w:sz w:val="18"/>
                <w:szCs w:val="18"/>
                <w:lang w:val="en-GB"/>
              </w:rPr>
              <w:t>2015</w:t>
            </w:r>
          </w:p>
        </w:tc>
        <w:tc>
          <w:tcPr>
            <w:tcW w:w="1440" w:type="dxa"/>
            <w:tcBorders>
              <w:bottom w:val="none" w:sz="0" w:space="0" w:color="auto"/>
            </w:tcBorders>
            <w:shd w:val="clear" w:color="auto" w:fill="auto"/>
          </w:tcPr>
          <w:p w14:paraId="2EC0F34C" w14:textId="77777777" w:rsidR="008D5F87" w:rsidRPr="00DC36FD" w:rsidRDefault="008D5F87" w:rsidP="00D44E8B">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iCs w:val="0"/>
                <w:color w:val="000000"/>
                <w:sz w:val="18"/>
                <w:szCs w:val="18"/>
                <w:lang w:val="en-GB"/>
              </w:rPr>
            </w:pPr>
            <w:r w:rsidRPr="00DC36FD">
              <w:rPr>
                <w:rFonts w:ascii="Arial" w:hAnsi="Arial" w:cs="Arial"/>
                <w:b/>
                <w:i w:val="0"/>
                <w:color w:val="000000"/>
                <w:sz w:val="18"/>
                <w:szCs w:val="18"/>
                <w:lang w:val="en-GB"/>
              </w:rPr>
              <w:t>2014</w:t>
            </w:r>
          </w:p>
        </w:tc>
      </w:tr>
      <w:tr w:rsidR="008D5F87" w:rsidRPr="00DC36FD" w14:paraId="309879D7" w14:textId="77777777" w:rsidTr="002F677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6" w:type="dxa"/>
            <w:vMerge/>
            <w:tcBorders>
              <w:left w:val="nil"/>
              <w:right w:val="none" w:sz="0" w:space="0" w:color="auto"/>
            </w:tcBorders>
            <w:shd w:val="clear" w:color="auto" w:fill="auto"/>
          </w:tcPr>
          <w:p w14:paraId="0258BC06" w14:textId="77777777" w:rsidR="008D5F87" w:rsidRPr="00DC36FD" w:rsidRDefault="008D5F87" w:rsidP="00EB3FC1">
            <w:pPr>
              <w:jc w:val="both"/>
              <w:rPr>
                <w:rFonts w:ascii="Arial" w:hAnsi="Arial" w:cs="Arial"/>
                <w:color w:val="000000"/>
                <w:sz w:val="18"/>
                <w:szCs w:val="18"/>
                <w:lang w:val="en-GB"/>
              </w:rPr>
            </w:pPr>
          </w:p>
        </w:tc>
        <w:tc>
          <w:tcPr>
            <w:tcW w:w="1424" w:type="dxa"/>
            <w:shd w:val="clear" w:color="auto" w:fill="auto"/>
          </w:tcPr>
          <w:p w14:paraId="2131D194"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i/>
                <w:color w:val="000000"/>
                <w:sz w:val="18"/>
                <w:szCs w:val="18"/>
                <w:lang w:val="en-GB"/>
              </w:rPr>
            </w:pPr>
            <w:r w:rsidRPr="00DC36FD">
              <w:rPr>
                <w:rFonts w:ascii="Arial" w:eastAsia="Calibri" w:hAnsi="Arial" w:cs="Arial"/>
                <w:i/>
                <w:color w:val="000000"/>
                <w:sz w:val="18"/>
                <w:szCs w:val="18"/>
                <w:lang w:val="en-GB"/>
              </w:rPr>
              <w:t>Average</w:t>
            </w:r>
          </w:p>
        </w:tc>
        <w:tc>
          <w:tcPr>
            <w:tcW w:w="1440" w:type="dxa"/>
            <w:shd w:val="clear" w:color="auto" w:fill="auto"/>
          </w:tcPr>
          <w:p w14:paraId="0F41D25E"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i/>
                <w:color w:val="000000"/>
                <w:sz w:val="18"/>
                <w:szCs w:val="18"/>
                <w:lang w:val="en-GB"/>
              </w:rPr>
            </w:pPr>
            <w:r w:rsidRPr="00DC36FD">
              <w:rPr>
                <w:rFonts w:ascii="Arial" w:eastAsia="Calibri" w:hAnsi="Arial" w:cs="Arial"/>
                <w:i/>
                <w:color w:val="000000"/>
                <w:sz w:val="18"/>
                <w:szCs w:val="18"/>
                <w:lang w:val="en-GB"/>
              </w:rPr>
              <w:t>Average</w:t>
            </w:r>
          </w:p>
        </w:tc>
        <w:tc>
          <w:tcPr>
            <w:tcW w:w="1440" w:type="dxa"/>
            <w:shd w:val="clear" w:color="auto" w:fill="auto"/>
          </w:tcPr>
          <w:p w14:paraId="6B302215"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i/>
                <w:color w:val="000000"/>
                <w:sz w:val="18"/>
                <w:szCs w:val="18"/>
                <w:lang w:val="en-GB"/>
              </w:rPr>
            </w:pPr>
            <w:r w:rsidRPr="00DC36FD">
              <w:rPr>
                <w:rFonts w:ascii="Arial" w:eastAsia="Calibri" w:hAnsi="Arial" w:cs="Arial"/>
                <w:i/>
                <w:color w:val="000000"/>
                <w:sz w:val="18"/>
                <w:szCs w:val="18"/>
                <w:lang w:val="en-GB"/>
              </w:rPr>
              <w:t>Average</w:t>
            </w:r>
          </w:p>
        </w:tc>
      </w:tr>
      <w:tr w:rsidR="008D5F87" w:rsidRPr="00DC36FD" w14:paraId="36DCA80D" w14:textId="77777777" w:rsidTr="009C2BEE">
        <w:trPr>
          <w:trHeight w:val="269"/>
          <w:jc w:val="center"/>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auto"/>
          </w:tcPr>
          <w:p w14:paraId="6486EA78" w14:textId="77777777" w:rsidR="008D5F87" w:rsidRPr="00DC36FD" w:rsidRDefault="008D5F87" w:rsidP="00EB3FC1">
            <w:pPr>
              <w:jc w:val="both"/>
              <w:rPr>
                <w:rFonts w:ascii="Arial" w:hAnsi="Arial" w:cs="Arial"/>
                <w:b/>
                <w:i w:val="0"/>
                <w:color w:val="000000"/>
                <w:sz w:val="18"/>
                <w:szCs w:val="18"/>
                <w:lang w:val="en-GB"/>
              </w:rPr>
            </w:pPr>
            <w:r w:rsidRPr="00DC36FD">
              <w:rPr>
                <w:rFonts w:ascii="Arial" w:hAnsi="Arial" w:cs="Arial"/>
                <w:b/>
                <w:i w:val="0"/>
                <w:color w:val="000000"/>
                <w:sz w:val="18"/>
                <w:szCs w:val="18"/>
                <w:lang w:val="en-GB"/>
              </w:rPr>
              <w:t>Canola</w:t>
            </w:r>
          </w:p>
        </w:tc>
        <w:tc>
          <w:tcPr>
            <w:tcW w:w="1424" w:type="dxa"/>
            <w:shd w:val="clear" w:color="auto" w:fill="auto"/>
          </w:tcPr>
          <w:p w14:paraId="26DDF4BB" w14:textId="77777777" w:rsidR="008D5F87" w:rsidRPr="00DC36FD" w:rsidRDefault="008D5F87" w:rsidP="00D44E8B">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18"/>
                <w:szCs w:val="18"/>
                <w:lang w:val="en-GB"/>
              </w:rPr>
            </w:pPr>
            <w:r w:rsidRPr="00DC36FD">
              <w:rPr>
                <w:rFonts w:ascii="Arial" w:eastAsia="Calibri" w:hAnsi="Arial" w:cs="Arial"/>
                <w:sz w:val="18"/>
                <w:szCs w:val="18"/>
                <w:lang w:val="en-GB"/>
              </w:rPr>
              <w:t>40.0</w:t>
            </w:r>
          </w:p>
        </w:tc>
        <w:tc>
          <w:tcPr>
            <w:tcW w:w="1440" w:type="dxa"/>
            <w:shd w:val="clear" w:color="auto" w:fill="auto"/>
          </w:tcPr>
          <w:p w14:paraId="2C027C6E" w14:textId="77777777" w:rsidR="008D5F87" w:rsidRPr="00DC36FD" w:rsidRDefault="008D5F87" w:rsidP="00D44E8B">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36.1</w:t>
            </w:r>
          </w:p>
        </w:tc>
        <w:tc>
          <w:tcPr>
            <w:tcW w:w="1440" w:type="dxa"/>
            <w:shd w:val="clear" w:color="auto" w:fill="auto"/>
          </w:tcPr>
          <w:p w14:paraId="766C6146" w14:textId="77777777" w:rsidR="008D5F87" w:rsidRPr="00DC36FD" w:rsidRDefault="008D5F87" w:rsidP="00D44E8B">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32.6</w:t>
            </w:r>
          </w:p>
        </w:tc>
      </w:tr>
      <w:tr w:rsidR="008D5F87" w:rsidRPr="00DC36FD" w14:paraId="20729B6E" w14:textId="77777777" w:rsidTr="009C2BE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auto"/>
          </w:tcPr>
          <w:p w14:paraId="4A27CAAC" w14:textId="77777777" w:rsidR="008D5F87" w:rsidRPr="00DC36FD" w:rsidRDefault="008D5F87" w:rsidP="00EB3FC1">
            <w:pPr>
              <w:jc w:val="both"/>
              <w:rPr>
                <w:rFonts w:ascii="Arial" w:hAnsi="Arial" w:cs="Arial"/>
                <w:b/>
                <w:i w:val="0"/>
                <w:color w:val="000000"/>
                <w:sz w:val="18"/>
                <w:szCs w:val="18"/>
                <w:lang w:val="en-GB"/>
              </w:rPr>
            </w:pPr>
            <w:r w:rsidRPr="00DC36FD">
              <w:rPr>
                <w:rFonts w:ascii="Arial" w:hAnsi="Arial" w:cs="Arial"/>
                <w:b/>
                <w:i w:val="0"/>
                <w:color w:val="000000"/>
                <w:sz w:val="18"/>
                <w:szCs w:val="18"/>
                <w:lang w:val="en-GB"/>
              </w:rPr>
              <w:t>Wheat</w:t>
            </w:r>
          </w:p>
        </w:tc>
        <w:tc>
          <w:tcPr>
            <w:tcW w:w="1424" w:type="dxa"/>
            <w:shd w:val="clear" w:color="auto" w:fill="auto"/>
          </w:tcPr>
          <w:p w14:paraId="7396FB0D"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lang w:val="en-GB"/>
              </w:rPr>
            </w:pPr>
            <w:r w:rsidRPr="00DC36FD">
              <w:rPr>
                <w:rFonts w:ascii="Arial" w:eastAsia="Calibri" w:hAnsi="Arial" w:cs="Arial"/>
                <w:sz w:val="18"/>
                <w:szCs w:val="18"/>
                <w:lang w:val="en-GB"/>
              </w:rPr>
              <w:t>45.0</w:t>
            </w:r>
          </w:p>
        </w:tc>
        <w:tc>
          <w:tcPr>
            <w:tcW w:w="1440" w:type="dxa"/>
            <w:shd w:val="clear" w:color="auto" w:fill="auto"/>
          </w:tcPr>
          <w:p w14:paraId="022A285F"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37.0</w:t>
            </w:r>
          </w:p>
        </w:tc>
        <w:tc>
          <w:tcPr>
            <w:tcW w:w="1440" w:type="dxa"/>
            <w:shd w:val="clear" w:color="auto" w:fill="auto"/>
          </w:tcPr>
          <w:p w14:paraId="265B87B9"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39.0</w:t>
            </w:r>
          </w:p>
        </w:tc>
      </w:tr>
      <w:tr w:rsidR="008D5F87" w:rsidRPr="00DC36FD" w14:paraId="189836AC" w14:textId="77777777" w:rsidTr="009C2BEE">
        <w:trPr>
          <w:trHeight w:val="269"/>
          <w:jc w:val="center"/>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auto"/>
          </w:tcPr>
          <w:p w14:paraId="67C17F8F" w14:textId="77777777" w:rsidR="008D5F87" w:rsidRPr="00DC36FD" w:rsidRDefault="008D5F87" w:rsidP="00EB3FC1">
            <w:pPr>
              <w:jc w:val="both"/>
              <w:rPr>
                <w:rFonts w:ascii="Arial" w:hAnsi="Arial" w:cs="Arial"/>
                <w:b/>
                <w:i w:val="0"/>
                <w:color w:val="000000"/>
                <w:sz w:val="18"/>
                <w:szCs w:val="18"/>
                <w:lang w:val="en-GB"/>
              </w:rPr>
            </w:pPr>
            <w:r w:rsidRPr="00DC36FD">
              <w:rPr>
                <w:rFonts w:ascii="Arial" w:hAnsi="Arial" w:cs="Arial"/>
                <w:b/>
                <w:i w:val="0"/>
                <w:color w:val="000000"/>
                <w:sz w:val="18"/>
                <w:szCs w:val="18"/>
                <w:lang w:val="en-GB"/>
              </w:rPr>
              <w:t>Field Peas</w:t>
            </w:r>
          </w:p>
        </w:tc>
        <w:tc>
          <w:tcPr>
            <w:tcW w:w="1424" w:type="dxa"/>
            <w:shd w:val="clear" w:color="auto" w:fill="auto"/>
          </w:tcPr>
          <w:p w14:paraId="05477E6C" w14:textId="77777777" w:rsidR="008D5F87" w:rsidRPr="00DC36FD" w:rsidRDefault="008D5F87" w:rsidP="00D44E8B">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18"/>
                <w:szCs w:val="18"/>
                <w:lang w:val="en-GB"/>
              </w:rPr>
            </w:pPr>
            <w:r w:rsidRPr="00DC36FD">
              <w:rPr>
                <w:rFonts w:ascii="Arial" w:eastAsia="Calibri" w:hAnsi="Arial" w:cs="Arial"/>
                <w:sz w:val="18"/>
                <w:szCs w:val="18"/>
                <w:lang w:val="en-GB"/>
              </w:rPr>
              <w:t>42.0</w:t>
            </w:r>
          </w:p>
        </w:tc>
        <w:tc>
          <w:tcPr>
            <w:tcW w:w="1440" w:type="dxa"/>
            <w:shd w:val="clear" w:color="auto" w:fill="auto"/>
          </w:tcPr>
          <w:p w14:paraId="22C9B72C" w14:textId="77777777" w:rsidR="008D5F87" w:rsidRPr="00DC36FD" w:rsidRDefault="008D5F87" w:rsidP="00D44E8B">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33.1</w:t>
            </w:r>
          </w:p>
        </w:tc>
        <w:tc>
          <w:tcPr>
            <w:tcW w:w="1440" w:type="dxa"/>
            <w:shd w:val="clear" w:color="auto" w:fill="auto"/>
          </w:tcPr>
          <w:p w14:paraId="2F84E6D5" w14:textId="77777777" w:rsidR="008D5F87" w:rsidRPr="00DC36FD" w:rsidRDefault="008D5F87" w:rsidP="00D44E8B">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29.9</w:t>
            </w:r>
          </w:p>
        </w:tc>
      </w:tr>
    </w:tbl>
    <w:p w14:paraId="22762E4A" w14:textId="77777777" w:rsidR="008D5F87" w:rsidRPr="00DC36FD" w:rsidRDefault="008D5F87" w:rsidP="001445C8">
      <w:pPr>
        <w:pStyle w:val="Footnote"/>
        <w:rPr>
          <w:lang w:val="en-GB"/>
        </w:rPr>
      </w:pPr>
    </w:p>
    <w:p w14:paraId="509ABD93" w14:textId="0656D7F6" w:rsidR="00B11754" w:rsidRDefault="00B11754" w:rsidP="001445C8">
      <w:pPr>
        <w:pStyle w:val="Footnote"/>
        <w:rPr>
          <w:lang w:val="en-GB"/>
        </w:rPr>
      </w:pPr>
      <w:r>
        <w:rPr>
          <w:lang w:val="en-GB"/>
        </w:rPr>
        <w:t xml:space="preserve">Note: </w:t>
      </w:r>
      <w:r w:rsidR="003E4C21">
        <w:rPr>
          <w:lang w:val="en-GB"/>
        </w:rPr>
        <w:t xml:space="preserve">1 acre = 0.4 hectares; </w:t>
      </w:r>
      <w:r>
        <w:rPr>
          <w:lang w:val="en-GB"/>
        </w:rPr>
        <w:t xml:space="preserve">1 bushel = 35 litres; </w:t>
      </w:r>
      <w:r w:rsidR="003E4C21">
        <w:rPr>
          <w:lang w:val="en-GB"/>
        </w:rPr>
        <w:t>1 tonne of canola = 44.092 bushels, 1 tonne of wheat = 36.744 bushels, and 1 tonne of peas = 36.744 bushels</w:t>
      </w:r>
    </w:p>
    <w:p w14:paraId="2ADAA380" w14:textId="5EF33224" w:rsidR="008D5F87" w:rsidRPr="00DC36FD" w:rsidRDefault="008D5F87" w:rsidP="001445C8">
      <w:pPr>
        <w:pStyle w:val="Footnote"/>
        <w:rPr>
          <w:lang w:val="en-GB"/>
        </w:rPr>
      </w:pPr>
      <w:r w:rsidRPr="00DC36FD">
        <w:rPr>
          <w:lang w:val="en-GB"/>
        </w:rPr>
        <w:t xml:space="preserve">Source: Created by the authors using Government of Saskatchewan, </w:t>
      </w:r>
      <w:r w:rsidR="00681189">
        <w:rPr>
          <w:lang w:val="en-GB"/>
        </w:rPr>
        <w:t>“</w:t>
      </w:r>
      <w:r w:rsidRPr="00DC36FD">
        <w:rPr>
          <w:lang w:val="en-GB"/>
        </w:rPr>
        <w:t xml:space="preserve">Crop Yields by </w:t>
      </w:r>
      <w:r w:rsidR="00681189">
        <w:rPr>
          <w:lang w:val="en-GB"/>
        </w:rPr>
        <w:t xml:space="preserve">Rural </w:t>
      </w:r>
      <w:r w:rsidRPr="00DC36FD">
        <w:rPr>
          <w:lang w:val="en-GB"/>
        </w:rPr>
        <w:t>Municipality,</w:t>
      </w:r>
      <w:r w:rsidR="00681189">
        <w:rPr>
          <w:lang w:val="en-GB"/>
        </w:rPr>
        <w:t>”</w:t>
      </w:r>
      <w:r w:rsidRPr="00DC36FD">
        <w:rPr>
          <w:lang w:val="en-GB"/>
        </w:rPr>
        <w:t xml:space="preserve"> accessed September 20, 2016, www.agriculture.gov.sk.ca/rmyields</w:t>
      </w:r>
      <w:r w:rsidR="00681189" w:rsidRPr="00681189">
        <w:rPr>
          <w:lang w:val="en-GB"/>
        </w:rPr>
        <w:t>;</w:t>
      </w:r>
      <w:r w:rsidRPr="00DC36FD">
        <w:rPr>
          <w:lang w:val="en-GB"/>
        </w:rPr>
        <w:t xml:space="preserve"> and </w:t>
      </w:r>
      <w:r w:rsidR="00681189" w:rsidRPr="00DC36FD">
        <w:rPr>
          <w:lang w:val="en-GB"/>
        </w:rPr>
        <w:t xml:space="preserve">Government of Saskatchewan, </w:t>
      </w:r>
      <w:r w:rsidR="00681189">
        <w:rPr>
          <w:lang w:val="en-GB"/>
        </w:rPr>
        <w:t>“</w:t>
      </w:r>
      <w:r w:rsidRPr="00DC36FD">
        <w:rPr>
          <w:lang w:val="en-GB"/>
        </w:rPr>
        <w:t>Government of Saskatchewan, Crop Report for the Period November 15 to 21, 2016,</w:t>
      </w:r>
      <w:r w:rsidR="00681189">
        <w:rPr>
          <w:lang w:val="en-GB"/>
        </w:rPr>
        <w:t>”</w:t>
      </w:r>
      <w:r w:rsidRPr="00DC36FD">
        <w:rPr>
          <w:lang w:val="en-GB"/>
        </w:rPr>
        <w:t xml:space="preserve"> </w:t>
      </w:r>
      <w:r w:rsidR="00681189">
        <w:rPr>
          <w:lang w:val="en-GB"/>
        </w:rPr>
        <w:t xml:space="preserve">press release, November 24, 2016, </w:t>
      </w:r>
      <w:r w:rsidRPr="00DC36FD">
        <w:rPr>
          <w:lang w:val="en-GB"/>
        </w:rPr>
        <w:t>accessed January 15, 2017,</w:t>
      </w:r>
      <w:r w:rsidR="00DC36FD" w:rsidRPr="00DC36FD">
        <w:rPr>
          <w:lang w:val="en-GB"/>
        </w:rPr>
        <w:t xml:space="preserve"> </w:t>
      </w:r>
      <w:r w:rsidRPr="00DC36FD">
        <w:rPr>
          <w:lang w:val="en-GB"/>
        </w:rPr>
        <w:t>https://www.saskatchewan.ca/government/news-and-media/2016/november/24/final-crop-report.</w:t>
      </w:r>
    </w:p>
    <w:p w14:paraId="20BF3E71" w14:textId="77777777" w:rsidR="008D5F87" w:rsidRPr="00DC36FD" w:rsidRDefault="008D5F87" w:rsidP="001445C8">
      <w:pPr>
        <w:pStyle w:val="Footnote"/>
        <w:rPr>
          <w:b/>
          <w:lang w:val="en-GB"/>
        </w:rPr>
      </w:pPr>
    </w:p>
    <w:p w14:paraId="63CB3FD4" w14:textId="77777777" w:rsidR="008D5F87" w:rsidRPr="00DC36FD" w:rsidRDefault="008D5F87" w:rsidP="001445C8">
      <w:pPr>
        <w:pStyle w:val="Footnote"/>
        <w:rPr>
          <w:b/>
          <w:lang w:val="en-GB"/>
        </w:rPr>
      </w:pPr>
    </w:p>
    <w:p w14:paraId="075C8C80" w14:textId="10396A82" w:rsidR="008D5F87" w:rsidRPr="00DC36FD" w:rsidRDefault="008D5F87" w:rsidP="001445C8">
      <w:pPr>
        <w:pStyle w:val="ExhibitHeading"/>
        <w:rPr>
          <w:lang w:val="en-GB"/>
        </w:rPr>
      </w:pPr>
      <w:r w:rsidRPr="00DC36FD">
        <w:rPr>
          <w:lang w:val="en-GB"/>
        </w:rPr>
        <w:t xml:space="preserve">EXHIBIT 3: SASKATCHEWAN </w:t>
      </w:r>
      <w:r w:rsidR="004871B9">
        <w:rPr>
          <w:lang w:val="en-GB"/>
        </w:rPr>
        <w:t xml:space="preserve">Year-to-year </w:t>
      </w:r>
      <w:r w:rsidRPr="00DC36FD">
        <w:rPr>
          <w:lang w:val="en-GB"/>
        </w:rPr>
        <w:t>LAND PRICE INCREASES</w:t>
      </w:r>
      <w:r w:rsidR="00DB6BE1">
        <w:rPr>
          <w:lang w:val="en-GB"/>
        </w:rPr>
        <w:t>, 2006–2015</w:t>
      </w:r>
      <w:r w:rsidRPr="00DC36FD">
        <w:rPr>
          <w:lang w:val="en-GB"/>
        </w:rPr>
        <w:t xml:space="preserve"> </w:t>
      </w:r>
    </w:p>
    <w:p w14:paraId="0486ADDF" w14:textId="77777777" w:rsidR="001445C8" w:rsidRPr="00DC36FD" w:rsidRDefault="001445C8" w:rsidP="001445C8">
      <w:pPr>
        <w:pStyle w:val="ExhibitHeading"/>
        <w:rPr>
          <w:lang w:val="en-GB"/>
        </w:rPr>
      </w:pPr>
    </w:p>
    <w:tbl>
      <w:tblPr>
        <w:tblStyle w:val="PlainTable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
        <w:gridCol w:w="20"/>
        <w:gridCol w:w="989"/>
        <w:gridCol w:w="928"/>
        <w:gridCol w:w="928"/>
        <w:gridCol w:w="928"/>
        <w:gridCol w:w="928"/>
        <w:gridCol w:w="928"/>
        <w:gridCol w:w="928"/>
        <w:gridCol w:w="928"/>
        <w:gridCol w:w="928"/>
      </w:tblGrid>
      <w:tr w:rsidR="009C2BEE" w:rsidRPr="00DC36FD" w14:paraId="70ED2B45" w14:textId="77777777" w:rsidTr="009C2BEE">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100" w:firstRow="0" w:lastRow="0" w:firstColumn="1" w:lastColumn="0" w:oddVBand="0" w:evenVBand="0" w:oddHBand="0" w:evenHBand="0" w:firstRowFirstColumn="1" w:firstRowLastColumn="0" w:lastRowFirstColumn="0" w:lastRowLastColumn="0"/>
            <w:tcW w:w="927" w:type="dxa"/>
            <w:tcBorders>
              <w:bottom w:val="none" w:sz="0" w:space="0" w:color="auto"/>
              <w:right w:val="none" w:sz="0" w:space="0" w:color="auto"/>
            </w:tcBorders>
            <w:shd w:val="clear" w:color="auto" w:fill="auto"/>
          </w:tcPr>
          <w:p w14:paraId="3DC8ED4C" w14:textId="77777777" w:rsidR="008D5F87" w:rsidRPr="00DC36FD" w:rsidRDefault="008D5F87" w:rsidP="00D44E8B">
            <w:pPr>
              <w:jc w:val="center"/>
              <w:rPr>
                <w:rFonts w:ascii="Arial" w:hAnsi="Arial" w:cs="Arial"/>
                <w:b/>
                <w:i w:val="0"/>
                <w:iCs w:val="0"/>
                <w:color w:val="000000"/>
                <w:sz w:val="18"/>
                <w:szCs w:val="18"/>
                <w:lang w:val="en-GB"/>
              </w:rPr>
            </w:pPr>
            <w:r w:rsidRPr="00DC36FD">
              <w:rPr>
                <w:rFonts w:ascii="Arial" w:hAnsi="Arial" w:cs="Arial"/>
                <w:b/>
                <w:i w:val="0"/>
                <w:color w:val="000000"/>
                <w:sz w:val="18"/>
                <w:szCs w:val="18"/>
                <w:lang w:val="en-GB"/>
              </w:rPr>
              <w:t>2006</w:t>
            </w:r>
          </w:p>
        </w:tc>
        <w:tc>
          <w:tcPr>
            <w:tcW w:w="1009" w:type="dxa"/>
            <w:gridSpan w:val="2"/>
            <w:tcBorders>
              <w:bottom w:val="none" w:sz="0" w:space="0" w:color="auto"/>
            </w:tcBorders>
            <w:shd w:val="clear" w:color="auto" w:fill="auto"/>
          </w:tcPr>
          <w:p w14:paraId="604459AB" w14:textId="77777777" w:rsidR="008D5F87" w:rsidRPr="00DC36FD" w:rsidRDefault="008D5F87" w:rsidP="00D44E8B">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iCs w:val="0"/>
                <w:color w:val="000000"/>
                <w:sz w:val="18"/>
                <w:szCs w:val="18"/>
                <w:lang w:val="en-GB"/>
              </w:rPr>
            </w:pPr>
            <w:r w:rsidRPr="00DC36FD">
              <w:rPr>
                <w:rFonts w:ascii="Arial" w:hAnsi="Arial" w:cs="Arial"/>
                <w:b/>
                <w:i w:val="0"/>
                <w:color w:val="000000"/>
                <w:sz w:val="18"/>
                <w:szCs w:val="18"/>
                <w:lang w:val="en-GB"/>
              </w:rPr>
              <w:t>2007</w:t>
            </w:r>
          </w:p>
        </w:tc>
        <w:tc>
          <w:tcPr>
            <w:tcW w:w="928" w:type="dxa"/>
            <w:tcBorders>
              <w:bottom w:val="none" w:sz="0" w:space="0" w:color="auto"/>
            </w:tcBorders>
            <w:shd w:val="clear" w:color="auto" w:fill="auto"/>
          </w:tcPr>
          <w:p w14:paraId="3930E5E4" w14:textId="77777777" w:rsidR="008D5F87" w:rsidRPr="00DC36FD" w:rsidRDefault="008D5F87" w:rsidP="00D44E8B">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iCs w:val="0"/>
                <w:color w:val="000000"/>
                <w:sz w:val="18"/>
                <w:szCs w:val="18"/>
                <w:lang w:val="en-GB"/>
              </w:rPr>
            </w:pPr>
            <w:r w:rsidRPr="00DC36FD">
              <w:rPr>
                <w:rFonts w:ascii="Arial" w:hAnsi="Arial" w:cs="Arial"/>
                <w:b/>
                <w:i w:val="0"/>
                <w:color w:val="000000"/>
                <w:sz w:val="18"/>
                <w:szCs w:val="18"/>
                <w:lang w:val="en-GB"/>
              </w:rPr>
              <w:t>2008</w:t>
            </w:r>
          </w:p>
        </w:tc>
        <w:tc>
          <w:tcPr>
            <w:tcW w:w="928" w:type="dxa"/>
            <w:tcBorders>
              <w:bottom w:val="none" w:sz="0" w:space="0" w:color="auto"/>
            </w:tcBorders>
            <w:shd w:val="clear" w:color="auto" w:fill="auto"/>
          </w:tcPr>
          <w:p w14:paraId="23F01D78" w14:textId="77777777" w:rsidR="008D5F87" w:rsidRPr="00DC36FD" w:rsidRDefault="008D5F87" w:rsidP="00D44E8B">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iCs w:val="0"/>
                <w:color w:val="000000"/>
                <w:sz w:val="18"/>
                <w:szCs w:val="18"/>
                <w:lang w:val="en-GB"/>
              </w:rPr>
            </w:pPr>
            <w:r w:rsidRPr="00DC36FD">
              <w:rPr>
                <w:rFonts w:ascii="Arial" w:hAnsi="Arial" w:cs="Arial"/>
                <w:b/>
                <w:i w:val="0"/>
                <w:color w:val="000000"/>
                <w:sz w:val="18"/>
                <w:szCs w:val="18"/>
                <w:lang w:val="en-GB"/>
              </w:rPr>
              <w:t>2009</w:t>
            </w:r>
          </w:p>
        </w:tc>
        <w:tc>
          <w:tcPr>
            <w:tcW w:w="928" w:type="dxa"/>
            <w:tcBorders>
              <w:bottom w:val="none" w:sz="0" w:space="0" w:color="auto"/>
            </w:tcBorders>
            <w:shd w:val="clear" w:color="auto" w:fill="auto"/>
          </w:tcPr>
          <w:p w14:paraId="4DA73C91" w14:textId="77777777" w:rsidR="008D5F87" w:rsidRPr="00DC36FD" w:rsidRDefault="008D5F87" w:rsidP="00D44E8B">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iCs w:val="0"/>
                <w:color w:val="000000"/>
                <w:sz w:val="18"/>
                <w:szCs w:val="18"/>
                <w:lang w:val="en-GB"/>
              </w:rPr>
            </w:pPr>
            <w:r w:rsidRPr="00DC36FD">
              <w:rPr>
                <w:rFonts w:ascii="Arial" w:hAnsi="Arial" w:cs="Arial"/>
                <w:b/>
                <w:i w:val="0"/>
                <w:color w:val="000000"/>
                <w:sz w:val="18"/>
                <w:szCs w:val="18"/>
                <w:lang w:val="en-GB"/>
              </w:rPr>
              <w:t>2010</w:t>
            </w:r>
          </w:p>
        </w:tc>
        <w:tc>
          <w:tcPr>
            <w:tcW w:w="928" w:type="dxa"/>
            <w:tcBorders>
              <w:bottom w:val="none" w:sz="0" w:space="0" w:color="auto"/>
            </w:tcBorders>
            <w:shd w:val="clear" w:color="auto" w:fill="auto"/>
          </w:tcPr>
          <w:p w14:paraId="23CB5474" w14:textId="77777777" w:rsidR="008D5F87" w:rsidRPr="00DC36FD" w:rsidRDefault="008D5F87" w:rsidP="00D44E8B">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iCs w:val="0"/>
                <w:color w:val="000000"/>
                <w:sz w:val="18"/>
                <w:szCs w:val="18"/>
                <w:lang w:val="en-GB"/>
              </w:rPr>
            </w:pPr>
            <w:r w:rsidRPr="00DC36FD">
              <w:rPr>
                <w:rFonts w:ascii="Arial" w:hAnsi="Arial" w:cs="Arial"/>
                <w:b/>
                <w:i w:val="0"/>
                <w:color w:val="000000"/>
                <w:sz w:val="18"/>
                <w:szCs w:val="18"/>
                <w:lang w:val="en-GB"/>
              </w:rPr>
              <w:t>2011</w:t>
            </w:r>
          </w:p>
        </w:tc>
        <w:tc>
          <w:tcPr>
            <w:tcW w:w="928" w:type="dxa"/>
            <w:tcBorders>
              <w:bottom w:val="none" w:sz="0" w:space="0" w:color="auto"/>
            </w:tcBorders>
            <w:shd w:val="clear" w:color="auto" w:fill="auto"/>
          </w:tcPr>
          <w:p w14:paraId="4A73AE72" w14:textId="77777777" w:rsidR="008D5F87" w:rsidRPr="00DC36FD" w:rsidRDefault="008D5F87" w:rsidP="00D44E8B">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iCs w:val="0"/>
                <w:color w:val="000000"/>
                <w:sz w:val="18"/>
                <w:szCs w:val="18"/>
                <w:lang w:val="en-GB"/>
              </w:rPr>
            </w:pPr>
            <w:r w:rsidRPr="00DC36FD">
              <w:rPr>
                <w:rFonts w:ascii="Arial" w:hAnsi="Arial" w:cs="Arial"/>
                <w:b/>
                <w:i w:val="0"/>
                <w:color w:val="000000"/>
                <w:sz w:val="18"/>
                <w:szCs w:val="18"/>
                <w:lang w:val="en-GB"/>
              </w:rPr>
              <w:t>2012</w:t>
            </w:r>
          </w:p>
        </w:tc>
        <w:tc>
          <w:tcPr>
            <w:tcW w:w="928" w:type="dxa"/>
            <w:tcBorders>
              <w:bottom w:val="none" w:sz="0" w:space="0" w:color="auto"/>
            </w:tcBorders>
            <w:shd w:val="clear" w:color="auto" w:fill="auto"/>
          </w:tcPr>
          <w:p w14:paraId="52F8301E" w14:textId="77777777" w:rsidR="008D5F87" w:rsidRPr="00DC36FD" w:rsidRDefault="008D5F87" w:rsidP="00D44E8B">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iCs w:val="0"/>
                <w:color w:val="000000"/>
                <w:sz w:val="18"/>
                <w:szCs w:val="18"/>
                <w:lang w:val="en-GB"/>
              </w:rPr>
            </w:pPr>
            <w:r w:rsidRPr="00DC36FD">
              <w:rPr>
                <w:rFonts w:ascii="Arial" w:hAnsi="Arial" w:cs="Arial"/>
                <w:b/>
                <w:i w:val="0"/>
                <w:color w:val="000000"/>
                <w:sz w:val="18"/>
                <w:szCs w:val="18"/>
                <w:lang w:val="en-GB"/>
              </w:rPr>
              <w:t>2013</w:t>
            </w:r>
          </w:p>
        </w:tc>
        <w:tc>
          <w:tcPr>
            <w:tcW w:w="928" w:type="dxa"/>
            <w:tcBorders>
              <w:bottom w:val="none" w:sz="0" w:space="0" w:color="auto"/>
            </w:tcBorders>
            <w:shd w:val="clear" w:color="auto" w:fill="auto"/>
          </w:tcPr>
          <w:p w14:paraId="165ACD89" w14:textId="77777777" w:rsidR="008D5F87" w:rsidRPr="00DC36FD" w:rsidRDefault="008D5F87" w:rsidP="00D44E8B">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iCs w:val="0"/>
                <w:color w:val="000000"/>
                <w:sz w:val="18"/>
                <w:szCs w:val="18"/>
                <w:lang w:val="en-GB"/>
              </w:rPr>
            </w:pPr>
            <w:r w:rsidRPr="00DC36FD">
              <w:rPr>
                <w:rFonts w:ascii="Arial" w:hAnsi="Arial" w:cs="Arial"/>
                <w:b/>
                <w:i w:val="0"/>
                <w:color w:val="000000"/>
                <w:sz w:val="18"/>
                <w:szCs w:val="18"/>
                <w:lang w:val="en-GB"/>
              </w:rPr>
              <w:t>2014</w:t>
            </w:r>
          </w:p>
        </w:tc>
        <w:tc>
          <w:tcPr>
            <w:tcW w:w="928" w:type="dxa"/>
            <w:tcBorders>
              <w:bottom w:val="none" w:sz="0" w:space="0" w:color="auto"/>
            </w:tcBorders>
            <w:shd w:val="clear" w:color="auto" w:fill="auto"/>
          </w:tcPr>
          <w:p w14:paraId="348BC40E" w14:textId="77777777" w:rsidR="008D5F87" w:rsidRPr="00DC36FD" w:rsidRDefault="008D5F87" w:rsidP="00D44E8B">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iCs w:val="0"/>
                <w:color w:val="000000"/>
                <w:sz w:val="18"/>
                <w:szCs w:val="18"/>
                <w:lang w:val="en-GB"/>
              </w:rPr>
            </w:pPr>
            <w:r w:rsidRPr="00DC36FD">
              <w:rPr>
                <w:rFonts w:ascii="Arial" w:hAnsi="Arial" w:cs="Arial"/>
                <w:b/>
                <w:i w:val="0"/>
                <w:color w:val="000000"/>
                <w:sz w:val="18"/>
                <w:szCs w:val="18"/>
                <w:lang w:val="en-GB"/>
              </w:rPr>
              <w:t>2015</w:t>
            </w:r>
          </w:p>
        </w:tc>
      </w:tr>
      <w:tr w:rsidR="009C2BEE" w:rsidRPr="00DC36FD" w14:paraId="22332702" w14:textId="77777777" w:rsidTr="009C2BE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947" w:type="dxa"/>
            <w:gridSpan w:val="2"/>
            <w:tcBorders>
              <w:right w:val="none" w:sz="0" w:space="0" w:color="auto"/>
            </w:tcBorders>
            <w:shd w:val="clear" w:color="auto" w:fill="auto"/>
          </w:tcPr>
          <w:p w14:paraId="55A1DC45" w14:textId="77777777" w:rsidR="008D5F87" w:rsidRPr="00DC36FD" w:rsidRDefault="008D5F87" w:rsidP="00D44E8B">
            <w:pPr>
              <w:jc w:val="center"/>
              <w:rPr>
                <w:rFonts w:ascii="Arial" w:hAnsi="Arial" w:cs="Arial"/>
                <w:i w:val="0"/>
                <w:iCs w:val="0"/>
                <w:sz w:val="18"/>
                <w:szCs w:val="18"/>
                <w:lang w:val="en-GB"/>
              </w:rPr>
            </w:pPr>
            <w:r w:rsidRPr="00DC36FD">
              <w:rPr>
                <w:rFonts w:ascii="Arial" w:hAnsi="Arial" w:cs="Arial"/>
                <w:i w:val="0"/>
                <w:sz w:val="18"/>
                <w:szCs w:val="18"/>
                <w:lang w:val="en-GB"/>
              </w:rPr>
              <w:t>2.1%</w:t>
            </w:r>
          </w:p>
        </w:tc>
        <w:tc>
          <w:tcPr>
            <w:tcW w:w="989" w:type="dxa"/>
            <w:shd w:val="clear" w:color="auto" w:fill="auto"/>
          </w:tcPr>
          <w:p w14:paraId="3D8C139D"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11.0%</w:t>
            </w:r>
          </w:p>
        </w:tc>
        <w:tc>
          <w:tcPr>
            <w:tcW w:w="928" w:type="dxa"/>
            <w:shd w:val="clear" w:color="auto" w:fill="auto"/>
          </w:tcPr>
          <w:p w14:paraId="41D951FD"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14.9%</w:t>
            </w:r>
          </w:p>
        </w:tc>
        <w:tc>
          <w:tcPr>
            <w:tcW w:w="928" w:type="dxa"/>
            <w:shd w:val="clear" w:color="auto" w:fill="auto"/>
          </w:tcPr>
          <w:p w14:paraId="492B3C96"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6.9%</w:t>
            </w:r>
          </w:p>
        </w:tc>
        <w:tc>
          <w:tcPr>
            <w:tcW w:w="928" w:type="dxa"/>
            <w:shd w:val="clear" w:color="auto" w:fill="auto"/>
          </w:tcPr>
          <w:p w14:paraId="1AC032FE"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5.7%</w:t>
            </w:r>
          </w:p>
        </w:tc>
        <w:tc>
          <w:tcPr>
            <w:tcW w:w="928" w:type="dxa"/>
            <w:shd w:val="clear" w:color="auto" w:fill="auto"/>
          </w:tcPr>
          <w:p w14:paraId="5A70EE59"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22.9%</w:t>
            </w:r>
          </w:p>
        </w:tc>
        <w:tc>
          <w:tcPr>
            <w:tcW w:w="928" w:type="dxa"/>
            <w:shd w:val="clear" w:color="auto" w:fill="auto"/>
          </w:tcPr>
          <w:p w14:paraId="3974AF63"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19.7%</w:t>
            </w:r>
          </w:p>
        </w:tc>
        <w:tc>
          <w:tcPr>
            <w:tcW w:w="928" w:type="dxa"/>
            <w:shd w:val="clear" w:color="auto" w:fill="auto"/>
          </w:tcPr>
          <w:p w14:paraId="4C7947C0"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28.5%</w:t>
            </w:r>
          </w:p>
        </w:tc>
        <w:tc>
          <w:tcPr>
            <w:tcW w:w="928" w:type="dxa"/>
            <w:shd w:val="clear" w:color="auto" w:fill="auto"/>
          </w:tcPr>
          <w:p w14:paraId="63C261F8"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18.7%</w:t>
            </w:r>
          </w:p>
        </w:tc>
        <w:tc>
          <w:tcPr>
            <w:tcW w:w="928" w:type="dxa"/>
            <w:shd w:val="clear" w:color="auto" w:fill="auto"/>
          </w:tcPr>
          <w:p w14:paraId="33356367" w14:textId="77777777" w:rsidR="008D5F87" w:rsidRPr="00DC36FD" w:rsidRDefault="008D5F87" w:rsidP="00D44E8B">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9.4%</w:t>
            </w:r>
          </w:p>
        </w:tc>
      </w:tr>
    </w:tbl>
    <w:p w14:paraId="1F6C413C" w14:textId="77777777" w:rsidR="008D5F87" w:rsidRPr="00DC36FD" w:rsidRDefault="008D5F87" w:rsidP="002D6A9B">
      <w:pPr>
        <w:pStyle w:val="Footnote"/>
        <w:rPr>
          <w:lang w:val="en-GB"/>
        </w:rPr>
      </w:pPr>
    </w:p>
    <w:p w14:paraId="170F558B" w14:textId="72E03C9D" w:rsidR="008D5F87" w:rsidRPr="00DC36FD" w:rsidRDefault="008D5F87" w:rsidP="001445C8">
      <w:pPr>
        <w:pStyle w:val="Footnote"/>
        <w:rPr>
          <w:lang w:val="en-GB"/>
        </w:rPr>
      </w:pPr>
      <w:r w:rsidRPr="00DC36FD">
        <w:rPr>
          <w:lang w:val="en-GB"/>
        </w:rPr>
        <w:t xml:space="preserve">Source: Created by the authors using Farm Credit Canada, </w:t>
      </w:r>
      <w:r w:rsidRPr="00DC36FD">
        <w:rPr>
          <w:i/>
          <w:lang w:val="en-GB"/>
        </w:rPr>
        <w:t>1985</w:t>
      </w:r>
      <w:r w:rsidR="00681189">
        <w:rPr>
          <w:i/>
          <w:lang w:val="en-GB"/>
        </w:rPr>
        <w:t>–</w:t>
      </w:r>
      <w:r w:rsidRPr="00DC36FD">
        <w:rPr>
          <w:i/>
          <w:lang w:val="en-GB"/>
        </w:rPr>
        <w:t>2015 Historic Farm Values</w:t>
      </w:r>
      <w:r w:rsidRPr="00DC36FD">
        <w:rPr>
          <w:lang w:val="en-GB"/>
        </w:rPr>
        <w:t xml:space="preserve">, 2, April 11, </w:t>
      </w:r>
      <w:r w:rsidR="00681189">
        <w:rPr>
          <w:lang w:val="en-GB"/>
        </w:rPr>
        <w:t>2016</w:t>
      </w:r>
      <w:r w:rsidRPr="00DC36FD">
        <w:rPr>
          <w:lang w:val="en-GB"/>
        </w:rPr>
        <w:t>, accessed September 22, 2016, https://www.fcc-fac.ca/fcc/about-fcc/corporate-profile/reports/farmland-values/farmland-values-historic-2015.pdf.</w:t>
      </w:r>
    </w:p>
    <w:p w14:paraId="4251788F" w14:textId="77777777" w:rsidR="008D5F87" w:rsidRPr="00DC36FD" w:rsidRDefault="008D5F87" w:rsidP="001445C8">
      <w:pPr>
        <w:pStyle w:val="Footnote"/>
        <w:rPr>
          <w:sz w:val="16"/>
          <w:lang w:val="en-GB"/>
        </w:rPr>
      </w:pPr>
    </w:p>
    <w:p w14:paraId="4A8ACF3B" w14:textId="77777777" w:rsidR="008D5F87" w:rsidRPr="00DC36FD" w:rsidRDefault="008D5F87" w:rsidP="001445C8">
      <w:pPr>
        <w:pStyle w:val="Footnote"/>
        <w:rPr>
          <w:sz w:val="16"/>
          <w:lang w:val="en-GB"/>
        </w:rPr>
      </w:pPr>
    </w:p>
    <w:p w14:paraId="4A3CD6A3" w14:textId="2F9D225B" w:rsidR="008D5F87" w:rsidRPr="00DC36FD" w:rsidRDefault="008D5F87" w:rsidP="001445C8">
      <w:pPr>
        <w:pStyle w:val="ExhibitHeading"/>
        <w:rPr>
          <w:lang w:val="en-GB"/>
        </w:rPr>
      </w:pPr>
      <w:r w:rsidRPr="00DC36FD">
        <w:rPr>
          <w:lang w:val="en-GB"/>
        </w:rPr>
        <w:t>EXHIBIT 4: BIN HAULING TRAILER</w:t>
      </w:r>
    </w:p>
    <w:p w14:paraId="1B02FAA4" w14:textId="77777777" w:rsidR="001445C8" w:rsidRPr="00DC36FD" w:rsidRDefault="001445C8" w:rsidP="001445C8">
      <w:pPr>
        <w:pStyle w:val="ExhibitHeading"/>
        <w:rPr>
          <w:lang w:val="en-GB"/>
        </w:rPr>
      </w:pPr>
    </w:p>
    <w:p w14:paraId="5C562DBC" w14:textId="77777777" w:rsidR="008D5F87" w:rsidRPr="00DC36FD" w:rsidRDefault="008D5F87" w:rsidP="009C2BEE">
      <w:pPr>
        <w:ind w:left="720"/>
        <w:jc w:val="center"/>
        <w:rPr>
          <w:lang w:val="en-GB"/>
        </w:rPr>
      </w:pPr>
      <w:r w:rsidRPr="00DC36FD">
        <w:rPr>
          <w:noProof/>
          <w:color w:val="336699"/>
        </w:rPr>
        <w:drawing>
          <wp:inline distT="0" distB="0" distL="0" distR="0" wp14:anchorId="7558CC0F" wp14:editId="6A995D4C">
            <wp:extent cx="2166068" cy="1421230"/>
            <wp:effectExtent l="0" t="0" r="5715" b="7620"/>
            <wp:docPr id="13" name="Picture 13" descr="http://www.cim-ltd.ca/images/CIM_Auto_bin_transport_cropped_lg_small.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m-ltd.ca/images/CIM_Auto_bin_transport_cropped_lg_small.jpg">
                      <a:hlinkClick r:id="rId11"/>
                    </pic:cNvPr>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192536" cy="1438596"/>
                    </a:xfrm>
                    <a:prstGeom prst="rect">
                      <a:avLst/>
                    </a:prstGeom>
                    <a:noFill/>
                    <a:ln>
                      <a:noFill/>
                    </a:ln>
                  </pic:spPr>
                </pic:pic>
              </a:graphicData>
            </a:graphic>
          </wp:inline>
        </w:drawing>
      </w:r>
    </w:p>
    <w:p w14:paraId="71255C10" w14:textId="66D88246" w:rsidR="008D5F87" w:rsidRPr="00DC36FD" w:rsidRDefault="008D5F87" w:rsidP="001445C8">
      <w:pPr>
        <w:pStyle w:val="Footnote"/>
        <w:rPr>
          <w:lang w:val="en-GB"/>
        </w:rPr>
      </w:pPr>
      <w:r w:rsidRPr="00DC36FD">
        <w:rPr>
          <w:lang w:val="en-GB"/>
        </w:rPr>
        <w:t xml:space="preserve">Source: CIM Commercial Industrial Manufacturing Ltd., Auto Bin Transport Trailer, accessed September 25, 2016, </w:t>
      </w:r>
      <w:hyperlink r:id="rId14" w:history="1">
        <w:r w:rsidR="00237A79" w:rsidRPr="00237A79">
          <w:rPr>
            <w:lang w:val="en-GB"/>
          </w:rPr>
          <w:t>http://cim-ltd.ca/Auto_Bin_Transport.htm</w:t>
        </w:r>
      </w:hyperlink>
      <w:r w:rsidRPr="00237A79">
        <w:t>.</w:t>
      </w:r>
      <w:r w:rsidR="00237A79">
        <w:rPr>
          <w:lang w:val="en-GB"/>
        </w:rPr>
        <w:t xml:space="preserve"> Used with permission.</w:t>
      </w:r>
    </w:p>
    <w:p w14:paraId="3742D3B3" w14:textId="6BE5225D" w:rsidR="008D5F87" w:rsidRPr="00DC36FD" w:rsidRDefault="008D5F87" w:rsidP="001445C8">
      <w:pPr>
        <w:pStyle w:val="ExhibitHeading"/>
        <w:rPr>
          <w:lang w:val="en-GB"/>
        </w:rPr>
      </w:pPr>
      <w:r w:rsidRPr="00DC36FD">
        <w:rPr>
          <w:lang w:val="en-GB"/>
        </w:rPr>
        <w:lastRenderedPageBreak/>
        <w:t>EXHIBIT 5: “SUPER B TRAIN” GRAIN HAULING TRAILER</w:t>
      </w:r>
    </w:p>
    <w:p w14:paraId="19C05957" w14:textId="77777777" w:rsidR="008D5F87" w:rsidRPr="00DC36FD" w:rsidRDefault="008D5F87" w:rsidP="009C2BEE">
      <w:pPr>
        <w:ind w:left="720"/>
        <w:jc w:val="center"/>
        <w:rPr>
          <w:lang w:val="en-GB"/>
        </w:rPr>
      </w:pPr>
      <w:r w:rsidRPr="00DC36FD">
        <w:rPr>
          <w:noProof/>
          <w:color w:val="0000FF"/>
          <w:sz w:val="18"/>
          <w:szCs w:val="18"/>
        </w:rPr>
        <w:drawing>
          <wp:inline distT="0" distB="0" distL="0" distR="0" wp14:anchorId="189D2493" wp14:editId="5F90C775">
            <wp:extent cx="2350439" cy="1063629"/>
            <wp:effectExtent l="0" t="0" r="0" b="3175"/>
            <wp:docPr id="14" name="Picture 14" descr="http://www.doepker.com/public/uploads/products_photo/Classic_Products_Page.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epker.com/public/uploads/products_photo/Classic_Products_Page.jpg">
                      <a:hlinkClick r:id="rId15"/>
                    </pic:cNvPr>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65073" cy="1070251"/>
                    </a:xfrm>
                    <a:prstGeom prst="rect">
                      <a:avLst/>
                    </a:prstGeom>
                    <a:noFill/>
                    <a:ln>
                      <a:noFill/>
                    </a:ln>
                  </pic:spPr>
                </pic:pic>
              </a:graphicData>
            </a:graphic>
          </wp:inline>
        </w:drawing>
      </w:r>
    </w:p>
    <w:p w14:paraId="033013E2" w14:textId="634D8A37" w:rsidR="008D5F87" w:rsidRPr="00DC36FD" w:rsidRDefault="008D5F87" w:rsidP="001445C8">
      <w:pPr>
        <w:pStyle w:val="Footnote"/>
        <w:rPr>
          <w:lang w:val="en-GB"/>
        </w:rPr>
      </w:pPr>
      <w:r w:rsidRPr="00DC36FD">
        <w:rPr>
          <w:lang w:val="en-GB"/>
        </w:rPr>
        <w:t xml:space="preserve">Source: </w:t>
      </w:r>
      <w:proofErr w:type="spellStart"/>
      <w:r w:rsidRPr="00DC36FD">
        <w:rPr>
          <w:lang w:val="en-GB"/>
        </w:rPr>
        <w:t>Doepker</w:t>
      </w:r>
      <w:proofErr w:type="spellEnd"/>
      <w:r w:rsidRPr="00DC36FD">
        <w:rPr>
          <w:lang w:val="en-GB"/>
        </w:rPr>
        <w:t xml:space="preserve">, Classic Open End Super B, accessed September 25, 2016 </w:t>
      </w:r>
      <w:bookmarkStart w:id="0" w:name="_GoBack"/>
      <w:r w:rsidR="00237A79" w:rsidRPr="00237A79">
        <w:fldChar w:fldCharType="begin"/>
      </w:r>
      <w:r w:rsidR="00237A79" w:rsidRPr="00237A79">
        <w:instrText xml:space="preserve"> HYPERLINK "http://www.doepker.com/products/category/agriculture" </w:instrText>
      </w:r>
      <w:r w:rsidR="00237A79" w:rsidRPr="00237A79">
        <w:fldChar w:fldCharType="separate"/>
      </w:r>
      <w:r w:rsidR="00237A79" w:rsidRPr="00237A79">
        <w:rPr>
          <w:lang w:val="en-GB"/>
        </w:rPr>
        <w:t>http://www.doepker.com/products/category/agriculture</w:t>
      </w:r>
      <w:r w:rsidR="00237A79" w:rsidRPr="00237A79">
        <w:fldChar w:fldCharType="end"/>
      </w:r>
      <w:bookmarkEnd w:id="0"/>
      <w:r w:rsidRPr="00DC36FD">
        <w:rPr>
          <w:lang w:val="en-GB"/>
        </w:rPr>
        <w:t>.</w:t>
      </w:r>
      <w:r w:rsidR="00237A79">
        <w:rPr>
          <w:lang w:val="en-GB"/>
        </w:rPr>
        <w:t xml:space="preserve"> Used with permission.</w:t>
      </w:r>
    </w:p>
    <w:p w14:paraId="66777E32" w14:textId="77777777" w:rsidR="008D5F87" w:rsidRPr="00DC36FD" w:rsidRDefault="008D5F87" w:rsidP="001445C8">
      <w:pPr>
        <w:pStyle w:val="Footnote"/>
        <w:rPr>
          <w:b/>
          <w:lang w:val="en-GB"/>
        </w:rPr>
      </w:pPr>
    </w:p>
    <w:p w14:paraId="1FD4E060" w14:textId="2395D4B1" w:rsidR="00BC1E22" w:rsidRPr="00DC36FD" w:rsidRDefault="00BC1E22" w:rsidP="0065177F">
      <w:pPr>
        <w:pStyle w:val="Footnote"/>
        <w:rPr>
          <w:lang w:val="en-GB"/>
        </w:rPr>
      </w:pPr>
    </w:p>
    <w:p w14:paraId="44B08842" w14:textId="08233BC5" w:rsidR="00BC1E22" w:rsidRPr="00DC36FD" w:rsidRDefault="00BC1E22" w:rsidP="00BC1E22">
      <w:pPr>
        <w:pStyle w:val="ExhibitHeading"/>
        <w:rPr>
          <w:lang w:val="en-GB"/>
        </w:rPr>
      </w:pPr>
      <w:r w:rsidRPr="00DC36FD">
        <w:rPr>
          <w:lang w:val="en-GB"/>
        </w:rPr>
        <w:t xml:space="preserve">EXHIBIT </w:t>
      </w:r>
      <w:r w:rsidR="00D1089F" w:rsidRPr="00DC36FD">
        <w:rPr>
          <w:lang w:val="en-GB"/>
        </w:rPr>
        <w:t>6</w:t>
      </w:r>
      <w:r w:rsidRPr="00DC36FD">
        <w:rPr>
          <w:lang w:val="en-GB"/>
        </w:rPr>
        <w:t>: MEAKIN FARMS INC. STATEMENT</w:t>
      </w:r>
      <w:r w:rsidR="00681189">
        <w:rPr>
          <w:lang w:val="en-GB"/>
        </w:rPr>
        <w:t>s</w:t>
      </w:r>
      <w:r w:rsidRPr="00DC36FD">
        <w:rPr>
          <w:lang w:val="en-GB"/>
        </w:rPr>
        <w:t xml:space="preserve"> OF EARNINGS</w:t>
      </w:r>
      <w:r w:rsidR="00681189">
        <w:rPr>
          <w:lang w:val="en-GB"/>
        </w:rPr>
        <w:t>, 2014–2016</w:t>
      </w:r>
      <w:r w:rsidRPr="00DC36FD">
        <w:rPr>
          <w:lang w:val="en-GB"/>
        </w:rPr>
        <w:t xml:space="preserve"> </w:t>
      </w:r>
      <w:r w:rsidR="00C072EC">
        <w:rPr>
          <w:lang w:val="en-GB"/>
        </w:rPr>
        <w:t>(CA$)</w:t>
      </w:r>
    </w:p>
    <w:p w14:paraId="43682D75" w14:textId="77777777" w:rsidR="00BC1E22" w:rsidRPr="00DC36FD" w:rsidRDefault="00BC1E22" w:rsidP="00BC1E22">
      <w:pPr>
        <w:pStyle w:val="ExhibitHeading"/>
        <w:rPr>
          <w:lang w:val="en-GB"/>
        </w:rPr>
      </w:pPr>
    </w:p>
    <w:tbl>
      <w:tblPr>
        <w:tblW w:w="8677" w:type="dxa"/>
        <w:jc w:val="center"/>
        <w:tblLook w:val="04A0" w:firstRow="1" w:lastRow="0" w:firstColumn="1" w:lastColumn="0" w:noHBand="0" w:noVBand="1"/>
      </w:tblPr>
      <w:tblGrid>
        <w:gridCol w:w="498"/>
        <w:gridCol w:w="575"/>
        <w:gridCol w:w="1082"/>
        <w:gridCol w:w="900"/>
        <w:gridCol w:w="777"/>
        <w:gridCol w:w="1015"/>
        <w:gridCol w:w="574"/>
        <w:gridCol w:w="1093"/>
        <w:gridCol w:w="574"/>
        <w:gridCol w:w="1015"/>
        <w:gridCol w:w="574"/>
      </w:tblGrid>
      <w:tr w:rsidR="00582680" w:rsidRPr="00DC36FD" w14:paraId="0685679B" w14:textId="77777777" w:rsidTr="0065177F">
        <w:trPr>
          <w:trHeight w:val="273"/>
          <w:jc w:val="center"/>
        </w:trPr>
        <w:tc>
          <w:tcPr>
            <w:tcW w:w="498" w:type="dxa"/>
            <w:tcBorders>
              <w:top w:val="single" w:sz="4" w:space="0" w:color="auto"/>
              <w:left w:val="single" w:sz="4" w:space="0" w:color="auto"/>
              <w:bottom w:val="nil"/>
              <w:right w:val="nil"/>
            </w:tcBorders>
            <w:shd w:val="clear" w:color="auto" w:fill="auto"/>
            <w:noWrap/>
            <w:vAlign w:val="bottom"/>
            <w:hideMark/>
          </w:tcPr>
          <w:p w14:paraId="49DB3C94"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575" w:type="dxa"/>
            <w:tcBorders>
              <w:top w:val="single" w:sz="4" w:space="0" w:color="auto"/>
              <w:left w:val="nil"/>
              <w:bottom w:val="nil"/>
              <w:right w:val="nil"/>
            </w:tcBorders>
            <w:shd w:val="clear" w:color="auto" w:fill="auto"/>
            <w:noWrap/>
            <w:vAlign w:val="bottom"/>
            <w:hideMark/>
          </w:tcPr>
          <w:p w14:paraId="7AAFE715"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1082" w:type="dxa"/>
            <w:tcBorders>
              <w:top w:val="single" w:sz="4" w:space="0" w:color="auto"/>
              <w:left w:val="nil"/>
              <w:bottom w:val="nil"/>
              <w:right w:val="nil"/>
            </w:tcBorders>
            <w:shd w:val="clear" w:color="auto" w:fill="auto"/>
            <w:noWrap/>
            <w:vAlign w:val="bottom"/>
            <w:hideMark/>
          </w:tcPr>
          <w:p w14:paraId="4941115B"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900" w:type="dxa"/>
            <w:tcBorders>
              <w:top w:val="single" w:sz="4" w:space="0" w:color="auto"/>
              <w:left w:val="nil"/>
              <w:bottom w:val="nil"/>
              <w:right w:val="nil"/>
            </w:tcBorders>
            <w:shd w:val="clear" w:color="auto" w:fill="auto"/>
            <w:noWrap/>
            <w:vAlign w:val="bottom"/>
            <w:hideMark/>
          </w:tcPr>
          <w:p w14:paraId="6043AC4B"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777" w:type="dxa"/>
            <w:tcBorders>
              <w:top w:val="single" w:sz="4" w:space="0" w:color="auto"/>
              <w:left w:val="nil"/>
              <w:bottom w:val="nil"/>
              <w:right w:val="nil"/>
            </w:tcBorders>
            <w:shd w:val="clear" w:color="auto" w:fill="auto"/>
            <w:noWrap/>
            <w:vAlign w:val="bottom"/>
            <w:hideMark/>
          </w:tcPr>
          <w:p w14:paraId="1F35AA17"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1015" w:type="dxa"/>
            <w:tcBorders>
              <w:top w:val="single" w:sz="4" w:space="0" w:color="auto"/>
              <w:left w:val="nil"/>
              <w:bottom w:val="nil"/>
              <w:right w:val="nil"/>
            </w:tcBorders>
            <w:shd w:val="clear" w:color="auto" w:fill="auto"/>
            <w:noWrap/>
            <w:vAlign w:val="bottom"/>
            <w:hideMark/>
          </w:tcPr>
          <w:p w14:paraId="68CAFCF5" w14:textId="77777777" w:rsidR="00582680" w:rsidRPr="00DC36FD" w:rsidRDefault="00582680" w:rsidP="00582680">
            <w:pPr>
              <w:jc w:val="center"/>
              <w:rPr>
                <w:rFonts w:ascii="Arial" w:hAnsi="Arial" w:cs="Arial"/>
                <w:b/>
                <w:bCs/>
                <w:color w:val="000000"/>
                <w:sz w:val="18"/>
                <w:szCs w:val="18"/>
                <w:lang w:val="en-GB"/>
              </w:rPr>
            </w:pPr>
            <w:r w:rsidRPr="00DC36FD">
              <w:rPr>
                <w:rFonts w:ascii="Arial" w:hAnsi="Arial" w:cs="Arial"/>
                <w:b/>
                <w:bCs/>
                <w:color w:val="000000"/>
                <w:sz w:val="18"/>
                <w:szCs w:val="18"/>
                <w:lang w:val="en-GB"/>
              </w:rPr>
              <w:t>2016</w:t>
            </w:r>
          </w:p>
        </w:tc>
        <w:tc>
          <w:tcPr>
            <w:tcW w:w="574" w:type="dxa"/>
            <w:tcBorders>
              <w:top w:val="single" w:sz="4" w:space="0" w:color="auto"/>
              <w:left w:val="nil"/>
              <w:bottom w:val="nil"/>
              <w:right w:val="nil"/>
            </w:tcBorders>
            <w:shd w:val="clear" w:color="auto" w:fill="auto"/>
            <w:noWrap/>
            <w:vAlign w:val="bottom"/>
            <w:hideMark/>
          </w:tcPr>
          <w:p w14:paraId="4E574395" w14:textId="77777777" w:rsidR="00582680" w:rsidRPr="00DC36FD" w:rsidRDefault="00582680" w:rsidP="00582680">
            <w:pPr>
              <w:jc w:val="center"/>
              <w:rPr>
                <w:rFonts w:ascii="Arial" w:hAnsi="Arial" w:cs="Arial"/>
                <w:b/>
                <w:bCs/>
                <w:color w:val="000000"/>
                <w:sz w:val="18"/>
                <w:szCs w:val="18"/>
                <w:lang w:val="en-GB"/>
              </w:rPr>
            </w:pPr>
            <w:r w:rsidRPr="00DC36FD">
              <w:rPr>
                <w:rFonts w:ascii="Arial" w:hAnsi="Arial" w:cs="Arial"/>
                <w:b/>
                <w:bCs/>
                <w:color w:val="000000"/>
                <w:sz w:val="18"/>
                <w:szCs w:val="18"/>
                <w:lang w:val="en-GB"/>
              </w:rPr>
              <w:t> </w:t>
            </w:r>
          </w:p>
        </w:tc>
        <w:tc>
          <w:tcPr>
            <w:tcW w:w="1093" w:type="dxa"/>
            <w:tcBorders>
              <w:top w:val="single" w:sz="4" w:space="0" w:color="auto"/>
              <w:left w:val="nil"/>
              <w:bottom w:val="nil"/>
              <w:right w:val="nil"/>
            </w:tcBorders>
            <w:shd w:val="clear" w:color="auto" w:fill="auto"/>
            <w:noWrap/>
            <w:vAlign w:val="bottom"/>
            <w:hideMark/>
          </w:tcPr>
          <w:p w14:paraId="04C87948" w14:textId="77777777" w:rsidR="00582680" w:rsidRPr="00DC36FD" w:rsidRDefault="00582680" w:rsidP="00582680">
            <w:pPr>
              <w:jc w:val="center"/>
              <w:rPr>
                <w:rFonts w:ascii="Arial" w:hAnsi="Arial" w:cs="Arial"/>
                <w:b/>
                <w:bCs/>
                <w:color w:val="000000"/>
                <w:sz w:val="18"/>
                <w:szCs w:val="18"/>
                <w:lang w:val="en-GB"/>
              </w:rPr>
            </w:pPr>
            <w:r w:rsidRPr="00DC36FD">
              <w:rPr>
                <w:rFonts w:ascii="Arial" w:hAnsi="Arial" w:cs="Arial"/>
                <w:b/>
                <w:bCs/>
                <w:color w:val="000000"/>
                <w:sz w:val="18"/>
                <w:szCs w:val="18"/>
                <w:lang w:val="en-GB"/>
              </w:rPr>
              <w:t>2015</w:t>
            </w:r>
          </w:p>
        </w:tc>
        <w:tc>
          <w:tcPr>
            <w:tcW w:w="574" w:type="dxa"/>
            <w:tcBorders>
              <w:top w:val="single" w:sz="4" w:space="0" w:color="auto"/>
              <w:left w:val="nil"/>
              <w:bottom w:val="nil"/>
              <w:right w:val="nil"/>
            </w:tcBorders>
            <w:shd w:val="clear" w:color="auto" w:fill="auto"/>
            <w:noWrap/>
            <w:vAlign w:val="bottom"/>
            <w:hideMark/>
          </w:tcPr>
          <w:p w14:paraId="19E183F1" w14:textId="77777777" w:rsidR="00582680" w:rsidRPr="00DC36FD" w:rsidRDefault="00582680" w:rsidP="00582680">
            <w:pPr>
              <w:jc w:val="center"/>
              <w:rPr>
                <w:rFonts w:ascii="Arial" w:hAnsi="Arial" w:cs="Arial"/>
                <w:b/>
                <w:bCs/>
                <w:color w:val="000000"/>
                <w:sz w:val="18"/>
                <w:szCs w:val="18"/>
                <w:lang w:val="en-GB"/>
              </w:rPr>
            </w:pPr>
            <w:r w:rsidRPr="00DC36FD">
              <w:rPr>
                <w:rFonts w:ascii="Arial" w:hAnsi="Arial" w:cs="Arial"/>
                <w:b/>
                <w:bCs/>
                <w:color w:val="000000"/>
                <w:sz w:val="18"/>
                <w:szCs w:val="18"/>
                <w:lang w:val="en-GB"/>
              </w:rPr>
              <w:t> </w:t>
            </w:r>
          </w:p>
        </w:tc>
        <w:tc>
          <w:tcPr>
            <w:tcW w:w="1015" w:type="dxa"/>
            <w:tcBorders>
              <w:top w:val="single" w:sz="4" w:space="0" w:color="auto"/>
              <w:left w:val="nil"/>
              <w:bottom w:val="nil"/>
              <w:right w:val="nil"/>
            </w:tcBorders>
            <w:shd w:val="clear" w:color="auto" w:fill="auto"/>
            <w:noWrap/>
            <w:vAlign w:val="bottom"/>
            <w:hideMark/>
          </w:tcPr>
          <w:p w14:paraId="7B8F84A5" w14:textId="77777777" w:rsidR="00582680" w:rsidRPr="00DC36FD" w:rsidRDefault="00582680" w:rsidP="00582680">
            <w:pPr>
              <w:jc w:val="center"/>
              <w:rPr>
                <w:rFonts w:ascii="Arial" w:hAnsi="Arial" w:cs="Arial"/>
                <w:b/>
                <w:bCs/>
                <w:color w:val="000000"/>
                <w:sz w:val="18"/>
                <w:szCs w:val="18"/>
                <w:lang w:val="en-GB"/>
              </w:rPr>
            </w:pPr>
            <w:r w:rsidRPr="00DC36FD">
              <w:rPr>
                <w:rFonts w:ascii="Arial" w:hAnsi="Arial" w:cs="Arial"/>
                <w:b/>
                <w:bCs/>
                <w:color w:val="000000"/>
                <w:sz w:val="18"/>
                <w:szCs w:val="18"/>
                <w:lang w:val="en-GB"/>
              </w:rPr>
              <w:t>2014</w:t>
            </w:r>
          </w:p>
        </w:tc>
        <w:tc>
          <w:tcPr>
            <w:tcW w:w="574" w:type="dxa"/>
            <w:tcBorders>
              <w:top w:val="single" w:sz="4" w:space="0" w:color="auto"/>
              <w:left w:val="nil"/>
              <w:bottom w:val="nil"/>
              <w:right w:val="single" w:sz="4" w:space="0" w:color="auto"/>
            </w:tcBorders>
            <w:shd w:val="clear" w:color="auto" w:fill="auto"/>
            <w:noWrap/>
            <w:vAlign w:val="bottom"/>
            <w:hideMark/>
          </w:tcPr>
          <w:p w14:paraId="4BE0B4D0"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B1377C" w:rsidRPr="00DC36FD" w14:paraId="15B5ACCD" w14:textId="77777777" w:rsidTr="00B1377C">
        <w:trPr>
          <w:trHeight w:val="273"/>
          <w:jc w:val="center"/>
        </w:trPr>
        <w:tc>
          <w:tcPr>
            <w:tcW w:w="1073" w:type="dxa"/>
            <w:gridSpan w:val="2"/>
            <w:tcBorders>
              <w:top w:val="nil"/>
              <w:left w:val="single" w:sz="4" w:space="0" w:color="auto"/>
              <w:bottom w:val="nil"/>
              <w:right w:val="nil"/>
            </w:tcBorders>
            <w:shd w:val="clear" w:color="auto" w:fill="auto"/>
            <w:noWrap/>
            <w:vAlign w:val="bottom"/>
            <w:hideMark/>
          </w:tcPr>
          <w:p w14:paraId="43A46C5E" w14:textId="419B1C32" w:rsidR="00B1377C" w:rsidRPr="00DC36FD" w:rsidRDefault="00B1377C" w:rsidP="00582680">
            <w:pPr>
              <w:rPr>
                <w:rFonts w:ascii="Arial" w:hAnsi="Arial" w:cs="Arial"/>
                <w:b/>
                <w:bCs/>
                <w:color w:val="000000"/>
                <w:sz w:val="18"/>
                <w:szCs w:val="18"/>
                <w:lang w:val="en-GB"/>
              </w:rPr>
            </w:pPr>
            <w:r>
              <w:rPr>
                <w:rFonts w:ascii="Arial" w:hAnsi="Arial" w:cs="Arial"/>
                <w:b/>
                <w:bCs/>
                <w:color w:val="000000"/>
                <w:sz w:val="18"/>
                <w:szCs w:val="18"/>
                <w:lang w:val="en-GB"/>
              </w:rPr>
              <w:t>Acreage</w:t>
            </w:r>
          </w:p>
        </w:tc>
        <w:tc>
          <w:tcPr>
            <w:tcW w:w="1082" w:type="dxa"/>
            <w:tcBorders>
              <w:top w:val="nil"/>
              <w:left w:val="nil"/>
              <w:bottom w:val="nil"/>
              <w:right w:val="nil"/>
            </w:tcBorders>
            <w:shd w:val="clear" w:color="auto" w:fill="auto"/>
            <w:noWrap/>
            <w:vAlign w:val="bottom"/>
            <w:hideMark/>
          </w:tcPr>
          <w:p w14:paraId="15DE3DC0" w14:textId="77777777" w:rsidR="00B1377C" w:rsidRPr="00DC36FD" w:rsidRDefault="00B1377C" w:rsidP="00582680">
            <w:pPr>
              <w:rPr>
                <w:lang w:val="en-GB"/>
              </w:rPr>
            </w:pPr>
          </w:p>
        </w:tc>
        <w:tc>
          <w:tcPr>
            <w:tcW w:w="900" w:type="dxa"/>
            <w:tcBorders>
              <w:top w:val="nil"/>
              <w:left w:val="nil"/>
              <w:bottom w:val="nil"/>
              <w:right w:val="nil"/>
            </w:tcBorders>
            <w:shd w:val="clear" w:color="auto" w:fill="auto"/>
            <w:noWrap/>
            <w:vAlign w:val="bottom"/>
            <w:hideMark/>
          </w:tcPr>
          <w:p w14:paraId="09F39BEF" w14:textId="77777777" w:rsidR="00B1377C" w:rsidRPr="00DC36FD" w:rsidRDefault="00B1377C" w:rsidP="00582680">
            <w:pPr>
              <w:rPr>
                <w:lang w:val="en-GB"/>
              </w:rPr>
            </w:pPr>
          </w:p>
        </w:tc>
        <w:tc>
          <w:tcPr>
            <w:tcW w:w="777" w:type="dxa"/>
            <w:tcBorders>
              <w:top w:val="nil"/>
              <w:left w:val="nil"/>
              <w:bottom w:val="nil"/>
              <w:right w:val="nil"/>
            </w:tcBorders>
            <w:shd w:val="clear" w:color="auto" w:fill="auto"/>
            <w:noWrap/>
            <w:vAlign w:val="bottom"/>
            <w:hideMark/>
          </w:tcPr>
          <w:p w14:paraId="61B1E79B" w14:textId="77777777" w:rsidR="00B1377C" w:rsidRPr="00DC36FD" w:rsidRDefault="00B1377C" w:rsidP="00582680">
            <w:pPr>
              <w:rPr>
                <w:lang w:val="en-GB"/>
              </w:rPr>
            </w:pPr>
          </w:p>
        </w:tc>
        <w:tc>
          <w:tcPr>
            <w:tcW w:w="1015" w:type="dxa"/>
            <w:tcBorders>
              <w:top w:val="nil"/>
              <w:left w:val="nil"/>
              <w:bottom w:val="nil"/>
              <w:right w:val="nil"/>
            </w:tcBorders>
            <w:shd w:val="clear" w:color="auto" w:fill="auto"/>
            <w:noWrap/>
            <w:vAlign w:val="bottom"/>
            <w:hideMark/>
          </w:tcPr>
          <w:p w14:paraId="010EFF9A" w14:textId="77777777" w:rsidR="00B1377C" w:rsidRPr="00DC36FD" w:rsidRDefault="00B1377C" w:rsidP="00582680">
            <w:pPr>
              <w:jc w:val="center"/>
              <w:rPr>
                <w:rFonts w:ascii="Arial" w:hAnsi="Arial" w:cs="Arial"/>
                <w:b/>
                <w:bCs/>
                <w:i/>
                <w:iCs/>
                <w:color w:val="000000"/>
                <w:sz w:val="18"/>
                <w:szCs w:val="18"/>
                <w:lang w:val="en-GB"/>
              </w:rPr>
            </w:pPr>
            <w:r w:rsidRPr="00DC36FD">
              <w:rPr>
                <w:rFonts w:ascii="Arial" w:hAnsi="Arial" w:cs="Arial"/>
                <w:b/>
                <w:bCs/>
                <w:i/>
                <w:iCs/>
                <w:color w:val="000000"/>
                <w:sz w:val="18"/>
                <w:szCs w:val="18"/>
                <w:lang w:val="en-GB"/>
              </w:rPr>
              <w:t>3,200</w:t>
            </w:r>
          </w:p>
        </w:tc>
        <w:tc>
          <w:tcPr>
            <w:tcW w:w="574" w:type="dxa"/>
            <w:tcBorders>
              <w:top w:val="nil"/>
              <w:left w:val="nil"/>
              <w:bottom w:val="nil"/>
              <w:right w:val="nil"/>
            </w:tcBorders>
            <w:shd w:val="clear" w:color="auto" w:fill="auto"/>
            <w:noWrap/>
            <w:vAlign w:val="bottom"/>
            <w:hideMark/>
          </w:tcPr>
          <w:p w14:paraId="377065B4" w14:textId="77777777" w:rsidR="00B1377C" w:rsidRPr="00DC36FD" w:rsidRDefault="00B1377C" w:rsidP="00582680">
            <w:pPr>
              <w:jc w:val="center"/>
              <w:rPr>
                <w:rFonts w:ascii="Arial" w:hAnsi="Arial" w:cs="Arial"/>
                <w:b/>
                <w:bCs/>
                <w:i/>
                <w:iCs/>
                <w:color w:val="000000"/>
                <w:sz w:val="18"/>
                <w:szCs w:val="18"/>
                <w:lang w:val="en-GB"/>
              </w:rPr>
            </w:pPr>
          </w:p>
        </w:tc>
        <w:tc>
          <w:tcPr>
            <w:tcW w:w="1093" w:type="dxa"/>
            <w:tcBorders>
              <w:top w:val="nil"/>
              <w:left w:val="nil"/>
              <w:bottom w:val="nil"/>
              <w:right w:val="nil"/>
            </w:tcBorders>
            <w:shd w:val="clear" w:color="auto" w:fill="auto"/>
            <w:noWrap/>
            <w:vAlign w:val="bottom"/>
            <w:hideMark/>
          </w:tcPr>
          <w:p w14:paraId="6DFA6B0D" w14:textId="77777777" w:rsidR="00B1377C" w:rsidRPr="00DC36FD" w:rsidRDefault="00B1377C" w:rsidP="00582680">
            <w:pPr>
              <w:jc w:val="center"/>
              <w:rPr>
                <w:rFonts w:ascii="Arial" w:hAnsi="Arial" w:cs="Arial"/>
                <w:b/>
                <w:bCs/>
                <w:i/>
                <w:iCs/>
                <w:color w:val="000000"/>
                <w:sz w:val="18"/>
                <w:szCs w:val="18"/>
                <w:lang w:val="en-GB"/>
              </w:rPr>
            </w:pPr>
            <w:r w:rsidRPr="00DC36FD">
              <w:rPr>
                <w:rFonts w:ascii="Arial" w:hAnsi="Arial" w:cs="Arial"/>
                <w:b/>
                <w:bCs/>
                <w:i/>
                <w:iCs/>
                <w:color w:val="000000"/>
                <w:sz w:val="18"/>
                <w:szCs w:val="18"/>
                <w:lang w:val="en-GB"/>
              </w:rPr>
              <w:t>3,840</w:t>
            </w:r>
          </w:p>
        </w:tc>
        <w:tc>
          <w:tcPr>
            <w:tcW w:w="574" w:type="dxa"/>
            <w:tcBorders>
              <w:top w:val="nil"/>
              <w:left w:val="nil"/>
              <w:bottom w:val="nil"/>
              <w:right w:val="nil"/>
            </w:tcBorders>
            <w:shd w:val="clear" w:color="auto" w:fill="auto"/>
            <w:noWrap/>
            <w:vAlign w:val="bottom"/>
            <w:hideMark/>
          </w:tcPr>
          <w:p w14:paraId="3AE9D406" w14:textId="77777777" w:rsidR="00B1377C" w:rsidRPr="00DC36FD" w:rsidRDefault="00B1377C" w:rsidP="00582680">
            <w:pPr>
              <w:jc w:val="center"/>
              <w:rPr>
                <w:rFonts w:ascii="Arial" w:hAnsi="Arial" w:cs="Arial"/>
                <w:b/>
                <w:bCs/>
                <w:i/>
                <w:iCs/>
                <w:color w:val="000000"/>
                <w:sz w:val="18"/>
                <w:szCs w:val="18"/>
                <w:lang w:val="en-GB"/>
              </w:rPr>
            </w:pPr>
          </w:p>
        </w:tc>
        <w:tc>
          <w:tcPr>
            <w:tcW w:w="1015" w:type="dxa"/>
            <w:tcBorders>
              <w:top w:val="nil"/>
              <w:left w:val="nil"/>
              <w:bottom w:val="nil"/>
              <w:right w:val="nil"/>
            </w:tcBorders>
            <w:shd w:val="clear" w:color="auto" w:fill="auto"/>
            <w:noWrap/>
            <w:vAlign w:val="bottom"/>
            <w:hideMark/>
          </w:tcPr>
          <w:p w14:paraId="3777BF39" w14:textId="77777777" w:rsidR="00B1377C" w:rsidRPr="00DC36FD" w:rsidRDefault="00B1377C" w:rsidP="00582680">
            <w:pPr>
              <w:jc w:val="center"/>
              <w:rPr>
                <w:rFonts w:ascii="Arial" w:hAnsi="Arial" w:cs="Arial"/>
                <w:b/>
                <w:bCs/>
                <w:i/>
                <w:iCs/>
                <w:color w:val="000000"/>
                <w:sz w:val="18"/>
                <w:szCs w:val="18"/>
                <w:lang w:val="en-GB"/>
              </w:rPr>
            </w:pPr>
            <w:r w:rsidRPr="00DC36FD">
              <w:rPr>
                <w:rFonts w:ascii="Arial" w:hAnsi="Arial" w:cs="Arial"/>
                <w:b/>
                <w:bCs/>
                <w:i/>
                <w:iCs/>
                <w:color w:val="000000"/>
                <w:sz w:val="18"/>
                <w:szCs w:val="18"/>
                <w:lang w:val="en-GB"/>
              </w:rPr>
              <w:t>2,480</w:t>
            </w:r>
          </w:p>
        </w:tc>
        <w:tc>
          <w:tcPr>
            <w:tcW w:w="574" w:type="dxa"/>
            <w:tcBorders>
              <w:top w:val="nil"/>
              <w:left w:val="nil"/>
              <w:bottom w:val="nil"/>
              <w:right w:val="single" w:sz="4" w:space="0" w:color="auto"/>
            </w:tcBorders>
            <w:shd w:val="clear" w:color="auto" w:fill="auto"/>
            <w:noWrap/>
            <w:vAlign w:val="bottom"/>
            <w:hideMark/>
          </w:tcPr>
          <w:p w14:paraId="07EFCDC5" w14:textId="77777777" w:rsidR="00B1377C" w:rsidRPr="00DC36FD" w:rsidRDefault="00B1377C"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62FA64BB" w14:textId="77777777" w:rsidTr="0065177F">
        <w:trPr>
          <w:trHeight w:val="273"/>
          <w:jc w:val="center"/>
        </w:trPr>
        <w:tc>
          <w:tcPr>
            <w:tcW w:w="498" w:type="dxa"/>
            <w:tcBorders>
              <w:top w:val="nil"/>
              <w:left w:val="single" w:sz="4" w:space="0" w:color="auto"/>
              <w:bottom w:val="nil"/>
              <w:right w:val="nil"/>
            </w:tcBorders>
            <w:shd w:val="clear" w:color="auto" w:fill="auto"/>
            <w:noWrap/>
            <w:vAlign w:val="bottom"/>
            <w:hideMark/>
          </w:tcPr>
          <w:p w14:paraId="75B2EAB8" w14:textId="77777777" w:rsidR="00582680" w:rsidRPr="00DC36FD" w:rsidRDefault="00582680" w:rsidP="00582680">
            <w:pPr>
              <w:rPr>
                <w:rFonts w:ascii="Arial" w:hAnsi="Arial" w:cs="Arial"/>
                <w:b/>
                <w:bCs/>
                <w:color w:val="000000"/>
                <w:sz w:val="18"/>
                <w:szCs w:val="18"/>
                <w:lang w:val="en-GB"/>
              </w:rPr>
            </w:pPr>
            <w:r w:rsidRPr="00DC36FD">
              <w:rPr>
                <w:rFonts w:ascii="Arial" w:hAnsi="Arial" w:cs="Arial"/>
                <w:b/>
                <w:bCs/>
                <w:color w:val="000000"/>
                <w:sz w:val="18"/>
                <w:szCs w:val="18"/>
                <w:lang w:val="en-GB"/>
              </w:rPr>
              <w:t> </w:t>
            </w:r>
          </w:p>
        </w:tc>
        <w:tc>
          <w:tcPr>
            <w:tcW w:w="575" w:type="dxa"/>
            <w:tcBorders>
              <w:top w:val="nil"/>
              <w:left w:val="nil"/>
              <w:bottom w:val="nil"/>
              <w:right w:val="nil"/>
            </w:tcBorders>
            <w:shd w:val="clear" w:color="auto" w:fill="auto"/>
            <w:noWrap/>
            <w:vAlign w:val="bottom"/>
            <w:hideMark/>
          </w:tcPr>
          <w:p w14:paraId="6BE38229" w14:textId="77777777" w:rsidR="00582680" w:rsidRPr="00DC36FD" w:rsidRDefault="00582680" w:rsidP="00582680">
            <w:pPr>
              <w:rPr>
                <w:rFonts w:ascii="Arial" w:hAnsi="Arial" w:cs="Arial"/>
                <w:b/>
                <w:bCs/>
                <w:color w:val="000000"/>
                <w:sz w:val="18"/>
                <w:szCs w:val="18"/>
                <w:lang w:val="en-GB"/>
              </w:rPr>
            </w:pPr>
          </w:p>
        </w:tc>
        <w:tc>
          <w:tcPr>
            <w:tcW w:w="1082" w:type="dxa"/>
            <w:tcBorders>
              <w:top w:val="nil"/>
              <w:left w:val="nil"/>
              <w:bottom w:val="nil"/>
              <w:right w:val="nil"/>
            </w:tcBorders>
            <w:shd w:val="clear" w:color="auto" w:fill="auto"/>
            <w:noWrap/>
            <w:vAlign w:val="bottom"/>
            <w:hideMark/>
          </w:tcPr>
          <w:p w14:paraId="12055FB3" w14:textId="77777777" w:rsidR="00582680" w:rsidRPr="00DC36FD" w:rsidRDefault="00582680" w:rsidP="00582680">
            <w:pPr>
              <w:rPr>
                <w:lang w:val="en-GB"/>
              </w:rPr>
            </w:pPr>
          </w:p>
        </w:tc>
        <w:tc>
          <w:tcPr>
            <w:tcW w:w="900" w:type="dxa"/>
            <w:tcBorders>
              <w:top w:val="nil"/>
              <w:left w:val="nil"/>
              <w:bottom w:val="nil"/>
              <w:right w:val="nil"/>
            </w:tcBorders>
            <w:shd w:val="clear" w:color="auto" w:fill="auto"/>
            <w:noWrap/>
            <w:vAlign w:val="bottom"/>
            <w:hideMark/>
          </w:tcPr>
          <w:p w14:paraId="733512CB" w14:textId="77777777" w:rsidR="00582680" w:rsidRPr="00DC36FD" w:rsidRDefault="00582680" w:rsidP="00582680">
            <w:pPr>
              <w:rPr>
                <w:lang w:val="en-GB"/>
              </w:rPr>
            </w:pPr>
          </w:p>
        </w:tc>
        <w:tc>
          <w:tcPr>
            <w:tcW w:w="777" w:type="dxa"/>
            <w:tcBorders>
              <w:top w:val="nil"/>
              <w:left w:val="nil"/>
              <w:bottom w:val="nil"/>
              <w:right w:val="nil"/>
            </w:tcBorders>
            <w:shd w:val="clear" w:color="auto" w:fill="auto"/>
            <w:noWrap/>
            <w:vAlign w:val="bottom"/>
            <w:hideMark/>
          </w:tcPr>
          <w:p w14:paraId="561EDB7F"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78D78ABF" w14:textId="769581C1" w:rsidR="00582680" w:rsidRPr="00DC36FD" w:rsidRDefault="00582680" w:rsidP="00582680">
            <w:pPr>
              <w:jc w:val="center"/>
              <w:rPr>
                <w:rFonts w:ascii="Arial" w:hAnsi="Arial" w:cs="Arial"/>
                <w:b/>
                <w:bCs/>
                <w:i/>
                <w:iCs/>
                <w:color w:val="000000"/>
                <w:sz w:val="18"/>
                <w:szCs w:val="18"/>
                <w:lang w:val="en-GB"/>
              </w:rPr>
            </w:pPr>
          </w:p>
        </w:tc>
        <w:tc>
          <w:tcPr>
            <w:tcW w:w="574" w:type="dxa"/>
            <w:tcBorders>
              <w:top w:val="nil"/>
              <w:left w:val="nil"/>
              <w:bottom w:val="nil"/>
              <w:right w:val="nil"/>
            </w:tcBorders>
            <w:shd w:val="clear" w:color="auto" w:fill="auto"/>
            <w:noWrap/>
            <w:vAlign w:val="bottom"/>
            <w:hideMark/>
          </w:tcPr>
          <w:p w14:paraId="7FF2CC00" w14:textId="77777777" w:rsidR="00582680" w:rsidRPr="00DC36FD" w:rsidRDefault="00582680" w:rsidP="00582680">
            <w:pPr>
              <w:jc w:val="center"/>
              <w:rPr>
                <w:rFonts w:ascii="Arial" w:hAnsi="Arial" w:cs="Arial"/>
                <w:b/>
                <w:bCs/>
                <w:i/>
                <w:iCs/>
                <w:color w:val="000000"/>
                <w:sz w:val="18"/>
                <w:szCs w:val="18"/>
                <w:lang w:val="en-GB"/>
              </w:rPr>
            </w:pPr>
          </w:p>
        </w:tc>
        <w:tc>
          <w:tcPr>
            <w:tcW w:w="1093" w:type="dxa"/>
            <w:tcBorders>
              <w:top w:val="nil"/>
              <w:left w:val="nil"/>
              <w:bottom w:val="nil"/>
              <w:right w:val="nil"/>
            </w:tcBorders>
            <w:shd w:val="clear" w:color="auto" w:fill="auto"/>
            <w:noWrap/>
            <w:vAlign w:val="bottom"/>
            <w:hideMark/>
          </w:tcPr>
          <w:p w14:paraId="20891DB4" w14:textId="609FAFEA" w:rsidR="00582680" w:rsidRPr="00DC36FD" w:rsidRDefault="00582680" w:rsidP="00582680">
            <w:pPr>
              <w:jc w:val="center"/>
              <w:rPr>
                <w:rFonts w:ascii="Arial" w:hAnsi="Arial" w:cs="Arial"/>
                <w:b/>
                <w:bCs/>
                <w:i/>
                <w:iCs/>
                <w:color w:val="000000"/>
                <w:sz w:val="18"/>
                <w:szCs w:val="18"/>
                <w:lang w:val="en-GB"/>
              </w:rPr>
            </w:pPr>
          </w:p>
        </w:tc>
        <w:tc>
          <w:tcPr>
            <w:tcW w:w="574" w:type="dxa"/>
            <w:tcBorders>
              <w:top w:val="nil"/>
              <w:left w:val="nil"/>
              <w:bottom w:val="nil"/>
              <w:right w:val="nil"/>
            </w:tcBorders>
            <w:shd w:val="clear" w:color="auto" w:fill="auto"/>
            <w:noWrap/>
            <w:vAlign w:val="bottom"/>
            <w:hideMark/>
          </w:tcPr>
          <w:p w14:paraId="4745460D" w14:textId="77777777" w:rsidR="00582680" w:rsidRPr="00DC36FD" w:rsidRDefault="00582680" w:rsidP="00582680">
            <w:pPr>
              <w:jc w:val="center"/>
              <w:rPr>
                <w:rFonts w:ascii="Arial" w:hAnsi="Arial" w:cs="Arial"/>
                <w:b/>
                <w:bCs/>
                <w:i/>
                <w:iCs/>
                <w:color w:val="000000"/>
                <w:sz w:val="18"/>
                <w:szCs w:val="18"/>
                <w:lang w:val="en-GB"/>
              </w:rPr>
            </w:pPr>
          </w:p>
        </w:tc>
        <w:tc>
          <w:tcPr>
            <w:tcW w:w="1015" w:type="dxa"/>
            <w:tcBorders>
              <w:top w:val="nil"/>
              <w:left w:val="nil"/>
              <w:bottom w:val="nil"/>
              <w:right w:val="nil"/>
            </w:tcBorders>
            <w:shd w:val="clear" w:color="auto" w:fill="auto"/>
            <w:noWrap/>
            <w:vAlign w:val="bottom"/>
            <w:hideMark/>
          </w:tcPr>
          <w:p w14:paraId="479D3B63" w14:textId="692C85F0" w:rsidR="00582680" w:rsidRPr="00DC36FD" w:rsidRDefault="00582680" w:rsidP="00B1377C">
            <w:pPr>
              <w:jc w:val="center"/>
              <w:rPr>
                <w:rFonts w:ascii="Arial" w:hAnsi="Arial" w:cs="Arial"/>
                <w:b/>
                <w:bCs/>
                <w:i/>
                <w:iCs/>
                <w:color w:val="000000"/>
                <w:sz w:val="18"/>
                <w:szCs w:val="18"/>
                <w:lang w:val="en-GB"/>
              </w:rPr>
            </w:pPr>
          </w:p>
        </w:tc>
        <w:tc>
          <w:tcPr>
            <w:tcW w:w="574" w:type="dxa"/>
            <w:tcBorders>
              <w:top w:val="nil"/>
              <w:left w:val="nil"/>
              <w:bottom w:val="nil"/>
              <w:right w:val="single" w:sz="4" w:space="0" w:color="auto"/>
            </w:tcBorders>
            <w:shd w:val="clear" w:color="auto" w:fill="auto"/>
            <w:noWrap/>
            <w:vAlign w:val="bottom"/>
            <w:hideMark/>
          </w:tcPr>
          <w:p w14:paraId="75FC168F"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13AC07C9" w14:textId="77777777" w:rsidTr="0065177F">
        <w:trPr>
          <w:trHeight w:val="273"/>
          <w:jc w:val="center"/>
        </w:trPr>
        <w:tc>
          <w:tcPr>
            <w:tcW w:w="1073" w:type="dxa"/>
            <w:gridSpan w:val="2"/>
            <w:tcBorders>
              <w:top w:val="nil"/>
              <w:left w:val="single" w:sz="4" w:space="0" w:color="auto"/>
              <w:bottom w:val="nil"/>
              <w:right w:val="nil"/>
            </w:tcBorders>
            <w:shd w:val="clear" w:color="auto" w:fill="auto"/>
            <w:noWrap/>
            <w:vAlign w:val="bottom"/>
            <w:hideMark/>
          </w:tcPr>
          <w:p w14:paraId="3AF752A5" w14:textId="77777777" w:rsidR="00582680" w:rsidRPr="00DC36FD" w:rsidRDefault="00582680" w:rsidP="00582680">
            <w:pPr>
              <w:rPr>
                <w:rFonts w:ascii="Arial" w:hAnsi="Arial" w:cs="Arial"/>
                <w:b/>
                <w:bCs/>
                <w:color w:val="000000"/>
                <w:sz w:val="18"/>
                <w:szCs w:val="18"/>
                <w:lang w:val="en-GB"/>
              </w:rPr>
            </w:pPr>
            <w:r w:rsidRPr="00DC36FD">
              <w:rPr>
                <w:rFonts w:ascii="Arial" w:hAnsi="Arial" w:cs="Arial"/>
                <w:b/>
                <w:bCs/>
                <w:color w:val="000000"/>
                <w:sz w:val="18"/>
                <w:szCs w:val="18"/>
                <w:lang w:val="en-GB"/>
              </w:rPr>
              <w:t>Revenue</w:t>
            </w:r>
          </w:p>
        </w:tc>
        <w:tc>
          <w:tcPr>
            <w:tcW w:w="1082" w:type="dxa"/>
            <w:tcBorders>
              <w:top w:val="nil"/>
              <w:left w:val="nil"/>
              <w:bottom w:val="nil"/>
              <w:right w:val="nil"/>
            </w:tcBorders>
            <w:shd w:val="clear" w:color="auto" w:fill="auto"/>
            <w:noWrap/>
            <w:vAlign w:val="bottom"/>
            <w:hideMark/>
          </w:tcPr>
          <w:p w14:paraId="3D2A4F52" w14:textId="77777777" w:rsidR="00582680" w:rsidRPr="00DC36FD" w:rsidRDefault="00582680" w:rsidP="00582680">
            <w:pPr>
              <w:rPr>
                <w:rFonts w:ascii="Arial" w:hAnsi="Arial" w:cs="Arial"/>
                <w:b/>
                <w:bCs/>
                <w:color w:val="000000"/>
                <w:sz w:val="18"/>
                <w:szCs w:val="18"/>
                <w:lang w:val="en-GB"/>
              </w:rPr>
            </w:pPr>
          </w:p>
        </w:tc>
        <w:tc>
          <w:tcPr>
            <w:tcW w:w="900" w:type="dxa"/>
            <w:tcBorders>
              <w:top w:val="nil"/>
              <w:left w:val="nil"/>
              <w:bottom w:val="nil"/>
              <w:right w:val="nil"/>
            </w:tcBorders>
            <w:shd w:val="clear" w:color="auto" w:fill="auto"/>
            <w:noWrap/>
            <w:vAlign w:val="bottom"/>
            <w:hideMark/>
          </w:tcPr>
          <w:p w14:paraId="1B31CC4A" w14:textId="77777777" w:rsidR="00582680" w:rsidRPr="00DC36FD" w:rsidRDefault="00582680" w:rsidP="00582680">
            <w:pPr>
              <w:rPr>
                <w:lang w:val="en-GB"/>
              </w:rPr>
            </w:pPr>
          </w:p>
        </w:tc>
        <w:tc>
          <w:tcPr>
            <w:tcW w:w="777" w:type="dxa"/>
            <w:tcBorders>
              <w:top w:val="nil"/>
              <w:left w:val="nil"/>
              <w:bottom w:val="nil"/>
              <w:right w:val="nil"/>
            </w:tcBorders>
            <w:shd w:val="clear" w:color="auto" w:fill="auto"/>
            <w:noWrap/>
            <w:vAlign w:val="bottom"/>
            <w:hideMark/>
          </w:tcPr>
          <w:p w14:paraId="60770201"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5094D95F" w14:textId="77777777" w:rsidR="00582680" w:rsidRPr="00DC36FD" w:rsidRDefault="00582680" w:rsidP="00582680">
            <w:pPr>
              <w:rPr>
                <w:lang w:val="en-GB"/>
              </w:rPr>
            </w:pPr>
          </w:p>
        </w:tc>
        <w:tc>
          <w:tcPr>
            <w:tcW w:w="574" w:type="dxa"/>
            <w:tcBorders>
              <w:top w:val="nil"/>
              <w:left w:val="nil"/>
              <w:bottom w:val="nil"/>
              <w:right w:val="nil"/>
            </w:tcBorders>
            <w:shd w:val="clear" w:color="auto" w:fill="auto"/>
            <w:noWrap/>
            <w:vAlign w:val="bottom"/>
            <w:hideMark/>
          </w:tcPr>
          <w:p w14:paraId="7963F8C2" w14:textId="77777777" w:rsidR="00582680" w:rsidRPr="00DC36FD" w:rsidRDefault="00582680" w:rsidP="00582680">
            <w:pPr>
              <w:rPr>
                <w:lang w:val="en-GB"/>
              </w:rPr>
            </w:pPr>
          </w:p>
        </w:tc>
        <w:tc>
          <w:tcPr>
            <w:tcW w:w="1093" w:type="dxa"/>
            <w:tcBorders>
              <w:top w:val="nil"/>
              <w:left w:val="nil"/>
              <w:bottom w:val="nil"/>
              <w:right w:val="nil"/>
            </w:tcBorders>
            <w:shd w:val="clear" w:color="auto" w:fill="auto"/>
            <w:noWrap/>
            <w:vAlign w:val="bottom"/>
            <w:hideMark/>
          </w:tcPr>
          <w:p w14:paraId="0B4B3639" w14:textId="77777777" w:rsidR="00582680" w:rsidRPr="00DC36FD" w:rsidRDefault="00582680" w:rsidP="00582680">
            <w:pPr>
              <w:rPr>
                <w:lang w:val="en-GB"/>
              </w:rPr>
            </w:pPr>
          </w:p>
        </w:tc>
        <w:tc>
          <w:tcPr>
            <w:tcW w:w="574" w:type="dxa"/>
            <w:tcBorders>
              <w:top w:val="nil"/>
              <w:left w:val="nil"/>
              <w:bottom w:val="nil"/>
              <w:right w:val="nil"/>
            </w:tcBorders>
            <w:shd w:val="clear" w:color="auto" w:fill="auto"/>
            <w:noWrap/>
            <w:vAlign w:val="bottom"/>
            <w:hideMark/>
          </w:tcPr>
          <w:p w14:paraId="5F6BD30A"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468C1886" w14:textId="77777777" w:rsidR="00582680" w:rsidRPr="00DC36FD" w:rsidRDefault="00582680" w:rsidP="00582680">
            <w:pPr>
              <w:rPr>
                <w:lang w:val="en-GB"/>
              </w:rPr>
            </w:pPr>
          </w:p>
        </w:tc>
        <w:tc>
          <w:tcPr>
            <w:tcW w:w="574" w:type="dxa"/>
            <w:tcBorders>
              <w:top w:val="nil"/>
              <w:left w:val="nil"/>
              <w:bottom w:val="nil"/>
              <w:right w:val="single" w:sz="4" w:space="0" w:color="auto"/>
            </w:tcBorders>
            <w:shd w:val="clear" w:color="auto" w:fill="auto"/>
            <w:noWrap/>
            <w:vAlign w:val="bottom"/>
            <w:hideMark/>
          </w:tcPr>
          <w:p w14:paraId="0795AA1E"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49AC680E" w14:textId="77777777" w:rsidTr="0065177F">
        <w:trPr>
          <w:trHeight w:val="273"/>
          <w:jc w:val="center"/>
        </w:trPr>
        <w:tc>
          <w:tcPr>
            <w:tcW w:w="498" w:type="dxa"/>
            <w:tcBorders>
              <w:top w:val="nil"/>
              <w:left w:val="single" w:sz="4" w:space="0" w:color="auto"/>
              <w:bottom w:val="nil"/>
              <w:right w:val="nil"/>
            </w:tcBorders>
            <w:shd w:val="clear" w:color="auto" w:fill="auto"/>
            <w:noWrap/>
            <w:vAlign w:val="bottom"/>
            <w:hideMark/>
          </w:tcPr>
          <w:p w14:paraId="49B3570D" w14:textId="77777777" w:rsidR="00582680" w:rsidRPr="00DC36FD" w:rsidRDefault="00582680" w:rsidP="00582680">
            <w:pPr>
              <w:rPr>
                <w:rFonts w:ascii="Arial" w:hAnsi="Arial" w:cs="Arial"/>
                <w:b/>
                <w:bCs/>
                <w:color w:val="000000"/>
                <w:sz w:val="18"/>
                <w:szCs w:val="18"/>
                <w:lang w:val="en-GB"/>
              </w:rPr>
            </w:pPr>
            <w:r w:rsidRPr="00DC36FD">
              <w:rPr>
                <w:rFonts w:ascii="Arial" w:hAnsi="Arial" w:cs="Arial"/>
                <w:b/>
                <w:bCs/>
                <w:color w:val="000000"/>
                <w:sz w:val="18"/>
                <w:szCs w:val="18"/>
                <w:lang w:val="en-GB"/>
              </w:rPr>
              <w:t> </w:t>
            </w:r>
          </w:p>
        </w:tc>
        <w:tc>
          <w:tcPr>
            <w:tcW w:w="1657" w:type="dxa"/>
            <w:gridSpan w:val="2"/>
            <w:tcBorders>
              <w:top w:val="nil"/>
              <w:left w:val="nil"/>
              <w:bottom w:val="nil"/>
              <w:right w:val="nil"/>
            </w:tcBorders>
            <w:shd w:val="clear" w:color="auto" w:fill="auto"/>
            <w:noWrap/>
            <w:vAlign w:val="bottom"/>
            <w:hideMark/>
          </w:tcPr>
          <w:p w14:paraId="001F6DEF" w14:textId="61988CC1" w:rsidR="00582680" w:rsidRPr="00DC36FD" w:rsidRDefault="00582680" w:rsidP="0068124C">
            <w:pPr>
              <w:rPr>
                <w:rFonts w:ascii="Arial" w:hAnsi="Arial" w:cs="Arial"/>
                <w:color w:val="000000"/>
                <w:sz w:val="18"/>
                <w:szCs w:val="18"/>
                <w:lang w:val="en-GB"/>
              </w:rPr>
            </w:pPr>
            <w:r w:rsidRPr="00DC36FD">
              <w:rPr>
                <w:rFonts w:ascii="Arial" w:hAnsi="Arial" w:cs="Arial"/>
                <w:color w:val="000000"/>
                <w:sz w:val="18"/>
                <w:szCs w:val="18"/>
                <w:lang w:val="en-GB"/>
              </w:rPr>
              <w:t xml:space="preserve">Crop </w:t>
            </w:r>
            <w:r w:rsidR="00BD22B6">
              <w:rPr>
                <w:rFonts w:ascii="Arial" w:hAnsi="Arial" w:cs="Arial"/>
                <w:color w:val="000000"/>
                <w:sz w:val="18"/>
                <w:szCs w:val="18"/>
                <w:lang w:val="en-GB"/>
              </w:rPr>
              <w:t>r</w:t>
            </w:r>
            <w:r w:rsidRPr="00DC36FD">
              <w:rPr>
                <w:rFonts w:ascii="Arial" w:hAnsi="Arial" w:cs="Arial"/>
                <w:color w:val="000000"/>
                <w:sz w:val="18"/>
                <w:szCs w:val="18"/>
                <w:lang w:val="en-GB"/>
              </w:rPr>
              <w:t>evenue</w:t>
            </w:r>
          </w:p>
        </w:tc>
        <w:tc>
          <w:tcPr>
            <w:tcW w:w="900" w:type="dxa"/>
            <w:tcBorders>
              <w:top w:val="nil"/>
              <w:left w:val="nil"/>
              <w:bottom w:val="nil"/>
              <w:right w:val="nil"/>
            </w:tcBorders>
            <w:shd w:val="clear" w:color="auto" w:fill="auto"/>
            <w:noWrap/>
            <w:vAlign w:val="bottom"/>
            <w:hideMark/>
          </w:tcPr>
          <w:p w14:paraId="50C925FE" w14:textId="77777777" w:rsidR="00582680" w:rsidRPr="00DC36FD" w:rsidRDefault="00582680" w:rsidP="00582680">
            <w:pPr>
              <w:rPr>
                <w:rFonts w:ascii="Arial" w:hAnsi="Arial" w:cs="Arial"/>
                <w:color w:val="000000"/>
                <w:sz w:val="18"/>
                <w:szCs w:val="18"/>
                <w:lang w:val="en-GB"/>
              </w:rPr>
            </w:pPr>
          </w:p>
        </w:tc>
        <w:tc>
          <w:tcPr>
            <w:tcW w:w="777" w:type="dxa"/>
            <w:tcBorders>
              <w:top w:val="nil"/>
              <w:left w:val="nil"/>
              <w:bottom w:val="nil"/>
              <w:right w:val="nil"/>
            </w:tcBorders>
            <w:shd w:val="clear" w:color="auto" w:fill="auto"/>
            <w:noWrap/>
            <w:vAlign w:val="bottom"/>
            <w:hideMark/>
          </w:tcPr>
          <w:p w14:paraId="4FC355A5"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13B97109" w14:textId="77777777" w:rsidR="00582680" w:rsidRPr="00DC36FD" w:rsidRDefault="00582680" w:rsidP="00582680">
            <w:pPr>
              <w:rPr>
                <w:lang w:val="en-GB"/>
              </w:rPr>
            </w:pPr>
          </w:p>
        </w:tc>
        <w:tc>
          <w:tcPr>
            <w:tcW w:w="574" w:type="dxa"/>
            <w:tcBorders>
              <w:top w:val="nil"/>
              <w:left w:val="nil"/>
              <w:bottom w:val="nil"/>
              <w:right w:val="nil"/>
            </w:tcBorders>
            <w:shd w:val="clear" w:color="auto" w:fill="auto"/>
            <w:noWrap/>
            <w:vAlign w:val="bottom"/>
            <w:hideMark/>
          </w:tcPr>
          <w:p w14:paraId="4C3234CB" w14:textId="77777777" w:rsidR="00582680" w:rsidRPr="00DC36FD" w:rsidRDefault="00582680" w:rsidP="00582680">
            <w:pPr>
              <w:rPr>
                <w:lang w:val="en-GB"/>
              </w:rPr>
            </w:pPr>
          </w:p>
        </w:tc>
        <w:tc>
          <w:tcPr>
            <w:tcW w:w="1093" w:type="dxa"/>
            <w:tcBorders>
              <w:top w:val="nil"/>
              <w:left w:val="nil"/>
              <w:bottom w:val="nil"/>
              <w:right w:val="nil"/>
            </w:tcBorders>
            <w:shd w:val="clear" w:color="auto" w:fill="auto"/>
            <w:noWrap/>
            <w:vAlign w:val="bottom"/>
            <w:hideMark/>
          </w:tcPr>
          <w:p w14:paraId="3D20375F" w14:textId="77777777" w:rsidR="00582680" w:rsidRPr="00DC36FD" w:rsidRDefault="00582680" w:rsidP="00582680">
            <w:pPr>
              <w:rPr>
                <w:lang w:val="en-GB"/>
              </w:rPr>
            </w:pPr>
          </w:p>
        </w:tc>
        <w:tc>
          <w:tcPr>
            <w:tcW w:w="574" w:type="dxa"/>
            <w:tcBorders>
              <w:top w:val="nil"/>
              <w:left w:val="nil"/>
              <w:bottom w:val="nil"/>
              <w:right w:val="nil"/>
            </w:tcBorders>
            <w:shd w:val="clear" w:color="auto" w:fill="auto"/>
            <w:noWrap/>
            <w:vAlign w:val="bottom"/>
            <w:hideMark/>
          </w:tcPr>
          <w:p w14:paraId="17F9195F"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4A4F0D87" w14:textId="77777777" w:rsidR="00582680" w:rsidRPr="00DC36FD" w:rsidRDefault="00582680" w:rsidP="00582680">
            <w:pPr>
              <w:rPr>
                <w:lang w:val="en-GB"/>
              </w:rPr>
            </w:pPr>
          </w:p>
        </w:tc>
        <w:tc>
          <w:tcPr>
            <w:tcW w:w="574" w:type="dxa"/>
            <w:tcBorders>
              <w:top w:val="nil"/>
              <w:left w:val="nil"/>
              <w:bottom w:val="nil"/>
              <w:right w:val="single" w:sz="4" w:space="0" w:color="auto"/>
            </w:tcBorders>
            <w:shd w:val="clear" w:color="auto" w:fill="auto"/>
            <w:noWrap/>
            <w:vAlign w:val="bottom"/>
            <w:hideMark/>
          </w:tcPr>
          <w:p w14:paraId="55C6E0D6"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4F185B61" w14:textId="77777777" w:rsidTr="0065177F">
        <w:trPr>
          <w:trHeight w:val="273"/>
          <w:jc w:val="center"/>
        </w:trPr>
        <w:tc>
          <w:tcPr>
            <w:tcW w:w="498" w:type="dxa"/>
            <w:tcBorders>
              <w:top w:val="nil"/>
              <w:left w:val="single" w:sz="4" w:space="0" w:color="auto"/>
              <w:bottom w:val="nil"/>
              <w:right w:val="nil"/>
            </w:tcBorders>
            <w:shd w:val="clear" w:color="auto" w:fill="auto"/>
            <w:noWrap/>
            <w:vAlign w:val="bottom"/>
            <w:hideMark/>
          </w:tcPr>
          <w:p w14:paraId="7620B3A7" w14:textId="77777777" w:rsidR="00582680" w:rsidRPr="00DC36FD" w:rsidRDefault="00582680" w:rsidP="00582680">
            <w:pPr>
              <w:rPr>
                <w:rFonts w:ascii="Arial" w:hAnsi="Arial" w:cs="Arial"/>
                <w:b/>
                <w:bCs/>
                <w:color w:val="000000"/>
                <w:sz w:val="18"/>
                <w:szCs w:val="18"/>
                <w:lang w:val="en-GB"/>
              </w:rPr>
            </w:pPr>
            <w:r w:rsidRPr="00DC36FD">
              <w:rPr>
                <w:rFonts w:ascii="Arial" w:hAnsi="Arial" w:cs="Arial"/>
                <w:b/>
                <w:bCs/>
                <w:color w:val="000000"/>
                <w:sz w:val="18"/>
                <w:szCs w:val="18"/>
                <w:lang w:val="en-GB"/>
              </w:rPr>
              <w:t> </w:t>
            </w:r>
          </w:p>
        </w:tc>
        <w:tc>
          <w:tcPr>
            <w:tcW w:w="575" w:type="dxa"/>
            <w:tcBorders>
              <w:top w:val="nil"/>
              <w:left w:val="nil"/>
              <w:bottom w:val="nil"/>
              <w:right w:val="nil"/>
            </w:tcBorders>
            <w:shd w:val="clear" w:color="auto" w:fill="auto"/>
            <w:noWrap/>
            <w:vAlign w:val="bottom"/>
            <w:hideMark/>
          </w:tcPr>
          <w:p w14:paraId="5F991450" w14:textId="77777777" w:rsidR="00582680" w:rsidRPr="00DC36FD" w:rsidRDefault="00582680" w:rsidP="00582680">
            <w:pPr>
              <w:rPr>
                <w:rFonts w:ascii="Arial" w:hAnsi="Arial" w:cs="Arial"/>
                <w:b/>
                <w:bCs/>
                <w:color w:val="000000"/>
                <w:sz w:val="18"/>
                <w:szCs w:val="18"/>
                <w:lang w:val="en-GB"/>
              </w:rPr>
            </w:pPr>
          </w:p>
        </w:tc>
        <w:tc>
          <w:tcPr>
            <w:tcW w:w="1082" w:type="dxa"/>
            <w:tcBorders>
              <w:top w:val="nil"/>
              <w:left w:val="nil"/>
              <w:bottom w:val="nil"/>
              <w:right w:val="nil"/>
            </w:tcBorders>
            <w:shd w:val="clear" w:color="auto" w:fill="auto"/>
            <w:noWrap/>
            <w:vAlign w:val="bottom"/>
            <w:hideMark/>
          </w:tcPr>
          <w:p w14:paraId="0EAD2AA4"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Canola</w:t>
            </w:r>
          </w:p>
        </w:tc>
        <w:tc>
          <w:tcPr>
            <w:tcW w:w="900" w:type="dxa"/>
            <w:tcBorders>
              <w:top w:val="nil"/>
              <w:left w:val="nil"/>
              <w:bottom w:val="nil"/>
              <w:right w:val="nil"/>
            </w:tcBorders>
            <w:shd w:val="clear" w:color="auto" w:fill="auto"/>
            <w:noWrap/>
            <w:vAlign w:val="bottom"/>
            <w:hideMark/>
          </w:tcPr>
          <w:p w14:paraId="2449866F" w14:textId="77777777" w:rsidR="00582680" w:rsidRPr="00DC36FD" w:rsidRDefault="00582680" w:rsidP="00582680">
            <w:pPr>
              <w:rPr>
                <w:rFonts w:ascii="Arial" w:hAnsi="Arial" w:cs="Arial"/>
                <w:color w:val="000000"/>
                <w:sz w:val="18"/>
                <w:szCs w:val="18"/>
                <w:lang w:val="en-GB"/>
              </w:rPr>
            </w:pPr>
          </w:p>
        </w:tc>
        <w:tc>
          <w:tcPr>
            <w:tcW w:w="777" w:type="dxa"/>
            <w:tcBorders>
              <w:top w:val="nil"/>
              <w:left w:val="nil"/>
              <w:bottom w:val="nil"/>
              <w:right w:val="nil"/>
            </w:tcBorders>
            <w:shd w:val="clear" w:color="auto" w:fill="auto"/>
            <w:noWrap/>
            <w:vAlign w:val="bottom"/>
            <w:hideMark/>
          </w:tcPr>
          <w:p w14:paraId="33B71449"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119204B2"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557,637 </w:t>
            </w:r>
          </w:p>
        </w:tc>
        <w:tc>
          <w:tcPr>
            <w:tcW w:w="574" w:type="dxa"/>
            <w:tcBorders>
              <w:top w:val="nil"/>
              <w:left w:val="nil"/>
              <w:bottom w:val="nil"/>
              <w:right w:val="nil"/>
            </w:tcBorders>
            <w:shd w:val="clear" w:color="auto" w:fill="auto"/>
            <w:noWrap/>
            <w:vAlign w:val="bottom"/>
            <w:hideMark/>
          </w:tcPr>
          <w:p w14:paraId="29CAE1C7" w14:textId="77777777" w:rsidR="00582680" w:rsidRPr="00DC36FD" w:rsidRDefault="00582680" w:rsidP="00582680">
            <w:pPr>
              <w:jc w:val="right"/>
              <w:rPr>
                <w:rFonts w:ascii="Arial" w:hAnsi="Arial" w:cs="Arial"/>
                <w:color w:val="000000"/>
                <w:sz w:val="18"/>
                <w:szCs w:val="18"/>
                <w:lang w:val="en-GB"/>
              </w:rPr>
            </w:pPr>
          </w:p>
        </w:tc>
        <w:tc>
          <w:tcPr>
            <w:tcW w:w="1093" w:type="dxa"/>
            <w:tcBorders>
              <w:top w:val="nil"/>
              <w:left w:val="nil"/>
              <w:bottom w:val="nil"/>
              <w:right w:val="nil"/>
            </w:tcBorders>
            <w:shd w:val="clear" w:color="auto" w:fill="auto"/>
            <w:noWrap/>
            <w:vAlign w:val="bottom"/>
            <w:hideMark/>
          </w:tcPr>
          <w:p w14:paraId="67446336"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705,164 </w:t>
            </w:r>
          </w:p>
        </w:tc>
        <w:tc>
          <w:tcPr>
            <w:tcW w:w="574" w:type="dxa"/>
            <w:tcBorders>
              <w:top w:val="nil"/>
              <w:left w:val="nil"/>
              <w:bottom w:val="nil"/>
              <w:right w:val="nil"/>
            </w:tcBorders>
            <w:shd w:val="clear" w:color="auto" w:fill="auto"/>
            <w:noWrap/>
            <w:vAlign w:val="bottom"/>
            <w:hideMark/>
          </w:tcPr>
          <w:p w14:paraId="459EF93D" w14:textId="77777777" w:rsidR="00582680" w:rsidRPr="00DC36FD" w:rsidRDefault="00582680" w:rsidP="00582680">
            <w:pPr>
              <w:jc w:val="right"/>
              <w:rPr>
                <w:rFonts w:ascii="Arial" w:hAnsi="Arial" w:cs="Arial"/>
                <w:color w:val="000000"/>
                <w:sz w:val="18"/>
                <w:szCs w:val="18"/>
                <w:lang w:val="en-GB"/>
              </w:rPr>
            </w:pPr>
          </w:p>
        </w:tc>
        <w:tc>
          <w:tcPr>
            <w:tcW w:w="1015" w:type="dxa"/>
            <w:tcBorders>
              <w:top w:val="nil"/>
              <w:left w:val="nil"/>
              <w:bottom w:val="nil"/>
              <w:right w:val="nil"/>
            </w:tcBorders>
            <w:shd w:val="clear" w:color="auto" w:fill="auto"/>
            <w:noWrap/>
            <w:vAlign w:val="bottom"/>
            <w:hideMark/>
          </w:tcPr>
          <w:p w14:paraId="7ECC8534"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220,456 </w:t>
            </w:r>
          </w:p>
        </w:tc>
        <w:tc>
          <w:tcPr>
            <w:tcW w:w="574" w:type="dxa"/>
            <w:tcBorders>
              <w:top w:val="nil"/>
              <w:left w:val="nil"/>
              <w:bottom w:val="nil"/>
              <w:right w:val="single" w:sz="4" w:space="0" w:color="auto"/>
            </w:tcBorders>
            <w:shd w:val="clear" w:color="auto" w:fill="auto"/>
            <w:noWrap/>
            <w:vAlign w:val="bottom"/>
            <w:hideMark/>
          </w:tcPr>
          <w:p w14:paraId="071F1940"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51043C28" w14:textId="77777777" w:rsidTr="0065177F">
        <w:trPr>
          <w:trHeight w:val="273"/>
          <w:jc w:val="center"/>
        </w:trPr>
        <w:tc>
          <w:tcPr>
            <w:tcW w:w="498" w:type="dxa"/>
            <w:tcBorders>
              <w:top w:val="nil"/>
              <w:left w:val="single" w:sz="4" w:space="0" w:color="auto"/>
              <w:bottom w:val="nil"/>
              <w:right w:val="nil"/>
            </w:tcBorders>
            <w:shd w:val="clear" w:color="auto" w:fill="auto"/>
            <w:noWrap/>
            <w:vAlign w:val="bottom"/>
            <w:hideMark/>
          </w:tcPr>
          <w:p w14:paraId="74767BBD" w14:textId="77777777" w:rsidR="00582680" w:rsidRPr="00DC36FD" w:rsidRDefault="00582680" w:rsidP="00582680">
            <w:pPr>
              <w:rPr>
                <w:rFonts w:ascii="Arial" w:hAnsi="Arial" w:cs="Arial"/>
                <w:b/>
                <w:bCs/>
                <w:color w:val="000000"/>
                <w:sz w:val="18"/>
                <w:szCs w:val="18"/>
                <w:lang w:val="en-GB"/>
              </w:rPr>
            </w:pPr>
            <w:r w:rsidRPr="00DC36FD">
              <w:rPr>
                <w:rFonts w:ascii="Arial" w:hAnsi="Arial" w:cs="Arial"/>
                <w:b/>
                <w:bCs/>
                <w:color w:val="000000"/>
                <w:sz w:val="18"/>
                <w:szCs w:val="18"/>
                <w:lang w:val="en-GB"/>
              </w:rPr>
              <w:t> </w:t>
            </w:r>
          </w:p>
        </w:tc>
        <w:tc>
          <w:tcPr>
            <w:tcW w:w="575" w:type="dxa"/>
            <w:tcBorders>
              <w:top w:val="nil"/>
              <w:left w:val="nil"/>
              <w:bottom w:val="nil"/>
              <w:right w:val="nil"/>
            </w:tcBorders>
            <w:shd w:val="clear" w:color="auto" w:fill="auto"/>
            <w:noWrap/>
            <w:vAlign w:val="bottom"/>
            <w:hideMark/>
          </w:tcPr>
          <w:p w14:paraId="00760A42" w14:textId="77777777" w:rsidR="00582680" w:rsidRPr="00DC36FD" w:rsidRDefault="00582680" w:rsidP="00582680">
            <w:pPr>
              <w:rPr>
                <w:rFonts w:ascii="Arial" w:hAnsi="Arial" w:cs="Arial"/>
                <w:b/>
                <w:bCs/>
                <w:color w:val="000000"/>
                <w:sz w:val="18"/>
                <w:szCs w:val="18"/>
                <w:lang w:val="en-GB"/>
              </w:rPr>
            </w:pPr>
          </w:p>
        </w:tc>
        <w:tc>
          <w:tcPr>
            <w:tcW w:w="1082" w:type="dxa"/>
            <w:tcBorders>
              <w:top w:val="nil"/>
              <w:left w:val="nil"/>
              <w:bottom w:val="nil"/>
              <w:right w:val="nil"/>
            </w:tcBorders>
            <w:shd w:val="clear" w:color="auto" w:fill="auto"/>
            <w:noWrap/>
            <w:vAlign w:val="bottom"/>
            <w:hideMark/>
          </w:tcPr>
          <w:p w14:paraId="4B743E8C"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Wheat</w:t>
            </w:r>
          </w:p>
        </w:tc>
        <w:tc>
          <w:tcPr>
            <w:tcW w:w="900" w:type="dxa"/>
            <w:tcBorders>
              <w:top w:val="nil"/>
              <w:left w:val="nil"/>
              <w:bottom w:val="nil"/>
              <w:right w:val="nil"/>
            </w:tcBorders>
            <w:shd w:val="clear" w:color="auto" w:fill="auto"/>
            <w:noWrap/>
            <w:vAlign w:val="bottom"/>
            <w:hideMark/>
          </w:tcPr>
          <w:p w14:paraId="45906005" w14:textId="77777777" w:rsidR="00582680" w:rsidRPr="00DC36FD" w:rsidRDefault="00582680" w:rsidP="00582680">
            <w:pPr>
              <w:rPr>
                <w:rFonts w:ascii="Arial" w:hAnsi="Arial" w:cs="Arial"/>
                <w:color w:val="000000"/>
                <w:sz w:val="18"/>
                <w:szCs w:val="18"/>
                <w:lang w:val="en-GB"/>
              </w:rPr>
            </w:pPr>
          </w:p>
        </w:tc>
        <w:tc>
          <w:tcPr>
            <w:tcW w:w="777" w:type="dxa"/>
            <w:tcBorders>
              <w:top w:val="nil"/>
              <w:left w:val="nil"/>
              <w:bottom w:val="nil"/>
              <w:right w:val="nil"/>
            </w:tcBorders>
            <w:shd w:val="clear" w:color="auto" w:fill="auto"/>
            <w:noWrap/>
            <w:vAlign w:val="bottom"/>
            <w:hideMark/>
          </w:tcPr>
          <w:p w14:paraId="4EC078FB"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48EE14DE"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158,068 </w:t>
            </w:r>
          </w:p>
        </w:tc>
        <w:tc>
          <w:tcPr>
            <w:tcW w:w="574" w:type="dxa"/>
            <w:tcBorders>
              <w:top w:val="nil"/>
              <w:left w:val="nil"/>
              <w:bottom w:val="nil"/>
              <w:right w:val="nil"/>
            </w:tcBorders>
            <w:shd w:val="clear" w:color="auto" w:fill="auto"/>
            <w:noWrap/>
            <w:vAlign w:val="bottom"/>
            <w:hideMark/>
          </w:tcPr>
          <w:p w14:paraId="70A360C3" w14:textId="77777777" w:rsidR="00582680" w:rsidRPr="00DC36FD" w:rsidRDefault="00582680" w:rsidP="00582680">
            <w:pPr>
              <w:jc w:val="right"/>
              <w:rPr>
                <w:rFonts w:ascii="Arial" w:hAnsi="Arial" w:cs="Arial"/>
                <w:color w:val="000000"/>
                <w:sz w:val="18"/>
                <w:szCs w:val="18"/>
                <w:lang w:val="en-GB"/>
              </w:rPr>
            </w:pPr>
          </w:p>
        </w:tc>
        <w:tc>
          <w:tcPr>
            <w:tcW w:w="1093" w:type="dxa"/>
            <w:tcBorders>
              <w:top w:val="nil"/>
              <w:left w:val="nil"/>
              <w:bottom w:val="nil"/>
              <w:right w:val="nil"/>
            </w:tcBorders>
            <w:shd w:val="clear" w:color="auto" w:fill="auto"/>
            <w:noWrap/>
            <w:vAlign w:val="bottom"/>
            <w:hideMark/>
          </w:tcPr>
          <w:p w14:paraId="46C40A0E"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341,946 </w:t>
            </w:r>
          </w:p>
        </w:tc>
        <w:tc>
          <w:tcPr>
            <w:tcW w:w="574" w:type="dxa"/>
            <w:tcBorders>
              <w:top w:val="nil"/>
              <w:left w:val="nil"/>
              <w:bottom w:val="nil"/>
              <w:right w:val="nil"/>
            </w:tcBorders>
            <w:shd w:val="clear" w:color="auto" w:fill="auto"/>
            <w:noWrap/>
            <w:vAlign w:val="bottom"/>
            <w:hideMark/>
          </w:tcPr>
          <w:p w14:paraId="69C2A69B" w14:textId="77777777" w:rsidR="00582680" w:rsidRPr="00DC36FD" w:rsidRDefault="00582680" w:rsidP="00582680">
            <w:pPr>
              <w:jc w:val="right"/>
              <w:rPr>
                <w:rFonts w:ascii="Arial" w:hAnsi="Arial" w:cs="Arial"/>
                <w:color w:val="000000"/>
                <w:sz w:val="18"/>
                <w:szCs w:val="18"/>
                <w:lang w:val="en-GB"/>
              </w:rPr>
            </w:pPr>
          </w:p>
        </w:tc>
        <w:tc>
          <w:tcPr>
            <w:tcW w:w="1015" w:type="dxa"/>
            <w:tcBorders>
              <w:top w:val="nil"/>
              <w:left w:val="nil"/>
              <w:bottom w:val="nil"/>
              <w:right w:val="nil"/>
            </w:tcBorders>
            <w:shd w:val="clear" w:color="auto" w:fill="auto"/>
            <w:noWrap/>
            <w:vAlign w:val="bottom"/>
            <w:hideMark/>
          </w:tcPr>
          <w:p w14:paraId="6B7E7B3F"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526,282 </w:t>
            </w:r>
          </w:p>
        </w:tc>
        <w:tc>
          <w:tcPr>
            <w:tcW w:w="574" w:type="dxa"/>
            <w:tcBorders>
              <w:top w:val="nil"/>
              <w:left w:val="nil"/>
              <w:bottom w:val="nil"/>
              <w:right w:val="single" w:sz="4" w:space="0" w:color="auto"/>
            </w:tcBorders>
            <w:shd w:val="clear" w:color="auto" w:fill="auto"/>
            <w:noWrap/>
            <w:vAlign w:val="bottom"/>
            <w:hideMark/>
          </w:tcPr>
          <w:p w14:paraId="6E4B1226"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2223F8D5" w14:textId="77777777" w:rsidTr="0065177F">
        <w:trPr>
          <w:trHeight w:val="273"/>
          <w:jc w:val="center"/>
        </w:trPr>
        <w:tc>
          <w:tcPr>
            <w:tcW w:w="498" w:type="dxa"/>
            <w:tcBorders>
              <w:top w:val="nil"/>
              <w:left w:val="single" w:sz="4" w:space="0" w:color="auto"/>
              <w:bottom w:val="nil"/>
              <w:right w:val="nil"/>
            </w:tcBorders>
            <w:shd w:val="clear" w:color="auto" w:fill="auto"/>
            <w:noWrap/>
            <w:vAlign w:val="bottom"/>
            <w:hideMark/>
          </w:tcPr>
          <w:p w14:paraId="2A84AA37" w14:textId="77777777" w:rsidR="00582680" w:rsidRPr="00DC36FD" w:rsidRDefault="00582680" w:rsidP="00582680">
            <w:pPr>
              <w:rPr>
                <w:rFonts w:ascii="Arial" w:hAnsi="Arial" w:cs="Arial"/>
                <w:b/>
                <w:bCs/>
                <w:color w:val="000000"/>
                <w:sz w:val="18"/>
                <w:szCs w:val="18"/>
                <w:lang w:val="en-GB"/>
              </w:rPr>
            </w:pPr>
            <w:r w:rsidRPr="00DC36FD">
              <w:rPr>
                <w:rFonts w:ascii="Arial" w:hAnsi="Arial" w:cs="Arial"/>
                <w:b/>
                <w:bCs/>
                <w:color w:val="000000"/>
                <w:sz w:val="18"/>
                <w:szCs w:val="18"/>
                <w:lang w:val="en-GB"/>
              </w:rPr>
              <w:t> </w:t>
            </w:r>
          </w:p>
        </w:tc>
        <w:tc>
          <w:tcPr>
            <w:tcW w:w="575" w:type="dxa"/>
            <w:tcBorders>
              <w:top w:val="nil"/>
              <w:left w:val="nil"/>
              <w:bottom w:val="nil"/>
              <w:right w:val="nil"/>
            </w:tcBorders>
            <w:shd w:val="clear" w:color="auto" w:fill="auto"/>
            <w:noWrap/>
            <w:vAlign w:val="bottom"/>
            <w:hideMark/>
          </w:tcPr>
          <w:p w14:paraId="3E82D819" w14:textId="77777777" w:rsidR="00582680" w:rsidRPr="00DC36FD" w:rsidRDefault="00582680" w:rsidP="00582680">
            <w:pPr>
              <w:rPr>
                <w:rFonts w:ascii="Arial" w:hAnsi="Arial" w:cs="Arial"/>
                <w:b/>
                <w:bCs/>
                <w:color w:val="000000"/>
                <w:sz w:val="18"/>
                <w:szCs w:val="18"/>
                <w:lang w:val="en-GB"/>
              </w:rPr>
            </w:pPr>
          </w:p>
        </w:tc>
        <w:tc>
          <w:tcPr>
            <w:tcW w:w="1082" w:type="dxa"/>
            <w:tcBorders>
              <w:top w:val="nil"/>
              <w:left w:val="nil"/>
              <w:bottom w:val="nil"/>
              <w:right w:val="nil"/>
            </w:tcBorders>
            <w:shd w:val="clear" w:color="auto" w:fill="auto"/>
            <w:noWrap/>
            <w:vAlign w:val="bottom"/>
            <w:hideMark/>
          </w:tcPr>
          <w:p w14:paraId="3CA901F0"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Peas</w:t>
            </w:r>
          </w:p>
        </w:tc>
        <w:tc>
          <w:tcPr>
            <w:tcW w:w="900" w:type="dxa"/>
            <w:tcBorders>
              <w:top w:val="nil"/>
              <w:left w:val="nil"/>
              <w:bottom w:val="nil"/>
              <w:right w:val="nil"/>
            </w:tcBorders>
            <w:shd w:val="clear" w:color="auto" w:fill="auto"/>
            <w:noWrap/>
            <w:vAlign w:val="bottom"/>
            <w:hideMark/>
          </w:tcPr>
          <w:p w14:paraId="3ABC1946" w14:textId="77777777" w:rsidR="00582680" w:rsidRPr="00DC36FD" w:rsidRDefault="00582680" w:rsidP="00582680">
            <w:pPr>
              <w:rPr>
                <w:rFonts w:ascii="Arial" w:hAnsi="Arial" w:cs="Arial"/>
                <w:color w:val="000000"/>
                <w:sz w:val="18"/>
                <w:szCs w:val="18"/>
                <w:lang w:val="en-GB"/>
              </w:rPr>
            </w:pPr>
          </w:p>
        </w:tc>
        <w:tc>
          <w:tcPr>
            <w:tcW w:w="777" w:type="dxa"/>
            <w:tcBorders>
              <w:top w:val="nil"/>
              <w:left w:val="nil"/>
              <w:bottom w:val="nil"/>
              <w:right w:val="nil"/>
            </w:tcBorders>
            <w:shd w:val="clear" w:color="auto" w:fill="auto"/>
            <w:noWrap/>
            <w:vAlign w:val="bottom"/>
            <w:hideMark/>
          </w:tcPr>
          <w:p w14:paraId="5D225809"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099847A9"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107,572 </w:t>
            </w:r>
          </w:p>
        </w:tc>
        <w:tc>
          <w:tcPr>
            <w:tcW w:w="574" w:type="dxa"/>
            <w:tcBorders>
              <w:top w:val="nil"/>
              <w:left w:val="nil"/>
              <w:bottom w:val="nil"/>
              <w:right w:val="nil"/>
            </w:tcBorders>
            <w:shd w:val="clear" w:color="auto" w:fill="auto"/>
            <w:noWrap/>
            <w:vAlign w:val="bottom"/>
            <w:hideMark/>
          </w:tcPr>
          <w:p w14:paraId="3201D192" w14:textId="77777777" w:rsidR="00582680" w:rsidRPr="00DC36FD" w:rsidRDefault="00582680" w:rsidP="00582680">
            <w:pPr>
              <w:jc w:val="right"/>
              <w:rPr>
                <w:rFonts w:ascii="Arial" w:hAnsi="Arial" w:cs="Arial"/>
                <w:color w:val="000000"/>
                <w:sz w:val="18"/>
                <w:szCs w:val="18"/>
                <w:lang w:val="en-GB"/>
              </w:rPr>
            </w:pPr>
          </w:p>
        </w:tc>
        <w:tc>
          <w:tcPr>
            <w:tcW w:w="1093" w:type="dxa"/>
            <w:tcBorders>
              <w:top w:val="nil"/>
              <w:left w:val="nil"/>
              <w:bottom w:val="nil"/>
              <w:right w:val="nil"/>
            </w:tcBorders>
            <w:shd w:val="clear" w:color="auto" w:fill="auto"/>
            <w:noWrap/>
            <w:vAlign w:val="bottom"/>
            <w:hideMark/>
          </w:tcPr>
          <w:p w14:paraId="0AD1AA34"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87,245 </w:t>
            </w:r>
          </w:p>
        </w:tc>
        <w:tc>
          <w:tcPr>
            <w:tcW w:w="574" w:type="dxa"/>
            <w:tcBorders>
              <w:top w:val="nil"/>
              <w:left w:val="nil"/>
              <w:bottom w:val="nil"/>
              <w:right w:val="nil"/>
            </w:tcBorders>
            <w:shd w:val="clear" w:color="auto" w:fill="auto"/>
            <w:noWrap/>
            <w:vAlign w:val="bottom"/>
            <w:hideMark/>
          </w:tcPr>
          <w:p w14:paraId="287B5067" w14:textId="77777777" w:rsidR="00582680" w:rsidRPr="00DC36FD" w:rsidRDefault="00582680" w:rsidP="00582680">
            <w:pPr>
              <w:jc w:val="right"/>
              <w:rPr>
                <w:rFonts w:ascii="Arial" w:hAnsi="Arial" w:cs="Arial"/>
                <w:color w:val="000000"/>
                <w:sz w:val="18"/>
                <w:szCs w:val="18"/>
                <w:lang w:val="en-GB"/>
              </w:rPr>
            </w:pPr>
          </w:p>
        </w:tc>
        <w:tc>
          <w:tcPr>
            <w:tcW w:w="1015" w:type="dxa"/>
            <w:tcBorders>
              <w:top w:val="nil"/>
              <w:left w:val="nil"/>
              <w:bottom w:val="nil"/>
              <w:right w:val="nil"/>
            </w:tcBorders>
            <w:shd w:val="clear" w:color="auto" w:fill="auto"/>
            <w:noWrap/>
            <w:vAlign w:val="bottom"/>
            <w:hideMark/>
          </w:tcPr>
          <w:p w14:paraId="1DC84C26"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109,976 </w:t>
            </w:r>
          </w:p>
        </w:tc>
        <w:tc>
          <w:tcPr>
            <w:tcW w:w="574" w:type="dxa"/>
            <w:tcBorders>
              <w:top w:val="nil"/>
              <w:left w:val="nil"/>
              <w:bottom w:val="nil"/>
              <w:right w:val="single" w:sz="4" w:space="0" w:color="auto"/>
            </w:tcBorders>
            <w:shd w:val="clear" w:color="auto" w:fill="auto"/>
            <w:noWrap/>
            <w:vAlign w:val="bottom"/>
            <w:hideMark/>
          </w:tcPr>
          <w:p w14:paraId="281E0148"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41110B44" w14:textId="77777777" w:rsidTr="0065177F">
        <w:trPr>
          <w:trHeight w:val="273"/>
          <w:jc w:val="center"/>
        </w:trPr>
        <w:tc>
          <w:tcPr>
            <w:tcW w:w="498" w:type="dxa"/>
            <w:tcBorders>
              <w:top w:val="nil"/>
              <w:left w:val="single" w:sz="4" w:space="0" w:color="auto"/>
              <w:bottom w:val="nil"/>
              <w:right w:val="nil"/>
            </w:tcBorders>
            <w:shd w:val="clear" w:color="auto" w:fill="auto"/>
            <w:noWrap/>
            <w:vAlign w:val="bottom"/>
            <w:hideMark/>
          </w:tcPr>
          <w:p w14:paraId="590DB667" w14:textId="77777777" w:rsidR="00582680" w:rsidRPr="00DC36FD" w:rsidRDefault="00582680" w:rsidP="00582680">
            <w:pPr>
              <w:rPr>
                <w:rFonts w:ascii="Arial" w:hAnsi="Arial" w:cs="Arial"/>
                <w:b/>
                <w:bCs/>
                <w:color w:val="000000"/>
                <w:sz w:val="18"/>
                <w:szCs w:val="18"/>
                <w:lang w:val="en-GB"/>
              </w:rPr>
            </w:pPr>
            <w:r w:rsidRPr="00DC36FD">
              <w:rPr>
                <w:rFonts w:ascii="Arial" w:hAnsi="Arial" w:cs="Arial"/>
                <w:b/>
                <w:bCs/>
                <w:color w:val="000000"/>
                <w:sz w:val="18"/>
                <w:szCs w:val="18"/>
                <w:lang w:val="en-GB"/>
              </w:rPr>
              <w:t> </w:t>
            </w:r>
          </w:p>
        </w:tc>
        <w:tc>
          <w:tcPr>
            <w:tcW w:w="575" w:type="dxa"/>
            <w:tcBorders>
              <w:top w:val="nil"/>
              <w:left w:val="nil"/>
              <w:bottom w:val="nil"/>
              <w:right w:val="nil"/>
            </w:tcBorders>
            <w:shd w:val="clear" w:color="auto" w:fill="auto"/>
            <w:noWrap/>
            <w:vAlign w:val="bottom"/>
            <w:hideMark/>
          </w:tcPr>
          <w:p w14:paraId="7E1B8201" w14:textId="77777777" w:rsidR="00582680" w:rsidRPr="00DC36FD" w:rsidRDefault="00582680" w:rsidP="00582680">
            <w:pPr>
              <w:rPr>
                <w:rFonts w:ascii="Arial" w:hAnsi="Arial" w:cs="Arial"/>
                <w:b/>
                <w:bCs/>
                <w:color w:val="000000"/>
                <w:sz w:val="18"/>
                <w:szCs w:val="18"/>
                <w:lang w:val="en-GB"/>
              </w:rPr>
            </w:pPr>
          </w:p>
        </w:tc>
        <w:tc>
          <w:tcPr>
            <w:tcW w:w="1082" w:type="dxa"/>
            <w:tcBorders>
              <w:top w:val="nil"/>
              <w:left w:val="nil"/>
              <w:bottom w:val="nil"/>
              <w:right w:val="nil"/>
            </w:tcBorders>
            <w:shd w:val="clear" w:color="auto" w:fill="auto"/>
            <w:noWrap/>
            <w:vAlign w:val="bottom"/>
            <w:hideMark/>
          </w:tcPr>
          <w:p w14:paraId="0057527C" w14:textId="77777777" w:rsidR="00582680" w:rsidRPr="00DC36FD" w:rsidRDefault="00582680" w:rsidP="00582680">
            <w:pPr>
              <w:rPr>
                <w:lang w:val="en-GB"/>
              </w:rPr>
            </w:pPr>
          </w:p>
        </w:tc>
        <w:tc>
          <w:tcPr>
            <w:tcW w:w="900" w:type="dxa"/>
            <w:tcBorders>
              <w:top w:val="nil"/>
              <w:left w:val="nil"/>
              <w:bottom w:val="nil"/>
              <w:right w:val="nil"/>
            </w:tcBorders>
            <w:shd w:val="clear" w:color="auto" w:fill="auto"/>
            <w:noWrap/>
            <w:vAlign w:val="bottom"/>
            <w:hideMark/>
          </w:tcPr>
          <w:p w14:paraId="310404BD" w14:textId="77777777" w:rsidR="00582680" w:rsidRPr="00DC36FD" w:rsidRDefault="00582680" w:rsidP="00582680">
            <w:pPr>
              <w:rPr>
                <w:lang w:val="en-GB"/>
              </w:rPr>
            </w:pPr>
          </w:p>
        </w:tc>
        <w:tc>
          <w:tcPr>
            <w:tcW w:w="777" w:type="dxa"/>
            <w:tcBorders>
              <w:top w:val="nil"/>
              <w:left w:val="nil"/>
              <w:bottom w:val="nil"/>
              <w:right w:val="nil"/>
            </w:tcBorders>
            <w:shd w:val="clear" w:color="auto" w:fill="auto"/>
            <w:noWrap/>
            <w:vAlign w:val="bottom"/>
            <w:hideMark/>
          </w:tcPr>
          <w:p w14:paraId="02368827" w14:textId="77777777" w:rsidR="00582680" w:rsidRPr="00DC36FD" w:rsidRDefault="00582680" w:rsidP="00582680">
            <w:pPr>
              <w:rPr>
                <w:lang w:val="en-GB"/>
              </w:rPr>
            </w:pPr>
          </w:p>
        </w:tc>
        <w:tc>
          <w:tcPr>
            <w:tcW w:w="1015" w:type="dxa"/>
            <w:tcBorders>
              <w:top w:val="single" w:sz="4" w:space="0" w:color="auto"/>
              <w:left w:val="nil"/>
              <w:bottom w:val="nil"/>
              <w:right w:val="nil"/>
            </w:tcBorders>
            <w:shd w:val="clear" w:color="auto" w:fill="auto"/>
            <w:noWrap/>
            <w:vAlign w:val="bottom"/>
            <w:hideMark/>
          </w:tcPr>
          <w:p w14:paraId="0111F898"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823,277 </w:t>
            </w:r>
          </w:p>
        </w:tc>
        <w:tc>
          <w:tcPr>
            <w:tcW w:w="574" w:type="dxa"/>
            <w:tcBorders>
              <w:top w:val="nil"/>
              <w:left w:val="nil"/>
              <w:bottom w:val="nil"/>
              <w:right w:val="nil"/>
            </w:tcBorders>
            <w:shd w:val="clear" w:color="auto" w:fill="auto"/>
            <w:noWrap/>
            <w:vAlign w:val="bottom"/>
            <w:hideMark/>
          </w:tcPr>
          <w:p w14:paraId="297A8A15" w14:textId="345CC518" w:rsidR="00582680" w:rsidRPr="00DC36FD" w:rsidRDefault="00582680" w:rsidP="00582680">
            <w:pPr>
              <w:rPr>
                <w:rFonts w:ascii="Arial" w:hAnsi="Arial" w:cs="Arial"/>
                <w:color w:val="000000"/>
                <w:sz w:val="18"/>
                <w:szCs w:val="18"/>
                <w:lang w:val="en-GB"/>
              </w:rPr>
            </w:pPr>
          </w:p>
        </w:tc>
        <w:tc>
          <w:tcPr>
            <w:tcW w:w="1093" w:type="dxa"/>
            <w:tcBorders>
              <w:top w:val="single" w:sz="4" w:space="0" w:color="auto"/>
              <w:left w:val="nil"/>
              <w:bottom w:val="nil"/>
              <w:right w:val="nil"/>
            </w:tcBorders>
            <w:shd w:val="clear" w:color="auto" w:fill="auto"/>
            <w:noWrap/>
            <w:vAlign w:val="bottom"/>
            <w:hideMark/>
          </w:tcPr>
          <w:p w14:paraId="5D100E34"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1,134,355 </w:t>
            </w:r>
          </w:p>
        </w:tc>
        <w:tc>
          <w:tcPr>
            <w:tcW w:w="574" w:type="dxa"/>
            <w:tcBorders>
              <w:top w:val="nil"/>
              <w:left w:val="nil"/>
              <w:bottom w:val="nil"/>
              <w:right w:val="nil"/>
            </w:tcBorders>
            <w:shd w:val="clear" w:color="auto" w:fill="auto"/>
            <w:noWrap/>
            <w:vAlign w:val="bottom"/>
            <w:hideMark/>
          </w:tcPr>
          <w:p w14:paraId="4BFDD1FF" w14:textId="77777777" w:rsidR="00582680" w:rsidRPr="00DC36FD" w:rsidRDefault="00582680" w:rsidP="00582680">
            <w:pPr>
              <w:jc w:val="right"/>
              <w:rPr>
                <w:rFonts w:ascii="Arial" w:hAnsi="Arial" w:cs="Arial"/>
                <w:color w:val="000000"/>
                <w:sz w:val="18"/>
                <w:szCs w:val="18"/>
                <w:lang w:val="en-GB"/>
              </w:rPr>
            </w:pPr>
          </w:p>
        </w:tc>
        <w:tc>
          <w:tcPr>
            <w:tcW w:w="1015" w:type="dxa"/>
            <w:tcBorders>
              <w:top w:val="single" w:sz="4" w:space="0" w:color="auto"/>
              <w:left w:val="nil"/>
              <w:bottom w:val="nil"/>
              <w:right w:val="nil"/>
            </w:tcBorders>
            <w:shd w:val="clear" w:color="auto" w:fill="auto"/>
            <w:noWrap/>
            <w:vAlign w:val="bottom"/>
            <w:hideMark/>
          </w:tcPr>
          <w:p w14:paraId="636DF169"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856,714 </w:t>
            </w:r>
          </w:p>
        </w:tc>
        <w:tc>
          <w:tcPr>
            <w:tcW w:w="574" w:type="dxa"/>
            <w:tcBorders>
              <w:top w:val="nil"/>
              <w:left w:val="nil"/>
              <w:bottom w:val="nil"/>
              <w:right w:val="single" w:sz="4" w:space="0" w:color="auto"/>
            </w:tcBorders>
            <w:shd w:val="clear" w:color="auto" w:fill="auto"/>
            <w:noWrap/>
            <w:vAlign w:val="bottom"/>
            <w:hideMark/>
          </w:tcPr>
          <w:p w14:paraId="0BD337D1"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423BA3F9" w14:textId="77777777" w:rsidTr="0065177F">
        <w:trPr>
          <w:trHeight w:val="273"/>
          <w:jc w:val="center"/>
        </w:trPr>
        <w:tc>
          <w:tcPr>
            <w:tcW w:w="2155" w:type="dxa"/>
            <w:gridSpan w:val="3"/>
            <w:tcBorders>
              <w:top w:val="nil"/>
              <w:left w:val="single" w:sz="4" w:space="0" w:color="auto"/>
              <w:bottom w:val="nil"/>
              <w:right w:val="nil"/>
            </w:tcBorders>
            <w:shd w:val="clear" w:color="auto" w:fill="auto"/>
            <w:noWrap/>
            <w:vAlign w:val="bottom"/>
            <w:hideMark/>
          </w:tcPr>
          <w:p w14:paraId="45EA0E56" w14:textId="77777777" w:rsidR="00582680" w:rsidRPr="00DC36FD" w:rsidRDefault="00582680" w:rsidP="00582680">
            <w:pPr>
              <w:rPr>
                <w:rFonts w:ascii="Arial" w:hAnsi="Arial" w:cs="Arial"/>
                <w:b/>
                <w:bCs/>
                <w:color w:val="000000"/>
                <w:sz w:val="18"/>
                <w:szCs w:val="18"/>
                <w:lang w:val="en-GB"/>
              </w:rPr>
            </w:pPr>
            <w:r w:rsidRPr="00DC36FD">
              <w:rPr>
                <w:rFonts w:ascii="Arial" w:hAnsi="Arial" w:cs="Arial"/>
                <w:b/>
                <w:bCs/>
                <w:color w:val="000000"/>
                <w:sz w:val="18"/>
                <w:szCs w:val="18"/>
                <w:lang w:val="en-GB"/>
              </w:rPr>
              <w:t>Production Expenses</w:t>
            </w:r>
          </w:p>
        </w:tc>
        <w:tc>
          <w:tcPr>
            <w:tcW w:w="900" w:type="dxa"/>
            <w:tcBorders>
              <w:top w:val="nil"/>
              <w:left w:val="nil"/>
              <w:bottom w:val="nil"/>
              <w:right w:val="nil"/>
            </w:tcBorders>
            <w:shd w:val="clear" w:color="auto" w:fill="auto"/>
            <w:noWrap/>
            <w:vAlign w:val="bottom"/>
            <w:hideMark/>
          </w:tcPr>
          <w:p w14:paraId="3F34E2E4" w14:textId="77777777" w:rsidR="00582680" w:rsidRPr="00DC36FD" w:rsidRDefault="00582680" w:rsidP="00582680">
            <w:pPr>
              <w:rPr>
                <w:rFonts w:ascii="Arial" w:hAnsi="Arial" w:cs="Arial"/>
                <w:b/>
                <w:bCs/>
                <w:color w:val="000000"/>
                <w:sz w:val="18"/>
                <w:szCs w:val="18"/>
                <w:lang w:val="en-GB"/>
              </w:rPr>
            </w:pPr>
          </w:p>
        </w:tc>
        <w:tc>
          <w:tcPr>
            <w:tcW w:w="777" w:type="dxa"/>
            <w:tcBorders>
              <w:top w:val="nil"/>
              <w:left w:val="nil"/>
              <w:bottom w:val="nil"/>
              <w:right w:val="nil"/>
            </w:tcBorders>
            <w:shd w:val="clear" w:color="auto" w:fill="auto"/>
            <w:noWrap/>
            <w:vAlign w:val="bottom"/>
            <w:hideMark/>
          </w:tcPr>
          <w:p w14:paraId="6AF12303"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3FD9104B" w14:textId="77777777" w:rsidR="00582680" w:rsidRPr="00DC36FD" w:rsidRDefault="00582680" w:rsidP="00582680">
            <w:pPr>
              <w:rPr>
                <w:lang w:val="en-GB"/>
              </w:rPr>
            </w:pPr>
          </w:p>
        </w:tc>
        <w:tc>
          <w:tcPr>
            <w:tcW w:w="574" w:type="dxa"/>
            <w:tcBorders>
              <w:top w:val="nil"/>
              <w:left w:val="nil"/>
              <w:bottom w:val="nil"/>
              <w:right w:val="nil"/>
            </w:tcBorders>
            <w:shd w:val="clear" w:color="auto" w:fill="auto"/>
            <w:noWrap/>
            <w:vAlign w:val="bottom"/>
            <w:hideMark/>
          </w:tcPr>
          <w:p w14:paraId="0552DDCC" w14:textId="77777777" w:rsidR="00582680" w:rsidRPr="00DC36FD" w:rsidRDefault="00582680" w:rsidP="00582680">
            <w:pPr>
              <w:rPr>
                <w:lang w:val="en-GB"/>
              </w:rPr>
            </w:pPr>
          </w:p>
        </w:tc>
        <w:tc>
          <w:tcPr>
            <w:tcW w:w="1093" w:type="dxa"/>
            <w:tcBorders>
              <w:top w:val="nil"/>
              <w:left w:val="nil"/>
              <w:bottom w:val="nil"/>
              <w:right w:val="nil"/>
            </w:tcBorders>
            <w:shd w:val="clear" w:color="auto" w:fill="auto"/>
            <w:noWrap/>
            <w:vAlign w:val="bottom"/>
            <w:hideMark/>
          </w:tcPr>
          <w:p w14:paraId="571398B3" w14:textId="77777777" w:rsidR="00582680" w:rsidRPr="00DC36FD" w:rsidRDefault="00582680" w:rsidP="00582680">
            <w:pPr>
              <w:rPr>
                <w:lang w:val="en-GB"/>
              </w:rPr>
            </w:pPr>
          </w:p>
        </w:tc>
        <w:tc>
          <w:tcPr>
            <w:tcW w:w="574" w:type="dxa"/>
            <w:tcBorders>
              <w:top w:val="nil"/>
              <w:left w:val="nil"/>
              <w:bottom w:val="nil"/>
              <w:right w:val="nil"/>
            </w:tcBorders>
            <w:shd w:val="clear" w:color="auto" w:fill="auto"/>
            <w:noWrap/>
            <w:vAlign w:val="bottom"/>
            <w:hideMark/>
          </w:tcPr>
          <w:p w14:paraId="25D5F0B5"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1B8015E4" w14:textId="77777777" w:rsidR="00582680" w:rsidRPr="00DC36FD" w:rsidRDefault="00582680" w:rsidP="00582680">
            <w:pPr>
              <w:rPr>
                <w:lang w:val="en-GB"/>
              </w:rPr>
            </w:pPr>
          </w:p>
        </w:tc>
        <w:tc>
          <w:tcPr>
            <w:tcW w:w="574" w:type="dxa"/>
            <w:tcBorders>
              <w:top w:val="nil"/>
              <w:left w:val="nil"/>
              <w:bottom w:val="nil"/>
              <w:right w:val="single" w:sz="4" w:space="0" w:color="auto"/>
            </w:tcBorders>
            <w:shd w:val="clear" w:color="auto" w:fill="auto"/>
            <w:noWrap/>
            <w:vAlign w:val="bottom"/>
            <w:hideMark/>
          </w:tcPr>
          <w:p w14:paraId="1BD47FE8"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1ACF029E" w14:textId="77777777" w:rsidTr="0065177F">
        <w:trPr>
          <w:trHeight w:val="273"/>
          <w:jc w:val="center"/>
        </w:trPr>
        <w:tc>
          <w:tcPr>
            <w:tcW w:w="498" w:type="dxa"/>
            <w:tcBorders>
              <w:top w:val="nil"/>
              <w:left w:val="single" w:sz="4" w:space="0" w:color="auto"/>
              <w:bottom w:val="nil"/>
              <w:right w:val="nil"/>
            </w:tcBorders>
            <w:shd w:val="clear" w:color="auto" w:fill="auto"/>
            <w:noWrap/>
            <w:vAlign w:val="bottom"/>
            <w:hideMark/>
          </w:tcPr>
          <w:p w14:paraId="050E663F"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3334" w:type="dxa"/>
            <w:gridSpan w:val="4"/>
            <w:tcBorders>
              <w:top w:val="nil"/>
              <w:left w:val="nil"/>
              <w:bottom w:val="nil"/>
              <w:right w:val="nil"/>
            </w:tcBorders>
            <w:shd w:val="clear" w:color="auto" w:fill="auto"/>
            <w:noWrap/>
            <w:vAlign w:val="bottom"/>
            <w:hideMark/>
          </w:tcPr>
          <w:p w14:paraId="147529C0" w14:textId="762CD82C" w:rsidR="00582680" w:rsidRPr="00DC36FD" w:rsidRDefault="00582680" w:rsidP="00B1377C">
            <w:pPr>
              <w:rPr>
                <w:rFonts w:ascii="Arial" w:hAnsi="Arial" w:cs="Arial"/>
                <w:color w:val="000000"/>
                <w:sz w:val="18"/>
                <w:szCs w:val="18"/>
                <w:lang w:val="en-GB"/>
              </w:rPr>
            </w:pPr>
            <w:r w:rsidRPr="00DC36FD">
              <w:rPr>
                <w:rFonts w:ascii="Arial" w:hAnsi="Arial" w:cs="Arial"/>
                <w:color w:val="000000"/>
                <w:sz w:val="18"/>
                <w:szCs w:val="18"/>
                <w:lang w:val="en-GB"/>
              </w:rPr>
              <w:t xml:space="preserve">Fertilizer, </w:t>
            </w:r>
            <w:r w:rsidR="006779A7">
              <w:rPr>
                <w:rFonts w:ascii="Arial" w:hAnsi="Arial" w:cs="Arial"/>
                <w:color w:val="000000"/>
                <w:sz w:val="18"/>
                <w:szCs w:val="18"/>
                <w:lang w:val="en-GB"/>
              </w:rPr>
              <w:t>s</w:t>
            </w:r>
            <w:r w:rsidRPr="00DC36FD">
              <w:rPr>
                <w:rFonts w:ascii="Arial" w:hAnsi="Arial" w:cs="Arial"/>
                <w:color w:val="000000"/>
                <w:sz w:val="18"/>
                <w:szCs w:val="18"/>
                <w:lang w:val="en-GB"/>
              </w:rPr>
              <w:t xml:space="preserve">eed, and </w:t>
            </w:r>
            <w:r w:rsidR="006779A7">
              <w:rPr>
                <w:rFonts w:ascii="Arial" w:hAnsi="Arial" w:cs="Arial"/>
                <w:color w:val="000000"/>
                <w:sz w:val="18"/>
                <w:szCs w:val="18"/>
                <w:lang w:val="en-GB"/>
              </w:rPr>
              <w:t>c</w:t>
            </w:r>
            <w:r w:rsidRPr="00DC36FD">
              <w:rPr>
                <w:rFonts w:ascii="Arial" w:hAnsi="Arial" w:cs="Arial"/>
                <w:color w:val="000000"/>
                <w:sz w:val="18"/>
                <w:szCs w:val="18"/>
                <w:lang w:val="en-GB"/>
              </w:rPr>
              <w:t>hemical</w:t>
            </w:r>
            <w:r w:rsidR="00125942">
              <w:rPr>
                <w:rFonts w:ascii="Arial" w:hAnsi="Arial" w:cs="Arial"/>
                <w:color w:val="000000"/>
                <w:sz w:val="18"/>
                <w:szCs w:val="18"/>
                <w:lang w:val="en-GB"/>
              </w:rPr>
              <w:t>s</w:t>
            </w:r>
          </w:p>
        </w:tc>
        <w:tc>
          <w:tcPr>
            <w:tcW w:w="1015" w:type="dxa"/>
            <w:tcBorders>
              <w:top w:val="nil"/>
              <w:left w:val="nil"/>
              <w:bottom w:val="nil"/>
              <w:right w:val="nil"/>
            </w:tcBorders>
            <w:shd w:val="clear" w:color="auto" w:fill="auto"/>
            <w:noWrap/>
            <w:vAlign w:val="bottom"/>
            <w:hideMark/>
          </w:tcPr>
          <w:p w14:paraId="6DCF5A54"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407,488 </w:t>
            </w:r>
          </w:p>
        </w:tc>
        <w:tc>
          <w:tcPr>
            <w:tcW w:w="574" w:type="dxa"/>
            <w:tcBorders>
              <w:top w:val="nil"/>
              <w:left w:val="nil"/>
              <w:bottom w:val="nil"/>
              <w:right w:val="nil"/>
            </w:tcBorders>
            <w:shd w:val="clear" w:color="auto" w:fill="auto"/>
            <w:noWrap/>
            <w:vAlign w:val="bottom"/>
            <w:hideMark/>
          </w:tcPr>
          <w:p w14:paraId="46C92F78" w14:textId="77777777" w:rsidR="00582680" w:rsidRPr="00DC36FD" w:rsidRDefault="00582680" w:rsidP="00582680">
            <w:pPr>
              <w:jc w:val="right"/>
              <w:rPr>
                <w:rFonts w:ascii="Arial" w:hAnsi="Arial" w:cs="Arial"/>
                <w:color w:val="000000"/>
                <w:sz w:val="18"/>
                <w:szCs w:val="18"/>
                <w:lang w:val="en-GB"/>
              </w:rPr>
            </w:pPr>
          </w:p>
        </w:tc>
        <w:tc>
          <w:tcPr>
            <w:tcW w:w="1093" w:type="dxa"/>
            <w:tcBorders>
              <w:top w:val="nil"/>
              <w:left w:val="nil"/>
              <w:bottom w:val="nil"/>
              <w:right w:val="nil"/>
            </w:tcBorders>
            <w:shd w:val="clear" w:color="auto" w:fill="auto"/>
            <w:noWrap/>
            <w:vAlign w:val="bottom"/>
            <w:hideMark/>
          </w:tcPr>
          <w:p w14:paraId="2F2ED840"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480,922 </w:t>
            </w:r>
          </w:p>
        </w:tc>
        <w:tc>
          <w:tcPr>
            <w:tcW w:w="574" w:type="dxa"/>
            <w:tcBorders>
              <w:top w:val="nil"/>
              <w:left w:val="nil"/>
              <w:bottom w:val="nil"/>
              <w:right w:val="nil"/>
            </w:tcBorders>
            <w:shd w:val="clear" w:color="auto" w:fill="auto"/>
            <w:noWrap/>
            <w:vAlign w:val="bottom"/>
            <w:hideMark/>
          </w:tcPr>
          <w:p w14:paraId="332AD7EE" w14:textId="77777777" w:rsidR="00582680" w:rsidRPr="00DC36FD" w:rsidRDefault="00582680" w:rsidP="00582680">
            <w:pPr>
              <w:jc w:val="right"/>
              <w:rPr>
                <w:rFonts w:ascii="Arial" w:hAnsi="Arial" w:cs="Arial"/>
                <w:color w:val="000000"/>
                <w:sz w:val="18"/>
                <w:szCs w:val="18"/>
                <w:lang w:val="en-GB"/>
              </w:rPr>
            </w:pPr>
          </w:p>
        </w:tc>
        <w:tc>
          <w:tcPr>
            <w:tcW w:w="1015" w:type="dxa"/>
            <w:tcBorders>
              <w:top w:val="nil"/>
              <w:left w:val="nil"/>
              <w:bottom w:val="nil"/>
              <w:right w:val="nil"/>
            </w:tcBorders>
            <w:shd w:val="clear" w:color="auto" w:fill="auto"/>
            <w:noWrap/>
            <w:vAlign w:val="bottom"/>
            <w:hideMark/>
          </w:tcPr>
          <w:p w14:paraId="0DAAA6A5"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325,690 </w:t>
            </w:r>
          </w:p>
        </w:tc>
        <w:tc>
          <w:tcPr>
            <w:tcW w:w="574" w:type="dxa"/>
            <w:tcBorders>
              <w:top w:val="nil"/>
              <w:left w:val="nil"/>
              <w:bottom w:val="nil"/>
              <w:right w:val="single" w:sz="4" w:space="0" w:color="auto"/>
            </w:tcBorders>
            <w:shd w:val="clear" w:color="auto" w:fill="auto"/>
            <w:noWrap/>
            <w:vAlign w:val="bottom"/>
            <w:hideMark/>
          </w:tcPr>
          <w:p w14:paraId="66C7D1F8"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54750750" w14:textId="77777777" w:rsidTr="0065177F">
        <w:trPr>
          <w:trHeight w:val="273"/>
          <w:jc w:val="center"/>
        </w:trPr>
        <w:tc>
          <w:tcPr>
            <w:tcW w:w="2155" w:type="dxa"/>
            <w:gridSpan w:val="3"/>
            <w:tcBorders>
              <w:top w:val="nil"/>
              <w:left w:val="single" w:sz="4" w:space="0" w:color="auto"/>
              <w:bottom w:val="nil"/>
              <w:right w:val="nil"/>
            </w:tcBorders>
            <w:shd w:val="clear" w:color="auto" w:fill="auto"/>
            <w:noWrap/>
            <w:vAlign w:val="bottom"/>
            <w:hideMark/>
          </w:tcPr>
          <w:p w14:paraId="12A433FA" w14:textId="77777777" w:rsidR="00582680" w:rsidRPr="00DC36FD" w:rsidRDefault="00582680" w:rsidP="00582680">
            <w:pPr>
              <w:rPr>
                <w:rFonts w:ascii="Arial" w:hAnsi="Arial" w:cs="Arial"/>
                <w:b/>
                <w:bCs/>
                <w:color w:val="000000"/>
                <w:sz w:val="18"/>
                <w:szCs w:val="18"/>
                <w:lang w:val="en-GB"/>
              </w:rPr>
            </w:pPr>
            <w:r w:rsidRPr="00DC36FD">
              <w:rPr>
                <w:rFonts w:ascii="Arial" w:hAnsi="Arial" w:cs="Arial"/>
                <w:b/>
                <w:bCs/>
                <w:color w:val="000000"/>
                <w:sz w:val="18"/>
                <w:szCs w:val="18"/>
                <w:lang w:val="en-GB"/>
              </w:rPr>
              <w:t>Gross Margin</w:t>
            </w:r>
          </w:p>
        </w:tc>
        <w:tc>
          <w:tcPr>
            <w:tcW w:w="900" w:type="dxa"/>
            <w:tcBorders>
              <w:top w:val="nil"/>
              <w:left w:val="nil"/>
              <w:bottom w:val="nil"/>
              <w:right w:val="nil"/>
            </w:tcBorders>
            <w:shd w:val="clear" w:color="auto" w:fill="auto"/>
            <w:noWrap/>
            <w:vAlign w:val="bottom"/>
            <w:hideMark/>
          </w:tcPr>
          <w:p w14:paraId="406AC9B9" w14:textId="77777777" w:rsidR="00582680" w:rsidRPr="00DC36FD" w:rsidRDefault="00582680" w:rsidP="00582680">
            <w:pPr>
              <w:rPr>
                <w:rFonts w:ascii="Arial" w:hAnsi="Arial" w:cs="Arial"/>
                <w:b/>
                <w:bCs/>
                <w:color w:val="000000"/>
                <w:sz w:val="18"/>
                <w:szCs w:val="18"/>
                <w:lang w:val="en-GB"/>
              </w:rPr>
            </w:pPr>
          </w:p>
        </w:tc>
        <w:tc>
          <w:tcPr>
            <w:tcW w:w="777" w:type="dxa"/>
            <w:tcBorders>
              <w:top w:val="nil"/>
              <w:left w:val="nil"/>
              <w:bottom w:val="nil"/>
              <w:right w:val="nil"/>
            </w:tcBorders>
            <w:shd w:val="clear" w:color="auto" w:fill="auto"/>
            <w:noWrap/>
            <w:vAlign w:val="bottom"/>
            <w:hideMark/>
          </w:tcPr>
          <w:p w14:paraId="5BC9981F" w14:textId="77777777" w:rsidR="00582680" w:rsidRPr="00DC36FD" w:rsidRDefault="00582680" w:rsidP="00582680">
            <w:pPr>
              <w:rPr>
                <w:lang w:val="en-GB"/>
              </w:rPr>
            </w:pPr>
          </w:p>
        </w:tc>
        <w:tc>
          <w:tcPr>
            <w:tcW w:w="1015" w:type="dxa"/>
            <w:tcBorders>
              <w:top w:val="single" w:sz="4" w:space="0" w:color="auto"/>
              <w:left w:val="nil"/>
              <w:bottom w:val="nil"/>
              <w:right w:val="nil"/>
            </w:tcBorders>
            <w:shd w:val="clear" w:color="auto" w:fill="auto"/>
            <w:noWrap/>
            <w:vAlign w:val="bottom"/>
            <w:hideMark/>
          </w:tcPr>
          <w:p w14:paraId="5FDDB5E6"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415,789 </w:t>
            </w:r>
          </w:p>
        </w:tc>
        <w:tc>
          <w:tcPr>
            <w:tcW w:w="574" w:type="dxa"/>
            <w:tcBorders>
              <w:top w:val="nil"/>
              <w:left w:val="nil"/>
              <w:bottom w:val="nil"/>
              <w:right w:val="nil"/>
            </w:tcBorders>
            <w:shd w:val="clear" w:color="auto" w:fill="auto"/>
            <w:noWrap/>
            <w:vAlign w:val="bottom"/>
            <w:hideMark/>
          </w:tcPr>
          <w:p w14:paraId="5798342F" w14:textId="77777777" w:rsidR="00582680" w:rsidRPr="00DC36FD" w:rsidRDefault="00582680" w:rsidP="00582680">
            <w:pPr>
              <w:jc w:val="right"/>
              <w:rPr>
                <w:rFonts w:ascii="Arial" w:hAnsi="Arial" w:cs="Arial"/>
                <w:color w:val="000000"/>
                <w:sz w:val="18"/>
                <w:szCs w:val="18"/>
                <w:lang w:val="en-GB"/>
              </w:rPr>
            </w:pPr>
          </w:p>
        </w:tc>
        <w:tc>
          <w:tcPr>
            <w:tcW w:w="1093" w:type="dxa"/>
            <w:tcBorders>
              <w:top w:val="single" w:sz="4" w:space="0" w:color="auto"/>
              <w:left w:val="nil"/>
              <w:bottom w:val="nil"/>
              <w:right w:val="nil"/>
            </w:tcBorders>
            <w:shd w:val="clear" w:color="auto" w:fill="auto"/>
            <w:noWrap/>
            <w:vAlign w:val="bottom"/>
            <w:hideMark/>
          </w:tcPr>
          <w:p w14:paraId="0516E40B"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653,433 </w:t>
            </w:r>
          </w:p>
        </w:tc>
        <w:tc>
          <w:tcPr>
            <w:tcW w:w="574" w:type="dxa"/>
            <w:tcBorders>
              <w:top w:val="nil"/>
              <w:left w:val="nil"/>
              <w:bottom w:val="nil"/>
              <w:right w:val="nil"/>
            </w:tcBorders>
            <w:shd w:val="clear" w:color="auto" w:fill="auto"/>
            <w:noWrap/>
            <w:vAlign w:val="bottom"/>
            <w:hideMark/>
          </w:tcPr>
          <w:p w14:paraId="5A371BDD" w14:textId="77777777" w:rsidR="00582680" w:rsidRPr="00DC36FD" w:rsidRDefault="00582680" w:rsidP="00582680">
            <w:pPr>
              <w:jc w:val="right"/>
              <w:rPr>
                <w:rFonts w:ascii="Arial" w:hAnsi="Arial" w:cs="Arial"/>
                <w:color w:val="000000"/>
                <w:sz w:val="18"/>
                <w:szCs w:val="18"/>
                <w:lang w:val="en-GB"/>
              </w:rPr>
            </w:pPr>
          </w:p>
        </w:tc>
        <w:tc>
          <w:tcPr>
            <w:tcW w:w="1015" w:type="dxa"/>
            <w:tcBorders>
              <w:top w:val="single" w:sz="4" w:space="0" w:color="auto"/>
              <w:left w:val="nil"/>
              <w:bottom w:val="nil"/>
              <w:right w:val="nil"/>
            </w:tcBorders>
            <w:shd w:val="clear" w:color="auto" w:fill="auto"/>
            <w:noWrap/>
            <w:vAlign w:val="bottom"/>
            <w:hideMark/>
          </w:tcPr>
          <w:p w14:paraId="0F34CB06"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531,024 </w:t>
            </w:r>
          </w:p>
        </w:tc>
        <w:tc>
          <w:tcPr>
            <w:tcW w:w="574" w:type="dxa"/>
            <w:tcBorders>
              <w:top w:val="nil"/>
              <w:left w:val="nil"/>
              <w:bottom w:val="nil"/>
              <w:right w:val="single" w:sz="4" w:space="0" w:color="auto"/>
            </w:tcBorders>
            <w:shd w:val="clear" w:color="auto" w:fill="auto"/>
            <w:noWrap/>
            <w:vAlign w:val="bottom"/>
            <w:hideMark/>
          </w:tcPr>
          <w:p w14:paraId="775D6192"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2826D70E" w14:textId="77777777" w:rsidTr="0065177F">
        <w:trPr>
          <w:trHeight w:val="273"/>
          <w:jc w:val="center"/>
        </w:trPr>
        <w:tc>
          <w:tcPr>
            <w:tcW w:w="498" w:type="dxa"/>
            <w:tcBorders>
              <w:top w:val="nil"/>
              <w:left w:val="single" w:sz="4" w:space="0" w:color="auto"/>
              <w:bottom w:val="nil"/>
              <w:right w:val="nil"/>
            </w:tcBorders>
            <w:shd w:val="clear" w:color="auto" w:fill="auto"/>
            <w:noWrap/>
            <w:vAlign w:val="bottom"/>
            <w:hideMark/>
          </w:tcPr>
          <w:p w14:paraId="28A669D8" w14:textId="77777777" w:rsidR="00582680" w:rsidRPr="00DC36FD" w:rsidRDefault="00582680" w:rsidP="00582680">
            <w:pPr>
              <w:rPr>
                <w:rFonts w:ascii="Arial" w:hAnsi="Arial" w:cs="Arial"/>
                <w:b/>
                <w:bCs/>
                <w:color w:val="000000"/>
                <w:sz w:val="18"/>
                <w:szCs w:val="18"/>
                <w:lang w:val="en-GB"/>
              </w:rPr>
            </w:pPr>
            <w:r w:rsidRPr="00DC36FD">
              <w:rPr>
                <w:rFonts w:ascii="Arial" w:hAnsi="Arial" w:cs="Arial"/>
                <w:b/>
                <w:bCs/>
                <w:color w:val="000000"/>
                <w:sz w:val="18"/>
                <w:szCs w:val="18"/>
                <w:lang w:val="en-GB"/>
              </w:rPr>
              <w:t> </w:t>
            </w:r>
          </w:p>
        </w:tc>
        <w:tc>
          <w:tcPr>
            <w:tcW w:w="575" w:type="dxa"/>
            <w:tcBorders>
              <w:top w:val="nil"/>
              <w:left w:val="nil"/>
              <w:bottom w:val="nil"/>
              <w:right w:val="nil"/>
            </w:tcBorders>
            <w:shd w:val="clear" w:color="auto" w:fill="auto"/>
            <w:noWrap/>
            <w:vAlign w:val="bottom"/>
            <w:hideMark/>
          </w:tcPr>
          <w:p w14:paraId="13375EE2" w14:textId="77777777" w:rsidR="00582680" w:rsidRPr="00DC36FD" w:rsidRDefault="00582680" w:rsidP="00582680">
            <w:pPr>
              <w:rPr>
                <w:rFonts w:ascii="Arial" w:hAnsi="Arial" w:cs="Arial"/>
                <w:b/>
                <w:bCs/>
                <w:color w:val="000000"/>
                <w:sz w:val="18"/>
                <w:szCs w:val="18"/>
                <w:lang w:val="en-GB"/>
              </w:rPr>
            </w:pPr>
          </w:p>
        </w:tc>
        <w:tc>
          <w:tcPr>
            <w:tcW w:w="1082" w:type="dxa"/>
            <w:tcBorders>
              <w:top w:val="nil"/>
              <w:left w:val="nil"/>
              <w:bottom w:val="nil"/>
              <w:right w:val="nil"/>
            </w:tcBorders>
            <w:shd w:val="clear" w:color="auto" w:fill="auto"/>
            <w:noWrap/>
            <w:vAlign w:val="bottom"/>
            <w:hideMark/>
          </w:tcPr>
          <w:p w14:paraId="4E3FCEA8" w14:textId="77777777" w:rsidR="00582680" w:rsidRPr="00DC36FD" w:rsidRDefault="00582680" w:rsidP="00582680">
            <w:pPr>
              <w:rPr>
                <w:lang w:val="en-GB"/>
              </w:rPr>
            </w:pPr>
          </w:p>
        </w:tc>
        <w:tc>
          <w:tcPr>
            <w:tcW w:w="900" w:type="dxa"/>
            <w:tcBorders>
              <w:top w:val="nil"/>
              <w:left w:val="nil"/>
              <w:bottom w:val="nil"/>
              <w:right w:val="nil"/>
            </w:tcBorders>
            <w:shd w:val="clear" w:color="auto" w:fill="auto"/>
            <w:noWrap/>
            <w:vAlign w:val="bottom"/>
            <w:hideMark/>
          </w:tcPr>
          <w:p w14:paraId="00E7D29C" w14:textId="77777777" w:rsidR="00582680" w:rsidRPr="00DC36FD" w:rsidRDefault="00582680" w:rsidP="00582680">
            <w:pPr>
              <w:rPr>
                <w:lang w:val="en-GB"/>
              </w:rPr>
            </w:pPr>
          </w:p>
        </w:tc>
        <w:tc>
          <w:tcPr>
            <w:tcW w:w="777" w:type="dxa"/>
            <w:tcBorders>
              <w:top w:val="nil"/>
              <w:left w:val="nil"/>
              <w:bottom w:val="nil"/>
              <w:right w:val="nil"/>
            </w:tcBorders>
            <w:shd w:val="clear" w:color="auto" w:fill="auto"/>
            <w:noWrap/>
            <w:vAlign w:val="bottom"/>
            <w:hideMark/>
          </w:tcPr>
          <w:p w14:paraId="58875A66"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5BA3EFF1" w14:textId="77777777" w:rsidR="00582680" w:rsidRPr="00DC36FD" w:rsidRDefault="00582680" w:rsidP="00582680">
            <w:pPr>
              <w:rPr>
                <w:lang w:val="en-GB"/>
              </w:rPr>
            </w:pPr>
          </w:p>
        </w:tc>
        <w:tc>
          <w:tcPr>
            <w:tcW w:w="574" w:type="dxa"/>
            <w:tcBorders>
              <w:top w:val="nil"/>
              <w:left w:val="nil"/>
              <w:bottom w:val="nil"/>
              <w:right w:val="nil"/>
            </w:tcBorders>
            <w:shd w:val="clear" w:color="auto" w:fill="auto"/>
            <w:noWrap/>
            <w:vAlign w:val="bottom"/>
            <w:hideMark/>
          </w:tcPr>
          <w:p w14:paraId="3B38E3A4" w14:textId="77777777" w:rsidR="00582680" w:rsidRPr="00DC36FD" w:rsidRDefault="00582680" w:rsidP="00582680">
            <w:pPr>
              <w:rPr>
                <w:lang w:val="en-GB"/>
              </w:rPr>
            </w:pPr>
          </w:p>
        </w:tc>
        <w:tc>
          <w:tcPr>
            <w:tcW w:w="1093" w:type="dxa"/>
            <w:tcBorders>
              <w:top w:val="nil"/>
              <w:left w:val="nil"/>
              <w:bottom w:val="nil"/>
              <w:right w:val="nil"/>
            </w:tcBorders>
            <w:shd w:val="clear" w:color="auto" w:fill="auto"/>
            <w:noWrap/>
            <w:vAlign w:val="bottom"/>
            <w:hideMark/>
          </w:tcPr>
          <w:p w14:paraId="1081E46C" w14:textId="77777777" w:rsidR="00582680" w:rsidRPr="00DC36FD" w:rsidRDefault="00582680" w:rsidP="00582680">
            <w:pPr>
              <w:rPr>
                <w:lang w:val="en-GB"/>
              </w:rPr>
            </w:pPr>
          </w:p>
        </w:tc>
        <w:tc>
          <w:tcPr>
            <w:tcW w:w="574" w:type="dxa"/>
            <w:tcBorders>
              <w:top w:val="nil"/>
              <w:left w:val="nil"/>
              <w:bottom w:val="nil"/>
              <w:right w:val="nil"/>
            </w:tcBorders>
            <w:shd w:val="clear" w:color="auto" w:fill="auto"/>
            <w:noWrap/>
            <w:vAlign w:val="bottom"/>
            <w:hideMark/>
          </w:tcPr>
          <w:p w14:paraId="6224AE8B"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3448E3E3" w14:textId="77777777" w:rsidR="00582680" w:rsidRPr="00DC36FD" w:rsidRDefault="00582680" w:rsidP="00582680">
            <w:pPr>
              <w:rPr>
                <w:lang w:val="en-GB"/>
              </w:rPr>
            </w:pPr>
          </w:p>
        </w:tc>
        <w:tc>
          <w:tcPr>
            <w:tcW w:w="574" w:type="dxa"/>
            <w:tcBorders>
              <w:top w:val="nil"/>
              <w:left w:val="nil"/>
              <w:bottom w:val="nil"/>
              <w:right w:val="single" w:sz="4" w:space="0" w:color="auto"/>
            </w:tcBorders>
            <w:shd w:val="clear" w:color="auto" w:fill="auto"/>
            <w:noWrap/>
            <w:vAlign w:val="bottom"/>
            <w:hideMark/>
          </w:tcPr>
          <w:p w14:paraId="6B5B49B0"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7CFEB0CE" w14:textId="77777777" w:rsidTr="0065177F">
        <w:trPr>
          <w:trHeight w:val="273"/>
          <w:jc w:val="center"/>
        </w:trPr>
        <w:tc>
          <w:tcPr>
            <w:tcW w:w="3832" w:type="dxa"/>
            <w:gridSpan w:val="5"/>
            <w:tcBorders>
              <w:top w:val="nil"/>
              <w:left w:val="single" w:sz="4" w:space="0" w:color="auto"/>
              <w:bottom w:val="nil"/>
              <w:right w:val="nil"/>
            </w:tcBorders>
            <w:shd w:val="clear" w:color="auto" w:fill="auto"/>
            <w:noWrap/>
            <w:vAlign w:val="bottom"/>
            <w:hideMark/>
          </w:tcPr>
          <w:p w14:paraId="75150023" w14:textId="77777777" w:rsidR="00582680" w:rsidRPr="00DC36FD" w:rsidRDefault="00582680" w:rsidP="00582680">
            <w:pPr>
              <w:rPr>
                <w:rFonts w:ascii="Arial" w:hAnsi="Arial" w:cs="Arial"/>
                <w:b/>
                <w:bCs/>
                <w:color w:val="000000"/>
                <w:sz w:val="18"/>
                <w:szCs w:val="18"/>
                <w:lang w:val="en-GB"/>
              </w:rPr>
            </w:pPr>
            <w:r w:rsidRPr="00DC36FD">
              <w:rPr>
                <w:rFonts w:ascii="Arial" w:hAnsi="Arial" w:cs="Arial"/>
                <w:b/>
                <w:bCs/>
                <w:color w:val="000000"/>
                <w:sz w:val="18"/>
                <w:szCs w:val="18"/>
                <w:lang w:val="en-GB"/>
              </w:rPr>
              <w:t>Labour, Power, and Machinery Expenses</w:t>
            </w:r>
          </w:p>
        </w:tc>
        <w:tc>
          <w:tcPr>
            <w:tcW w:w="1015" w:type="dxa"/>
            <w:tcBorders>
              <w:top w:val="nil"/>
              <w:left w:val="nil"/>
              <w:bottom w:val="nil"/>
              <w:right w:val="nil"/>
            </w:tcBorders>
            <w:shd w:val="clear" w:color="auto" w:fill="auto"/>
            <w:noWrap/>
            <w:vAlign w:val="bottom"/>
            <w:hideMark/>
          </w:tcPr>
          <w:p w14:paraId="41B32691" w14:textId="77777777" w:rsidR="00582680" w:rsidRPr="00DC36FD" w:rsidRDefault="00582680" w:rsidP="00582680">
            <w:pPr>
              <w:rPr>
                <w:rFonts w:ascii="Arial" w:hAnsi="Arial" w:cs="Arial"/>
                <w:b/>
                <w:bCs/>
                <w:color w:val="000000"/>
                <w:sz w:val="18"/>
                <w:szCs w:val="18"/>
                <w:lang w:val="en-GB"/>
              </w:rPr>
            </w:pPr>
          </w:p>
        </w:tc>
        <w:tc>
          <w:tcPr>
            <w:tcW w:w="574" w:type="dxa"/>
            <w:tcBorders>
              <w:top w:val="nil"/>
              <w:left w:val="nil"/>
              <w:bottom w:val="nil"/>
              <w:right w:val="nil"/>
            </w:tcBorders>
            <w:shd w:val="clear" w:color="auto" w:fill="auto"/>
            <w:noWrap/>
            <w:vAlign w:val="bottom"/>
            <w:hideMark/>
          </w:tcPr>
          <w:p w14:paraId="10DB593A" w14:textId="77777777" w:rsidR="00582680" w:rsidRPr="00DC36FD" w:rsidRDefault="00582680" w:rsidP="00582680">
            <w:pPr>
              <w:rPr>
                <w:lang w:val="en-GB"/>
              </w:rPr>
            </w:pPr>
          </w:p>
        </w:tc>
        <w:tc>
          <w:tcPr>
            <w:tcW w:w="1093" w:type="dxa"/>
            <w:tcBorders>
              <w:top w:val="nil"/>
              <w:left w:val="nil"/>
              <w:bottom w:val="nil"/>
              <w:right w:val="nil"/>
            </w:tcBorders>
            <w:shd w:val="clear" w:color="auto" w:fill="auto"/>
            <w:noWrap/>
            <w:vAlign w:val="bottom"/>
            <w:hideMark/>
          </w:tcPr>
          <w:p w14:paraId="49FAC3A9" w14:textId="77777777" w:rsidR="00582680" w:rsidRPr="00DC36FD" w:rsidRDefault="00582680" w:rsidP="00582680">
            <w:pPr>
              <w:rPr>
                <w:lang w:val="en-GB"/>
              </w:rPr>
            </w:pPr>
          </w:p>
        </w:tc>
        <w:tc>
          <w:tcPr>
            <w:tcW w:w="574" w:type="dxa"/>
            <w:tcBorders>
              <w:top w:val="nil"/>
              <w:left w:val="nil"/>
              <w:bottom w:val="nil"/>
              <w:right w:val="nil"/>
            </w:tcBorders>
            <w:shd w:val="clear" w:color="auto" w:fill="auto"/>
            <w:noWrap/>
            <w:vAlign w:val="bottom"/>
            <w:hideMark/>
          </w:tcPr>
          <w:p w14:paraId="34311013"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59426F09" w14:textId="77777777" w:rsidR="00582680" w:rsidRPr="00DC36FD" w:rsidRDefault="00582680" w:rsidP="00582680">
            <w:pPr>
              <w:rPr>
                <w:lang w:val="en-GB"/>
              </w:rPr>
            </w:pPr>
          </w:p>
        </w:tc>
        <w:tc>
          <w:tcPr>
            <w:tcW w:w="574" w:type="dxa"/>
            <w:tcBorders>
              <w:top w:val="nil"/>
              <w:left w:val="nil"/>
              <w:bottom w:val="nil"/>
              <w:right w:val="single" w:sz="4" w:space="0" w:color="auto"/>
            </w:tcBorders>
            <w:shd w:val="clear" w:color="auto" w:fill="auto"/>
            <w:noWrap/>
            <w:vAlign w:val="bottom"/>
            <w:hideMark/>
          </w:tcPr>
          <w:p w14:paraId="64AA86B5"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2D2B554B" w14:textId="77777777" w:rsidTr="0065177F">
        <w:trPr>
          <w:trHeight w:val="273"/>
          <w:jc w:val="center"/>
        </w:trPr>
        <w:tc>
          <w:tcPr>
            <w:tcW w:w="498" w:type="dxa"/>
            <w:tcBorders>
              <w:top w:val="nil"/>
              <w:left w:val="single" w:sz="4" w:space="0" w:color="auto"/>
              <w:bottom w:val="nil"/>
              <w:right w:val="nil"/>
            </w:tcBorders>
            <w:shd w:val="clear" w:color="auto" w:fill="auto"/>
            <w:noWrap/>
            <w:vAlign w:val="bottom"/>
            <w:hideMark/>
          </w:tcPr>
          <w:p w14:paraId="51D1D3FC"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3334" w:type="dxa"/>
            <w:gridSpan w:val="4"/>
            <w:tcBorders>
              <w:top w:val="nil"/>
              <w:left w:val="nil"/>
              <w:bottom w:val="nil"/>
              <w:right w:val="nil"/>
            </w:tcBorders>
            <w:shd w:val="clear" w:color="auto" w:fill="auto"/>
            <w:noWrap/>
            <w:vAlign w:val="bottom"/>
            <w:hideMark/>
          </w:tcPr>
          <w:p w14:paraId="79BE3BD7"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Fuel, wages, insurance, and repairs</w:t>
            </w:r>
          </w:p>
        </w:tc>
        <w:tc>
          <w:tcPr>
            <w:tcW w:w="1015" w:type="dxa"/>
            <w:tcBorders>
              <w:top w:val="nil"/>
              <w:left w:val="nil"/>
              <w:bottom w:val="nil"/>
              <w:right w:val="nil"/>
            </w:tcBorders>
            <w:shd w:val="clear" w:color="auto" w:fill="auto"/>
            <w:noWrap/>
            <w:vAlign w:val="bottom"/>
            <w:hideMark/>
          </w:tcPr>
          <w:p w14:paraId="120AAA62"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104,122 </w:t>
            </w:r>
          </w:p>
        </w:tc>
        <w:tc>
          <w:tcPr>
            <w:tcW w:w="574" w:type="dxa"/>
            <w:tcBorders>
              <w:top w:val="nil"/>
              <w:left w:val="nil"/>
              <w:bottom w:val="nil"/>
              <w:right w:val="nil"/>
            </w:tcBorders>
            <w:shd w:val="clear" w:color="auto" w:fill="auto"/>
            <w:noWrap/>
            <w:vAlign w:val="bottom"/>
            <w:hideMark/>
          </w:tcPr>
          <w:p w14:paraId="3E372E12" w14:textId="77777777" w:rsidR="00582680" w:rsidRPr="00DC36FD" w:rsidRDefault="00582680" w:rsidP="00582680">
            <w:pPr>
              <w:jc w:val="right"/>
              <w:rPr>
                <w:rFonts w:ascii="Arial" w:hAnsi="Arial" w:cs="Arial"/>
                <w:color w:val="000000"/>
                <w:sz w:val="18"/>
                <w:szCs w:val="18"/>
                <w:lang w:val="en-GB"/>
              </w:rPr>
            </w:pPr>
          </w:p>
        </w:tc>
        <w:tc>
          <w:tcPr>
            <w:tcW w:w="1093" w:type="dxa"/>
            <w:tcBorders>
              <w:top w:val="nil"/>
              <w:left w:val="nil"/>
              <w:bottom w:val="nil"/>
              <w:right w:val="nil"/>
            </w:tcBorders>
            <w:shd w:val="clear" w:color="auto" w:fill="auto"/>
            <w:noWrap/>
            <w:vAlign w:val="bottom"/>
            <w:hideMark/>
          </w:tcPr>
          <w:p w14:paraId="65EF326B"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124,946 </w:t>
            </w:r>
          </w:p>
        </w:tc>
        <w:tc>
          <w:tcPr>
            <w:tcW w:w="574" w:type="dxa"/>
            <w:tcBorders>
              <w:top w:val="nil"/>
              <w:left w:val="nil"/>
              <w:bottom w:val="nil"/>
              <w:right w:val="nil"/>
            </w:tcBorders>
            <w:shd w:val="clear" w:color="auto" w:fill="auto"/>
            <w:noWrap/>
            <w:vAlign w:val="bottom"/>
            <w:hideMark/>
          </w:tcPr>
          <w:p w14:paraId="246E1075" w14:textId="77777777" w:rsidR="00582680" w:rsidRPr="00DC36FD" w:rsidRDefault="00582680" w:rsidP="00582680">
            <w:pPr>
              <w:jc w:val="right"/>
              <w:rPr>
                <w:rFonts w:ascii="Arial" w:hAnsi="Arial" w:cs="Arial"/>
                <w:color w:val="000000"/>
                <w:sz w:val="18"/>
                <w:szCs w:val="18"/>
                <w:lang w:val="en-GB"/>
              </w:rPr>
            </w:pPr>
          </w:p>
        </w:tc>
        <w:tc>
          <w:tcPr>
            <w:tcW w:w="1015" w:type="dxa"/>
            <w:tcBorders>
              <w:top w:val="nil"/>
              <w:left w:val="nil"/>
              <w:bottom w:val="nil"/>
              <w:right w:val="nil"/>
            </w:tcBorders>
            <w:shd w:val="clear" w:color="auto" w:fill="auto"/>
            <w:noWrap/>
            <w:vAlign w:val="bottom"/>
            <w:hideMark/>
          </w:tcPr>
          <w:p w14:paraId="2D7A2D53"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86,800 </w:t>
            </w:r>
          </w:p>
        </w:tc>
        <w:tc>
          <w:tcPr>
            <w:tcW w:w="574" w:type="dxa"/>
            <w:tcBorders>
              <w:top w:val="nil"/>
              <w:left w:val="nil"/>
              <w:bottom w:val="nil"/>
              <w:right w:val="single" w:sz="4" w:space="0" w:color="auto"/>
            </w:tcBorders>
            <w:shd w:val="clear" w:color="auto" w:fill="auto"/>
            <w:noWrap/>
            <w:vAlign w:val="bottom"/>
            <w:hideMark/>
          </w:tcPr>
          <w:p w14:paraId="4329944E"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109696A5" w14:textId="77777777" w:rsidTr="0065177F">
        <w:trPr>
          <w:trHeight w:val="273"/>
          <w:jc w:val="center"/>
        </w:trPr>
        <w:tc>
          <w:tcPr>
            <w:tcW w:w="498" w:type="dxa"/>
            <w:tcBorders>
              <w:top w:val="nil"/>
              <w:left w:val="single" w:sz="4" w:space="0" w:color="auto"/>
              <w:bottom w:val="nil"/>
              <w:right w:val="nil"/>
            </w:tcBorders>
            <w:shd w:val="clear" w:color="auto" w:fill="auto"/>
            <w:noWrap/>
            <w:vAlign w:val="bottom"/>
            <w:hideMark/>
          </w:tcPr>
          <w:p w14:paraId="7273F9BB"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1657" w:type="dxa"/>
            <w:gridSpan w:val="2"/>
            <w:tcBorders>
              <w:top w:val="nil"/>
              <w:left w:val="nil"/>
              <w:bottom w:val="nil"/>
              <w:right w:val="nil"/>
            </w:tcBorders>
            <w:shd w:val="clear" w:color="auto" w:fill="auto"/>
            <w:noWrap/>
            <w:vAlign w:val="bottom"/>
            <w:hideMark/>
          </w:tcPr>
          <w:p w14:paraId="664072D1"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Amortization</w:t>
            </w:r>
          </w:p>
        </w:tc>
        <w:tc>
          <w:tcPr>
            <w:tcW w:w="900" w:type="dxa"/>
            <w:tcBorders>
              <w:top w:val="nil"/>
              <w:left w:val="nil"/>
              <w:bottom w:val="nil"/>
              <w:right w:val="nil"/>
            </w:tcBorders>
            <w:shd w:val="clear" w:color="auto" w:fill="auto"/>
            <w:noWrap/>
            <w:vAlign w:val="bottom"/>
            <w:hideMark/>
          </w:tcPr>
          <w:p w14:paraId="5181ADBE" w14:textId="77777777" w:rsidR="00582680" w:rsidRPr="00DC36FD" w:rsidRDefault="00582680" w:rsidP="00582680">
            <w:pPr>
              <w:rPr>
                <w:rFonts w:ascii="Arial" w:hAnsi="Arial" w:cs="Arial"/>
                <w:color w:val="000000"/>
                <w:sz w:val="18"/>
                <w:szCs w:val="18"/>
                <w:lang w:val="en-GB"/>
              </w:rPr>
            </w:pPr>
          </w:p>
        </w:tc>
        <w:tc>
          <w:tcPr>
            <w:tcW w:w="777" w:type="dxa"/>
            <w:tcBorders>
              <w:top w:val="nil"/>
              <w:left w:val="nil"/>
              <w:bottom w:val="nil"/>
              <w:right w:val="nil"/>
            </w:tcBorders>
            <w:shd w:val="clear" w:color="auto" w:fill="auto"/>
            <w:noWrap/>
            <w:vAlign w:val="bottom"/>
            <w:hideMark/>
          </w:tcPr>
          <w:p w14:paraId="76F3287D"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696534C6"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87,133 </w:t>
            </w:r>
          </w:p>
        </w:tc>
        <w:tc>
          <w:tcPr>
            <w:tcW w:w="574" w:type="dxa"/>
            <w:tcBorders>
              <w:top w:val="nil"/>
              <w:left w:val="nil"/>
              <w:bottom w:val="nil"/>
              <w:right w:val="nil"/>
            </w:tcBorders>
            <w:shd w:val="clear" w:color="auto" w:fill="auto"/>
            <w:noWrap/>
            <w:vAlign w:val="bottom"/>
            <w:hideMark/>
          </w:tcPr>
          <w:p w14:paraId="6AA68963" w14:textId="77777777" w:rsidR="00582680" w:rsidRPr="00DC36FD" w:rsidRDefault="00582680" w:rsidP="00582680">
            <w:pPr>
              <w:jc w:val="right"/>
              <w:rPr>
                <w:rFonts w:ascii="Arial" w:hAnsi="Arial" w:cs="Arial"/>
                <w:color w:val="000000"/>
                <w:sz w:val="18"/>
                <w:szCs w:val="18"/>
                <w:lang w:val="en-GB"/>
              </w:rPr>
            </w:pPr>
          </w:p>
        </w:tc>
        <w:tc>
          <w:tcPr>
            <w:tcW w:w="1093" w:type="dxa"/>
            <w:tcBorders>
              <w:top w:val="nil"/>
              <w:left w:val="nil"/>
              <w:bottom w:val="nil"/>
              <w:right w:val="nil"/>
            </w:tcBorders>
            <w:shd w:val="clear" w:color="auto" w:fill="auto"/>
            <w:noWrap/>
            <w:vAlign w:val="bottom"/>
            <w:hideMark/>
          </w:tcPr>
          <w:p w14:paraId="11F185AA"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101,053 </w:t>
            </w:r>
          </w:p>
        </w:tc>
        <w:tc>
          <w:tcPr>
            <w:tcW w:w="574" w:type="dxa"/>
            <w:tcBorders>
              <w:top w:val="nil"/>
              <w:left w:val="nil"/>
              <w:bottom w:val="nil"/>
              <w:right w:val="nil"/>
            </w:tcBorders>
            <w:shd w:val="clear" w:color="auto" w:fill="auto"/>
            <w:noWrap/>
            <w:vAlign w:val="bottom"/>
            <w:hideMark/>
          </w:tcPr>
          <w:p w14:paraId="79A19768" w14:textId="77777777" w:rsidR="00582680" w:rsidRPr="00DC36FD" w:rsidRDefault="00582680" w:rsidP="00582680">
            <w:pPr>
              <w:jc w:val="right"/>
              <w:rPr>
                <w:rFonts w:ascii="Arial" w:hAnsi="Arial" w:cs="Arial"/>
                <w:color w:val="000000"/>
                <w:sz w:val="18"/>
                <w:szCs w:val="18"/>
                <w:lang w:val="en-GB"/>
              </w:rPr>
            </w:pPr>
          </w:p>
        </w:tc>
        <w:tc>
          <w:tcPr>
            <w:tcW w:w="1015" w:type="dxa"/>
            <w:tcBorders>
              <w:top w:val="nil"/>
              <w:left w:val="nil"/>
              <w:bottom w:val="nil"/>
              <w:right w:val="nil"/>
            </w:tcBorders>
            <w:shd w:val="clear" w:color="auto" w:fill="auto"/>
            <w:noWrap/>
            <w:vAlign w:val="bottom"/>
            <w:hideMark/>
          </w:tcPr>
          <w:p w14:paraId="473A6A04"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74,732 </w:t>
            </w:r>
          </w:p>
        </w:tc>
        <w:tc>
          <w:tcPr>
            <w:tcW w:w="574" w:type="dxa"/>
            <w:tcBorders>
              <w:top w:val="nil"/>
              <w:left w:val="nil"/>
              <w:bottom w:val="nil"/>
              <w:right w:val="single" w:sz="4" w:space="0" w:color="auto"/>
            </w:tcBorders>
            <w:shd w:val="clear" w:color="auto" w:fill="auto"/>
            <w:noWrap/>
            <w:vAlign w:val="bottom"/>
            <w:hideMark/>
          </w:tcPr>
          <w:p w14:paraId="2701F166"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42687B10" w14:textId="77777777" w:rsidTr="0065177F">
        <w:trPr>
          <w:trHeight w:val="273"/>
          <w:jc w:val="center"/>
        </w:trPr>
        <w:tc>
          <w:tcPr>
            <w:tcW w:w="498" w:type="dxa"/>
            <w:tcBorders>
              <w:top w:val="nil"/>
              <w:left w:val="single" w:sz="4" w:space="0" w:color="auto"/>
              <w:bottom w:val="nil"/>
              <w:right w:val="nil"/>
            </w:tcBorders>
            <w:shd w:val="clear" w:color="auto" w:fill="auto"/>
            <w:noWrap/>
            <w:vAlign w:val="bottom"/>
            <w:hideMark/>
          </w:tcPr>
          <w:p w14:paraId="7C1E0171"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2557" w:type="dxa"/>
            <w:gridSpan w:val="3"/>
            <w:tcBorders>
              <w:top w:val="nil"/>
              <w:left w:val="nil"/>
              <w:bottom w:val="nil"/>
              <w:right w:val="nil"/>
            </w:tcBorders>
            <w:shd w:val="clear" w:color="auto" w:fill="auto"/>
            <w:noWrap/>
            <w:vAlign w:val="bottom"/>
            <w:hideMark/>
          </w:tcPr>
          <w:p w14:paraId="262A5386"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Interest on equipment</w:t>
            </w:r>
          </w:p>
        </w:tc>
        <w:tc>
          <w:tcPr>
            <w:tcW w:w="777" w:type="dxa"/>
            <w:tcBorders>
              <w:top w:val="nil"/>
              <w:left w:val="nil"/>
              <w:bottom w:val="nil"/>
              <w:right w:val="nil"/>
            </w:tcBorders>
            <w:shd w:val="clear" w:color="auto" w:fill="auto"/>
            <w:noWrap/>
            <w:vAlign w:val="bottom"/>
            <w:hideMark/>
          </w:tcPr>
          <w:p w14:paraId="40D2FEBE" w14:textId="77777777" w:rsidR="00582680" w:rsidRPr="00DC36FD" w:rsidRDefault="00582680" w:rsidP="00582680">
            <w:pPr>
              <w:rPr>
                <w:rFonts w:ascii="Arial" w:hAnsi="Arial" w:cs="Arial"/>
                <w:color w:val="000000"/>
                <w:sz w:val="18"/>
                <w:szCs w:val="18"/>
                <w:lang w:val="en-GB"/>
              </w:rPr>
            </w:pPr>
          </w:p>
        </w:tc>
        <w:tc>
          <w:tcPr>
            <w:tcW w:w="1015" w:type="dxa"/>
            <w:tcBorders>
              <w:top w:val="nil"/>
              <w:left w:val="nil"/>
              <w:bottom w:val="nil"/>
              <w:right w:val="nil"/>
            </w:tcBorders>
            <w:shd w:val="clear" w:color="auto" w:fill="auto"/>
            <w:noWrap/>
            <w:vAlign w:val="bottom"/>
            <w:hideMark/>
          </w:tcPr>
          <w:p w14:paraId="7983884D"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40,321 </w:t>
            </w:r>
          </w:p>
        </w:tc>
        <w:tc>
          <w:tcPr>
            <w:tcW w:w="574" w:type="dxa"/>
            <w:tcBorders>
              <w:top w:val="nil"/>
              <w:left w:val="nil"/>
              <w:bottom w:val="nil"/>
              <w:right w:val="nil"/>
            </w:tcBorders>
            <w:shd w:val="clear" w:color="auto" w:fill="auto"/>
            <w:noWrap/>
            <w:vAlign w:val="bottom"/>
            <w:hideMark/>
          </w:tcPr>
          <w:p w14:paraId="4610E48A" w14:textId="77777777" w:rsidR="00582680" w:rsidRPr="00DC36FD" w:rsidRDefault="00582680" w:rsidP="00582680">
            <w:pPr>
              <w:jc w:val="right"/>
              <w:rPr>
                <w:rFonts w:ascii="Arial" w:hAnsi="Arial" w:cs="Arial"/>
                <w:color w:val="000000"/>
                <w:sz w:val="18"/>
                <w:szCs w:val="18"/>
                <w:lang w:val="en-GB"/>
              </w:rPr>
            </w:pPr>
          </w:p>
        </w:tc>
        <w:tc>
          <w:tcPr>
            <w:tcW w:w="1093" w:type="dxa"/>
            <w:tcBorders>
              <w:top w:val="nil"/>
              <w:left w:val="nil"/>
              <w:bottom w:val="nil"/>
              <w:right w:val="nil"/>
            </w:tcBorders>
            <w:shd w:val="clear" w:color="auto" w:fill="auto"/>
            <w:noWrap/>
            <w:vAlign w:val="bottom"/>
            <w:hideMark/>
          </w:tcPr>
          <w:p w14:paraId="111C51A3"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52,679 </w:t>
            </w:r>
          </w:p>
        </w:tc>
        <w:tc>
          <w:tcPr>
            <w:tcW w:w="574" w:type="dxa"/>
            <w:tcBorders>
              <w:top w:val="nil"/>
              <w:left w:val="nil"/>
              <w:bottom w:val="nil"/>
              <w:right w:val="nil"/>
            </w:tcBorders>
            <w:shd w:val="clear" w:color="auto" w:fill="auto"/>
            <w:noWrap/>
            <w:vAlign w:val="bottom"/>
            <w:hideMark/>
          </w:tcPr>
          <w:p w14:paraId="067482FB" w14:textId="77777777" w:rsidR="00582680" w:rsidRPr="00DC36FD" w:rsidRDefault="00582680" w:rsidP="00582680">
            <w:pPr>
              <w:jc w:val="right"/>
              <w:rPr>
                <w:rFonts w:ascii="Arial" w:hAnsi="Arial" w:cs="Arial"/>
                <w:color w:val="000000"/>
                <w:sz w:val="18"/>
                <w:szCs w:val="18"/>
                <w:lang w:val="en-GB"/>
              </w:rPr>
            </w:pPr>
          </w:p>
        </w:tc>
        <w:tc>
          <w:tcPr>
            <w:tcW w:w="1015" w:type="dxa"/>
            <w:tcBorders>
              <w:top w:val="nil"/>
              <w:left w:val="nil"/>
              <w:bottom w:val="nil"/>
              <w:right w:val="nil"/>
            </w:tcBorders>
            <w:shd w:val="clear" w:color="auto" w:fill="auto"/>
            <w:noWrap/>
            <w:vAlign w:val="bottom"/>
            <w:hideMark/>
          </w:tcPr>
          <w:p w14:paraId="3ED18377"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35,789 </w:t>
            </w:r>
          </w:p>
        </w:tc>
        <w:tc>
          <w:tcPr>
            <w:tcW w:w="574" w:type="dxa"/>
            <w:tcBorders>
              <w:top w:val="nil"/>
              <w:left w:val="nil"/>
              <w:bottom w:val="nil"/>
              <w:right w:val="single" w:sz="4" w:space="0" w:color="auto"/>
            </w:tcBorders>
            <w:shd w:val="clear" w:color="auto" w:fill="auto"/>
            <w:noWrap/>
            <w:vAlign w:val="bottom"/>
            <w:hideMark/>
          </w:tcPr>
          <w:p w14:paraId="06AD537C"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51C8C5BE" w14:textId="77777777" w:rsidTr="0065177F">
        <w:trPr>
          <w:trHeight w:val="273"/>
          <w:jc w:val="center"/>
        </w:trPr>
        <w:tc>
          <w:tcPr>
            <w:tcW w:w="498" w:type="dxa"/>
            <w:tcBorders>
              <w:top w:val="nil"/>
              <w:left w:val="single" w:sz="4" w:space="0" w:color="auto"/>
              <w:bottom w:val="nil"/>
              <w:right w:val="nil"/>
            </w:tcBorders>
            <w:shd w:val="clear" w:color="auto" w:fill="auto"/>
            <w:noWrap/>
            <w:vAlign w:val="bottom"/>
            <w:hideMark/>
          </w:tcPr>
          <w:p w14:paraId="3D45E570"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2557" w:type="dxa"/>
            <w:gridSpan w:val="3"/>
            <w:tcBorders>
              <w:top w:val="nil"/>
              <w:left w:val="nil"/>
              <w:bottom w:val="nil"/>
              <w:right w:val="nil"/>
            </w:tcBorders>
            <w:shd w:val="clear" w:color="auto" w:fill="auto"/>
            <w:noWrap/>
            <w:vAlign w:val="bottom"/>
            <w:hideMark/>
          </w:tcPr>
          <w:p w14:paraId="3D7FBE3F"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Office, professional fees, etc.</w:t>
            </w:r>
          </w:p>
        </w:tc>
        <w:tc>
          <w:tcPr>
            <w:tcW w:w="777" w:type="dxa"/>
            <w:tcBorders>
              <w:top w:val="nil"/>
              <w:left w:val="nil"/>
              <w:bottom w:val="nil"/>
              <w:right w:val="nil"/>
            </w:tcBorders>
            <w:shd w:val="clear" w:color="auto" w:fill="auto"/>
            <w:noWrap/>
            <w:vAlign w:val="bottom"/>
            <w:hideMark/>
          </w:tcPr>
          <w:p w14:paraId="68B25871" w14:textId="77777777" w:rsidR="00582680" w:rsidRPr="00DC36FD" w:rsidRDefault="00582680" w:rsidP="00582680">
            <w:pPr>
              <w:rPr>
                <w:rFonts w:ascii="Arial" w:hAnsi="Arial" w:cs="Arial"/>
                <w:color w:val="000000"/>
                <w:sz w:val="18"/>
                <w:szCs w:val="18"/>
                <w:lang w:val="en-GB"/>
              </w:rPr>
            </w:pPr>
          </w:p>
        </w:tc>
        <w:tc>
          <w:tcPr>
            <w:tcW w:w="1015" w:type="dxa"/>
            <w:tcBorders>
              <w:top w:val="nil"/>
              <w:left w:val="nil"/>
              <w:bottom w:val="nil"/>
              <w:right w:val="nil"/>
            </w:tcBorders>
            <w:shd w:val="clear" w:color="auto" w:fill="auto"/>
            <w:noWrap/>
            <w:vAlign w:val="bottom"/>
            <w:hideMark/>
          </w:tcPr>
          <w:p w14:paraId="1CF7D3ED"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36,301 </w:t>
            </w:r>
          </w:p>
        </w:tc>
        <w:tc>
          <w:tcPr>
            <w:tcW w:w="574" w:type="dxa"/>
            <w:tcBorders>
              <w:top w:val="nil"/>
              <w:left w:val="nil"/>
              <w:bottom w:val="nil"/>
              <w:right w:val="nil"/>
            </w:tcBorders>
            <w:shd w:val="clear" w:color="auto" w:fill="auto"/>
            <w:noWrap/>
            <w:vAlign w:val="bottom"/>
            <w:hideMark/>
          </w:tcPr>
          <w:p w14:paraId="6A89DBA6" w14:textId="77777777" w:rsidR="00582680" w:rsidRPr="00DC36FD" w:rsidRDefault="00582680" w:rsidP="00582680">
            <w:pPr>
              <w:jc w:val="right"/>
              <w:rPr>
                <w:rFonts w:ascii="Arial" w:hAnsi="Arial" w:cs="Arial"/>
                <w:color w:val="000000"/>
                <w:sz w:val="18"/>
                <w:szCs w:val="18"/>
                <w:lang w:val="en-GB"/>
              </w:rPr>
            </w:pPr>
          </w:p>
        </w:tc>
        <w:tc>
          <w:tcPr>
            <w:tcW w:w="1093" w:type="dxa"/>
            <w:tcBorders>
              <w:top w:val="nil"/>
              <w:left w:val="nil"/>
              <w:bottom w:val="nil"/>
              <w:right w:val="nil"/>
            </w:tcBorders>
            <w:shd w:val="clear" w:color="auto" w:fill="auto"/>
            <w:noWrap/>
            <w:vAlign w:val="bottom"/>
            <w:hideMark/>
          </w:tcPr>
          <w:p w14:paraId="45BC641E"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35,689 </w:t>
            </w:r>
          </w:p>
        </w:tc>
        <w:tc>
          <w:tcPr>
            <w:tcW w:w="574" w:type="dxa"/>
            <w:tcBorders>
              <w:top w:val="nil"/>
              <w:left w:val="nil"/>
              <w:bottom w:val="nil"/>
              <w:right w:val="nil"/>
            </w:tcBorders>
            <w:shd w:val="clear" w:color="auto" w:fill="auto"/>
            <w:noWrap/>
            <w:vAlign w:val="bottom"/>
            <w:hideMark/>
          </w:tcPr>
          <w:p w14:paraId="6759B38E" w14:textId="77777777" w:rsidR="00582680" w:rsidRPr="00DC36FD" w:rsidRDefault="00582680" w:rsidP="00582680">
            <w:pPr>
              <w:jc w:val="right"/>
              <w:rPr>
                <w:rFonts w:ascii="Arial" w:hAnsi="Arial" w:cs="Arial"/>
                <w:color w:val="000000"/>
                <w:sz w:val="18"/>
                <w:szCs w:val="18"/>
                <w:lang w:val="en-GB"/>
              </w:rPr>
            </w:pPr>
          </w:p>
        </w:tc>
        <w:tc>
          <w:tcPr>
            <w:tcW w:w="1015" w:type="dxa"/>
            <w:tcBorders>
              <w:top w:val="nil"/>
              <w:left w:val="nil"/>
              <w:bottom w:val="nil"/>
              <w:right w:val="nil"/>
            </w:tcBorders>
            <w:shd w:val="clear" w:color="auto" w:fill="auto"/>
            <w:noWrap/>
            <w:vAlign w:val="bottom"/>
            <w:hideMark/>
          </w:tcPr>
          <w:p w14:paraId="774A348F"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34,539 </w:t>
            </w:r>
          </w:p>
        </w:tc>
        <w:tc>
          <w:tcPr>
            <w:tcW w:w="574" w:type="dxa"/>
            <w:tcBorders>
              <w:top w:val="nil"/>
              <w:left w:val="nil"/>
              <w:bottom w:val="nil"/>
              <w:right w:val="single" w:sz="4" w:space="0" w:color="auto"/>
            </w:tcBorders>
            <w:shd w:val="clear" w:color="auto" w:fill="auto"/>
            <w:noWrap/>
            <w:vAlign w:val="bottom"/>
            <w:hideMark/>
          </w:tcPr>
          <w:p w14:paraId="74CF5A51"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2AEE558E" w14:textId="77777777" w:rsidTr="0065177F">
        <w:trPr>
          <w:trHeight w:val="273"/>
          <w:jc w:val="center"/>
        </w:trPr>
        <w:tc>
          <w:tcPr>
            <w:tcW w:w="498" w:type="dxa"/>
            <w:tcBorders>
              <w:top w:val="nil"/>
              <w:left w:val="single" w:sz="4" w:space="0" w:color="auto"/>
              <w:bottom w:val="nil"/>
              <w:right w:val="nil"/>
            </w:tcBorders>
            <w:shd w:val="clear" w:color="auto" w:fill="auto"/>
            <w:noWrap/>
            <w:vAlign w:val="bottom"/>
            <w:hideMark/>
          </w:tcPr>
          <w:p w14:paraId="1E56EEA8"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575" w:type="dxa"/>
            <w:tcBorders>
              <w:top w:val="nil"/>
              <w:left w:val="nil"/>
              <w:bottom w:val="nil"/>
              <w:right w:val="nil"/>
            </w:tcBorders>
            <w:shd w:val="clear" w:color="auto" w:fill="auto"/>
            <w:noWrap/>
            <w:vAlign w:val="bottom"/>
            <w:hideMark/>
          </w:tcPr>
          <w:p w14:paraId="080E5456" w14:textId="77777777" w:rsidR="00582680" w:rsidRPr="00DC36FD" w:rsidRDefault="00582680" w:rsidP="00582680">
            <w:pPr>
              <w:rPr>
                <w:rFonts w:ascii="Arial" w:hAnsi="Arial" w:cs="Arial"/>
                <w:color w:val="000000"/>
                <w:sz w:val="18"/>
                <w:szCs w:val="18"/>
                <w:lang w:val="en-GB"/>
              </w:rPr>
            </w:pPr>
          </w:p>
        </w:tc>
        <w:tc>
          <w:tcPr>
            <w:tcW w:w="1082" w:type="dxa"/>
            <w:tcBorders>
              <w:top w:val="nil"/>
              <w:left w:val="nil"/>
              <w:bottom w:val="nil"/>
              <w:right w:val="nil"/>
            </w:tcBorders>
            <w:shd w:val="clear" w:color="auto" w:fill="auto"/>
            <w:noWrap/>
            <w:vAlign w:val="bottom"/>
            <w:hideMark/>
          </w:tcPr>
          <w:p w14:paraId="28C62EA7" w14:textId="77777777" w:rsidR="00582680" w:rsidRPr="00DC36FD" w:rsidRDefault="00582680" w:rsidP="00582680">
            <w:pPr>
              <w:rPr>
                <w:lang w:val="en-GB"/>
              </w:rPr>
            </w:pPr>
          </w:p>
        </w:tc>
        <w:tc>
          <w:tcPr>
            <w:tcW w:w="900" w:type="dxa"/>
            <w:tcBorders>
              <w:top w:val="nil"/>
              <w:left w:val="nil"/>
              <w:bottom w:val="nil"/>
              <w:right w:val="nil"/>
            </w:tcBorders>
            <w:shd w:val="clear" w:color="auto" w:fill="auto"/>
            <w:noWrap/>
            <w:vAlign w:val="bottom"/>
            <w:hideMark/>
          </w:tcPr>
          <w:p w14:paraId="55F8741D" w14:textId="77777777" w:rsidR="00582680" w:rsidRPr="00DC36FD" w:rsidRDefault="00582680" w:rsidP="00582680">
            <w:pPr>
              <w:rPr>
                <w:lang w:val="en-GB"/>
              </w:rPr>
            </w:pPr>
          </w:p>
        </w:tc>
        <w:tc>
          <w:tcPr>
            <w:tcW w:w="777" w:type="dxa"/>
            <w:tcBorders>
              <w:top w:val="nil"/>
              <w:left w:val="nil"/>
              <w:bottom w:val="nil"/>
              <w:right w:val="nil"/>
            </w:tcBorders>
            <w:shd w:val="clear" w:color="auto" w:fill="auto"/>
            <w:noWrap/>
            <w:vAlign w:val="bottom"/>
            <w:hideMark/>
          </w:tcPr>
          <w:p w14:paraId="378B6643" w14:textId="77777777" w:rsidR="00582680" w:rsidRPr="00DC36FD" w:rsidRDefault="00582680" w:rsidP="00582680">
            <w:pPr>
              <w:rPr>
                <w:lang w:val="en-GB"/>
              </w:rPr>
            </w:pPr>
          </w:p>
        </w:tc>
        <w:tc>
          <w:tcPr>
            <w:tcW w:w="1015" w:type="dxa"/>
            <w:tcBorders>
              <w:top w:val="single" w:sz="4" w:space="0" w:color="auto"/>
              <w:left w:val="nil"/>
              <w:bottom w:val="single" w:sz="4" w:space="0" w:color="auto"/>
              <w:right w:val="nil"/>
            </w:tcBorders>
            <w:shd w:val="clear" w:color="auto" w:fill="auto"/>
            <w:noWrap/>
            <w:vAlign w:val="bottom"/>
            <w:hideMark/>
          </w:tcPr>
          <w:p w14:paraId="79DED720"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267,877 </w:t>
            </w:r>
          </w:p>
        </w:tc>
        <w:tc>
          <w:tcPr>
            <w:tcW w:w="574" w:type="dxa"/>
            <w:tcBorders>
              <w:top w:val="nil"/>
              <w:left w:val="nil"/>
              <w:bottom w:val="nil"/>
              <w:right w:val="nil"/>
            </w:tcBorders>
            <w:shd w:val="clear" w:color="auto" w:fill="auto"/>
            <w:noWrap/>
            <w:vAlign w:val="bottom"/>
            <w:hideMark/>
          </w:tcPr>
          <w:p w14:paraId="74EFEF11" w14:textId="77777777" w:rsidR="00582680" w:rsidRPr="00DC36FD" w:rsidRDefault="00582680" w:rsidP="00582680">
            <w:pPr>
              <w:jc w:val="right"/>
              <w:rPr>
                <w:rFonts w:ascii="Arial" w:hAnsi="Arial" w:cs="Arial"/>
                <w:color w:val="000000"/>
                <w:sz w:val="18"/>
                <w:szCs w:val="18"/>
                <w:lang w:val="en-GB"/>
              </w:rPr>
            </w:pPr>
          </w:p>
        </w:tc>
        <w:tc>
          <w:tcPr>
            <w:tcW w:w="1093" w:type="dxa"/>
            <w:tcBorders>
              <w:top w:val="single" w:sz="4" w:space="0" w:color="auto"/>
              <w:left w:val="nil"/>
              <w:bottom w:val="single" w:sz="4" w:space="0" w:color="auto"/>
              <w:right w:val="nil"/>
            </w:tcBorders>
            <w:shd w:val="clear" w:color="auto" w:fill="auto"/>
            <w:noWrap/>
            <w:vAlign w:val="bottom"/>
            <w:hideMark/>
          </w:tcPr>
          <w:p w14:paraId="33B3568A"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314,367 </w:t>
            </w:r>
          </w:p>
        </w:tc>
        <w:tc>
          <w:tcPr>
            <w:tcW w:w="574" w:type="dxa"/>
            <w:tcBorders>
              <w:top w:val="nil"/>
              <w:left w:val="nil"/>
              <w:bottom w:val="nil"/>
              <w:right w:val="nil"/>
            </w:tcBorders>
            <w:shd w:val="clear" w:color="auto" w:fill="auto"/>
            <w:noWrap/>
            <w:vAlign w:val="bottom"/>
            <w:hideMark/>
          </w:tcPr>
          <w:p w14:paraId="020BAD40" w14:textId="77777777" w:rsidR="00582680" w:rsidRPr="00DC36FD" w:rsidRDefault="00582680" w:rsidP="00582680">
            <w:pPr>
              <w:jc w:val="right"/>
              <w:rPr>
                <w:rFonts w:ascii="Arial" w:hAnsi="Arial" w:cs="Arial"/>
                <w:color w:val="000000"/>
                <w:sz w:val="18"/>
                <w:szCs w:val="18"/>
                <w:lang w:val="en-GB"/>
              </w:rPr>
            </w:pPr>
          </w:p>
        </w:tc>
        <w:tc>
          <w:tcPr>
            <w:tcW w:w="1015" w:type="dxa"/>
            <w:tcBorders>
              <w:top w:val="single" w:sz="4" w:space="0" w:color="auto"/>
              <w:left w:val="nil"/>
              <w:bottom w:val="single" w:sz="4" w:space="0" w:color="auto"/>
              <w:right w:val="nil"/>
            </w:tcBorders>
            <w:shd w:val="clear" w:color="auto" w:fill="auto"/>
            <w:noWrap/>
            <w:vAlign w:val="bottom"/>
            <w:hideMark/>
          </w:tcPr>
          <w:p w14:paraId="15021DCF"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231,860 </w:t>
            </w:r>
          </w:p>
        </w:tc>
        <w:tc>
          <w:tcPr>
            <w:tcW w:w="574" w:type="dxa"/>
            <w:tcBorders>
              <w:top w:val="nil"/>
              <w:left w:val="nil"/>
              <w:bottom w:val="nil"/>
              <w:right w:val="single" w:sz="4" w:space="0" w:color="auto"/>
            </w:tcBorders>
            <w:shd w:val="clear" w:color="auto" w:fill="auto"/>
            <w:noWrap/>
            <w:vAlign w:val="bottom"/>
            <w:hideMark/>
          </w:tcPr>
          <w:p w14:paraId="0D3E5277"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6224EC7B" w14:textId="77777777" w:rsidTr="0065177F">
        <w:trPr>
          <w:trHeight w:val="273"/>
          <w:jc w:val="center"/>
        </w:trPr>
        <w:tc>
          <w:tcPr>
            <w:tcW w:w="2155" w:type="dxa"/>
            <w:gridSpan w:val="3"/>
            <w:tcBorders>
              <w:top w:val="nil"/>
              <w:left w:val="single" w:sz="4" w:space="0" w:color="auto"/>
              <w:bottom w:val="nil"/>
              <w:right w:val="nil"/>
            </w:tcBorders>
            <w:shd w:val="clear" w:color="auto" w:fill="auto"/>
            <w:noWrap/>
            <w:vAlign w:val="bottom"/>
            <w:hideMark/>
          </w:tcPr>
          <w:p w14:paraId="1454F684" w14:textId="77777777" w:rsidR="00582680" w:rsidRPr="00DC36FD" w:rsidRDefault="00582680" w:rsidP="00582680">
            <w:pPr>
              <w:rPr>
                <w:rFonts w:ascii="Arial" w:hAnsi="Arial" w:cs="Arial"/>
                <w:b/>
                <w:bCs/>
                <w:color w:val="000000"/>
                <w:sz w:val="18"/>
                <w:szCs w:val="18"/>
                <w:lang w:val="en-GB"/>
              </w:rPr>
            </w:pPr>
            <w:r w:rsidRPr="00DC36FD">
              <w:rPr>
                <w:rFonts w:ascii="Arial" w:hAnsi="Arial" w:cs="Arial"/>
                <w:b/>
                <w:bCs/>
                <w:color w:val="000000"/>
                <w:sz w:val="18"/>
                <w:szCs w:val="18"/>
                <w:lang w:val="en-GB"/>
              </w:rPr>
              <w:t>Contribution Margin</w:t>
            </w:r>
          </w:p>
        </w:tc>
        <w:tc>
          <w:tcPr>
            <w:tcW w:w="900" w:type="dxa"/>
            <w:tcBorders>
              <w:top w:val="nil"/>
              <w:left w:val="nil"/>
              <w:bottom w:val="nil"/>
              <w:right w:val="nil"/>
            </w:tcBorders>
            <w:shd w:val="clear" w:color="auto" w:fill="auto"/>
            <w:noWrap/>
            <w:vAlign w:val="bottom"/>
            <w:hideMark/>
          </w:tcPr>
          <w:p w14:paraId="1A81D5D6" w14:textId="77777777" w:rsidR="00582680" w:rsidRPr="00DC36FD" w:rsidRDefault="00582680" w:rsidP="00582680">
            <w:pPr>
              <w:rPr>
                <w:rFonts w:ascii="Arial" w:hAnsi="Arial" w:cs="Arial"/>
                <w:b/>
                <w:bCs/>
                <w:color w:val="000000"/>
                <w:sz w:val="18"/>
                <w:szCs w:val="18"/>
                <w:lang w:val="en-GB"/>
              </w:rPr>
            </w:pPr>
          </w:p>
        </w:tc>
        <w:tc>
          <w:tcPr>
            <w:tcW w:w="777" w:type="dxa"/>
            <w:tcBorders>
              <w:top w:val="nil"/>
              <w:left w:val="nil"/>
              <w:bottom w:val="nil"/>
              <w:right w:val="nil"/>
            </w:tcBorders>
            <w:shd w:val="clear" w:color="auto" w:fill="auto"/>
            <w:noWrap/>
            <w:vAlign w:val="bottom"/>
            <w:hideMark/>
          </w:tcPr>
          <w:p w14:paraId="01F528D8"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352C9F7D"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147,912 </w:t>
            </w:r>
          </w:p>
        </w:tc>
        <w:tc>
          <w:tcPr>
            <w:tcW w:w="574" w:type="dxa"/>
            <w:tcBorders>
              <w:top w:val="nil"/>
              <w:left w:val="nil"/>
              <w:bottom w:val="nil"/>
              <w:right w:val="nil"/>
            </w:tcBorders>
            <w:shd w:val="clear" w:color="auto" w:fill="auto"/>
            <w:noWrap/>
            <w:vAlign w:val="bottom"/>
            <w:hideMark/>
          </w:tcPr>
          <w:p w14:paraId="0BEF6106" w14:textId="77777777" w:rsidR="00582680" w:rsidRPr="00DC36FD" w:rsidRDefault="00582680" w:rsidP="00582680">
            <w:pPr>
              <w:jc w:val="right"/>
              <w:rPr>
                <w:rFonts w:ascii="Arial" w:hAnsi="Arial" w:cs="Arial"/>
                <w:color w:val="000000"/>
                <w:sz w:val="18"/>
                <w:szCs w:val="18"/>
                <w:lang w:val="en-GB"/>
              </w:rPr>
            </w:pPr>
          </w:p>
        </w:tc>
        <w:tc>
          <w:tcPr>
            <w:tcW w:w="1093" w:type="dxa"/>
            <w:tcBorders>
              <w:top w:val="nil"/>
              <w:left w:val="nil"/>
              <w:bottom w:val="nil"/>
              <w:right w:val="nil"/>
            </w:tcBorders>
            <w:shd w:val="clear" w:color="auto" w:fill="auto"/>
            <w:noWrap/>
            <w:vAlign w:val="bottom"/>
            <w:hideMark/>
          </w:tcPr>
          <w:p w14:paraId="7969C8CA"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339,066 </w:t>
            </w:r>
          </w:p>
        </w:tc>
        <w:tc>
          <w:tcPr>
            <w:tcW w:w="574" w:type="dxa"/>
            <w:tcBorders>
              <w:top w:val="nil"/>
              <w:left w:val="nil"/>
              <w:bottom w:val="nil"/>
              <w:right w:val="nil"/>
            </w:tcBorders>
            <w:shd w:val="clear" w:color="auto" w:fill="auto"/>
            <w:noWrap/>
            <w:vAlign w:val="bottom"/>
            <w:hideMark/>
          </w:tcPr>
          <w:p w14:paraId="6A48F4A0" w14:textId="77777777" w:rsidR="00582680" w:rsidRPr="00DC36FD" w:rsidRDefault="00582680" w:rsidP="00582680">
            <w:pPr>
              <w:jc w:val="right"/>
              <w:rPr>
                <w:rFonts w:ascii="Arial" w:hAnsi="Arial" w:cs="Arial"/>
                <w:color w:val="000000"/>
                <w:sz w:val="18"/>
                <w:szCs w:val="18"/>
                <w:lang w:val="en-GB"/>
              </w:rPr>
            </w:pPr>
          </w:p>
        </w:tc>
        <w:tc>
          <w:tcPr>
            <w:tcW w:w="1015" w:type="dxa"/>
            <w:tcBorders>
              <w:top w:val="nil"/>
              <w:left w:val="nil"/>
              <w:bottom w:val="nil"/>
              <w:right w:val="nil"/>
            </w:tcBorders>
            <w:shd w:val="clear" w:color="auto" w:fill="auto"/>
            <w:noWrap/>
            <w:vAlign w:val="bottom"/>
            <w:hideMark/>
          </w:tcPr>
          <w:p w14:paraId="0BDD9916"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299,164 </w:t>
            </w:r>
          </w:p>
        </w:tc>
        <w:tc>
          <w:tcPr>
            <w:tcW w:w="574" w:type="dxa"/>
            <w:tcBorders>
              <w:top w:val="nil"/>
              <w:left w:val="nil"/>
              <w:bottom w:val="nil"/>
              <w:right w:val="single" w:sz="4" w:space="0" w:color="auto"/>
            </w:tcBorders>
            <w:shd w:val="clear" w:color="auto" w:fill="auto"/>
            <w:noWrap/>
            <w:vAlign w:val="bottom"/>
            <w:hideMark/>
          </w:tcPr>
          <w:p w14:paraId="4F46973D"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6D95316B" w14:textId="77777777" w:rsidTr="0065177F">
        <w:trPr>
          <w:trHeight w:val="273"/>
          <w:jc w:val="center"/>
        </w:trPr>
        <w:tc>
          <w:tcPr>
            <w:tcW w:w="498" w:type="dxa"/>
            <w:tcBorders>
              <w:top w:val="nil"/>
              <w:left w:val="single" w:sz="4" w:space="0" w:color="auto"/>
              <w:bottom w:val="nil"/>
              <w:right w:val="nil"/>
            </w:tcBorders>
            <w:shd w:val="clear" w:color="auto" w:fill="auto"/>
            <w:noWrap/>
            <w:vAlign w:val="bottom"/>
            <w:hideMark/>
          </w:tcPr>
          <w:p w14:paraId="3D91050C" w14:textId="77777777" w:rsidR="00582680" w:rsidRPr="00DC36FD" w:rsidRDefault="00582680" w:rsidP="00582680">
            <w:pPr>
              <w:rPr>
                <w:rFonts w:ascii="Arial" w:hAnsi="Arial" w:cs="Arial"/>
                <w:b/>
                <w:bCs/>
                <w:color w:val="000000"/>
                <w:sz w:val="18"/>
                <w:szCs w:val="18"/>
                <w:lang w:val="en-GB"/>
              </w:rPr>
            </w:pPr>
            <w:r w:rsidRPr="00DC36FD">
              <w:rPr>
                <w:rFonts w:ascii="Arial" w:hAnsi="Arial" w:cs="Arial"/>
                <w:b/>
                <w:bCs/>
                <w:color w:val="000000"/>
                <w:sz w:val="18"/>
                <w:szCs w:val="18"/>
                <w:lang w:val="en-GB"/>
              </w:rPr>
              <w:t> </w:t>
            </w:r>
          </w:p>
        </w:tc>
        <w:tc>
          <w:tcPr>
            <w:tcW w:w="575" w:type="dxa"/>
            <w:tcBorders>
              <w:top w:val="nil"/>
              <w:left w:val="nil"/>
              <w:bottom w:val="nil"/>
              <w:right w:val="nil"/>
            </w:tcBorders>
            <w:shd w:val="clear" w:color="auto" w:fill="auto"/>
            <w:noWrap/>
            <w:vAlign w:val="bottom"/>
            <w:hideMark/>
          </w:tcPr>
          <w:p w14:paraId="7F7B7971" w14:textId="77777777" w:rsidR="00582680" w:rsidRPr="00DC36FD" w:rsidRDefault="00582680" w:rsidP="00582680">
            <w:pPr>
              <w:rPr>
                <w:rFonts w:ascii="Arial" w:hAnsi="Arial" w:cs="Arial"/>
                <w:b/>
                <w:bCs/>
                <w:color w:val="000000"/>
                <w:sz w:val="18"/>
                <w:szCs w:val="18"/>
                <w:lang w:val="en-GB"/>
              </w:rPr>
            </w:pPr>
          </w:p>
        </w:tc>
        <w:tc>
          <w:tcPr>
            <w:tcW w:w="1082" w:type="dxa"/>
            <w:tcBorders>
              <w:top w:val="nil"/>
              <w:left w:val="nil"/>
              <w:bottom w:val="nil"/>
              <w:right w:val="nil"/>
            </w:tcBorders>
            <w:shd w:val="clear" w:color="auto" w:fill="auto"/>
            <w:noWrap/>
            <w:vAlign w:val="bottom"/>
            <w:hideMark/>
          </w:tcPr>
          <w:p w14:paraId="3EEEED52" w14:textId="77777777" w:rsidR="00582680" w:rsidRPr="00DC36FD" w:rsidRDefault="00582680" w:rsidP="00582680">
            <w:pPr>
              <w:rPr>
                <w:lang w:val="en-GB"/>
              </w:rPr>
            </w:pPr>
          </w:p>
        </w:tc>
        <w:tc>
          <w:tcPr>
            <w:tcW w:w="900" w:type="dxa"/>
            <w:tcBorders>
              <w:top w:val="nil"/>
              <w:left w:val="nil"/>
              <w:bottom w:val="nil"/>
              <w:right w:val="nil"/>
            </w:tcBorders>
            <w:shd w:val="clear" w:color="auto" w:fill="auto"/>
            <w:noWrap/>
            <w:vAlign w:val="bottom"/>
            <w:hideMark/>
          </w:tcPr>
          <w:p w14:paraId="6F1333A2" w14:textId="77777777" w:rsidR="00582680" w:rsidRPr="00DC36FD" w:rsidRDefault="00582680" w:rsidP="00582680">
            <w:pPr>
              <w:rPr>
                <w:lang w:val="en-GB"/>
              </w:rPr>
            </w:pPr>
          </w:p>
        </w:tc>
        <w:tc>
          <w:tcPr>
            <w:tcW w:w="777" w:type="dxa"/>
            <w:tcBorders>
              <w:top w:val="nil"/>
              <w:left w:val="nil"/>
              <w:bottom w:val="nil"/>
              <w:right w:val="nil"/>
            </w:tcBorders>
            <w:shd w:val="clear" w:color="auto" w:fill="auto"/>
            <w:noWrap/>
            <w:vAlign w:val="bottom"/>
            <w:hideMark/>
          </w:tcPr>
          <w:p w14:paraId="4EB0CDAE"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6FCF618D" w14:textId="77777777" w:rsidR="00582680" w:rsidRPr="00DC36FD" w:rsidRDefault="00582680" w:rsidP="00582680">
            <w:pPr>
              <w:rPr>
                <w:lang w:val="en-GB"/>
              </w:rPr>
            </w:pPr>
          </w:p>
        </w:tc>
        <w:tc>
          <w:tcPr>
            <w:tcW w:w="574" w:type="dxa"/>
            <w:tcBorders>
              <w:top w:val="nil"/>
              <w:left w:val="nil"/>
              <w:bottom w:val="nil"/>
              <w:right w:val="nil"/>
            </w:tcBorders>
            <w:shd w:val="clear" w:color="auto" w:fill="auto"/>
            <w:noWrap/>
            <w:vAlign w:val="bottom"/>
            <w:hideMark/>
          </w:tcPr>
          <w:p w14:paraId="01DE5A28" w14:textId="77777777" w:rsidR="00582680" w:rsidRPr="00DC36FD" w:rsidRDefault="00582680" w:rsidP="00582680">
            <w:pPr>
              <w:rPr>
                <w:lang w:val="en-GB"/>
              </w:rPr>
            </w:pPr>
          </w:p>
        </w:tc>
        <w:tc>
          <w:tcPr>
            <w:tcW w:w="1093" w:type="dxa"/>
            <w:tcBorders>
              <w:top w:val="nil"/>
              <w:left w:val="nil"/>
              <w:bottom w:val="nil"/>
              <w:right w:val="nil"/>
            </w:tcBorders>
            <w:shd w:val="clear" w:color="auto" w:fill="auto"/>
            <w:noWrap/>
            <w:vAlign w:val="bottom"/>
            <w:hideMark/>
          </w:tcPr>
          <w:p w14:paraId="4A3574CA" w14:textId="77777777" w:rsidR="00582680" w:rsidRPr="00DC36FD" w:rsidRDefault="00582680" w:rsidP="00582680">
            <w:pPr>
              <w:rPr>
                <w:lang w:val="en-GB"/>
              </w:rPr>
            </w:pPr>
          </w:p>
        </w:tc>
        <w:tc>
          <w:tcPr>
            <w:tcW w:w="574" w:type="dxa"/>
            <w:tcBorders>
              <w:top w:val="nil"/>
              <w:left w:val="nil"/>
              <w:bottom w:val="nil"/>
              <w:right w:val="nil"/>
            </w:tcBorders>
            <w:shd w:val="clear" w:color="auto" w:fill="auto"/>
            <w:noWrap/>
            <w:vAlign w:val="bottom"/>
            <w:hideMark/>
          </w:tcPr>
          <w:p w14:paraId="7FCE556E"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29B04AF5" w14:textId="77777777" w:rsidR="00582680" w:rsidRPr="00DC36FD" w:rsidRDefault="00582680" w:rsidP="00582680">
            <w:pPr>
              <w:rPr>
                <w:lang w:val="en-GB"/>
              </w:rPr>
            </w:pPr>
          </w:p>
        </w:tc>
        <w:tc>
          <w:tcPr>
            <w:tcW w:w="574" w:type="dxa"/>
            <w:tcBorders>
              <w:top w:val="nil"/>
              <w:left w:val="nil"/>
              <w:bottom w:val="nil"/>
              <w:right w:val="single" w:sz="4" w:space="0" w:color="auto"/>
            </w:tcBorders>
            <w:shd w:val="clear" w:color="auto" w:fill="auto"/>
            <w:noWrap/>
            <w:vAlign w:val="bottom"/>
            <w:hideMark/>
          </w:tcPr>
          <w:p w14:paraId="6B38655B"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B1377C" w:rsidRPr="00DC36FD" w14:paraId="1E10AB50" w14:textId="77777777" w:rsidTr="00B1377C">
        <w:trPr>
          <w:trHeight w:val="273"/>
          <w:jc w:val="center"/>
        </w:trPr>
        <w:tc>
          <w:tcPr>
            <w:tcW w:w="4847" w:type="dxa"/>
            <w:gridSpan w:val="6"/>
            <w:tcBorders>
              <w:top w:val="nil"/>
              <w:left w:val="single" w:sz="4" w:space="0" w:color="auto"/>
              <w:bottom w:val="nil"/>
              <w:right w:val="nil"/>
            </w:tcBorders>
            <w:shd w:val="clear" w:color="auto" w:fill="auto"/>
            <w:noWrap/>
            <w:vAlign w:val="bottom"/>
            <w:hideMark/>
          </w:tcPr>
          <w:p w14:paraId="7E659522" w14:textId="67CAC501" w:rsidR="00B1377C" w:rsidRPr="00DC36FD" w:rsidRDefault="00B1377C" w:rsidP="00582680">
            <w:pPr>
              <w:rPr>
                <w:rFonts w:ascii="Arial" w:hAnsi="Arial" w:cs="Arial"/>
                <w:b/>
                <w:bCs/>
                <w:color w:val="000000"/>
                <w:sz w:val="18"/>
                <w:szCs w:val="18"/>
                <w:lang w:val="en-GB"/>
              </w:rPr>
            </w:pPr>
            <w:r w:rsidRPr="00DC36FD">
              <w:rPr>
                <w:rFonts w:ascii="Arial" w:hAnsi="Arial" w:cs="Arial"/>
                <w:b/>
                <w:bCs/>
                <w:color w:val="000000"/>
                <w:sz w:val="18"/>
                <w:szCs w:val="18"/>
                <w:lang w:val="en-GB"/>
              </w:rPr>
              <w:t xml:space="preserve">Land, Buildings, </w:t>
            </w:r>
            <w:r>
              <w:rPr>
                <w:rFonts w:ascii="Arial" w:hAnsi="Arial" w:cs="Arial"/>
                <w:b/>
                <w:bCs/>
                <w:color w:val="000000"/>
                <w:sz w:val="18"/>
                <w:szCs w:val="18"/>
                <w:lang w:val="en-GB"/>
              </w:rPr>
              <w:t xml:space="preserve">and </w:t>
            </w:r>
            <w:r w:rsidRPr="00DC36FD">
              <w:rPr>
                <w:rFonts w:ascii="Arial" w:hAnsi="Arial" w:cs="Arial"/>
                <w:b/>
                <w:bCs/>
                <w:color w:val="000000"/>
                <w:sz w:val="18"/>
                <w:szCs w:val="18"/>
                <w:lang w:val="en-GB"/>
              </w:rPr>
              <w:t>Land Finance Expenses</w:t>
            </w:r>
          </w:p>
        </w:tc>
        <w:tc>
          <w:tcPr>
            <w:tcW w:w="574" w:type="dxa"/>
            <w:tcBorders>
              <w:top w:val="nil"/>
              <w:left w:val="nil"/>
              <w:bottom w:val="nil"/>
              <w:right w:val="nil"/>
            </w:tcBorders>
            <w:shd w:val="clear" w:color="auto" w:fill="auto"/>
            <w:noWrap/>
            <w:vAlign w:val="bottom"/>
            <w:hideMark/>
          </w:tcPr>
          <w:p w14:paraId="1A173E47" w14:textId="77777777" w:rsidR="00B1377C" w:rsidRPr="00DC36FD" w:rsidRDefault="00B1377C" w:rsidP="00582680">
            <w:pPr>
              <w:rPr>
                <w:lang w:val="en-GB"/>
              </w:rPr>
            </w:pPr>
          </w:p>
        </w:tc>
        <w:tc>
          <w:tcPr>
            <w:tcW w:w="1093" w:type="dxa"/>
            <w:tcBorders>
              <w:top w:val="nil"/>
              <w:left w:val="nil"/>
              <w:bottom w:val="nil"/>
              <w:right w:val="nil"/>
            </w:tcBorders>
            <w:shd w:val="clear" w:color="auto" w:fill="auto"/>
            <w:noWrap/>
            <w:vAlign w:val="bottom"/>
            <w:hideMark/>
          </w:tcPr>
          <w:p w14:paraId="08BCE644" w14:textId="77777777" w:rsidR="00B1377C" w:rsidRPr="00DC36FD" w:rsidRDefault="00B1377C" w:rsidP="00582680">
            <w:pPr>
              <w:rPr>
                <w:lang w:val="en-GB"/>
              </w:rPr>
            </w:pPr>
          </w:p>
        </w:tc>
        <w:tc>
          <w:tcPr>
            <w:tcW w:w="574" w:type="dxa"/>
            <w:tcBorders>
              <w:top w:val="nil"/>
              <w:left w:val="nil"/>
              <w:bottom w:val="nil"/>
              <w:right w:val="nil"/>
            </w:tcBorders>
            <w:shd w:val="clear" w:color="auto" w:fill="auto"/>
            <w:noWrap/>
            <w:vAlign w:val="bottom"/>
            <w:hideMark/>
          </w:tcPr>
          <w:p w14:paraId="51DA6238" w14:textId="77777777" w:rsidR="00B1377C" w:rsidRPr="00DC36FD" w:rsidRDefault="00B1377C" w:rsidP="00582680">
            <w:pPr>
              <w:rPr>
                <w:lang w:val="en-GB"/>
              </w:rPr>
            </w:pPr>
          </w:p>
        </w:tc>
        <w:tc>
          <w:tcPr>
            <w:tcW w:w="1015" w:type="dxa"/>
            <w:tcBorders>
              <w:top w:val="nil"/>
              <w:left w:val="nil"/>
              <w:bottom w:val="nil"/>
              <w:right w:val="nil"/>
            </w:tcBorders>
            <w:shd w:val="clear" w:color="auto" w:fill="auto"/>
            <w:noWrap/>
            <w:vAlign w:val="bottom"/>
            <w:hideMark/>
          </w:tcPr>
          <w:p w14:paraId="41F6DBEE" w14:textId="77777777" w:rsidR="00B1377C" w:rsidRPr="00DC36FD" w:rsidRDefault="00B1377C" w:rsidP="00582680">
            <w:pPr>
              <w:rPr>
                <w:lang w:val="en-GB"/>
              </w:rPr>
            </w:pPr>
          </w:p>
        </w:tc>
        <w:tc>
          <w:tcPr>
            <w:tcW w:w="574" w:type="dxa"/>
            <w:tcBorders>
              <w:top w:val="nil"/>
              <w:left w:val="nil"/>
              <w:bottom w:val="nil"/>
              <w:right w:val="single" w:sz="4" w:space="0" w:color="auto"/>
            </w:tcBorders>
            <w:shd w:val="clear" w:color="auto" w:fill="auto"/>
            <w:noWrap/>
            <w:vAlign w:val="bottom"/>
            <w:hideMark/>
          </w:tcPr>
          <w:p w14:paraId="36600E48" w14:textId="77777777" w:rsidR="00B1377C" w:rsidRPr="00DC36FD" w:rsidRDefault="00B1377C"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7499E5C1" w14:textId="77777777" w:rsidTr="0065177F">
        <w:trPr>
          <w:trHeight w:val="273"/>
          <w:jc w:val="center"/>
        </w:trPr>
        <w:tc>
          <w:tcPr>
            <w:tcW w:w="498" w:type="dxa"/>
            <w:tcBorders>
              <w:top w:val="nil"/>
              <w:left w:val="single" w:sz="4" w:space="0" w:color="auto"/>
              <w:bottom w:val="nil"/>
              <w:right w:val="nil"/>
            </w:tcBorders>
            <w:shd w:val="clear" w:color="auto" w:fill="auto"/>
            <w:noWrap/>
            <w:vAlign w:val="bottom"/>
            <w:hideMark/>
          </w:tcPr>
          <w:p w14:paraId="0088D6A9"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1657" w:type="dxa"/>
            <w:gridSpan w:val="2"/>
            <w:tcBorders>
              <w:top w:val="nil"/>
              <w:left w:val="nil"/>
              <w:bottom w:val="nil"/>
              <w:right w:val="nil"/>
            </w:tcBorders>
            <w:shd w:val="clear" w:color="auto" w:fill="auto"/>
            <w:noWrap/>
            <w:vAlign w:val="bottom"/>
            <w:hideMark/>
          </w:tcPr>
          <w:p w14:paraId="1C9FC685"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Land rent</w:t>
            </w:r>
          </w:p>
        </w:tc>
        <w:tc>
          <w:tcPr>
            <w:tcW w:w="900" w:type="dxa"/>
            <w:tcBorders>
              <w:top w:val="nil"/>
              <w:left w:val="nil"/>
              <w:bottom w:val="nil"/>
              <w:right w:val="nil"/>
            </w:tcBorders>
            <w:shd w:val="clear" w:color="auto" w:fill="auto"/>
            <w:noWrap/>
            <w:vAlign w:val="bottom"/>
            <w:hideMark/>
          </w:tcPr>
          <w:p w14:paraId="388FADD7" w14:textId="77777777" w:rsidR="00582680" w:rsidRPr="00DC36FD" w:rsidRDefault="00582680" w:rsidP="00582680">
            <w:pPr>
              <w:rPr>
                <w:rFonts w:ascii="Arial" w:hAnsi="Arial" w:cs="Arial"/>
                <w:color w:val="000000"/>
                <w:sz w:val="18"/>
                <w:szCs w:val="18"/>
                <w:lang w:val="en-GB"/>
              </w:rPr>
            </w:pPr>
          </w:p>
        </w:tc>
        <w:tc>
          <w:tcPr>
            <w:tcW w:w="777" w:type="dxa"/>
            <w:tcBorders>
              <w:top w:val="nil"/>
              <w:left w:val="nil"/>
              <w:bottom w:val="nil"/>
              <w:right w:val="nil"/>
            </w:tcBorders>
            <w:shd w:val="clear" w:color="auto" w:fill="auto"/>
            <w:noWrap/>
            <w:vAlign w:val="bottom"/>
            <w:hideMark/>
          </w:tcPr>
          <w:p w14:paraId="7B0CE80E"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392F6C9A"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127,600 </w:t>
            </w:r>
          </w:p>
        </w:tc>
        <w:tc>
          <w:tcPr>
            <w:tcW w:w="574" w:type="dxa"/>
            <w:tcBorders>
              <w:top w:val="nil"/>
              <w:left w:val="nil"/>
              <w:bottom w:val="nil"/>
              <w:right w:val="nil"/>
            </w:tcBorders>
            <w:shd w:val="clear" w:color="auto" w:fill="auto"/>
            <w:noWrap/>
            <w:vAlign w:val="bottom"/>
            <w:hideMark/>
          </w:tcPr>
          <w:p w14:paraId="6B66322D" w14:textId="77777777" w:rsidR="00582680" w:rsidRPr="00DC36FD" w:rsidRDefault="00582680" w:rsidP="00582680">
            <w:pPr>
              <w:jc w:val="right"/>
              <w:rPr>
                <w:rFonts w:ascii="Arial" w:hAnsi="Arial" w:cs="Arial"/>
                <w:color w:val="000000"/>
                <w:sz w:val="18"/>
                <w:szCs w:val="18"/>
                <w:lang w:val="en-GB"/>
              </w:rPr>
            </w:pPr>
          </w:p>
        </w:tc>
        <w:tc>
          <w:tcPr>
            <w:tcW w:w="1093" w:type="dxa"/>
            <w:tcBorders>
              <w:top w:val="nil"/>
              <w:left w:val="nil"/>
              <w:bottom w:val="nil"/>
              <w:right w:val="nil"/>
            </w:tcBorders>
            <w:shd w:val="clear" w:color="auto" w:fill="auto"/>
            <w:noWrap/>
            <w:vAlign w:val="bottom"/>
            <w:hideMark/>
          </w:tcPr>
          <w:p w14:paraId="4A9FC735"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184,080 </w:t>
            </w:r>
          </w:p>
        </w:tc>
        <w:tc>
          <w:tcPr>
            <w:tcW w:w="574" w:type="dxa"/>
            <w:tcBorders>
              <w:top w:val="nil"/>
              <w:left w:val="nil"/>
              <w:bottom w:val="nil"/>
              <w:right w:val="nil"/>
            </w:tcBorders>
            <w:shd w:val="clear" w:color="auto" w:fill="auto"/>
            <w:noWrap/>
            <w:vAlign w:val="bottom"/>
            <w:hideMark/>
          </w:tcPr>
          <w:p w14:paraId="6EAA1498" w14:textId="77777777" w:rsidR="00582680" w:rsidRPr="00DC36FD" w:rsidRDefault="00582680" w:rsidP="00582680">
            <w:pPr>
              <w:jc w:val="right"/>
              <w:rPr>
                <w:rFonts w:ascii="Arial" w:hAnsi="Arial" w:cs="Arial"/>
                <w:color w:val="000000"/>
                <w:sz w:val="18"/>
                <w:szCs w:val="18"/>
                <w:lang w:val="en-GB"/>
              </w:rPr>
            </w:pPr>
          </w:p>
        </w:tc>
        <w:tc>
          <w:tcPr>
            <w:tcW w:w="1015" w:type="dxa"/>
            <w:tcBorders>
              <w:top w:val="nil"/>
              <w:left w:val="nil"/>
              <w:bottom w:val="nil"/>
              <w:right w:val="nil"/>
            </w:tcBorders>
            <w:shd w:val="clear" w:color="auto" w:fill="auto"/>
            <w:noWrap/>
            <w:vAlign w:val="bottom"/>
            <w:hideMark/>
          </w:tcPr>
          <w:p w14:paraId="0DE4EAFB"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114,000 </w:t>
            </w:r>
          </w:p>
        </w:tc>
        <w:tc>
          <w:tcPr>
            <w:tcW w:w="574" w:type="dxa"/>
            <w:tcBorders>
              <w:top w:val="nil"/>
              <w:left w:val="nil"/>
              <w:bottom w:val="nil"/>
              <w:right w:val="single" w:sz="4" w:space="0" w:color="auto"/>
            </w:tcBorders>
            <w:shd w:val="clear" w:color="auto" w:fill="auto"/>
            <w:noWrap/>
            <w:vAlign w:val="bottom"/>
            <w:hideMark/>
          </w:tcPr>
          <w:p w14:paraId="2217580E"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1B34B601" w14:textId="77777777" w:rsidTr="0065177F">
        <w:trPr>
          <w:trHeight w:val="273"/>
          <w:jc w:val="center"/>
        </w:trPr>
        <w:tc>
          <w:tcPr>
            <w:tcW w:w="498" w:type="dxa"/>
            <w:tcBorders>
              <w:top w:val="nil"/>
              <w:left w:val="single" w:sz="4" w:space="0" w:color="auto"/>
              <w:bottom w:val="nil"/>
              <w:right w:val="nil"/>
            </w:tcBorders>
            <w:shd w:val="clear" w:color="auto" w:fill="auto"/>
            <w:noWrap/>
            <w:vAlign w:val="bottom"/>
            <w:hideMark/>
          </w:tcPr>
          <w:p w14:paraId="4F1000B1"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1657" w:type="dxa"/>
            <w:gridSpan w:val="2"/>
            <w:tcBorders>
              <w:top w:val="nil"/>
              <w:left w:val="nil"/>
              <w:bottom w:val="nil"/>
              <w:right w:val="nil"/>
            </w:tcBorders>
            <w:shd w:val="clear" w:color="auto" w:fill="auto"/>
            <w:noWrap/>
            <w:vAlign w:val="bottom"/>
            <w:hideMark/>
          </w:tcPr>
          <w:p w14:paraId="33F76F93"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Interest on land</w:t>
            </w:r>
          </w:p>
        </w:tc>
        <w:tc>
          <w:tcPr>
            <w:tcW w:w="900" w:type="dxa"/>
            <w:tcBorders>
              <w:top w:val="nil"/>
              <w:left w:val="nil"/>
              <w:bottom w:val="nil"/>
              <w:right w:val="nil"/>
            </w:tcBorders>
            <w:shd w:val="clear" w:color="auto" w:fill="auto"/>
            <w:noWrap/>
            <w:vAlign w:val="bottom"/>
            <w:hideMark/>
          </w:tcPr>
          <w:p w14:paraId="36803C1C" w14:textId="77777777" w:rsidR="00582680" w:rsidRPr="00DC36FD" w:rsidRDefault="00582680" w:rsidP="00582680">
            <w:pPr>
              <w:rPr>
                <w:rFonts w:ascii="Arial" w:hAnsi="Arial" w:cs="Arial"/>
                <w:color w:val="000000"/>
                <w:sz w:val="18"/>
                <w:szCs w:val="18"/>
                <w:lang w:val="en-GB"/>
              </w:rPr>
            </w:pPr>
          </w:p>
        </w:tc>
        <w:tc>
          <w:tcPr>
            <w:tcW w:w="777" w:type="dxa"/>
            <w:tcBorders>
              <w:top w:val="nil"/>
              <w:left w:val="nil"/>
              <w:bottom w:val="nil"/>
              <w:right w:val="nil"/>
            </w:tcBorders>
            <w:shd w:val="clear" w:color="auto" w:fill="auto"/>
            <w:noWrap/>
            <w:vAlign w:val="bottom"/>
            <w:hideMark/>
          </w:tcPr>
          <w:p w14:paraId="708ED29D"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3232C613"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10,232 </w:t>
            </w:r>
          </w:p>
        </w:tc>
        <w:tc>
          <w:tcPr>
            <w:tcW w:w="574" w:type="dxa"/>
            <w:tcBorders>
              <w:top w:val="nil"/>
              <w:left w:val="nil"/>
              <w:bottom w:val="nil"/>
              <w:right w:val="nil"/>
            </w:tcBorders>
            <w:shd w:val="clear" w:color="auto" w:fill="auto"/>
            <w:noWrap/>
            <w:vAlign w:val="bottom"/>
            <w:hideMark/>
          </w:tcPr>
          <w:p w14:paraId="60E59640" w14:textId="77777777" w:rsidR="00582680" w:rsidRPr="00DC36FD" w:rsidRDefault="00582680" w:rsidP="00582680">
            <w:pPr>
              <w:jc w:val="right"/>
              <w:rPr>
                <w:rFonts w:ascii="Arial" w:hAnsi="Arial" w:cs="Arial"/>
                <w:color w:val="000000"/>
                <w:sz w:val="18"/>
                <w:szCs w:val="18"/>
                <w:lang w:val="en-GB"/>
              </w:rPr>
            </w:pPr>
          </w:p>
        </w:tc>
        <w:tc>
          <w:tcPr>
            <w:tcW w:w="1093" w:type="dxa"/>
            <w:tcBorders>
              <w:top w:val="nil"/>
              <w:left w:val="nil"/>
              <w:bottom w:val="nil"/>
              <w:right w:val="nil"/>
            </w:tcBorders>
            <w:shd w:val="clear" w:color="auto" w:fill="auto"/>
            <w:noWrap/>
            <w:vAlign w:val="bottom"/>
            <w:hideMark/>
          </w:tcPr>
          <w:p w14:paraId="62C1FCCD"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8,567 </w:t>
            </w:r>
          </w:p>
        </w:tc>
        <w:tc>
          <w:tcPr>
            <w:tcW w:w="574" w:type="dxa"/>
            <w:tcBorders>
              <w:top w:val="nil"/>
              <w:left w:val="nil"/>
              <w:bottom w:val="nil"/>
              <w:right w:val="nil"/>
            </w:tcBorders>
            <w:shd w:val="clear" w:color="auto" w:fill="auto"/>
            <w:noWrap/>
            <w:vAlign w:val="bottom"/>
            <w:hideMark/>
          </w:tcPr>
          <w:p w14:paraId="470C1F5C" w14:textId="77777777" w:rsidR="00582680" w:rsidRPr="00DC36FD" w:rsidRDefault="00582680" w:rsidP="00582680">
            <w:pPr>
              <w:jc w:val="right"/>
              <w:rPr>
                <w:rFonts w:ascii="Arial" w:hAnsi="Arial" w:cs="Arial"/>
                <w:color w:val="000000"/>
                <w:sz w:val="18"/>
                <w:szCs w:val="18"/>
                <w:lang w:val="en-GB"/>
              </w:rPr>
            </w:pPr>
          </w:p>
        </w:tc>
        <w:tc>
          <w:tcPr>
            <w:tcW w:w="1015" w:type="dxa"/>
            <w:tcBorders>
              <w:top w:val="nil"/>
              <w:left w:val="nil"/>
              <w:bottom w:val="nil"/>
              <w:right w:val="nil"/>
            </w:tcBorders>
            <w:shd w:val="clear" w:color="auto" w:fill="auto"/>
            <w:noWrap/>
            <w:vAlign w:val="bottom"/>
            <w:hideMark/>
          </w:tcPr>
          <w:p w14:paraId="371BF2ED"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7,597 </w:t>
            </w:r>
          </w:p>
        </w:tc>
        <w:tc>
          <w:tcPr>
            <w:tcW w:w="574" w:type="dxa"/>
            <w:tcBorders>
              <w:top w:val="nil"/>
              <w:left w:val="nil"/>
              <w:bottom w:val="nil"/>
              <w:right w:val="single" w:sz="4" w:space="0" w:color="auto"/>
            </w:tcBorders>
            <w:shd w:val="clear" w:color="auto" w:fill="auto"/>
            <w:noWrap/>
            <w:vAlign w:val="bottom"/>
            <w:hideMark/>
          </w:tcPr>
          <w:p w14:paraId="46433428"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53322D05" w14:textId="77777777" w:rsidTr="0065177F">
        <w:trPr>
          <w:trHeight w:val="273"/>
          <w:jc w:val="center"/>
        </w:trPr>
        <w:tc>
          <w:tcPr>
            <w:tcW w:w="498" w:type="dxa"/>
            <w:tcBorders>
              <w:top w:val="nil"/>
              <w:left w:val="single" w:sz="4" w:space="0" w:color="auto"/>
              <w:bottom w:val="nil"/>
              <w:right w:val="nil"/>
            </w:tcBorders>
            <w:shd w:val="clear" w:color="auto" w:fill="auto"/>
            <w:noWrap/>
            <w:vAlign w:val="bottom"/>
            <w:hideMark/>
          </w:tcPr>
          <w:p w14:paraId="5037052D"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1657" w:type="dxa"/>
            <w:gridSpan w:val="2"/>
            <w:tcBorders>
              <w:top w:val="nil"/>
              <w:left w:val="nil"/>
              <w:bottom w:val="nil"/>
              <w:right w:val="nil"/>
            </w:tcBorders>
            <w:shd w:val="clear" w:color="auto" w:fill="auto"/>
            <w:noWrap/>
            <w:vAlign w:val="bottom"/>
            <w:hideMark/>
          </w:tcPr>
          <w:p w14:paraId="69CE6DC1"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Amortization</w:t>
            </w:r>
          </w:p>
        </w:tc>
        <w:tc>
          <w:tcPr>
            <w:tcW w:w="900" w:type="dxa"/>
            <w:tcBorders>
              <w:top w:val="nil"/>
              <w:left w:val="nil"/>
              <w:bottom w:val="nil"/>
              <w:right w:val="nil"/>
            </w:tcBorders>
            <w:shd w:val="clear" w:color="auto" w:fill="auto"/>
            <w:noWrap/>
            <w:vAlign w:val="bottom"/>
            <w:hideMark/>
          </w:tcPr>
          <w:p w14:paraId="2F558039" w14:textId="77777777" w:rsidR="00582680" w:rsidRPr="00DC36FD" w:rsidRDefault="00582680" w:rsidP="00582680">
            <w:pPr>
              <w:rPr>
                <w:rFonts w:ascii="Arial" w:hAnsi="Arial" w:cs="Arial"/>
                <w:color w:val="000000"/>
                <w:sz w:val="18"/>
                <w:szCs w:val="18"/>
                <w:lang w:val="en-GB"/>
              </w:rPr>
            </w:pPr>
          </w:p>
        </w:tc>
        <w:tc>
          <w:tcPr>
            <w:tcW w:w="777" w:type="dxa"/>
            <w:tcBorders>
              <w:top w:val="nil"/>
              <w:left w:val="nil"/>
              <w:bottom w:val="nil"/>
              <w:right w:val="nil"/>
            </w:tcBorders>
            <w:shd w:val="clear" w:color="auto" w:fill="auto"/>
            <w:noWrap/>
            <w:vAlign w:val="bottom"/>
            <w:hideMark/>
          </w:tcPr>
          <w:p w14:paraId="7E24CEE3"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6521E5E8"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5,360 </w:t>
            </w:r>
          </w:p>
        </w:tc>
        <w:tc>
          <w:tcPr>
            <w:tcW w:w="574" w:type="dxa"/>
            <w:tcBorders>
              <w:top w:val="nil"/>
              <w:left w:val="nil"/>
              <w:bottom w:val="nil"/>
              <w:right w:val="nil"/>
            </w:tcBorders>
            <w:shd w:val="clear" w:color="auto" w:fill="auto"/>
            <w:noWrap/>
            <w:vAlign w:val="bottom"/>
            <w:hideMark/>
          </w:tcPr>
          <w:p w14:paraId="607DD078" w14:textId="77777777" w:rsidR="00582680" w:rsidRPr="00DC36FD" w:rsidRDefault="00582680" w:rsidP="00582680">
            <w:pPr>
              <w:jc w:val="right"/>
              <w:rPr>
                <w:rFonts w:ascii="Arial" w:hAnsi="Arial" w:cs="Arial"/>
                <w:color w:val="000000"/>
                <w:sz w:val="18"/>
                <w:szCs w:val="18"/>
                <w:lang w:val="en-GB"/>
              </w:rPr>
            </w:pPr>
          </w:p>
        </w:tc>
        <w:tc>
          <w:tcPr>
            <w:tcW w:w="1093" w:type="dxa"/>
            <w:tcBorders>
              <w:top w:val="nil"/>
              <w:left w:val="nil"/>
              <w:bottom w:val="nil"/>
              <w:right w:val="nil"/>
            </w:tcBorders>
            <w:shd w:val="clear" w:color="auto" w:fill="auto"/>
            <w:noWrap/>
            <w:vAlign w:val="bottom"/>
            <w:hideMark/>
          </w:tcPr>
          <w:p w14:paraId="55B3679B"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4,505 </w:t>
            </w:r>
          </w:p>
        </w:tc>
        <w:tc>
          <w:tcPr>
            <w:tcW w:w="574" w:type="dxa"/>
            <w:tcBorders>
              <w:top w:val="nil"/>
              <w:left w:val="nil"/>
              <w:bottom w:val="nil"/>
              <w:right w:val="nil"/>
            </w:tcBorders>
            <w:shd w:val="clear" w:color="auto" w:fill="auto"/>
            <w:noWrap/>
            <w:vAlign w:val="bottom"/>
            <w:hideMark/>
          </w:tcPr>
          <w:p w14:paraId="5E9A813E" w14:textId="77777777" w:rsidR="00582680" w:rsidRPr="00DC36FD" w:rsidRDefault="00582680" w:rsidP="00582680">
            <w:pPr>
              <w:jc w:val="right"/>
              <w:rPr>
                <w:rFonts w:ascii="Arial" w:hAnsi="Arial" w:cs="Arial"/>
                <w:color w:val="000000"/>
                <w:sz w:val="18"/>
                <w:szCs w:val="18"/>
                <w:lang w:val="en-GB"/>
              </w:rPr>
            </w:pPr>
          </w:p>
        </w:tc>
        <w:tc>
          <w:tcPr>
            <w:tcW w:w="1015" w:type="dxa"/>
            <w:tcBorders>
              <w:top w:val="nil"/>
              <w:left w:val="nil"/>
              <w:bottom w:val="nil"/>
              <w:right w:val="nil"/>
            </w:tcBorders>
            <w:shd w:val="clear" w:color="auto" w:fill="auto"/>
            <w:noWrap/>
            <w:vAlign w:val="bottom"/>
            <w:hideMark/>
          </w:tcPr>
          <w:p w14:paraId="685D22DA"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1,278 </w:t>
            </w:r>
          </w:p>
        </w:tc>
        <w:tc>
          <w:tcPr>
            <w:tcW w:w="574" w:type="dxa"/>
            <w:tcBorders>
              <w:top w:val="nil"/>
              <w:left w:val="nil"/>
              <w:bottom w:val="nil"/>
              <w:right w:val="single" w:sz="4" w:space="0" w:color="auto"/>
            </w:tcBorders>
            <w:shd w:val="clear" w:color="auto" w:fill="auto"/>
            <w:noWrap/>
            <w:vAlign w:val="bottom"/>
            <w:hideMark/>
          </w:tcPr>
          <w:p w14:paraId="580F04A6"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676107C8" w14:textId="77777777" w:rsidTr="0065177F">
        <w:trPr>
          <w:trHeight w:val="273"/>
          <w:jc w:val="center"/>
        </w:trPr>
        <w:tc>
          <w:tcPr>
            <w:tcW w:w="498" w:type="dxa"/>
            <w:tcBorders>
              <w:top w:val="nil"/>
              <w:left w:val="single" w:sz="4" w:space="0" w:color="auto"/>
              <w:bottom w:val="nil"/>
              <w:right w:val="nil"/>
            </w:tcBorders>
            <w:shd w:val="clear" w:color="auto" w:fill="auto"/>
            <w:noWrap/>
            <w:vAlign w:val="bottom"/>
            <w:hideMark/>
          </w:tcPr>
          <w:p w14:paraId="46F5F50E"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575" w:type="dxa"/>
            <w:tcBorders>
              <w:top w:val="nil"/>
              <w:left w:val="nil"/>
              <w:bottom w:val="nil"/>
              <w:right w:val="nil"/>
            </w:tcBorders>
            <w:shd w:val="clear" w:color="auto" w:fill="auto"/>
            <w:noWrap/>
            <w:vAlign w:val="bottom"/>
            <w:hideMark/>
          </w:tcPr>
          <w:p w14:paraId="64C6E490" w14:textId="77777777" w:rsidR="00582680" w:rsidRPr="00DC36FD" w:rsidRDefault="00582680" w:rsidP="00582680">
            <w:pPr>
              <w:rPr>
                <w:rFonts w:ascii="Arial" w:hAnsi="Arial" w:cs="Arial"/>
                <w:color w:val="000000"/>
                <w:sz w:val="18"/>
                <w:szCs w:val="18"/>
                <w:lang w:val="en-GB"/>
              </w:rPr>
            </w:pPr>
          </w:p>
        </w:tc>
        <w:tc>
          <w:tcPr>
            <w:tcW w:w="1082" w:type="dxa"/>
            <w:tcBorders>
              <w:top w:val="nil"/>
              <w:left w:val="nil"/>
              <w:bottom w:val="nil"/>
              <w:right w:val="nil"/>
            </w:tcBorders>
            <w:shd w:val="clear" w:color="auto" w:fill="auto"/>
            <w:noWrap/>
            <w:vAlign w:val="bottom"/>
            <w:hideMark/>
          </w:tcPr>
          <w:p w14:paraId="3D3B5748" w14:textId="77777777" w:rsidR="00582680" w:rsidRPr="00DC36FD" w:rsidRDefault="00582680" w:rsidP="00582680">
            <w:pPr>
              <w:rPr>
                <w:lang w:val="en-GB"/>
              </w:rPr>
            </w:pPr>
          </w:p>
        </w:tc>
        <w:tc>
          <w:tcPr>
            <w:tcW w:w="900" w:type="dxa"/>
            <w:tcBorders>
              <w:top w:val="nil"/>
              <w:left w:val="nil"/>
              <w:bottom w:val="nil"/>
              <w:right w:val="nil"/>
            </w:tcBorders>
            <w:shd w:val="clear" w:color="auto" w:fill="auto"/>
            <w:noWrap/>
            <w:vAlign w:val="bottom"/>
            <w:hideMark/>
          </w:tcPr>
          <w:p w14:paraId="28903F5F" w14:textId="77777777" w:rsidR="00582680" w:rsidRPr="00DC36FD" w:rsidRDefault="00582680" w:rsidP="00582680">
            <w:pPr>
              <w:rPr>
                <w:lang w:val="en-GB"/>
              </w:rPr>
            </w:pPr>
          </w:p>
        </w:tc>
        <w:tc>
          <w:tcPr>
            <w:tcW w:w="777" w:type="dxa"/>
            <w:tcBorders>
              <w:top w:val="nil"/>
              <w:left w:val="nil"/>
              <w:bottom w:val="nil"/>
              <w:right w:val="nil"/>
            </w:tcBorders>
            <w:shd w:val="clear" w:color="auto" w:fill="auto"/>
            <w:noWrap/>
            <w:vAlign w:val="bottom"/>
            <w:hideMark/>
          </w:tcPr>
          <w:p w14:paraId="40DBEDAA" w14:textId="77777777" w:rsidR="00582680" w:rsidRPr="00DC36FD" w:rsidRDefault="00582680" w:rsidP="00582680">
            <w:pPr>
              <w:rPr>
                <w:lang w:val="en-GB"/>
              </w:rPr>
            </w:pPr>
          </w:p>
        </w:tc>
        <w:tc>
          <w:tcPr>
            <w:tcW w:w="1015" w:type="dxa"/>
            <w:tcBorders>
              <w:top w:val="single" w:sz="4" w:space="0" w:color="auto"/>
              <w:left w:val="nil"/>
              <w:bottom w:val="single" w:sz="4" w:space="0" w:color="auto"/>
              <w:right w:val="nil"/>
            </w:tcBorders>
            <w:shd w:val="clear" w:color="auto" w:fill="auto"/>
            <w:noWrap/>
            <w:vAlign w:val="bottom"/>
            <w:hideMark/>
          </w:tcPr>
          <w:p w14:paraId="5039578B"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143,192 </w:t>
            </w:r>
          </w:p>
        </w:tc>
        <w:tc>
          <w:tcPr>
            <w:tcW w:w="574" w:type="dxa"/>
            <w:tcBorders>
              <w:top w:val="nil"/>
              <w:left w:val="nil"/>
              <w:bottom w:val="nil"/>
              <w:right w:val="nil"/>
            </w:tcBorders>
            <w:shd w:val="clear" w:color="auto" w:fill="auto"/>
            <w:noWrap/>
            <w:vAlign w:val="bottom"/>
            <w:hideMark/>
          </w:tcPr>
          <w:p w14:paraId="42E03F98" w14:textId="77777777" w:rsidR="00582680" w:rsidRPr="00DC36FD" w:rsidRDefault="00582680" w:rsidP="00582680">
            <w:pPr>
              <w:jc w:val="right"/>
              <w:rPr>
                <w:rFonts w:ascii="Arial" w:hAnsi="Arial" w:cs="Arial"/>
                <w:color w:val="000000"/>
                <w:sz w:val="18"/>
                <w:szCs w:val="18"/>
                <w:lang w:val="en-GB"/>
              </w:rPr>
            </w:pPr>
          </w:p>
        </w:tc>
        <w:tc>
          <w:tcPr>
            <w:tcW w:w="1093" w:type="dxa"/>
            <w:tcBorders>
              <w:top w:val="single" w:sz="4" w:space="0" w:color="auto"/>
              <w:left w:val="nil"/>
              <w:bottom w:val="single" w:sz="4" w:space="0" w:color="auto"/>
              <w:right w:val="nil"/>
            </w:tcBorders>
            <w:shd w:val="clear" w:color="auto" w:fill="auto"/>
            <w:noWrap/>
            <w:vAlign w:val="bottom"/>
            <w:hideMark/>
          </w:tcPr>
          <w:p w14:paraId="2FF48ABA"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197,152 </w:t>
            </w:r>
          </w:p>
        </w:tc>
        <w:tc>
          <w:tcPr>
            <w:tcW w:w="574" w:type="dxa"/>
            <w:tcBorders>
              <w:top w:val="nil"/>
              <w:left w:val="nil"/>
              <w:bottom w:val="nil"/>
              <w:right w:val="nil"/>
            </w:tcBorders>
            <w:shd w:val="clear" w:color="auto" w:fill="auto"/>
            <w:noWrap/>
            <w:vAlign w:val="bottom"/>
            <w:hideMark/>
          </w:tcPr>
          <w:p w14:paraId="537AD99C" w14:textId="77777777" w:rsidR="00582680" w:rsidRPr="00DC36FD" w:rsidRDefault="00582680" w:rsidP="00582680">
            <w:pPr>
              <w:jc w:val="right"/>
              <w:rPr>
                <w:rFonts w:ascii="Arial" w:hAnsi="Arial" w:cs="Arial"/>
                <w:color w:val="000000"/>
                <w:sz w:val="18"/>
                <w:szCs w:val="18"/>
                <w:lang w:val="en-GB"/>
              </w:rPr>
            </w:pPr>
          </w:p>
        </w:tc>
        <w:tc>
          <w:tcPr>
            <w:tcW w:w="1015" w:type="dxa"/>
            <w:tcBorders>
              <w:top w:val="single" w:sz="4" w:space="0" w:color="auto"/>
              <w:left w:val="nil"/>
              <w:bottom w:val="single" w:sz="4" w:space="0" w:color="auto"/>
              <w:right w:val="nil"/>
            </w:tcBorders>
            <w:shd w:val="clear" w:color="auto" w:fill="auto"/>
            <w:noWrap/>
            <w:vAlign w:val="bottom"/>
            <w:hideMark/>
          </w:tcPr>
          <w:p w14:paraId="2AFB1FEC"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122,875 </w:t>
            </w:r>
          </w:p>
        </w:tc>
        <w:tc>
          <w:tcPr>
            <w:tcW w:w="574" w:type="dxa"/>
            <w:tcBorders>
              <w:top w:val="nil"/>
              <w:left w:val="nil"/>
              <w:bottom w:val="nil"/>
              <w:right w:val="single" w:sz="4" w:space="0" w:color="auto"/>
            </w:tcBorders>
            <w:shd w:val="clear" w:color="auto" w:fill="auto"/>
            <w:noWrap/>
            <w:vAlign w:val="bottom"/>
            <w:hideMark/>
          </w:tcPr>
          <w:p w14:paraId="7F0469F0"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1393EAC5" w14:textId="77777777" w:rsidTr="0065177F">
        <w:trPr>
          <w:trHeight w:val="273"/>
          <w:jc w:val="center"/>
        </w:trPr>
        <w:tc>
          <w:tcPr>
            <w:tcW w:w="3055" w:type="dxa"/>
            <w:gridSpan w:val="4"/>
            <w:tcBorders>
              <w:top w:val="nil"/>
              <w:left w:val="single" w:sz="4" w:space="0" w:color="auto"/>
              <w:bottom w:val="nil"/>
              <w:right w:val="nil"/>
            </w:tcBorders>
            <w:shd w:val="clear" w:color="auto" w:fill="auto"/>
            <w:noWrap/>
            <w:vAlign w:val="bottom"/>
            <w:hideMark/>
          </w:tcPr>
          <w:p w14:paraId="10747D91" w14:textId="77777777" w:rsidR="00582680" w:rsidRPr="00DC36FD" w:rsidRDefault="00582680" w:rsidP="00582680">
            <w:pPr>
              <w:rPr>
                <w:rFonts w:ascii="Arial" w:hAnsi="Arial" w:cs="Arial"/>
                <w:b/>
                <w:bCs/>
                <w:color w:val="000000"/>
                <w:sz w:val="18"/>
                <w:szCs w:val="18"/>
                <w:lang w:val="en-GB"/>
              </w:rPr>
            </w:pPr>
            <w:r w:rsidRPr="00DC36FD">
              <w:rPr>
                <w:rFonts w:ascii="Arial" w:hAnsi="Arial" w:cs="Arial"/>
                <w:b/>
                <w:bCs/>
                <w:color w:val="000000"/>
                <w:sz w:val="18"/>
                <w:szCs w:val="18"/>
                <w:lang w:val="en-GB"/>
              </w:rPr>
              <w:t>Earnings from Operations</w:t>
            </w:r>
          </w:p>
        </w:tc>
        <w:tc>
          <w:tcPr>
            <w:tcW w:w="777" w:type="dxa"/>
            <w:tcBorders>
              <w:top w:val="nil"/>
              <w:left w:val="nil"/>
              <w:bottom w:val="nil"/>
              <w:right w:val="nil"/>
            </w:tcBorders>
            <w:shd w:val="clear" w:color="auto" w:fill="auto"/>
            <w:noWrap/>
            <w:vAlign w:val="bottom"/>
            <w:hideMark/>
          </w:tcPr>
          <w:p w14:paraId="6001EB75" w14:textId="77777777" w:rsidR="00582680" w:rsidRPr="00DC36FD" w:rsidRDefault="00582680" w:rsidP="00582680">
            <w:pPr>
              <w:rPr>
                <w:rFonts w:ascii="Arial" w:hAnsi="Arial" w:cs="Arial"/>
                <w:b/>
                <w:bCs/>
                <w:color w:val="000000"/>
                <w:sz w:val="18"/>
                <w:szCs w:val="18"/>
                <w:lang w:val="en-GB"/>
              </w:rPr>
            </w:pPr>
          </w:p>
        </w:tc>
        <w:tc>
          <w:tcPr>
            <w:tcW w:w="1015" w:type="dxa"/>
            <w:tcBorders>
              <w:top w:val="nil"/>
              <w:left w:val="nil"/>
              <w:bottom w:val="nil"/>
              <w:right w:val="nil"/>
            </w:tcBorders>
            <w:shd w:val="clear" w:color="auto" w:fill="auto"/>
            <w:noWrap/>
            <w:vAlign w:val="bottom"/>
            <w:hideMark/>
          </w:tcPr>
          <w:p w14:paraId="44B2C1CB"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4,720 </w:t>
            </w:r>
          </w:p>
        </w:tc>
        <w:tc>
          <w:tcPr>
            <w:tcW w:w="574" w:type="dxa"/>
            <w:tcBorders>
              <w:top w:val="nil"/>
              <w:left w:val="nil"/>
              <w:bottom w:val="nil"/>
              <w:right w:val="nil"/>
            </w:tcBorders>
            <w:shd w:val="clear" w:color="auto" w:fill="auto"/>
            <w:noWrap/>
            <w:vAlign w:val="bottom"/>
            <w:hideMark/>
          </w:tcPr>
          <w:p w14:paraId="18C15DDE" w14:textId="77777777" w:rsidR="00582680" w:rsidRPr="00DC36FD" w:rsidRDefault="00582680" w:rsidP="00582680">
            <w:pPr>
              <w:jc w:val="right"/>
              <w:rPr>
                <w:rFonts w:ascii="Arial" w:hAnsi="Arial" w:cs="Arial"/>
                <w:color w:val="000000"/>
                <w:sz w:val="18"/>
                <w:szCs w:val="18"/>
                <w:lang w:val="en-GB"/>
              </w:rPr>
            </w:pPr>
          </w:p>
        </w:tc>
        <w:tc>
          <w:tcPr>
            <w:tcW w:w="1093" w:type="dxa"/>
            <w:tcBorders>
              <w:top w:val="nil"/>
              <w:left w:val="nil"/>
              <w:bottom w:val="nil"/>
              <w:right w:val="nil"/>
            </w:tcBorders>
            <w:shd w:val="clear" w:color="auto" w:fill="auto"/>
            <w:noWrap/>
            <w:vAlign w:val="bottom"/>
            <w:hideMark/>
          </w:tcPr>
          <w:p w14:paraId="4D3ACE50"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141,914 </w:t>
            </w:r>
          </w:p>
        </w:tc>
        <w:tc>
          <w:tcPr>
            <w:tcW w:w="574" w:type="dxa"/>
            <w:tcBorders>
              <w:top w:val="nil"/>
              <w:left w:val="nil"/>
              <w:bottom w:val="nil"/>
              <w:right w:val="nil"/>
            </w:tcBorders>
            <w:shd w:val="clear" w:color="auto" w:fill="auto"/>
            <w:noWrap/>
            <w:vAlign w:val="bottom"/>
            <w:hideMark/>
          </w:tcPr>
          <w:p w14:paraId="6409A389" w14:textId="77777777" w:rsidR="00582680" w:rsidRPr="00DC36FD" w:rsidRDefault="00582680" w:rsidP="00582680">
            <w:pPr>
              <w:jc w:val="right"/>
              <w:rPr>
                <w:rFonts w:ascii="Arial" w:hAnsi="Arial" w:cs="Arial"/>
                <w:color w:val="000000"/>
                <w:sz w:val="18"/>
                <w:szCs w:val="18"/>
                <w:lang w:val="en-GB"/>
              </w:rPr>
            </w:pPr>
          </w:p>
        </w:tc>
        <w:tc>
          <w:tcPr>
            <w:tcW w:w="1015" w:type="dxa"/>
            <w:tcBorders>
              <w:top w:val="nil"/>
              <w:left w:val="nil"/>
              <w:bottom w:val="nil"/>
              <w:right w:val="nil"/>
            </w:tcBorders>
            <w:shd w:val="clear" w:color="auto" w:fill="auto"/>
            <w:noWrap/>
            <w:vAlign w:val="bottom"/>
            <w:hideMark/>
          </w:tcPr>
          <w:p w14:paraId="60D39BC1"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176,289 </w:t>
            </w:r>
          </w:p>
        </w:tc>
        <w:tc>
          <w:tcPr>
            <w:tcW w:w="574" w:type="dxa"/>
            <w:tcBorders>
              <w:top w:val="nil"/>
              <w:left w:val="nil"/>
              <w:bottom w:val="nil"/>
              <w:right w:val="single" w:sz="4" w:space="0" w:color="auto"/>
            </w:tcBorders>
            <w:shd w:val="clear" w:color="auto" w:fill="auto"/>
            <w:noWrap/>
            <w:vAlign w:val="bottom"/>
            <w:hideMark/>
          </w:tcPr>
          <w:p w14:paraId="310B24EA"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45559F58" w14:textId="77777777" w:rsidTr="0065177F">
        <w:trPr>
          <w:trHeight w:val="273"/>
          <w:jc w:val="center"/>
        </w:trPr>
        <w:tc>
          <w:tcPr>
            <w:tcW w:w="2155" w:type="dxa"/>
            <w:gridSpan w:val="3"/>
            <w:tcBorders>
              <w:top w:val="nil"/>
              <w:left w:val="single" w:sz="4" w:space="0" w:color="auto"/>
              <w:bottom w:val="nil"/>
              <w:right w:val="nil"/>
            </w:tcBorders>
            <w:shd w:val="clear" w:color="auto" w:fill="auto"/>
            <w:noWrap/>
            <w:vAlign w:val="bottom"/>
            <w:hideMark/>
          </w:tcPr>
          <w:p w14:paraId="2CA23F2A" w14:textId="77777777" w:rsidR="00582680" w:rsidRPr="00DC36FD" w:rsidRDefault="00582680" w:rsidP="00582680">
            <w:pPr>
              <w:rPr>
                <w:rFonts w:ascii="Arial" w:hAnsi="Arial" w:cs="Arial"/>
                <w:color w:val="000000"/>
                <w:sz w:val="18"/>
                <w:szCs w:val="18"/>
                <w:lang w:val="en-GB"/>
              </w:rPr>
            </w:pPr>
            <w:r w:rsidRPr="00DC36FD">
              <w:rPr>
                <w:rFonts w:ascii="Arial" w:hAnsi="Arial" w:cs="Arial"/>
                <w:color w:val="000000"/>
                <w:sz w:val="18"/>
                <w:szCs w:val="18"/>
                <w:lang w:val="en-GB"/>
              </w:rPr>
              <w:t>Income Taxes</w:t>
            </w:r>
          </w:p>
        </w:tc>
        <w:tc>
          <w:tcPr>
            <w:tcW w:w="900" w:type="dxa"/>
            <w:tcBorders>
              <w:top w:val="nil"/>
              <w:left w:val="nil"/>
              <w:bottom w:val="nil"/>
              <w:right w:val="nil"/>
            </w:tcBorders>
            <w:shd w:val="clear" w:color="auto" w:fill="auto"/>
            <w:noWrap/>
            <w:vAlign w:val="bottom"/>
            <w:hideMark/>
          </w:tcPr>
          <w:p w14:paraId="675DFF8E" w14:textId="77777777" w:rsidR="00582680" w:rsidRPr="00DC36FD" w:rsidRDefault="00582680" w:rsidP="00582680">
            <w:pPr>
              <w:rPr>
                <w:rFonts w:ascii="Arial" w:hAnsi="Arial" w:cs="Arial"/>
                <w:color w:val="000000"/>
                <w:sz w:val="18"/>
                <w:szCs w:val="18"/>
                <w:lang w:val="en-GB"/>
              </w:rPr>
            </w:pPr>
          </w:p>
        </w:tc>
        <w:tc>
          <w:tcPr>
            <w:tcW w:w="777" w:type="dxa"/>
            <w:tcBorders>
              <w:top w:val="nil"/>
              <w:left w:val="nil"/>
              <w:bottom w:val="nil"/>
              <w:right w:val="nil"/>
            </w:tcBorders>
            <w:shd w:val="clear" w:color="auto" w:fill="auto"/>
            <w:noWrap/>
            <w:vAlign w:val="bottom"/>
            <w:hideMark/>
          </w:tcPr>
          <w:p w14:paraId="1C21C780" w14:textId="77777777" w:rsidR="00582680" w:rsidRPr="00DC36FD" w:rsidRDefault="00582680" w:rsidP="00582680">
            <w:pPr>
              <w:rPr>
                <w:lang w:val="en-GB"/>
              </w:rPr>
            </w:pPr>
          </w:p>
        </w:tc>
        <w:tc>
          <w:tcPr>
            <w:tcW w:w="1015" w:type="dxa"/>
            <w:tcBorders>
              <w:top w:val="nil"/>
              <w:left w:val="nil"/>
              <w:bottom w:val="nil"/>
              <w:right w:val="nil"/>
            </w:tcBorders>
            <w:shd w:val="clear" w:color="auto" w:fill="auto"/>
            <w:noWrap/>
            <w:vAlign w:val="bottom"/>
            <w:hideMark/>
          </w:tcPr>
          <w:p w14:paraId="56EF35F7"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1,180 </w:t>
            </w:r>
          </w:p>
        </w:tc>
        <w:tc>
          <w:tcPr>
            <w:tcW w:w="574" w:type="dxa"/>
            <w:tcBorders>
              <w:top w:val="nil"/>
              <w:left w:val="nil"/>
              <w:bottom w:val="nil"/>
              <w:right w:val="nil"/>
            </w:tcBorders>
            <w:shd w:val="clear" w:color="auto" w:fill="auto"/>
            <w:noWrap/>
            <w:vAlign w:val="bottom"/>
            <w:hideMark/>
          </w:tcPr>
          <w:p w14:paraId="31F634F9" w14:textId="77777777" w:rsidR="00582680" w:rsidRPr="00DC36FD" w:rsidRDefault="00582680" w:rsidP="00582680">
            <w:pPr>
              <w:jc w:val="right"/>
              <w:rPr>
                <w:rFonts w:ascii="Arial" w:hAnsi="Arial" w:cs="Arial"/>
                <w:color w:val="000000"/>
                <w:sz w:val="18"/>
                <w:szCs w:val="18"/>
                <w:lang w:val="en-GB"/>
              </w:rPr>
            </w:pPr>
          </w:p>
        </w:tc>
        <w:tc>
          <w:tcPr>
            <w:tcW w:w="1093" w:type="dxa"/>
            <w:tcBorders>
              <w:top w:val="nil"/>
              <w:left w:val="nil"/>
              <w:bottom w:val="nil"/>
              <w:right w:val="nil"/>
            </w:tcBorders>
            <w:shd w:val="clear" w:color="auto" w:fill="auto"/>
            <w:noWrap/>
            <w:vAlign w:val="bottom"/>
            <w:hideMark/>
          </w:tcPr>
          <w:p w14:paraId="4D5B120B"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35,479 </w:t>
            </w:r>
          </w:p>
        </w:tc>
        <w:tc>
          <w:tcPr>
            <w:tcW w:w="574" w:type="dxa"/>
            <w:tcBorders>
              <w:top w:val="nil"/>
              <w:left w:val="nil"/>
              <w:bottom w:val="nil"/>
              <w:right w:val="nil"/>
            </w:tcBorders>
            <w:shd w:val="clear" w:color="auto" w:fill="auto"/>
            <w:noWrap/>
            <w:vAlign w:val="bottom"/>
            <w:hideMark/>
          </w:tcPr>
          <w:p w14:paraId="39D004D1" w14:textId="77777777" w:rsidR="00582680" w:rsidRPr="00DC36FD" w:rsidRDefault="00582680" w:rsidP="00582680">
            <w:pPr>
              <w:jc w:val="right"/>
              <w:rPr>
                <w:rFonts w:ascii="Arial" w:hAnsi="Arial" w:cs="Arial"/>
                <w:color w:val="000000"/>
                <w:sz w:val="18"/>
                <w:szCs w:val="18"/>
                <w:lang w:val="en-GB"/>
              </w:rPr>
            </w:pPr>
          </w:p>
        </w:tc>
        <w:tc>
          <w:tcPr>
            <w:tcW w:w="1015" w:type="dxa"/>
            <w:tcBorders>
              <w:top w:val="nil"/>
              <w:left w:val="nil"/>
              <w:bottom w:val="nil"/>
              <w:right w:val="nil"/>
            </w:tcBorders>
            <w:shd w:val="clear" w:color="auto" w:fill="auto"/>
            <w:noWrap/>
            <w:vAlign w:val="bottom"/>
            <w:hideMark/>
          </w:tcPr>
          <w:p w14:paraId="7C559113"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44,072 </w:t>
            </w:r>
          </w:p>
        </w:tc>
        <w:tc>
          <w:tcPr>
            <w:tcW w:w="574" w:type="dxa"/>
            <w:tcBorders>
              <w:top w:val="nil"/>
              <w:left w:val="nil"/>
              <w:bottom w:val="nil"/>
              <w:right w:val="single" w:sz="4" w:space="0" w:color="auto"/>
            </w:tcBorders>
            <w:shd w:val="clear" w:color="auto" w:fill="auto"/>
            <w:noWrap/>
            <w:vAlign w:val="bottom"/>
            <w:hideMark/>
          </w:tcPr>
          <w:p w14:paraId="79AB8D38"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29D70824" w14:textId="77777777" w:rsidTr="0065177F">
        <w:trPr>
          <w:trHeight w:val="273"/>
          <w:jc w:val="center"/>
        </w:trPr>
        <w:tc>
          <w:tcPr>
            <w:tcW w:w="2155" w:type="dxa"/>
            <w:gridSpan w:val="3"/>
            <w:tcBorders>
              <w:top w:val="nil"/>
              <w:left w:val="single" w:sz="4" w:space="0" w:color="auto"/>
              <w:bottom w:val="nil"/>
              <w:right w:val="nil"/>
            </w:tcBorders>
            <w:shd w:val="clear" w:color="auto" w:fill="auto"/>
            <w:noWrap/>
            <w:vAlign w:val="bottom"/>
            <w:hideMark/>
          </w:tcPr>
          <w:p w14:paraId="00CED282" w14:textId="77777777" w:rsidR="00582680" w:rsidRPr="00DC36FD" w:rsidRDefault="00582680" w:rsidP="00582680">
            <w:pPr>
              <w:rPr>
                <w:rFonts w:ascii="Arial" w:hAnsi="Arial" w:cs="Arial"/>
                <w:b/>
                <w:bCs/>
                <w:color w:val="000000"/>
                <w:sz w:val="18"/>
                <w:szCs w:val="18"/>
                <w:lang w:val="en-GB"/>
              </w:rPr>
            </w:pPr>
            <w:r w:rsidRPr="00DC36FD">
              <w:rPr>
                <w:rFonts w:ascii="Arial" w:hAnsi="Arial" w:cs="Arial"/>
                <w:b/>
                <w:bCs/>
                <w:color w:val="000000"/>
                <w:sz w:val="18"/>
                <w:szCs w:val="18"/>
                <w:lang w:val="en-GB"/>
              </w:rPr>
              <w:t>Net Earnings</w:t>
            </w:r>
          </w:p>
        </w:tc>
        <w:tc>
          <w:tcPr>
            <w:tcW w:w="900" w:type="dxa"/>
            <w:tcBorders>
              <w:top w:val="nil"/>
              <w:left w:val="nil"/>
              <w:bottom w:val="nil"/>
              <w:right w:val="nil"/>
            </w:tcBorders>
            <w:shd w:val="clear" w:color="auto" w:fill="auto"/>
            <w:noWrap/>
            <w:vAlign w:val="bottom"/>
            <w:hideMark/>
          </w:tcPr>
          <w:p w14:paraId="196E690C" w14:textId="77777777" w:rsidR="00582680" w:rsidRPr="00DC36FD" w:rsidRDefault="00582680" w:rsidP="00582680">
            <w:pPr>
              <w:rPr>
                <w:rFonts w:ascii="Arial" w:hAnsi="Arial" w:cs="Arial"/>
                <w:b/>
                <w:bCs/>
                <w:color w:val="000000"/>
                <w:sz w:val="18"/>
                <w:szCs w:val="18"/>
                <w:lang w:val="en-GB"/>
              </w:rPr>
            </w:pPr>
          </w:p>
        </w:tc>
        <w:tc>
          <w:tcPr>
            <w:tcW w:w="777" w:type="dxa"/>
            <w:tcBorders>
              <w:top w:val="nil"/>
              <w:left w:val="nil"/>
              <w:bottom w:val="nil"/>
              <w:right w:val="nil"/>
            </w:tcBorders>
            <w:shd w:val="clear" w:color="auto" w:fill="auto"/>
            <w:noWrap/>
            <w:vAlign w:val="bottom"/>
            <w:hideMark/>
          </w:tcPr>
          <w:p w14:paraId="3BC09E18" w14:textId="77777777" w:rsidR="00582680" w:rsidRPr="00DC36FD" w:rsidRDefault="00582680" w:rsidP="00582680">
            <w:pPr>
              <w:rPr>
                <w:lang w:val="en-GB"/>
              </w:rPr>
            </w:pPr>
          </w:p>
        </w:tc>
        <w:tc>
          <w:tcPr>
            <w:tcW w:w="1015" w:type="dxa"/>
            <w:tcBorders>
              <w:top w:val="single" w:sz="4" w:space="0" w:color="auto"/>
              <w:left w:val="nil"/>
              <w:bottom w:val="nil"/>
              <w:right w:val="nil"/>
            </w:tcBorders>
            <w:shd w:val="clear" w:color="auto" w:fill="auto"/>
            <w:noWrap/>
            <w:vAlign w:val="bottom"/>
            <w:hideMark/>
          </w:tcPr>
          <w:p w14:paraId="677DCE8E"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3,540 </w:t>
            </w:r>
          </w:p>
        </w:tc>
        <w:tc>
          <w:tcPr>
            <w:tcW w:w="574" w:type="dxa"/>
            <w:tcBorders>
              <w:top w:val="nil"/>
              <w:left w:val="nil"/>
              <w:bottom w:val="nil"/>
              <w:right w:val="nil"/>
            </w:tcBorders>
            <w:shd w:val="clear" w:color="auto" w:fill="auto"/>
            <w:noWrap/>
            <w:vAlign w:val="bottom"/>
            <w:hideMark/>
          </w:tcPr>
          <w:p w14:paraId="6069F8D9" w14:textId="77777777" w:rsidR="00582680" w:rsidRPr="00DC36FD" w:rsidRDefault="00582680" w:rsidP="00582680">
            <w:pPr>
              <w:jc w:val="right"/>
              <w:rPr>
                <w:rFonts w:ascii="Arial" w:hAnsi="Arial" w:cs="Arial"/>
                <w:color w:val="000000"/>
                <w:sz w:val="18"/>
                <w:szCs w:val="18"/>
                <w:lang w:val="en-GB"/>
              </w:rPr>
            </w:pPr>
          </w:p>
        </w:tc>
        <w:tc>
          <w:tcPr>
            <w:tcW w:w="1093" w:type="dxa"/>
            <w:tcBorders>
              <w:top w:val="single" w:sz="4" w:space="0" w:color="auto"/>
              <w:left w:val="nil"/>
              <w:bottom w:val="nil"/>
              <w:right w:val="nil"/>
            </w:tcBorders>
            <w:shd w:val="clear" w:color="auto" w:fill="auto"/>
            <w:noWrap/>
            <w:vAlign w:val="bottom"/>
            <w:hideMark/>
          </w:tcPr>
          <w:p w14:paraId="5C7C7FD0"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106,436 </w:t>
            </w:r>
          </w:p>
        </w:tc>
        <w:tc>
          <w:tcPr>
            <w:tcW w:w="574" w:type="dxa"/>
            <w:tcBorders>
              <w:top w:val="nil"/>
              <w:left w:val="nil"/>
              <w:bottom w:val="nil"/>
              <w:right w:val="nil"/>
            </w:tcBorders>
            <w:shd w:val="clear" w:color="auto" w:fill="auto"/>
            <w:noWrap/>
            <w:vAlign w:val="bottom"/>
            <w:hideMark/>
          </w:tcPr>
          <w:p w14:paraId="2F402661" w14:textId="77777777" w:rsidR="00582680" w:rsidRPr="00DC36FD" w:rsidRDefault="00582680" w:rsidP="00582680">
            <w:pPr>
              <w:jc w:val="right"/>
              <w:rPr>
                <w:rFonts w:ascii="Arial" w:hAnsi="Arial" w:cs="Arial"/>
                <w:color w:val="000000"/>
                <w:sz w:val="18"/>
                <w:szCs w:val="18"/>
                <w:lang w:val="en-GB"/>
              </w:rPr>
            </w:pPr>
          </w:p>
        </w:tc>
        <w:tc>
          <w:tcPr>
            <w:tcW w:w="1015" w:type="dxa"/>
            <w:tcBorders>
              <w:top w:val="single" w:sz="4" w:space="0" w:color="auto"/>
              <w:left w:val="nil"/>
              <w:bottom w:val="nil"/>
              <w:right w:val="nil"/>
            </w:tcBorders>
            <w:shd w:val="clear" w:color="auto" w:fill="auto"/>
            <w:noWrap/>
            <w:vAlign w:val="bottom"/>
            <w:hideMark/>
          </w:tcPr>
          <w:p w14:paraId="4B0D2C95" w14:textId="77777777" w:rsidR="00582680" w:rsidRPr="00DC36FD" w:rsidRDefault="00582680" w:rsidP="00582680">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132,216 </w:t>
            </w:r>
          </w:p>
        </w:tc>
        <w:tc>
          <w:tcPr>
            <w:tcW w:w="574" w:type="dxa"/>
            <w:tcBorders>
              <w:top w:val="nil"/>
              <w:left w:val="nil"/>
              <w:bottom w:val="nil"/>
              <w:right w:val="single" w:sz="4" w:space="0" w:color="auto"/>
            </w:tcBorders>
            <w:shd w:val="clear" w:color="auto" w:fill="auto"/>
            <w:noWrap/>
            <w:vAlign w:val="bottom"/>
            <w:hideMark/>
          </w:tcPr>
          <w:p w14:paraId="537425B2"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r w:rsidR="00582680" w:rsidRPr="00DC36FD" w14:paraId="5DFE0A9D" w14:textId="77777777" w:rsidTr="007A3EF8">
        <w:trPr>
          <w:trHeight w:val="273"/>
          <w:jc w:val="center"/>
        </w:trPr>
        <w:tc>
          <w:tcPr>
            <w:tcW w:w="498" w:type="dxa"/>
            <w:tcBorders>
              <w:top w:val="nil"/>
              <w:left w:val="single" w:sz="4" w:space="0" w:color="auto"/>
              <w:bottom w:val="single" w:sz="4" w:space="0" w:color="auto"/>
              <w:right w:val="nil"/>
            </w:tcBorders>
            <w:shd w:val="clear" w:color="auto" w:fill="auto"/>
            <w:noWrap/>
            <w:vAlign w:val="bottom"/>
            <w:hideMark/>
          </w:tcPr>
          <w:p w14:paraId="396004D3" w14:textId="77777777" w:rsidR="00582680" w:rsidRPr="00DC36FD" w:rsidRDefault="00582680" w:rsidP="00582680">
            <w:pPr>
              <w:rPr>
                <w:rFonts w:ascii="Arial" w:hAnsi="Arial" w:cs="Arial"/>
                <w:b/>
                <w:bCs/>
                <w:color w:val="000000"/>
                <w:sz w:val="18"/>
                <w:szCs w:val="18"/>
                <w:lang w:val="en-GB"/>
              </w:rPr>
            </w:pPr>
            <w:r w:rsidRPr="00DC36FD">
              <w:rPr>
                <w:rFonts w:ascii="Arial" w:hAnsi="Arial" w:cs="Arial"/>
                <w:b/>
                <w:bCs/>
                <w:color w:val="000000"/>
                <w:sz w:val="18"/>
                <w:szCs w:val="18"/>
                <w:lang w:val="en-GB"/>
              </w:rPr>
              <w:t> </w:t>
            </w:r>
          </w:p>
        </w:tc>
        <w:tc>
          <w:tcPr>
            <w:tcW w:w="575" w:type="dxa"/>
            <w:tcBorders>
              <w:top w:val="nil"/>
              <w:left w:val="nil"/>
              <w:bottom w:val="single" w:sz="4" w:space="0" w:color="auto"/>
              <w:right w:val="nil"/>
            </w:tcBorders>
            <w:shd w:val="clear" w:color="auto" w:fill="auto"/>
            <w:noWrap/>
            <w:vAlign w:val="bottom"/>
            <w:hideMark/>
          </w:tcPr>
          <w:p w14:paraId="33A5F1E3" w14:textId="77777777" w:rsidR="00582680" w:rsidRPr="00DC36FD" w:rsidRDefault="00582680" w:rsidP="00582680">
            <w:pPr>
              <w:rPr>
                <w:rFonts w:ascii="Arial" w:hAnsi="Arial" w:cs="Arial"/>
                <w:b/>
                <w:bCs/>
                <w:color w:val="000000"/>
                <w:sz w:val="18"/>
                <w:szCs w:val="18"/>
                <w:lang w:val="en-GB"/>
              </w:rPr>
            </w:pPr>
          </w:p>
        </w:tc>
        <w:tc>
          <w:tcPr>
            <w:tcW w:w="1082" w:type="dxa"/>
            <w:tcBorders>
              <w:top w:val="nil"/>
              <w:left w:val="nil"/>
              <w:bottom w:val="single" w:sz="4" w:space="0" w:color="auto"/>
              <w:right w:val="nil"/>
            </w:tcBorders>
            <w:shd w:val="clear" w:color="auto" w:fill="auto"/>
            <w:noWrap/>
            <w:vAlign w:val="bottom"/>
            <w:hideMark/>
          </w:tcPr>
          <w:p w14:paraId="003D6623" w14:textId="77777777" w:rsidR="00582680" w:rsidRPr="00DC36FD" w:rsidRDefault="00582680" w:rsidP="00582680">
            <w:pPr>
              <w:rPr>
                <w:lang w:val="en-GB"/>
              </w:rPr>
            </w:pPr>
          </w:p>
        </w:tc>
        <w:tc>
          <w:tcPr>
            <w:tcW w:w="900" w:type="dxa"/>
            <w:tcBorders>
              <w:top w:val="nil"/>
              <w:left w:val="nil"/>
              <w:bottom w:val="single" w:sz="4" w:space="0" w:color="auto"/>
              <w:right w:val="nil"/>
            </w:tcBorders>
            <w:shd w:val="clear" w:color="auto" w:fill="auto"/>
            <w:noWrap/>
            <w:vAlign w:val="bottom"/>
            <w:hideMark/>
          </w:tcPr>
          <w:p w14:paraId="4E8409EE" w14:textId="77777777" w:rsidR="00582680" w:rsidRPr="00DC36FD" w:rsidRDefault="00582680" w:rsidP="00582680">
            <w:pPr>
              <w:rPr>
                <w:lang w:val="en-GB"/>
              </w:rPr>
            </w:pPr>
          </w:p>
        </w:tc>
        <w:tc>
          <w:tcPr>
            <w:tcW w:w="777" w:type="dxa"/>
            <w:tcBorders>
              <w:top w:val="nil"/>
              <w:left w:val="nil"/>
              <w:bottom w:val="single" w:sz="4" w:space="0" w:color="auto"/>
              <w:right w:val="nil"/>
            </w:tcBorders>
            <w:shd w:val="clear" w:color="auto" w:fill="auto"/>
            <w:noWrap/>
            <w:vAlign w:val="bottom"/>
            <w:hideMark/>
          </w:tcPr>
          <w:p w14:paraId="3A7DD8AA" w14:textId="77777777" w:rsidR="00582680" w:rsidRPr="00DC36FD" w:rsidRDefault="00582680" w:rsidP="00582680">
            <w:pPr>
              <w:rPr>
                <w:lang w:val="en-GB"/>
              </w:rPr>
            </w:pPr>
          </w:p>
        </w:tc>
        <w:tc>
          <w:tcPr>
            <w:tcW w:w="1015" w:type="dxa"/>
            <w:tcBorders>
              <w:top w:val="nil"/>
              <w:left w:val="nil"/>
              <w:bottom w:val="single" w:sz="4" w:space="0" w:color="auto"/>
              <w:right w:val="nil"/>
            </w:tcBorders>
            <w:shd w:val="clear" w:color="auto" w:fill="auto"/>
            <w:noWrap/>
            <w:vAlign w:val="bottom"/>
            <w:hideMark/>
          </w:tcPr>
          <w:p w14:paraId="08EDB486" w14:textId="77777777" w:rsidR="00582680" w:rsidRPr="00DC36FD" w:rsidRDefault="00582680" w:rsidP="00582680">
            <w:pPr>
              <w:rPr>
                <w:lang w:val="en-GB"/>
              </w:rPr>
            </w:pPr>
          </w:p>
        </w:tc>
        <w:tc>
          <w:tcPr>
            <w:tcW w:w="574" w:type="dxa"/>
            <w:tcBorders>
              <w:top w:val="nil"/>
              <w:left w:val="nil"/>
              <w:bottom w:val="single" w:sz="4" w:space="0" w:color="auto"/>
              <w:right w:val="nil"/>
            </w:tcBorders>
            <w:shd w:val="clear" w:color="auto" w:fill="auto"/>
            <w:noWrap/>
            <w:vAlign w:val="bottom"/>
            <w:hideMark/>
          </w:tcPr>
          <w:p w14:paraId="22332617" w14:textId="77777777" w:rsidR="00582680" w:rsidRPr="00DC36FD" w:rsidRDefault="00582680" w:rsidP="00582680">
            <w:pPr>
              <w:rPr>
                <w:lang w:val="en-GB"/>
              </w:rPr>
            </w:pPr>
          </w:p>
        </w:tc>
        <w:tc>
          <w:tcPr>
            <w:tcW w:w="1093" w:type="dxa"/>
            <w:tcBorders>
              <w:top w:val="nil"/>
              <w:left w:val="nil"/>
              <w:bottom w:val="single" w:sz="4" w:space="0" w:color="auto"/>
              <w:right w:val="nil"/>
            </w:tcBorders>
            <w:shd w:val="clear" w:color="auto" w:fill="auto"/>
            <w:noWrap/>
            <w:vAlign w:val="bottom"/>
            <w:hideMark/>
          </w:tcPr>
          <w:p w14:paraId="1F48F6AE" w14:textId="77777777" w:rsidR="00582680" w:rsidRPr="00DC36FD" w:rsidRDefault="00582680" w:rsidP="00582680">
            <w:pPr>
              <w:rPr>
                <w:lang w:val="en-GB"/>
              </w:rPr>
            </w:pPr>
          </w:p>
        </w:tc>
        <w:tc>
          <w:tcPr>
            <w:tcW w:w="574" w:type="dxa"/>
            <w:tcBorders>
              <w:top w:val="nil"/>
              <w:left w:val="nil"/>
              <w:bottom w:val="single" w:sz="4" w:space="0" w:color="auto"/>
              <w:right w:val="nil"/>
            </w:tcBorders>
            <w:shd w:val="clear" w:color="auto" w:fill="auto"/>
            <w:noWrap/>
            <w:vAlign w:val="bottom"/>
            <w:hideMark/>
          </w:tcPr>
          <w:p w14:paraId="4D2C3F23" w14:textId="77777777" w:rsidR="00582680" w:rsidRPr="00DC36FD" w:rsidRDefault="00582680" w:rsidP="00582680">
            <w:pPr>
              <w:rPr>
                <w:lang w:val="en-GB"/>
              </w:rPr>
            </w:pPr>
          </w:p>
        </w:tc>
        <w:tc>
          <w:tcPr>
            <w:tcW w:w="1015" w:type="dxa"/>
            <w:tcBorders>
              <w:top w:val="nil"/>
              <w:left w:val="nil"/>
              <w:bottom w:val="single" w:sz="4" w:space="0" w:color="auto"/>
              <w:right w:val="nil"/>
            </w:tcBorders>
            <w:shd w:val="clear" w:color="auto" w:fill="auto"/>
            <w:noWrap/>
            <w:vAlign w:val="bottom"/>
            <w:hideMark/>
          </w:tcPr>
          <w:p w14:paraId="357EF7F5" w14:textId="77777777" w:rsidR="00582680" w:rsidRPr="00DC36FD" w:rsidRDefault="00582680" w:rsidP="00582680">
            <w:pPr>
              <w:rPr>
                <w:lang w:val="en-GB"/>
              </w:rPr>
            </w:pPr>
          </w:p>
        </w:tc>
        <w:tc>
          <w:tcPr>
            <w:tcW w:w="574" w:type="dxa"/>
            <w:tcBorders>
              <w:top w:val="nil"/>
              <w:left w:val="nil"/>
              <w:bottom w:val="single" w:sz="4" w:space="0" w:color="auto"/>
              <w:right w:val="single" w:sz="4" w:space="0" w:color="auto"/>
            </w:tcBorders>
            <w:shd w:val="clear" w:color="auto" w:fill="auto"/>
            <w:noWrap/>
            <w:vAlign w:val="bottom"/>
            <w:hideMark/>
          </w:tcPr>
          <w:p w14:paraId="62FB4E77" w14:textId="77777777" w:rsidR="00582680" w:rsidRPr="00DC36FD" w:rsidRDefault="00582680" w:rsidP="00582680">
            <w:pPr>
              <w:rPr>
                <w:rFonts w:ascii="Calibri" w:hAnsi="Calibri"/>
                <w:color w:val="000000"/>
                <w:sz w:val="22"/>
                <w:szCs w:val="22"/>
                <w:lang w:val="en-GB"/>
              </w:rPr>
            </w:pPr>
            <w:r w:rsidRPr="00DC36FD">
              <w:rPr>
                <w:rFonts w:ascii="Calibri" w:hAnsi="Calibri"/>
                <w:color w:val="000000"/>
                <w:sz w:val="22"/>
                <w:szCs w:val="22"/>
                <w:lang w:val="en-GB"/>
              </w:rPr>
              <w:t> </w:t>
            </w:r>
          </w:p>
        </w:tc>
      </w:tr>
    </w:tbl>
    <w:p w14:paraId="0EA4C769" w14:textId="46CEA7B6" w:rsidR="00BC1E22" w:rsidRPr="00DC36FD" w:rsidRDefault="00BC1E22" w:rsidP="00BC1E22">
      <w:pPr>
        <w:pStyle w:val="Footnote"/>
        <w:rPr>
          <w:lang w:val="en-GB"/>
        </w:rPr>
      </w:pPr>
    </w:p>
    <w:p w14:paraId="28D5B00C" w14:textId="0AAA5D44" w:rsidR="00B1377C" w:rsidRDefault="00B1377C" w:rsidP="00BC1E22">
      <w:pPr>
        <w:pStyle w:val="Footnote"/>
        <w:rPr>
          <w:lang w:val="en-GB"/>
        </w:rPr>
      </w:pPr>
      <w:r>
        <w:rPr>
          <w:lang w:val="en-GB"/>
        </w:rPr>
        <w:t xml:space="preserve">Note: </w:t>
      </w:r>
      <w:r w:rsidR="0059472C">
        <w:rPr>
          <w:lang w:val="en-GB"/>
        </w:rPr>
        <w:t xml:space="preserve">1 acre = 0.4 hectares; </w:t>
      </w:r>
      <w:r>
        <w:rPr>
          <w:lang w:val="en-GB"/>
        </w:rPr>
        <w:t>Revenue in 2015 was below expectations due to hail damage to 640 acres</w:t>
      </w:r>
      <w:r w:rsidR="0059472C">
        <w:rPr>
          <w:lang w:val="en-GB"/>
        </w:rPr>
        <w:t xml:space="preserve"> (259 hectares)</w:t>
      </w:r>
      <w:r>
        <w:rPr>
          <w:lang w:val="en-GB"/>
        </w:rPr>
        <w:t>.</w:t>
      </w:r>
    </w:p>
    <w:p w14:paraId="6282BBD1" w14:textId="063A5D8A" w:rsidR="00BC1E22" w:rsidRPr="00DC36FD" w:rsidRDefault="00BC1E22" w:rsidP="00BC1E22">
      <w:pPr>
        <w:pStyle w:val="Footnote"/>
        <w:rPr>
          <w:lang w:val="en-GB"/>
        </w:rPr>
      </w:pPr>
      <w:r w:rsidRPr="00DC36FD">
        <w:rPr>
          <w:lang w:val="en-GB"/>
        </w:rPr>
        <w:t xml:space="preserve">Source: Created by the authors using </w:t>
      </w:r>
      <w:r w:rsidR="00C072EC">
        <w:rPr>
          <w:lang w:val="en-GB"/>
        </w:rPr>
        <w:t>company documents</w:t>
      </w:r>
      <w:r w:rsidRPr="00DC36FD">
        <w:rPr>
          <w:lang w:val="en-GB"/>
        </w:rPr>
        <w:t xml:space="preserve">. </w:t>
      </w:r>
    </w:p>
    <w:p w14:paraId="5DF41CA0" w14:textId="77777777" w:rsidR="002D6A9B" w:rsidRPr="00DC36FD" w:rsidRDefault="002D6A9B" w:rsidP="001445C8">
      <w:pPr>
        <w:pStyle w:val="ExhibitHeading"/>
        <w:rPr>
          <w:lang w:val="en-GB"/>
        </w:rPr>
      </w:pPr>
    </w:p>
    <w:p w14:paraId="5C730CF2" w14:textId="6A483D71" w:rsidR="008D5F87" w:rsidRPr="00DC36FD" w:rsidRDefault="008D5F87" w:rsidP="001445C8">
      <w:pPr>
        <w:pStyle w:val="ExhibitHeading"/>
        <w:rPr>
          <w:lang w:val="en-GB"/>
        </w:rPr>
      </w:pPr>
      <w:r w:rsidRPr="00DC36FD">
        <w:rPr>
          <w:lang w:val="en-GB"/>
        </w:rPr>
        <w:lastRenderedPageBreak/>
        <w:t xml:space="preserve">EXHIBIT </w:t>
      </w:r>
      <w:r w:rsidR="00D1089F" w:rsidRPr="00DC36FD">
        <w:rPr>
          <w:lang w:val="en-GB"/>
        </w:rPr>
        <w:t>7</w:t>
      </w:r>
      <w:r w:rsidRPr="00DC36FD">
        <w:rPr>
          <w:lang w:val="en-GB"/>
        </w:rPr>
        <w:t xml:space="preserve">: MEAKIN FARMS </w:t>
      </w:r>
      <w:r w:rsidR="00B1377C">
        <w:rPr>
          <w:lang w:val="en-GB"/>
        </w:rPr>
        <w:t xml:space="preserve">Inc. </w:t>
      </w:r>
      <w:r w:rsidRPr="00DC36FD">
        <w:rPr>
          <w:lang w:val="en-GB"/>
        </w:rPr>
        <w:t xml:space="preserve">ACREAGE </w:t>
      </w:r>
      <w:r w:rsidR="008376DC">
        <w:rPr>
          <w:lang w:val="en-GB"/>
        </w:rPr>
        <w:t>owned</w:t>
      </w:r>
      <w:r w:rsidR="00305081">
        <w:rPr>
          <w:lang w:val="en-GB"/>
        </w:rPr>
        <w:t xml:space="preserve"> and</w:t>
      </w:r>
      <w:r w:rsidR="008376DC">
        <w:rPr>
          <w:lang w:val="en-GB"/>
        </w:rPr>
        <w:t xml:space="preserve"> rented</w:t>
      </w:r>
      <w:r w:rsidR="00B1377C">
        <w:rPr>
          <w:lang w:val="en-GB"/>
        </w:rPr>
        <w:t>, and total acr</w:t>
      </w:r>
      <w:r w:rsidR="00305081">
        <w:rPr>
          <w:lang w:val="en-GB"/>
        </w:rPr>
        <w:t>age</w:t>
      </w:r>
      <w:r w:rsidR="00B1377C">
        <w:rPr>
          <w:lang w:val="en-GB"/>
        </w:rPr>
        <w:t xml:space="preserve"> farmed, 2014–2016</w:t>
      </w:r>
      <w:r w:rsidR="008376DC">
        <w:rPr>
          <w:lang w:val="en-GB"/>
        </w:rPr>
        <w:t xml:space="preserve"> </w:t>
      </w:r>
    </w:p>
    <w:p w14:paraId="44C48BF6" w14:textId="77777777" w:rsidR="001445C8" w:rsidRPr="00DC36FD" w:rsidRDefault="001445C8" w:rsidP="001445C8">
      <w:pPr>
        <w:pStyle w:val="ExhibitHeading"/>
        <w:rPr>
          <w:lang w:val="en-GB"/>
        </w:rPr>
      </w:pPr>
    </w:p>
    <w:tbl>
      <w:tblPr>
        <w:tblStyle w:val="PlainTable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1200"/>
        <w:gridCol w:w="1200"/>
        <w:gridCol w:w="1200"/>
      </w:tblGrid>
      <w:tr w:rsidR="008D5F87" w:rsidRPr="00DC36FD" w14:paraId="4BE9EAF2" w14:textId="77777777" w:rsidTr="007A3EF8">
        <w:trPr>
          <w:cnfStyle w:val="100000000000" w:firstRow="1" w:lastRow="0" w:firstColumn="0" w:lastColumn="0" w:oddVBand="0" w:evenVBand="0" w:oddHBand="0" w:evenHBand="0" w:firstRowFirstColumn="0" w:firstRowLastColumn="0" w:lastRowFirstColumn="0" w:lastRowLastColumn="0"/>
          <w:trHeight w:val="180"/>
          <w:jc w:val="center"/>
        </w:trPr>
        <w:tc>
          <w:tcPr>
            <w:cnfStyle w:val="001000000100" w:firstRow="0" w:lastRow="0" w:firstColumn="1" w:lastColumn="0" w:oddVBand="0" w:evenVBand="0" w:oddHBand="0" w:evenHBand="0" w:firstRowFirstColumn="1" w:firstRowLastColumn="0" w:lastRowFirstColumn="0" w:lastRowLastColumn="0"/>
            <w:tcW w:w="2335" w:type="dxa"/>
            <w:tcBorders>
              <w:top w:val="nil"/>
              <w:left w:val="nil"/>
              <w:bottom w:val="none" w:sz="0" w:space="0" w:color="auto"/>
              <w:right w:val="none" w:sz="0" w:space="0" w:color="auto"/>
            </w:tcBorders>
            <w:shd w:val="clear" w:color="auto" w:fill="auto"/>
          </w:tcPr>
          <w:p w14:paraId="433A335C" w14:textId="77777777" w:rsidR="008D5F87" w:rsidRPr="00DC36FD" w:rsidRDefault="008D5F87" w:rsidP="00EB3FC1">
            <w:pPr>
              <w:jc w:val="both"/>
              <w:rPr>
                <w:rFonts w:ascii="Arial" w:hAnsi="Arial" w:cs="Arial"/>
                <w:color w:val="000000"/>
                <w:sz w:val="18"/>
                <w:szCs w:val="18"/>
                <w:lang w:val="en-GB"/>
              </w:rPr>
            </w:pPr>
          </w:p>
        </w:tc>
        <w:tc>
          <w:tcPr>
            <w:tcW w:w="1200" w:type="dxa"/>
            <w:tcBorders>
              <w:bottom w:val="none" w:sz="0" w:space="0" w:color="auto"/>
            </w:tcBorders>
            <w:shd w:val="clear" w:color="auto" w:fill="auto"/>
          </w:tcPr>
          <w:p w14:paraId="2AD125D7" w14:textId="77777777" w:rsidR="008D5F87" w:rsidRPr="00DC36FD" w:rsidRDefault="008D5F87" w:rsidP="00EB3FC1">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color w:val="000000"/>
                <w:sz w:val="18"/>
                <w:szCs w:val="18"/>
                <w:lang w:val="en-GB"/>
              </w:rPr>
            </w:pPr>
            <w:r w:rsidRPr="00DC36FD">
              <w:rPr>
                <w:rFonts w:ascii="Arial" w:hAnsi="Arial" w:cs="Arial"/>
                <w:b/>
                <w:i w:val="0"/>
                <w:color w:val="000000"/>
                <w:sz w:val="18"/>
                <w:szCs w:val="18"/>
                <w:lang w:val="en-GB"/>
              </w:rPr>
              <w:t>2016</w:t>
            </w:r>
          </w:p>
        </w:tc>
        <w:tc>
          <w:tcPr>
            <w:tcW w:w="1200" w:type="dxa"/>
            <w:tcBorders>
              <w:bottom w:val="none" w:sz="0" w:space="0" w:color="auto"/>
            </w:tcBorders>
            <w:shd w:val="clear" w:color="auto" w:fill="auto"/>
          </w:tcPr>
          <w:p w14:paraId="34A585A5" w14:textId="77777777" w:rsidR="008D5F87" w:rsidRPr="00DC36FD" w:rsidRDefault="008D5F87" w:rsidP="00EB3FC1">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color w:val="000000"/>
                <w:sz w:val="18"/>
                <w:szCs w:val="18"/>
                <w:lang w:val="en-GB"/>
              </w:rPr>
            </w:pPr>
            <w:r w:rsidRPr="00DC36FD">
              <w:rPr>
                <w:rFonts w:ascii="Arial" w:hAnsi="Arial" w:cs="Arial"/>
                <w:b/>
                <w:i w:val="0"/>
                <w:color w:val="000000"/>
                <w:sz w:val="18"/>
                <w:szCs w:val="18"/>
                <w:lang w:val="en-GB"/>
              </w:rPr>
              <w:t>2015</w:t>
            </w:r>
          </w:p>
        </w:tc>
        <w:tc>
          <w:tcPr>
            <w:tcW w:w="1200" w:type="dxa"/>
            <w:tcBorders>
              <w:bottom w:val="none" w:sz="0" w:space="0" w:color="auto"/>
            </w:tcBorders>
            <w:shd w:val="clear" w:color="auto" w:fill="auto"/>
          </w:tcPr>
          <w:p w14:paraId="4D04CAEE" w14:textId="77777777" w:rsidR="008D5F87" w:rsidRPr="00DC36FD" w:rsidRDefault="008D5F87" w:rsidP="00EB3FC1">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color w:val="000000"/>
                <w:sz w:val="18"/>
                <w:szCs w:val="18"/>
                <w:lang w:val="en-GB"/>
              </w:rPr>
            </w:pPr>
            <w:r w:rsidRPr="00DC36FD">
              <w:rPr>
                <w:rFonts w:ascii="Arial" w:hAnsi="Arial" w:cs="Arial"/>
                <w:b/>
                <w:i w:val="0"/>
                <w:color w:val="000000"/>
                <w:sz w:val="18"/>
                <w:szCs w:val="18"/>
                <w:lang w:val="en-GB"/>
              </w:rPr>
              <w:t>2014</w:t>
            </w:r>
          </w:p>
        </w:tc>
      </w:tr>
      <w:tr w:rsidR="008D5F87" w:rsidRPr="00DC36FD" w14:paraId="0820EA7E" w14:textId="77777777" w:rsidTr="00D44E8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335" w:type="dxa"/>
            <w:tcBorders>
              <w:right w:val="none" w:sz="0" w:space="0" w:color="auto"/>
            </w:tcBorders>
            <w:shd w:val="clear" w:color="auto" w:fill="auto"/>
          </w:tcPr>
          <w:p w14:paraId="67E721A0" w14:textId="77777777" w:rsidR="008D5F87" w:rsidRPr="00DC36FD" w:rsidRDefault="008D5F87" w:rsidP="00EB3FC1">
            <w:pPr>
              <w:jc w:val="both"/>
              <w:rPr>
                <w:rFonts w:ascii="Arial" w:hAnsi="Arial" w:cs="Arial"/>
                <w:b/>
                <w:i w:val="0"/>
                <w:color w:val="000000"/>
                <w:sz w:val="18"/>
                <w:szCs w:val="18"/>
                <w:lang w:val="en-GB"/>
              </w:rPr>
            </w:pPr>
            <w:r w:rsidRPr="00DC36FD">
              <w:rPr>
                <w:rFonts w:ascii="Arial" w:hAnsi="Arial" w:cs="Arial"/>
                <w:b/>
                <w:i w:val="0"/>
                <w:color w:val="000000"/>
                <w:sz w:val="18"/>
                <w:szCs w:val="18"/>
                <w:lang w:val="en-GB"/>
              </w:rPr>
              <w:t>Acres Owned</w:t>
            </w:r>
          </w:p>
        </w:tc>
        <w:tc>
          <w:tcPr>
            <w:tcW w:w="1200" w:type="dxa"/>
            <w:shd w:val="clear" w:color="auto" w:fill="auto"/>
          </w:tcPr>
          <w:p w14:paraId="2901DD8E" w14:textId="77777777" w:rsidR="008D5F87" w:rsidRPr="00DC36FD" w:rsidRDefault="008D5F87" w:rsidP="00D44E8B">
            <w:pPr>
              <w:tabs>
                <w:tab w:val="decimal" w:pos="665"/>
              </w:tabs>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lang w:val="en-GB"/>
              </w:rPr>
            </w:pPr>
            <w:r w:rsidRPr="00DC36FD">
              <w:rPr>
                <w:rFonts w:ascii="Arial" w:eastAsia="Calibri" w:hAnsi="Arial" w:cs="Arial"/>
                <w:sz w:val="18"/>
                <w:szCs w:val="18"/>
                <w:lang w:val="en-GB"/>
              </w:rPr>
              <w:t>880</w:t>
            </w:r>
          </w:p>
        </w:tc>
        <w:tc>
          <w:tcPr>
            <w:tcW w:w="1200" w:type="dxa"/>
            <w:shd w:val="clear" w:color="auto" w:fill="auto"/>
          </w:tcPr>
          <w:p w14:paraId="479D4FAD" w14:textId="77777777" w:rsidR="008D5F87" w:rsidRPr="00DC36FD" w:rsidRDefault="008D5F87" w:rsidP="00D44E8B">
            <w:pPr>
              <w:tabs>
                <w:tab w:val="decimal" w:pos="741"/>
              </w:tabs>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720</w:t>
            </w:r>
          </w:p>
        </w:tc>
        <w:tc>
          <w:tcPr>
            <w:tcW w:w="1200" w:type="dxa"/>
            <w:shd w:val="clear" w:color="auto" w:fill="auto"/>
          </w:tcPr>
          <w:p w14:paraId="79067770" w14:textId="77777777" w:rsidR="008D5F87" w:rsidRPr="00DC36FD" w:rsidRDefault="008D5F87" w:rsidP="00D44E8B">
            <w:pPr>
              <w:tabs>
                <w:tab w:val="decimal" w:pos="675"/>
              </w:tabs>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480</w:t>
            </w:r>
          </w:p>
        </w:tc>
      </w:tr>
      <w:tr w:rsidR="008D5F87" w:rsidRPr="00DC36FD" w14:paraId="28E51974" w14:textId="77777777" w:rsidTr="00D44E8B">
        <w:trPr>
          <w:trHeight w:val="269"/>
          <w:jc w:val="center"/>
        </w:trPr>
        <w:tc>
          <w:tcPr>
            <w:cnfStyle w:val="001000000000" w:firstRow="0" w:lastRow="0" w:firstColumn="1" w:lastColumn="0" w:oddVBand="0" w:evenVBand="0" w:oddHBand="0" w:evenHBand="0" w:firstRowFirstColumn="0" w:firstRowLastColumn="0" w:lastRowFirstColumn="0" w:lastRowLastColumn="0"/>
            <w:tcW w:w="2335" w:type="dxa"/>
            <w:tcBorders>
              <w:right w:val="none" w:sz="0" w:space="0" w:color="auto"/>
            </w:tcBorders>
            <w:shd w:val="clear" w:color="auto" w:fill="auto"/>
          </w:tcPr>
          <w:p w14:paraId="71D09F57" w14:textId="77777777" w:rsidR="008D5F87" w:rsidRPr="00DC36FD" w:rsidRDefault="008D5F87" w:rsidP="00EB3FC1">
            <w:pPr>
              <w:jc w:val="both"/>
              <w:rPr>
                <w:rFonts w:ascii="Arial" w:hAnsi="Arial" w:cs="Arial"/>
                <w:b/>
                <w:i w:val="0"/>
                <w:color w:val="000000"/>
                <w:sz w:val="18"/>
                <w:szCs w:val="18"/>
                <w:lang w:val="en-GB"/>
              </w:rPr>
            </w:pPr>
            <w:r w:rsidRPr="00DC36FD">
              <w:rPr>
                <w:rFonts w:ascii="Arial" w:hAnsi="Arial" w:cs="Arial"/>
                <w:b/>
                <w:i w:val="0"/>
                <w:color w:val="000000"/>
                <w:sz w:val="18"/>
                <w:szCs w:val="18"/>
                <w:lang w:val="en-GB"/>
              </w:rPr>
              <w:t>Acres Rented</w:t>
            </w:r>
          </w:p>
        </w:tc>
        <w:tc>
          <w:tcPr>
            <w:tcW w:w="1200" w:type="dxa"/>
            <w:shd w:val="clear" w:color="auto" w:fill="auto"/>
          </w:tcPr>
          <w:p w14:paraId="6B7DB5F4" w14:textId="77777777" w:rsidR="008D5F87" w:rsidRPr="00DC36FD" w:rsidRDefault="008D5F87" w:rsidP="00D44E8B">
            <w:pPr>
              <w:tabs>
                <w:tab w:val="decimal" w:pos="665"/>
              </w:tabs>
              <w:cnfStyle w:val="000000000000" w:firstRow="0" w:lastRow="0" w:firstColumn="0" w:lastColumn="0" w:oddVBand="0" w:evenVBand="0" w:oddHBand="0" w:evenHBand="0" w:firstRowFirstColumn="0" w:firstRowLastColumn="0" w:lastRowFirstColumn="0" w:lastRowLastColumn="0"/>
              <w:rPr>
                <w:rFonts w:ascii="Arial" w:eastAsia="Calibri" w:hAnsi="Arial" w:cs="Arial"/>
                <w:sz w:val="18"/>
                <w:szCs w:val="18"/>
                <w:lang w:val="en-GB"/>
              </w:rPr>
            </w:pPr>
            <w:r w:rsidRPr="00DC36FD">
              <w:rPr>
                <w:rFonts w:ascii="Arial" w:eastAsia="Calibri" w:hAnsi="Arial" w:cs="Arial"/>
                <w:sz w:val="18"/>
                <w:szCs w:val="18"/>
                <w:lang w:val="en-GB"/>
              </w:rPr>
              <w:t>2,320</w:t>
            </w:r>
          </w:p>
        </w:tc>
        <w:tc>
          <w:tcPr>
            <w:tcW w:w="1200" w:type="dxa"/>
            <w:shd w:val="clear" w:color="auto" w:fill="auto"/>
          </w:tcPr>
          <w:p w14:paraId="50BA3A77" w14:textId="77777777" w:rsidR="008D5F87" w:rsidRPr="00DC36FD" w:rsidRDefault="008D5F87" w:rsidP="00D44E8B">
            <w:pPr>
              <w:tabs>
                <w:tab w:val="decimal" w:pos="741"/>
              </w:tabs>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3,120</w:t>
            </w:r>
          </w:p>
        </w:tc>
        <w:tc>
          <w:tcPr>
            <w:tcW w:w="1200" w:type="dxa"/>
            <w:shd w:val="clear" w:color="auto" w:fill="auto"/>
          </w:tcPr>
          <w:p w14:paraId="1361C591" w14:textId="77777777" w:rsidR="008D5F87" w:rsidRPr="00DC36FD" w:rsidRDefault="008D5F87" w:rsidP="00D44E8B">
            <w:pPr>
              <w:tabs>
                <w:tab w:val="decimal" w:pos="675"/>
              </w:tabs>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2,000</w:t>
            </w:r>
          </w:p>
        </w:tc>
      </w:tr>
      <w:tr w:rsidR="008D5F87" w:rsidRPr="00DC36FD" w14:paraId="7C748C44" w14:textId="77777777" w:rsidTr="00D44E8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335" w:type="dxa"/>
            <w:tcBorders>
              <w:right w:val="none" w:sz="0" w:space="0" w:color="auto"/>
            </w:tcBorders>
            <w:shd w:val="clear" w:color="auto" w:fill="auto"/>
          </w:tcPr>
          <w:p w14:paraId="780E3F71" w14:textId="77777777" w:rsidR="008D5F87" w:rsidRPr="00DC36FD" w:rsidRDefault="008D5F87" w:rsidP="00EB3FC1">
            <w:pPr>
              <w:jc w:val="both"/>
              <w:rPr>
                <w:rFonts w:ascii="Arial" w:hAnsi="Arial" w:cs="Arial"/>
                <w:b/>
                <w:i w:val="0"/>
                <w:color w:val="000000"/>
                <w:sz w:val="18"/>
                <w:szCs w:val="18"/>
                <w:lang w:val="en-GB"/>
              </w:rPr>
            </w:pPr>
            <w:r w:rsidRPr="00DC36FD">
              <w:rPr>
                <w:rFonts w:ascii="Arial" w:hAnsi="Arial" w:cs="Arial"/>
                <w:b/>
                <w:i w:val="0"/>
                <w:color w:val="000000"/>
                <w:sz w:val="18"/>
                <w:szCs w:val="18"/>
                <w:lang w:val="en-GB"/>
              </w:rPr>
              <w:t>Total Acres Farmed</w:t>
            </w:r>
          </w:p>
        </w:tc>
        <w:tc>
          <w:tcPr>
            <w:tcW w:w="1200" w:type="dxa"/>
            <w:shd w:val="clear" w:color="auto" w:fill="auto"/>
          </w:tcPr>
          <w:p w14:paraId="55A4DD1E" w14:textId="77777777" w:rsidR="008D5F87" w:rsidRPr="00DC36FD" w:rsidRDefault="008D5F87" w:rsidP="00D44E8B">
            <w:pPr>
              <w:tabs>
                <w:tab w:val="decimal" w:pos="665"/>
              </w:tabs>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lang w:val="en-GB"/>
              </w:rPr>
            </w:pPr>
            <w:r w:rsidRPr="00DC36FD">
              <w:rPr>
                <w:rFonts w:ascii="Arial" w:eastAsia="Calibri" w:hAnsi="Arial" w:cs="Arial"/>
                <w:sz w:val="18"/>
                <w:szCs w:val="18"/>
                <w:lang w:val="en-GB"/>
              </w:rPr>
              <w:t>3,200</w:t>
            </w:r>
          </w:p>
        </w:tc>
        <w:tc>
          <w:tcPr>
            <w:tcW w:w="1200" w:type="dxa"/>
            <w:shd w:val="clear" w:color="auto" w:fill="auto"/>
          </w:tcPr>
          <w:p w14:paraId="30C3A689" w14:textId="77777777" w:rsidR="008D5F87" w:rsidRPr="00DC36FD" w:rsidRDefault="008D5F87" w:rsidP="00D44E8B">
            <w:pPr>
              <w:tabs>
                <w:tab w:val="decimal" w:pos="741"/>
              </w:tabs>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3,840</w:t>
            </w:r>
          </w:p>
        </w:tc>
        <w:tc>
          <w:tcPr>
            <w:tcW w:w="1200" w:type="dxa"/>
            <w:shd w:val="clear" w:color="auto" w:fill="auto"/>
          </w:tcPr>
          <w:p w14:paraId="5CD8990E" w14:textId="77777777" w:rsidR="008D5F87" w:rsidRPr="00DC36FD" w:rsidRDefault="008D5F87" w:rsidP="00D44E8B">
            <w:pPr>
              <w:tabs>
                <w:tab w:val="decimal" w:pos="675"/>
              </w:tabs>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2,480</w:t>
            </w:r>
          </w:p>
        </w:tc>
      </w:tr>
    </w:tbl>
    <w:p w14:paraId="1E361945" w14:textId="77777777" w:rsidR="008D5F87" w:rsidRPr="00DC36FD" w:rsidRDefault="008D5F87" w:rsidP="001445C8">
      <w:pPr>
        <w:pStyle w:val="Footnote"/>
        <w:rPr>
          <w:lang w:val="en-GB"/>
        </w:rPr>
      </w:pPr>
    </w:p>
    <w:p w14:paraId="1C743C9E" w14:textId="47368411" w:rsidR="008D5F87" w:rsidRPr="00DC36FD" w:rsidRDefault="008D5F87" w:rsidP="001445C8">
      <w:pPr>
        <w:pStyle w:val="Footnote"/>
        <w:rPr>
          <w:lang w:val="en-GB"/>
        </w:rPr>
      </w:pPr>
      <w:r w:rsidRPr="00DC36FD">
        <w:rPr>
          <w:lang w:val="en-GB"/>
        </w:rPr>
        <w:t xml:space="preserve">Source: Created by the authors using </w:t>
      </w:r>
      <w:r w:rsidR="00B873A5">
        <w:rPr>
          <w:lang w:val="en-GB"/>
        </w:rPr>
        <w:t>company documents</w:t>
      </w:r>
      <w:r w:rsidRPr="00DC36FD">
        <w:rPr>
          <w:lang w:val="en-GB"/>
        </w:rPr>
        <w:t xml:space="preserve">. </w:t>
      </w:r>
    </w:p>
    <w:p w14:paraId="370DC9CE" w14:textId="77777777" w:rsidR="00617911" w:rsidRPr="00DC36FD" w:rsidRDefault="00617911" w:rsidP="0065177F">
      <w:pPr>
        <w:pStyle w:val="Footnote"/>
        <w:rPr>
          <w:lang w:val="en-GB"/>
        </w:rPr>
      </w:pPr>
    </w:p>
    <w:p w14:paraId="6266EE8D" w14:textId="77777777" w:rsidR="0065177F" w:rsidRPr="00DC36FD" w:rsidRDefault="0065177F" w:rsidP="0065177F">
      <w:pPr>
        <w:pStyle w:val="Footnote"/>
        <w:rPr>
          <w:lang w:val="en-GB"/>
        </w:rPr>
      </w:pPr>
    </w:p>
    <w:p w14:paraId="2050FFFE" w14:textId="706A0ECF" w:rsidR="008D5F87" w:rsidRPr="00DC36FD" w:rsidRDefault="008D5F87" w:rsidP="001445C8">
      <w:pPr>
        <w:pStyle w:val="ExhibitHeading"/>
        <w:rPr>
          <w:lang w:val="en-GB"/>
        </w:rPr>
      </w:pPr>
      <w:r w:rsidRPr="00DC36FD">
        <w:rPr>
          <w:lang w:val="en-GB"/>
        </w:rPr>
        <w:t xml:space="preserve">EXHIBIT </w:t>
      </w:r>
      <w:r w:rsidR="00D1089F" w:rsidRPr="00DC36FD">
        <w:rPr>
          <w:lang w:val="en-GB"/>
        </w:rPr>
        <w:t>8</w:t>
      </w:r>
      <w:r w:rsidRPr="00DC36FD">
        <w:rPr>
          <w:lang w:val="en-GB"/>
        </w:rPr>
        <w:t xml:space="preserve">: MEAKIN FARMS </w:t>
      </w:r>
      <w:r w:rsidR="00B1377C">
        <w:rPr>
          <w:lang w:val="en-GB"/>
        </w:rPr>
        <w:t xml:space="preserve">Inc. </w:t>
      </w:r>
      <w:r w:rsidRPr="00DC36FD">
        <w:rPr>
          <w:lang w:val="en-GB"/>
        </w:rPr>
        <w:t xml:space="preserve">ACREAGE FARMED </w:t>
      </w:r>
      <w:r w:rsidR="00B1377C">
        <w:rPr>
          <w:lang w:val="en-GB"/>
        </w:rPr>
        <w:t>by crop, 2014–2016</w:t>
      </w:r>
    </w:p>
    <w:p w14:paraId="5E796759" w14:textId="77777777" w:rsidR="001445C8" w:rsidRPr="00DC36FD" w:rsidRDefault="001445C8" w:rsidP="001445C8">
      <w:pPr>
        <w:pStyle w:val="ExhibitHeading"/>
        <w:rPr>
          <w:lang w:val="en-GB"/>
        </w:rPr>
      </w:pPr>
    </w:p>
    <w:tbl>
      <w:tblPr>
        <w:tblStyle w:val="PlainTable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1200"/>
        <w:gridCol w:w="1200"/>
        <w:gridCol w:w="1200"/>
      </w:tblGrid>
      <w:tr w:rsidR="008D5F87" w:rsidRPr="00DC36FD" w14:paraId="433075C5" w14:textId="77777777" w:rsidTr="00EB55CB">
        <w:trPr>
          <w:cnfStyle w:val="100000000000" w:firstRow="1" w:lastRow="0" w:firstColumn="0" w:lastColumn="0" w:oddVBand="0" w:evenVBand="0" w:oddHBand="0" w:evenHBand="0" w:firstRowFirstColumn="0" w:firstRowLastColumn="0" w:lastRowFirstColumn="0" w:lastRowLastColumn="0"/>
          <w:trHeight w:val="180"/>
          <w:jc w:val="center"/>
        </w:trPr>
        <w:tc>
          <w:tcPr>
            <w:cnfStyle w:val="001000000100" w:firstRow="0" w:lastRow="0" w:firstColumn="1" w:lastColumn="0" w:oddVBand="0" w:evenVBand="0" w:oddHBand="0" w:evenHBand="0" w:firstRowFirstColumn="1" w:firstRowLastColumn="0" w:lastRowFirstColumn="0" w:lastRowLastColumn="0"/>
            <w:tcW w:w="2335" w:type="dxa"/>
            <w:tcBorders>
              <w:top w:val="nil"/>
              <w:left w:val="nil"/>
              <w:bottom w:val="none" w:sz="0" w:space="0" w:color="auto"/>
              <w:right w:val="none" w:sz="0" w:space="0" w:color="auto"/>
            </w:tcBorders>
            <w:shd w:val="clear" w:color="auto" w:fill="auto"/>
          </w:tcPr>
          <w:p w14:paraId="727EA462" w14:textId="77777777" w:rsidR="008D5F87" w:rsidRPr="00DC36FD" w:rsidRDefault="008D5F87" w:rsidP="00EB3FC1">
            <w:pPr>
              <w:jc w:val="both"/>
              <w:rPr>
                <w:rFonts w:ascii="Arial" w:hAnsi="Arial" w:cs="Arial"/>
                <w:color w:val="000000"/>
                <w:sz w:val="18"/>
                <w:szCs w:val="18"/>
                <w:lang w:val="en-GB"/>
              </w:rPr>
            </w:pPr>
          </w:p>
        </w:tc>
        <w:tc>
          <w:tcPr>
            <w:tcW w:w="1200" w:type="dxa"/>
            <w:tcBorders>
              <w:bottom w:val="none" w:sz="0" w:space="0" w:color="auto"/>
            </w:tcBorders>
            <w:shd w:val="clear" w:color="auto" w:fill="auto"/>
          </w:tcPr>
          <w:p w14:paraId="7F7548BF" w14:textId="77777777" w:rsidR="008D5F87" w:rsidRPr="00DC36FD" w:rsidRDefault="008D5F87" w:rsidP="00B1377C">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color w:val="000000"/>
                <w:sz w:val="18"/>
                <w:szCs w:val="18"/>
                <w:lang w:val="en-GB"/>
              </w:rPr>
            </w:pPr>
            <w:r w:rsidRPr="00DC36FD">
              <w:rPr>
                <w:rFonts w:ascii="Arial" w:hAnsi="Arial" w:cs="Arial"/>
                <w:b/>
                <w:i w:val="0"/>
                <w:color w:val="000000"/>
                <w:sz w:val="18"/>
                <w:szCs w:val="18"/>
                <w:lang w:val="en-GB"/>
              </w:rPr>
              <w:t>2016</w:t>
            </w:r>
          </w:p>
        </w:tc>
        <w:tc>
          <w:tcPr>
            <w:tcW w:w="1200" w:type="dxa"/>
            <w:tcBorders>
              <w:bottom w:val="none" w:sz="0" w:space="0" w:color="auto"/>
            </w:tcBorders>
            <w:shd w:val="clear" w:color="auto" w:fill="auto"/>
          </w:tcPr>
          <w:p w14:paraId="5174BF0C" w14:textId="77777777" w:rsidR="008D5F87" w:rsidRPr="00DC36FD" w:rsidRDefault="008D5F87" w:rsidP="00B1377C">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color w:val="000000"/>
                <w:sz w:val="18"/>
                <w:szCs w:val="18"/>
                <w:lang w:val="en-GB"/>
              </w:rPr>
            </w:pPr>
            <w:r w:rsidRPr="00DC36FD">
              <w:rPr>
                <w:rFonts w:ascii="Arial" w:hAnsi="Arial" w:cs="Arial"/>
                <w:b/>
                <w:i w:val="0"/>
                <w:color w:val="000000"/>
                <w:sz w:val="18"/>
                <w:szCs w:val="18"/>
                <w:lang w:val="en-GB"/>
              </w:rPr>
              <w:t>2015</w:t>
            </w:r>
          </w:p>
        </w:tc>
        <w:tc>
          <w:tcPr>
            <w:tcW w:w="1200" w:type="dxa"/>
            <w:tcBorders>
              <w:bottom w:val="none" w:sz="0" w:space="0" w:color="auto"/>
            </w:tcBorders>
            <w:shd w:val="clear" w:color="auto" w:fill="auto"/>
          </w:tcPr>
          <w:p w14:paraId="06D20C59" w14:textId="77777777" w:rsidR="008D5F87" w:rsidRPr="00DC36FD" w:rsidRDefault="008D5F87" w:rsidP="00B1377C">
            <w:pPr>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color w:val="000000"/>
                <w:sz w:val="18"/>
                <w:szCs w:val="18"/>
                <w:lang w:val="en-GB"/>
              </w:rPr>
            </w:pPr>
            <w:r w:rsidRPr="00DC36FD">
              <w:rPr>
                <w:rFonts w:ascii="Arial" w:hAnsi="Arial" w:cs="Arial"/>
                <w:b/>
                <w:i w:val="0"/>
                <w:color w:val="000000"/>
                <w:sz w:val="18"/>
                <w:szCs w:val="18"/>
                <w:lang w:val="en-GB"/>
              </w:rPr>
              <w:t>2014</w:t>
            </w:r>
          </w:p>
        </w:tc>
      </w:tr>
      <w:tr w:rsidR="008D5F87" w:rsidRPr="00DC36FD" w14:paraId="1AB5E4B7" w14:textId="77777777" w:rsidTr="00EB55C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335" w:type="dxa"/>
            <w:tcBorders>
              <w:right w:val="none" w:sz="0" w:space="0" w:color="auto"/>
            </w:tcBorders>
            <w:shd w:val="clear" w:color="auto" w:fill="auto"/>
          </w:tcPr>
          <w:p w14:paraId="3522CC53" w14:textId="77777777" w:rsidR="008D5F87" w:rsidRPr="00DC36FD" w:rsidRDefault="008D5F87" w:rsidP="00EB3FC1">
            <w:pPr>
              <w:jc w:val="both"/>
              <w:rPr>
                <w:rFonts w:ascii="Arial" w:hAnsi="Arial" w:cs="Arial"/>
                <w:b/>
                <w:i w:val="0"/>
                <w:color w:val="000000"/>
                <w:sz w:val="18"/>
                <w:szCs w:val="18"/>
                <w:lang w:val="en-GB"/>
              </w:rPr>
            </w:pPr>
            <w:r w:rsidRPr="00DC36FD">
              <w:rPr>
                <w:rFonts w:ascii="Arial" w:hAnsi="Arial" w:cs="Arial"/>
                <w:b/>
                <w:i w:val="0"/>
                <w:color w:val="000000"/>
                <w:sz w:val="18"/>
                <w:szCs w:val="18"/>
                <w:lang w:val="en-GB"/>
              </w:rPr>
              <w:t>Canola</w:t>
            </w:r>
          </w:p>
        </w:tc>
        <w:tc>
          <w:tcPr>
            <w:tcW w:w="1200" w:type="dxa"/>
            <w:shd w:val="clear" w:color="auto" w:fill="auto"/>
          </w:tcPr>
          <w:p w14:paraId="13056A1E" w14:textId="77777777" w:rsidR="008D5F87" w:rsidRPr="00DC36FD" w:rsidRDefault="008D5F87" w:rsidP="00D44E8B">
            <w:pPr>
              <w:tabs>
                <w:tab w:val="decimal" w:pos="690"/>
              </w:tabs>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lang w:val="en-GB"/>
              </w:rPr>
            </w:pPr>
            <w:r w:rsidRPr="00DC36FD">
              <w:rPr>
                <w:rFonts w:ascii="Arial" w:eastAsia="Calibri" w:hAnsi="Arial" w:cs="Arial"/>
                <w:sz w:val="18"/>
                <w:szCs w:val="18"/>
                <w:lang w:val="en-GB"/>
              </w:rPr>
              <w:t>50%</w:t>
            </w:r>
          </w:p>
        </w:tc>
        <w:tc>
          <w:tcPr>
            <w:tcW w:w="1200" w:type="dxa"/>
            <w:shd w:val="clear" w:color="auto" w:fill="auto"/>
          </w:tcPr>
          <w:p w14:paraId="51C4ABD5" w14:textId="77777777" w:rsidR="008D5F87" w:rsidRPr="00DC36FD" w:rsidRDefault="008D5F87" w:rsidP="00D44E8B">
            <w:pPr>
              <w:tabs>
                <w:tab w:val="decimal" w:pos="615"/>
              </w:tabs>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40%</w:t>
            </w:r>
          </w:p>
        </w:tc>
        <w:tc>
          <w:tcPr>
            <w:tcW w:w="1200" w:type="dxa"/>
            <w:shd w:val="clear" w:color="auto" w:fill="auto"/>
          </w:tcPr>
          <w:p w14:paraId="0100E74B" w14:textId="77777777" w:rsidR="008D5F87" w:rsidRPr="00DC36FD" w:rsidRDefault="008D5F87" w:rsidP="00D44E8B">
            <w:pPr>
              <w:tabs>
                <w:tab w:val="decimal" w:pos="528"/>
              </w:tabs>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30%</w:t>
            </w:r>
          </w:p>
        </w:tc>
      </w:tr>
      <w:tr w:rsidR="008D5F87" w:rsidRPr="00DC36FD" w14:paraId="5726E41E" w14:textId="77777777" w:rsidTr="00EB55CB">
        <w:trPr>
          <w:trHeight w:val="269"/>
          <w:jc w:val="center"/>
        </w:trPr>
        <w:tc>
          <w:tcPr>
            <w:cnfStyle w:val="001000000000" w:firstRow="0" w:lastRow="0" w:firstColumn="1" w:lastColumn="0" w:oddVBand="0" w:evenVBand="0" w:oddHBand="0" w:evenHBand="0" w:firstRowFirstColumn="0" w:firstRowLastColumn="0" w:lastRowFirstColumn="0" w:lastRowLastColumn="0"/>
            <w:tcW w:w="2335" w:type="dxa"/>
            <w:tcBorders>
              <w:right w:val="none" w:sz="0" w:space="0" w:color="auto"/>
            </w:tcBorders>
            <w:shd w:val="clear" w:color="auto" w:fill="auto"/>
          </w:tcPr>
          <w:p w14:paraId="4F140A5C" w14:textId="77777777" w:rsidR="008D5F87" w:rsidRPr="00DC36FD" w:rsidRDefault="008D5F87" w:rsidP="00EB3FC1">
            <w:pPr>
              <w:jc w:val="both"/>
              <w:rPr>
                <w:rFonts w:ascii="Arial" w:hAnsi="Arial" w:cs="Arial"/>
                <w:b/>
                <w:i w:val="0"/>
                <w:color w:val="000000"/>
                <w:sz w:val="18"/>
                <w:szCs w:val="18"/>
                <w:lang w:val="en-GB"/>
              </w:rPr>
            </w:pPr>
            <w:r w:rsidRPr="00DC36FD">
              <w:rPr>
                <w:rFonts w:ascii="Arial" w:hAnsi="Arial" w:cs="Arial"/>
                <w:b/>
                <w:i w:val="0"/>
                <w:color w:val="000000"/>
                <w:sz w:val="18"/>
                <w:szCs w:val="18"/>
                <w:lang w:val="en-GB"/>
              </w:rPr>
              <w:t>Wheat</w:t>
            </w:r>
          </w:p>
        </w:tc>
        <w:tc>
          <w:tcPr>
            <w:tcW w:w="1200" w:type="dxa"/>
            <w:shd w:val="clear" w:color="auto" w:fill="auto"/>
          </w:tcPr>
          <w:p w14:paraId="4EDE5482" w14:textId="77777777" w:rsidR="008D5F87" w:rsidRPr="00DC36FD" w:rsidRDefault="008D5F87" w:rsidP="00D44E8B">
            <w:pPr>
              <w:tabs>
                <w:tab w:val="decimal" w:pos="690"/>
              </w:tabs>
              <w:cnfStyle w:val="000000000000" w:firstRow="0" w:lastRow="0" w:firstColumn="0" w:lastColumn="0" w:oddVBand="0" w:evenVBand="0" w:oddHBand="0" w:evenHBand="0" w:firstRowFirstColumn="0" w:firstRowLastColumn="0" w:lastRowFirstColumn="0" w:lastRowLastColumn="0"/>
              <w:rPr>
                <w:rFonts w:ascii="Arial" w:eastAsia="Calibri" w:hAnsi="Arial" w:cs="Arial"/>
                <w:sz w:val="18"/>
                <w:szCs w:val="18"/>
                <w:lang w:val="en-GB"/>
              </w:rPr>
            </w:pPr>
            <w:r w:rsidRPr="00DC36FD">
              <w:rPr>
                <w:rFonts w:ascii="Arial" w:eastAsia="Calibri" w:hAnsi="Arial" w:cs="Arial"/>
                <w:sz w:val="18"/>
                <w:szCs w:val="18"/>
                <w:lang w:val="en-GB"/>
              </w:rPr>
              <w:t>40%</w:t>
            </w:r>
          </w:p>
        </w:tc>
        <w:tc>
          <w:tcPr>
            <w:tcW w:w="1200" w:type="dxa"/>
            <w:shd w:val="clear" w:color="auto" w:fill="auto"/>
          </w:tcPr>
          <w:p w14:paraId="425CE2BB" w14:textId="77777777" w:rsidR="008D5F87" w:rsidRPr="00DC36FD" w:rsidRDefault="008D5F87" w:rsidP="00D44E8B">
            <w:pPr>
              <w:tabs>
                <w:tab w:val="decimal" w:pos="615"/>
              </w:tabs>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50%</w:t>
            </w:r>
          </w:p>
        </w:tc>
        <w:tc>
          <w:tcPr>
            <w:tcW w:w="1200" w:type="dxa"/>
            <w:shd w:val="clear" w:color="auto" w:fill="auto"/>
          </w:tcPr>
          <w:p w14:paraId="0073022B" w14:textId="77777777" w:rsidR="008D5F87" w:rsidRPr="00DC36FD" w:rsidRDefault="008D5F87" w:rsidP="00D44E8B">
            <w:pPr>
              <w:tabs>
                <w:tab w:val="decimal" w:pos="528"/>
              </w:tabs>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60%</w:t>
            </w:r>
          </w:p>
        </w:tc>
      </w:tr>
      <w:tr w:rsidR="008D5F87" w:rsidRPr="00DC36FD" w14:paraId="7F8C4CE7" w14:textId="77777777" w:rsidTr="00EB55C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335" w:type="dxa"/>
            <w:tcBorders>
              <w:right w:val="none" w:sz="0" w:space="0" w:color="auto"/>
            </w:tcBorders>
            <w:shd w:val="clear" w:color="auto" w:fill="auto"/>
          </w:tcPr>
          <w:p w14:paraId="0A0A2B18" w14:textId="77777777" w:rsidR="008D5F87" w:rsidRPr="00DC36FD" w:rsidRDefault="008D5F87" w:rsidP="00EB3FC1">
            <w:pPr>
              <w:jc w:val="both"/>
              <w:rPr>
                <w:rFonts w:ascii="Arial" w:hAnsi="Arial" w:cs="Arial"/>
                <w:b/>
                <w:i w:val="0"/>
                <w:color w:val="000000"/>
                <w:sz w:val="18"/>
                <w:szCs w:val="18"/>
                <w:lang w:val="en-GB"/>
              </w:rPr>
            </w:pPr>
            <w:r w:rsidRPr="00DC36FD">
              <w:rPr>
                <w:rFonts w:ascii="Arial" w:hAnsi="Arial" w:cs="Arial"/>
                <w:b/>
                <w:i w:val="0"/>
                <w:color w:val="000000"/>
                <w:sz w:val="18"/>
                <w:szCs w:val="18"/>
                <w:lang w:val="en-GB"/>
              </w:rPr>
              <w:t>Field Peas</w:t>
            </w:r>
          </w:p>
        </w:tc>
        <w:tc>
          <w:tcPr>
            <w:tcW w:w="1200" w:type="dxa"/>
            <w:shd w:val="clear" w:color="auto" w:fill="auto"/>
          </w:tcPr>
          <w:p w14:paraId="4323EEA4" w14:textId="77777777" w:rsidR="008D5F87" w:rsidRPr="00DC36FD" w:rsidRDefault="008D5F87" w:rsidP="00D44E8B">
            <w:pPr>
              <w:tabs>
                <w:tab w:val="decimal" w:pos="690"/>
              </w:tabs>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lang w:val="en-GB"/>
              </w:rPr>
            </w:pPr>
            <w:r w:rsidRPr="00DC36FD">
              <w:rPr>
                <w:rFonts w:ascii="Arial" w:eastAsia="Calibri" w:hAnsi="Arial" w:cs="Arial"/>
                <w:sz w:val="18"/>
                <w:szCs w:val="18"/>
                <w:lang w:val="en-GB"/>
              </w:rPr>
              <w:t>10%</w:t>
            </w:r>
          </w:p>
        </w:tc>
        <w:tc>
          <w:tcPr>
            <w:tcW w:w="1200" w:type="dxa"/>
            <w:shd w:val="clear" w:color="auto" w:fill="auto"/>
          </w:tcPr>
          <w:p w14:paraId="5486E8E3" w14:textId="77777777" w:rsidR="008D5F87" w:rsidRPr="00DC36FD" w:rsidRDefault="008D5F87" w:rsidP="00D44E8B">
            <w:pPr>
              <w:tabs>
                <w:tab w:val="decimal" w:pos="615"/>
              </w:tabs>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10%</w:t>
            </w:r>
          </w:p>
        </w:tc>
        <w:tc>
          <w:tcPr>
            <w:tcW w:w="1200" w:type="dxa"/>
            <w:shd w:val="clear" w:color="auto" w:fill="auto"/>
          </w:tcPr>
          <w:p w14:paraId="56A1281A" w14:textId="77777777" w:rsidR="008D5F87" w:rsidRPr="00DC36FD" w:rsidRDefault="008D5F87" w:rsidP="00D44E8B">
            <w:pPr>
              <w:tabs>
                <w:tab w:val="decimal" w:pos="528"/>
              </w:tabs>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10%</w:t>
            </w:r>
          </w:p>
        </w:tc>
      </w:tr>
      <w:tr w:rsidR="008D5F87" w:rsidRPr="00DC36FD" w14:paraId="2C7379C6" w14:textId="77777777" w:rsidTr="00EB55CB">
        <w:trPr>
          <w:trHeight w:val="269"/>
          <w:jc w:val="center"/>
        </w:trPr>
        <w:tc>
          <w:tcPr>
            <w:cnfStyle w:val="001000000000" w:firstRow="0" w:lastRow="0" w:firstColumn="1" w:lastColumn="0" w:oddVBand="0" w:evenVBand="0" w:oddHBand="0" w:evenHBand="0" w:firstRowFirstColumn="0" w:firstRowLastColumn="0" w:lastRowFirstColumn="0" w:lastRowLastColumn="0"/>
            <w:tcW w:w="2335" w:type="dxa"/>
            <w:tcBorders>
              <w:right w:val="none" w:sz="0" w:space="0" w:color="auto"/>
            </w:tcBorders>
            <w:shd w:val="clear" w:color="auto" w:fill="auto"/>
          </w:tcPr>
          <w:p w14:paraId="446F237E" w14:textId="77777777" w:rsidR="008D5F87" w:rsidRPr="00DC36FD" w:rsidRDefault="008D5F87" w:rsidP="00EB3FC1">
            <w:pPr>
              <w:jc w:val="both"/>
              <w:rPr>
                <w:rFonts w:ascii="Arial" w:hAnsi="Arial" w:cs="Arial"/>
                <w:b/>
                <w:color w:val="000000"/>
                <w:sz w:val="18"/>
                <w:szCs w:val="18"/>
                <w:lang w:val="en-GB"/>
              </w:rPr>
            </w:pPr>
          </w:p>
        </w:tc>
        <w:tc>
          <w:tcPr>
            <w:tcW w:w="1200" w:type="dxa"/>
            <w:shd w:val="clear" w:color="auto" w:fill="auto"/>
          </w:tcPr>
          <w:p w14:paraId="76B17010" w14:textId="77777777" w:rsidR="008D5F87" w:rsidRPr="00DC36FD" w:rsidRDefault="008D5F87" w:rsidP="00D44E8B">
            <w:pPr>
              <w:tabs>
                <w:tab w:val="decimal" w:pos="690"/>
              </w:tabs>
              <w:cnfStyle w:val="000000000000" w:firstRow="0" w:lastRow="0" w:firstColumn="0" w:lastColumn="0" w:oddVBand="0" w:evenVBand="0" w:oddHBand="0" w:evenHBand="0" w:firstRowFirstColumn="0" w:firstRowLastColumn="0" w:lastRowFirstColumn="0" w:lastRowLastColumn="0"/>
              <w:rPr>
                <w:rFonts w:ascii="Arial" w:eastAsia="Calibri" w:hAnsi="Arial" w:cs="Arial"/>
                <w:sz w:val="18"/>
                <w:szCs w:val="18"/>
                <w:lang w:val="en-GB"/>
              </w:rPr>
            </w:pPr>
            <w:r w:rsidRPr="00DC36FD">
              <w:rPr>
                <w:rFonts w:ascii="Arial" w:eastAsia="Calibri" w:hAnsi="Arial" w:cs="Arial"/>
                <w:sz w:val="18"/>
                <w:szCs w:val="18"/>
                <w:lang w:val="en-GB"/>
              </w:rPr>
              <w:t>100%</w:t>
            </w:r>
          </w:p>
        </w:tc>
        <w:tc>
          <w:tcPr>
            <w:tcW w:w="1200" w:type="dxa"/>
            <w:shd w:val="clear" w:color="auto" w:fill="auto"/>
          </w:tcPr>
          <w:p w14:paraId="1025071B" w14:textId="77777777" w:rsidR="008D5F87" w:rsidRPr="00DC36FD" w:rsidRDefault="008D5F87" w:rsidP="00D44E8B">
            <w:pPr>
              <w:tabs>
                <w:tab w:val="decimal" w:pos="615"/>
              </w:tabs>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100%</w:t>
            </w:r>
          </w:p>
        </w:tc>
        <w:tc>
          <w:tcPr>
            <w:tcW w:w="1200" w:type="dxa"/>
            <w:shd w:val="clear" w:color="auto" w:fill="auto"/>
          </w:tcPr>
          <w:p w14:paraId="778E62DC" w14:textId="77777777" w:rsidR="008D5F87" w:rsidRPr="00DC36FD" w:rsidRDefault="008D5F87" w:rsidP="00D44E8B">
            <w:pPr>
              <w:tabs>
                <w:tab w:val="decimal" w:pos="528"/>
              </w:tabs>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18"/>
                <w:szCs w:val="18"/>
                <w:lang w:val="en-GB"/>
              </w:rPr>
            </w:pPr>
            <w:r w:rsidRPr="00DC36FD">
              <w:rPr>
                <w:rFonts w:ascii="Arial" w:eastAsia="Calibri" w:hAnsi="Arial" w:cs="Arial"/>
                <w:color w:val="000000"/>
                <w:sz w:val="18"/>
                <w:szCs w:val="18"/>
                <w:lang w:val="en-GB"/>
              </w:rPr>
              <w:t>100%</w:t>
            </w:r>
          </w:p>
        </w:tc>
      </w:tr>
    </w:tbl>
    <w:p w14:paraId="6513717A" w14:textId="77777777" w:rsidR="008D5F87" w:rsidRPr="00DC36FD" w:rsidRDefault="008D5F87" w:rsidP="001445C8">
      <w:pPr>
        <w:pStyle w:val="Footnote"/>
        <w:rPr>
          <w:lang w:val="en-GB"/>
        </w:rPr>
      </w:pPr>
    </w:p>
    <w:p w14:paraId="35F53947" w14:textId="37537205" w:rsidR="008D5F87" w:rsidRPr="00DC36FD" w:rsidRDefault="008D5F87" w:rsidP="001445C8">
      <w:pPr>
        <w:pStyle w:val="Footnote"/>
        <w:rPr>
          <w:lang w:val="en-GB"/>
        </w:rPr>
      </w:pPr>
      <w:r w:rsidRPr="00DC36FD">
        <w:rPr>
          <w:lang w:val="en-GB"/>
        </w:rPr>
        <w:t xml:space="preserve">Source: Created by the authors using </w:t>
      </w:r>
      <w:r w:rsidR="00B873A5">
        <w:rPr>
          <w:lang w:val="en-GB"/>
        </w:rPr>
        <w:t>company documents</w:t>
      </w:r>
      <w:r w:rsidRPr="00DC36FD">
        <w:rPr>
          <w:lang w:val="en-GB"/>
        </w:rPr>
        <w:t xml:space="preserve">. </w:t>
      </w:r>
    </w:p>
    <w:p w14:paraId="5333BD2B" w14:textId="77777777" w:rsidR="008D5F87" w:rsidRPr="00DC36FD" w:rsidRDefault="008D5F87" w:rsidP="008D5F87">
      <w:pPr>
        <w:jc w:val="both"/>
        <w:rPr>
          <w:lang w:val="en-GB"/>
        </w:rPr>
      </w:pPr>
    </w:p>
    <w:p w14:paraId="02ECEB2C" w14:textId="77777777" w:rsidR="008D5F87" w:rsidRPr="00DC36FD" w:rsidRDefault="008D5F87" w:rsidP="008D5F87">
      <w:pPr>
        <w:jc w:val="both"/>
        <w:rPr>
          <w:lang w:val="en-GB"/>
        </w:rPr>
      </w:pPr>
    </w:p>
    <w:p w14:paraId="1D4C1EC6" w14:textId="5C52F459" w:rsidR="008D5F87" w:rsidRPr="00DC36FD" w:rsidRDefault="008D5F87" w:rsidP="001445C8">
      <w:pPr>
        <w:pStyle w:val="ExhibitHeading"/>
        <w:rPr>
          <w:lang w:val="en-GB"/>
        </w:rPr>
      </w:pPr>
      <w:r w:rsidRPr="00DC36FD">
        <w:rPr>
          <w:lang w:val="en-GB"/>
        </w:rPr>
        <w:t xml:space="preserve">EXHIBIT </w:t>
      </w:r>
      <w:r w:rsidR="00D1089F" w:rsidRPr="00DC36FD">
        <w:rPr>
          <w:lang w:val="en-GB"/>
        </w:rPr>
        <w:t>9</w:t>
      </w:r>
      <w:r w:rsidRPr="00DC36FD">
        <w:rPr>
          <w:lang w:val="en-GB"/>
        </w:rPr>
        <w:t>: MEAKIN INDUSTRIAL AG CORP. STATEMENT OF EARNINGS</w:t>
      </w:r>
      <w:r w:rsidR="0059472C">
        <w:rPr>
          <w:lang w:val="en-GB"/>
        </w:rPr>
        <w:t>,</w:t>
      </w:r>
      <w:r w:rsidR="009175BB">
        <w:rPr>
          <w:lang w:val="en-GB"/>
        </w:rPr>
        <w:t xml:space="preserve"> 2014–2016</w:t>
      </w:r>
      <w:r w:rsidRPr="00DC36FD">
        <w:rPr>
          <w:lang w:val="en-GB"/>
        </w:rPr>
        <w:t xml:space="preserve"> </w:t>
      </w:r>
    </w:p>
    <w:p w14:paraId="0C4548B5" w14:textId="77777777" w:rsidR="001445C8" w:rsidRPr="00DC36FD" w:rsidRDefault="001445C8" w:rsidP="001445C8">
      <w:pPr>
        <w:pStyle w:val="ExhibitHeading"/>
        <w:rPr>
          <w:lang w:val="en-GB"/>
        </w:rPr>
      </w:pPr>
    </w:p>
    <w:tbl>
      <w:tblPr>
        <w:tblW w:w="8500" w:type="dxa"/>
        <w:jc w:val="center"/>
        <w:tblLook w:val="04A0" w:firstRow="1" w:lastRow="0" w:firstColumn="1" w:lastColumn="0" w:noHBand="0" w:noVBand="1"/>
      </w:tblPr>
      <w:tblGrid>
        <w:gridCol w:w="520"/>
        <w:gridCol w:w="600"/>
        <w:gridCol w:w="1125"/>
        <w:gridCol w:w="795"/>
        <w:gridCol w:w="1140"/>
        <w:gridCol w:w="960"/>
        <w:gridCol w:w="600"/>
        <w:gridCol w:w="1120"/>
        <w:gridCol w:w="600"/>
        <w:gridCol w:w="1040"/>
      </w:tblGrid>
      <w:tr w:rsidR="0065177F" w:rsidRPr="00DC36FD" w14:paraId="0B809D91" w14:textId="77777777" w:rsidTr="0065177F">
        <w:trPr>
          <w:trHeight w:val="300"/>
          <w:jc w:val="center"/>
        </w:trPr>
        <w:tc>
          <w:tcPr>
            <w:tcW w:w="520" w:type="dxa"/>
            <w:tcBorders>
              <w:top w:val="single" w:sz="4" w:space="0" w:color="auto"/>
              <w:left w:val="single" w:sz="4" w:space="0" w:color="auto"/>
              <w:bottom w:val="nil"/>
              <w:right w:val="nil"/>
            </w:tcBorders>
            <w:shd w:val="clear" w:color="auto" w:fill="auto"/>
            <w:noWrap/>
            <w:vAlign w:val="bottom"/>
            <w:hideMark/>
          </w:tcPr>
          <w:p w14:paraId="1BC8E491"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600" w:type="dxa"/>
            <w:tcBorders>
              <w:top w:val="single" w:sz="4" w:space="0" w:color="auto"/>
              <w:left w:val="nil"/>
              <w:bottom w:val="nil"/>
              <w:right w:val="nil"/>
            </w:tcBorders>
            <w:shd w:val="clear" w:color="auto" w:fill="auto"/>
            <w:noWrap/>
            <w:vAlign w:val="bottom"/>
            <w:hideMark/>
          </w:tcPr>
          <w:p w14:paraId="04F5582F"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1125" w:type="dxa"/>
            <w:tcBorders>
              <w:top w:val="single" w:sz="4" w:space="0" w:color="auto"/>
              <w:left w:val="nil"/>
              <w:bottom w:val="nil"/>
              <w:right w:val="nil"/>
            </w:tcBorders>
            <w:shd w:val="clear" w:color="auto" w:fill="auto"/>
            <w:noWrap/>
            <w:vAlign w:val="bottom"/>
            <w:hideMark/>
          </w:tcPr>
          <w:p w14:paraId="5344BDD1"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795" w:type="dxa"/>
            <w:tcBorders>
              <w:top w:val="single" w:sz="4" w:space="0" w:color="auto"/>
              <w:left w:val="nil"/>
              <w:bottom w:val="nil"/>
              <w:right w:val="nil"/>
            </w:tcBorders>
            <w:shd w:val="clear" w:color="auto" w:fill="auto"/>
            <w:noWrap/>
            <w:vAlign w:val="bottom"/>
            <w:hideMark/>
          </w:tcPr>
          <w:p w14:paraId="0F32E45A"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1140" w:type="dxa"/>
            <w:tcBorders>
              <w:top w:val="single" w:sz="4" w:space="0" w:color="auto"/>
              <w:left w:val="nil"/>
              <w:bottom w:val="nil"/>
              <w:right w:val="nil"/>
            </w:tcBorders>
            <w:shd w:val="clear" w:color="auto" w:fill="auto"/>
            <w:noWrap/>
            <w:vAlign w:val="bottom"/>
            <w:hideMark/>
          </w:tcPr>
          <w:p w14:paraId="2E6F19FA"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960" w:type="dxa"/>
            <w:tcBorders>
              <w:top w:val="single" w:sz="4" w:space="0" w:color="auto"/>
              <w:left w:val="nil"/>
              <w:bottom w:val="nil"/>
              <w:right w:val="nil"/>
            </w:tcBorders>
            <w:shd w:val="clear" w:color="auto" w:fill="auto"/>
            <w:noWrap/>
            <w:vAlign w:val="bottom"/>
            <w:hideMark/>
          </w:tcPr>
          <w:p w14:paraId="77445805" w14:textId="77777777" w:rsidR="0065177F" w:rsidRPr="00DC36FD" w:rsidRDefault="0065177F" w:rsidP="0065177F">
            <w:pPr>
              <w:jc w:val="center"/>
              <w:rPr>
                <w:rFonts w:ascii="Arial" w:hAnsi="Arial" w:cs="Arial"/>
                <w:b/>
                <w:bCs/>
                <w:color w:val="000000"/>
                <w:sz w:val="18"/>
                <w:szCs w:val="18"/>
                <w:lang w:val="en-GB"/>
              </w:rPr>
            </w:pPr>
            <w:r w:rsidRPr="00DC36FD">
              <w:rPr>
                <w:rFonts w:ascii="Arial" w:hAnsi="Arial" w:cs="Arial"/>
                <w:b/>
                <w:bCs/>
                <w:color w:val="000000"/>
                <w:sz w:val="18"/>
                <w:szCs w:val="18"/>
                <w:lang w:val="en-GB"/>
              </w:rPr>
              <w:t>2016</w:t>
            </w:r>
          </w:p>
        </w:tc>
        <w:tc>
          <w:tcPr>
            <w:tcW w:w="600" w:type="dxa"/>
            <w:tcBorders>
              <w:top w:val="single" w:sz="4" w:space="0" w:color="auto"/>
              <w:left w:val="nil"/>
              <w:bottom w:val="nil"/>
              <w:right w:val="nil"/>
            </w:tcBorders>
            <w:shd w:val="clear" w:color="auto" w:fill="auto"/>
            <w:noWrap/>
            <w:vAlign w:val="bottom"/>
            <w:hideMark/>
          </w:tcPr>
          <w:p w14:paraId="13F1AD9B" w14:textId="77777777" w:rsidR="0065177F" w:rsidRPr="00DC36FD" w:rsidRDefault="0065177F" w:rsidP="0065177F">
            <w:pPr>
              <w:jc w:val="center"/>
              <w:rPr>
                <w:rFonts w:ascii="Arial" w:hAnsi="Arial" w:cs="Arial"/>
                <w:b/>
                <w:bCs/>
                <w:color w:val="000000"/>
                <w:sz w:val="18"/>
                <w:szCs w:val="18"/>
                <w:lang w:val="en-GB"/>
              </w:rPr>
            </w:pPr>
            <w:r w:rsidRPr="00DC36FD">
              <w:rPr>
                <w:rFonts w:ascii="Arial" w:hAnsi="Arial" w:cs="Arial"/>
                <w:b/>
                <w:bCs/>
                <w:color w:val="000000"/>
                <w:sz w:val="18"/>
                <w:szCs w:val="18"/>
                <w:lang w:val="en-GB"/>
              </w:rPr>
              <w:t> </w:t>
            </w:r>
          </w:p>
        </w:tc>
        <w:tc>
          <w:tcPr>
            <w:tcW w:w="1120" w:type="dxa"/>
            <w:tcBorders>
              <w:top w:val="single" w:sz="4" w:space="0" w:color="auto"/>
              <w:left w:val="nil"/>
              <w:bottom w:val="nil"/>
              <w:right w:val="nil"/>
            </w:tcBorders>
            <w:shd w:val="clear" w:color="auto" w:fill="auto"/>
            <w:noWrap/>
            <w:vAlign w:val="bottom"/>
            <w:hideMark/>
          </w:tcPr>
          <w:p w14:paraId="399DDB77" w14:textId="77777777" w:rsidR="0065177F" w:rsidRPr="00DC36FD" w:rsidRDefault="0065177F" w:rsidP="0065177F">
            <w:pPr>
              <w:jc w:val="center"/>
              <w:rPr>
                <w:rFonts w:ascii="Arial" w:hAnsi="Arial" w:cs="Arial"/>
                <w:b/>
                <w:bCs/>
                <w:color w:val="000000"/>
                <w:sz w:val="18"/>
                <w:szCs w:val="18"/>
                <w:lang w:val="en-GB"/>
              </w:rPr>
            </w:pPr>
            <w:r w:rsidRPr="00DC36FD">
              <w:rPr>
                <w:rFonts w:ascii="Arial" w:hAnsi="Arial" w:cs="Arial"/>
                <w:b/>
                <w:bCs/>
                <w:color w:val="000000"/>
                <w:sz w:val="18"/>
                <w:szCs w:val="18"/>
                <w:lang w:val="en-GB"/>
              </w:rPr>
              <w:t>2015</w:t>
            </w:r>
          </w:p>
        </w:tc>
        <w:tc>
          <w:tcPr>
            <w:tcW w:w="600" w:type="dxa"/>
            <w:tcBorders>
              <w:top w:val="single" w:sz="4" w:space="0" w:color="auto"/>
              <w:left w:val="nil"/>
              <w:bottom w:val="nil"/>
              <w:right w:val="nil"/>
            </w:tcBorders>
            <w:shd w:val="clear" w:color="auto" w:fill="auto"/>
            <w:noWrap/>
            <w:vAlign w:val="bottom"/>
            <w:hideMark/>
          </w:tcPr>
          <w:p w14:paraId="77F93AFF" w14:textId="77777777" w:rsidR="0065177F" w:rsidRPr="00DC36FD" w:rsidRDefault="0065177F" w:rsidP="0065177F">
            <w:pPr>
              <w:jc w:val="center"/>
              <w:rPr>
                <w:rFonts w:ascii="Arial" w:hAnsi="Arial" w:cs="Arial"/>
                <w:b/>
                <w:bCs/>
                <w:color w:val="000000"/>
                <w:sz w:val="18"/>
                <w:szCs w:val="18"/>
                <w:lang w:val="en-GB"/>
              </w:rPr>
            </w:pPr>
            <w:r w:rsidRPr="00DC36FD">
              <w:rPr>
                <w:rFonts w:ascii="Arial" w:hAnsi="Arial" w:cs="Arial"/>
                <w:b/>
                <w:bCs/>
                <w:color w:val="000000"/>
                <w:sz w:val="18"/>
                <w:szCs w:val="18"/>
                <w:lang w:val="en-GB"/>
              </w:rPr>
              <w:t> </w:t>
            </w:r>
          </w:p>
        </w:tc>
        <w:tc>
          <w:tcPr>
            <w:tcW w:w="1040" w:type="dxa"/>
            <w:tcBorders>
              <w:top w:val="single" w:sz="4" w:space="0" w:color="auto"/>
              <w:left w:val="nil"/>
              <w:bottom w:val="nil"/>
              <w:right w:val="single" w:sz="4" w:space="0" w:color="auto"/>
            </w:tcBorders>
            <w:shd w:val="clear" w:color="auto" w:fill="auto"/>
            <w:noWrap/>
            <w:vAlign w:val="bottom"/>
            <w:hideMark/>
          </w:tcPr>
          <w:p w14:paraId="2F592F84" w14:textId="77777777" w:rsidR="0065177F" w:rsidRPr="00DC36FD" w:rsidRDefault="0065177F" w:rsidP="0065177F">
            <w:pPr>
              <w:jc w:val="center"/>
              <w:rPr>
                <w:rFonts w:ascii="Arial" w:hAnsi="Arial" w:cs="Arial"/>
                <w:b/>
                <w:bCs/>
                <w:color w:val="000000"/>
                <w:sz w:val="18"/>
                <w:szCs w:val="18"/>
                <w:lang w:val="en-GB"/>
              </w:rPr>
            </w:pPr>
            <w:r w:rsidRPr="00DC36FD">
              <w:rPr>
                <w:rFonts w:ascii="Arial" w:hAnsi="Arial" w:cs="Arial"/>
                <w:b/>
                <w:bCs/>
                <w:color w:val="000000"/>
                <w:sz w:val="18"/>
                <w:szCs w:val="18"/>
                <w:lang w:val="en-GB"/>
              </w:rPr>
              <w:t>2014</w:t>
            </w:r>
          </w:p>
        </w:tc>
      </w:tr>
      <w:tr w:rsidR="0065177F" w:rsidRPr="00DC36FD" w14:paraId="3D645B32" w14:textId="77777777" w:rsidTr="0065177F">
        <w:trPr>
          <w:trHeight w:val="300"/>
          <w:jc w:val="center"/>
        </w:trPr>
        <w:tc>
          <w:tcPr>
            <w:tcW w:w="1120" w:type="dxa"/>
            <w:gridSpan w:val="2"/>
            <w:tcBorders>
              <w:top w:val="nil"/>
              <w:left w:val="single" w:sz="4" w:space="0" w:color="auto"/>
              <w:bottom w:val="nil"/>
              <w:right w:val="nil"/>
            </w:tcBorders>
            <w:shd w:val="clear" w:color="auto" w:fill="auto"/>
            <w:noWrap/>
            <w:vAlign w:val="bottom"/>
            <w:hideMark/>
          </w:tcPr>
          <w:p w14:paraId="60298982" w14:textId="77777777" w:rsidR="0065177F" w:rsidRPr="00DC36FD" w:rsidRDefault="0065177F" w:rsidP="0065177F">
            <w:pPr>
              <w:rPr>
                <w:rFonts w:ascii="Arial" w:hAnsi="Arial" w:cs="Arial"/>
                <w:b/>
                <w:bCs/>
                <w:color w:val="000000"/>
                <w:sz w:val="18"/>
                <w:szCs w:val="18"/>
                <w:lang w:val="en-GB"/>
              </w:rPr>
            </w:pPr>
            <w:r w:rsidRPr="00DC36FD">
              <w:rPr>
                <w:rFonts w:ascii="Arial" w:hAnsi="Arial" w:cs="Arial"/>
                <w:b/>
                <w:bCs/>
                <w:color w:val="000000"/>
                <w:sz w:val="18"/>
                <w:szCs w:val="18"/>
                <w:lang w:val="en-GB"/>
              </w:rPr>
              <w:t>Revenue</w:t>
            </w:r>
          </w:p>
        </w:tc>
        <w:tc>
          <w:tcPr>
            <w:tcW w:w="1125" w:type="dxa"/>
            <w:tcBorders>
              <w:top w:val="nil"/>
              <w:left w:val="nil"/>
              <w:bottom w:val="nil"/>
              <w:right w:val="nil"/>
            </w:tcBorders>
            <w:shd w:val="clear" w:color="auto" w:fill="auto"/>
            <w:noWrap/>
            <w:vAlign w:val="bottom"/>
            <w:hideMark/>
          </w:tcPr>
          <w:p w14:paraId="348D2528" w14:textId="77777777" w:rsidR="0065177F" w:rsidRPr="00DC36FD" w:rsidRDefault="0065177F" w:rsidP="0065177F">
            <w:pPr>
              <w:rPr>
                <w:rFonts w:ascii="Arial" w:hAnsi="Arial" w:cs="Arial"/>
                <w:b/>
                <w:bCs/>
                <w:color w:val="000000"/>
                <w:sz w:val="18"/>
                <w:szCs w:val="18"/>
                <w:lang w:val="en-GB"/>
              </w:rPr>
            </w:pPr>
          </w:p>
        </w:tc>
        <w:tc>
          <w:tcPr>
            <w:tcW w:w="795" w:type="dxa"/>
            <w:tcBorders>
              <w:top w:val="nil"/>
              <w:left w:val="nil"/>
              <w:bottom w:val="nil"/>
              <w:right w:val="nil"/>
            </w:tcBorders>
            <w:shd w:val="clear" w:color="auto" w:fill="auto"/>
            <w:noWrap/>
            <w:vAlign w:val="bottom"/>
            <w:hideMark/>
          </w:tcPr>
          <w:p w14:paraId="25D73CB6" w14:textId="77777777" w:rsidR="0065177F" w:rsidRPr="00DC36FD" w:rsidRDefault="0065177F" w:rsidP="0065177F">
            <w:pPr>
              <w:rPr>
                <w:lang w:val="en-GB"/>
              </w:rPr>
            </w:pPr>
          </w:p>
        </w:tc>
        <w:tc>
          <w:tcPr>
            <w:tcW w:w="1140" w:type="dxa"/>
            <w:tcBorders>
              <w:top w:val="nil"/>
              <w:left w:val="nil"/>
              <w:bottom w:val="nil"/>
              <w:right w:val="nil"/>
            </w:tcBorders>
            <w:shd w:val="clear" w:color="auto" w:fill="auto"/>
            <w:noWrap/>
            <w:vAlign w:val="bottom"/>
            <w:hideMark/>
          </w:tcPr>
          <w:p w14:paraId="4D40C90A" w14:textId="77777777" w:rsidR="0065177F" w:rsidRPr="00DC36FD" w:rsidRDefault="0065177F" w:rsidP="0065177F">
            <w:pPr>
              <w:rPr>
                <w:lang w:val="en-GB"/>
              </w:rPr>
            </w:pPr>
          </w:p>
        </w:tc>
        <w:tc>
          <w:tcPr>
            <w:tcW w:w="960" w:type="dxa"/>
            <w:tcBorders>
              <w:top w:val="nil"/>
              <w:left w:val="nil"/>
              <w:bottom w:val="nil"/>
              <w:right w:val="nil"/>
            </w:tcBorders>
            <w:shd w:val="clear" w:color="auto" w:fill="auto"/>
            <w:noWrap/>
            <w:vAlign w:val="bottom"/>
            <w:hideMark/>
          </w:tcPr>
          <w:p w14:paraId="496D63F1" w14:textId="77777777" w:rsidR="0065177F" w:rsidRPr="00DC36FD" w:rsidRDefault="0065177F" w:rsidP="0065177F">
            <w:pPr>
              <w:rPr>
                <w:lang w:val="en-GB"/>
              </w:rPr>
            </w:pPr>
          </w:p>
        </w:tc>
        <w:tc>
          <w:tcPr>
            <w:tcW w:w="600" w:type="dxa"/>
            <w:tcBorders>
              <w:top w:val="nil"/>
              <w:left w:val="nil"/>
              <w:bottom w:val="nil"/>
              <w:right w:val="nil"/>
            </w:tcBorders>
            <w:shd w:val="clear" w:color="auto" w:fill="auto"/>
            <w:noWrap/>
            <w:vAlign w:val="bottom"/>
            <w:hideMark/>
          </w:tcPr>
          <w:p w14:paraId="049FF031" w14:textId="77777777" w:rsidR="0065177F" w:rsidRPr="00DC36FD" w:rsidRDefault="0065177F" w:rsidP="0065177F">
            <w:pPr>
              <w:rPr>
                <w:lang w:val="en-GB"/>
              </w:rPr>
            </w:pPr>
          </w:p>
        </w:tc>
        <w:tc>
          <w:tcPr>
            <w:tcW w:w="1120" w:type="dxa"/>
            <w:tcBorders>
              <w:top w:val="nil"/>
              <w:left w:val="nil"/>
              <w:bottom w:val="nil"/>
              <w:right w:val="nil"/>
            </w:tcBorders>
            <w:shd w:val="clear" w:color="auto" w:fill="auto"/>
            <w:noWrap/>
            <w:vAlign w:val="bottom"/>
            <w:hideMark/>
          </w:tcPr>
          <w:p w14:paraId="06CE40E6" w14:textId="77777777" w:rsidR="0065177F" w:rsidRPr="00DC36FD" w:rsidRDefault="0065177F" w:rsidP="0065177F">
            <w:pPr>
              <w:rPr>
                <w:lang w:val="en-GB"/>
              </w:rPr>
            </w:pPr>
          </w:p>
        </w:tc>
        <w:tc>
          <w:tcPr>
            <w:tcW w:w="600" w:type="dxa"/>
            <w:tcBorders>
              <w:top w:val="nil"/>
              <w:left w:val="nil"/>
              <w:bottom w:val="nil"/>
              <w:right w:val="nil"/>
            </w:tcBorders>
            <w:shd w:val="clear" w:color="auto" w:fill="auto"/>
            <w:noWrap/>
            <w:vAlign w:val="bottom"/>
            <w:hideMark/>
          </w:tcPr>
          <w:p w14:paraId="319C7AC4" w14:textId="77777777" w:rsidR="0065177F" w:rsidRPr="00DC36FD" w:rsidRDefault="0065177F" w:rsidP="0065177F">
            <w:pPr>
              <w:rPr>
                <w:lang w:val="en-GB"/>
              </w:rPr>
            </w:pPr>
          </w:p>
        </w:tc>
        <w:tc>
          <w:tcPr>
            <w:tcW w:w="1040" w:type="dxa"/>
            <w:tcBorders>
              <w:top w:val="nil"/>
              <w:left w:val="nil"/>
              <w:bottom w:val="nil"/>
              <w:right w:val="single" w:sz="4" w:space="0" w:color="auto"/>
            </w:tcBorders>
            <w:shd w:val="clear" w:color="auto" w:fill="auto"/>
            <w:noWrap/>
            <w:vAlign w:val="bottom"/>
            <w:hideMark/>
          </w:tcPr>
          <w:p w14:paraId="5B1E886B"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r>
      <w:tr w:rsidR="0065177F" w:rsidRPr="00DC36FD" w14:paraId="63E12ED6" w14:textId="77777777" w:rsidTr="0065177F">
        <w:trPr>
          <w:trHeight w:val="300"/>
          <w:jc w:val="center"/>
        </w:trPr>
        <w:tc>
          <w:tcPr>
            <w:tcW w:w="520" w:type="dxa"/>
            <w:tcBorders>
              <w:top w:val="nil"/>
              <w:left w:val="single" w:sz="4" w:space="0" w:color="auto"/>
              <w:bottom w:val="nil"/>
              <w:right w:val="nil"/>
            </w:tcBorders>
            <w:shd w:val="clear" w:color="auto" w:fill="auto"/>
            <w:noWrap/>
            <w:vAlign w:val="bottom"/>
            <w:hideMark/>
          </w:tcPr>
          <w:p w14:paraId="4E0B5D56" w14:textId="77777777" w:rsidR="0065177F" w:rsidRPr="00DC36FD" w:rsidRDefault="0065177F" w:rsidP="0065177F">
            <w:pPr>
              <w:rPr>
                <w:rFonts w:ascii="Arial" w:hAnsi="Arial" w:cs="Arial"/>
                <w:b/>
                <w:bCs/>
                <w:color w:val="000000"/>
                <w:sz w:val="18"/>
                <w:szCs w:val="18"/>
                <w:lang w:val="en-GB"/>
              </w:rPr>
            </w:pPr>
            <w:r w:rsidRPr="00DC36FD">
              <w:rPr>
                <w:rFonts w:ascii="Arial" w:hAnsi="Arial" w:cs="Arial"/>
                <w:b/>
                <w:bCs/>
                <w:color w:val="000000"/>
                <w:sz w:val="18"/>
                <w:szCs w:val="18"/>
                <w:lang w:val="en-GB"/>
              </w:rPr>
              <w:t> </w:t>
            </w:r>
          </w:p>
        </w:tc>
        <w:tc>
          <w:tcPr>
            <w:tcW w:w="1725" w:type="dxa"/>
            <w:gridSpan w:val="2"/>
            <w:tcBorders>
              <w:top w:val="nil"/>
              <w:left w:val="nil"/>
              <w:bottom w:val="nil"/>
              <w:right w:val="nil"/>
            </w:tcBorders>
            <w:shd w:val="clear" w:color="auto" w:fill="auto"/>
            <w:noWrap/>
            <w:vAlign w:val="bottom"/>
            <w:hideMark/>
          </w:tcPr>
          <w:p w14:paraId="250893B8"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Bin Hauling</w:t>
            </w:r>
          </w:p>
        </w:tc>
        <w:tc>
          <w:tcPr>
            <w:tcW w:w="795" w:type="dxa"/>
            <w:tcBorders>
              <w:top w:val="nil"/>
              <w:left w:val="nil"/>
              <w:bottom w:val="nil"/>
              <w:right w:val="nil"/>
            </w:tcBorders>
            <w:shd w:val="clear" w:color="auto" w:fill="auto"/>
            <w:noWrap/>
            <w:vAlign w:val="bottom"/>
            <w:hideMark/>
          </w:tcPr>
          <w:p w14:paraId="5517CDC3" w14:textId="77777777" w:rsidR="0065177F" w:rsidRPr="00DC36FD" w:rsidRDefault="0065177F" w:rsidP="0065177F">
            <w:pPr>
              <w:rPr>
                <w:rFonts w:ascii="Arial" w:hAnsi="Arial" w:cs="Arial"/>
                <w:color w:val="000000"/>
                <w:sz w:val="18"/>
                <w:szCs w:val="18"/>
                <w:lang w:val="en-GB"/>
              </w:rPr>
            </w:pPr>
          </w:p>
        </w:tc>
        <w:tc>
          <w:tcPr>
            <w:tcW w:w="1140" w:type="dxa"/>
            <w:tcBorders>
              <w:top w:val="nil"/>
              <w:left w:val="nil"/>
              <w:bottom w:val="nil"/>
              <w:right w:val="nil"/>
            </w:tcBorders>
            <w:shd w:val="clear" w:color="auto" w:fill="auto"/>
            <w:noWrap/>
            <w:vAlign w:val="bottom"/>
            <w:hideMark/>
          </w:tcPr>
          <w:p w14:paraId="0D3D9C77" w14:textId="77777777" w:rsidR="0065177F" w:rsidRPr="00DC36FD" w:rsidRDefault="0065177F" w:rsidP="0065177F">
            <w:pPr>
              <w:rPr>
                <w:lang w:val="en-GB"/>
              </w:rPr>
            </w:pPr>
          </w:p>
        </w:tc>
        <w:tc>
          <w:tcPr>
            <w:tcW w:w="960" w:type="dxa"/>
            <w:tcBorders>
              <w:top w:val="nil"/>
              <w:left w:val="nil"/>
              <w:bottom w:val="nil"/>
              <w:right w:val="nil"/>
            </w:tcBorders>
            <w:shd w:val="clear" w:color="auto" w:fill="auto"/>
            <w:noWrap/>
            <w:vAlign w:val="bottom"/>
            <w:hideMark/>
          </w:tcPr>
          <w:p w14:paraId="0FA846EB"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72,357 </w:t>
            </w:r>
          </w:p>
        </w:tc>
        <w:tc>
          <w:tcPr>
            <w:tcW w:w="600" w:type="dxa"/>
            <w:tcBorders>
              <w:top w:val="nil"/>
              <w:left w:val="nil"/>
              <w:bottom w:val="nil"/>
              <w:right w:val="nil"/>
            </w:tcBorders>
            <w:shd w:val="clear" w:color="auto" w:fill="auto"/>
            <w:noWrap/>
            <w:vAlign w:val="bottom"/>
            <w:hideMark/>
          </w:tcPr>
          <w:p w14:paraId="45B55600" w14:textId="77777777" w:rsidR="0065177F" w:rsidRPr="00DC36FD" w:rsidRDefault="0065177F" w:rsidP="0065177F">
            <w:pPr>
              <w:jc w:val="right"/>
              <w:rPr>
                <w:rFonts w:ascii="Arial" w:hAnsi="Arial" w:cs="Arial"/>
                <w:color w:val="000000"/>
                <w:sz w:val="18"/>
                <w:szCs w:val="18"/>
                <w:lang w:val="en-GB"/>
              </w:rPr>
            </w:pPr>
          </w:p>
        </w:tc>
        <w:tc>
          <w:tcPr>
            <w:tcW w:w="1120" w:type="dxa"/>
            <w:tcBorders>
              <w:top w:val="nil"/>
              <w:left w:val="nil"/>
              <w:bottom w:val="nil"/>
              <w:right w:val="nil"/>
            </w:tcBorders>
            <w:shd w:val="clear" w:color="auto" w:fill="auto"/>
            <w:noWrap/>
            <w:vAlign w:val="bottom"/>
            <w:hideMark/>
          </w:tcPr>
          <w:p w14:paraId="58B1136B"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74,992 </w:t>
            </w:r>
          </w:p>
        </w:tc>
        <w:tc>
          <w:tcPr>
            <w:tcW w:w="600" w:type="dxa"/>
            <w:tcBorders>
              <w:top w:val="nil"/>
              <w:left w:val="nil"/>
              <w:bottom w:val="nil"/>
              <w:right w:val="nil"/>
            </w:tcBorders>
            <w:shd w:val="clear" w:color="auto" w:fill="auto"/>
            <w:noWrap/>
            <w:vAlign w:val="bottom"/>
            <w:hideMark/>
          </w:tcPr>
          <w:p w14:paraId="1C42CC69" w14:textId="77777777" w:rsidR="0065177F" w:rsidRPr="00DC36FD" w:rsidRDefault="0065177F" w:rsidP="0065177F">
            <w:pPr>
              <w:jc w:val="right"/>
              <w:rPr>
                <w:rFonts w:ascii="Arial" w:hAnsi="Arial" w:cs="Arial"/>
                <w:color w:val="000000"/>
                <w:sz w:val="18"/>
                <w:szCs w:val="18"/>
                <w:lang w:val="en-GB"/>
              </w:rPr>
            </w:pPr>
          </w:p>
        </w:tc>
        <w:tc>
          <w:tcPr>
            <w:tcW w:w="1040" w:type="dxa"/>
            <w:tcBorders>
              <w:top w:val="nil"/>
              <w:left w:val="nil"/>
              <w:bottom w:val="nil"/>
              <w:right w:val="single" w:sz="4" w:space="0" w:color="auto"/>
            </w:tcBorders>
            <w:shd w:val="clear" w:color="auto" w:fill="auto"/>
            <w:noWrap/>
            <w:vAlign w:val="bottom"/>
            <w:hideMark/>
          </w:tcPr>
          <w:p w14:paraId="49A89822"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165,006 </w:t>
            </w:r>
          </w:p>
        </w:tc>
      </w:tr>
      <w:tr w:rsidR="0065177F" w:rsidRPr="00DC36FD" w14:paraId="2191AA51" w14:textId="77777777" w:rsidTr="0065177F">
        <w:trPr>
          <w:trHeight w:val="300"/>
          <w:jc w:val="center"/>
        </w:trPr>
        <w:tc>
          <w:tcPr>
            <w:tcW w:w="520" w:type="dxa"/>
            <w:tcBorders>
              <w:top w:val="nil"/>
              <w:left w:val="single" w:sz="4" w:space="0" w:color="auto"/>
              <w:bottom w:val="nil"/>
              <w:right w:val="nil"/>
            </w:tcBorders>
            <w:shd w:val="clear" w:color="auto" w:fill="auto"/>
            <w:noWrap/>
            <w:vAlign w:val="bottom"/>
            <w:hideMark/>
          </w:tcPr>
          <w:p w14:paraId="50CEA374" w14:textId="77777777" w:rsidR="0065177F" w:rsidRPr="00DC36FD" w:rsidRDefault="0065177F" w:rsidP="0065177F">
            <w:pPr>
              <w:rPr>
                <w:rFonts w:ascii="Arial" w:hAnsi="Arial" w:cs="Arial"/>
                <w:b/>
                <w:bCs/>
                <w:color w:val="000000"/>
                <w:sz w:val="18"/>
                <w:szCs w:val="18"/>
                <w:lang w:val="en-GB"/>
              </w:rPr>
            </w:pPr>
            <w:r w:rsidRPr="00DC36FD">
              <w:rPr>
                <w:rFonts w:ascii="Arial" w:hAnsi="Arial" w:cs="Arial"/>
                <w:b/>
                <w:bCs/>
                <w:color w:val="000000"/>
                <w:sz w:val="18"/>
                <w:szCs w:val="18"/>
                <w:lang w:val="en-GB"/>
              </w:rPr>
              <w:t> </w:t>
            </w:r>
          </w:p>
        </w:tc>
        <w:tc>
          <w:tcPr>
            <w:tcW w:w="1725" w:type="dxa"/>
            <w:gridSpan w:val="2"/>
            <w:tcBorders>
              <w:top w:val="nil"/>
              <w:left w:val="nil"/>
              <w:bottom w:val="nil"/>
              <w:right w:val="nil"/>
            </w:tcBorders>
            <w:shd w:val="clear" w:color="auto" w:fill="auto"/>
            <w:noWrap/>
            <w:vAlign w:val="bottom"/>
            <w:hideMark/>
          </w:tcPr>
          <w:p w14:paraId="22617F92"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Grain Hauling</w:t>
            </w:r>
          </w:p>
        </w:tc>
        <w:tc>
          <w:tcPr>
            <w:tcW w:w="795" w:type="dxa"/>
            <w:tcBorders>
              <w:top w:val="nil"/>
              <w:left w:val="nil"/>
              <w:bottom w:val="nil"/>
              <w:right w:val="nil"/>
            </w:tcBorders>
            <w:shd w:val="clear" w:color="auto" w:fill="auto"/>
            <w:noWrap/>
            <w:vAlign w:val="bottom"/>
            <w:hideMark/>
          </w:tcPr>
          <w:p w14:paraId="1167C322" w14:textId="77777777" w:rsidR="0065177F" w:rsidRPr="00DC36FD" w:rsidRDefault="0065177F" w:rsidP="0065177F">
            <w:pPr>
              <w:rPr>
                <w:rFonts w:ascii="Arial" w:hAnsi="Arial" w:cs="Arial"/>
                <w:color w:val="000000"/>
                <w:sz w:val="18"/>
                <w:szCs w:val="18"/>
                <w:lang w:val="en-GB"/>
              </w:rPr>
            </w:pPr>
          </w:p>
        </w:tc>
        <w:tc>
          <w:tcPr>
            <w:tcW w:w="1140" w:type="dxa"/>
            <w:tcBorders>
              <w:top w:val="nil"/>
              <w:left w:val="nil"/>
              <w:bottom w:val="nil"/>
              <w:right w:val="nil"/>
            </w:tcBorders>
            <w:shd w:val="clear" w:color="auto" w:fill="auto"/>
            <w:noWrap/>
            <w:vAlign w:val="bottom"/>
            <w:hideMark/>
          </w:tcPr>
          <w:p w14:paraId="54B5A094" w14:textId="77777777" w:rsidR="0065177F" w:rsidRPr="00DC36FD" w:rsidRDefault="0065177F" w:rsidP="0065177F">
            <w:pPr>
              <w:rPr>
                <w:lang w:val="en-GB"/>
              </w:rPr>
            </w:pPr>
          </w:p>
        </w:tc>
        <w:tc>
          <w:tcPr>
            <w:tcW w:w="960" w:type="dxa"/>
            <w:tcBorders>
              <w:top w:val="nil"/>
              <w:left w:val="nil"/>
              <w:bottom w:val="nil"/>
              <w:right w:val="nil"/>
            </w:tcBorders>
            <w:shd w:val="clear" w:color="auto" w:fill="auto"/>
            <w:noWrap/>
            <w:vAlign w:val="bottom"/>
            <w:hideMark/>
          </w:tcPr>
          <w:p w14:paraId="56DE3491"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122,043 </w:t>
            </w:r>
          </w:p>
        </w:tc>
        <w:tc>
          <w:tcPr>
            <w:tcW w:w="600" w:type="dxa"/>
            <w:tcBorders>
              <w:top w:val="nil"/>
              <w:left w:val="nil"/>
              <w:bottom w:val="nil"/>
              <w:right w:val="nil"/>
            </w:tcBorders>
            <w:shd w:val="clear" w:color="auto" w:fill="auto"/>
            <w:noWrap/>
            <w:vAlign w:val="bottom"/>
            <w:hideMark/>
          </w:tcPr>
          <w:p w14:paraId="2593809C" w14:textId="77777777" w:rsidR="0065177F" w:rsidRPr="00DC36FD" w:rsidRDefault="0065177F" w:rsidP="0065177F">
            <w:pPr>
              <w:jc w:val="right"/>
              <w:rPr>
                <w:rFonts w:ascii="Arial" w:hAnsi="Arial" w:cs="Arial"/>
                <w:color w:val="000000"/>
                <w:sz w:val="18"/>
                <w:szCs w:val="18"/>
                <w:lang w:val="en-GB"/>
              </w:rPr>
            </w:pPr>
          </w:p>
        </w:tc>
        <w:tc>
          <w:tcPr>
            <w:tcW w:w="1120" w:type="dxa"/>
            <w:tcBorders>
              <w:top w:val="nil"/>
              <w:left w:val="nil"/>
              <w:bottom w:val="nil"/>
              <w:right w:val="nil"/>
            </w:tcBorders>
            <w:shd w:val="clear" w:color="auto" w:fill="auto"/>
            <w:noWrap/>
            <w:vAlign w:val="bottom"/>
            <w:hideMark/>
          </w:tcPr>
          <w:p w14:paraId="26B9A3A9"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98,752 </w:t>
            </w:r>
          </w:p>
        </w:tc>
        <w:tc>
          <w:tcPr>
            <w:tcW w:w="600" w:type="dxa"/>
            <w:tcBorders>
              <w:top w:val="nil"/>
              <w:left w:val="nil"/>
              <w:bottom w:val="nil"/>
              <w:right w:val="nil"/>
            </w:tcBorders>
            <w:shd w:val="clear" w:color="auto" w:fill="auto"/>
            <w:noWrap/>
            <w:vAlign w:val="bottom"/>
            <w:hideMark/>
          </w:tcPr>
          <w:p w14:paraId="3AC84CB5" w14:textId="77777777" w:rsidR="0065177F" w:rsidRPr="00DC36FD" w:rsidRDefault="0065177F" w:rsidP="0065177F">
            <w:pPr>
              <w:jc w:val="right"/>
              <w:rPr>
                <w:rFonts w:ascii="Arial" w:hAnsi="Arial" w:cs="Arial"/>
                <w:color w:val="000000"/>
                <w:sz w:val="18"/>
                <w:szCs w:val="18"/>
                <w:lang w:val="en-GB"/>
              </w:rPr>
            </w:pPr>
          </w:p>
        </w:tc>
        <w:tc>
          <w:tcPr>
            <w:tcW w:w="1040" w:type="dxa"/>
            <w:tcBorders>
              <w:top w:val="nil"/>
              <w:left w:val="nil"/>
              <w:bottom w:val="nil"/>
              <w:right w:val="single" w:sz="4" w:space="0" w:color="auto"/>
            </w:tcBorders>
            <w:shd w:val="clear" w:color="auto" w:fill="auto"/>
            <w:noWrap/>
            <w:vAlign w:val="bottom"/>
            <w:hideMark/>
          </w:tcPr>
          <w:p w14:paraId="31338C14"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47,049 </w:t>
            </w:r>
          </w:p>
        </w:tc>
      </w:tr>
      <w:tr w:rsidR="0065177F" w:rsidRPr="00DC36FD" w14:paraId="09756EDC" w14:textId="77777777" w:rsidTr="0065177F">
        <w:trPr>
          <w:trHeight w:val="300"/>
          <w:jc w:val="center"/>
        </w:trPr>
        <w:tc>
          <w:tcPr>
            <w:tcW w:w="520" w:type="dxa"/>
            <w:tcBorders>
              <w:top w:val="nil"/>
              <w:left w:val="single" w:sz="4" w:space="0" w:color="auto"/>
              <w:bottom w:val="nil"/>
              <w:right w:val="nil"/>
            </w:tcBorders>
            <w:shd w:val="clear" w:color="auto" w:fill="auto"/>
            <w:noWrap/>
            <w:vAlign w:val="bottom"/>
            <w:hideMark/>
          </w:tcPr>
          <w:p w14:paraId="6C3FB11A" w14:textId="77777777" w:rsidR="0065177F" w:rsidRPr="00DC36FD" w:rsidRDefault="0065177F" w:rsidP="0065177F">
            <w:pPr>
              <w:rPr>
                <w:rFonts w:ascii="Arial" w:hAnsi="Arial" w:cs="Arial"/>
                <w:b/>
                <w:bCs/>
                <w:color w:val="000000"/>
                <w:sz w:val="18"/>
                <w:szCs w:val="18"/>
                <w:lang w:val="en-GB"/>
              </w:rPr>
            </w:pPr>
            <w:r w:rsidRPr="00DC36FD">
              <w:rPr>
                <w:rFonts w:ascii="Arial" w:hAnsi="Arial" w:cs="Arial"/>
                <w:b/>
                <w:bCs/>
                <w:color w:val="000000"/>
                <w:sz w:val="18"/>
                <w:szCs w:val="18"/>
                <w:lang w:val="en-GB"/>
              </w:rPr>
              <w:t> </w:t>
            </w:r>
          </w:p>
        </w:tc>
        <w:tc>
          <w:tcPr>
            <w:tcW w:w="3660" w:type="dxa"/>
            <w:gridSpan w:val="4"/>
            <w:tcBorders>
              <w:top w:val="nil"/>
              <w:left w:val="nil"/>
              <w:bottom w:val="nil"/>
              <w:right w:val="nil"/>
            </w:tcBorders>
            <w:shd w:val="clear" w:color="auto" w:fill="auto"/>
            <w:noWrap/>
            <w:vAlign w:val="bottom"/>
            <w:hideMark/>
          </w:tcPr>
          <w:p w14:paraId="627A1DD1"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Seed, Fertilizer, and Chemical Hauling</w:t>
            </w:r>
          </w:p>
        </w:tc>
        <w:tc>
          <w:tcPr>
            <w:tcW w:w="960" w:type="dxa"/>
            <w:tcBorders>
              <w:top w:val="nil"/>
              <w:left w:val="nil"/>
              <w:bottom w:val="nil"/>
              <w:right w:val="nil"/>
            </w:tcBorders>
            <w:shd w:val="clear" w:color="auto" w:fill="auto"/>
            <w:noWrap/>
            <w:vAlign w:val="bottom"/>
            <w:hideMark/>
          </w:tcPr>
          <w:p w14:paraId="01D6C002"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75,459 </w:t>
            </w:r>
          </w:p>
        </w:tc>
        <w:tc>
          <w:tcPr>
            <w:tcW w:w="600" w:type="dxa"/>
            <w:tcBorders>
              <w:top w:val="nil"/>
              <w:left w:val="nil"/>
              <w:bottom w:val="nil"/>
              <w:right w:val="nil"/>
            </w:tcBorders>
            <w:shd w:val="clear" w:color="auto" w:fill="auto"/>
            <w:noWrap/>
            <w:vAlign w:val="bottom"/>
            <w:hideMark/>
          </w:tcPr>
          <w:p w14:paraId="2690C17A" w14:textId="77777777" w:rsidR="0065177F" w:rsidRPr="00DC36FD" w:rsidRDefault="0065177F" w:rsidP="0065177F">
            <w:pPr>
              <w:jc w:val="right"/>
              <w:rPr>
                <w:rFonts w:ascii="Arial" w:hAnsi="Arial" w:cs="Arial"/>
                <w:color w:val="000000"/>
                <w:sz w:val="18"/>
                <w:szCs w:val="18"/>
                <w:lang w:val="en-GB"/>
              </w:rPr>
            </w:pPr>
          </w:p>
        </w:tc>
        <w:tc>
          <w:tcPr>
            <w:tcW w:w="1120" w:type="dxa"/>
            <w:tcBorders>
              <w:top w:val="nil"/>
              <w:left w:val="nil"/>
              <w:bottom w:val="nil"/>
              <w:right w:val="nil"/>
            </w:tcBorders>
            <w:shd w:val="clear" w:color="auto" w:fill="auto"/>
            <w:noWrap/>
            <w:vAlign w:val="bottom"/>
            <w:hideMark/>
          </w:tcPr>
          <w:p w14:paraId="1A5B3A5E"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56,543 </w:t>
            </w:r>
          </w:p>
        </w:tc>
        <w:tc>
          <w:tcPr>
            <w:tcW w:w="600" w:type="dxa"/>
            <w:tcBorders>
              <w:top w:val="nil"/>
              <w:left w:val="nil"/>
              <w:bottom w:val="nil"/>
              <w:right w:val="nil"/>
            </w:tcBorders>
            <w:shd w:val="clear" w:color="auto" w:fill="auto"/>
            <w:noWrap/>
            <w:vAlign w:val="bottom"/>
            <w:hideMark/>
          </w:tcPr>
          <w:p w14:paraId="38DAF8D9" w14:textId="77777777" w:rsidR="0065177F" w:rsidRPr="00DC36FD" w:rsidRDefault="0065177F" w:rsidP="0065177F">
            <w:pPr>
              <w:jc w:val="right"/>
              <w:rPr>
                <w:rFonts w:ascii="Arial" w:hAnsi="Arial" w:cs="Arial"/>
                <w:color w:val="000000"/>
                <w:sz w:val="18"/>
                <w:szCs w:val="18"/>
                <w:lang w:val="en-GB"/>
              </w:rPr>
            </w:pPr>
          </w:p>
        </w:tc>
        <w:tc>
          <w:tcPr>
            <w:tcW w:w="1040" w:type="dxa"/>
            <w:tcBorders>
              <w:top w:val="nil"/>
              <w:left w:val="nil"/>
              <w:bottom w:val="nil"/>
              <w:right w:val="single" w:sz="4" w:space="0" w:color="auto"/>
            </w:tcBorders>
            <w:shd w:val="clear" w:color="auto" w:fill="auto"/>
            <w:noWrap/>
            <w:vAlign w:val="bottom"/>
            <w:hideMark/>
          </w:tcPr>
          <w:p w14:paraId="4389685C"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33,056 </w:t>
            </w:r>
          </w:p>
        </w:tc>
      </w:tr>
      <w:tr w:rsidR="0065177F" w:rsidRPr="00DC36FD" w14:paraId="4C57AF24" w14:textId="77777777" w:rsidTr="0065177F">
        <w:trPr>
          <w:trHeight w:val="300"/>
          <w:jc w:val="center"/>
        </w:trPr>
        <w:tc>
          <w:tcPr>
            <w:tcW w:w="520" w:type="dxa"/>
            <w:tcBorders>
              <w:top w:val="nil"/>
              <w:left w:val="single" w:sz="4" w:space="0" w:color="auto"/>
              <w:bottom w:val="nil"/>
              <w:right w:val="nil"/>
            </w:tcBorders>
            <w:shd w:val="clear" w:color="auto" w:fill="auto"/>
            <w:noWrap/>
            <w:vAlign w:val="bottom"/>
            <w:hideMark/>
          </w:tcPr>
          <w:p w14:paraId="792AB4CD" w14:textId="77777777" w:rsidR="0065177F" w:rsidRPr="00DC36FD" w:rsidRDefault="0065177F" w:rsidP="0065177F">
            <w:pPr>
              <w:rPr>
                <w:rFonts w:ascii="Arial" w:hAnsi="Arial" w:cs="Arial"/>
                <w:b/>
                <w:bCs/>
                <w:color w:val="000000"/>
                <w:sz w:val="18"/>
                <w:szCs w:val="18"/>
                <w:lang w:val="en-GB"/>
              </w:rPr>
            </w:pPr>
            <w:r w:rsidRPr="00DC36FD">
              <w:rPr>
                <w:rFonts w:ascii="Arial" w:hAnsi="Arial" w:cs="Arial"/>
                <w:b/>
                <w:bCs/>
                <w:color w:val="000000"/>
                <w:sz w:val="18"/>
                <w:szCs w:val="18"/>
                <w:lang w:val="en-GB"/>
              </w:rPr>
              <w:t> </w:t>
            </w:r>
          </w:p>
        </w:tc>
        <w:tc>
          <w:tcPr>
            <w:tcW w:w="600" w:type="dxa"/>
            <w:tcBorders>
              <w:top w:val="nil"/>
              <w:left w:val="nil"/>
              <w:bottom w:val="nil"/>
              <w:right w:val="nil"/>
            </w:tcBorders>
            <w:shd w:val="clear" w:color="auto" w:fill="auto"/>
            <w:noWrap/>
            <w:vAlign w:val="bottom"/>
            <w:hideMark/>
          </w:tcPr>
          <w:p w14:paraId="7667163A" w14:textId="77777777" w:rsidR="0065177F" w:rsidRPr="00DC36FD" w:rsidRDefault="0065177F" w:rsidP="0065177F">
            <w:pPr>
              <w:rPr>
                <w:rFonts w:ascii="Arial" w:hAnsi="Arial" w:cs="Arial"/>
                <w:b/>
                <w:bCs/>
                <w:color w:val="000000"/>
                <w:sz w:val="18"/>
                <w:szCs w:val="18"/>
                <w:lang w:val="en-GB"/>
              </w:rPr>
            </w:pPr>
          </w:p>
        </w:tc>
        <w:tc>
          <w:tcPr>
            <w:tcW w:w="1125" w:type="dxa"/>
            <w:tcBorders>
              <w:top w:val="nil"/>
              <w:left w:val="nil"/>
              <w:bottom w:val="nil"/>
              <w:right w:val="nil"/>
            </w:tcBorders>
            <w:shd w:val="clear" w:color="auto" w:fill="auto"/>
            <w:noWrap/>
            <w:vAlign w:val="bottom"/>
            <w:hideMark/>
          </w:tcPr>
          <w:p w14:paraId="6BCCB5B7" w14:textId="77777777" w:rsidR="0065177F" w:rsidRPr="00DC36FD" w:rsidRDefault="0065177F" w:rsidP="0065177F">
            <w:pPr>
              <w:rPr>
                <w:lang w:val="en-GB"/>
              </w:rPr>
            </w:pPr>
          </w:p>
        </w:tc>
        <w:tc>
          <w:tcPr>
            <w:tcW w:w="795" w:type="dxa"/>
            <w:tcBorders>
              <w:top w:val="nil"/>
              <w:left w:val="nil"/>
              <w:bottom w:val="nil"/>
              <w:right w:val="nil"/>
            </w:tcBorders>
            <w:shd w:val="clear" w:color="auto" w:fill="auto"/>
            <w:noWrap/>
            <w:vAlign w:val="bottom"/>
            <w:hideMark/>
          </w:tcPr>
          <w:p w14:paraId="2764170E" w14:textId="77777777" w:rsidR="0065177F" w:rsidRPr="00DC36FD" w:rsidRDefault="0065177F" w:rsidP="0065177F">
            <w:pPr>
              <w:rPr>
                <w:lang w:val="en-GB"/>
              </w:rPr>
            </w:pPr>
          </w:p>
        </w:tc>
        <w:tc>
          <w:tcPr>
            <w:tcW w:w="1140" w:type="dxa"/>
            <w:tcBorders>
              <w:top w:val="nil"/>
              <w:left w:val="nil"/>
              <w:bottom w:val="nil"/>
              <w:right w:val="nil"/>
            </w:tcBorders>
            <w:shd w:val="clear" w:color="auto" w:fill="auto"/>
            <w:noWrap/>
            <w:vAlign w:val="bottom"/>
            <w:hideMark/>
          </w:tcPr>
          <w:p w14:paraId="45D54B61" w14:textId="77777777" w:rsidR="0065177F" w:rsidRPr="00DC36FD" w:rsidRDefault="0065177F" w:rsidP="0065177F">
            <w:pPr>
              <w:rPr>
                <w:lang w:val="en-GB"/>
              </w:rPr>
            </w:pPr>
          </w:p>
        </w:tc>
        <w:tc>
          <w:tcPr>
            <w:tcW w:w="960" w:type="dxa"/>
            <w:tcBorders>
              <w:top w:val="single" w:sz="4" w:space="0" w:color="auto"/>
              <w:left w:val="nil"/>
              <w:bottom w:val="nil"/>
              <w:right w:val="nil"/>
            </w:tcBorders>
            <w:shd w:val="clear" w:color="auto" w:fill="auto"/>
            <w:noWrap/>
            <w:vAlign w:val="bottom"/>
            <w:hideMark/>
          </w:tcPr>
          <w:p w14:paraId="22B9932B"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269,859 </w:t>
            </w:r>
          </w:p>
        </w:tc>
        <w:tc>
          <w:tcPr>
            <w:tcW w:w="600" w:type="dxa"/>
            <w:tcBorders>
              <w:top w:val="nil"/>
              <w:left w:val="nil"/>
              <w:bottom w:val="nil"/>
              <w:right w:val="nil"/>
            </w:tcBorders>
            <w:shd w:val="clear" w:color="auto" w:fill="auto"/>
            <w:noWrap/>
            <w:vAlign w:val="bottom"/>
            <w:hideMark/>
          </w:tcPr>
          <w:p w14:paraId="444FA4AC" w14:textId="77777777" w:rsidR="0065177F" w:rsidRPr="00DC36FD" w:rsidRDefault="0065177F" w:rsidP="0065177F">
            <w:pPr>
              <w:jc w:val="right"/>
              <w:rPr>
                <w:rFonts w:ascii="Arial" w:hAnsi="Arial" w:cs="Arial"/>
                <w:color w:val="000000"/>
                <w:sz w:val="18"/>
                <w:szCs w:val="18"/>
                <w:lang w:val="en-GB"/>
              </w:rPr>
            </w:pPr>
          </w:p>
        </w:tc>
        <w:tc>
          <w:tcPr>
            <w:tcW w:w="1120" w:type="dxa"/>
            <w:tcBorders>
              <w:top w:val="single" w:sz="4" w:space="0" w:color="auto"/>
              <w:left w:val="nil"/>
              <w:bottom w:val="nil"/>
              <w:right w:val="nil"/>
            </w:tcBorders>
            <w:shd w:val="clear" w:color="auto" w:fill="auto"/>
            <w:noWrap/>
            <w:vAlign w:val="bottom"/>
            <w:hideMark/>
          </w:tcPr>
          <w:p w14:paraId="3E6D4256"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230,287 </w:t>
            </w:r>
          </w:p>
        </w:tc>
        <w:tc>
          <w:tcPr>
            <w:tcW w:w="600" w:type="dxa"/>
            <w:tcBorders>
              <w:top w:val="nil"/>
              <w:left w:val="nil"/>
              <w:bottom w:val="nil"/>
              <w:right w:val="nil"/>
            </w:tcBorders>
            <w:shd w:val="clear" w:color="auto" w:fill="auto"/>
            <w:noWrap/>
            <w:vAlign w:val="bottom"/>
            <w:hideMark/>
          </w:tcPr>
          <w:p w14:paraId="0096ADA5" w14:textId="77777777" w:rsidR="0065177F" w:rsidRPr="00DC36FD" w:rsidRDefault="0065177F" w:rsidP="0065177F">
            <w:pPr>
              <w:jc w:val="right"/>
              <w:rPr>
                <w:rFonts w:ascii="Arial" w:hAnsi="Arial" w:cs="Arial"/>
                <w:color w:val="000000"/>
                <w:sz w:val="18"/>
                <w:szCs w:val="18"/>
                <w:lang w:val="en-GB"/>
              </w:rPr>
            </w:pPr>
          </w:p>
        </w:tc>
        <w:tc>
          <w:tcPr>
            <w:tcW w:w="1040" w:type="dxa"/>
            <w:tcBorders>
              <w:top w:val="single" w:sz="4" w:space="0" w:color="auto"/>
              <w:left w:val="nil"/>
              <w:bottom w:val="nil"/>
              <w:right w:val="single" w:sz="4" w:space="0" w:color="auto"/>
            </w:tcBorders>
            <w:shd w:val="clear" w:color="auto" w:fill="auto"/>
            <w:noWrap/>
            <w:vAlign w:val="bottom"/>
            <w:hideMark/>
          </w:tcPr>
          <w:p w14:paraId="2F904299"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245,111 </w:t>
            </w:r>
          </w:p>
        </w:tc>
      </w:tr>
      <w:tr w:rsidR="0065177F" w:rsidRPr="00DC36FD" w14:paraId="6327CE14" w14:textId="77777777" w:rsidTr="0065177F">
        <w:trPr>
          <w:trHeight w:val="300"/>
          <w:jc w:val="center"/>
        </w:trPr>
        <w:tc>
          <w:tcPr>
            <w:tcW w:w="1120" w:type="dxa"/>
            <w:gridSpan w:val="2"/>
            <w:tcBorders>
              <w:top w:val="nil"/>
              <w:left w:val="single" w:sz="4" w:space="0" w:color="auto"/>
              <w:bottom w:val="nil"/>
              <w:right w:val="nil"/>
            </w:tcBorders>
            <w:shd w:val="clear" w:color="auto" w:fill="auto"/>
            <w:noWrap/>
            <w:vAlign w:val="bottom"/>
            <w:hideMark/>
          </w:tcPr>
          <w:p w14:paraId="5AE6C8F6" w14:textId="77777777" w:rsidR="0065177F" w:rsidRPr="00DC36FD" w:rsidRDefault="0065177F" w:rsidP="0065177F">
            <w:pPr>
              <w:rPr>
                <w:rFonts w:ascii="Arial" w:hAnsi="Arial" w:cs="Arial"/>
                <w:b/>
                <w:bCs/>
                <w:color w:val="000000"/>
                <w:sz w:val="18"/>
                <w:szCs w:val="18"/>
                <w:lang w:val="en-GB"/>
              </w:rPr>
            </w:pPr>
            <w:r w:rsidRPr="00DC36FD">
              <w:rPr>
                <w:rFonts w:ascii="Arial" w:hAnsi="Arial" w:cs="Arial"/>
                <w:b/>
                <w:bCs/>
                <w:color w:val="000000"/>
                <w:sz w:val="18"/>
                <w:szCs w:val="18"/>
                <w:lang w:val="en-GB"/>
              </w:rPr>
              <w:t>Expenses</w:t>
            </w:r>
          </w:p>
        </w:tc>
        <w:tc>
          <w:tcPr>
            <w:tcW w:w="1125" w:type="dxa"/>
            <w:tcBorders>
              <w:top w:val="nil"/>
              <w:left w:val="nil"/>
              <w:bottom w:val="nil"/>
              <w:right w:val="nil"/>
            </w:tcBorders>
            <w:shd w:val="clear" w:color="auto" w:fill="auto"/>
            <w:noWrap/>
            <w:vAlign w:val="bottom"/>
            <w:hideMark/>
          </w:tcPr>
          <w:p w14:paraId="62B87575" w14:textId="77777777" w:rsidR="0065177F" w:rsidRPr="00DC36FD" w:rsidRDefault="0065177F" w:rsidP="0065177F">
            <w:pPr>
              <w:rPr>
                <w:rFonts w:ascii="Arial" w:hAnsi="Arial" w:cs="Arial"/>
                <w:b/>
                <w:bCs/>
                <w:color w:val="000000"/>
                <w:sz w:val="18"/>
                <w:szCs w:val="18"/>
                <w:lang w:val="en-GB"/>
              </w:rPr>
            </w:pPr>
          </w:p>
        </w:tc>
        <w:tc>
          <w:tcPr>
            <w:tcW w:w="795" w:type="dxa"/>
            <w:tcBorders>
              <w:top w:val="nil"/>
              <w:left w:val="nil"/>
              <w:bottom w:val="nil"/>
              <w:right w:val="nil"/>
            </w:tcBorders>
            <w:shd w:val="clear" w:color="auto" w:fill="auto"/>
            <w:noWrap/>
            <w:vAlign w:val="bottom"/>
            <w:hideMark/>
          </w:tcPr>
          <w:p w14:paraId="597EFF84" w14:textId="77777777" w:rsidR="0065177F" w:rsidRPr="00DC36FD" w:rsidRDefault="0065177F" w:rsidP="0065177F">
            <w:pPr>
              <w:rPr>
                <w:lang w:val="en-GB"/>
              </w:rPr>
            </w:pPr>
          </w:p>
        </w:tc>
        <w:tc>
          <w:tcPr>
            <w:tcW w:w="1140" w:type="dxa"/>
            <w:tcBorders>
              <w:top w:val="nil"/>
              <w:left w:val="nil"/>
              <w:bottom w:val="nil"/>
              <w:right w:val="nil"/>
            </w:tcBorders>
            <w:shd w:val="clear" w:color="auto" w:fill="auto"/>
            <w:noWrap/>
            <w:vAlign w:val="bottom"/>
            <w:hideMark/>
          </w:tcPr>
          <w:p w14:paraId="781D4803" w14:textId="77777777" w:rsidR="0065177F" w:rsidRPr="00DC36FD" w:rsidRDefault="0065177F" w:rsidP="0065177F">
            <w:pPr>
              <w:rPr>
                <w:lang w:val="en-GB"/>
              </w:rPr>
            </w:pPr>
          </w:p>
        </w:tc>
        <w:tc>
          <w:tcPr>
            <w:tcW w:w="960" w:type="dxa"/>
            <w:tcBorders>
              <w:top w:val="nil"/>
              <w:left w:val="nil"/>
              <w:bottom w:val="nil"/>
              <w:right w:val="nil"/>
            </w:tcBorders>
            <w:shd w:val="clear" w:color="auto" w:fill="auto"/>
            <w:noWrap/>
            <w:vAlign w:val="bottom"/>
            <w:hideMark/>
          </w:tcPr>
          <w:p w14:paraId="16608BDC" w14:textId="77777777" w:rsidR="0065177F" w:rsidRPr="00DC36FD" w:rsidRDefault="0065177F" w:rsidP="0065177F">
            <w:pPr>
              <w:rPr>
                <w:lang w:val="en-GB"/>
              </w:rPr>
            </w:pPr>
          </w:p>
        </w:tc>
        <w:tc>
          <w:tcPr>
            <w:tcW w:w="600" w:type="dxa"/>
            <w:tcBorders>
              <w:top w:val="nil"/>
              <w:left w:val="nil"/>
              <w:bottom w:val="nil"/>
              <w:right w:val="nil"/>
            </w:tcBorders>
            <w:shd w:val="clear" w:color="auto" w:fill="auto"/>
            <w:noWrap/>
            <w:vAlign w:val="bottom"/>
            <w:hideMark/>
          </w:tcPr>
          <w:p w14:paraId="10E238A3" w14:textId="77777777" w:rsidR="0065177F" w:rsidRPr="00DC36FD" w:rsidRDefault="0065177F" w:rsidP="0065177F">
            <w:pPr>
              <w:rPr>
                <w:lang w:val="en-GB"/>
              </w:rPr>
            </w:pPr>
          </w:p>
        </w:tc>
        <w:tc>
          <w:tcPr>
            <w:tcW w:w="1120" w:type="dxa"/>
            <w:tcBorders>
              <w:top w:val="nil"/>
              <w:left w:val="nil"/>
              <w:bottom w:val="nil"/>
              <w:right w:val="nil"/>
            </w:tcBorders>
            <w:shd w:val="clear" w:color="auto" w:fill="auto"/>
            <w:noWrap/>
            <w:vAlign w:val="bottom"/>
            <w:hideMark/>
          </w:tcPr>
          <w:p w14:paraId="51A38427" w14:textId="77777777" w:rsidR="0065177F" w:rsidRPr="00DC36FD" w:rsidRDefault="0065177F" w:rsidP="0065177F">
            <w:pPr>
              <w:rPr>
                <w:lang w:val="en-GB"/>
              </w:rPr>
            </w:pPr>
          </w:p>
        </w:tc>
        <w:tc>
          <w:tcPr>
            <w:tcW w:w="600" w:type="dxa"/>
            <w:tcBorders>
              <w:top w:val="nil"/>
              <w:left w:val="nil"/>
              <w:bottom w:val="nil"/>
              <w:right w:val="nil"/>
            </w:tcBorders>
            <w:shd w:val="clear" w:color="auto" w:fill="auto"/>
            <w:noWrap/>
            <w:vAlign w:val="bottom"/>
            <w:hideMark/>
          </w:tcPr>
          <w:p w14:paraId="0911BC30" w14:textId="77777777" w:rsidR="0065177F" w:rsidRPr="00DC36FD" w:rsidRDefault="0065177F" w:rsidP="0065177F">
            <w:pPr>
              <w:rPr>
                <w:lang w:val="en-GB"/>
              </w:rPr>
            </w:pPr>
          </w:p>
        </w:tc>
        <w:tc>
          <w:tcPr>
            <w:tcW w:w="1040" w:type="dxa"/>
            <w:tcBorders>
              <w:top w:val="nil"/>
              <w:left w:val="nil"/>
              <w:bottom w:val="nil"/>
              <w:right w:val="single" w:sz="4" w:space="0" w:color="auto"/>
            </w:tcBorders>
            <w:shd w:val="clear" w:color="auto" w:fill="auto"/>
            <w:noWrap/>
            <w:vAlign w:val="bottom"/>
            <w:hideMark/>
          </w:tcPr>
          <w:p w14:paraId="086D461F"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r>
      <w:tr w:rsidR="0065177F" w:rsidRPr="00DC36FD" w14:paraId="2803317A" w14:textId="77777777" w:rsidTr="0065177F">
        <w:trPr>
          <w:trHeight w:val="300"/>
          <w:jc w:val="center"/>
        </w:trPr>
        <w:tc>
          <w:tcPr>
            <w:tcW w:w="520" w:type="dxa"/>
            <w:tcBorders>
              <w:top w:val="nil"/>
              <w:left w:val="single" w:sz="4" w:space="0" w:color="auto"/>
              <w:bottom w:val="nil"/>
              <w:right w:val="nil"/>
            </w:tcBorders>
            <w:shd w:val="clear" w:color="auto" w:fill="auto"/>
            <w:noWrap/>
            <w:vAlign w:val="bottom"/>
            <w:hideMark/>
          </w:tcPr>
          <w:p w14:paraId="0919C5A9"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3660" w:type="dxa"/>
            <w:gridSpan w:val="4"/>
            <w:tcBorders>
              <w:top w:val="nil"/>
              <w:left w:val="nil"/>
              <w:bottom w:val="nil"/>
              <w:right w:val="nil"/>
            </w:tcBorders>
            <w:shd w:val="clear" w:color="auto" w:fill="auto"/>
            <w:noWrap/>
            <w:vAlign w:val="bottom"/>
            <w:hideMark/>
          </w:tcPr>
          <w:p w14:paraId="3CC0A98E"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Salaries, Wages, and Benefits</w:t>
            </w:r>
          </w:p>
        </w:tc>
        <w:tc>
          <w:tcPr>
            <w:tcW w:w="960" w:type="dxa"/>
            <w:tcBorders>
              <w:top w:val="nil"/>
              <w:left w:val="nil"/>
              <w:bottom w:val="nil"/>
              <w:right w:val="nil"/>
            </w:tcBorders>
            <w:shd w:val="clear" w:color="auto" w:fill="auto"/>
            <w:noWrap/>
            <w:vAlign w:val="bottom"/>
            <w:hideMark/>
          </w:tcPr>
          <w:p w14:paraId="4635792A"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72,340 </w:t>
            </w:r>
          </w:p>
        </w:tc>
        <w:tc>
          <w:tcPr>
            <w:tcW w:w="600" w:type="dxa"/>
            <w:tcBorders>
              <w:top w:val="nil"/>
              <w:left w:val="nil"/>
              <w:bottom w:val="nil"/>
              <w:right w:val="nil"/>
            </w:tcBorders>
            <w:shd w:val="clear" w:color="auto" w:fill="auto"/>
            <w:noWrap/>
            <w:vAlign w:val="bottom"/>
            <w:hideMark/>
          </w:tcPr>
          <w:p w14:paraId="0C760C2A" w14:textId="77777777" w:rsidR="0065177F" w:rsidRPr="00DC36FD" w:rsidRDefault="0065177F" w:rsidP="0065177F">
            <w:pPr>
              <w:jc w:val="right"/>
              <w:rPr>
                <w:rFonts w:ascii="Arial" w:hAnsi="Arial" w:cs="Arial"/>
                <w:color w:val="000000"/>
                <w:sz w:val="18"/>
                <w:szCs w:val="18"/>
                <w:lang w:val="en-GB"/>
              </w:rPr>
            </w:pPr>
          </w:p>
        </w:tc>
        <w:tc>
          <w:tcPr>
            <w:tcW w:w="1120" w:type="dxa"/>
            <w:tcBorders>
              <w:top w:val="nil"/>
              <w:left w:val="nil"/>
              <w:bottom w:val="nil"/>
              <w:right w:val="nil"/>
            </w:tcBorders>
            <w:shd w:val="clear" w:color="auto" w:fill="auto"/>
            <w:noWrap/>
            <w:vAlign w:val="bottom"/>
            <w:hideMark/>
          </w:tcPr>
          <w:p w14:paraId="27BD5ACF"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78,534 </w:t>
            </w:r>
          </w:p>
        </w:tc>
        <w:tc>
          <w:tcPr>
            <w:tcW w:w="600" w:type="dxa"/>
            <w:tcBorders>
              <w:top w:val="nil"/>
              <w:left w:val="nil"/>
              <w:bottom w:val="nil"/>
              <w:right w:val="nil"/>
            </w:tcBorders>
            <w:shd w:val="clear" w:color="auto" w:fill="auto"/>
            <w:noWrap/>
            <w:vAlign w:val="bottom"/>
            <w:hideMark/>
          </w:tcPr>
          <w:p w14:paraId="26518FD7" w14:textId="77777777" w:rsidR="0065177F" w:rsidRPr="00DC36FD" w:rsidRDefault="0065177F" w:rsidP="0065177F">
            <w:pPr>
              <w:jc w:val="right"/>
              <w:rPr>
                <w:rFonts w:ascii="Arial" w:hAnsi="Arial" w:cs="Arial"/>
                <w:color w:val="000000"/>
                <w:sz w:val="18"/>
                <w:szCs w:val="18"/>
                <w:lang w:val="en-GB"/>
              </w:rPr>
            </w:pPr>
          </w:p>
        </w:tc>
        <w:tc>
          <w:tcPr>
            <w:tcW w:w="1040" w:type="dxa"/>
            <w:tcBorders>
              <w:top w:val="nil"/>
              <w:left w:val="nil"/>
              <w:bottom w:val="nil"/>
              <w:right w:val="single" w:sz="4" w:space="0" w:color="auto"/>
            </w:tcBorders>
            <w:shd w:val="clear" w:color="auto" w:fill="auto"/>
            <w:noWrap/>
            <w:vAlign w:val="bottom"/>
            <w:hideMark/>
          </w:tcPr>
          <w:p w14:paraId="22080060"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75,432 </w:t>
            </w:r>
          </w:p>
        </w:tc>
      </w:tr>
      <w:tr w:rsidR="0065177F" w:rsidRPr="00DC36FD" w14:paraId="1AB793C2" w14:textId="77777777" w:rsidTr="0065177F">
        <w:trPr>
          <w:trHeight w:val="300"/>
          <w:jc w:val="center"/>
        </w:trPr>
        <w:tc>
          <w:tcPr>
            <w:tcW w:w="520" w:type="dxa"/>
            <w:tcBorders>
              <w:top w:val="nil"/>
              <w:left w:val="single" w:sz="4" w:space="0" w:color="auto"/>
              <w:bottom w:val="nil"/>
              <w:right w:val="nil"/>
            </w:tcBorders>
            <w:shd w:val="clear" w:color="auto" w:fill="auto"/>
            <w:noWrap/>
            <w:vAlign w:val="bottom"/>
            <w:hideMark/>
          </w:tcPr>
          <w:p w14:paraId="1D8DDD8E"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1725" w:type="dxa"/>
            <w:gridSpan w:val="2"/>
            <w:tcBorders>
              <w:top w:val="nil"/>
              <w:left w:val="nil"/>
              <w:bottom w:val="nil"/>
              <w:right w:val="nil"/>
            </w:tcBorders>
            <w:shd w:val="clear" w:color="auto" w:fill="auto"/>
            <w:noWrap/>
            <w:vAlign w:val="bottom"/>
            <w:hideMark/>
          </w:tcPr>
          <w:p w14:paraId="667947F5"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Fuel and Repairs</w:t>
            </w:r>
          </w:p>
        </w:tc>
        <w:tc>
          <w:tcPr>
            <w:tcW w:w="795" w:type="dxa"/>
            <w:tcBorders>
              <w:top w:val="nil"/>
              <w:left w:val="nil"/>
              <w:bottom w:val="nil"/>
              <w:right w:val="nil"/>
            </w:tcBorders>
            <w:shd w:val="clear" w:color="auto" w:fill="auto"/>
            <w:noWrap/>
            <w:vAlign w:val="bottom"/>
            <w:hideMark/>
          </w:tcPr>
          <w:p w14:paraId="55CA64C2" w14:textId="77777777" w:rsidR="0065177F" w:rsidRPr="00DC36FD" w:rsidRDefault="0065177F" w:rsidP="0065177F">
            <w:pPr>
              <w:rPr>
                <w:rFonts w:ascii="Arial" w:hAnsi="Arial" w:cs="Arial"/>
                <w:color w:val="000000"/>
                <w:sz w:val="18"/>
                <w:szCs w:val="18"/>
                <w:lang w:val="en-GB"/>
              </w:rPr>
            </w:pPr>
          </w:p>
        </w:tc>
        <w:tc>
          <w:tcPr>
            <w:tcW w:w="1140" w:type="dxa"/>
            <w:tcBorders>
              <w:top w:val="nil"/>
              <w:left w:val="nil"/>
              <w:bottom w:val="nil"/>
              <w:right w:val="nil"/>
            </w:tcBorders>
            <w:shd w:val="clear" w:color="auto" w:fill="auto"/>
            <w:noWrap/>
            <w:vAlign w:val="bottom"/>
            <w:hideMark/>
          </w:tcPr>
          <w:p w14:paraId="50884FC0" w14:textId="77777777" w:rsidR="0065177F" w:rsidRPr="00DC36FD" w:rsidRDefault="0065177F" w:rsidP="0065177F">
            <w:pPr>
              <w:rPr>
                <w:lang w:val="en-GB"/>
              </w:rPr>
            </w:pPr>
          </w:p>
        </w:tc>
        <w:tc>
          <w:tcPr>
            <w:tcW w:w="960" w:type="dxa"/>
            <w:tcBorders>
              <w:top w:val="nil"/>
              <w:left w:val="nil"/>
              <w:bottom w:val="nil"/>
              <w:right w:val="nil"/>
            </w:tcBorders>
            <w:shd w:val="clear" w:color="auto" w:fill="auto"/>
            <w:noWrap/>
            <w:vAlign w:val="bottom"/>
            <w:hideMark/>
          </w:tcPr>
          <w:p w14:paraId="18685A76"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41,078 </w:t>
            </w:r>
          </w:p>
        </w:tc>
        <w:tc>
          <w:tcPr>
            <w:tcW w:w="600" w:type="dxa"/>
            <w:tcBorders>
              <w:top w:val="nil"/>
              <w:left w:val="nil"/>
              <w:bottom w:val="nil"/>
              <w:right w:val="nil"/>
            </w:tcBorders>
            <w:shd w:val="clear" w:color="auto" w:fill="auto"/>
            <w:noWrap/>
            <w:vAlign w:val="bottom"/>
            <w:hideMark/>
          </w:tcPr>
          <w:p w14:paraId="76630EF2" w14:textId="77777777" w:rsidR="0065177F" w:rsidRPr="00DC36FD" w:rsidRDefault="0065177F" w:rsidP="0065177F">
            <w:pPr>
              <w:jc w:val="right"/>
              <w:rPr>
                <w:rFonts w:ascii="Arial" w:hAnsi="Arial" w:cs="Arial"/>
                <w:color w:val="000000"/>
                <w:sz w:val="18"/>
                <w:szCs w:val="18"/>
                <w:lang w:val="en-GB"/>
              </w:rPr>
            </w:pPr>
          </w:p>
        </w:tc>
        <w:tc>
          <w:tcPr>
            <w:tcW w:w="1120" w:type="dxa"/>
            <w:tcBorders>
              <w:top w:val="nil"/>
              <w:left w:val="nil"/>
              <w:bottom w:val="nil"/>
              <w:right w:val="nil"/>
            </w:tcBorders>
            <w:shd w:val="clear" w:color="auto" w:fill="auto"/>
            <w:noWrap/>
            <w:vAlign w:val="bottom"/>
            <w:hideMark/>
          </w:tcPr>
          <w:p w14:paraId="51414EF4"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40,587 </w:t>
            </w:r>
          </w:p>
        </w:tc>
        <w:tc>
          <w:tcPr>
            <w:tcW w:w="600" w:type="dxa"/>
            <w:tcBorders>
              <w:top w:val="nil"/>
              <w:left w:val="nil"/>
              <w:bottom w:val="nil"/>
              <w:right w:val="nil"/>
            </w:tcBorders>
            <w:shd w:val="clear" w:color="auto" w:fill="auto"/>
            <w:noWrap/>
            <w:vAlign w:val="bottom"/>
            <w:hideMark/>
          </w:tcPr>
          <w:p w14:paraId="517EB5FD" w14:textId="77777777" w:rsidR="0065177F" w:rsidRPr="00DC36FD" w:rsidRDefault="0065177F" w:rsidP="0065177F">
            <w:pPr>
              <w:jc w:val="right"/>
              <w:rPr>
                <w:rFonts w:ascii="Arial" w:hAnsi="Arial" w:cs="Arial"/>
                <w:color w:val="000000"/>
                <w:sz w:val="18"/>
                <w:szCs w:val="18"/>
                <w:lang w:val="en-GB"/>
              </w:rPr>
            </w:pPr>
          </w:p>
        </w:tc>
        <w:tc>
          <w:tcPr>
            <w:tcW w:w="1040" w:type="dxa"/>
            <w:tcBorders>
              <w:top w:val="nil"/>
              <w:left w:val="nil"/>
              <w:bottom w:val="nil"/>
              <w:right w:val="single" w:sz="4" w:space="0" w:color="auto"/>
            </w:tcBorders>
            <w:shd w:val="clear" w:color="auto" w:fill="auto"/>
            <w:noWrap/>
            <w:vAlign w:val="bottom"/>
            <w:hideMark/>
          </w:tcPr>
          <w:p w14:paraId="05189277"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46,893 </w:t>
            </w:r>
          </w:p>
        </w:tc>
      </w:tr>
      <w:tr w:rsidR="0065177F" w:rsidRPr="00DC36FD" w14:paraId="51689DB6" w14:textId="77777777" w:rsidTr="0065177F">
        <w:trPr>
          <w:trHeight w:val="300"/>
          <w:jc w:val="center"/>
        </w:trPr>
        <w:tc>
          <w:tcPr>
            <w:tcW w:w="520" w:type="dxa"/>
            <w:tcBorders>
              <w:top w:val="nil"/>
              <w:left w:val="single" w:sz="4" w:space="0" w:color="auto"/>
              <w:bottom w:val="nil"/>
              <w:right w:val="nil"/>
            </w:tcBorders>
            <w:shd w:val="clear" w:color="auto" w:fill="auto"/>
            <w:noWrap/>
            <w:vAlign w:val="bottom"/>
            <w:hideMark/>
          </w:tcPr>
          <w:p w14:paraId="0FAC399E"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2520" w:type="dxa"/>
            <w:gridSpan w:val="3"/>
            <w:tcBorders>
              <w:top w:val="nil"/>
              <w:left w:val="nil"/>
              <w:bottom w:val="nil"/>
              <w:right w:val="nil"/>
            </w:tcBorders>
            <w:shd w:val="clear" w:color="auto" w:fill="auto"/>
            <w:noWrap/>
            <w:vAlign w:val="bottom"/>
            <w:hideMark/>
          </w:tcPr>
          <w:p w14:paraId="5D2B2874"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Equipment Leases</w:t>
            </w:r>
          </w:p>
        </w:tc>
        <w:tc>
          <w:tcPr>
            <w:tcW w:w="1140" w:type="dxa"/>
            <w:tcBorders>
              <w:top w:val="nil"/>
              <w:left w:val="nil"/>
              <w:bottom w:val="nil"/>
              <w:right w:val="nil"/>
            </w:tcBorders>
            <w:shd w:val="clear" w:color="auto" w:fill="auto"/>
            <w:noWrap/>
            <w:vAlign w:val="bottom"/>
            <w:hideMark/>
          </w:tcPr>
          <w:p w14:paraId="5BBBE3F9" w14:textId="77777777" w:rsidR="0065177F" w:rsidRPr="00DC36FD" w:rsidRDefault="0065177F" w:rsidP="0065177F">
            <w:pPr>
              <w:rPr>
                <w:rFonts w:ascii="Arial" w:hAnsi="Arial" w:cs="Arial"/>
                <w:color w:val="000000"/>
                <w:sz w:val="18"/>
                <w:szCs w:val="18"/>
                <w:lang w:val="en-GB"/>
              </w:rPr>
            </w:pPr>
          </w:p>
        </w:tc>
        <w:tc>
          <w:tcPr>
            <w:tcW w:w="960" w:type="dxa"/>
            <w:tcBorders>
              <w:top w:val="nil"/>
              <w:left w:val="nil"/>
              <w:bottom w:val="nil"/>
              <w:right w:val="nil"/>
            </w:tcBorders>
            <w:shd w:val="clear" w:color="auto" w:fill="auto"/>
            <w:noWrap/>
            <w:vAlign w:val="bottom"/>
            <w:hideMark/>
          </w:tcPr>
          <w:p w14:paraId="5225AEA2"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31,804 </w:t>
            </w:r>
          </w:p>
        </w:tc>
        <w:tc>
          <w:tcPr>
            <w:tcW w:w="600" w:type="dxa"/>
            <w:tcBorders>
              <w:top w:val="nil"/>
              <w:left w:val="nil"/>
              <w:bottom w:val="nil"/>
              <w:right w:val="nil"/>
            </w:tcBorders>
            <w:shd w:val="clear" w:color="auto" w:fill="auto"/>
            <w:noWrap/>
            <w:vAlign w:val="bottom"/>
            <w:hideMark/>
          </w:tcPr>
          <w:p w14:paraId="0AA95B44" w14:textId="77777777" w:rsidR="0065177F" w:rsidRPr="00DC36FD" w:rsidRDefault="0065177F" w:rsidP="0065177F">
            <w:pPr>
              <w:jc w:val="right"/>
              <w:rPr>
                <w:rFonts w:ascii="Arial" w:hAnsi="Arial" w:cs="Arial"/>
                <w:color w:val="000000"/>
                <w:sz w:val="18"/>
                <w:szCs w:val="18"/>
                <w:lang w:val="en-GB"/>
              </w:rPr>
            </w:pPr>
          </w:p>
        </w:tc>
        <w:tc>
          <w:tcPr>
            <w:tcW w:w="1120" w:type="dxa"/>
            <w:tcBorders>
              <w:top w:val="nil"/>
              <w:left w:val="nil"/>
              <w:bottom w:val="nil"/>
              <w:right w:val="nil"/>
            </w:tcBorders>
            <w:shd w:val="clear" w:color="auto" w:fill="auto"/>
            <w:noWrap/>
            <w:vAlign w:val="bottom"/>
            <w:hideMark/>
          </w:tcPr>
          <w:p w14:paraId="1E1EEE16"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23,589 </w:t>
            </w:r>
          </w:p>
        </w:tc>
        <w:tc>
          <w:tcPr>
            <w:tcW w:w="600" w:type="dxa"/>
            <w:tcBorders>
              <w:top w:val="nil"/>
              <w:left w:val="nil"/>
              <w:bottom w:val="nil"/>
              <w:right w:val="nil"/>
            </w:tcBorders>
            <w:shd w:val="clear" w:color="auto" w:fill="auto"/>
            <w:noWrap/>
            <w:vAlign w:val="bottom"/>
            <w:hideMark/>
          </w:tcPr>
          <w:p w14:paraId="23A0862E" w14:textId="77777777" w:rsidR="0065177F" w:rsidRPr="00DC36FD" w:rsidRDefault="0065177F" w:rsidP="0065177F">
            <w:pPr>
              <w:jc w:val="right"/>
              <w:rPr>
                <w:rFonts w:ascii="Arial" w:hAnsi="Arial" w:cs="Arial"/>
                <w:color w:val="000000"/>
                <w:sz w:val="18"/>
                <w:szCs w:val="18"/>
                <w:lang w:val="en-GB"/>
              </w:rPr>
            </w:pPr>
          </w:p>
        </w:tc>
        <w:tc>
          <w:tcPr>
            <w:tcW w:w="1040" w:type="dxa"/>
            <w:tcBorders>
              <w:top w:val="nil"/>
              <w:left w:val="nil"/>
              <w:bottom w:val="nil"/>
              <w:right w:val="single" w:sz="4" w:space="0" w:color="auto"/>
            </w:tcBorders>
            <w:shd w:val="clear" w:color="auto" w:fill="auto"/>
            <w:noWrap/>
            <w:vAlign w:val="bottom"/>
            <w:hideMark/>
          </w:tcPr>
          <w:p w14:paraId="6048516D"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22,865 </w:t>
            </w:r>
          </w:p>
        </w:tc>
      </w:tr>
      <w:tr w:rsidR="0065177F" w:rsidRPr="00DC36FD" w14:paraId="19F2ADF5" w14:textId="77777777" w:rsidTr="0065177F">
        <w:trPr>
          <w:trHeight w:val="300"/>
          <w:jc w:val="center"/>
        </w:trPr>
        <w:tc>
          <w:tcPr>
            <w:tcW w:w="520" w:type="dxa"/>
            <w:tcBorders>
              <w:top w:val="nil"/>
              <w:left w:val="single" w:sz="4" w:space="0" w:color="auto"/>
              <w:bottom w:val="nil"/>
              <w:right w:val="nil"/>
            </w:tcBorders>
            <w:shd w:val="clear" w:color="auto" w:fill="auto"/>
            <w:noWrap/>
            <w:vAlign w:val="bottom"/>
            <w:hideMark/>
          </w:tcPr>
          <w:p w14:paraId="35772429"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1725" w:type="dxa"/>
            <w:gridSpan w:val="2"/>
            <w:tcBorders>
              <w:top w:val="nil"/>
              <w:left w:val="nil"/>
              <w:bottom w:val="nil"/>
              <w:right w:val="nil"/>
            </w:tcBorders>
            <w:shd w:val="clear" w:color="auto" w:fill="auto"/>
            <w:noWrap/>
            <w:vAlign w:val="bottom"/>
            <w:hideMark/>
          </w:tcPr>
          <w:p w14:paraId="36B318F4"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Amortization</w:t>
            </w:r>
          </w:p>
        </w:tc>
        <w:tc>
          <w:tcPr>
            <w:tcW w:w="795" w:type="dxa"/>
            <w:tcBorders>
              <w:top w:val="nil"/>
              <w:left w:val="nil"/>
              <w:bottom w:val="nil"/>
              <w:right w:val="nil"/>
            </w:tcBorders>
            <w:shd w:val="clear" w:color="auto" w:fill="auto"/>
            <w:noWrap/>
            <w:vAlign w:val="bottom"/>
            <w:hideMark/>
          </w:tcPr>
          <w:p w14:paraId="0FD11D3D" w14:textId="77777777" w:rsidR="0065177F" w:rsidRPr="00DC36FD" w:rsidRDefault="0065177F" w:rsidP="0065177F">
            <w:pPr>
              <w:rPr>
                <w:rFonts w:ascii="Arial" w:hAnsi="Arial" w:cs="Arial"/>
                <w:color w:val="000000"/>
                <w:sz w:val="18"/>
                <w:szCs w:val="18"/>
                <w:lang w:val="en-GB"/>
              </w:rPr>
            </w:pPr>
          </w:p>
        </w:tc>
        <w:tc>
          <w:tcPr>
            <w:tcW w:w="1140" w:type="dxa"/>
            <w:tcBorders>
              <w:top w:val="nil"/>
              <w:left w:val="nil"/>
              <w:bottom w:val="nil"/>
              <w:right w:val="nil"/>
            </w:tcBorders>
            <w:shd w:val="clear" w:color="auto" w:fill="auto"/>
            <w:noWrap/>
            <w:vAlign w:val="bottom"/>
            <w:hideMark/>
          </w:tcPr>
          <w:p w14:paraId="645B6368" w14:textId="77777777" w:rsidR="0065177F" w:rsidRPr="00DC36FD" w:rsidRDefault="0065177F" w:rsidP="0065177F">
            <w:pPr>
              <w:rPr>
                <w:lang w:val="en-GB"/>
              </w:rPr>
            </w:pPr>
          </w:p>
        </w:tc>
        <w:tc>
          <w:tcPr>
            <w:tcW w:w="960" w:type="dxa"/>
            <w:tcBorders>
              <w:top w:val="nil"/>
              <w:left w:val="nil"/>
              <w:bottom w:val="nil"/>
              <w:right w:val="nil"/>
            </w:tcBorders>
            <w:shd w:val="clear" w:color="auto" w:fill="auto"/>
            <w:noWrap/>
            <w:vAlign w:val="bottom"/>
            <w:hideMark/>
          </w:tcPr>
          <w:p w14:paraId="21017A1B"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44,851 </w:t>
            </w:r>
          </w:p>
        </w:tc>
        <w:tc>
          <w:tcPr>
            <w:tcW w:w="600" w:type="dxa"/>
            <w:tcBorders>
              <w:top w:val="nil"/>
              <w:left w:val="nil"/>
              <w:bottom w:val="nil"/>
              <w:right w:val="nil"/>
            </w:tcBorders>
            <w:shd w:val="clear" w:color="auto" w:fill="auto"/>
            <w:noWrap/>
            <w:vAlign w:val="bottom"/>
            <w:hideMark/>
          </w:tcPr>
          <w:p w14:paraId="50B611CF" w14:textId="77777777" w:rsidR="0065177F" w:rsidRPr="00DC36FD" w:rsidRDefault="0065177F" w:rsidP="0065177F">
            <w:pPr>
              <w:jc w:val="right"/>
              <w:rPr>
                <w:rFonts w:ascii="Arial" w:hAnsi="Arial" w:cs="Arial"/>
                <w:color w:val="000000"/>
                <w:sz w:val="18"/>
                <w:szCs w:val="18"/>
                <w:lang w:val="en-GB"/>
              </w:rPr>
            </w:pPr>
          </w:p>
        </w:tc>
        <w:tc>
          <w:tcPr>
            <w:tcW w:w="1120" w:type="dxa"/>
            <w:tcBorders>
              <w:top w:val="nil"/>
              <w:left w:val="nil"/>
              <w:bottom w:val="nil"/>
              <w:right w:val="nil"/>
            </w:tcBorders>
            <w:shd w:val="clear" w:color="auto" w:fill="auto"/>
            <w:noWrap/>
            <w:vAlign w:val="bottom"/>
            <w:hideMark/>
          </w:tcPr>
          <w:p w14:paraId="73D60E49"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34,662 </w:t>
            </w:r>
          </w:p>
        </w:tc>
        <w:tc>
          <w:tcPr>
            <w:tcW w:w="600" w:type="dxa"/>
            <w:tcBorders>
              <w:top w:val="nil"/>
              <w:left w:val="nil"/>
              <w:bottom w:val="nil"/>
              <w:right w:val="nil"/>
            </w:tcBorders>
            <w:shd w:val="clear" w:color="auto" w:fill="auto"/>
            <w:noWrap/>
            <w:vAlign w:val="bottom"/>
            <w:hideMark/>
          </w:tcPr>
          <w:p w14:paraId="75EEE96C" w14:textId="77777777" w:rsidR="0065177F" w:rsidRPr="00DC36FD" w:rsidRDefault="0065177F" w:rsidP="0065177F">
            <w:pPr>
              <w:jc w:val="right"/>
              <w:rPr>
                <w:rFonts w:ascii="Arial" w:hAnsi="Arial" w:cs="Arial"/>
                <w:color w:val="000000"/>
                <w:sz w:val="18"/>
                <w:szCs w:val="18"/>
                <w:lang w:val="en-GB"/>
              </w:rPr>
            </w:pPr>
          </w:p>
        </w:tc>
        <w:tc>
          <w:tcPr>
            <w:tcW w:w="1040" w:type="dxa"/>
            <w:tcBorders>
              <w:top w:val="nil"/>
              <w:left w:val="nil"/>
              <w:bottom w:val="nil"/>
              <w:right w:val="single" w:sz="4" w:space="0" w:color="auto"/>
            </w:tcBorders>
            <w:shd w:val="clear" w:color="auto" w:fill="auto"/>
            <w:noWrap/>
            <w:vAlign w:val="bottom"/>
            <w:hideMark/>
          </w:tcPr>
          <w:p w14:paraId="697DCB71"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32,800 </w:t>
            </w:r>
          </w:p>
        </w:tc>
      </w:tr>
      <w:tr w:rsidR="0065177F" w:rsidRPr="00DC36FD" w14:paraId="082FD084" w14:textId="77777777" w:rsidTr="0065177F">
        <w:trPr>
          <w:trHeight w:val="300"/>
          <w:jc w:val="center"/>
        </w:trPr>
        <w:tc>
          <w:tcPr>
            <w:tcW w:w="520" w:type="dxa"/>
            <w:tcBorders>
              <w:top w:val="nil"/>
              <w:left w:val="single" w:sz="4" w:space="0" w:color="auto"/>
              <w:bottom w:val="nil"/>
              <w:right w:val="nil"/>
            </w:tcBorders>
            <w:shd w:val="clear" w:color="auto" w:fill="auto"/>
            <w:noWrap/>
            <w:vAlign w:val="bottom"/>
            <w:hideMark/>
          </w:tcPr>
          <w:p w14:paraId="0E0845CE"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2520" w:type="dxa"/>
            <w:gridSpan w:val="3"/>
            <w:tcBorders>
              <w:top w:val="nil"/>
              <w:left w:val="nil"/>
              <w:bottom w:val="nil"/>
              <w:right w:val="nil"/>
            </w:tcBorders>
            <w:shd w:val="clear" w:color="auto" w:fill="auto"/>
            <w:noWrap/>
            <w:vAlign w:val="bottom"/>
            <w:hideMark/>
          </w:tcPr>
          <w:p w14:paraId="6E6AB358"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Interest on Equipment</w:t>
            </w:r>
          </w:p>
        </w:tc>
        <w:tc>
          <w:tcPr>
            <w:tcW w:w="1140" w:type="dxa"/>
            <w:tcBorders>
              <w:top w:val="nil"/>
              <w:left w:val="nil"/>
              <w:bottom w:val="nil"/>
              <w:right w:val="nil"/>
            </w:tcBorders>
            <w:shd w:val="clear" w:color="auto" w:fill="auto"/>
            <w:noWrap/>
            <w:vAlign w:val="bottom"/>
            <w:hideMark/>
          </w:tcPr>
          <w:p w14:paraId="0E6F2A10" w14:textId="77777777" w:rsidR="0065177F" w:rsidRPr="00DC36FD" w:rsidRDefault="0065177F" w:rsidP="0065177F">
            <w:pPr>
              <w:rPr>
                <w:rFonts w:ascii="Arial" w:hAnsi="Arial" w:cs="Arial"/>
                <w:color w:val="000000"/>
                <w:sz w:val="18"/>
                <w:szCs w:val="18"/>
                <w:lang w:val="en-GB"/>
              </w:rPr>
            </w:pPr>
          </w:p>
        </w:tc>
        <w:tc>
          <w:tcPr>
            <w:tcW w:w="960" w:type="dxa"/>
            <w:tcBorders>
              <w:top w:val="nil"/>
              <w:left w:val="nil"/>
              <w:bottom w:val="nil"/>
              <w:right w:val="nil"/>
            </w:tcBorders>
            <w:shd w:val="clear" w:color="auto" w:fill="auto"/>
            <w:noWrap/>
            <w:vAlign w:val="bottom"/>
            <w:hideMark/>
          </w:tcPr>
          <w:p w14:paraId="59AD5B49"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8,579 </w:t>
            </w:r>
          </w:p>
        </w:tc>
        <w:tc>
          <w:tcPr>
            <w:tcW w:w="600" w:type="dxa"/>
            <w:tcBorders>
              <w:top w:val="nil"/>
              <w:left w:val="nil"/>
              <w:bottom w:val="nil"/>
              <w:right w:val="nil"/>
            </w:tcBorders>
            <w:shd w:val="clear" w:color="auto" w:fill="auto"/>
            <w:noWrap/>
            <w:vAlign w:val="bottom"/>
            <w:hideMark/>
          </w:tcPr>
          <w:p w14:paraId="6A93F78D" w14:textId="77777777" w:rsidR="0065177F" w:rsidRPr="00DC36FD" w:rsidRDefault="0065177F" w:rsidP="0065177F">
            <w:pPr>
              <w:jc w:val="right"/>
              <w:rPr>
                <w:rFonts w:ascii="Arial" w:hAnsi="Arial" w:cs="Arial"/>
                <w:color w:val="000000"/>
                <w:sz w:val="18"/>
                <w:szCs w:val="18"/>
                <w:lang w:val="en-GB"/>
              </w:rPr>
            </w:pPr>
          </w:p>
        </w:tc>
        <w:tc>
          <w:tcPr>
            <w:tcW w:w="1120" w:type="dxa"/>
            <w:tcBorders>
              <w:top w:val="nil"/>
              <w:left w:val="nil"/>
              <w:bottom w:val="nil"/>
              <w:right w:val="nil"/>
            </w:tcBorders>
            <w:shd w:val="clear" w:color="auto" w:fill="auto"/>
            <w:noWrap/>
            <w:vAlign w:val="bottom"/>
            <w:hideMark/>
          </w:tcPr>
          <w:p w14:paraId="498CDBFA"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8,345 </w:t>
            </w:r>
          </w:p>
        </w:tc>
        <w:tc>
          <w:tcPr>
            <w:tcW w:w="600" w:type="dxa"/>
            <w:tcBorders>
              <w:top w:val="nil"/>
              <w:left w:val="nil"/>
              <w:bottom w:val="nil"/>
              <w:right w:val="nil"/>
            </w:tcBorders>
            <w:shd w:val="clear" w:color="auto" w:fill="auto"/>
            <w:noWrap/>
            <w:vAlign w:val="bottom"/>
            <w:hideMark/>
          </w:tcPr>
          <w:p w14:paraId="3BDFD40C" w14:textId="77777777" w:rsidR="0065177F" w:rsidRPr="00DC36FD" w:rsidRDefault="0065177F" w:rsidP="0065177F">
            <w:pPr>
              <w:jc w:val="right"/>
              <w:rPr>
                <w:rFonts w:ascii="Arial" w:hAnsi="Arial" w:cs="Arial"/>
                <w:color w:val="000000"/>
                <w:sz w:val="18"/>
                <w:szCs w:val="18"/>
                <w:lang w:val="en-GB"/>
              </w:rPr>
            </w:pPr>
          </w:p>
        </w:tc>
        <w:tc>
          <w:tcPr>
            <w:tcW w:w="1040" w:type="dxa"/>
            <w:tcBorders>
              <w:top w:val="nil"/>
              <w:left w:val="nil"/>
              <w:bottom w:val="nil"/>
              <w:right w:val="single" w:sz="4" w:space="0" w:color="auto"/>
            </w:tcBorders>
            <w:shd w:val="clear" w:color="auto" w:fill="auto"/>
            <w:noWrap/>
            <w:vAlign w:val="bottom"/>
            <w:hideMark/>
          </w:tcPr>
          <w:p w14:paraId="14D69C1D"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8,643 </w:t>
            </w:r>
          </w:p>
        </w:tc>
      </w:tr>
      <w:tr w:rsidR="0065177F" w:rsidRPr="00DC36FD" w14:paraId="6B85B7F7" w14:textId="77777777" w:rsidTr="0065177F">
        <w:trPr>
          <w:trHeight w:val="300"/>
          <w:jc w:val="center"/>
        </w:trPr>
        <w:tc>
          <w:tcPr>
            <w:tcW w:w="520" w:type="dxa"/>
            <w:tcBorders>
              <w:top w:val="nil"/>
              <w:left w:val="single" w:sz="4" w:space="0" w:color="auto"/>
              <w:bottom w:val="nil"/>
              <w:right w:val="nil"/>
            </w:tcBorders>
            <w:shd w:val="clear" w:color="auto" w:fill="auto"/>
            <w:noWrap/>
            <w:vAlign w:val="bottom"/>
            <w:hideMark/>
          </w:tcPr>
          <w:p w14:paraId="2D5F1279"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1725" w:type="dxa"/>
            <w:gridSpan w:val="2"/>
            <w:tcBorders>
              <w:top w:val="nil"/>
              <w:left w:val="nil"/>
              <w:bottom w:val="nil"/>
              <w:right w:val="nil"/>
            </w:tcBorders>
            <w:shd w:val="clear" w:color="auto" w:fill="auto"/>
            <w:noWrap/>
            <w:vAlign w:val="bottom"/>
            <w:hideMark/>
          </w:tcPr>
          <w:p w14:paraId="3354807A"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Insurance</w:t>
            </w:r>
          </w:p>
        </w:tc>
        <w:tc>
          <w:tcPr>
            <w:tcW w:w="795" w:type="dxa"/>
            <w:tcBorders>
              <w:top w:val="nil"/>
              <w:left w:val="nil"/>
              <w:bottom w:val="nil"/>
              <w:right w:val="nil"/>
            </w:tcBorders>
            <w:shd w:val="clear" w:color="auto" w:fill="auto"/>
            <w:noWrap/>
            <w:vAlign w:val="bottom"/>
            <w:hideMark/>
          </w:tcPr>
          <w:p w14:paraId="4BD19DF7" w14:textId="77777777" w:rsidR="0065177F" w:rsidRPr="00DC36FD" w:rsidRDefault="0065177F" w:rsidP="0065177F">
            <w:pPr>
              <w:rPr>
                <w:rFonts w:ascii="Arial" w:hAnsi="Arial" w:cs="Arial"/>
                <w:color w:val="000000"/>
                <w:sz w:val="18"/>
                <w:szCs w:val="18"/>
                <w:lang w:val="en-GB"/>
              </w:rPr>
            </w:pPr>
          </w:p>
        </w:tc>
        <w:tc>
          <w:tcPr>
            <w:tcW w:w="1140" w:type="dxa"/>
            <w:tcBorders>
              <w:top w:val="nil"/>
              <w:left w:val="nil"/>
              <w:bottom w:val="nil"/>
              <w:right w:val="nil"/>
            </w:tcBorders>
            <w:shd w:val="clear" w:color="auto" w:fill="auto"/>
            <w:noWrap/>
            <w:vAlign w:val="bottom"/>
            <w:hideMark/>
          </w:tcPr>
          <w:p w14:paraId="43A5D7CF" w14:textId="77777777" w:rsidR="0065177F" w:rsidRPr="00DC36FD" w:rsidRDefault="0065177F" w:rsidP="0065177F">
            <w:pPr>
              <w:rPr>
                <w:lang w:val="en-GB"/>
              </w:rPr>
            </w:pPr>
          </w:p>
        </w:tc>
        <w:tc>
          <w:tcPr>
            <w:tcW w:w="960" w:type="dxa"/>
            <w:tcBorders>
              <w:top w:val="nil"/>
              <w:left w:val="nil"/>
              <w:bottom w:val="nil"/>
              <w:right w:val="nil"/>
            </w:tcBorders>
            <w:shd w:val="clear" w:color="auto" w:fill="auto"/>
            <w:noWrap/>
            <w:vAlign w:val="bottom"/>
            <w:hideMark/>
          </w:tcPr>
          <w:p w14:paraId="4C54FA30"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21,338 </w:t>
            </w:r>
          </w:p>
        </w:tc>
        <w:tc>
          <w:tcPr>
            <w:tcW w:w="600" w:type="dxa"/>
            <w:tcBorders>
              <w:top w:val="nil"/>
              <w:left w:val="nil"/>
              <w:bottom w:val="nil"/>
              <w:right w:val="nil"/>
            </w:tcBorders>
            <w:shd w:val="clear" w:color="auto" w:fill="auto"/>
            <w:noWrap/>
            <w:vAlign w:val="bottom"/>
            <w:hideMark/>
          </w:tcPr>
          <w:p w14:paraId="730EE30B" w14:textId="77777777" w:rsidR="0065177F" w:rsidRPr="00DC36FD" w:rsidRDefault="0065177F" w:rsidP="0065177F">
            <w:pPr>
              <w:jc w:val="right"/>
              <w:rPr>
                <w:rFonts w:ascii="Arial" w:hAnsi="Arial" w:cs="Arial"/>
                <w:color w:val="000000"/>
                <w:sz w:val="18"/>
                <w:szCs w:val="18"/>
                <w:lang w:val="en-GB"/>
              </w:rPr>
            </w:pPr>
          </w:p>
        </w:tc>
        <w:tc>
          <w:tcPr>
            <w:tcW w:w="1120" w:type="dxa"/>
            <w:tcBorders>
              <w:top w:val="nil"/>
              <w:left w:val="nil"/>
              <w:bottom w:val="nil"/>
              <w:right w:val="nil"/>
            </w:tcBorders>
            <w:shd w:val="clear" w:color="auto" w:fill="auto"/>
            <w:noWrap/>
            <w:vAlign w:val="bottom"/>
            <w:hideMark/>
          </w:tcPr>
          <w:p w14:paraId="1D291482"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20,549 </w:t>
            </w:r>
          </w:p>
        </w:tc>
        <w:tc>
          <w:tcPr>
            <w:tcW w:w="600" w:type="dxa"/>
            <w:tcBorders>
              <w:top w:val="nil"/>
              <w:left w:val="nil"/>
              <w:bottom w:val="nil"/>
              <w:right w:val="nil"/>
            </w:tcBorders>
            <w:shd w:val="clear" w:color="auto" w:fill="auto"/>
            <w:noWrap/>
            <w:vAlign w:val="bottom"/>
            <w:hideMark/>
          </w:tcPr>
          <w:p w14:paraId="4C048E47" w14:textId="77777777" w:rsidR="0065177F" w:rsidRPr="00DC36FD" w:rsidRDefault="0065177F" w:rsidP="0065177F">
            <w:pPr>
              <w:jc w:val="right"/>
              <w:rPr>
                <w:rFonts w:ascii="Arial" w:hAnsi="Arial" w:cs="Arial"/>
                <w:color w:val="000000"/>
                <w:sz w:val="18"/>
                <w:szCs w:val="18"/>
                <w:lang w:val="en-GB"/>
              </w:rPr>
            </w:pPr>
          </w:p>
        </w:tc>
        <w:tc>
          <w:tcPr>
            <w:tcW w:w="1040" w:type="dxa"/>
            <w:tcBorders>
              <w:top w:val="nil"/>
              <w:left w:val="nil"/>
              <w:bottom w:val="nil"/>
              <w:right w:val="single" w:sz="4" w:space="0" w:color="auto"/>
            </w:tcBorders>
            <w:shd w:val="clear" w:color="auto" w:fill="auto"/>
            <w:noWrap/>
            <w:vAlign w:val="bottom"/>
            <w:hideMark/>
          </w:tcPr>
          <w:p w14:paraId="65D30578"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21,065 </w:t>
            </w:r>
          </w:p>
        </w:tc>
      </w:tr>
      <w:tr w:rsidR="0065177F" w:rsidRPr="00DC36FD" w14:paraId="01206820" w14:textId="77777777" w:rsidTr="0065177F">
        <w:trPr>
          <w:trHeight w:val="300"/>
          <w:jc w:val="center"/>
        </w:trPr>
        <w:tc>
          <w:tcPr>
            <w:tcW w:w="520" w:type="dxa"/>
            <w:tcBorders>
              <w:top w:val="nil"/>
              <w:left w:val="single" w:sz="4" w:space="0" w:color="auto"/>
              <w:bottom w:val="nil"/>
              <w:right w:val="nil"/>
            </w:tcBorders>
            <w:shd w:val="clear" w:color="auto" w:fill="auto"/>
            <w:noWrap/>
            <w:vAlign w:val="bottom"/>
            <w:hideMark/>
          </w:tcPr>
          <w:p w14:paraId="03EF63BD"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2520" w:type="dxa"/>
            <w:gridSpan w:val="3"/>
            <w:tcBorders>
              <w:top w:val="nil"/>
              <w:left w:val="nil"/>
              <w:bottom w:val="nil"/>
              <w:right w:val="nil"/>
            </w:tcBorders>
            <w:shd w:val="clear" w:color="auto" w:fill="auto"/>
            <w:noWrap/>
            <w:vAlign w:val="bottom"/>
            <w:hideMark/>
          </w:tcPr>
          <w:p w14:paraId="11D1F772"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Supplies, Office, and Other</w:t>
            </w:r>
          </w:p>
        </w:tc>
        <w:tc>
          <w:tcPr>
            <w:tcW w:w="1140" w:type="dxa"/>
            <w:tcBorders>
              <w:top w:val="nil"/>
              <w:left w:val="nil"/>
              <w:bottom w:val="nil"/>
              <w:right w:val="nil"/>
            </w:tcBorders>
            <w:shd w:val="clear" w:color="auto" w:fill="auto"/>
            <w:noWrap/>
            <w:vAlign w:val="bottom"/>
            <w:hideMark/>
          </w:tcPr>
          <w:p w14:paraId="3F0E8337" w14:textId="77777777" w:rsidR="0065177F" w:rsidRPr="00DC36FD" w:rsidRDefault="0065177F" w:rsidP="0065177F">
            <w:pPr>
              <w:rPr>
                <w:rFonts w:ascii="Arial" w:hAnsi="Arial" w:cs="Arial"/>
                <w:color w:val="000000"/>
                <w:sz w:val="18"/>
                <w:szCs w:val="18"/>
                <w:lang w:val="en-GB"/>
              </w:rPr>
            </w:pPr>
          </w:p>
        </w:tc>
        <w:tc>
          <w:tcPr>
            <w:tcW w:w="960" w:type="dxa"/>
            <w:tcBorders>
              <w:top w:val="nil"/>
              <w:left w:val="nil"/>
              <w:bottom w:val="nil"/>
              <w:right w:val="nil"/>
            </w:tcBorders>
            <w:shd w:val="clear" w:color="auto" w:fill="auto"/>
            <w:noWrap/>
            <w:vAlign w:val="bottom"/>
            <w:hideMark/>
          </w:tcPr>
          <w:p w14:paraId="2ACCB4AA"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8,533 </w:t>
            </w:r>
          </w:p>
        </w:tc>
        <w:tc>
          <w:tcPr>
            <w:tcW w:w="600" w:type="dxa"/>
            <w:tcBorders>
              <w:top w:val="nil"/>
              <w:left w:val="nil"/>
              <w:bottom w:val="nil"/>
              <w:right w:val="nil"/>
            </w:tcBorders>
            <w:shd w:val="clear" w:color="auto" w:fill="auto"/>
            <w:noWrap/>
            <w:vAlign w:val="bottom"/>
            <w:hideMark/>
          </w:tcPr>
          <w:p w14:paraId="0A3BB5E1" w14:textId="77777777" w:rsidR="0065177F" w:rsidRPr="00DC36FD" w:rsidRDefault="0065177F" w:rsidP="0065177F">
            <w:pPr>
              <w:jc w:val="right"/>
              <w:rPr>
                <w:rFonts w:ascii="Arial" w:hAnsi="Arial" w:cs="Arial"/>
                <w:color w:val="000000"/>
                <w:sz w:val="18"/>
                <w:szCs w:val="18"/>
                <w:lang w:val="en-GB"/>
              </w:rPr>
            </w:pPr>
          </w:p>
        </w:tc>
        <w:tc>
          <w:tcPr>
            <w:tcW w:w="1120" w:type="dxa"/>
            <w:tcBorders>
              <w:top w:val="nil"/>
              <w:left w:val="nil"/>
              <w:bottom w:val="nil"/>
              <w:right w:val="nil"/>
            </w:tcBorders>
            <w:shd w:val="clear" w:color="auto" w:fill="auto"/>
            <w:noWrap/>
            <w:vAlign w:val="bottom"/>
            <w:hideMark/>
          </w:tcPr>
          <w:p w14:paraId="2FBD1D3B"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8,465 </w:t>
            </w:r>
          </w:p>
        </w:tc>
        <w:tc>
          <w:tcPr>
            <w:tcW w:w="600" w:type="dxa"/>
            <w:tcBorders>
              <w:top w:val="nil"/>
              <w:left w:val="nil"/>
              <w:bottom w:val="nil"/>
              <w:right w:val="nil"/>
            </w:tcBorders>
            <w:shd w:val="clear" w:color="auto" w:fill="auto"/>
            <w:noWrap/>
            <w:vAlign w:val="bottom"/>
            <w:hideMark/>
          </w:tcPr>
          <w:p w14:paraId="05172585" w14:textId="77777777" w:rsidR="0065177F" w:rsidRPr="00DC36FD" w:rsidRDefault="0065177F" w:rsidP="0065177F">
            <w:pPr>
              <w:jc w:val="right"/>
              <w:rPr>
                <w:rFonts w:ascii="Arial" w:hAnsi="Arial" w:cs="Arial"/>
                <w:color w:val="000000"/>
                <w:sz w:val="18"/>
                <w:szCs w:val="18"/>
                <w:lang w:val="en-GB"/>
              </w:rPr>
            </w:pPr>
          </w:p>
        </w:tc>
        <w:tc>
          <w:tcPr>
            <w:tcW w:w="1040" w:type="dxa"/>
            <w:tcBorders>
              <w:top w:val="nil"/>
              <w:left w:val="nil"/>
              <w:bottom w:val="nil"/>
              <w:right w:val="single" w:sz="4" w:space="0" w:color="auto"/>
            </w:tcBorders>
            <w:shd w:val="clear" w:color="auto" w:fill="auto"/>
            <w:noWrap/>
            <w:vAlign w:val="bottom"/>
            <w:hideMark/>
          </w:tcPr>
          <w:p w14:paraId="640724EC"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7,449 </w:t>
            </w:r>
          </w:p>
        </w:tc>
      </w:tr>
      <w:tr w:rsidR="0065177F" w:rsidRPr="00DC36FD" w14:paraId="0CA486AB" w14:textId="77777777" w:rsidTr="0065177F">
        <w:trPr>
          <w:trHeight w:val="300"/>
          <w:jc w:val="center"/>
        </w:trPr>
        <w:tc>
          <w:tcPr>
            <w:tcW w:w="520" w:type="dxa"/>
            <w:tcBorders>
              <w:top w:val="nil"/>
              <w:left w:val="single" w:sz="4" w:space="0" w:color="auto"/>
              <w:bottom w:val="nil"/>
              <w:right w:val="nil"/>
            </w:tcBorders>
            <w:shd w:val="clear" w:color="auto" w:fill="auto"/>
            <w:noWrap/>
            <w:vAlign w:val="bottom"/>
            <w:hideMark/>
          </w:tcPr>
          <w:p w14:paraId="534746CD"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600" w:type="dxa"/>
            <w:tcBorders>
              <w:top w:val="nil"/>
              <w:left w:val="nil"/>
              <w:bottom w:val="nil"/>
              <w:right w:val="nil"/>
            </w:tcBorders>
            <w:shd w:val="clear" w:color="auto" w:fill="auto"/>
            <w:noWrap/>
            <w:vAlign w:val="bottom"/>
            <w:hideMark/>
          </w:tcPr>
          <w:p w14:paraId="707402A2" w14:textId="77777777" w:rsidR="0065177F" w:rsidRPr="00DC36FD" w:rsidRDefault="0065177F" w:rsidP="0065177F">
            <w:pPr>
              <w:rPr>
                <w:rFonts w:ascii="Arial" w:hAnsi="Arial" w:cs="Arial"/>
                <w:color w:val="000000"/>
                <w:sz w:val="18"/>
                <w:szCs w:val="18"/>
                <w:lang w:val="en-GB"/>
              </w:rPr>
            </w:pPr>
          </w:p>
        </w:tc>
        <w:tc>
          <w:tcPr>
            <w:tcW w:w="1125" w:type="dxa"/>
            <w:tcBorders>
              <w:top w:val="nil"/>
              <w:left w:val="nil"/>
              <w:bottom w:val="nil"/>
              <w:right w:val="nil"/>
            </w:tcBorders>
            <w:shd w:val="clear" w:color="auto" w:fill="auto"/>
            <w:noWrap/>
            <w:vAlign w:val="bottom"/>
            <w:hideMark/>
          </w:tcPr>
          <w:p w14:paraId="2D95F631" w14:textId="77777777" w:rsidR="0065177F" w:rsidRPr="00DC36FD" w:rsidRDefault="0065177F" w:rsidP="0065177F">
            <w:pPr>
              <w:rPr>
                <w:lang w:val="en-GB"/>
              </w:rPr>
            </w:pPr>
          </w:p>
        </w:tc>
        <w:tc>
          <w:tcPr>
            <w:tcW w:w="795" w:type="dxa"/>
            <w:tcBorders>
              <w:top w:val="nil"/>
              <w:left w:val="nil"/>
              <w:bottom w:val="nil"/>
              <w:right w:val="nil"/>
            </w:tcBorders>
            <w:shd w:val="clear" w:color="auto" w:fill="auto"/>
            <w:noWrap/>
            <w:vAlign w:val="bottom"/>
            <w:hideMark/>
          </w:tcPr>
          <w:p w14:paraId="6D127AA8" w14:textId="77777777" w:rsidR="0065177F" w:rsidRPr="00DC36FD" w:rsidRDefault="0065177F" w:rsidP="0065177F">
            <w:pPr>
              <w:rPr>
                <w:lang w:val="en-GB"/>
              </w:rPr>
            </w:pPr>
          </w:p>
        </w:tc>
        <w:tc>
          <w:tcPr>
            <w:tcW w:w="1140" w:type="dxa"/>
            <w:tcBorders>
              <w:top w:val="nil"/>
              <w:left w:val="nil"/>
              <w:bottom w:val="nil"/>
              <w:right w:val="nil"/>
            </w:tcBorders>
            <w:shd w:val="clear" w:color="auto" w:fill="auto"/>
            <w:noWrap/>
            <w:vAlign w:val="bottom"/>
            <w:hideMark/>
          </w:tcPr>
          <w:p w14:paraId="78F87C75" w14:textId="77777777" w:rsidR="0065177F" w:rsidRPr="00DC36FD" w:rsidRDefault="0065177F" w:rsidP="0065177F">
            <w:pPr>
              <w:rPr>
                <w:lang w:val="en-GB"/>
              </w:rPr>
            </w:pPr>
          </w:p>
        </w:tc>
        <w:tc>
          <w:tcPr>
            <w:tcW w:w="960" w:type="dxa"/>
            <w:tcBorders>
              <w:top w:val="single" w:sz="4" w:space="0" w:color="auto"/>
              <w:left w:val="nil"/>
              <w:bottom w:val="single" w:sz="4" w:space="0" w:color="auto"/>
              <w:right w:val="nil"/>
            </w:tcBorders>
            <w:shd w:val="clear" w:color="auto" w:fill="auto"/>
            <w:noWrap/>
            <w:vAlign w:val="bottom"/>
            <w:hideMark/>
          </w:tcPr>
          <w:p w14:paraId="6FCB9767"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228,523 </w:t>
            </w:r>
          </w:p>
        </w:tc>
        <w:tc>
          <w:tcPr>
            <w:tcW w:w="600" w:type="dxa"/>
            <w:tcBorders>
              <w:top w:val="nil"/>
              <w:left w:val="nil"/>
              <w:bottom w:val="nil"/>
              <w:right w:val="nil"/>
            </w:tcBorders>
            <w:shd w:val="clear" w:color="auto" w:fill="auto"/>
            <w:noWrap/>
            <w:vAlign w:val="bottom"/>
            <w:hideMark/>
          </w:tcPr>
          <w:p w14:paraId="707C30D8" w14:textId="77777777" w:rsidR="0065177F" w:rsidRPr="00DC36FD" w:rsidRDefault="0065177F" w:rsidP="0065177F">
            <w:pPr>
              <w:jc w:val="right"/>
              <w:rPr>
                <w:rFonts w:ascii="Arial" w:hAnsi="Arial" w:cs="Arial"/>
                <w:color w:val="000000"/>
                <w:sz w:val="18"/>
                <w:szCs w:val="18"/>
                <w:lang w:val="en-GB"/>
              </w:rPr>
            </w:pPr>
          </w:p>
        </w:tc>
        <w:tc>
          <w:tcPr>
            <w:tcW w:w="1120" w:type="dxa"/>
            <w:tcBorders>
              <w:top w:val="single" w:sz="4" w:space="0" w:color="auto"/>
              <w:left w:val="nil"/>
              <w:bottom w:val="single" w:sz="4" w:space="0" w:color="auto"/>
              <w:right w:val="nil"/>
            </w:tcBorders>
            <w:shd w:val="clear" w:color="auto" w:fill="auto"/>
            <w:noWrap/>
            <w:vAlign w:val="bottom"/>
            <w:hideMark/>
          </w:tcPr>
          <w:p w14:paraId="676AB3FF"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214,731 </w:t>
            </w:r>
          </w:p>
        </w:tc>
        <w:tc>
          <w:tcPr>
            <w:tcW w:w="600" w:type="dxa"/>
            <w:tcBorders>
              <w:top w:val="nil"/>
              <w:left w:val="nil"/>
              <w:bottom w:val="nil"/>
              <w:right w:val="nil"/>
            </w:tcBorders>
            <w:shd w:val="clear" w:color="auto" w:fill="auto"/>
            <w:noWrap/>
            <w:vAlign w:val="bottom"/>
            <w:hideMark/>
          </w:tcPr>
          <w:p w14:paraId="03881C46" w14:textId="77777777" w:rsidR="0065177F" w:rsidRPr="00DC36FD" w:rsidRDefault="0065177F" w:rsidP="0065177F">
            <w:pPr>
              <w:jc w:val="right"/>
              <w:rPr>
                <w:rFonts w:ascii="Arial" w:hAnsi="Arial" w:cs="Arial"/>
                <w:color w:val="000000"/>
                <w:sz w:val="18"/>
                <w:szCs w:val="18"/>
                <w:lang w:val="en-GB"/>
              </w:rPr>
            </w:pP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17B16CB8"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215,147 </w:t>
            </w:r>
          </w:p>
        </w:tc>
      </w:tr>
      <w:tr w:rsidR="0065177F" w:rsidRPr="00DC36FD" w14:paraId="58A48887" w14:textId="77777777" w:rsidTr="0065177F">
        <w:trPr>
          <w:trHeight w:val="300"/>
          <w:jc w:val="center"/>
        </w:trPr>
        <w:tc>
          <w:tcPr>
            <w:tcW w:w="520" w:type="dxa"/>
            <w:tcBorders>
              <w:top w:val="nil"/>
              <w:left w:val="single" w:sz="4" w:space="0" w:color="auto"/>
              <w:bottom w:val="nil"/>
              <w:right w:val="nil"/>
            </w:tcBorders>
            <w:shd w:val="clear" w:color="auto" w:fill="auto"/>
            <w:noWrap/>
            <w:vAlign w:val="bottom"/>
            <w:hideMark/>
          </w:tcPr>
          <w:p w14:paraId="1ECF0DF6"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600" w:type="dxa"/>
            <w:tcBorders>
              <w:top w:val="nil"/>
              <w:left w:val="nil"/>
              <w:bottom w:val="nil"/>
              <w:right w:val="nil"/>
            </w:tcBorders>
            <w:shd w:val="clear" w:color="auto" w:fill="auto"/>
            <w:noWrap/>
            <w:vAlign w:val="bottom"/>
            <w:hideMark/>
          </w:tcPr>
          <w:p w14:paraId="085766EB" w14:textId="77777777" w:rsidR="0065177F" w:rsidRPr="00DC36FD" w:rsidRDefault="0065177F" w:rsidP="0065177F">
            <w:pPr>
              <w:rPr>
                <w:rFonts w:ascii="Arial" w:hAnsi="Arial" w:cs="Arial"/>
                <w:color w:val="000000"/>
                <w:sz w:val="18"/>
                <w:szCs w:val="18"/>
                <w:lang w:val="en-GB"/>
              </w:rPr>
            </w:pPr>
          </w:p>
        </w:tc>
        <w:tc>
          <w:tcPr>
            <w:tcW w:w="1125" w:type="dxa"/>
            <w:tcBorders>
              <w:top w:val="nil"/>
              <w:left w:val="nil"/>
              <w:bottom w:val="nil"/>
              <w:right w:val="nil"/>
            </w:tcBorders>
            <w:shd w:val="clear" w:color="auto" w:fill="auto"/>
            <w:noWrap/>
            <w:vAlign w:val="bottom"/>
            <w:hideMark/>
          </w:tcPr>
          <w:p w14:paraId="1C1402F7" w14:textId="77777777" w:rsidR="0065177F" w:rsidRPr="00DC36FD" w:rsidRDefault="0065177F" w:rsidP="0065177F">
            <w:pPr>
              <w:rPr>
                <w:lang w:val="en-GB"/>
              </w:rPr>
            </w:pPr>
          </w:p>
        </w:tc>
        <w:tc>
          <w:tcPr>
            <w:tcW w:w="795" w:type="dxa"/>
            <w:tcBorders>
              <w:top w:val="nil"/>
              <w:left w:val="nil"/>
              <w:bottom w:val="nil"/>
              <w:right w:val="nil"/>
            </w:tcBorders>
            <w:shd w:val="clear" w:color="auto" w:fill="auto"/>
            <w:noWrap/>
            <w:vAlign w:val="bottom"/>
            <w:hideMark/>
          </w:tcPr>
          <w:p w14:paraId="46C27D0B" w14:textId="77777777" w:rsidR="0065177F" w:rsidRPr="00DC36FD" w:rsidRDefault="0065177F" w:rsidP="0065177F">
            <w:pPr>
              <w:rPr>
                <w:lang w:val="en-GB"/>
              </w:rPr>
            </w:pPr>
          </w:p>
        </w:tc>
        <w:tc>
          <w:tcPr>
            <w:tcW w:w="1140" w:type="dxa"/>
            <w:tcBorders>
              <w:top w:val="nil"/>
              <w:left w:val="nil"/>
              <w:bottom w:val="nil"/>
              <w:right w:val="nil"/>
            </w:tcBorders>
            <w:shd w:val="clear" w:color="auto" w:fill="auto"/>
            <w:noWrap/>
            <w:vAlign w:val="bottom"/>
            <w:hideMark/>
          </w:tcPr>
          <w:p w14:paraId="2E43FB7E" w14:textId="77777777" w:rsidR="0065177F" w:rsidRPr="00DC36FD" w:rsidRDefault="0065177F" w:rsidP="0065177F">
            <w:pPr>
              <w:rPr>
                <w:lang w:val="en-GB"/>
              </w:rPr>
            </w:pPr>
          </w:p>
        </w:tc>
        <w:tc>
          <w:tcPr>
            <w:tcW w:w="960" w:type="dxa"/>
            <w:tcBorders>
              <w:top w:val="nil"/>
              <w:left w:val="nil"/>
              <w:bottom w:val="nil"/>
              <w:right w:val="nil"/>
            </w:tcBorders>
            <w:shd w:val="clear" w:color="auto" w:fill="auto"/>
            <w:noWrap/>
            <w:vAlign w:val="bottom"/>
            <w:hideMark/>
          </w:tcPr>
          <w:p w14:paraId="0113EB37" w14:textId="77777777" w:rsidR="0065177F" w:rsidRPr="00DC36FD" w:rsidRDefault="0065177F" w:rsidP="0065177F">
            <w:pPr>
              <w:rPr>
                <w:lang w:val="en-GB"/>
              </w:rPr>
            </w:pPr>
          </w:p>
        </w:tc>
        <w:tc>
          <w:tcPr>
            <w:tcW w:w="600" w:type="dxa"/>
            <w:tcBorders>
              <w:top w:val="nil"/>
              <w:left w:val="nil"/>
              <w:bottom w:val="nil"/>
              <w:right w:val="nil"/>
            </w:tcBorders>
            <w:shd w:val="clear" w:color="auto" w:fill="auto"/>
            <w:noWrap/>
            <w:vAlign w:val="bottom"/>
            <w:hideMark/>
          </w:tcPr>
          <w:p w14:paraId="743359AB" w14:textId="77777777" w:rsidR="0065177F" w:rsidRPr="00DC36FD" w:rsidRDefault="0065177F" w:rsidP="0065177F">
            <w:pPr>
              <w:rPr>
                <w:lang w:val="en-GB"/>
              </w:rPr>
            </w:pPr>
          </w:p>
        </w:tc>
        <w:tc>
          <w:tcPr>
            <w:tcW w:w="1120" w:type="dxa"/>
            <w:tcBorders>
              <w:top w:val="nil"/>
              <w:left w:val="nil"/>
              <w:bottom w:val="nil"/>
              <w:right w:val="nil"/>
            </w:tcBorders>
            <w:shd w:val="clear" w:color="auto" w:fill="auto"/>
            <w:noWrap/>
            <w:vAlign w:val="bottom"/>
            <w:hideMark/>
          </w:tcPr>
          <w:p w14:paraId="7103FA44" w14:textId="77777777" w:rsidR="0065177F" w:rsidRPr="00DC36FD" w:rsidRDefault="0065177F" w:rsidP="0065177F">
            <w:pPr>
              <w:rPr>
                <w:lang w:val="en-GB"/>
              </w:rPr>
            </w:pPr>
          </w:p>
        </w:tc>
        <w:tc>
          <w:tcPr>
            <w:tcW w:w="600" w:type="dxa"/>
            <w:tcBorders>
              <w:top w:val="nil"/>
              <w:left w:val="nil"/>
              <w:bottom w:val="nil"/>
              <w:right w:val="nil"/>
            </w:tcBorders>
            <w:shd w:val="clear" w:color="auto" w:fill="auto"/>
            <w:noWrap/>
            <w:vAlign w:val="bottom"/>
            <w:hideMark/>
          </w:tcPr>
          <w:p w14:paraId="40A505E7" w14:textId="77777777" w:rsidR="0065177F" w:rsidRPr="00DC36FD" w:rsidRDefault="0065177F" w:rsidP="0065177F">
            <w:pPr>
              <w:rPr>
                <w:lang w:val="en-GB"/>
              </w:rPr>
            </w:pPr>
          </w:p>
        </w:tc>
        <w:tc>
          <w:tcPr>
            <w:tcW w:w="1040" w:type="dxa"/>
            <w:tcBorders>
              <w:top w:val="nil"/>
              <w:left w:val="nil"/>
              <w:bottom w:val="nil"/>
              <w:right w:val="single" w:sz="4" w:space="0" w:color="auto"/>
            </w:tcBorders>
            <w:shd w:val="clear" w:color="auto" w:fill="auto"/>
            <w:noWrap/>
            <w:vAlign w:val="bottom"/>
            <w:hideMark/>
          </w:tcPr>
          <w:p w14:paraId="15E04ADC"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r>
      <w:tr w:rsidR="0065177F" w:rsidRPr="00DC36FD" w14:paraId="45FBD29B" w14:textId="77777777" w:rsidTr="0065177F">
        <w:trPr>
          <w:trHeight w:val="300"/>
          <w:jc w:val="center"/>
        </w:trPr>
        <w:tc>
          <w:tcPr>
            <w:tcW w:w="3040" w:type="dxa"/>
            <w:gridSpan w:val="4"/>
            <w:tcBorders>
              <w:top w:val="nil"/>
              <w:left w:val="single" w:sz="4" w:space="0" w:color="auto"/>
              <w:bottom w:val="nil"/>
              <w:right w:val="nil"/>
            </w:tcBorders>
            <w:shd w:val="clear" w:color="auto" w:fill="auto"/>
            <w:noWrap/>
            <w:vAlign w:val="bottom"/>
            <w:hideMark/>
          </w:tcPr>
          <w:p w14:paraId="3B167C22" w14:textId="77777777" w:rsidR="0065177F" w:rsidRPr="00DC36FD" w:rsidRDefault="0065177F" w:rsidP="0065177F">
            <w:pPr>
              <w:rPr>
                <w:rFonts w:ascii="Arial" w:hAnsi="Arial" w:cs="Arial"/>
                <w:b/>
                <w:bCs/>
                <w:color w:val="000000"/>
                <w:sz w:val="18"/>
                <w:szCs w:val="18"/>
                <w:lang w:val="en-GB"/>
              </w:rPr>
            </w:pPr>
            <w:r w:rsidRPr="00DC36FD">
              <w:rPr>
                <w:rFonts w:ascii="Arial" w:hAnsi="Arial" w:cs="Arial"/>
                <w:b/>
                <w:bCs/>
                <w:color w:val="000000"/>
                <w:sz w:val="18"/>
                <w:szCs w:val="18"/>
                <w:lang w:val="en-GB"/>
              </w:rPr>
              <w:t>Earnings from Operations</w:t>
            </w:r>
          </w:p>
        </w:tc>
        <w:tc>
          <w:tcPr>
            <w:tcW w:w="1140" w:type="dxa"/>
            <w:tcBorders>
              <w:top w:val="nil"/>
              <w:left w:val="nil"/>
              <w:bottom w:val="nil"/>
              <w:right w:val="nil"/>
            </w:tcBorders>
            <w:shd w:val="clear" w:color="auto" w:fill="auto"/>
            <w:noWrap/>
            <w:vAlign w:val="bottom"/>
            <w:hideMark/>
          </w:tcPr>
          <w:p w14:paraId="68A4FD11" w14:textId="77777777" w:rsidR="0065177F" w:rsidRPr="00DC36FD" w:rsidRDefault="0065177F" w:rsidP="0065177F">
            <w:pPr>
              <w:rPr>
                <w:rFonts w:ascii="Arial" w:hAnsi="Arial" w:cs="Arial"/>
                <w:b/>
                <w:bCs/>
                <w:color w:val="000000"/>
                <w:sz w:val="18"/>
                <w:szCs w:val="18"/>
                <w:lang w:val="en-GB"/>
              </w:rPr>
            </w:pPr>
          </w:p>
        </w:tc>
        <w:tc>
          <w:tcPr>
            <w:tcW w:w="960" w:type="dxa"/>
            <w:tcBorders>
              <w:top w:val="nil"/>
              <w:left w:val="nil"/>
              <w:bottom w:val="nil"/>
              <w:right w:val="nil"/>
            </w:tcBorders>
            <w:shd w:val="clear" w:color="auto" w:fill="auto"/>
            <w:noWrap/>
            <w:vAlign w:val="bottom"/>
            <w:hideMark/>
          </w:tcPr>
          <w:p w14:paraId="1C8D516A"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41,336 </w:t>
            </w:r>
          </w:p>
        </w:tc>
        <w:tc>
          <w:tcPr>
            <w:tcW w:w="600" w:type="dxa"/>
            <w:tcBorders>
              <w:top w:val="nil"/>
              <w:left w:val="nil"/>
              <w:bottom w:val="nil"/>
              <w:right w:val="nil"/>
            </w:tcBorders>
            <w:shd w:val="clear" w:color="auto" w:fill="auto"/>
            <w:noWrap/>
            <w:vAlign w:val="bottom"/>
            <w:hideMark/>
          </w:tcPr>
          <w:p w14:paraId="747919FC" w14:textId="77777777" w:rsidR="0065177F" w:rsidRPr="00DC36FD" w:rsidRDefault="0065177F" w:rsidP="0065177F">
            <w:pPr>
              <w:jc w:val="right"/>
              <w:rPr>
                <w:rFonts w:ascii="Arial" w:hAnsi="Arial" w:cs="Arial"/>
                <w:color w:val="000000"/>
                <w:sz w:val="18"/>
                <w:szCs w:val="18"/>
                <w:lang w:val="en-GB"/>
              </w:rPr>
            </w:pPr>
          </w:p>
        </w:tc>
        <w:tc>
          <w:tcPr>
            <w:tcW w:w="1120" w:type="dxa"/>
            <w:tcBorders>
              <w:top w:val="nil"/>
              <w:left w:val="nil"/>
              <w:bottom w:val="nil"/>
              <w:right w:val="nil"/>
            </w:tcBorders>
            <w:shd w:val="clear" w:color="auto" w:fill="auto"/>
            <w:noWrap/>
            <w:vAlign w:val="bottom"/>
            <w:hideMark/>
          </w:tcPr>
          <w:p w14:paraId="64E6C784"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15,556 </w:t>
            </w:r>
          </w:p>
        </w:tc>
        <w:tc>
          <w:tcPr>
            <w:tcW w:w="600" w:type="dxa"/>
            <w:tcBorders>
              <w:top w:val="nil"/>
              <w:left w:val="nil"/>
              <w:bottom w:val="nil"/>
              <w:right w:val="nil"/>
            </w:tcBorders>
            <w:shd w:val="clear" w:color="auto" w:fill="auto"/>
            <w:noWrap/>
            <w:vAlign w:val="bottom"/>
            <w:hideMark/>
          </w:tcPr>
          <w:p w14:paraId="0480ED3F" w14:textId="77777777" w:rsidR="0065177F" w:rsidRPr="00DC36FD" w:rsidRDefault="0065177F" w:rsidP="0065177F">
            <w:pPr>
              <w:jc w:val="right"/>
              <w:rPr>
                <w:rFonts w:ascii="Arial" w:hAnsi="Arial" w:cs="Arial"/>
                <w:color w:val="000000"/>
                <w:sz w:val="18"/>
                <w:szCs w:val="18"/>
                <w:lang w:val="en-GB"/>
              </w:rPr>
            </w:pPr>
          </w:p>
        </w:tc>
        <w:tc>
          <w:tcPr>
            <w:tcW w:w="1040" w:type="dxa"/>
            <w:tcBorders>
              <w:top w:val="nil"/>
              <w:left w:val="nil"/>
              <w:bottom w:val="nil"/>
              <w:right w:val="single" w:sz="4" w:space="0" w:color="auto"/>
            </w:tcBorders>
            <w:shd w:val="clear" w:color="auto" w:fill="auto"/>
            <w:noWrap/>
            <w:vAlign w:val="bottom"/>
            <w:hideMark/>
          </w:tcPr>
          <w:p w14:paraId="611A38A4"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29,964 </w:t>
            </w:r>
          </w:p>
        </w:tc>
      </w:tr>
      <w:tr w:rsidR="0065177F" w:rsidRPr="00DC36FD" w14:paraId="37053123" w14:textId="77777777" w:rsidTr="0065177F">
        <w:trPr>
          <w:trHeight w:val="300"/>
          <w:jc w:val="center"/>
        </w:trPr>
        <w:tc>
          <w:tcPr>
            <w:tcW w:w="3040" w:type="dxa"/>
            <w:gridSpan w:val="4"/>
            <w:tcBorders>
              <w:top w:val="nil"/>
              <w:left w:val="single" w:sz="4" w:space="0" w:color="auto"/>
              <w:bottom w:val="nil"/>
              <w:right w:val="nil"/>
            </w:tcBorders>
            <w:shd w:val="clear" w:color="auto" w:fill="auto"/>
            <w:noWrap/>
            <w:vAlign w:val="bottom"/>
            <w:hideMark/>
          </w:tcPr>
          <w:p w14:paraId="68CB54C8" w14:textId="77777777" w:rsidR="0065177F" w:rsidRPr="00DC36FD" w:rsidRDefault="0065177F" w:rsidP="0065177F">
            <w:pPr>
              <w:rPr>
                <w:rFonts w:ascii="Arial" w:hAnsi="Arial" w:cs="Arial"/>
                <w:b/>
                <w:bCs/>
                <w:color w:val="000000"/>
                <w:sz w:val="18"/>
                <w:szCs w:val="18"/>
                <w:lang w:val="en-GB"/>
              </w:rPr>
            </w:pPr>
            <w:r w:rsidRPr="00DC36FD">
              <w:rPr>
                <w:rFonts w:ascii="Arial" w:hAnsi="Arial" w:cs="Arial"/>
                <w:b/>
                <w:bCs/>
                <w:color w:val="000000"/>
                <w:sz w:val="18"/>
                <w:szCs w:val="18"/>
                <w:lang w:val="en-GB"/>
              </w:rPr>
              <w:t>Provision for Income Taxes</w:t>
            </w:r>
          </w:p>
        </w:tc>
        <w:tc>
          <w:tcPr>
            <w:tcW w:w="1140" w:type="dxa"/>
            <w:tcBorders>
              <w:top w:val="nil"/>
              <w:left w:val="nil"/>
              <w:bottom w:val="nil"/>
              <w:right w:val="nil"/>
            </w:tcBorders>
            <w:shd w:val="clear" w:color="auto" w:fill="auto"/>
            <w:noWrap/>
            <w:vAlign w:val="bottom"/>
            <w:hideMark/>
          </w:tcPr>
          <w:p w14:paraId="5B8059A4" w14:textId="77777777" w:rsidR="0065177F" w:rsidRPr="00DC36FD" w:rsidRDefault="0065177F" w:rsidP="0065177F">
            <w:pPr>
              <w:rPr>
                <w:rFonts w:ascii="Arial" w:hAnsi="Arial" w:cs="Arial"/>
                <w:b/>
                <w:bCs/>
                <w:color w:val="000000"/>
                <w:sz w:val="18"/>
                <w:szCs w:val="18"/>
                <w:lang w:val="en-GB"/>
              </w:rPr>
            </w:pPr>
          </w:p>
        </w:tc>
        <w:tc>
          <w:tcPr>
            <w:tcW w:w="960" w:type="dxa"/>
            <w:tcBorders>
              <w:top w:val="nil"/>
              <w:left w:val="nil"/>
              <w:bottom w:val="nil"/>
              <w:right w:val="nil"/>
            </w:tcBorders>
            <w:shd w:val="clear" w:color="auto" w:fill="auto"/>
            <w:noWrap/>
            <w:vAlign w:val="bottom"/>
            <w:hideMark/>
          </w:tcPr>
          <w:p w14:paraId="65FBD260"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10,334 </w:t>
            </w:r>
          </w:p>
        </w:tc>
        <w:tc>
          <w:tcPr>
            <w:tcW w:w="600" w:type="dxa"/>
            <w:tcBorders>
              <w:top w:val="nil"/>
              <w:left w:val="nil"/>
              <w:bottom w:val="nil"/>
              <w:right w:val="nil"/>
            </w:tcBorders>
            <w:shd w:val="clear" w:color="auto" w:fill="auto"/>
            <w:noWrap/>
            <w:vAlign w:val="bottom"/>
            <w:hideMark/>
          </w:tcPr>
          <w:p w14:paraId="08C29900" w14:textId="77777777" w:rsidR="0065177F" w:rsidRPr="00DC36FD" w:rsidRDefault="0065177F" w:rsidP="0065177F">
            <w:pPr>
              <w:jc w:val="right"/>
              <w:rPr>
                <w:rFonts w:ascii="Arial" w:hAnsi="Arial" w:cs="Arial"/>
                <w:color w:val="000000"/>
                <w:sz w:val="18"/>
                <w:szCs w:val="18"/>
                <w:lang w:val="en-GB"/>
              </w:rPr>
            </w:pPr>
          </w:p>
        </w:tc>
        <w:tc>
          <w:tcPr>
            <w:tcW w:w="1120" w:type="dxa"/>
            <w:tcBorders>
              <w:top w:val="nil"/>
              <w:left w:val="nil"/>
              <w:bottom w:val="nil"/>
              <w:right w:val="nil"/>
            </w:tcBorders>
            <w:shd w:val="clear" w:color="auto" w:fill="auto"/>
            <w:noWrap/>
            <w:vAlign w:val="bottom"/>
            <w:hideMark/>
          </w:tcPr>
          <w:p w14:paraId="2C744C99"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3,889 </w:t>
            </w:r>
          </w:p>
        </w:tc>
        <w:tc>
          <w:tcPr>
            <w:tcW w:w="600" w:type="dxa"/>
            <w:tcBorders>
              <w:top w:val="nil"/>
              <w:left w:val="nil"/>
              <w:bottom w:val="nil"/>
              <w:right w:val="nil"/>
            </w:tcBorders>
            <w:shd w:val="clear" w:color="auto" w:fill="auto"/>
            <w:noWrap/>
            <w:vAlign w:val="bottom"/>
            <w:hideMark/>
          </w:tcPr>
          <w:p w14:paraId="04AB5AE2" w14:textId="77777777" w:rsidR="0065177F" w:rsidRPr="00DC36FD" w:rsidRDefault="0065177F" w:rsidP="0065177F">
            <w:pPr>
              <w:jc w:val="right"/>
              <w:rPr>
                <w:rFonts w:ascii="Arial" w:hAnsi="Arial" w:cs="Arial"/>
                <w:color w:val="000000"/>
                <w:sz w:val="18"/>
                <w:szCs w:val="18"/>
                <w:lang w:val="en-GB"/>
              </w:rPr>
            </w:pPr>
          </w:p>
        </w:tc>
        <w:tc>
          <w:tcPr>
            <w:tcW w:w="1040" w:type="dxa"/>
            <w:tcBorders>
              <w:top w:val="nil"/>
              <w:left w:val="nil"/>
              <w:bottom w:val="nil"/>
              <w:right w:val="single" w:sz="4" w:space="0" w:color="auto"/>
            </w:tcBorders>
            <w:shd w:val="clear" w:color="auto" w:fill="auto"/>
            <w:noWrap/>
            <w:vAlign w:val="bottom"/>
            <w:hideMark/>
          </w:tcPr>
          <w:p w14:paraId="3CCA46A6"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7,491 </w:t>
            </w:r>
          </w:p>
        </w:tc>
      </w:tr>
      <w:tr w:rsidR="0065177F" w:rsidRPr="00DC36FD" w14:paraId="7CD7BFCA" w14:textId="77777777" w:rsidTr="0065177F">
        <w:trPr>
          <w:trHeight w:val="300"/>
          <w:jc w:val="center"/>
        </w:trPr>
        <w:tc>
          <w:tcPr>
            <w:tcW w:w="2245" w:type="dxa"/>
            <w:gridSpan w:val="3"/>
            <w:tcBorders>
              <w:top w:val="nil"/>
              <w:left w:val="single" w:sz="4" w:space="0" w:color="auto"/>
              <w:bottom w:val="single" w:sz="4" w:space="0" w:color="auto"/>
              <w:right w:val="nil"/>
            </w:tcBorders>
            <w:shd w:val="clear" w:color="auto" w:fill="auto"/>
            <w:noWrap/>
            <w:vAlign w:val="bottom"/>
            <w:hideMark/>
          </w:tcPr>
          <w:p w14:paraId="5D3AD598" w14:textId="77777777" w:rsidR="0065177F" w:rsidRPr="00DC36FD" w:rsidRDefault="0065177F" w:rsidP="0065177F">
            <w:pPr>
              <w:rPr>
                <w:rFonts w:ascii="Arial" w:hAnsi="Arial" w:cs="Arial"/>
                <w:b/>
                <w:bCs/>
                <w:color w:val="000000"/>
                <w:sz w:val="18"/>
                <w:szCs w:val="18"/>
                <w:lang w:val="en-GB"/>
              </w:rPr>
            </w:pPr>
            <w:r w:rsidRPr="00DC36FD">
              <w:rPr>
                <w:rFonts w:ascii="Arial" w:hAnsi="Arial" w:cs="Arial"/>
                <w:b/>
                <w:bCs/>
                <w:color w:val="000000"/>
                <w:sz w:val="18"/>
                <w:szCs w:val="18"/>
                <w:lang w:val="en-GB"/>
              </w:rPr>
              <w:t>Net Earnings</w:t>
            </w:r>
          </w:p>
        </w:tc>
        <w:tc>
          <w:tcPr>
            <w:tcW w:w="795" w:type="dxa"/>
            <w:tcBorders>
              <w:top w:val="nil"/>
              <w:left w:val="nil"/>
              <w:bottom w:val="single" w:sz="4" w:space="0" w:color="auto"/>
              <w:right w:val="nil"/>
            </w:tcBorders>
            <w:shd w:val="clear" w:color="auto" w:fill="auto"/>
            <w:noWrap/>
            <w:vAlign w:val="bottom"/>
            <w:hideMark/>
          </w:tcPr>
          <w:p w14:paraId="352105CE"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1140" w:type="dxa"/>
            <w:tcBorders>
              <w:top w:val="nil"/>
              <w:left w:val="nil"/>
              <w:bottom w:val="single" w:sz="4" w:space="0" w:color="auto"/>
              <w:right w:val="nil"/>
            </w:tcBorders>
            <w:shd w:val="clear" w:color="auto" w:fill="auto"/>
            <w:noWrap/>
            <w:vAlign w:val="bottom"/>
            <w:hideMark/>
          </w:tcPr>
          <w:p w14:paraId="4EE884A7"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960" w:type="dxa"/>
            <w:tcBorders>
              <w:top w:val="single" w:sz="4" w:space="0" w:color="auto"/>
              <w:left w:val="nil"/>
              <w:bottom w:val="single" w:sz="4" w:space="0" w:color="auto"/>
              <w:right w:val="nil"/>
            </w:tcBorders>
            <w:shd w:val="clear" w:color="auto" w:fill="auto"/>
            <w:noWrap/>
            <w:vAlign w:val="bottom"/>
            <w:hideMark/>
          </w:tcPr>
          <w:p w14:paraId="4935EC2F"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31,002 </w:t>
            </w:r>
          </w:p>
        </w:tc>
        <w:tc>
          <w:tcPr>
            <w:tcW w:w="600" w:type="dxa"/>
            <w:tcBorders>
              <w:top w:val="nil"/>
              <w:left w:val="nil"/>
              <w:bottom w:val="single" w:sz="4" w:space="0" w:color="auto"/>
              <w:right w:val="nil"/>
            </w:tcBorders>
            <w:shd w:val="clear" w:color="auto" w:fill="auto"/>
            <w:noWrap/>
            <w:vAlign w:val="bottom"/>
            <w:hideMark/>
          </w:tcPr>
          <w:p w14:paraId="34B2A808"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1120" w:type="dxa"/>
            <w:tcBorders>
              <w:top w:val="single" w:sz="4" w:space="0" w:color="auto"/>
              <w:left w:val="nil"/>
              <w:bottom w:val="single" w:sz="4" w:space="0" w:color="auto"/>
              <w:right w:val="nil"/>
            </w:tcBorders>
            <w:shd w:val="clear" w:color="auto" w:fill="auto"/>
            <w:noWrap/>
            <w:vAlign w:val="bottom"/>
            <w:hideMark/>
          </w:tcPr>
          <w:p w14:paraId="44E51665"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11,667 </w:t>
            </w:r>
          </w:p>
        </w:tc>
        <w:tc>
          <w:tcPr>
            <w:tcW w:w="600" w:type="dxa"/>
            <w:tcBorders>
              <w:top w:val="nil"/>
              <w:left w:val="nil"/>
              <w:bottom w:val="single" w:sz="4" w:space="0" w:color="auto"/>
              <w:right w:val="nil"/>
            </w:tcBorders>
            <w:shd w:val="clear" w:color="auto" w:fill="auto"/>
            <w:noWrap/>
            <w:vAlign w:val="bottom"/>
            <w:hideMark/>
          </w:tcPr>
          <w:p w14:paraId="2398F237" w14:textId="77777777" w:rsidR="0065177F" w:rsidRPr="00DC36FD" w:rsidRDefault="0065177F" w:rsidP="0065177F">
            <w:pPr>
              <w:rPr>
                <w:rFonts w:ascii="Arial" w:hAnsi="Arial" w:cs="Arial"/>
                <w:color w:val="000000"/>
                <w:sz w:val="18"/>
                <w:szCs w:val="18"/>
                <w:lang w:val="en-GB"/>
              </w:rPr>
            </w:pPr>
            <w:r w:rsidRPr="00DC36FD">
              <w:rPr>
                <w:rFonts w:ascii="Arial" w:hAnsi="Arial" w:cs="Arial"/>
                <w:color w:val="000000"/>
                <w:sz w:val="18"/>
                <w:szCs w:val="18"/>
                <w:lang w:val="en-GB"/>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D90F36F" w14:textId="77777777" w:rsidR="0065177F" w:rsidRPr="00DC36FD" w:rsidRDefault="0065177F" w:rsidP="0065177F">
            <w:pPr>
              <w:jc w:val="right"/>
              <w:rPr>
                <w:rFonts w:ascii="Arial" w:hAnsi="Arial" w:cs="Arial"/>
                <w:color w:val="000000"/>
                <w:sz w:val="18"/>
                <w:szCs w:val="18"/>
                <w:lang w:val="en-GB"/>
              </w:rPr>
            </w:pPr>
            <w:r w:rsidRPr="00DC36FD">
              <w:rPr>
                <w:rFonts w:ascii="Arial" w:hAnsi="Arial" w:cs="Arial"/>
                <w:color w:val="000000"/>
                <w:sz w:val="18"/>
                <w:szCs w:val="18"/>
                <w:lang w:val="en-GB"/>
              </w:rPr>
              <w:t xml:space="preserve">22,473 </w:t>
            </w:r>
          </w:p>
        </w:tc>
      </w:tr>
    </w:tbl>
    <w:p w14:paraId="5902F2C3" w14:textId="21DA7E40" w:rsidR="008D5F87" w:rsidRPr="00DC36FD" w:rsidRDefault="008D5F87" w:rsidP="008D5F87">
      <w:pPr>
        <w:jc w:val="both"/>
        <w:rPr>
          <w:b/>
          <w:lang w:val="en-GB"/>
        </w:rPr>
      </w:pPr>
    </w:p>
    <w:p w14:paraId="4873D4D7" w14:textId="6BEDBB7F" w:rsidR="008D5F87" w:rsidRPr="00DC36FD" w:rsidRDefault="008D5F87" w:rsidP="00D1089F">
      <w:pPr>
        <w:pStyle w:val="Footnote"/>
        <w:rPr>
          <w:lang w:val="en-GB"/>
        </w:rPr>
      </w:pPr>
      <w:r w:rsidRPr="00DC36FD">
        <w:rPr>
          <w:lang w:val="en-GB"/>
        </w:rPr>
        <w:t xml:space="preserve">Source: Created by the authors using </w:t>
      </w:r>
      <w:r w:rsidR="00B873A5">
        <w:rPr>
          <w:lang w:val="en-GB"/>
        </w:rPr>
        <w:t>c</w:t>
      </w:r>
      <w:r w:rsidR="00EB55CB">
        <w:rPr>
          <w:lang w:val="en-GB"/>
        </w:rPr>
        <w:t>ompany documents</w:t>
      </w:r>
      <w:r w:rsidRPr="00DC36FD">
        <w:rPr>
          <w:lang w:val="en-GB"/>
        </w:rPr>
        <w:t xml:space="preserve">. </w:t>
      </w:r>
    </w:p>
    <w:sectPr w:rsidR="008D5F87" w:rsidRPr="00DC36FD" w:rsidSect="00EB5410">
      <w:headerReference w:type="default" r:id="rId18"/>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BBA7C" w14:textId="77777777" w:rsidR="005C6BEF" w:rsidRDefault="005C6BEF" w:rsidP="00D75295">
      <w:r>
        <w:separator/>
      </w:r>
    </w:p>
  </w:endnote>
  <w:endnote w:type="continuationSeparator" w:id="0">
    <w:p w14:paraId="680739A0" w14:textId="77777777" w:rsidR="005C6BEF" w:rsidRDefault="005C6BE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14087" w14:textId="77777777" w:rsidR="005C6BEF" w:rsidRDefault="005C6BEF" w:rsidP="00D75295">
      <w:r>
        <w:separator/>
      </w:r>
    </w:p>
  </w:footnote>
  <w:footnote w:type="continuationSeparator" w:id="0">
    <w:p w14:paraId="449F19DA" w14:textId="77777777" w:rsidR="005C6BEF" w:rsidRDefault="005C6BEF" w:rsidP="00D75295">
      <w:r>
        <w:continuationSeparator/>
      </w:r>
    </w:p>
  </w:footnote>
  <w:footnote w:id="1">
    <w:p w14:paraId="75810B75" w14:textId="4F0DE7B7" w:rsidR="005C6BEF" w:rsidRDefault="005C6BEF" w:rsidP="005E6410">
      <w:pPr>
        <w:pStyle w:val="Footnote"/>
      </w:pPr>
      <w:r>
        <w:rPr>
          <w:rStyle w:val="FootnoteReference"/>
        </w:rPr>
        <w:footnoteRef/>
      </w:r>
      <w:r>
        <w:t xml:space="preserve"> All hectare conversions are rounded up to the nearest hectare.</w:t>
      </w:r>
    </w:p>
  </w:footnote>
  <w:footnote w:id="2">
    <w:p w14:paraId="59C4D404" w14:textId="6F90D0E4" w:rsidR="005C6BEF" w:rsidRDefault="005C6BEF" w:rsidP="00D1089F">
      <w:pPr>
        <w:pStyle w:val="Footnote"/>
      </w:pPr>
      <w:r>
        <w:rPr>
          <w:rStyle w:val="FootnoteReference"/>
        </w:rPr>
        <w:footnoteRef/>
      </w:r>
      <w:r>
        <w:t xml:space="preserve"> All currency amounts are in Canadian dollars unless otherwise specified.</w:t>
      </w:r>
    </w:p>
  </w:footnote>
  <w:footnote w:id="3">
    <w:p w14:paraId="4AD0B511" w14:textId="654CAFA7" w:rsidR="005C6BEF" w:rsidRPr="004A3CBB" w:rsidRDefault="005C6BEF" w:rsidP="008D5F87">
      <w:pPr>
        <w:pStyle w:val="Footnote"/>
      </w:pPr>
      <w:r w:rsidRPr="00D44E8B">
        <w:rPr>
          <w:rStyle w:val="FootnoteReference"/>
        </w:rPr>
        <w:footnoteRef/>
      </w:r>
      <w:r>
        <w:t xml:space="preserve"> </w:t>
      </w:r>
      <w:r w:rsidRPr="004A3CBB">
        <w:t xml:space="preserve">Statistics Canada, </w:t>
      </w:r>
      <w:r>
        <w:t>“</w:t>
      </w:r>
      <w:r w:rsidRPr="004A3CBB">
        <w:t>2011 Census of Agriculture</w:t>
      </w:r>
      <w:r>
        <w:t>,”</w:t>
      </w:r>
      <w:r w:rsidRPr="004A3CBB">
        <w:t xml:space="preserve"> accessed October 7, 2016</w:t>
      </w:r>
      <w:r>
        <w:t xml:space="preserve">, </w:t>
      </w:r>
      <w:r w:rsidRPr="001A33A3">
        <w:t>http://www.statcan.gc.ca/daily-quotidien/120510/dq120510a-eng.htm</w:t>
      </w:r>
      <w:r>
        <w:t>.</w:t>
      </w:r>
    </w:p>
  </w:footnote>
  <w:footnote w:id="4">
    <w:p w14:paraId="31D7CA3D" w14:textId="74215BA0" w:rsidR="005C6BEF" w:rsidRPr="00D44E8B" w:rsidRDefault="005C6BEF" w:rsidP="00640F9D">
      <w:pPr>
        <w:pStyle w:val="Footnote"/>
        <w:rPr>
          <w:b/>
        </w:rPr>
      </w:pPr>
      <w:r>
        <w:rPr>
          <w:rStyle w:val="FootnoteReference"/>
        </w:rPr>
        <w:footnoteRef/>
      </w:r>
      <w:r>
        <w:t xml:space="preserve"> Ibid. </w:t>
      </w:r>
    </w:p>
  </w:footnote>
  <w:footnote w:id="5">
    <w:p w14:paraId="1A95B01B" w14:textId="1F70F5F2" w:rsidR="005C6BEF" w:rsidRPr="002E1B91" w:rsidRDefault="005C6BEF" w:rsidP="008D5F87">
      <w:pPr>
        <w:pStyle w:val="Footnote"/>
      </w:pPr>
      <w:r w:rsidRPr="002E1B91">
        <w:rPr>
          <w:rStyle w:val="FootnoteReference"/>
          <w:rFonts w:ascii="Times New Roman" w:hAnsi="Times New Roman" w:cs="Times New Roman"/>
        </w:rPr>
        <w:footnoteRef/>
      </w:r>
      <w:r w:rsidRPr="002E1B91">
        <w:t xml:space="preserve"> Canadian Pacific, </w:t>
      </w:r>
      <w:r w:rsidRPr="00D44E8B">
        <w:rPr>
          <w:i/>
        </w:rPr>
        <w:t>Canadian Grain Elevator and Terminal Directory</w:t>
      </w:r>
      <w:r w:rsidRPr="002E1B91">
        <w:t>, January 2015, accessed October 10, 2016</w:t>
      </w:r>
      <w:r>
        <w:t xml:space="preserve">, </w:t>
      </w:r>
      <w:r w:rsidRPr="002E1B91">
        <w:t>www.cpr.ca/en/customer-resources-site/Documents/canada-grain-directory.pdf</w:t>
      </w:r>
      <w:r>
        <w:t>.</w:t>
      </w:r>
    </w:p>
  </w:footnote>
  <w:footnote w:id="6">
    <w:p w14:paraId="7B91BEDE" w14:textId="3EC50728" w:rsidR="005C6BEF" w:rsidRPr="00C157B7" w:rsidRDefault="005C6BEF" w:rsidP="00F90686">
      <w:pPr>
        <w:pStyle w:val="Footnote"/>
      </w:pPr>
      <w:r w:rsidRPr="00D44E8B">
        <w:rPr>
          <w:rStyle w:val="FootnoteReference"/>
        </w:rPr>
        <w:footnoteRef/>
      </w:r>
      <w:r w:rsidRPr="00C157B7">
        <w:t xml:space="preserve"> “Canadian Grain Exports</w:t>
      </w:r>
      <w:r>
        <w:t>,</w:t>
      </w:r>
      <w:r w:rsidRPr="00C157B7">
        <w:t>” Canadian Grain Commission, accessed October 10, 2016, www.grainscanada.gc.ca/statistics-statistiques/cge-ecg/cgem-mecg-eng.htm</w:t>
      </w:r>
      <w:r>
        <w:t>.</w:t>
      </w:r>
    </w:p>
  </w:footnote>
  <w:footnote w:id="7">
    <w:p w14:paraId="7F4C8C40" w14:textId="5BFA27E0" w:rsidR="005C6BEF" w:rsidRDefault="005C6BEF" w:rsidP="00D44E8B">
      <w:pPr>
        <w:pStyle w:val="FootnoteText"/>
        <w:jc w:val="both"/>
      </w:pPr>
      <w:r w:rsidRPr="00D1089F">
        <w:rPr>
          <w:rStyle w:val="FootnoteReference"/>
          <w:rFonts w:ascii="Arial" w:hAnsi="Arial" w:cs="Arial"/>
          <w:sz w:val="17"/>
          <w:szCs w:val="17"/>
        </w:rPr>
        <w:footnoteRef/>
      </w:r>
      <w:r w:rsidRPr="00D1089F">
        <w:rPr>
          <w:rFonts w:ascii="Arial" w:hAnsi="Arial" w:cs="Arial"/>
          <w:sz w:val="17"/>
          <w:szCs w:val="17"/>
        </w:rPr>
        <w:t xml:space="preserve"> Farm Credit Canada, </w:t>
      </w:r>
      <w:r w:rsidRPr="00D1089F">
        <w:rPr>
          <w:rFonts w:ascii="Arial" w:hAnsi="Arial" w:cs="Arial"/>
          <w:i/>
          <w:sz w:val="17"/>
          <w:szCs w:val="17"/>
        </w:rPr>
        <w:t>2014 Farmland Values Report</w:t>
      </w:r>
      <w:r w:rsidRPr="00D1089F">
        <w:rPr>
          <w:rFonts w:ascii="Arial" w:hAnsi="Arial" w:cs="Arial"/>
          <w:sz w:val="17"/>
          <w:szCs w:val="17"/>
        </w:rPr>
        <w:t>,</w:t>
      </w:r>
      <w:r>
        <w:rPr>
          <w:rFonts w:ascii="Arial" w:hAnsi="Arial" w:cs="Arial"/>
          <w:sz w:val="17"/>
          <w:szCs w:val="17"/>
        </w:rPr>
        <w:t xml:space="preserve"> </w:t>
      </w:r>
      <w:r w:rsidRPr="00D1089F">
        <w:rPr>
          <w:rFonts w:ascii="Arial" w:hAnsi="Arial" w:cs="Arial"/>
          <w:sz w:val="17"/>
          <w:szCs w:val="17"/>
        </w:rPr>
        <w:t>April 13, 2015, accessed October 10, 2016, https://www.fcc-fac.ca/fcc/about-fcc/corporate-profile/reports/farmland-values/farmland-values-report-2014.pdf</w:t>
      </w:r>
      <w:r>
        <w:rPr>
          <w:rFonts w:ascii="Arial" w:hAnsi="Arial" w:cs="Arial"/>
          <w:sz w:val="17"/>
          <w:szCs w:val="17"/>
        </w:rPr>
        <w:t>.</w:t>
      </w:r>
    </w:p>
  </w:footnote>
  <w:footnote w:id="8">
    <w:p w14:paraId="21543A4B" w14:textId="336DA2D9" w:rsidR="005C6BEF" w:rsidRDefault="005C6BEF" w:rsidP="008D5F87">
      <w:pPr>
        <w:pStyle w:val="Footnote"/>
      </w:pPr>
      <w:r w:rsidRPr="000C00BC">
        <w:rPr>
          <w:rStyle w:val="FootnoteReference"/>
          <w:rFonts w:ascii="Times New Roman" w:hAnsi="Times New Roman" w:cs="Times New Roman"/>
        </w:rPr>
        <w:footnoteRef/>
      </w:r>
      <w:r w:rsidRPr="000C00BC">
        <w:t xml:space="preserve"> </w:t>
      </w:r>
      <w:r w:rsidRPr="004A3CBB">
        <w:t>2011 Census of Agriculture</w:t>
      </w:r>
      <w:r>
        <w:t>, “2011 Farm and Farm Operator Data,”</w:t>
      </w:r>
      <w:r w:rsidRPr="004A3CBB">
        <w:t xml:space="preserve"> </w:t>
      </w:r>
      <w:r>
        <w:t xml:space="preserve">Statistics Canada, </w:t>
      </w:r>
      <w:r w:rsidRPr="004A3CBB">
        <w:t>accessed October 7, 2016</w:t>
      </w:r>
      <w:r>
        <w:t xml:space="preserve">, </w:t>
      </w:r>
      <w:r w:rsidRPr="00766AAF">
        <w:t>www.statcan.gc.ca/pub/95-640-x/2011001/p1/prov/prov-47-eng.htm#Farm_numbers</w:t>
      </w:r>
      <w:r>
        <w:t>.</w:t>
      </w:r>
    </w:p>
  </w:footnote>
  <w:footnote w:id="9">
    <w:p w14:paraId="374D1B99" w14:textId="41706032" w:rsidR="005C6BEF" w:rsidRPr="00AE6B34" w:rsidRDefault="005C6BEF" w:rsidP="008D5F87">
      <w:pPr>
        <w:pStyle w:val="Footnote"/>
      </w:pPr>
      <w:r w:rsidRPr="00AE6B34">
        <w:rPr>
          <w:rStyle w:val="FootnoteReference"/>
          <w:rFonts w:ascii="Times New Roman" w:hAnsi="Times New Roman" w:cs="Times New Roman"/>
        </w:rPr>
        <w:footnoteRef/>
      </w:r>
      <w:r w:rsidRPr="00AE6B34">
        <w:t xml:space="preserve"> Saskatchewan Ministry of Highways, “Special Weights on Saskatchewan Highways</w:t>
      </w:r>
      <w:r>
        <w:t>,</w:t>
      </w:r>
      <w:r w:rsidRPr="00AE6B34">
        <w:t xml:space="preserve">” </w:t>
      </w:r>
      <w:r w:rsidRPr="004A3CBB">
        <w:t>accessed October 7, 2016</w:t>
      </w:r>
      <w:r>
        <w:t xml:space="preserve">, </w:t>
      </w:r>
      <w:r w:rsidRPr="00AE6B34">
        <w:t>www.highways.gov.sk.ca/special-weights/</w:t>
      </w:r>
      <w:r>
        <w:t xml:space="preserve">. </w:t>
      </w:r>
    </w:p>
  </w:footnote>
  <w:footnote w:id="10">
    <w:p w14:paraId="457EAF99" w14:textId="64A17B5A" w:rsidR="005C6BEF" w:rsidRPr="00D1089F" w:rsidRDefault="005C6BEF" w:rsidP="00D44E8B">
      <w:pPr>
        <w:pStyle w:val="FootnoteText"/>
        <w:jc w:val="both"/>
        <w:rPr>
          <w:rFonts w:ascii="Arial" w:hAnsi="Arial" w:cs="Arial"/>
          <w:sz w:val="17"/>
          <w:szCs w:val="17"/>
        </w:rPr>
      </w:pPr>
      <w:r w:rsidRPr="00D1089F">
        <w:rPr>
          <w:rStyle w:val="FootnoteReference"/>
          <w:rFonts w:ascii="Arial" w:hAnsi="Arial" w:cs="Arial"/>
          <w:sz w:val="17"/>
          <w:szCs w:val="17"/>
        </w:rPr>
        <w:footnoteRef/>
      </w:r>
      <w:r w:rsidRPr="00D1089F">
        <w:rPr>
          <w:rFonts w:ascii="Arial" w:hAnsi="Arial" w:cs="Arial"/>
          <w:sz w:val="17"/>
          <w:szCs w:val="17"/>
        </w:rPr>
        <w:t xml:space="preserve"> S</w:t>
      </w:r>
      <w:r>
        <w:rPr>
          <w:rFonts w:ascii="Arial" w:hAnsi="Arial" w:cs="Arial"/>
          <w:sz w:val="17"/>
          <w:szCs w:val="17"/>
        </w:rPr>
        <w:t xml:space="preserve">askatchewan </w:t>
      </w:r>
      <w:r w:rsidRPr="00D1089F">
        <w:rPr>
          <w:rFonts w:ascii="Arial" w:hAnsi="Arial" w:cs="Arial"/>
          <w:sz w:val="17"/>
          <w:szCs w:val="17"/>
        </w:rPr>
        <w:t>G</w:t>
      </w:r>
      <w:r>
        <w:rPr>
          <w:rFonts w:ascii="Arial" w:hAnsi="Arial" w:cs="Arial"/>
          <w:sz w:val="17"/>
          <w:szCs w:val="17"/>
        </w:rPr>
        <w:t xml:space="preserve">overnment </w:t>
      </w:r>
      <w:r w:rsidRPr="00D1089F">
        <w:rPr>
          <w:rFonts w:ascii="Arial" w:hAnsi="Arial" w:cs="Arial"/>
          <w:sz w:val="17"/>
          <w:szCs w:val="17"/>
        </w:rPr>
        <w:t>I</w:t>
      </w:r>
      <w:r>
        <w:rPr>
          <w:rFonts w:ascii="Arial" w:hAnsi="Arial" w:cs="Arial"/>
          <w:sz w:val="17"/>
          <w:szCs w:val="17"/>
        </w:rPr>
        <w:t>nsurance</w:t>
      </w:r>
      <w:r w:rsidRPr="00D1089F">
        <w:rPr>
          <w:rFonts w:ascii="Arial" w:hAnsi="Arial" w:cs="Arial"/>
          <w:sz w:val="17"/>
          <w:szCs w:val="17"/>
        </w:rPr>
        <w:t xml:space="preserve">, “Driver </w:t>
      </w:r>
      <w:r>
        <w:rPr>
          <w:rFonts w:ascii="Arial" w:hAnsi="Arial" w:cs="Arial"/>
          <w:sz w:val="17"/>
          <w:szCs w:val="17"/>
        </w:rPr>
        <w:t>L</w:t>
      </w:r>
      <w:r w:rsidRPr="00D1089F">
        <w:rPr>
          <w:rFonts w:ascii="Arial" w:hAnsi="Arial" w:cs="Arial"/>
          <w:sz w:val="17"/>
          <w:szCs w:val="17"/>
        </w:rPr>
        <w:t xml:space="preserve">icensing: Class 1 – Power </w:t>
      </w:r>
      <w:r>
        <w:rPr>
          <w:rFonts w:ascii="Arial" w:hAnsi="Arial" w:cs="Arial"/>
          <w:sz w:val="17"/>
          <w:szCs w:val="17"/>
        </w:rPr>
        <w:t>U</w:t>
      </w:r>
      <w:r w:rsidRPr="00D1089F">
        <w:rPr>
          <w:rFonts w:ascii="Arial" w:hAnsi="Arial" w:cs="Arial"/>
          <w:sz w:val="17"/>
          <w:szCs w:val="17"/>
        </w:rPr>
        <w:t xml:space="preserve">nits, </w:t>
      </w:r>
      <w:proofErr w:type="spellStart"/>
      <w:r>
        <w:rPr>
          <w:rFonts w:ascii="Arial" w:hAnsi="Arial" w:cs="Arial"/>
          <w:sz w:val="17"/>
          <w:szCs w:val="17"/>
        </w:rPr>
        <w:t>S</w:t>
      </w:r>
      <w:r w:rsidRPr="00D1089F">
        <w:rPr>
          <w:rFonts w:ascii="Arial" w:hAnsi="Arial" w:cs="Arial"/>
          <w:sz w:val="17"/>
          <w:szCs w:val="17"/>
        </w:rPr>
        <w:t xml:space="preserve">emi </w:t>
      </w:r>
      <w:r>
        <w:rPr>
          <w:rFonts w:ascii="Arial" w:hAnsi="Arial" w:cs="Arial"/>
          <w:sz w:val="17"/>
          <w:szCs w:val="17"/>
        </w:rPr>
        <w:t>T</w:t>
      </w:r>
      <w:r w:rsidRPr="00D1089F">
        <w:rPr>
          <w:rFonts w:ascii="Arial" w:hAnsi="Arial" w:cs="Arial"/>
          <w:sz w:val="17"/>
          <w:szCs w:val="17"/>
        </w:rPr>
        <w:t>railers</w:t>
      </w:r>
      <w:proofErr w:type="spellEnd"/>
      <w:r w:rsidRPr="00D1089F">
        <w:rPr>
          <w:rFonts w:ascii="Arial" w:hAnsi="Arial" w:cs="Arial"/>
          <w:sz w:val="17"/>
          <w:szCs w:val="17"/>
        </w:rPr>
        <w:t xml:space="preserve"> and </w:t>
      </w:r>
      <w:r>
        <w:rPr>
          <w:rFonts w:ascii="Arial" w:hAnsi="Arial" w:cs="Arial"/>
          <w:sz w:val="17"/>
          <w:szCs w:val="17"/>
        </w:rPr>
        <w:t>T</w:t>
      </w:r>
      <w:r w:rsidRPr="00D1089F">
        <w:rPr>
          <w:rFonts w:ascii="Arial" w:hAnsi="Arial" w:cs="Arial"/>
          <w:sz w:val="17"/>
          <w:szCs w:val="17"/>
        </w:rPr>
        <w:t xml:space="preserve">rucks </w:t>
      </w:r>
      <w:r>
        <w:rPr>
          <w:rFonts w:ascii="Arial" w:hAnsi="Arial" w:cs="Arial"/>
          <w:sz w:val="17"/>
          <w:szCs w:val="17"/>
        </w:rPr>
        <w:t>T</w:t>
      </w:r>
      <w:r w:rsidRPr="00D1089F">
        <w:rPr>
          <w:rFonts w:ascii="Arial" w:hAnsi="Arial" w:cs="Arial"/>
          <w:sz w:val="17"/>
          <w:szCs w:val="17"/>
        </w:rPr>
        <w:t>owing over 4,600kg</w:t>
      </w:r>
      <w:r>
        <w:rPr>
          <w:rFonts w:ascii="Arial" w:hAnsi="Arial" w:cs="Arial"/>
          <w:sz w:val="17"/>
          <w:szCs w:val="17"/>
        </w:rPr>
        <w:t>,</w:t>
      </w:r>
      <w:r w:rsidRPr="00D1089F">
        <w:rPr>
          <w:rFonts w:ascii="Arial" w:hAnsi="Arial" w:cs="Arial"/>
          <w:sz w:val="17"/>
          <w:szCs w:val="17"/>
        </w:rPr>
        <w:t>” accessed March 29, 2017, https://www.sgi.sk.ca/individuals/licensing/classifications/class1.html.</w:t>
      </w:r>
    </w:p>
  </w:footnote>
  <w:footnote w:id="11">
    <w:p w14:paraId="242899F2" w14:textId="22062767" w:rsidR="005C6BEF" w:rsidRPr="00AE6B34" w:rsidRDefault="005C6BEF" w:rsidP="001445C8">
      <w:pPr>
        <w:pStyle w:val="Footnote"/>
      </w:pPr>
      <w:r w:rsidRPr="00AE6B34">
        <w:rPr>
          <w:rStyle w:val="FootnoteReference"/>
          <w:rFonts w:ascii="Times New Roman" w:hAnsi="Times New Roman" w:cs="Times New Roman"/>
        </w:rPr>
        <w:footnoteRef/>
      </w:r>
      <w:r w:rsidRPr="00AE6B34">
        <w:t xml:space="preserve"> Government of Saskatchewan, “</w:t>
      </w:r>
      <w:r>
        <w:t xml:space="preserve">Saskatchewan </w:t>
      </w:r>
      <w:r w:rsidRPr="00AE6B34">
        <w:t>Farm Safety</w:t>
      </w:r>
      <w:r>
        <w:t>,</w:t>
      </w:r>
      <w:r w:rsidRPr="00AE6B34">
        <w:t>” Saskatchewan Farm Injury Surveillance Program, accessed January 17, 2017, https://www.saskatchewan.ca/business/safety-in-the-workplace/hazards-and-prevention/safety-in-professions-and-industry/farm-safety.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ACFF5" w14:textId="6ACF1120" w:rsidR="005C6BEF" w:rsidRDefault="005C6BEF"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37A79">
      <w:rPr>
        <w:rFonts w:ascii="Arial" w:hAnsi="Arial"/>
        <w:b/>
        <w:noProof/>
      </w:rPr>
      <w:t>13</w:t>
    </w:r>
    <w:r>
      <w:rPr>
        <w:rFonts w:ascii="Arial" w:hAnsi="Arial"/>
        <w:b/>
      </w:rPr>
      <w:fldChar w:fldCharType="end"/>
    </w:r>
    <w:r>
      <w:rPr>
        <w:rFonts w:ascii="Arial" w:hAnsi="Arial"/>
        <w:b/>
      </w:rPr>
      <w:tab/>
      <w:t>9B17M061</w:t>
    </w:r>
  </w:p>
  <w:p w14:paraId="62F8D586" w14:textId="77777777" w:rsidR="005C6BEF" w:rsidRPr="00C92CC4" w:rsidRDefault="005C6BEF">
    <w:pPr>
      <w:pStyle w:val="Header"/>
      <w:rPr>
        <w:sz w:val="18"/>
        <w:szCs w:val="18"/>
      </w:rPr>
    </w:pPr>
  </w:p>
  <w:p w14:paraId="7F2468B1" w14:textId="77777777" w:rsidR="005C6BEF" w:rsidRPr="00C92CC4" w:rsidRDefault="005C6BEF">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A6292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42A23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20864F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8D2524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58CDD3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CFA95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EE2C3A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D900AA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1E43A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92277D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3E0AD7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717DA0"/>
    <w:multiLevelType w:val="hybridMultilevel"/>
    <w:tmpl w:val="2CA41B88"/>
    <w:lvl w:ilvl="0" w:tplc="98907758">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81771"/>
    <w:multiLevelType w:val="hybridMultilevel"/>
    <w:tmpl w:val="8BDE42D2"/>
    <w:lvl w:ilvl="0" w:tplc="C6A8A65C">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D4F8C"/>
    <w:multiLevelType w:val="hybridMultilevel"/>
    <w:tmpl w:val="3DB6F6BA"/>
    <w:lvl w:ilvl="0" w:tplc="00D6819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CC0421"/>
    <w:multiLevelType w:val="hybridMultilevel"/>
    <w:tmpl w:val="2CEA7892"/>
    <w:lvl w:ilvl="0" w:tplc="C6A8A65C">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2"/>
  </w:num>
  <w:num w:numId="4">
    <w:abstractNumId w:val="14"/>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0A0E"/>
    <w:rsid w:val="00006E57"/>
    <w:rsid w:val="00013360"/>
    <w:rsid w:val="000216CE"/>
    <w:rsid w:val="00025DC7"/>
    <w:rsid w:val="00026486"/>
    <w:rsid w:val="00044ECC"/>
    <w:rsid w:val="000500FC"/>
    <w:rsid w:val="000531D3"/>
    <w:rsid w:val="0005646B"/>
    <w:rsid w:val="0006544D"/>
    <w:rsid w:val="0008102D"/>
    <w:rsid w:val="00087EC4"/>
    <w:rsid w:val="00094C0E"/>
    <w:rsid w:val="000C6C51"/>
    <w:rsid w:val="000D1BDC"/>
    <w:rsid w:val="000D347B"/>
    <w:rsid w:val="000F0C22"/>
    <w:rsid w:val="000F6B09"/>
    <w:rsid w:val="000F6FDC"/>
    <w:rsid w:val="00104567"/>
    <w:rsid w:val="00122B1B"/>
    <w:rsid w:val="00123070"/>
    <w:rsid w:val="00125942"/>
    <w:rsid w:val="0012732D"/>
    <w:rsid w:val="001445C8"/>
    <w:rsid w:val="00154FC9"/>
    <w:rsid w:val="00173337"/>
    <w:rsid w:val="001740F2"/>
    <w:rsid w:val="00175DF5"/>
    <w:rsid w:val="001869E7"/>
    <w:rsid w:val="0018740C"/>
    <w:rsid w:val="0019241A"/>
    <w:rsid w:val="00193C7F"/>
    <w:rsid w:val="00195887"/>
    <w:rsid w:val="001A33A3"/>
    <w:rsid w:val="001A5335"/>
    <w:rsid w:val="001A752D"/>
    <w:rsid w:val="001B17C7"/>
    <w:rsid w:val="001B45E0"/>
    <w:rsid w:val="001C4AEB"/>
    <w:rsid w:val="001C651F"/>
    <w:rsid w:val="001C682D"/>
    <w:rsid w:val="001F70CC"/>
    <w:rsid w:val="00200242"/>
    <w:rsid w:val="00203AA1"/>
    <w:rsid w:val="00213E98"/>
    <w:rsid w:val="00220913"/>
    <w:rsid w:val="00235699"/>
    <w:rsid w:val="00237A79"/>
    <w:rsid w:val="00253594"/>
    <w:rsid w:val="002845F6"/>
    <w:rsid w:val="0028521B"/>
    <w:rsid w:val="002D65E7"/>
    <w:rsid w:val="002D6A9B"/>
    <w:rsid w:val="002E0FF9"/>
    <w:rsid w:val="002E32F0"/>
    <w:rsid w:val="002F29AD"/>
    <w:rsid w:val="002F460C"/>
    <w:rsid w:val="002F48D6"/>
    <w:rsid w:val="002F6776"/>
    <w:rsid w:val="00302BA1"/>
    <w:rsid w:val="00305081"/>
    <w:rsid w:val="00334E6C"/>
    <w:rsid w:val="00341ACC"/>
    <w:rsid w:val="00343565"/>
    <w:rsid w:val="003536CA"/>
    <w:rsid w:val="00354899"/>
    <w:rsid w:val="00355FD6"/>
    <w:rsid w:val="00361C8E"/>
    <w:rsid w:val="003647F9"/>
    <w:rsid w:val="00364A5C"/>
    <w:rsid w:val="00373FB1"/>
    <w:rsid w:val="00382F95"/>
    <w:rsid w:val="003B30D8"/>
    <w:rsid w:val="003B7EF2"/>
    <w:rsid w:val="003C3FA4"/>
    <w:rsid w:val="003E4C21"/>
    <w:rsid w:val="003F2B0C"/>
    <w:rsid w:val="004221E4"/>
    <w:rsid w:val="00431AA6"/>
    <w:rsid w:val="004434F9"/>
    <w:rsid w:val="00465514"/>
    <w:rsid w:val="00471088"/>
    <w:rsid w:val="00483AF9"/>
    <w:rsid w:val="004871B9"/>
    <w:rsid w:val="0049759C"/>
    <w:rsid w:val="004B1CCB"/>
    <w:rsid w:val="004D73A5"/>
    <w:rsid w:val="004E47E5"/>
    <w:rsid w:val="00517B60"/>
    <w:rsid w:val="00532CF5"/>
    <w:rsid w:val="005467B8"/>
    <w:rsid w:val="00550034"/>
    <w:rsid w:val="005528CB"/>
    <w:rsid w:val="005602AB"/>
    <w:rsid w:val="00566410"/>
    <w:rsid w:val="00566771"/>
    <w:rsid w:val="00581E2E"/>
    <w:rsid w:val="00582680"/>
    <w:rsid w:val="00584F15"/>
    <w:rsid w:val="0059472C"/>
    <w:rsid w:val="005C6BEF"/>
    <w:rsid w:val="005D5546"/>
    <w:rsid w:val="005E6410"/>
    <w:rsid w:val="005E7886"/>
    <w:rsid w:val="006163F7"/>
    <w:rsid w:val="00617911"/>
    <w:rsid w:val="00621A62"/>
    <w:rsid w:val="00624AEE"/>
    <w:rsid w:val="00636E07"/>
    <w:rsid w:val="00640F9D"/>
    <w:rsid w:val="0064172F"/>
    <w:rsid w:val="00646244"/>
    <w:rsid w:val="0065177F"/>
    <w:rsid w:val="00652606"/>
    <w:rsid w:val="006779A7"/>
    <w:rsid w:val="00681189"/>
    <w:rsid w:val="0068124C"/>
    <w:rsid w:val="00682754"/>
    <w:rsid w:val="006A58A9"/>
    <w:rsid w:val="006A606D"/>
    <w:rsid w:val="006A7BB7"/>
    <w:rsid w:val="006B7F7A"/>
    <w:rsid w:val="006C0371"/>
    <w:rsid w:val="006C08B6"/>
    <w:rsid w:val="006C0B1A"/>
    <w:rsid w:val="006C4384"/>
    <w:rsid w:val="006C6065"/>
    <w:rsid w:val="006C7F9F"/>
    <w:rsid w:val="006E2F6D"/>
    <w:rsid w:val="006E4CD9"/>
    <w:rsid w:val="006E58F6"/>
    <w:rsid w:val="006E77E1"/>
    <w:rsid w:val="006F131D"/>
    <w:rsid w:val="006F3AD3"/>
    <w:rsid w:val="006F75EE"/>
    <w:rsid w:val="00744B9D"/>
    <w:rsid w:val="00746123"/>
    <w:rsid w:val="00752BCD"/>
    <w:rsid w:val="00755BA9"/>
    <w:rsid w:val="00766DA1"/>
    <w:rsid w:val="007866A6"/>
    <w:rsid w:val="007A130D"/>
    <w:rsid w:val="007A3EF8"/>
    <w:rsid w:val="007C0CF5"/>
    <w:rsid w:val="007D4102"/>
    <w:rsid w:val="007D461E"/>
    <w:rsid w:val="007E5921"/>
    <w:rsid w:val="007F362E"/>
    <w:rsid w:val="007F51FC"/>
    <w:rsid w:val="00821FFC"/>
    <w:rsid w:val="008246EA"/>
    <w:rsid w:val="008271CA"/>
    <w:rsid w:val="00835EC4"/>
    <w:rsid w:val="008376DC"/>
    <w:rsid w:val="008467D5"/>
    <w:rsid w:val="00850EA5"/>
    <w:rsid w:val="00856D9F"/>
    <w:rsid w:val="008575B3"/>
    <w:rsid w:val="00866F6D"/>
    <w:rsid w:val="008725B9"/>
    <w:rsid w:val="00876428"/>
    <w:rsid w:val="008A4DC4"/>
    <w:rsid w:val="008C5C0E"/>
    <w:rsid w:val="008D5F87"/>
    <w:rsid w:val="009067A4"/>
    <w:rsid w:val="0090722E"/>
    <w:rsid w:val="009175BB"/>
    <w:rsid w:val="00930FF2"/>
    <w:rsid w:val="009340DB"/>
    <w:rsid w:val="009603D9"/>
    <w:rsid w:val="00967187"/>
    <w:rsid w:val="00972498"/>
    <w:rsid w:val="00974CC6"/>
    <w:rsid w:val="00976AD4"/>
    <w:rsid w:val="00982F9C"/>
    <w:rsid w:val="009A312F"/>
    <w:rsid w:val="009A5348"/>
    <w:rsid w:val="009A6647"/>
    <w:rsid w:val="009A67BB"/>
    <w:rsid w:val="009B168F"/>
    <w:rsid w:val="009C1881"/>
    <w:rsid w:val="009C2BEE"/>
    <w:rsid w:val="009C76D5"/>
    <w:rsid w:val="009D2262"/>
    <w:rsid w:val="009D3CCD"/>
    <w:rsid w:val="009F7AA4"/>
    <w:rsid w:val="00A1299F"/>
    <w:rsid w:val="00A374EE"/>
    <w:rsid w:val="00A529A8"/>
    <w:rsid w:val="00A559DB"/>
    <w:rsid w:val="00AA0158"/>
    <w:rsid w:val="00AA2E4E"/>
    <w:rsid w:val="00AA74FB"/>
    <w:rsid w:val="00AF1C5F"/>
    <w:rsid w:val="00AF35FC"/>
    <w:rsid w:val="00B03565"/>
    <w:rsid w:val="00B03639"/>
    <w:rsid w:val="00B0652A"/>
    <w:rsid w:val="00B11754"/>
    <w:rsid w:val="00B1377C"/>
    <w:rsid w:val="00B15504"/>
    <w:rsid w:val="00B30851"/>
    <w:rsid w:val="00B31FA6"/>
    <w:rsid w:val="00B3757D"/>
    <w:rsid w:val="00B40937"/>
    <w:rsid w:val="00B423EF"/>
    <w:rsid w:val="00B453DE"/>
    <w:rsid w:val="00B4742F"/>
    <w:rsid w:val="00B873A5"/>
    <w:rsid w:val="00B901F9"/>
    <w:rsid w:val="00B90D0E"/>
    <w:rsid w:val="00BC1E22"/>
    <w:rsid w:val="00BC65A0"/>
    <w:rsid w:val="00BD22B6"/>
    <w:rsid w:val="00BD693B"/>
    <w:rsid w:val="00BD6EFB"/>
    <w:rsid w:val="00BD774F"/>
    <w:rsid w:val="00BE5B86"/>
    <w:rsid w:val="00C072EC"/>
    <w:rsid w:val="00C10346"/>
    <w:rsid w:val="00C15BE2"/>
    <w:rsid w:val="00C2111E"/>
    <w:rsid w:val="00C22219"/>
    <w:rsid w:val="00C23312"/>
    <w:rsid w:val="00C322A5"/>
    <w:rsid w:val="00C3447F"/>
    <w:rsid w:val="00C73894"/>
    <w:rsid w:val="00C81491"/>
    <w:rsid w:val="00C81676"/>
    <w:rsid w:val="00C862E0"/>
    <w:rsid w:val="00C92CC4"/>
    <w:rsid w:val="00CA0AFB"/>
    <w:rsid w:val="00CA2CE1"/>
    <w:rsid w:val="00CA3976"/>
    <w:rsid w:val="00CA757B"/>
    <w:rsid w:val="00CC1787"/>
    <w:rsid w:val="00CC182C"/>
    <w:rsid w:val="00CD0824"/>
    <w:rsid w:val="00CD09C6"/>
    <w:rsid w:val="00CD2908"/>
    <w:rsid w:val="00CF1427"/>
    <w:rsid w:val="00CF4AB2"/>
    <w:rsid w:val="00D033BC"/>
    <w:rsid w:val="00D03A82"/>
    <w:rsid w:val="00D1089F"/>
    <w:rsid w:val="00D15344"/>
    <w:rsid w:val="00D31BEC"/>
    <w:rsid w:val="00D37A56"/>
    <w:rsid w:val="00D42143"/>
    <w:rsid w:val="00D43F98"/>
    <w:rsid w:val="00D44E8B"/>
    <w:rsid w:val="00D63150"/>
    <w:rsid w:val="00D64A32"/>
    <w:rsid w:val="00D64EFC"/>
    <w:rsid w:val="00D75295"/>
    <w:rsid w:val="00D76CE9"/>
    <w:rsid w:val="00D97F12"/>
    <w:rsid w:val="00DB42E7"/>
    <w:rsid w:val="00DB5CD8"/>
    <w:rsid w:val="00DB6BE1"/>
    <w:rsid w:val="00DC36FD"/>
    <w:rsid w:val="00DE040F"/>
    <w:rsid w:val="00DE3787"/>
    <w:rsid w:val="00DF32C2"/>
    <w:rsid w:val="00E13340"/>
    <w:rsid w:val="00E216FA"/>
    <w:rsid w:val="00E22D69"/>
    <w:rsid w:val="00E471A7"/>
    <w:rsid w:val="00E635CF"/>
    <w:rsid w:val="00E967CC"/>
    <w:rsid w:val="00EA3BC2"/>
    <w:rsid w:val="00EB3FC1"/>
    <w:rsid w:val="00EB5410"/>
    <w:rsid w:val="00EB55CB"/>
    <w:rsid w:val="00EC6E0A"/>
    <w:rsid w:val="00ED4E18"/>
    <w:rsid w:val="00EE1F37"/>
    <w:rsid w:val="00EE7E1E"/>
    <w:rsid w:val="00F0159C"/>
    <w:rsid w:val="00F105B7"/>
    <w:rsid w:val="00F17A21"/>
    <w:rsid w:val="00F3361F"/>
    <w:rsid w:val="00F410B1"/>
    <w:rsid w:val="00F504C4"/>
    <w:rsid w:val="00F50E91"/>
    <w:rsid w:val="00F57D29"/>
    <w:rsid w:val="00F80305"/>
    <w:rsid w:val="00F847A9"/>
    <w:rsid w:val="00F90686"/>
    <w:rsid w:val="00F92A99"/>
    <w:rsid w:val="00F96201"/>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3B03AF11"/>
  <w15:docId w15:val="{19034968-CE30-4248-ACF1-045E1669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D5F87"/>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D5F87"/>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8D5F8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D5F87"/>
    <w:rPr>
      <w:rFonts w:asciiTheme="majorHAnsi" w:eastAsiaTheme="majorEastAsia" w:hAnsiTheme="majorHAnsi" w:cstheme="majorBidi"/>
      <w:color w:val="365F91" w:themeColor="accent1" w:themeShade="BF"/>
      <w:sz w:val="26"/>
      <w:szCs w:val="26"/>
    </w:rPr>
  </w:style>
  <w:style w:type="table" w:customStyle="1" w:styleId="PlainTable51">
    <w:name w:val="Plain Table 51"/>
    <w:basedOn w:val="TableNormal"/>
    <w:uiPriority w:val="45"/>
    <w:rsid w:val="008D5F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835E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4139">
      <w:bodyDiv w:val="1"/>
      <w:marLeft w:val="0"/>
      <w:marRight w:val="0"/>
      <w:marTop w:val="0"/>
      <w:marBottom w:val="0"/>
      <w:divBdr>
        <w:top w:val="none" w:sz="0" w:space="0" w:color="auto"/>
        <w:left w:val="none" w:sz="0" w:space="0" w:color="auto"/>
        <w:bottom w:val="none" w:sz="0" w:space="0" w:color="auto"/>
        <w:right w:val="none" w:sz="0" w:space="0" w:color="auto"/>
      </w:divBdr>
    </w:div>
    <w:div w:id="1025249677">
      <w:bodyDiv w:val="1"/>
      <w:marLeft w:val="0"/>
      <w:marRight w:val="0"/>
      <w:marTop w:val="0"/>
      <w:marBottom w:val="0"/>
      <w:divBdr>
        <w:top w:val="none" w:sz="0" w:space="0" w:color="auto"/>
        <w:left w:val="none" w:sz="0" w:space="0" w:color="auto"/>
        <w:bottom w:val="none" w:sz="0" w:space="0" w:color="auto"/>
        <w:right w:val="none" w:sz="0" w:space="0" w:color="auto"/>
      </w:divBdr>
    </w:div>
    <w:div w:id="109447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m-ltd.ca/images/CIM_Auto_bin_transport_cropped_lg.jpg" TargetMode="External"/><Relationship Id="rId5" Type="http://schemas.openxmlformats.org/officeDocument/2006/relationships/webSettings" Target="webSettings.xml"/><Relationship Id="rId15" Type="http://schemas.openxmlformats.org/officeDocument/2006/relationships/hyperlink" Target="http://www.doepker.com/product/agriculture/classic-open-end-super-b4" TargetMode="External"/><Relationship Id="rId10" Type="http://schemas.openxmlformats.org/officeDocument/2006/relationships/hyperlink" Target="http://www.iveycase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yperlink" Target="http://cim-ltd.ca/Auto_Bin_Transpor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55323-DCE8-4457-8607-AF8AAF06D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13</Pages>
  <Words>5748</Words>
  <Characters>32768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Downey, Elizabeth</cp:lastModifiedBy>
  <cp:revision>7</cp:revision>
  <cp:lastPrinted>2017-03-29T19:11:00Z</cp:lastPrinted>
  <dcterms:created xsi:type="dcterms:W3CDTF">2017-04-26T13:19:00Z</dcterms:created>
  <dcterms:modified xsi:type="dcterms:W3CDTF">2017-05-08T14:20:00Z</dcterms:modified>
</cp:coreProperties>
</file>