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1AF62" w14:textId="7EA65A22" w:rsidR="00856D9F" w:rsidRPr="0053061F" w:rsidRDefault="0053061F" w:rsidP="0053061F">
      <w:pPr>
        <w:tabs>
          <w:tab w:val="left" w:pos="-1440"/>
          <w:tab w:val="left" w:pos="-720"/>
          <w:tab w:val="left" w:pos="1"/>
          <w:tab w:val="right" w:pos="9360"/>
        </w:tabs>
        <w:jc w:val="both"/>
        <w:rPr>
          <w:rFonts w:ascii="Arial" w:hAnsi="Arial"/>
          <w:sz w:val="24"/>
        </w:rPr>
      </w:pPr>
      <w:r w:rsidRPr="0053061F">
        <w:rPr>
          <w:rFonts w:ascii="Arial" w:hAnsi="Arial"/>
          <w:b/>
          <w:noProof/>
          <w:sz w:val="24"/>
          <w:lang w:eastAsia="en-GB"/>
        </w:rPr>
        <w:drawing>
          <wp:inline distT="0" distB="0" distL="0" distR="0" wp14:anchorId="0F320D1A" wp14:editId="0E2D65C8">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092268F"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21DDFB44" w14:textId="15FF3A9E" w:rsidR="00D75295" w:rsidRPr="00CB6B09" w:rsidRDefault="0053061F" w:rsidP="00F105B7">
      <w:pPr>
        <w:pStyle w:val="ProductNumber"/>
      </w:pPr>
      <w:r>
        <w:t>9B17M</w:t>
      </w:r>
      <w:r w:rsidR="00912FDA">
        <w:t>066</w:t>
      </w:r>
    </w:p>
    <w:p w14:paraId="5BFD25D6" w14:textId="77777777" w:rsidR="00D75295" w:rsidRPr="00CB6B09" w:rsidRDefault="00D75295" w:rsidP="00D75295">
      <w:pPr>
        <w:jc w:val="right"/>
        <w:rPr>
          <w:rFonts w:ascii="Arial" w:hAnsi="Arial"/>
          <w:b/>
          <w:sz w:val="28"/>
          <w:szCs w:val="28"/>
        </w:rPr>
      </w:pPr>
    </w:p>
    <w:p w14:paraId="19A15D2F" w14:textId="77777777" w:rsidR="00866F6D" w:rsidRPr="00CB6B09" w:rsidRDefault="00866F6D" w:rsidP="00D75295">
      <w:pPr>
        <w:jc w:val="right"/>
        <w:rPr>
          <w:rFonts w:ascii="Arial" w:hAnsi="Arial"/>
          <w:b/>
          <w:sz w:val="28"/>
          <w:szCs w:val="28"/>
        </w:rPr>
      </w:pPr>
    </w:p>
    <w:p w14:paraId="5E8090C4" w14:textId="77777777" w:rsidR="006B03E0" w:rsidRDefault="006B03E0" w:rsidP="006B03E0">
      <w:pPr>
        <w:pStyle w:val="CaseTitle"/>
        <w:spacing w:after="0" w:line="240" w:lineRule="auto"/>
        <w:outlineLvl w:val="0"/>
        <w:rPr>
          <w:sz w:val="20"/>
          <w:szCs w:val="20"/>
        </w:rPr>
      </w:pPr>
      <w:r>
        <w:t>Lac Seul First Nation: Development in a changing landscape</w:t>
      </w:r>
      <w:r>
        <w:rPr>
          <w:rStyle w:val="FootnoteReference"/>
        </w:rPr>
        <w:t xml:space="preserve"> </w:t>
      </w:r>
    </w:p>
    <w:p w14:paraId="053E8DFE" w14:textId="77777777" w:rsidR="00013360" w:rsidRPr="006B03E0" w:rsidRDefault="00013360" w:rsidP="00013360">
      <w:pPr>
        <w:pStyle w:val="CaseTitle"/>
        <w:spacing w:after="0" w:line="240" w:lineRule="auto"/>
        <w:rPr>
          <w:sz w:val="20"/>
        </w:rPr>
      </w:pPr>
    </w:p>
    <w:p w14:paraId="4BD9F422" w14:textId="77777777" w:rsidR="00CA3976" w:rsidRPr="00CB6B09" w:rsidRDefault="00CA3976" w:rsidP="00013360">
      <w:pPr>
        <w:pStyle w:val="CaseTitle"/>
        <w:spacing w:after="0" w:line="240" w:lineRule="auto"/>
        <w:rPr>
          <w:sz w:val="20"/>
          <w:szCs w:val="20"/>
        </w:rPr>
      </w:pPr>
    </w:p>
    <w:p w14:paraId="0377924C" w14:textId="77777777" w:rsidR="00013360" w:rsidRPr="00CB6B09" w:rsidRDefault="00013360" w:rsidP="00013360">
      <w:pPr>
        <w:pStyle w:val="CaseTitle"/>
        <w:spacing w:after="0" w:line="240" w:lineRule="auto"/>
        <w:rPr>
          <w:sz w:val="20"/>
          <w:szCs w:val="20"/>
        </w:rPr>
      </w:pPr>
    </w:p>
    <w:p w14:paraId="1D342E33" w14:textId="56553666" w:rsidR="00013360" w:rsidRPr="00CB6B09" w:rsidRDefault="006B03E0" w:rsidP="00104567">
      <w:pPr>
        <w:pStyle w:val="StyleCopyrightStatementAfter0ptBottomSinglesolidline1"/>
      </w:pPr>
      <w:r>
        <w:t>Ron Mulholland</w:t>
      </w:r>
      <w:r w:rsidR="007E5921" w:rsidRPr="00CB6B09">
        <w:t xml:space="preserve"> wrote this case sol</w:t>
      </w:r>
      <w:r w:rsidR="00D75295" w:rsidRPr="00CB6B09">
        <w:t>ely to provide material for class discussion. The author do</w:t>
      </w:r>
      <w:r w:rsidR="00D23A9B">
        <w:t>es</w:t>
      </w:r>
      <w:r w:rsidR="00D75295" w:rsidRPr="00CB6B09">
        <w:t xml:space="preserve"> not intend to illustrate either effective or ineffective handling of a managerial situation. The author may have disguised certain names and other identifying information to protect confidentiality.</w:t>
      </w:r>
    </w:p>
    <w:p w14:paraId="75DD2407" w14:textId="77777777" w:rsidR="00013360" w:rsidRPr="00CB6B09" w:rsidRDefault="00013360" w:rsidP="00104567">
      <w:pPr>
        <w:pStyle w:val="StyleCopyrightStatementAfter0ptBottomSinglesolidline1"/>
      </w:pPr>
    </w:p>
    <w:p w14:paraId="772ED81C" w14:textId="77777777" w:rsidR="0053061F" w:rsidRDefault="0053061F"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B25935F" w14:textId="77777777" w:rsidR="0053061F" w:rsidRDefault="0053061F" w:rsidP="003C25FF">
      <w:pPr>
        <w:pStyle w:val="StyleCopyrightStatementAfter0ptBottomSinglesolidline1"/>
        <w:pBdr>
          <w:top w:val="none" w:sz="0" w:space="0" w:color="auto"/>
        </w:pBdr>
      </w:pPr>
    </w:p>
    <w:p w14:paraId="3623E3C1" w14:textId="4F4B5276" w:rsidR="003B7EF2" w:rsidRPr="00CB6B09" w:rsidRDefault="0053061F" w:rsidP="003B7EF2">
      <w:pPr>
        <w:pStyle w:val="StyleStyleCopyrightStatementAfter0ptBottomSinglesolid"/>
      </w:pPr>
      <w:r>
        <w:t>Copyright © 2017, Richard Ivey School of Business Foundation</w:t>
      </w:r>
      <w:r w:rsidR="003B7EF2" w:rsidRPr="00CB6B09">
        <w:tab/>
        <w:t xml:space="preserve">Version: </w:t>
      </w:r>
      <w:r w:rsidR="00361C8E" w:rsidRPr="00CB6B09">
        <w:t>201</w:t>
      </w:r>
      <w:r w:rsidR="00B60E1A">
        <w:t>7</w:t>
      </w:r>
      <w:r w:rsidR="00361C8E" w:rsidRPr="00CB6B09">
        <w:t>-</w:t>
      </w:r>
      <w:r>
        <w:t>0</w:t>
      </w:r>
      <w:r w:rsidR="00AD7509">
        <w:t>5</w:t>
      </w:r>
      <w:r w:rsidR="00361C8E" w:rsidRPr="00CB6B09">
        <w:t>-</w:t>
      </w:r>
      <w:r w:rsidR="00B60E1A">
        <w:t>17</w:t>
      </w:r>
    </w:p>
    <w:p w14:paraId="19E539E2" w14:textId="77777777" w:rsidR="003B7EF2" w:rsidRPr="00CB6B09" w:rsidRDefault="003B7EF2" w:rsidP="00104567">
      <w:pPr>
        <w:pStyle w:val="StyleCopyrightStatementAfter0ptBottomSinglesolidline1"/>
        <w:rPr>
          <w:rFonts w:ascii="Times New Roman" w:hAnsi="Times New Roman"/>
          <w:sz w:val="20"/>
        </w:rPr>
      </w:pPr>
    </w:p>
    <w:p w14:paraId="09EA539E" w14:textId="77777777" w:rsidR="003B7EF2" w:rsidRDefault="003B7EF2" w:rsidP="006F1D9E">
      <w:pPr>
        <w:pStyle w:val="Footnote"/>
      </w:pPr>
    </w:p>
    <w:p w14:paraId="7D9696EE" w14:textId="0B336360" w:rsidR="00DB76D3" w:rsidRDefault="006B03E0" w:rsidP="006B03E0">
      <w:pPr>
        <w:pStyle w:val="BodyTextMain"/>
      </w:pPr>
      <w:r>
        <w:t xml:space="preserve">In January 2016, Chief Clifford Bull sat in his office at Lac </w:t>
      </w:r>
      <w:proofErr w:type="spellStart"/>
      <w:r>
        <w:t>Seul</w:t>
      </w:r>
      <w:proofErr w:type="spellEnd"/>
      <w:r>
        <w:t xml:space="preserve"> First Nation (Lac </w:t>
      </w:r>
      <w:proofErr w:type="spellStart"/>
      <w:r>
        <w:t>Seul</w:t>
      </w:r>
      <w:proofErr w:type="spellEnd"/>
      <w:r>
        <w:t xml:space="preserve">) reading a </w:t>
      </w:r>
      <w:r w:rsidRPr="00715F7A">
        <w:rPr>
          <w:i/>
        </w:rPr>
        <w:t>Financial Post</w:t>
      </w:r>
      <w:r>
        <w:t xml:space="preserve"> article on recent events concerning a mining company on Lac </w:t>
      </w:r>
      <w:proofErr w:type="spellStart"/>
      <w:r>
        <w:t>Seul</w:t>
      </w:r>
      <w:proofErr w:type="spellEnd"/>
      <w:r>
        <w:t xml:space="preserve"> traditional lands. Rubicon Minerals </w:t>
      </w:r>
      <w:r w:rsidR="00693BF5">
        <w:t xml:space="preserve">Corporation </w:t>
      </w:r>
      <w:r>
        <w:t xml:space="preserve">was just one of Lac </w:t>
      </w:r>
      <w:proofErr w:type="spellStart"/>
      <w:r>
        <w:t>Seul’s</w:t>
      </w:r>
      <w:proofErr w:type="spellEnd"/>
      <w:r>
        <w:t xml:space="preserve"> many development partners or potential partners</w:t>
      </w:r>
      <w:r w:rsidR="003068E5">
        <w:t>,</w:t>
      </w:r>
      <w:r>
        <w:t xml:space="preserve"> and it had suffered a couple of serious </w:t>
      </w:r>
      <w:r w:rsidR="003068E5">
        <w:t xml:space="preserve">setbacks: </w:t>
      </w:r>
      <w:r>
        <w:t>an environmental chemical spill and</w:t>
      </w:r>
      <w:r w:rsidR="003068E5">
        <w:t>,</w:t>
      </w:r>
      <w:r>
        <w:t xml:space="preserve"> more serious, a devaluation of its estimated gold reserves. Described as “one of the worst Canadian mining meltdowns in years</w:t>
      </w:r>
      <w:r w:rsidR="003068E5">
        <w:t>,</w:t>
      </w:r>
      <w:r>
        <w:t>” this was a vivid demonstration of the risk</w:t>
      </w:r>
      <w:r w:rsidR="00B60E1A">
        <w:t xml:space="preserve"> and cyclicality in the mining i</w:t>
      </w:r>
      <w:r>
        <w:t>ndustry.</w:t>
      </w:r>
      <w:r w:rsidR="00DB76D3">
        <w:rPr>
          <w:rStyle w:val="EndnoteReference"/>
        </w:rPr>
        <w:endnoteReference w:id="1"/>
      </w:r>
    </w:p>
    <w:p w14:paraId="1529340E" w14:textId="77777777" w:rsidR="00DB76D3" w:rsidRDefault="00DB76D3" w:rsidP="006B03E0">
      <w:pPr>
        <w:pStyle w:val="BodyTextMain"/>
      </w:pPr>
    </w:p>
    <w:p w14:paraId="68BEBFD8" w14:textId="5250EE53" w:rsidR="00DB76D3" w:rsidRDefault="00DB76D3" w:rsidP="006B03E0">
      <w:pPr>
        <w:pStyle w:val="BodyTextMain"/>
      </w:pPr>
      <w:r>
        <w:t xml:space="preserve">The Chief wondered about the future benefits from agreements with other mining companies, such as Goldcorp Inc. </w:t>
      </w:r>
      <w:r w:rsidR="00B36BD8">
        <w:t xml:space="preserve">(Goldcorp) </w:t>
      </w:r>
      <w:r>
        <w:t xml:space="preserve">and the junior company </w:t>
      </w:r>
      <w:proofErr w:type="spellStart"/>
      <w:r>
        <w:t>AurCrest</w:t>
      </w:r>
      <w:proofErr w:type="spellEnd"/>
      <w:r>
        <w:t xml:space="preserve"> Gold Inc.</w:t>
      </w:r>
      <w:r w:rsidR="00B36BD8">
        <w:t xml:space="preserve"> (</w:t>
      </w:r>
      <w:proofErr w:type="spellStart"/>
      <w:r w:rsidR="00B36BD8">
        <w:t>AurCrest</w:t>
      </w:r>
      <w:proofErr w:type="spellEnd"/>
      <w:r w:rsidR="00B36BD8">
        <w:t>)</w:t>
      </w:r>
      <w:r>
        <w:t xml:space="preserve">, which was partially owned by Lac </w:t>
      </w:r>
      <w:proofErr w:type="spellStart"/>
      <w:r>
        <w:t>Seul</w:t>
      </w:r>
      <w:proofErr w:type="spellEnd"/>
      <w:r>
        <w:t xml:space="preserve">. Lac </w:t>
      </w:r>
      <w:proofErr w:type="spellStart"/>
      <w:r>
        <w:t>Seul</w:t>
      </w:r>
      <w:proofErr w:type="spellEnd"/>
      <w:r>
        <w:t xml:space="preserve"> also had business interests in timber and hydroelectric power, the result of negotiations with the government to ameliorate past wrongs. Goldcorp was a large player</w:t>
      </w:r>
      <w:r w:rsidR="00D23A9B">
        <w:t>,</w:t>
      </w:r>
      <w:r>
        <w:t xml:space="preserve"> and </w:t>
      </w:r>
      <w:r w:rsidR="00D23A9B">
        <w:t>its</w:t>
      </w:r>
      <w:r>
        <w:t xml:space="preserve"> agreement </w:t>
      </w:r>
      <w:proofErr w:type="gramStart"/>
      <w:r>
        <w:t>with</w:t>
      </w:r>
      <w:proofErr w:type="gramEnd"/>
      <w:r>
        <w:t xml:space="preserve"> Lac </w:t>
      </w:r>
      <w:proofErr w:type="spellStart"/>
      <w:r>
        <w:t>Seul</w:t>
      </w:r>
      <w:proofErr w:type="spellEnd"/>
      <w:r>
        <w:t xml:space="preserve"> in 2013 included financial contributions to community development. Bull was confident the contributions would continue, but less confident about benefits from the many smaller players in the market. </w:t>
      </w:r>
    </w:p>
    <w:p w14:paraId="78D2BB99" w14:textId="77777777" w:rsidR="00DB76D3" w:rsidRDefault="00DB76D3" w:rsidP="006B03E0">
      <w:pPr>
        <w:pStyle w:val="BodyTextMain"/>
      </w:pPr>
    </w:p>
    <w:p w14:paraId="4773DFA2" w14:textId="11B086DA" w:rsidR="00DB76D3" w:rsidRDefault="00DB76D3" w:rsidP="006B03E0">
      <w:pPr>
        <w:pStyle w:val="BodyTextMain"/>
      </w:pPr>
      <w:r>
        <w:t xml:space="preserve">As chief, it was Bull’s job, along with the band council, to lead Lac </w:t>
      </w:r>
      <w:proofErr w:type="spellStart"/>
      <w:r>
        <w:t>Seul</w:t>
      </w:r>
      <w:proofErr w:type="spellEnd"/>
      <w:r>
        <w:t xml:space="preserve"> in its stewardship of the land, indiv</w:t>
      </w:r>
      <w:r w:rsidR="00B60E1A">
        <w:t>idual and community development;</w:t>
      </w:r>
      <w:r>
        <w:t xml:space="preserve"> and relationships with neighbours, industry, and government. The band had a long history of relationships with other groups that shared the land on which they lived. Since the First Nations came into contact with explorers to Canada, many of these relationships had become one-sided. But more recently, with the government’s support and increasing public awareness of Canada’s past, opportunities for balanced partnerships were arising. The situation was improving, but there were still many challenges. One difficulty was the community’s capacity to take advantage of subcontracting offers from mining companies. Lac </w:t>
      </w:r>
      <w:proofErr w:type="spellStart"/>
      <w:r>
        <w:t>Seul</w:t>
      </w:r>
      <w:proofErr w:type="spellEnd"/>
      <w:r>
        <w:t xml:space="preserve"> had a mining liaison office in Red Lake</w:t>
      </w:r>
      <w:r w:rsidR="00D23A9B">
        <w:t>, Ontario,</w:t>
      </w:r>
      <w:r>
        <w:t xml:space="preserve"> that was sitting empty for lack of qualified personnel to staff it.</w:t>
      </w:r>
    </w:p>
    <w:p w14:paraId="435717DA" w14:textId="77777777" w:rsidR="00DB76D3" w:rsidRDefault="00DB76D3" w:rsidP="006B03E0">
      <w:pPr>
        <w:pStyle w:val="BodyTextMain"/>
      </w:pPr>
    </w:p>
    <w:p w14:paraId="7F3AE367" w14:textId="28CEE62A" w:rsidR="00DB76D3" w:rsidRPr="001043C7" w:rsidRDefault="00DB76D3" w:rsidP="006B03E0">
      <w:pPr>
        <w:pStyle w:val="BodyTextMain"/>
      </w:pPr>
      <w:r>
        <w:t xml:space="preserve">Bull looked at his watch and realized he had a meeting at the training centre, a converted school in nearby Hudson, Ontario, purchased by Lac </w:t>
      </w:r>
      <w:proofErr w:type="spellStart"/>
      <w:r>
        <w:t>Seul</w:t>
      </w:r>
      <w:proofErr w:type="spellEnd"/>
      <w:r>
        <w:t xml:space="preserve"> with assistance from Goldcorp. As </w:t>
      </w:r>
      <w:r w:rsidR="00D23A9B">
        <w:t>he</w:t>
      </w:r>
      <w:r>
        <w:t xml:space="preserve"> departed the office, he drove by the new arena and conference centre, a tangible benefit from a settlement of past inequities. </w:t>
      </w:r>
      <w:r w:rsidR="00D23A9B">
        <w:t>Bull</w:t>
      </w:r>
      <w:r>
        <w:t xml:space="preserve"> reviewed the meeting agenda, which concerned negotiations with yet another resource company</w:t>
      </w:r>
      <w:r w:rsidR="00D23A9B">
        <w:t>. He</w:t>
      </w:r>
      <w:r>
        <w:t xml:space="preserve"> </w:t>
      </w:r>
      <w:r>
        <w:lastRenderedPageBreak/>
        <w:t>wondered how receptive the company would be to sharing benefits with First Nations and respecting the lands on which his ancestors had lived for hundreds of years.</w:t>
      </w:r>
    </w:p>
    <w:p w14:paraId="5C209BD6" w14:textId="77777777" w:rsidR="00DB76D3" w:rsidRDefault="00DB76D3" w:rsidP="00715F7A">
      <w:pPr>
        <w:pStyle w:val="BodyTextMain"/>
      </w:pPr>
    </w:p>
    <w:p w14:paraId="7A92F689" w14:textId="77777777" w:rsidR="00DB76D3" w:rsidRDefault="00DB76D3" w:rsidP="00715F7A">
      <w:pPr>
        <w:pStyle w:val="BodyTextMain"/>
      </w:pPr>
    </w:p>
    <w:p w14:paraId="1132E520" w14:textId="77777777" w:rsidR="00DB76D3" w:rsidRDefault="00DB76D3" w:rsidP="006B03E0">
      <w:pPr>
        <w:pStyle w:val="Casehead1"/>
      </w:pPr>
      <w:r>
        <w:t>The community</w:t>
      </w:r>
    </w:p>
    <w:p w14:paraId="688CB618" w14:textId="77777777" w:rsidR="00DB76D3" w:rsidRDefault="00DB76D3" w:rsidP="006B03E0">
      <w:pPr>
        <w:pStyle w:val="BodyTextMain"/>
      </w:pPr>
    </w:p>
    <w:p w14:paraId="074AB0D9" w14:textId="77777777" w:rsidR="00DB76D3" w:rsidRDefault="00DB76D3" w:rsidP="00715F7A">
      <w:pPr>
        <w:pStyle w:val="Casehead2"/>
      </w:pPr>
      <w:r>
        <w:t>Demographics</w:t>
      </w:r>
    </w:p>
    <w:p w14:paraId="5F89A370" w14:textId="77777777" w:rsidR="00DB76D3" w:rsidRDefault="00DB76D3" w:rsidP="006B03E0">
      <w:pPr>
        <w:pStyle w:val="BodyTextMain"/>
      </w:pPr>
    </w:p>
    <w:p w14:paraId="79329CC5" w14:textId="6A530F2B" w:rsidR="00DB76D3" w:rsidRDefault="00DB76D3" w:rsidP="006B03E0">
      <w:pPr>
        <w:pStyle w:val="BodyTextMain"/>
      </w:pPr>
      <w:r>
        <w:t xml:space="preserve">Lac </w:t>
      </w:r>
      <w:proofErr w:type="spellStart"/>
      <w:r>
        <w:t>Seul</w:t>
      </w:r>
      <w:proofErr w:type="spellEnd"/>
      <w:r>
        <w:t xml:space="preserve"> First Nation was an aboriginal community located in </w:t>
      </w:r>
      <w:r w:rsidR="00613BD0">
        <w:t xml:space="preserve">remote </w:t>
      </w:r>
      <w:proofErr w:type="spellStart"/>
      <w:r>
        <w:t>northwestern</w:t>
      </w:r>
      <w:proofErr w:type="spellEnd"/>
      <w:r>
        <w:t xml:space="preserve"> Ontario, </w:t>
      </w:r>
      <w:r w:rsidR="00613BD0">
        <w:t>1</w:t>
      </w:r>
      <w:r w:rsidR="00D23A9B">
        <w:t>,</w:t>
      </w:r>
      <w:r w:rsidR="00613BD0">
        <w:t xml:space="preserve">200 </w:t>
      </w:r>
      <w:r>
        <w:t>kilometres northwest of T</w:t>
      </w:r>
      <w:r w:rsidR="00613BD0">
        <w:t>oronto</w:t>
      </w:r>
      <w:r>
        <w:t xml:space="preserve">. The land area of 26,800 hectares was approximately 10 per cent of the size of Manitoulin Island. Lac </w:t>
      </w:r>
      <w:proofErr w:type="spellStart"/>
      <w:r>
        <w:t>Seul</w:t>
      </w:r>
      <w:proofErr w:type="spellEnd"/>
      <w:r>
        <w:t xml:space="preserve"> comprised three settlements on the shores of Lac </w:t>
      </w:r>
      <w:proofErr w:type="spellStart"/>
      <w:r>
        <w:t>Seul</w:t>
      </w:r>
      <w:proofErr w:type="spellEnd"/>
      <w:r>
        <w:t xml:space="preserve">: Whitefish Bay (including Canoe River; total population, 100), </w:t>
      </w:r>
      <w:proofErr w:type="spellStart"/>
      <w:r>
        <w:t>Kejick</w:t>
      </w:r>
      <w:proofErr w:type="spellEnd"/>
      <w:r>
        <w:t xml:space="preserve"> Bay (population, 400) and Frenchman’s Head (population, 400). The total reserve population in 2015 was approximately 3,400, with 900 people living on </w:t>
      </w:r>
      <w:r w:rsidR="00B60E1A">
        <w:t xml:space="preserve">the </w:t>
      </w:r>
      <w:r>
        <w:t>reserve.</w:t>
      </w:r>
      <w:r>
        <w:rPr>
          <w:rStyle w:val="EndnoteReference"/>
        </w:rPr>
        <w:endnoteReference w:id="2"/>
      </w:r>
      <w:r>
        <w:t xml:space="preserve"> Of the three communities, Frenchman’s Head had the closest road access and was a 40-kilometre drive from Sioux Lookout, Ontario. A chief and seven councillors, three each from the two larger communities and one from Whitefish Bay, governed the band. The chief was elected at large.</w:t>
      </w:r>
    </w:p>
    <w:p w14:paraId="25B51A8B" w14:textId="77777777" w:rsidR="00DB76D3" w:rsidRDefault="00DB76D3" w:rsidP="006B03E0">
      <w:pPr>
        <w:pStyle w:val="BodyTextMain"/>
      </w:pPr>
    </w:p>
    <w:p w14:paraId="2FC80C68" w14:textId="4078BE00" w:rsidR="00DB76D3" w:rsidRDefault="00DB76D3" w:rsidP="006B03E0">
      <w:pPr>
        <w:pStyle w:val="BodyTextMain"/>
      </w:pPr>
      <w:r>
        <w:t>Of note was the off-reserve population. This had significance for band elections and for other votes required to approve agreements with resource companies. A court decision in 1999 confirmed the right of off-reserve community members to vote in elections.</w:t>
      </w:r>
      <w:r>
        <w:rPr>
          <w:rStyle w:val="EndnoteReference"/>
        </w:rPr>
        <w:endnoteReference w:id="3"/>
      </w:r>
      <w:r>
        <w:t xml:space="preserve"> This ruling had implications for how resource companies communicated with the community.</w:t>
      </w:r>
    </w:p>
    <w:p w14:paraId="2890B751" w14:textId="77777777" w:rsidR="00DB76D3" w:rsidRDefault="00DB76D3" w:rsidP="00715F7A">
      <w:pPr>
        <w:pStyle w:val="BodyTextMain"/>
      </w:pPr>
    </w:p>
    <w:p w14:paraId="52D5677B" w14:textId="77777777" w:rsidR="00DB76D3" w:rsidRDefault="00DB76D3" w:rsidP="00715F7A">
      <w:pPr>
        <w:pStyle w:val="BodyTextMain"/>
      </w:pPr>
    </w:p>
    <w:p w14:paraId="3A36FE1F" w14:textId="3E4FE2F8" w:rsidR="00DB76D3" w:rsidRDefault="00DB76D3" w:rsidP="00715F7A">
      <w:pPr>
        <w:pStyle w:val="Casehead2"/>
      </w:pPr>
      <w:r>
        <w:t>History</w:t>
      </w:r>
    </w:p>
    <w:p w14:paraId="0A5986C2" w14:textId="77777777" w:rsidR="00DB76D3" w:rsidRDefault="00DB76D3" w:rsidP="006B03E0">
      <w:pPr>
        <w:pStyle w:val="BodyTextMain"/>
      </w:pPr>
    </w:p>
    <w:p w14:paraId="27938783" w14:textId="0F79C8A7" w:rsidR="00DB76D3" w:rsidRDefault="00DB76D3" w:rsidP="006B03E0">
      <w:pPr>
        <w:pStyle w:val="BodyTextMain"/>
      </w:pPr>
      <w:r>
        <w:t xml:space="preserve">There was ample evidence that pre-historic peoples </w:t>
      </w:r>
      <w:r w:rsidR="00B60E1A">
        <w:t xml:space="preserve">had </w:t>
      </w:r>
      <w:r>
        <w:t xml:space="preserve">occupied the lands in the region. Excavations at the </w:t>
      </w:r>
      <w:proofErr w:type="spellStart"/>
      <w:r>
        <w:t>Ballynacree</w:t>
      </w:r>
      <w:proofErr w:type="spellEnd"/>
      <w:r>
        <w:t xml:space="preserve"> site near </w:t>
      </w:r>
      <w:proofErr w:type="spellStart"/>
      <w:r>
        <w:t>Kenora</w:t>
      </w:r>
      <w:proofErr w:type="spellEnd"/>
      <w:r>
        <w:t xml:space="preserve">, Ontario (170 kilometres southwest of Lac </w:t>
      </w:r>
      <w:proofErr w:type="spellStart"/>
      <w:r>
        <w:t>Seul</w:t>
      </w:r>
      <w:proofErr w:type="spellEnd"/>
      <w:r>
        <w:t>)</w:t>
      </w:r>
      <w:r w:rsidR="00D23A9B">
        <w:t>,</w:t>
      </w:r>
      <w:r>
        <w:t xml:space="preserve"> revealed evidence of a Laurel culture village</w:t>
      </w:r>
      <w:r w:rsidR="00D23A9B">
        <w:t>,</w:t>
      </w:r>
      <w:r>
        <w:t xml:space="preserve"> including three houses, numerous ceramic sherds, and projectile points.</w:t>
      </w:r>
      <w:r>
        <w:rPr>
          <w:rStyle w:val="EndnoteReference"/>
        </w:rPr>
        <w:endnoteReference w:id="4"/>
      </w:r>
      <w:r>
        <w:t xml:space="preserve"> According to radiocarbon dating of charred wood found in the excavation, Laurel people lived in the area sometime between 1200 and 1300 CE. They were subsistent hunter-gatherers congregating at a central summer location with ample resources of spawning fish and wild rice. Winters would be spent in smaller family groups at traditional locations to exploit the scattered animal resources.</w:t>
      </w:r>
      <w:r>
        <w:rPr>
          <w:rStyle w:val="EndnoteReference"/>
        </w:rPr>
        <w:endnoteReference w:id="5"/>
      </w:r>
    </w:p>
    <w:p w14:paraId="7BDA3BB1" w14:textId="77777777" w:rsidR="00DB76D3" w:rsidRDefault="00DB76D3" w:rsidP="006B03E0">
      <w:pPr>
        <w:pStyle w:val="BodyTextMain"/>
      </w:pPr>
    </w:p>
    <w:p w14:paraId="5DD8B848" w14:textId="24609427" w:rsidR="00DB76D3" w:rsidRDefault="00DB76D3" w:rsidP="006B03E0">
      <w:pPr>
        <w:pStyle w:val="BodyTextMain"/>
      </w:pPr>
      <w:proofErr w:type="spellStart"/>
      <w:r>
        <w:t>Wenasaga</w:t>
      </w:r>
      <w:proofErr w:type="spellEnd"/>
      <w:r>
        <w:t xml:space="preserve"> Rapids was a known historical gathering point of First Nations people, likely because of prolific fish stocks. The rapids were at the bottom of the four-kilometre long </w:t>
      </w:r>
      <w:proofErr w:type="spellStart"/>
      <w:r>
        <w:t>Wenasaga</w:t>
      </w:r>
      <w:proofErr w:type="spellEnd"/>
      <w:r>
        <w:t xml:space="preserve"> River</w:t>
      </w:r>
      <w:r w:rsidR="00D23A9B">
        <w:t>, which</w:t>
      </w:r>
      <w:r>
        <w:t xml:space="preserve"> flowed south into Lac </w:t>
      </w:r>
      <w:proofErr w:type="spellStart"/>
      <w:r>
        <w:t>Seul</w:t>
      </w:r>
      <w:proofErr w:type="spellEnd"/>
      <w:r>
        <w:t xml:space="preserve">. This was 80 kilometres northwest of the community of </w:t>
      </w:r>
      <w:proofErr w:type="spellStart"/>
      <w:r>
        <w:t>Kejick</w:t>
      </w:r>
      <w:proofErr w:type="spellEnd"/>
      <w:r>
        <w:t xml:space="preserve"> Bay, or approximately two days’ paddle as it would have been expressed. An excavation of the site revealed ceramic sherds typical of Laurel culture, dated as late as the thirteenth century.</w:t>
      </w:r>
      <w:r>
        <w:rPr>
          <w:rStyle w:val="EndnoteReference"/>
        </w:rPr>
        <w:endnoteReference w:id="6"/>
      </w:r>
      <w:r>
        <w:t xml:space="preserve"> Also found were materials from </w:t>
      </w:r>
      <w:proofErr w:type="spellStart"/>
      <w:r>
        <w:t>Blackduck</w:t>
      </w:r>
      <w:proofErr w:type="spellEnd"/>
      <w:r>
        <w:t xml:space="preserve"> and Selkirk occupations, thought by some to be ancestors of the Ojibwa and Cree people, respectively. Analysis of carbonized food residue from these sherds indicated the presence of maize, which was not likely grown in the area.</w:t>
      </w:r>
      <w:r>
        <w:rPr>
          <w:rStyle w:val="EndnoteReference"/>
        </w:rPr>
        <w:endnoteReference w:id="7"/>
      </w:r>
      <w:r>
        <w:t xml:space="preserve"> This supported the presence of trade networks between early societies, involving maize, wild rice, lithic (stone) tools or points, and other goods.</w:t>
      </w:r>
      <w:r>
        <w:rPr>
          <w:rStyle w:val="EndnoteReference"/>
        </w:rPr>
        <w:endnoteReference w:id="8"/>
      </w:r>
      <w:r>
        <w:t xml:space="preserve"> </w:t>
      </w:r>
    </w:p>
    <w:p w14:paraId="2309C89B" w14:textId="77777777" w:rsidR="00DB76D3" w:rsidRDefault="00DB76D3" w:rsidP="006B03E0">
      <w:pPr>
        <w:pStyle w:val="BodyTextMain"/>
      </w:pPr>
    </w:p>
    <w:p w14:paraId="4961A67E" w14:textId="4E1374F3" w:rsidR="00DB76D3" w:rsidRDefault="00DB76D3" w:rsidP="006B03E0">
      <w:pPr>
        <w:pStyle w:val="BodyTextMain"/>
      </w:pPr>
      <w:r>
        <w:t xml:space="preserve">What was not clear was if there was a direct link between the archaeological record of habitation and the current inhabitants. At the time of contact with explorers to Canada, Lac </w:t>
      </w:r>
      <w:proofErr w:type="spellStart"/>
      <w:r>
        <w:t>Seul</w:t>
      </w:r>
      <w:proofErr w:type="spellEnd"/>
      <w:r>
        <w:t xml:space="preserve"> ancestors would have been hunters living in the same area northwest of Lake Superior. They may have ranged as far north as James Bay or Hudson Bay in summer, spending their winter in their traditional family areas to trap and hunt. Speculation was that shortly before the time of contact, Lac </w:t>
      </w:r>
      <w:proofErr w:type="spellStart"/>
      <w:r>
        <w:t>Seul’s</w:t>
      </w:r>
      <w:proofErr w:type="spellEnd"/>
      <w:r>
        <w:t xml:space="preserve"> ancestors might have begun travelling to Sault </w:t>
      </w:r>
      <w:proofErr w:type="spellStart"/>
      <w:r>
        <w:t>Ste.</w:t>
      </w:r>
      <w:proofErr w:type="spellEnd"/>
      <w:r>
        <w:t xml:space="preserve"> Marie for summer ceremonies and inter</w:t>
      </w:r>
      <w:r w:rsidR="00B60E1A">
        <w:t>-</w:t>
      </w:r>
      <w:r>
        <w:t>tribal trade.</w:t>
      </w:r>
      <w:r>
        <w:rPr>
          <w:rStyle w:val="EndnoteReference"/>
        </w:rPr>
        <w:endnoteReference w:id="9"/>
      </w:r>
      <w:r>
        <w:t xml:space="preserve"> While there, they encountered and traded with other First Nations people from the shores of Lake Superior and Huron.</w:t>
      </w:r>
    </w:p>
    <w:p w14:paraId="3C55CA4F" w14:textId="64CE53EC" w:rsidR="00DB76D3" w:rsidRDefault="00DB76D3" w:rsidP="006B03E0">
      <w:pPr>
        <w:pStyle w:val="BodyTextMain"/>
      </w:pPr>
      <w:r>
        <w:lastRenderedPageBreak/>
        <w:t xml:space="preserve">Toward the end of the seventeenth century, the need to travel for summer trade declined as the French and English traders built posts for trade on Hudson Bay, Lake Superior, and points inland. By 1803, a Hudson Bay post was established on Lac </w:t>
      </w:r>
      <w:proofErr w:type="spellStart"/>
      <w:r>
        <w:t>Seul</w:t>
      </w:r>
      <w:proofErr w:type="spellEnd"/>
      <w:r>
        <w:t xml:space="preserve">; it operated until the </w:t>
      </w:r>
      <w:proofErr w:type="spellStart"/>
      <w:r>
        <w:t>mid 1900s</w:t>
      </w:r>
      <w:proofErr w:type="spellEnd"/>
      <w:r>
        <w:t>.</w:t>
      </w:r>
      <w:r>
        <w:rPr>
          <w:rStyle w:val="EndnoteReference"/>
        </w:rPr>
        <w:endnoteReference w:id="10"/>
      </w:r>
      <w:r>
        <w:t xml:space="preserve"> At that time, the summer gatherings took place on Lac </w:t>
      </w:r>
      <w:proofErr w:type="spellStart"/>
      <w:r>
        <w:t>Seul</w:t>
      </w:r>
      <w:proofErr w:type="spellEnd"/>
      <w:r>
        <w:t xml:space="preserve"> because of its central location. Summer gatherings were a time for celebrations, marriages, trade, and dispute resolution.</w:t>
      </w:r>
      <w:r>
        <w:rPr>
          <w:rStyle w:val="EndnoteReference"/>
        </w:rPr>
        <w:endnoteReference w:id="11"/>
      </w:r>
    </w:p>
    <w:p w14:paraId="423F0DBE" w14:textId="77777777" w:rsidR="00DB76D3" w:rsidRDefault="00DB76D3" w:rsidP="00715F7A">
      <w:pPr>
        <w:pStyle w:val="BodyTextMain"/>
      </w:pPr>
    </w:p>
    <w:p w14:paraId="07FF1216" w14:textId="77777777" w:rsidR="00DB76D3" w:rsidRDefault="00DB76D3" w:rsidP="00715F7A">
      <w:pPr>
        <w:pStyle w:val="BodyTextMain"/>
      </w:pPr>
    </w:p>
    <w:p w14:paraId="74AF8575" w14:textId="77777777" w:rsidR="00DB76D3" w:rsidRDefault="00DB76D3" w:rsidP="006B03E0">
      <w:pPr>
        <w:pStyle w:val="Casehead1"/>
      </w:pPr>
      <w:r>
        <w:t>The Community’s Land and Resources</w:t>
      </w:r>
    </w:p>
    <w:p w14:paraId="6BFCA016" w14:textId="77777777" w:rsidR="00DB76D3" w:rsidRDefault="00DB76D3" w:rsidP="00715F7A">
      <w:pPr>
        <w:pStyle w:val="BodyTextMain"/>
      </w:pPr>
    </w:p>
    <w:p w14:paraId="5F658439" w14:textId="559661A1" w:rsidR="00DB76D3" w:rsidRDefault="00DB76D3" w:rsidP="00715F7A">
      <w:pPr>
        <w:pStyle w:val="Casehead2"/>
      </w:pPr>
      <w:r>
        <w:t>Treaty with the Canadian Government</w:t>
      </w:r>
    </w:p>
    <w:p w14:paraId="548E5B51" w14:textId="77777777" w:rsidR="00DB76D3" w:rsidRDefault="00DB76D3" w:rsidP="006B03E0">
      <w:pPr>
        <w:pStyle w:val="BodyTextMain"/>
      </w:pPr>
    </w:p>
    <w:p w14:paraId="378DEDFD" w14:textId="79777B85" w:rsidR="00DB76D3" w:rsidRDefault="00DB76D3" w:rsidP="006B03E0">
      <w:pPr>
        <w:pStyle w:val="BodyTextMain"/>
      </w:pPr>
      <w:r>
        <w:t>Canada’s government w</w:t>
      </w:r>
      <w:r w:rsidR="00D23A9B">
        <w:t>as</w:t>
      </w:r>
      <w:r>
        <w:t xml:space="preserve"> motivated to sign treaties with First Nations people to establish a cooperative relationship, and improve communication and transportation links with the western part of the country. There had been some friction with the Métis </w:t>
      </w:r>
      <w:r w:rsidR="00B60E1A">
        <w:t xml:space="preserve">people </w:t>
      </w:r>
      <w:r>
        <w:t xml:space="preserve">living west of Lac </w:t>
      </w:r>
      <w:proofErr w:type="spellStart"/>
      <w:r>
        <w:t>Seul</w:t>
      </w:r>
      <w:proofErr w:type="spellEnd"/>
      <w:r w:rsidR="00D23A9B">
        <w:t>,</w:t>
      </w:r>
      <w:r>
        <w:t xml:space="preserve"> and this was no doubt part of the urgency to begin negotiations. There were delays in negotiating the treaty due to the personalities of those representing the government, the discovery of silver and gold in the territory, and misunderstandings on both sides regarding what rights were being conveyed with a treaty.</w:t>
      </w:r>
      <w:r>
        <w:rPr>
          <w:rStyle w:val="EndnoteReference"/>
        </w:rPr>
        <w:endnoteReference w:id="12"/>
      </w:r>
      <w:r>
        <w:t xml:space="preserve"> After several appr</w:t>
      </w:r>
      <w:r w:rsidR="0053061F">
        <w:t xml:space="preserve">oaches and false starts, Treaty </w:t>
      </w:r>
      <w:r>
        <w:t xml:space="preserve">3 was signed on October 3, 1873. Chief John Cromarty of Lac </w:t>
      </w:r>
      <w:proofErr w:type="spellStart"/>
      <w:r>
        <w:t>Seul</w:t>
      </w:r>
      <w:proofErr w:type="spellEnd"/>
      <w:r>
        <w:t xml:space="preserve"> signed </w:t>
      </w:r>
      <w:r w:rsidR="0053061F">
        <w:t xml:space="preserve">an adhesion to Treaty 3 on June </w:t>
      </w:r>
      <w:r>
        <w:t>9, 1874.</w:t>
      </w:r>
      <w:r>
        <w:rPr>
          <w:rStyle w:val="EndnoteReference"/>
        </w:rPr>
        <w:endnoteReference w:id="13"/>
      </w:r>
    </w:p>
    <w:p w14:paraId="5AEFCD63" w14:textId="77777777" w:rsidR="00DB76D3" w:rsidRDefault="00DB76D3" w:rsidP="006B03E0">
      <w:pPr>
        <w:pStyle w:val="BodyTextMain"/>
      </w:pPr>
    </w:p>
    <w:p w14:paraId="3CA73DEF" w14:textId="77CA96C6" w:rsidR="00DB76D3" w:rsidRDefault="00DB76D3" w:rsidP="006B03E0">
      <w:pPr>
        <w:pStyle w:val="BodyTextMain"/>
      </w:pPr>
      <w:r>
        <w:t>Terms of the treaty were meant to encourage farming and included an area of reserved land not exceeding one square mile per family, a one-time payment of CA$12 per person,</w:t>
      </w:r>
      <w:r>
        <w:rPr>
          <w:rStyle w:val="EndnoteReference"/>
        </w:rPr>
        <w:endnoteReference w:id="14"/>
      </w:r>
      <w:r>
        <w:t xml:space="preserve"> and an annual payment of $5 per person. The band as a whole received $1,500 per year for group purchase of ammunition, twine for fishing nets, and farming implements as well</w:t>
      </w:r>
      <w:r w:rsidR="00B60E1A">
        <w:t xml:space="preserve"> as</w:t>
      </w:r>
      <w:r>
        <w:t xml:space="preserve"> farm animals and seeds for planting.</w:t>
      </w:r>
    </w:p>
    <w:p w14:paraId="76FFD409" w14:textId="77777777" w:rsidR="00DB76D3" w:rsidRDefault="00DB76D3" w:rsidP="006B03E0">
      <w:pPr>
        <w:pStyle w:val="BodyTextMain"/>
      </w:pPr>
    </w:p>
    <w:p w14:paraId="339B4429" w14:textId="5F88B9E3" w:rsidR="00DB76D3" w:rsidRDefault="00DB76D3" w:rsidP="006B03E0">
      <w:pPr>
        <w:pStyle w:val="BodyTextMain"/>
      </w:pPr>
      <w:r>
        <w:t xml:space="preserve">During the treaty negotiations, a Métis named Nolin was paid to interpret and take notes of the treaty details for the First Nations people. Those notes, initially written in French, formed what became known as the </w:t>
      </w:r>
      <w:proofErr w:type="spellStart"/>
      <w:r>
        <w:t>Paypom</w:t>
      </w:r>
      <w:proofErr w:type="spellEnd"/>
      <w:r>
        <w:t xml:space="preserve"> treaty. Its content was similar to the terms of Treaty 3, but also contained terms that had been discussed but were not included in Treaty 3, specifically with respect to mineral rights:</w:t>
      </w:r>
    </w:p>
    <w:p w14:paraId="227B6384" w14:textId="77777777" w:rsidR="00DB76D3" w:rsidRDefault="00DB76D3" w:rsidP="006B03E0">
      <w:pPr>
        <w:pStyle w:val="BodyTextMain"/>
      </w:pPr>
    </w:p>
    <w:p w14:paraId="4F7651C8" w14:textId="6DA4BF1B" w:rsidR="00DB76D3" w:rsidRDefault="00DB76D3" w:rsidP="00715F7A">
      <w:pPr>
        <w:pStyle w:val="BodyTextMain"/>
        <w:ind w:left="720"/>
      </w:pPr>
      <w:r>
        <w:t>If some gold or silver mines be found in their reserves, it will be to the benefit of the Indians, but if the Indians find any gold or silver mines out of their reserves, they will surely be paid the finding of the mines.</w:t>
      </w:r>
      <w:r>
        <w:rPr>
          <w:rStyle w:val="EndnoteReference"/>
        </w:rPr>
        <w:endnoteReference w:id="15"/>
      </w:r>
    </w:p>
    <w:p w14:paraId="092C50E2" w14:textId="77777777" w:rsidR="00DB76D3" w:rsidRDefault="00DB76D3" w:rsidP="006B03E0">
      <w:pPr>
        <w:pStyle w:val="BodyTextMain"/>
      </w:pPr>
    </w:p>
    <w:p w14:paraId="04279ECF" w14:textId="2BB20DE5" w:rsidR="00DB76D3" w:rsidRDefault="00DB76D3" w:rsidP="006B03E0">
      <w:pPr>
        <w:pStyle w:val="BodyTextMain"/>
        <w:rPr>
          <w:rFonts w:ascii="Times" w:hAnsi="Times"/>
        </w:rPr>
      </w:pPr>
      <w:r>
        <w:t xml:space="preserve">It was clear the parties were aware of resources related to the land in question and discussed the issue. </w:t>
      </w:r>
      <w:r>
        <w:rPr>
          <w:rFonts w:ascii="Times" w:hAnsi="Times"/>
        </w:rPr>
        <w:t>It wa</w:t>
      </w:r>
      <w:r w:rsidRPr="004A130B">
        <w:rPr>
          <w:rFonts w:ascii="Times" w:hAnsi="Times"/>
        </w:rPr>
        <w:t xml:space="preserve">s also clear </w:t>
      </w:r>
      <w:r>
        <w:rPr>
          <w:rFonts w:ascii="Times" w:hAnsi="Times"/>
        </w:rPr>
        <w:t xml:space="preserve">that </w:t>
      </w:r>
      <w:r w:rsidRPr="004A130B">
        <w:rPr>
          <w:rFonts w:ascii="Times" w:hAnsi="Times"/>
        </w:rPr>
        <w:t>the government was try</w:t>
      </w:r>
      <w:r>
        <w:rPr>
          <w:rFonts w:ascii="Times" w:hAnsi="Times"/>
        </w:rPr>
        <w:t>ing to promote farming, which would tie the community to its reserved land.</w:t>
      </w:r>
    </w:p>
    <w:p w14:paraId="56C41AEE" w14:textId="77777777" w:rsidR="00DB76D3" w:rsidRPr="004A130B" w:rsidRDefault="00DB76D3" w:rsidP="006B03E0">
      <w:pPr>
        <w:pStyle w:val="BodyTextMain"/>
        <w:rPr>
          <w:rFonts w:ascii="Times" w:hAnsi="Times"/>
        </w:rPr>
      </w:pPr>
    </w:p>
    <w:p w14:paraId="7F042138" w14:textId="77777777" w:rsidR="00DB76D3" w:rsidRDefault="00DB76D3" w:rsidP="00715F7A">
      <w:pPr>
        <w:pStyle w:val="BodyTextMain"/>
      </w:pPr>
    </w:p>
    <w:p w14:paraId="5C7B601F" w14:textId="716233CA" w:rsidR="00DB76D3" w:rsidRDefault="00DB76D3" w:rsidP="00715F7A">
      <w:pPr>
        <w:pStyle w:val="Casehead2"/>
      </w:pPr>
      <w:r>
        <w:t>Timber Resources</w:t>
      </w:r>
    </w:p>
    <w:p w14:paraId="04236BFE" w14:textId="77777777" w:rsidR="00DB76D3" w:rsidRDefault="00DB76D3" w:rsidP="006B03E0">
      <w:pPr>
        <w:pStyle w:val="BodyTextMain"/>
      </w:pPr>
    </w:p>
    <w:p w14:paraId="5DF2A3DF" w14:textId="54B21116" w:rsidR="00DB76D3" w:rsidRDefault="00DB76D3" w:rsidP="006B03E0">
      <w:pPr>
        <w:pStyle w:val="BodyTextMain"/>
      </w:pPr>
      <w:r>
        <w:t>In keeping with the management approach of the day, the band was convinced in 1919 to surrender their rights to timb</w:t>
      </w:r>
      <w:r w:rsidR="00B60E1A">
        <w:t>er to the government, to sell “u</w:t>
      </w:r>
      <w:r>
        <w:t xml:space="preserve">pon such terms as the Government of the Dominion of Canada may deem most conductive to our welfare and that of our people.” The principles seemed appropriate: the land and timber would be measured, an agreed upon amount of land and timber would be estimated, fees would be set, the timber harvested, and fees paid and distributed to the band. The Department of Indian Affairs (as it was called at the time) hired Harold J. Bury as its timber inspector, and it was he who did the timber cruise—a process of measuring the type and size of trees within a bounded area—to assess the value of timber present. The reserve was divided into northern and southern portions. A license for the southern </w:t>
      </w:r>
      <w:r>
        <w:lastRenderedPageBreak/>
        <w:t>portion was awarded to Keewatin Lumber in 1923. Bury had identified the northern portion as too r</w:t>
      </w:r>
      <w:r w:rsidR="0053061F">
        <w:t xml:space="preserve">emote for economic harvesting; </w:t>
      </w:r>
      <w:r>
        <w:t>however, in 1926, Charles Cox was awarded a licen</w:t>
      </w:r>
      <w:r w:rsidR="007F4370">
        <w:t>s</w:t>
      </w:r>
      <w:r>
        <w:t>e for that very portion.</w:t>
      </w:r>
      <w:r>
        <w:rPr>
          <w:rStyle w:val="EndnoteReference"/>
        </w:rPr>
        <w:endnoteReference w:id="16"/>
      </w:r>
    </w:p>
    <w:p w14:paraId="40858F7B" w14:textId="77777777" w:rsidR="00DB76D3" w:rsidRDefault="00DB76D3" w:rsidP="006B03E0">
      <w:pPr>
        <w:pStyle w:val="BodyTextMain"/>
      </w:pPr>
    </w:p>
    <w:p w14:paraId="0E530BFC" w14:textId="7A466E29" w:rsidR="00DB76D3" w:rsidRDefault="00DB76D3" w:rsidP="006B03E0">
      <w:pPr>
        <w:pStyle w:val="BodyTextMain"/>
      </w:pPr>
      <w:r w:rsidRPr="00FB3D5E">
        <w:t>Cox</w:t>
      </w:r>
      <w:r>
        <w:t xml:space="preserve"> already had timber permits of a similar nature for the Gull River reserve (home of the Gull Bay First Nation), approximately 250 kilometres southeast of Lac </w:t>
      </w:r>
      <w:proofErr w:type="spellStart"/>
      <w:r>
        <w:t>Seul</w:t>
      </w:r>
      <w:proofErr w:type="spellEnd"/>
      <w:r>
        <w:t xml:space="preserve">. Between 1923 and 1925, the Department of Indian Affairs had received numerous complaints regarding the way Cox was cutting the lumber. Bury was also responsible for the Gull River reserve. The two of them colluded, the illegal activity resulting in financial damage to the </w:t>
      </w:r>
      <w:proofErr w:type="spellStart"/>
      <w:r>
        <w:t>Ginoogaming</w:t>
      </w:r>
      <w:proofErr w:type="spellEnd"/>
      <w:r>
        <w:t xml:space="preserve"> First Nation (then the Long Lac [alternatively Long Lake] 77 First Nation).</w:t>
      </w:r>
      <w:r>
        <w:rPr>
          <w:rStyle w:val="EndnoteReference"/>
        </w:rPr>
        <w:endnoteReference w:id="17"/>
      </w:r>
      <w:r w:rsidR="00B60E1A">
        <w:t xml:space="preserve"> Bury, it seemed</w:t>
      </w:r>
      <w:r>
        <w:t>, acted at least unethically and perhaps illegally in allowing Cox to cut more timber than allotted and pay less than was contractually required. Bury also renewed agreements without tender and generally acted outside the law. Cox, for his part, was unethical and acted illegally, taking more than was contractually agreed upon without paying for it.</w:t>
      </w:r>
    </w:p>
    <w:p w14:paraId="22FF8C5A" w14:textId="77777777" w:rsidR="00DB76D3" w:rsidRDefault="00DB76D3" w:rsidP="006B03E0">
      <w:pPr>
        <w:pStyle w:val="BodyTextMain"/>
      </w:pPr>
    </w:p>
    <w:p w14:paraId="40B82F50" w14:textId="4C925FC4" w:rsidR="00DB76D3" w:rsidRDefault="00DB76D3" w:rsidP="006B03E0">
      <w:pPr>
        <w:pStyle w:val="BodyTextMain"/>
      </w:pPr>
      <w:proofErr w:type="spellStart"/>
      <w:r>
        <w:t>Ginoogaming</w:t>
      </w:r>
      <w:proofErr w:type="spellEnd"/>
      <w:r>
        <w:t xml:space="preserve"> filed a claim in 1990 specific to Cox’s illegal behaviour. Canada settled the claim in 2002 with a payment of $13.8 million. At that point, Mark </w:t>
      </w:r>
      <w:proofErr w:type="spellStart"/>
      <w:r>
        <w:t>Kuhlberg</w:t>
      </w:r>
      <w:proofErr w:type="spellEnd"/>
      <w:r>
        <w:t xml:space="preserve">, </w:t>
      </w:r>
      <w:proofErr w:type="gramStart"/>
      <w:r>
        <w:t>an</w:t>
      </w:r>
      <w:proofErr w:type="gramEnd"/>
      <w:r>
        <w:t xml:space="preserve"> historian who specialized in forest history, contacted then Chief David Gordon and Bull, who was then councillor of Lac </w:t>
      </w:r>
      <w:proofErr w:type="spellStart"/>
      <w:r>
        <w:t>Seul</w:t>
      </w:r>
      <w:proofErr w:type="spellEnd"/>
      <w:r>
        <w:t xml:space="preserve">, to inform them of his findings regarding Cox and the settlement obtained at </w:t>
      </w:r>
      <w:proofErr w:type="spellStart"/>
      <w:r>
        <w:t>Ginoogaming</w:t>
      </w:r>
      <w:proofErr w:type="spellEnd"/>
      <w:r>
        <w:t>. After conferring with their colleagues, the chief and council decided to proceed with their own lawsuit against Canada, claiming the government had a fiduciary duty to manage the band’s timber assets for the band’s benefit.</w:t>
      </w:r>
    </w:p>
    <w:p w14:paraId="74FBE900" w14:textId="77777777" w:rsidR="00DB76D3" w:rsidRDefault="00DB76D3" w:rsidP="006B03E0">
      <w:pPr>
        <w:pStyle w:val="BodyTextMain"/>
      </w:pPr>
    </w:p>
    <w:p w14:paraId="736A8A76" w14:textId="384B07D1" w:rsidR="00DB76D3" w:rsidRDefault="00DB76D3" w:rsidP="006B03E0">
      <w:pPr>
        <w:pStyle w:val="BodyTextMain"/>
      </w:pPr>
      <w:r>
        <w:t xml:space="preserve">The band hired lawyer Will Major to pursue the suit. </w:t>
      </w:r>
      <w:r w:rsidR="00635605">
        <w:t xml:space="preserve">Major recruited expert researchers and witnesses, including </w:t>
      </w:r>
      <w:proofErr w:type="spellStart"/>
      <w:r w:rsidR="00635605">
        <w:t>Kuhlberg</w:t>
      </w:r>
      <w:proofErr w:type="spellEnd"/>
      <w:r w:rsidR="00635605">
        <w:t xml:space="preserve"> and another historian, a forester, an economist, and two accountants.</w:t>
      </w:r>
      <w:r>
        <w:t xml:space="preserve"> The trial involved 15 days of he</w:t>
      </w:r>
      <w:r w:rsidR="0053061F">
        <w:t xml:space="preserve">arings between September 3 and </w:t>
      </w:r>
      <w:r>
        <w:t>October 24, 2008.</w:t>
      </w:r>
      <w:r>
        <w:rPr>
          <w:rStyle w:val="EndnoteReference"/>
        </w:rPr>
        <w:endnoteReference w:id="18"/>
      </w:r>
      <w:r>
        <w:t xml:space="preserve"> The court held that Canada had, indeed, failed to share revenue, protect the timber resources, and manage the timber asset to the advantage of the First Nation. The court acknowledged that Canada did not monitor or measure the amount of timber harvested. The harvested amounts documented by the logging company amounted to approximately one-fifth of the estimated amount available for harvest. Therefore, the compensation amount was less than legally required. The measure of the occupied area was also under-reported, resulting in further reduction of legally available rent. In addition, there was no retendering process at the end of license periods to ensure competitive compensation. </w:t>
      </w:r>
    </w:p>
    <w:p w14:paraId="4097A733" w14:textId="77777777" w:rsidR="00DB76D3" w:rsidRDefault="00DB76D3" w:rsidP="006B03E0">
      <w:pPr>
        <w:pStyle w:val="BodyTextMain"/>
      </w:pPr>
    </w:p>
    <w:p w14:paraId="5C6F0B47" w14:textId="61D4FF88" w:rsidR="00DB76D3" w:rsidRDefault="00DB76D3" w:rsidP="00EE32EB">
      <w:pPr>
        <w:pStyle w:val="BodyTextMain"/>
      </w:pPr>
      <w:r>
        <w:t xml:space="preserve">It seems Cox had been up to the same illegal activities at Lac </w:t>
      </w:r>
      <w:proofErr w:type="spellStart"/>
      <w:r>
        <w:t>Seul</w:t>
      </w:r>
      <w:proofErr w:type="spellEnd"/>
      <w:r>
        <w:t xml:space="preserve"> as he demonstrated at Gull River and the Long Lac reserve, while Bury was, at minimum, incompetent, and acting either unethically, illegally, or both. The evidence was compelling: in total, the court noted six different breaches of fiduciary duty. The judge summarized his findings in an understatement: “The Crown did not act in a prudent manner and in the best interests of the band.”</w:t>
      </w:r>
      <w:r>
        <w:rPr>
          <w:rStyle w:val="EndnoteReference"/>
        </w:rPr>
        <w:endnoteReference w:id="19"/>
      </w:r>
      <w:r>
        <w:t xml:space="preserve"> The band was awarded a settlement of $27 million, which they used to further their economic development goals, including the purchase and operation of a Tim Hortons franchise in Sioux Lookout.</w:t>
      </w:r>
    </w:p>
    <w:p w14:paraId="2B108CE5" w14:textId="77777777" w:rsidR="00DB76D3" w:rsidRDefault="00DB76D3" w:rsidP="006B03E0">
      <w:pPr>
        <w:pStyle w:val="BodyTextMain"/>
      </w:pPr>
    </w:p>
    <w:p w14:paraId="34F9E876" w14:textId="0F79DF59" w:rsidR="00DB76D3" w:rsidRDefault="00DB76D3" w:rsidP="006B03E0">
      <w:pPr>
        <w:pStyle w:val="BodyTextMain"/>
      </w:pPr>
      <w:r>
        <w:t xml:space="preserve">Additionally, and somewhat ironically, Lac </w:t>
      </w:r>
      <w:proofErr w:type="spellStart"/>
      <w:r>
        <w:t>Seul</w:t>
      </w:r>
      <w:proofErr w:type="spellEnd"/>
      <w:r>
        <w:t xml:space="preserve"> received a license to manage the Lac </w:t>
      </w:r>
      <w:proofErr w:type="spellStart"/>
      <w:r>
        <w:t>Seul</w:t>
      </w:r>
      <w:proofErr w:type="spellEnd"/>
      <w:r>
        <w:t xml:space="preserve"> forest. The band had prepared a business plan for a wood supply competition held by the Ministry of Northern Development, Mines and Forestry for the Lac </w:t>
      </w:r>
      <w:proofErr w:type="spellStart"/>
      <w:r>
        <w:t>Seul</w:t>
      </w:r>
      <w:proofErr w:type="spellEnd"/>
      <w:r>
        <w:t xml:space="preserve"> forest. In a controversial process, the band lost to a larger company in the competition held in 2011. That winning mill subsequently went bankrupt and Lac </w:t>
      </w:r>
      <w:proofErr w:type="spellStart"/>
      <w:r>
        <w:t>Seul</w:t>
      </w:r>
      <w:proofErr w:type="spellEnd"/>
      <w:r>
        <w:t xml:space="preserve"> was awarded the contract based on their previously prepared plan.</w:t>
      </w:r>
      <w:r>
        <w:rPr>
          <w:rStyle w:val="EndnoteReference"/>
        </w:rPr>
        <w:endnoteReference w:id="20"/>
      </w:r>
      <w:r>
        <w:t xml:space="preserve"> These were positive outcomes from negative historic experiences.</w:t>
      </w:r>
    </w:p>
    <w:p w14:paraId="7257C457" w14:textId="77777777" w:rsidR="00DB76D3" w:rsidRDefault="00DB76D3" w:rsidP="006B03E0">
      <w:pPr>
        <w:pStyle w:val="BodyTextMain"/>
      </w:pPr>
    </w:p>
    <w:p w14:paraId="2C1436C4" w14:textId="77777777" w:rsidR="00DB76D3" w:rsidRDefault="00DB76D3" w:rsidP="006B03E0">
      <w:pPr>
        <w:pStyle w:val="BodyTextMain"/>
      </w:pPr>
    </w:p>
    <w:p w14:paraId="1E85CC1B" w14:textId="18D63BBA" w:rsidR="00DB76D3" w:rsidRDefault="00DB76D3" w:rsidP="00715F7A">
      <w:pPr>
        <w:pStyle w:val="Casehead2"/>
        <w:keepNext/>
      </w:pPr>
      <w:r>
        <w:lastRenderedPageBreak/>
        <w:t>Water Management</w:t>
      </w:r>
    </w:p>
    <w:p w14:paraId="0DF3E58E" w14:textId="77777777" w:rsidR="00DB76D3" w:rsidRDefault="00DB76D3" w:rsidP="00715F7A">
      <w:pPr>
        <w:pStyle w:val="BodyTextMain"/>
        <w:keepNext/>
      </w:pPr>
    </w:p>
    <w:p w14:paraId="60BA1F79" w14:textId="5A6D06C2" w:rsidR="00DB76D3" w:rsidRDefault="00DB76D3" w:rsidP="006B03E0">
      <w:pPr>
        <w:pStyle w:val="BodyTextMain"/>
      </w:pPr>
      <w:r>
        <w:t xml:space="preserve">In the </w:t>
      </w:r>
      <w:r w:rsidR="00B60E1A">
        <w:t>mid-1920s</w:t>
      </w:r>
      <w:r>
        <w:t xml:space="preserve">, gold was discovered at Red Lake; by 1926, thousands of people had converged on the area. At the same time, the Canadian Department of the Interior had concluded surveys on the English River system to determine its potential for generating power and to evaluate control issues that affected the Winnipeg River. With the population influx and prospecting and mining activities, electricity was needed. The decision was made to store water in Lac </w:t>
      </w:r>
      <w:proofErr w:type="spellStart"/>
      <w:r>
        <w:t>Seul</w:t>
      </w:r>
      <w:proofErr w:type="spellEnd"/>
      <w:r>
        <w:t xml:space="preserve"> with the construction of a dam at its Ear Falls outlet. Construction of the dam and a powerhouse began in 1928.</w:t>
      </w:r>
    </w:p>
    <w:p w14:paraId="5F564936" w14:textId="77777777" w:rsidR="00DB76D3" w:rsidRDefault="00DB76D3" w:rsidP="006B03E0">
      <w:pPr>
        <w:pStyle w:val="BodyTextMain"/>
      </w:pPr>
    </w:p>
    <w:p w14:paraId="1357F5DA" w14:textId="3C10F0D9" w:rsidR="00DB76D3" w:rsidRDefault="00DB76D3" w:rsidP="00D11F72">
      <w:pPr>
        <w:pStyle w:val="BodyTextMain"/>
      </w:pPr>
      <w:r>
        <w:t xml:space="preserve">There were, of course, indigenous people living in the area, specifically on the reserve. Some were farming, as encouraged by Canada in the treaty. Lac </w:t>
      </w:r>
      <w:proofErr w:type="spellStart"/>
      <w:r>
        <w:t>Seul</w:t>
      </w:r>
      <w:proofErr w:type="spellEnd"/>
      <w:r>
        <w:t xml:space="preserve"> had learned through trade and communication networks that a dam was being considered for the English River. In 1923, an industrialist from Minnesota, Edward Backus, had constructed a dam at Lac des Mille Lacs, 200 kilometres southeast of Lac </w:t>
      </w:r>
      <w:proofErr w:type="spellStart"/>
      <w:r>
        <w:t>Seul</w:t>
      </w:r>
      <w:proofErr w:type="spellEnd"/>
      <w:r>
        <w:t xml:space="preserve">. That dam had also been constructed to control water and generate electricity. The result, however, included flooding of the Ojibwa </w:t>
      </w:r>
      <w:r w:rsidR="00B60E1A">
        <w:t>settlement</w:t>
      </w:r>
      <w:r>
        <w:t xml:space="preserve"> adjacent to the lake.</w:t>
      </w:r>
    </w:p>
    <w:p w14:paraId="307F61C5" w14:textId="77777777" w:rsidR="00DB76D3" w:rsidRDefault="00DB76D3" w:rsidP="006B03E0">
      <w:pPr>
        <w:pStyle w:val="BodyTextMain"/>
      </w:pPr>
    </w:p>
    <w:p w14:paraId="21D6978A" w14:textId="517A21C9" w:rsidR="00DB76D3" w:rsidRDefault="00DB76D3" w:rsidP="006B03E0">
      <w:pPr>
        <w:pStyle w:val="BodyTextMain"/>
      </w:pPr>
      <w:r>
        <w:t xml:space="preserve">Then chief of Lac </w:t>
      </w:r>
      <w:proofErr w:type="spellStart"/>
      <w:r>
        <w:t>Seul</w:t>
      </w:r>
      <w:proofErr w:type="spellEnd"/>
      <w:r>
        <w:t xml:space="preserve">, Paul Thomas, visited the Indian agent at the time, Frank Edwards, to alert him of their concerns about a plan for a dam at Lac </w:t>
      </w:r>
      <w:proofErr w:type="spellStart"/>
      <w:r>
        <w:t>Seul</w:t>
      </w:r>
      <w:proofErr w:type="spellEnd"/>
      <w:r>
        <w:t xml:space="preserve">. Edwards sent a letter to Ottawa in 1924 (see Exhibit 1). In it, he voiced the chief’s worry about the possibility of losing hay fields, gardens, timber, and housing. Edwards also noted the concern that the cemetery and burial grounds could be destroyed. The letter and the band’s concerns were paid little heed. Construction commenced on the Lac </w:t>
      </w:r>
      <w:proofErr w:type="spellStart"/>
      <w:r>
        <w:t>Seul</w:t>
      </w:r>
      <w:proofErr w:type="spellEnd"/>
      <w:r>
        <w:t xml:space="preserve"> dam in 1928. The band was assured that flooding would be minor.</w:t>
      </w:r>
    </w:p>
    <w:p w14:paraId="40803BDC" w14:textId="77777777" w:rsidR="00DB76D3" w:rsidRDefault="00DB76D3" w:rsidP="006B03E0">
      <w:pPr>
        <w:pStyle w:val="BodyTextMain"/>
      </w:pPr>
    </w:p>
    <w:p w14:paraId="12853FA4" w14:textId="20F44188" w:rsidR="00DB76D3" w:rsidRPr="0053061F" w:rsidRDefault="00DB76D3" w:rsidP="006B03E0">
      <w:pPr>
        <w:pStyle w:val="BodyTextMain"/>
        <w:rPr>
          <w:spacing w:val="-4"/>
          <w:kern w:val="22"/>
        </w:rPr>
      </w:pPr>
      <w:r w:rsidRPr="0053061F">
        <w:rPr>
          <w:spacing w:val="-4"/>
          <w:kern w:val="22"/>
        </w:rPr>
        <w:t xml:space="preserve">The Keewatin Lumber Company, previously licensed to cut the south portion of the reserve, was awarded a contract to cut the Lac </w:t>
      </w:r>
      <w:proofErr w:type="spellStart"/>
      <w:r w:rsidRPr="0053061F">
        <w:rPr>
          <w:spacing w:val="-4"/>
          <w:kern w:val="22"/>
        </w:rPr>
        <w:t>Seul</w:t>
      </w:r>
      <w:proofErr w:type="spellEnd"/>
      <w:r w:rsidRPr="0053061F">
        <w:rPr>
          <w:spacing w:val="-4"/>
          <w:kern w:val="22"/>
        </w:rPr>
        <w:t xml:space="preserve"> foreshore. They were meant to clear that part of the shore that would soon be flooded, make use of the lumber, and minimize organic material and obstructions on the new lake bottom. Instead, the company cut a different area, equivalent to the size of their license but much easier to access than the foreshore. This was indicative of the care and supervision the band could expect from the government.</w:t>
      </w:r>
      <w:r w:rsidRPr="0053061F">
        <w:rPr>
          <w:rStyle w:val="EndnoteReference"/>
          <w:spacing w:val="-4"/>
          <w:kern w:val="22"/>
        </w:rPr>
        <w:endnoteReference w:id="21"/>
      </w:r>
    </w:p>
    <w:p w14:paraId="1CE72C74" w14:textId="77777777" w:rsidR="00DB76D3" w:rsidRDefault="00DB76D3" w:rsidP="006B03E0">
      <w:pPr>
        <w:pStyle w:val="BodyTextMain"/>
      </w:pPr>
    </w:p>
    <w:p w14:paraId="7F349585" w14:textId="5EED126F" w:rsidR="00DB76D3" w:rsidRDefault="00DB76D3" w:rsidP="006B03E0">
      <w:pPr>
        <w:pStyle w:val="BodyTextMain"/>
      </w:pPr>
      <w:r w:rsidRPr="00F50F13">
        <w:t xml:space="preserve">The Lac </w:t>
      </w:r>
      <w:proofErr w:type="spellStart"/>
      <w:r w:rsidRPr="00F50F13">
        <w:t>Seul</w:t>
      </w:r>
      <w:proofErr w:type="spellEnd"/>
      <w:r w:rsidRPr="00F50F13">
        <w:t xml:space="preserve"> people continued their traditional lifestyle</w:t>
      </w:r>
      <w:r>
        <w:t>, which</w:t>
      </w:r>
      <w:r w:rsidRPr="00F50F13">
        <w:t xml:space="preserve"> included summer gatherings at the lake meeting area and winter living at their clan territory. </w:t>
      </w:r>
      <w:r>
        <w:t>The events that subsequently unfolded were</w:t>
      </w:r>
      <w:r w:rsidRPr="00F50F13">
        <w:t xml:space="preserve"> described on a plaque commemorating the event</w:t>
      </w:r>
      <w:r>
        <w:t xml:space="preserve"> </w:t>
      </w:r>
      <w:r w:rsidRPr="00F50F13">
        <w:t>(</w:t>
      </w:r>
      <w:r>
        <w:t>see Exhibit 2</w:t>
      </w:r>
      <w:r w:rsidRPr="00F50F13">
        <w:t>)</w:t>
      </w:r>
      <w:r>
        <w:t>:</w:t>
      </w:r>
    </w:p>
    <w:p w14:paraId="3508E669" w14:textId="77777777" w:rsidR="00DB76D3" w:rsidRDefault="00DB76D3" w:rsidP="006B03E0">
      <w:pPr>
        <w:pStyle w:val="BodyTextMain"/>
      </w:pPr>
    </w:p>
    <w:p w14:paraId="6BA1289E" w14:textId="54DA25AF" w:rsidR="00DB76D3" w:rsidRPr="00F50F13" w:rsidRDefault="00DB76D3" w:rsidP="00715F7A">
      <w:pPr>
        <w:pStyle w:val="BodyTextMain"/>
        <w:ind w:left="720"/>
      </w:pPr>
      <w:r w:rsidRPr="00F50F13">
        <w:t xml:space="preserve">In 1934, without knowledge or permission of the </w:t>
      </w:r>
      <w:proofErr w:type="spellStart"/>
      <w:r w:rsidRPr="00F50F13">
        <w:t>Obishikokaang</w:t>
      </w:r>
      <w:proofErr w:type="spellEnd"/>
      <w:r w:rsidRPr="00F50F13">
        <w:t xml:space="preserve"> </w:t>
      </w:r>
      <w:proofErr w:type="spellStart"/>
      <w:r w:rsidRPr="00F50F13">
        <w:t>Anishinaabeg</w:t>
      </w:r>
      <w:proofErr w:type="spellEnd"/>
      <w:r w:rsidRPr="00F50F13">
        <w:t xml:space="preserve">, the dam was activated and the lake rose by 12 feet. The people of </w:t>
      </w:r>
      <w:proofErr w:type="spellStart"/>
      <w:r w:rsidRPr="00F50F13">
        <w:t>Obishikokaang</w:t>
      </w:r>
      <w:proofErr w:type="spellEnd"/>
      <w:r w:rsidRPr="00F50F13">
        <w:t xml:space="preserve"> returned from a winter of trapping to find their summer settlement, along the reserve shoreline, under water.</w:t>
      </w:r>
    </w:p>
    <w:p w14:paraId="20A0245F" w14:textId="77777777" w:rsidR="00DB76D3" w:rsidRPr="00751F19" w:rsidRDefault="00DB76D3" w:rsidP="006B03E0">
      <w:pPr>
        <w:pStyle w:val="BodyTextMain"/>
      </w:pPr>
    </w:p>
    <w:p w14:paraId="3AA00470" w14:textId="4420BBB7" w:rsidR="00DB76D3" w:rsidRDefault="00DB76D3" w:rsidP="006B03E0">
      <w:pPr>
        <w:pStyle w:val="BodyTextMain"/>
      </w:pPr>
      <w:r>
        <w:t xml:space="preserve">The effect was devastating. </w:t>
      </w:r>
      <w:r w:rsidR="00B91054">
        <w:t xml:space="preserve">Eighty-two homes </w:t>
      </w:r>
      <w:r>
        <w:t xml:space="preserve">were lost as well as food storage, tools, agricultural land, </w:t>
      </w:r>
      <w:r w:rsidR="00B91054">
        <w:t xml:space="preserve">3,300 acres of </w:t>
      </w:r>
      <w:r>
        <w:t>wild rice</w:t>
      </w:r>
      <w:r w:rsidR="00B91054">
        <w:t xml:space="preserve"> beds</w:t>
      </w:r>
      <w:r>
        <w:t>, and other resources vital to the band’s livelihood. Hundreds were forced to leave the reserve to find a way to survive.</w:t>
      </w:r>
      <w:r w:rsidR="00B91054">
        <w:t xml:space="preserve"> </w:t>
      </w:r>
      <w:r w:rsidR="00B91054">
        <w:rPr>
          <w:rStyle w:val="EndnoteReference"/>
        </w:rPr>
        <w:endnoteReference w:id="22"/>
      </w:r>
    </w:p>
    <w:p w14:paraId="27D711CF" w14:textId="77777777" w:rsidR="00DB76D3" w:rsidRDefault="00DB76D3" w:rsidP="006B03E0">
      <w:pPr>
        <w:pStyle w:val="BodyTextMain"/>
      </w:pPr>
    </w:p>
    <w:p w14:paraId="00D2F2DE" w14:textId="556F0EA9" w:rsidR="00DB76D3" w:rsidRPr="0053061F" w:rsidRDefault="00DB76D3" w:rsidP="006B03E0">
      <w:pPr>
        <w:pStyle w:val="BodyTextMain"/>
        <w:rPr>
          <w:spacing w:val="-2"/>
          <w:kern w:val="22"/>
        </w:rPr>
      </w:pPr>
      <w:r w:rsidRPr="0053061F">
        <w:rPr>
          <w:spacing w:val="-2"/>
          <w:kern w:val="22"/>
        </w:rPr>
        <w:t xml:space="preserve">Negotiations for construction of the dam had included compensation for the band. In 1928, Canada and the provinces of Manitoba and Ontario ratified the Lac </w:t>
      </w:r>
      <w:proofErr w:type="spellStart"/>
      <w:r w:rsidRPr="0053061F">
        <w:rPr>
          <w:spacing w:val="-2"/>
          <w:kern w:val="22"/>
        </w:rPr>
        <w:t>Seul</w:t>
      </w:r>
      <w:proofErr w:type="spellEnd"/>
      <w:r w:rsidRPr="0053061F">
        <w:rPr>
          <w:spacing w:val="-2"/>
          <w:kern w:val="22"/>
        </w:rPr>
        <w:t xml:space="preserve"> storage agreement for cost sharing. Anticipated damage was calculated in advance to compensate for land, resources, and housing that would be lost to the dam project. The anticipated damage was valued at $120,000</w:t>
      </w:r>
      <w:r w:rsidR="00D23A9B">
        <w:rPr>
          <w:spacing w:val="-2"/>
          <w:kern w:val="22"/>
        </w:rPr>
        <w:t>, and t</w:t>
      </w:r>
      <w:r w:rsidRPr="0053061F">
        <w:rPr>
          <w:spacing w:val="-2"/>
          <w:kern w:val="22"/>
        </w:rPr>
        <w:t xml:space="preserve">he capital cost of the project was set at over $750,000. Compensation for Lac </w:t>
      </w:r>
      <w:proofErr w:type="spellStart"/>
      <w:r w:rsidRPr="0053061F">
        <w:rPr>
          <w:spacing w:val="-2"/>
          <w:kern w:val="22"/>
        </w:rPr>
        <w:t>Seul</w:t>
      </w:r>
      <w:proofErr w:type="spellEnd"/>
      <w:r w:rsidRPr="0053061F">
        <w:rPr>
          <w:spacing w:val="-2"/>
          <w:kern w:val="22"/>
        </w:rPr>
        <w:t xml:space="preserve"> was set at $50,000</w:t>
      </w:r>
      <w:r w:rsidR="00512415" w:rsidRPr="0053061F">
        <w:rPr>
          <w:spacing w:val="-2"/>
          <w:kern w:val="22"/>
        </w:rPr>
        <w:t xml:space="preserve"> ($700,000 equivalent </w:t>
      </w:r>
      <w:r w:rsidR="00D23A9B">
        <w:rPr>
          <w:spacing w:val="-2"/>
          <w:kern w:val="22"/>
        </w:rPr>
        <w:t xml:space="preserve">in </w:t>
      </w:r>
      <w:r w:rsidR="00512415" w:rsidRPr="0053061F">
        <w:rPr>
          <w:spacing w:val="-2"/>
          <w:kern w:val="22"/>
        </w:rPr>
        <w:t>2016)</w:t>
      </w:r>
      <w:r w:rsidRPr="0053061F">
        <w:rPr>
          <w:spacing w:val="-2"/>
          <w:kern w:val="22"/>
        </w:rPr>
        <w:t>. “Ontario and Canada considered the figure of $120,200 as compensation to the band to be excessive.”</w:t>
      </w:r>
      <w:r w:rsidRPr="0053061F">
        <w:rPr>
          <w:rStyle w:val="EndnoteReference"/>
          <w:spacing w:val="-2"/>
          <w:kern w:val="22"/>
        </w:rPr>
        <w:endnoteReference w:id="23"/>
      </w:r>
    </w:p>
    <w:p w14:paraId="37BBD8C2" w14:textId="77777777" w:rsidR="00DB76D3" w:rsidRDefault="00DB76D3" w:rsidP="006B03E0">
      <w:pPr>
        <w:pStyle w:val="BodyTextMain"/>
      </w:pPr>
    </w:p>
    <w:p w14:paraId="3C776777" w14:textId="161E9A19" w:rsidR="00DB76D3" w:rsidRPr="0053061F" w:rsidRDefault="00DB76D3" w:rsidP="006B03E0">
      <w:pPr>
        <w:pStyle w:val="BodyTextMain"/>
        <w:rPr>
          <w:spacing w:val="-2"/>
          <w:kern w:val="22"/>
        </w:rPr>
      </w:pPr>
      <w:r w:rsidRPr="0053061F">
        <w:rPr>
          <w:spacing w:val="-2"/>
          <w:kern w:val="22"/>
        </w:rPr>
        <w:lastRenderedPageBreak/>
        <w:t xml:space="preserve">In 1941, the valuation for lost resources was raised to over $280,000; in 1943, it was reduced to $72,000. Still, in the end, only $50,000 was paid to the band. Lac </w:t>
      </w:r>
      <w:proofErr w:type="spellStart"/>
      <w:r w:rsidRPr="0053061F">
        <w:rPr>
          <w:spacing w:val="-2"/>
          <w:kern w:val="22"/>
        </w:rPr>
        <w:t>Seul</w:t>
      </w:r>
      <w:proofErr w:type="spellEnd"/>
      <w:r w:rsidRPr="0053061F">
        <w:rPr>
          <w:spacing w:val="-2"/>
          <w:kern w:val="22"/>
        </w:rPr>
        <w:t xml:space="preserve"> had been pursuing appropriate compensation ever since. In what was an illustrative irony, the band itself did not get electricity until 1980.</w:t>
      </w:r>
    </w:p>
    <w:p w14:paraId="4BC90F21" w14:textId="77777777" w:rsidR="00DB76D3" w:rsidRDefault="00DB76D3" w:rsidP="006B03E0">
      <w:pPr>
        <w:pStyle w:val="BodyTextMain"/>
      </w:pPr>
    </w:p>
    <w:p w14:paraId="7B564917" w14:textId="70F48C0C" w:rsidR="00DB76D3" w:rsidRPr="00912FDA" w:rsidRDefault="00DB76D3" w:rsidP="006B03E0">
      <w:pPr>
        <w:pStyle w:val="BodyTextMain"/>
        <w:rPr>
          <w:spacing w:val="-2"/>
          <w:kern w:val="22"/>
        </w:rPr>
      </w:pPr>
      <w:r w:rsidRPr="00912FDA">
        <w:rPr>
          <w:spacing w:val="-2"/>
          <w:kern w:val="22"/>
        </w:rPr>
        <w:t>In 1985, the band filed a flood claim under the government’s Specific Claims Policy. Canada introduced the policy in 2007 to facilitate grievances resulting from an alleged failure to meet basic treaty obligations. (If there was no treaty in place, bands were to use a “Comprehensive Claims” process.) The Specific Claims Policy was an update of an old policy that was inefficient and had created a backlog of cases. The process featured independent judges who could award up to $150 million in compensation. Canada maintained a record of Specific Claims with negotiated agreements.</w:t>
      </w:r>
      <w:r w:rsidRPr="00912FDA">
        <w:rPr>
          <w:rStyle w:val="EndnoteReference"/>
          <w:spacing w:val="-2"/>
          <w:kern w:val="22"/>
        </w:rPr>
        <w:endnoteReference w:id="24"/>
      </w:r>
      <w:r w:rsidRPr="00912FDA">
        <w:rPr>
          <w:spacing w:val="-2"/>
          <w:kern w:val="22"/>
        </w:rPr>
        <w:t xml:space="preserve"> Settlements ranged from $100,000 to millions for a variety of issues</w:t>
      </w:r>
      <w:r w:rsidR="00B60E1A">
        <w:rPr>
          <w:spacing w:val="-2"/>
          <w:kern w:val="22"/>
        </w:rPr>
        <w:t>,</w:t>
      </w:r>
      <w:r w:rsidRPr="00912FDA">
        <w:rPr>
          <w:spacing w:val="-2"/>
          <w:kern w:val="22"/>
        </w:rPr>
        <w:t xml:space="preserve"> from improper surveys and easements to compensation for flooding and fiduciary obligations.</w:t>
      </w:r>
    </w:p>
    <w:p w14:paraId="383EEAF8" w14:textId="77777777" w:rsidR="00DB76D3" w:rsidRDefault="00DB76D3" w:rsidP="006B03E0">
      <w:pPr>
        <w:pStyle w:val="BodyTextMain"/>
      </w:pPr>
    </w:p>
    <w:p w14:paraId="60C9106C" w14:textId="1FB92914" w:rsidR="00DB76D3" w:rsidRDefault="00DB76D3" w:rsidP="006B03E0">
      <w:pPr>
        <w:pStyle w:val="BodyTextMain"/>
      </w:pPr>
      <w:r>
        <w:t xml:space="preserve">Canada offered to negotiate Lac </w:t>
      </w:r>
      <w:proofErr w:type="spellStart"/>
      <w:r>
        <w:t>Seul’s</w:t>
      </w:r>
      <w:proofErr w:type="spellEnd"/>
      <w:r>
        <w:t xml:space="preserve"> claim in 1995. Thirteen years later, the government offered Lac </w:t>
      </w:r>
      <w:proofErr w:type="spellStart"/>
      <w:r>
        <w:t>Seul</w:t>
      </w:r>
      <w:proofErr w:type="spellEnd"/>
      <w:r>
        <w:t xml:space="preserve"> a settlement of $7 million. The band rejected the offer and launched a lawsuit, which was scheduled to begin in September 2016.</w:t>
      </w:r>
    </w:p>
    <w:p w14:paraId="1C87E165" w14:textId="77777777" w:rsidR="00DB76D3" w:rsidRDefault="00DB76D3" w:rsidP="006B03E0">
      <w:pPr>
        <w:pStyle w:val="BodyTextMain"/>
      </w:pPr>
    </w:p>
    <w:p w14:paraId="23DE9139" w14:textId="4324D98D" w:rsidR="00DB76D3" w:rsidRDefault="00DB76D3" w:rsidP="006B03E0">
      <w:pPr>
        <w:pStyle w:val="BodyTextMain"/>
      </w:pPr>
      <w:r>
        <w:t xml:space="preserve">Related to the flood claim was negotiation over expansion of the power station at Ear Falls. </w:t>
      </w:r>
      <w:r w:rsidR="006F42D6">
        <w:t>In 2004</w:t>
      </w:r>
      <w:r w:rsidR="00D23A9B">
        <w:t>,</w:t>
      </w:r>
      <w:r w:rsidR="006F42D6">
        <w:t xml:space="preserve"> </w:t>
      </w:r>
      <w:r>
        <w:t>Ontario Power Generation</w:t>
      </w:r>
      <w:r w:rsidR="006F42D6">
        <w:t xml:space="preserve"> (OPG)</w:t>
      </w:r>
      <w:r>
        <w:t>, a Crown corporation responsible for about half of the electricity generated for the whole province of Ontario, was planning to expand the dam to capture water flow that spilled past the existing generating station. In typical fashion, the band was the last to hear of the project. In fact, Gordon, still chief at the time, only learned about the project by hearing about it on the radio.</w:t>
      </w:r>
      <w:r>
        <w:rPr>
          <w:rStyle w:val="EndnoteReference"/>
        </w:rPr>
        <w:endnoteReference w:id="25"/>
      </w:r>
      <w:r>
        <w:t xml:space="preserve"> The band organized a bus and went to protest the province’s actions.</w:t>
      </w:r>
    </w:p>
    <w:p w14:paraId="2C75EDA8" w14:textId="77777777" w:rsidR="00DB76D3" w:rsidRDefault="00DB76D3" w:rsidP="006B03E0">
      <w:pPr>
        <w:pStyle w:val="BodyTextMain"/>
      </w:pPr>
    </w:p>
    <w:p w14:paraId="432B177A" w14:textId="20923FCA" w:rsidR="00DB76D3" w:rsidRDefault="00DB76D3" w:rsidP="006B03E0">
      <w:pPr>
        <w:pStyle w:val="BodyTextMain"/>
      </w:pPr>
      <w:r>
        <w:t>A series of negotiations followed, forced by requirements of</w:t>
      </w:r>
      <w:r w:rsidR="006F42D6">
        <w:t xml:space="preserve"> the</w:t>
      </w:r>
      <w:r>
        <w:t xml:space="preserve"> Ontario</w:t>
      </w:r>
      <w:r w:rsidR="006F42D6">
        <w:t xml:space="preserve"> government for OPG</w:t>
      </w:r>
      <w:r>
        <w:t xml:space="preserve"> to obtain a permit to take water. Lac </w:t>
      </w:r>
      <w:proofErr w:type="spellStart"/>
      <w:r>
        <w:t>Seul</w:t>
      </w:r>
      <w:proofErr w:type="spellEnd"/>
      <w:r>
        <w:t xml:space="preserve"> was awarded a financial settlement based on past hydro activity and sales. By reinvesting $4 million from the settlement, Lac </w:t>
      </w:r>
      <w:proofErr w:type="spellStart"/>
      <w:r>
        <w:t>Seul</w:t>
      </w:r>
      <w:proofErr w:type="spellEnd"/>
      <w:r>
        <w:t xml:space="preserve"> became </w:t>
      </w:r>
      <w:r w:rsidR="00D23A9B">
        <w:t xml:space="preserve">a </w:t>
      </w:r>
      <w:r>
        <w:t xml:space="preserve">25 per cent owner of the new 12.5 megawatt </w:t>
      </w:r>
      <w:proofErr w:type="spellStart"/>
      <w:r>
        <w:t>Obishikokaang</w:t>
      </w:r>
      <w:proofErr w:type="spellEnd"/>
      <w:r>
        <w:t xml:space="preserve"> </w:t>
      </w:r>
      <w:proofErr w:type="spellStart"/>
      <w:r>
        <w:t>Waasiganikewigamig</w:t>
      </w:r>
      <w:proofErr w:type="spellEnd"/>
      <w:r>
        <w:t xml:space="preserve">/Lac </w:t>
      </w:r>
      <w:proofErr w:type="spellStart"/>
      <w:r>
        <w:t>Seul</w:t>
      </w:r>
      <w:proofErr w:type="spellEnd"/>
      <w:r>
        <w:t xml:space="preserve"> Generating Station.</w:t>
      </w:r>
      <w:r>
        <w:rPr>
          <w:rStyle w:val="EndnoteReference"/>
        </w:rPr>
        <w:endnoteReference w:id="26"/>
      </w:r>
      <w:r>
        <w:t xml:space="preserve"> The dam began commercial operation on February 18, 2009. It featured a first-on and last-off the grid demand, meaning the dam’s output and Lac </w:t>
      </w:r>
      <w:proofErr w:type="spellStart"/>
      <w:r>
        <w:t>Seul’s</w:t>
      </w:r>
      <w:proofErr w:type="spellEnd"/>
      <w:r>
        <w:t xml:space="preserve"> investment were maximized.</w:t>
      </w:r>
    </w:p>
    <w:p w14:paraId="67308E2A" w14:textId="77777777" w:rsidR="00DB76D3" w:rsidRDefault="00DB76D3" w:rsidP="006B03E0">
      <w:pPr>
        <w:pStyle w:val="BodyTextMain"/>
      </w:pPr>
    </w:p>
    <w:p w14:paraId="4CCAE235" w14:textId="77777777" w:rsidR="00DB76D3" w:rsidRDefault="00DB76D3" w:rsidP="006B03E0">
      <w:pPr>
        <w:pStyle w:val="BodyTextMain"/>
      </w:pPr>
    </w:p>
    <w:p w14:paraId="1E54FC40" w14:textId="6CD30031" w:rsidR="00DB76D3" w:rsidRDefault="00DB76D3" w:rsidP="00715F7A">
      <w:pPr>
        <w:pStyle w:val="Casehead2"/>
        <w:keepNext/>
      </w:pPr>
      <w:r>
        <w:t xml:space="preserve">Minerals </w:t>
      </w:r>
    </w:p>
    <w:p w14:paraId="3D5DD36E" w14:textId="77777777" w:rsidR="00DB76D3" w:rsidRDefault="00DB76D3" w:rsidP="00715F7A">
      <w:pPr>
        <w:pStyle w:val="BodyTextMain"/>
        <w:keepNext/>
      </w:pPr>
    </w:p>
    <w:p w14:paraId="5384F4EE" w14:textId="70AD92AE" w:rsidR="00DB76D3" w:rsidRDefault="00DB76D3" w:rsidP="006B03E0">
      <w:pPr>
        <w:pStyle w:val="BodyTextMain"/>
      </w:pPr>
      <w:r>
        <w:t>Records show that the Red Lake area had been sporadically explored since 1893, but nothing was sustained at the time.</w:t>
      </w:r>
      <w:r>
        <w:rPr>
          <w:rStyle w:val="EndnoteReference"/>
        </w:rPr>
        <w:endnoteReference w:id="27"/>
      </w:r>
      <w:r>
        <w:t xml:space="preserve"> E. L. Bruce, a professor of geology at Queen’s University</w:t>
      </w:r>
      <w:r w:rsidR="00B60E1A">
        <w:t xml:space="preserve"> in Kingston</w:t>
      </w:r>
      <w:r>
        <w:t xml:space="preserve">, visited and explored the area in the summers of 1922 and 1923. His report, published in 1924, indicated the geology was similar to that at Kirkland Lake, where a gold deposit was found. An investment group from </w:t>
      </w:r>
      <w:proofErr w:type="spellStart"/>
      <w:r>
        <w:t>Haileybury</w:t>
      </w:r>
      <w:proofErr w:type="spellEnd"/>
      <w:r>
        <w:t>, Ontario, sponsored two prospectors, brothers Lorne and Ray Howey, to look for gold. They discovered gold-bearing rock in 1925; by 1926, the rush for development was on.</w:t>
      </w:r>
    </w:p>
    <w:p w14:paraId="2EB543BA" w14:textId="77777777" w:rsidR="00DB76D3" w:rsidRDefault="00DB76D3" w:rsidP="006B03E0">
      <w:pPr>
        <w:pStyle w:val="BodyTextMain"/>
      </w:pPr>
    </w:p>
    <w:p w14:paraId="7AF3F44F" w14:textId="3C6B0A64" w:rsidR="00DB76D3" w:rsidRDefault="00DB76D3" w:rsidP="006B03E0">
      <w:pPr>
        <w:pStyle w:val="BodyTextMain"/>
      </w:pPr>
      <w:r>
        <w:t>Since 1925, mines at Red Lake had produced 28 million ounces of gold.</w:t>
      </w:r>
      <w:r>
        <w:rPr>
          <w:rStyle w:val="EndnoteReference"/>
        </w:rPr>
        <w:endnoteReference w:id="28"/>
      </w:r>
      <w:r>
        <w:t xml:space="preserve"> Two-thirds of the gold (66 per cent) came from Goldcorp’s Red Lake mine, formerly known as the Dickenson mine (1994), and before that, the Arthur White mine. In 2006, Goldcorp acquired the Campbell Mine and began operating it and the Red Lake mine as a single project. Together, they produced over 500,000 ounces of gold in 2012. The Red Lake mine was the larger mine by far, producing more than 400,000 ounces of gold in 2014. Plans for the mining complex included continued production and exploration.</w:t>
      </w:r>
      <w:r>
        <w:rPr>
          <w:rStyle w:val="EndnoteReference"/>
        </w:rPr>
        <w:endnoteReference w:id="29"/>
      </w:r>
      <w:r>
        <w:t xml:space="preserve"> As of 2014, Goldcorp estimated the mines would produce over 2 million ounces of gold. Although Goldcorp was the major player at Red Lake, other mining companies were also exploring the region.</w:t>
      </w:r>
    </w:p>
    <w:p w14:paraId="6AF4CDD5" w14:textId="69727AAD" w:rsidR="00DB76D3" w:rsidRDefault="00DB76D3" w:rsidP="006B03E0">
      <w:pPr>
        <w:pStyle w:val="BodyTextMain"/>
      </w:pPr>
      <w:r>
        <w:lastRenderedPageBreak/>
        <w:t xml:space="preserve">Other First Nations also had experience with mining companies. A northern neighbouring band, </w:t>
      </w:r>
      <w:proofErr w:type="spellStart"/>
      <w:r>
        <w:t>Kitchenuhmaykoosib</w:t>
      </w:r>
      <w:proofErr w:type="spellEnd"/>
      <w:r>
        <w:t xml:space="preserve"> </w:t>
      </w:r>
      <w:proofErr w:type="spellStart"/>
      <w:r>
        <w:t>Inninuwug</w:t>
      </w:r>
      <w:proofErr w:type="spellEnd"/>
      <w:r>
        <w:t xml:space="preserve"> First Nation (KI)</w:t>
      </w:r>
      <w:r w:rsidR="000A2D7C">
        <w:t>,</w:t>
      </w:r>
      <w:r>
        <w:t xml:space="preserve"> clashed with </w:t>
      </w:r>
      <w:proofErr w:type="spellStart"/>
      <w:r>
        <w:t>Platinex</w:t>
      </w:r>
      <w:proofErr w:type="spellEnd"/>
      <w:r>
        <w:t xml:space="preserve"> Inc.</w:t>
      </w:r>
      <w:r w:rsidR="00D23A9B">
        <w:t xml:space="preserve"> (</w:t>
      </w:r>
      <w:proofErr w:type="spellStart"/>
      <w:r w:rsidR="00D23A9B">
        <w:t>Platinex</w:t>
      </w:r>
      <w:proofErr w:type="spellEnd"/>
      <w:r w:rsidR="00D23A9B">
        <w:t>).</w:t>
      </w:r>
      <w:r>
        <w:t xml:space="preserve"> KI was located on Big Trout Lake, approximately 400 kilometres northeast of Lac </w:t>
      </w:r>
      <w:proofErr w:type="spellStart"/>
      <w:r>
        <w:t>Seul</w:t>
      </w:r>
      <w:proofErr w:type="spellEnd"/>
      <w:r>
        <w:t xml:space="preserve">. </w:t>
      </w:r>
      <w:proofErr w:type="spellStart"/>
      <w:r>
        <w:t>Platinex</w:t>
      </w:r>
      <w:proofErr w:type="spellEnd"/>
      <w:r>
        <w:t xml:space="preserve"> was a junior mining company that began exploring in the area in 1999. KI and </w:t>
      </w:r>
      <w:proofErr w:type="spellStart"/>
      <w:r>
        <w:t>Platinex</w:t>
      </w:r>
      <w:proofErr w:type="spellEnd"/>
      <w:r>
        <w:t xml:space="preserve"> had initial discussions and negotiations, but talks broke down. In August 2005, KI sent a letter to </w:t>
      </w:r>
      <w:proofErr w:type="spellStart"/>
      <w:r>
        <w:t>Platinex</w:t>
      </w:r>
      <w:proofErr w:type="spellEnd"/>
      <w:r>
        <w:t xml:space="preserve"> ending negotiations:</w:t>
      </w:r>
    </w:p>
    <w:p w14:paraId="490AB1BF" w14:textId="77777777" w:rsidR="00DB76D3" w:rsidRDefault="00DB76D3" w:rsidP="006B03E0">
      <w:pPr>
        <w:pStyle w:val="BodyTextMain"/>
      </w:pPr>
    </w:p>
    <w:p w14:paraId="2E69A265" w14:textId="3081E66E" w:rsidR="00DB76D3" w:rsidRDefault="00DB76D3" w:rsidP="00715F7A">
      <w:pPr>
        <w:pStyle w:val="BodyTextMain"/>
        <w:ind w:left="720"/>
        <w:rPr>
          <w:color w:val="000000"/>
        </w:rPr>
      </w:pPr>
      <w:r>
        <w:rPr>
          <w:color w:val="000000"/>
        </w:rPr>
        <w:t>It was decided that effective immediately, August 30, 2005, all previous Agreements and Letters of Understanding between all affected parties . . . related to your proposed work around the above mentioned area, both verbal and written, will be null and void.</w:t>
      </w:r>
    </w:p>
    <w:p w14:paraId="0787F990" w14:textId="77777777" w:rsidR="00DB76D3" w:rsidRDefault="00DB76D3">
      <w:pPr>
        <w:pStyle w:val="BodyTextMain"/>
      </w:pPr>
    </w:p>
    <w:p w14:paraId="0A223FB8" w14:textId="55F518B1" w:rsidR="00DB76D3" w:rsidRDefault="00DB76D3" w:rsidP="006B03E0">
      <w:pPr>
        <w:pStyle w:val="BodyTextMain"/>
      </w:pPr>
      <w:r>
        <w:t xml:space="preserve">Subsequently, to acquire a listing on the TSX Venture Exchange, </w:t>
      </w:r>
      <w:proofErr w:type="spellStart"/>
      <w:r>
        <w:t>Platinex</w:t>
      </w:r>
      <w:proofErr w:type="spellEnd"/>
      <w:r>
        <w:t xml:space="preserve"> falsely reported, “[</w:t>
      </w:r>
      <w:r>
        <w:rPr>
          <w:color w:val="000000"/>
        </w:rPr>
        <w:t>KI] has verbally consented to low impact exploration.”</w:t>
      </w:r>
      <w:r w:rsidR="00DD7FD8">
        <w:rPr>
          <w:rStyle w:val="EndnoteReference"/>
          <w:color w:val="000000"/>
        </w:rPr>
        <w:endnoteReference w:id="30"/>
      </w:r>
      <w:r>
        <w:rPr>
          <w:color w:val="000000"/>
        </w:rPr>
        <w:t xml:space="preserve"> A drilling team was then sent in, and the band blockaded the road and airstrip. The drilling team departed, and KI and </w:t>
      </w:r>
      <w:proofErr w:type="spellStart"/>
      <w:r>
        <w:rPr>
          <w:color w:val="000000"/>
        </w:rPr>
        <w:t>Platinex</w:t>
      </w:r>
      <w:proofErr w:type="spellEnd"/>
      <w:r>
        <w:rPr>
          <w:color w:val="000000"/>
        </w:rPr>
        <w:t xml:space="preserve"> each filed for a court injunction against the activities of the other. The matter resolved unhappily with a temporary halt on both parties and a directive to both parties to “begin [</w:t>
      </w:r>
      <w:r w:rsidRPr="00CB179F">
        <w:rPr>
          <w:color w:val="000000"/>
          <w:lang w:val="en-US"/>
        </w:rPr>
        <w:t>communication and honest and open dialogue</w:t>
      </w:r>
      <w:r>
        <w:rPr>
          <w:color w:val="000000"/>
          <w:lang w:val="en-US"/>
        </w:rPr>
        <w:t xml:space="preserve">] </w:t>
      </w:r>
      <w:r w:rsidRPr="00CB179F">
        <w:rPr>
          <w:color w:val="000000"/>
          <w:lang w:val="en-US"/>
        </w:rPr>
        <w:t>again.</w:t>
      </w:r>
      <w:r>
        <w:rPr>
          <w:color w:val="000000"/>
          <w:lang w:val="en-US"/>
        </w:rPr>
        <w:t>” The court pronounced that</w:t>
      </w:r>
      <w:r w:rsidRPr="00CB179F">
        <w:rPr>
          <w:color w:val="000000"/>
          <w:lang w:val="en-US"/>
        </w:rPr>
        <w:t xml:space="preserve"> </w:t>
      </w:r>
      <w:r>
        <w:rPr>
          <w:color w:val="000000"/>
          <w:lang w:val="en-US"/>
        </w:rPr>
        <w:t>“t</w:t>
      </w:r>
      <w:r w:rsidRPr="00CB179F">
        <w:rPr>
          <w:color w:val="000000"/>
          <w:lang w:val="en-US"/>
        </w:rPr>
        <w:t>he parties must continue to seek their own resolution of their</w:t>
      </w:r>
      <w:r>
        <w:rPr>
          <w:color w:val="000000"/>
          <w:lang w:val="en-US"/>
        </w:rPr>
        <w:t xml:space="preserve"> issues and concerns</w:t>
      </w:r>
      <w:r>
        <w:rPr>
          <w:color w:val="000000"/>
        </w:rPr>
        <w:t>.”</w:t>
      </w:r>
      <w:r>
        <w:rPr>
          <w:rStyle w:val="EndnoteReference"/>
        </w:rPr>
        <w:endnoteReference w:id="31"/>
      </w:r>
      <w:r>
        <w:t xml:space="preserve"> </w:t>
      </w:r>
    </w:p>
    <w:p w14:paraId="3290546F" w14:textId="77777777" w:rsidR="00DB76D3" w:rsidRDefault="00DB76D3" w:rsidP="006B03E0">
      <w:pPr>
        <w:pStyle w:val="BodyTextMain"/>
      </w:pPr>
    </w:p>
    <w:p w14:paraId="067DC1D0" w14:textId="25A5EC6B" w:rsidR="00DB76D3" w:rsidRDefault="00DB76D3" w:rsidP="006B03E0">
      <w:pPr>
        <w:pStyle w:val="BodyTextMain"/>
      </w:pPr>
      <w:r>
        <w:t xml:space="preserve">Instead, both sides took further actions. In 2008, KI members protested and were jailed. </w:t>
      </w:r>
      <w:proofErr w:type="spellStart"/>
      <w:r>
        <w:t>Platinex</w:t>
      </w:r>
      <w:proofErr w:type="spellEnd"/>
      <w:r>
        <w:t xml:space="preserve"> tried to land a floatplane at the community in August 2009 but was blocked by protestors. Finally, Ontario settled the dispute with a </w:t>
      </w:r>
      <w:proofErr w:type="spellStart"/>
      <w:r>
        <w:t>payout</w:t>
      </w:r>
      <w:proofErr w:type="spellEnd"/>
      <w:r>
        <w:t xml:space="preserve"> of $5 million to </w:t>
      </w:r>
      <w:proofErr w:type="spellStart"/>
      <w:r>
        <w:t>Platinex</w:t>
      </w:r>
      <w:proofErr w:type="spellEnd"/>
      <w:r>
        <w:t xml:space="preserve"> in exchange for </w:t>
      </w:r>
      <w:proofErr w:type="spellStart"/>
      <w:r>
        <w:t>Platinex</w:t>
      </w:r>
      <w:proofErr w:type="spellEnd"/>
      <w:r>
        <w:t xml:space="preserve"> dropping all lawsuits against the government and KI.</w:t>
      </w:r>
      <w:r>
        <w:rPr>
          <w:rStyle w:val="EndnoteReference"/>
        </w:rPr>
        <w:endnoteReference w:id="32"/>
      </w:r>
      <w:r>
        <w:t xml:space="preserve"> This unhappy episode was unfolding while Lac </w:t>
      </w:r>
      <w:proofErr w:type="spellStart"/>
      <w:r>
        <w:t>Seul</w:t>
      </w:r>
      <w:proofErr w:type="spellEnd"/>
      <w:r>
        <w:t xml:space="preserve"> was negotiating with a number of companies; clearly, KI’s experience informed Lac </w:t>
      </w:r>
      <w:proofErr w:type="spellStart"/>
      <w:r>
        <w:t>Seul’s</w:t>
      </w:r>
      <w:proofErr w:type="spellEnd"/>
      <w:r>
        <w:t xml:space="preserve"> negotiations.</w:t>
      </w:r>
    </w:p>
    <w:p w14:paraId="2180FA64" w14:textId="77777777" w:rsidR="00DB76D3" w:rsidRDefault="00DB76D3" w:rsidP="006B03E0">
      <w:pPr>
        <w:pStyle w:val="BodyTextMain"/>
      </w:pPr>
    </w:p>
    <w:p w14:paraId="6C12A026" w14:textId="77777777" w:rsidR="00DB76D3" w:rsidRDefault="00DB76D3" w:rsidP="00715F7A">
      <w:pPr>
        <w:pStyle w:val="BodyTextMain"/>
      </w:pPr>
    </w:p>
    <w:p w14:paraId="2196B922" w14:textId="77777777" w:rsidR="00DB76D3" w:rsidRDefault="00DB76D3" w:rsidP="006B03E0">
      <w:pPr>
        <w:pStyle w:val="Casehead1"/>
      </w:pPr>
      <w:r>
        <w:t>Goldcorp</w:t>
      </w:r>
    </w:p>
    <w:p w14:paraId="2E491369" w14:textId="77777777" w:rsidR="00DB76D3" w:rsidRDefault="00DB76D3" w:rsidP="006B03E0">
      <w:pPr>
        <w:pStyle w:val="BodyTextMain"/>
      </w:pPr>
    </w:p>
    <w:p w14:paraId="447A769D" w14:textId="3ECC1625" w:rsidR="00DB76D3" w:rsidRDefault="00DB76D3" w:rsidP="006B03E0">
      <w:pPr>
        <w:pStyle w:val="BodyTextMain"/>
      </w:pPr>
      <w:r>
        <w:t xml:space="preserve">The Lac </w:t>
      </w:r>
      <w:proofErr w:type="spellStart"/>
      <w:r>
        <w:t>Seul</w:t>
      </w:r>
      <w:proofErr w:type="spellEnd"/>
      <w:r>
        <w:t xml:space="preserve"> chief and band were well aware of mining that was going on in the area. The remote area—160 kilometres northwest of Sioux Lookout but a four-hour drive by road—was part of Lac </w:t>
      </w:r>
      <w:proofErr w:type="spellStart"/>
      <w:r>
        <w:t>Seul’s</w:t>
      </w:r>
      <w:proofErr w:type="spellEnd"/>
      <w:r>
        <w:t xml:space="preserve"> traditional territory for time immemorial, and had been the site of mining for more than eight decades. In 2006, talks were initiated with Gold Eagle Mines Limited, a junior mining company in the Red Lake mine trend, looking to develop a deposit of up to 6 million ounces. Initial meetings with the exploration manager seemed to be progressing, if slowly.</w:t>
      </w:r>
      <w:r>
        <w:rPr>
          <w:rStyle w:val="EndnoteReference"/>
        </w:rPr>
        <w:endnoteReference w:id="33"/>
      </w:r>
      <w:r>
        <w:t xml:space="preserve"> Lac </w:t>
      </w:r>
      <w:proofErr w:type="spellStart"/>
      <w:r>
        <w:t>Seul</w:t>
      </w:r>
      <w:proofErr w:type="spellEnd"/>
      <w:r>
        <w:t xml:space="preserve"> was interested in a small percentage of the exploration budget—approximately 2 per cent. This would have provided resources for the </w:t>
      </w:r>
      <w:r w:rsidR="00DD7FD8">
        <w:t xml:space="preserve">band </w:t>
      </w:r>
      <w:r>
        <w:t>to become more involved in the mining process.</w:t>
      </w:r>
    </w:p>
    <w:p w14:paraId="29254C37" w14:textId="77777777" w:rsidR="00DB76D3" w:rsidRDefault="00DB76D3" w:rsidP="006B03E0">
      <w:pPr>
        <w:pStyle w:val="BodyTextMain"/>
      </w:pPr>
    </w:p>
    <w:p w14:paraId="16E99208" w14:textId="51AFEF17" w:rsidR="00DB76D3" w:rsidRDefault="00DB76D3" w:rsidP="006B03E0">
      <w:pPr>
        <w:pStyle w:val="BodyTextMain"/>
      </w:pPr>
      <w:r>
        <w:t xml:space="preserve">In the summer of 2008, </w:t>
      </w:r>
      <w:proofErr w:type="spellStart"/>
      <w:r>
        <w:t>Agnico</w:t>
      </w:r>
      <w:proofErr w:type="spellEnd"/>
      <w:r>
        <w:t xml:space="preserve"> Eagle Mines Limited invested $50 million in Gold Eagle for a 7.2 per cent stake in the company.</w:t>
      </w:r>
      <w:r>
        <w:rPr>
          <w:rStyle w:val="EndnoteReference"/>
        </w:rPr>
        <w:endnoteReference w:id="34"/>
      </w:r>
      <w:r>
        <w:t xml:space="preserve"> This was intended to support Gold Eagle’s exploration program. Goldcorp, which owned the larger mines in the area, reacted to </w:t>
      </w:r>
      <w:proofErr w:type="spellStart"/>
      <w:r>
        <w:t>Agnico’s</w:t>
      </w:r>
      <w:proofErr w:type="spellEnd"/>
      <w:r>
        <w:t xml:space="preserve"> investment by offering to buy out Gold Eagle for $1.5 billion, a premium of $500 million over the </w:t>
      </w:r>
      <w:proofErr w:type="spellStart"/>
      <w:r>
        <w:t>Agnico</w:t>
      </w:r>
      <w:proofErr w:type="spellEnd"/>
      <w:r>
        <w:t xml:space="preserve"> valuation.</w:t>
      </w:r>
      <w:r>
        <w:rPr>
          <w:rStyle w:val="EndnoteReference"/>
        </w:rPr>
        <w:endnoteReference w:id="35"/>
      </w:r>
      <w:r>
        <w:t xml:space="preserve"> Gold Eagle sold immediately</w:t>
      </w:r>
      <w:r w:rsidR="00184F38">
        <w:t>,</w:t>
      </w:r>
      <w:r>
        <w:t xml:space="preserve"> and the Lac </w:t>
      </w:r>
      <w:proofErr w:type="spellStart"/>
      <w:r>
        <w:t>Seul</w:t>
      </w:r>
      <w:proofErr w:type="spellEnd"/>
      <w:r>
        <w:t xml:space="preserve"> band was left without an agreement. The band recommenced negotiations with the local Red Lake mine manager and seemed to make some headway. However, that manager left the company soon after and was replaced by a new manager. Relations seemed to be “less cordial,” simply as a result of a change in personalities at the table.</w:t>
      </w:r>
      <w:r>
        <w:rPr>
          <w:rStyle w:val="EndnoteReference"/>
        </w:rPr>
        <w:endnoteReference w:id="36"/>
      </w:r>
    </w:p>
    <w:p w14:paraId="1993EB4A" w14:textId="77777777" w:rsidR="00DB76D3" w:rsidRDefault="00DB76D3" w:rsidP="006B03E0">
      <w:pPr>
        <w:pStyle w:val="BodyTextMain"/>
      </w:pPr>
    </w:p>
    <w:p w14:paraId="5AB63A11" w14:textId="696B9C03" w:rsidR="00DB76D3" w:rsidRDefault="00DB76D3" w:rsidP="006B03E0">
      <w:pPr>
        <w:pStyle w:val="BodyTextMain"/>
      </w:pPr>
      <w:r>
        <w:t>Goldcorp, however, was willing to negotiate and so discussions progressed. A negotiation protocol agreement was signed in April 2002. Goldcorp demonstrated goodwill by providing the band with $500,000 for a new training centre before negotiations were complete. A new local person for Goldcorp relieved the tensions that had been building, and negotiations continued. The major stumbling block was environmental issues</w:t>
      </w:r>
      <w:r w:rsidR="00184F38">
        <w:t>, which</w:t>
      </w:r>
      <w:r>
        <w:t xml:space="preserve"> were a concern to the band. A typical gold mine used cyanide and arsenic, which could find </w:t>
      </w:r>
      <w:r>
        <w:lastRenderedPageBreak/>
        <w:t>their way from the mine tailings into nearby lakes and rivers, with obvious negative effects. Past practice had been less than ideal when considering environmental impact, so the band wanted to prevent further damage to the environment and ensure recovery measures were in place.</w:t>
      </w:r>
    </w:p>
    <w:p w14:paraId="1BDE8342" w14:textId="77777777" w:rsidR="00DB76D3" w:rsidRDefault="00DB76D3" w:rsidP="006B03E0">
      <w:pPr>
        <w:pStyle w:val="BodyTextMain"/>
      </w:pPr>
    </w:p>
    <w:p w14:paraId="425E2FBA" w14:textId="604D0271" w:rsidR="00DB76D3" w:rsidRDefault="00DB76D3" w:rsidP="006B03E0">
      <w:pPr>
        <w:pStyle w:val="BodyTextMain"/>
      </w:pPr>
      <w:r>
        <w:t>After years of negotiation, through ownership and personnel changes, an</w:t>
      </w:r>
      <w:r w:rsidR="0053061F">
        <w:t xml:space="preserve"> agreement was signed on August</w:t>
      </w:r>
      <w:r w:rsidR="00184F38">
        <w:t> </w:t>
      </w:r>
      <w:r>
        <w:t>16, 2013.</w:t>
      </w:r>
      <w:r>
        <w:rPr>
          <w:rStyle w:val="EndnoteReference"/>
        </w:rPr>
        <w:endnoteReference w:id="37"/>
      </w:r>
      <w:r>
        <w:t xml:space="preserve"> </w:t>
      </w:r>
      <w:r w:rsidR="004D76E8">
        <w:t>Legal precedents, t</w:t>
      </w:r>
      <w:r>
        <w:t>he need for water-taking permits</w:t>
      </w:r>
      <w:r w:rsidR="00184F38">
        <w:t>,</w:t>
      </w:r>
      <w:r>
        <w:t xml:space="preserve"> and additional power were factors that would have motivated Goldcorp to negotiate. The agreement covered yearly financial support for community infrastructure as well as employment, training, and contracting, and permits for environmental issues such as water and tailings. A $500,000 equity fund was established to support new business development. This was a great asset for the community and helped them build their capacity in dealing with resource companies.</w:t>
      </w:r>
    </w:p>
    <w:p w14:paraId="27FC1751" w14:textId="77777777" w:rsidR="00DB76D3" w:rsidRDefault="00DB76D3" w:rsidP="00715F7A">
      <w:pPr>
        <w:pStyle w:val="BodyTextMain"/>
      </w:pPr>
    </w:p>
    <w:p w14:paraId="0D1734AD" w14:textId="77777777" w:rsidR="00DB76D3" w:rsidRPr="0073051E" w:rsidRDefault="00DB76D3" w:rsidP="00715F7A">
      <w:pPr>
        <w:pStyle w:val="BodyTextMain"/>
      </w:pPr>
    </w:p>
    <w:p w14:paraId="4E4C97CE" w14:textId="79E9540F" w:rsidR="00DB76D3" w:rsidRDefault="00DB76D3" w:rsidP="006B03E0">
      <w:pPr>
        <w:pStyle w:val="Casehead1"/>
      </w:pPr>
      <w:r>
        <w:t>Rubicon</w:t>
      </w:r>
    </w:p>
    <w:p w14:paraId="6B689432" w14:textId="77777777" w:rsidR="00DB76D3" w:rsidRDefault="00DB76D3" w:rsidP="006B03E0">
      <w:pPr>
        <w:pStyle w:val="BodyTextMain"/>
      </w:pPr>
    </w:p>
    <w:p w14:paraId="260A449E" w14:textId="0563A3B6" w:rsidR="00DB76D3" w:rsidRDefault="00DB76D3" w:rsidP="006B03E0">
      <w:pPr>
        <w:pStyle w:val="BodyTextMain"/>
      </w:pPr>
      <w:r>
        <w:t xml:space="preserve">Rubicon Minerals Corporation </w:t>
      </w:r>
      <w:r w:rsidR="00D90A76">
        <w:t xml:space="preserve">(Rubicon) </w:t>
      </w:r>
      <w:r>
        <w:t xml:space="preserve">was a mining company formed in British Columbia in 1996. It had been exploring in the Red Lake area since the late 1990s. Rubicon and Lac </w:t>
      </w:r>
      <w:proofErr w:type="spellStart"/>
      <w:r>
        <w:t>Seul</w:t>
      </w:r>
      <w:proofErr w:type="spellEnd"/>
      <w:r>
        <w:t xml:space="preserve"> engaged in preliminary talks, and in January 2010, Lac </w:t>
      </w:r>
      <w:proofErr w:type="spellStart"/>
      <w:r>
        <w:t>Seul</w:t>
      </w:r>
      <w:proofErr w:type="spellEnd"/>
      <w:r>
        <w:t xml:space="preserve"> signed another exploration accommodation agreement.</w:t>
      </w:r>
      <w:r>
        <w:rPr>
          <w:rStyle w:val="EndnoteReference"/>
        </w:rPr>
        <w:endnoteReference w:id="38"/>
      </w:r>
      <w:r>
        <w:t xml:space="preserve"> The intent was to continue negotiating to reach an impact benefit agreement. There were difficulties when Rubicon’s purchasing department failed to follow through with their commitments</w:t>
      </w:r>
      <w:r w:rsidR="00184F38">
        <w:t>. T</w:t>
      </w:r>
      <w:r>
        <w:t xml:space="preserve">hen in 2012, Lac </w:t>
      </w:r>
      <w:proofErr w:type="spellStart"/>
      <w:r>
        <w:t>Seul</w:t>
      </w:r>
      <w:proofErr w:type="spellEnd"/>
      <w:r>
        <w:t xml:space="preserve"> learned that individuals formerly with Goldcorp had been hired into positions of power at Rubicon. Again personalities clashed. In spite of the challenges, negotiations continued and a joint venture was established; Outland Camps would provide Rubicon’s workers with camps and food services.</w:t>
      </w:r>
    </w:p>
    <w:p w14:paraId="72F71E03" w14:textId="77777777" w:rsidR="00DB76D3" w:rsidRDefault="00DB76D3" w:rsidP="006B03E0">
      <w:pPr>
        <w:pStyle w:val="BodyTextMain"/>
      </w:pPr>
    </w:p>
    <w:p w14:paraId="0D475746" w14:textId="01E5C845" w:rsidR="00DB76D3" w:rsidRPr="00912FDA" w:rsidRDefault="00DB76D3" w:rsidP="006B03E0">
      <w:pPr>
        <w:pStyle w:val="BodyTextMain"/>
        <w:rPr>
          <w:spacing w:val="-4"/>
          <w:kern w:val="22"/>
        </w:rPr>
      </w:pPr>
      <w:r w:rsidRPr="00912FDA">
        <w:rPr>
          <w:spacing w:val="-4"/>
          <w:kern w:val="22"/>
        </w:rPr>
        <w:t xml:space="preserve">Rubicon </w:t>
      </w:r>
      <w:r w:rsidR="00184F38" w:rsidRPr="00912FDA">
        <w:rPr>
          <w:spacing w:val="-4"/>
          <w:kern w:val="22"/>
        </w:rPr>
        <w:t xml:space="preserve">had </w:t>
      </w:r>
      <w:r w:rsidRPr="00912FDA">
        <w:rPr>
          <w:spacing w:val="-4"/>
          <w:kern w:val="22"/>
        </w:rPr>
        <w:t xml:space="preserve">recently had its own difficulties: an ammonia spill in the fall of 2015 forced a closure of its mill, causing a drop in share price. Then in January 2016, Rubicon reduced its gold reserve estimate from 2.2 million ounces to 300,000 ounces, an 86 per cent decrease. The correction was a result of Rubicon going straight from a preliminary economic assessment to construction, skipping the pre-feasibility and feasibility studies that would have helped the company understand the structure of the deposit. Once in production in June 2015, Rubicon realized that the deposit was more complex than estimated; they were not mining gold in the expected concentrations and thus had to decrease estimates. The impact for Lac </w:t>
      </w:r>
      <w:proofErr w:type="spellStart"/>
      <w:r w:rsidRPr="00912FDA">
        <w:rPr>
          <w:spacing w:val="-4"/>
          <w:kern w:val="22"/>
        </w:rPr>
        <w:t>Seul</w:t>
      </w:r>
      <w:proofErr w:type="spellEnd"/>
      <w:r w:rsidRPr="00912FDA">
        <w:rPr>
          <w:spacing w:val="-4"/>
          <w:kern w:val="22"/>
        </w:rPr>
        <w:t xml:space="preserve"> was that all negotiations and potential agreements were on hold as the company tried to maintain solvency or find a willing buyer.</w:t>
      </w:r>
    </w:p>
    <w:p w14:paraId="04EBC76A" w14:textId="77777777" w:rsidR="00DB76D3" w:rsidRDefault="00DB76D3" w:rsidP="006B03E0">
      <w:pPr>
        <w:pStyle w:val="BodyTextMain"/>
      </w:pPr>
    </w:p>
    <w:p w14:paraId="644DDCB6" w14:textId="77777777" w:rsidR="00DB76D3" w:rsidRPr="0073051E" w:rsidRDefault="00DB76D3" w:rsidP="006B03E0">
      <w:pPr>
        <w:pStyle w:val="BodyTextMain"/>
      </w:pPr>
    </w:p>
    <w:p w14:paraId="1A191C98" w14:textId="4377E35D" w:rsidR="00DB76D3" w:rsidRDefault="00DB76D3" w:rsidP="006B03E0">
      <w:pPr>
        <w:pStyle w:val="Casehead1"/>
      </w:pPr>
      <w:r>
        <w:t>AurCrest</w:t>
      </w:r>
    </w:p>
    <w:p w14:paraId="506AAAF7" w14:textId="77777777" w:rsidR="00DB76D3" w:rsidRDefault="00DB76D3" w:rsidP="006B03E0">
      <w:pPr>
        <w:pStyle w:val="BodyTextMain"/>
      </w:pPr>
    </w:p>
    <w:p w14:paraId="27615B9D" w14:textId="6740A4AE" w:rsidR="00DB76D3" w:rsidRDefault="00DB76D3" w:rsidP="006B03E0">
      <w:pPr>
        <w:pStyle w:val="BodyTextMain"/>
      </w:pPr>
      <w:r>
        <w:t xml:space="preserve">Tribute Minerals Inc. </w:t>
      </w:r>
      <w:r w:rsidR="00184F38">
        <w:t xml:space="preserve">(Tribute) </w:t>
      </w:r>
      <w:r>
        <w:t xml:space="preserve">was a Canadian gold miner with a property at Richardson Lake, part of the Red Lake gold complex. Tribute’s chief executive officer was Ian Brodie-Brown. In 2006, Brodie-Brown sent a letter to the Lac </w:t>
      </w:r>
      <w:proofErr w:type="spellStart"/>
      <w:r>
        <w:t>Seul</w:t>
      </w:r>
      <w:proofErr w:type="spellEnd"/>
      <w:r>
        <w:t xml:space="preserve"> community to introduce himself and his company. Receiving an introductory letter was a first for Lac </w:t>
      </w:r>
      <w:proofErr w:type="spellStart"/>
      <w:r>
        <w:t>Seul</w:t>
      </w:r>
      <w:proofErr w:type="spellEnd"/>
      <w:r>
        <w:t xml:space="preserve">; they were impressed. Although nothing materialized from those first interactions, the two parties kept in touch over the years. </w:t>
      </w:r>
    </w:p>
    <w:p w14:paraId="0B4DD831" w14:textId="77777777" w:rsidR="00DB76D3" w:rsidRDefault="00DB76D3" w:rsidP="006B03E0">
      <w:pPr>
        <w:pStyle w:val="BodyTextMain"/>
      </w:pPr>
    </w:p>
    <w:p w14:paraId="272DA4F7" w14:textId="65DE22DD" w:rsidR="00DB76D3" w:rsidRDefault="00DB76D3" w:rsidP="006B03E0">
      <w:pPr>
        <w:pStyle w:val="BodyTextMain"/>
      </w:pPr>
      <w:r>
        <w:t xml:space="preserve">When Lac </w:t>
      </w:r>
      <w:proofErr w:type="spellStart"/>
      <w:r>
        <w:t>Seul</w:t>
      </w:r>
      <w:proofErr w:type="spellEnd"/>
      <w:r>
        <w:t xml:space="preserve"> wanted to form a junior exploration company, they asked Brodie-Brown for help. After considering several options, they decided to rename and repurpose Tribute as </w:t>
      </w:r>
      <w:proofErr w:type="spellStart"/>
      <w:r>
        <w:t>AurCrest</w:t>
      </w:r>
      <w:proofErr w:type="spellEnd"/>
      <w:r>
        <w:t xml:space="preserve"> Gold Inc</w:t>
      </w:r>
      <w:r w:rsidR="00B36BD8">
        <w:t>.</w:t>
      </w:r>
      <w:r>
        <w:t xml:space="preserve"> In 2011, the community invested $500,000 for a 9.9 per cent share, and acquired a non-rotatable seat on the board of directors.</w:t>
      </w:r>
      <w:r>
        <w:rPr>
          <w:rStyle w:val="EndnoteReference"/>
        </w:rPr>
        <w:endnoteReference w:id="39"/>
      </w:r>
      <w:r>
        <w:t xml:space="preserve"> Chris </w:t>
      </w:r>
      <w:proofErr w:type="spellStart"/>
      <w:r>
        <w:t>Angeconeb</w:t>
      </w:r>
      <w:proofErr w:type="spellEnd"/>
      <w:r>
        <w:t xml:space="preserve">, Lac </w:t>
      </w:r>
      <w:proofErr w:type="spellStart"/>
      <w:r>
        <w:t>Seul’s</w:t>
      </w:r>
      <w:proofErr w:type="spellEnd"/>
      <w:r>
        <w:t xml:space="preserve"> flood claim coordinator, was appointed director. Subsequent</w:t>
      </w:r>
      <w:r w:rsidR="00184F38">
        <w:t xml:space="preserve">ly, </w:t>
      </w:r>
      <w:proofErr w:type="spellStart"/>
      <w:r>
        <w:t>Angeconeb</w:t>
      </w:r>
      <w:proofErr w:type="spellEnd"/>
      <w:r>
        <w:t xml:space="preserve"> was made general manager of economic development for Lac </w:t>
      </w:r>
      <w:proofErr w:type="spellStart"/>
      <w:r>
        <w:t>Seul</w:t>
      </w:r>
      <w:proofErr w:type="spellEnd"/>
      <w:r>
        <w:t xml:space="preserve">; then in July 2015, he was hired by </w:t>
      </w:r>
      <w:proofErr w:type="spellStart"/>
      <w:r>
        <w:t>AurCrest</w:t>
      </w:r>
      <w:proofErr w:type="spellEnd"/>
      <w:r>
        <w:t xml:space="preserve"> as executive vice-president.</w:t>
      </w:r>
    </w:p>
    <w:p w14:paraId="1D1E6C67" w14:textId="77777777" w:rsidR="00DB76D3" w:rsidRDefault="00DB76D3" w:rsidP="006B03E0">
      <w:pPr>
        <w:pStyle w:val="BodyTextMain"/>
      </w:pPr>
    </w:p>
    <w:p w14:paraId="40E09B98" w14:textId="4EC24DCF" w:rsidR="00DB76D3" w:rsidRPr="0053061F" w:rsidRDefault="00DB76D3" w:rsidP="006B03E0">
      <w:pPr>
        <w:pStyle w:val="BodyTextMain"/>
        <w:rPr>
          <w:spacing w:val="-2"/>
          <w:kern w:val="22"/>
        </w:rPr>
      </w:pPr>
      <w:r w:rsidRPr="0053061F">
        <w:rPr>
          <w:spacing w:val="-2"/>
          <w:kern w:val="22"/>
        </w:rPr>
        <w:lastRenderedPageBreak/>
        <w:t xml:space="preserve">Hiring </w:t>
      </w:r>
      <w:proofErr w:type="spellStart"/>
      <w:r w:rsidRPr="0053061F">
        <w:rPr>
          <w:spacing w:val="-2"/>
          <w:kern w:val="22"/>
        </w:rPr>
        <w:t>Angeconeb</w:t>
      </w:r>
      <w:proofErr w:type="spellEnd"/>
      <w:r w:rsidRPr="0053061F">
        <w:rPr>
          <w:spacing w:val="-2"/>
          <w:kern w:val="22"/>
        </w:rPr>
        <w:t xml:space="preserve"> into an executive position had interesting implications for Lac </w:t>
      </w:r>
      <w:proofErr w:type="spellStart"/>
      <w:r w:rsidRPr="0053061F">
        <w:rPr>
          <w:spacing w:val="-2"/>
          <w:kern w:val="22"/>
        </w:rPr>
        <w:t>Seul</w:t>
      </w:r>
      <w:proofErr w:type="spellEnd"/>
      <w:r w:rsidRPr="0053061F">
        <w:rPr>
          <w:spacing w:val="-2"/>
          <w:kern w:val="22"/>
        </w:rPr>
        <w:t xml:space="preserve"> given </w:t>
      </w:r>
      <w:r w:rsidR="00184F38">
        <w:rPr>
          <w:spacing w:val="-2"/>
          <w:kern w:val="22"/>
        </w:rPr>
        <w:t xml:space="preserve">that </w:t>
      </w:r>
      <w:r w:rsidRPr="0053061F">
        <w:rPr>
          <w:spacing w:val="-2"/>
          <w:kern w:val="22"/>
        </w:rPr>
        <w:t xml:space="preserve">the first sentence of </w:t>
      </w:r>
      <w:proofErr w:type="spellStart"/>
      <w:r w:rsidRPr="0053061F">
        <w:rPr>
          <w:spacing w:val="-2"/>
          <w:kern w:val="22"/>
        </w:rPr>
        <w:t>AurCrest’s</w:t>
      </w:r>
      <w:proofErr w:type="spellEnd"/>
      <w:r w:rsidRPr="0053061F">
        <w:rPr>
          <w:spacing w:val="-2"/>
          <w:kern w:val="22"/>
        </w:rPr>
        <w:t xml:space="preserve"> mission statement was, “Create and maintain important relationships with the local indigenous peoples and share the benefits the industry has to offer.” </w:t>
      </w:r>
      <w:proofErr w:type="spellStart"/>
      <w:r w:rsidRPr="0053061F">
        <w:rPr>
          <w:spacing w:val="-2"/>
          <w:kern w:val="22"/>
        </w:rPr>
        <w:t>AurCrest</w:t>
      </w:r>
      <w:proofErr w:type="spellEnd"/>
      <w:r w:rsidRPr="0053061F">
        <w:rPr>
          <w:spacing w:val="-2"/>
          <w:kern w:val="22"/>
        </w:rPr>
        <w:t xml:space="preserve"> was attempting to honour their mission by having </w:t>
      </w:r>
      <w:proofErr w:type="spellStart"/>
      <w:r w:rsidRPr="0053061F">
        <w:rPr>
          <w:spacing w:val="-2"/>
          <w:kern w:val="22"/>
        </w:rPr>
        <w:t>Angeconeb</w:t>
      </w:r>
      <w:proofErr w:type="spellEnd"/>
      <w:r w:rsidR="00B60E1A">
        <w:rPr>
          <w:spacing w:val="-2"/>
          <w:kern w:val="22"/>
        </w:rPr>
        <w:t>,</w:t>
      </w:r>
      <w:r w:rsidRPr="0053061F">
        <w:rPr>
          <w:spacing w:val="-2"/>
          <w:kern w:val="22"/>
        </w:rPr>
        <w:t xml:space="preserve"> with all of his development experience</w:t>
      </w:r>
      <w:r w:rsidR="00B60E1A">
        <w:rPr>
          <w:spacing w:val="-2"/>
          <w:kern w:val="22"/>
        </w:rPr>
        <w:t>,</w:t>
      </w:r>
      <w:r w:rsidRPr="0053061F">
        <w:rPr>
          <w:spacing w:val="-2"/>
          <w:kern w:val="22"/>
        </w:rPr>
        <w:t xml:space="preserve"> as an executive of the company.</w:t>
      </w:r>
    </w:p>
    <w:p w14:paraId="27B80C3F" w14:textId="77777777" w:rsidR="00DB76D3" w:rsidRDefault="00DB76D3" w:rsidP="006B03E0">
      <w:pPr>
        <w:pStyle w:val="BodyTextMain"/>
      </w:pPr>
    </w:p>
    <w:p w14:paraId="333168A3" w14:textId="3909EE9C" w:rsidR="00DB76D3" w:rsidRDefault="00DB76D3" w:rsidP="006B03E0">
      <w:pPr>
        <w:pStyle w:val="BodyTextMain"/>
      </w:pPr>
      <w:r>
        <w:t xml:space="preserve">Additionally, in October 2015, </w:t>
      </w:r>
      <w:proofErr w:type="spellStart"/>
      <w:r>
        <w:t>AurCrest</w:t>
      </w:r>
      <w:proofErr w:type="spellEnd"/>
      <w:r>
        <w:t xml:space="preserve"> incorporated </w:t>
      </w:r>
      <w:proofErr w:type="spellStart"/>
      <w:r>
        <w:t>Wiigwaasaatig</w:t>
      </w:r>
      <w:proofErr w:type="spellEnd"/>
      <w:r>
        <w:t xml:space="preserve"> Energy Inc. to develop renewable energy projects, including wind, solar, and biomass, in partnership with First Nations communities proximal to </w:t>
      </w:r>
      <w:proofErr w:type="spellStart"/>
      <w:r>
        <w:t>AurCrest’s</w:t>
      </w:r>
      <w:proofErr w:type="spellEnd"/>
      <w:r>
        <w:t xml:space="preserve"> mining properties. This included Lac </w:t>
      </w:r>
      <w:proofErr w:type="spellStart"/>
      <w:r>
        <w:t>Seul</w:t>
      </w:r>
      <w:proofErr w:type="spellEnd"/>
      <w:r>
        <w:t xml:space="preserve">. Cat Lake First Nation was also close to </w:t>
      </w:r>
      <w:proofErr w:type="spellStart"/>
      <w:r>
        <w:t>AurCrest’s</w:t>
      </w:r>
      <w:proofErr w:type="spellEnd"/>
      <w:r>
        <w:t xml:space="preserve"> Richardson Lake gold property.</w:t>
      </w:r>
      <w:r>
        <w:rPr>
          <w:rStyle w:val="EndnoteReference"/>
        </w:rPr>
        <w:endnoteReference w:id="40"/>
      </w:r>
      <w:r>
        <w:t xml:space="preserve"> </w:t>
      </w:r>
      <w:proofErr w:type="spellStart"/>
      <w:r>
        <w:t>AurCrest</w:t>
      </w:r>
      <w:proofErr w:type="spellEnd"/>
      <w:r>
        <w:t xml:space="preserve"> signed an agreement to develop power with Cat Lake, who had some experience and a</w:t>
      </w:r>
      <w:r w:rsidR="004D76E8">
        <w:t>n Ontario</w:t>
      </w:r>
      <w:r>
        <w:t xml:space="preserve"> license for </w:t>
      </w:r>
      <w:r w:rsidR="004D76E8">
        <w:t xml:space="preserve">electrical power </w:t>
      </w:r>
      <w:r>
        <w:t xml:space="preserve">transmission—keys for this kind of project. Although exploration and development slowed as part of the mining cycle, developing </w:t>
      </w:r>
      <w:r w:rsidR="00B60E1A">
        <w:t>renewable energy infrastructure</w:t>
      </w:r>
      <w:r>
        <w:t xml:space="preserve"> showed potential for future benefits and developing relationships.</w:t>
      </w:r>
    </w:p>
    <w:p w14:paraId="0987F80E" w14:textId="77777777" w:rsidR="00DB76D3" w:rsidRDefault="00DB76D3" w:rsidP="006B03E0">
      <w:pPr>
        <w:pStyle w:val="BodyTextMain"/>
      </w:pPr>
    </w:p>
    <w:p w14:paraId="4043E576" w14:textId="77777777" w:rsidR="00DB76D3" w:rsidRDefault="00DB76D3" w:rsidP="006B03E0">
      <w:pPr>
        <w:pStyle w:val="BodyTextMain"/>
      </w:pPr>
    </w:p>
    <w:p w14:paraId="07C6B870" w14:textId="77777777" w:rsidR="00DB76D3" w:rsidRDefault="00DB76D3" w:rsidP="006B03E0">
      <w:pPr>
        <w:pStyle w:val="Casehead1"/>
      </w:pPr>
      <w:r>
        <w:t>Current status</w:t>
      </w:r>
    </w:p>
    <w:p w14:paraId="6D9E489F" w14:textId="77777777" w:rsidR="00DB76D3" w:rsidRDefault="00DB76D3" w:rsidP="00715F7A">
      <w:pPr>
        <w:pStyle w:val="BodyTextMain"/>
      </w:pPr>
    </w:p>
    <w:p w14:paraId="6C54F4D8" w14:textId="771864D4" w:rsidR="00DB76D3" w:rsidRDefault="00DB76D3" w:rsidP="006B03E0">
      <w:pPr>
        <w:pStyle w:val="BodyTextMain"/>
      </w:pPr>
      <w:r>
        <w:t xml:space="preserve">Lac </w:t>
      </w:r>
      <w:proofErr w:type="spellStart"/>
      <w:r>
        <w:t>Seul</w:t>
      </w:r>
      <w:proofErr w:type="spellEnd"/>
      <w:r>
        <w:t xml:space="preserve"> had made significant progress in recovering from past injustices committed by the government and private parties. The community had used past settlement money from the timber claim to improve infrastructure, build an arena, and provide resources for community members. A number of joint ventures had been established in construction, food services, and exploration services. A Tim Hortons franchise was purchased in partnership and was successfully operating in Sioux Lookout. The band owned a 25 per cent share in the Lac </w:t>
      </w:r>
      <w:proofErr w:type="spellStart"/>
      <w:r>
        <w:t>Seul</w:t>
      </w:r>
      <w:proofErr w:type="spellEnd"/>
      <w:r>
        <w:t xml:space="preserve"> Generating Station. </w:t>
      </w:r>
      <w:proofErr w:type="spellStart"/>
      <w:r>
        <w:t>Obishikokaang</w:t>
      </w:r>
      <w:proofErr w:type="spellEnd"/>
      <w:r>
        <w:t xml:space="preserve"> Resources Corporation, established in 2012, was awarded a license to manage and harvest the local forest on behalf of the First Nations communities. A training centre had been established in a converted school in the nearby village of Hudson. The agreement with Goldcorp included training community members for work in mining. These were all positive exemplars for other communities.</w:t>
      </w:r>
    </w:p>
    <w:p w14:paraId="62ADE24F" w14:textId="77777777" w:rsidR="00DB76D3" w:rsidRDefault="00DB76D3" w:rsidP="006B03E0">
      <w:pPr>
        <w:pStyle w:val="BodyTextMain"/>
      </w:pPr>
    </w:p>
    <w:p w14:paraId="18CD1CF3" w14:textId="15EC6276" w:rsidR="00DB76D3" w:rsidRDefault="00DB76D3" w:rsidP="006F610E">
      <w:pPr>
        <w:pStyle w:val="BodyTextMain"/>
      </w:pPr>
      <w:r>
        <w:t>Developing the capacities of members in the community was an area of potential development. The most recent statistics revealed that the community’s level of education was much lower than the Ontario average (see Exhibit 3). Sixty-four per cent of the population ha</w:t>
      </w:r>
      <w:r w:rsidR="00184F38">
        <w:t>d</w:t>
      </w:r>
      <w:r>
        <w:t xml:space="preserve"> no degree certificate or high school diploma. Only 19 per cent of the community had a high school diploma, compared to 27 per cent in Ontario. Convincing students to stay in school and complete their secondary education, then go on to university</w:t>
      </w:r>
      <w:r w:rsidR="00184F38">
        <w:t>,</w:t>
      </w:r>
      <w:r>
        <w:t xml:space="preserve"> would be a laudable and valuable goal. Financial resources combined with promotion and </w:t>
      </w:r>
      <w:proofErr w:type="spellStart"/>
      <w:r>
        <w:t>counseling</w:t>
      </w:r>
      <w:proofErr w:type="spellEnd"/>
      <w:r>
        <w:t xml:space="preserve"> would help the community realize this goal.</w:t>
      </w:r>
    </w:p>
    <w:p w14:paraId="1241F0B1" w14:textId="77777777" w:rsidR="00DB76D3" w:rsidRDefault="00DB76D3" w:rsidP="006B03E0">
      <w:pPr>
        <w:pStyle w:val="BodyTextMain"/>
      </w:pPr>
    </w:p>
    <w:p w14:paraId="4F30FC68" w14:textId="288A0B1B" w:rsidR="00DB76D3" w:rsidRDefault="00DB76D3" w:rsidP="006B03E0">
      <w:pPr>
        <w:pStyle w:val="BodyTextMain"/>
      </w:pPr>
      <w:r>
        <w:t xml:space="preserve">In spite of the band’s economic development, they still faced a higher than average unemployment rate. Census data indicated the unemployment rate for Lac </w:t>
      </w:r>
      <w:proofErr w:type="spellStart"/>
      <w:r>
        <w:t>Seul</w:t>
      </w:r>
      <w:proofErr w:type="spellEnd"/>
      <w:r>
        <w:t xml:space="preserve"> was 29.6 per cent, compared to 8.3 per cent for Ontario.</w:t>
      </w:r>
      <w:r>
        <w:rPr>
          <w:rStyle w:val="EndnoteReference"/>
        </w:rPr>
        <w:endnoteReference w:id="41"/>
      </w:r>
      <w:r>
        <w:t xml:space="preserve"> As well, it had recently come to light that the government was underfunding children’s services </w:t>
      </w:r>
      <w:r w:rsidR="00184F38">
        <w:t>for</w:t>
      </w:r>
      <w:r>
        <w:t xml:space="preserve"> First Nations. In addition to education, employment, and children’s services, there were health and housing issues to deal with. </w:t>
      </w:r>
    </w:p>
    <w:p w14:paraId="0A99DBBC" w14:textId="77777777" w:rsidR="00DB76D3" w:rsidRDefault="00DB76D3" w:rsidP="006B03E0">
      <w:pPr>
        <w:pStyle w:val="BodyTextMain"/>
      </w:pPr>
    </w:p>
    <w:p w14:paraId="06BB7146" w14:textId="2E84917E" w:rsidR="00DB76D3" w:rsidRDefault="00DB76D3" w:rsidP="006B03E0">
      <w:pPr>
        <w:pStyle w:val="BodyTextMain"/>
      </w:pPr>
      <w:r>
        <w:t xml:space="preserve">The market for timber harvesting was depressed and awaiting an upturn in the economy. Mining was also in a down cycle. The band was constrained by geography and personnel capacity issues, limiting the number of initiatives they could develop or concurrently manage. Their immediate focus was the anticipated resolution of the flood claim and the benefits the settlement might provide for the community. </w:t>
      </w:r>
    </w:p>
    <w:p w14:paraId="5FF53C08" w14:textId="77777777" w:rsidR="00DB76D3" w:rsidRDefault="00DB76D3" w:rsidP="006B03E0">
      <w:pPr>
        <w:pStyle w:val="BodyTextMain"/>
      </w:pPr>
    </w:p>
    <w:p w14:paraId="5E0CE22F" w14:textId="2DE2D99F" w:rsidR="0053061F" w:rsidRDefault="0053061F">
      <w:pPr>
        <w:spacing w:after="200" w:line="276" w:lineRule="auto"/>
        <w:rPr>
          <w:sz w:val="22"/>
          <w:szCs w:val="22"/>
        </w:rPr>
      </w:pPr>
      <w:r>
        <w:br w:type="page"/>
      </w:r>
    </w:p>
    <w:p w14:paraId="2F4E18C4" w14:textId="77777777" w:rsidR="00DB76D3" w:rsidRDefault="00DB76D3" w:rsidP="006B03E0">
      <w:pPr>
        <w:pStyle w:val="Casehead1"/>
      </w:pPr>
      <w:r>
        <w:lastRenderedPageBreak/>
        <w:t>Future</w:t>
      </w:r>
    </w:p>
    <w:p w14:paraId="6218DC0F" w14:textId="77777777" w:rsidR="00DB76D3" w:rsidRDefault="00DB76D3" w:rsidP="006B03E0">
      <w:pPr>
        <w:pStyle w:val="BodyTextMain"/>
      </w:pPr>
    </w:p>
    <w:p w14:paraId="6EBF28E0" w14:textId="2CA36153" w:rsidR="00DB76D3" w:rsidRDefault="00DB76D3" w:rsidP="006B03E0">
      <w:pPr>
        <w:pStyle w:val="BodyTextMain"/>
      </w:pPr>
      <w:r>
        <w:t xml:space="preserve">Having arrived at the training centre for the meeting, Bull joined </w:t>
      </w:r>
      <w:r w:rsidR="00184F38">
        <w:t xml:space="preserve">the </w:t>
      </w:r>
      <w:r>
        <w:t xml:space="preserve">economic development manager, </w:t>
      </w:r>
      <w:proofErr w:type="spellStart"/>
      <w:r>
        <w:t>Manitowabi</w:t>
      </w:r>
      <w:proofErr w:type="spellEnd"/>
      <w:r>
        <w:t>, and band councillors to discuss future directions. The band had resources for some initiatives, but like other economic players, they were waiting for an economic turnaround that would create opportunities for further exploration and mining agreements. The flood claim was coming to trial in September and would likely bring a significant settlement. The band had commissioned a survey of the community to identify priorities for use of any settlement from the flood claim. The survey revealed a need for health promotion, (re)development of cultural heritage, infrastructure, education, and business loans and opportunities. There was much planning to do.</w:t>
      </w:r>
    </w:p>
    <w:p w14:paraId="7E29CBCE" w14:textId="77777777" w:rsidR="00DB76D3" w:rsidRDefault="00DB76D3" w:rsidP="006B03E0">
      <w:pPr>
        <w:pStyle w:val="BodyTextMain"/>
      </w:pPr>
    </w:p>
    <w:p w14:paraId="768A3A6F" w14:textId="798BF202" w:rsidR="00DB76D3" w:rsidRPr="00912FDA" w:rsidRDefault="00DB76D3" w:rsidP="006B03E0">
      <w:pPr>
        <w:pStyle w:val="BodyTextMain"/>
        <w:rPr>
          <w:spacing w:val="-2"/>
          <w:kern w:val="22"/>
        </w:rPr>
      </w:pPr>
      <w:r w:rsidRPr="00912FDA">
        <w:rPr>
          <w:spacing w:val="-2"/>
          <w:kern w:val="22"/>
        </w:rPr>
        <w:t xml:space="preserve">The atmosphere at the meeting was positive. The group discussed the economic environment and how companies were becoming more receptive to their duty to consult and accommodate aboriginal interests. The general public and the government seemed more receptive to holding companies accountable for their corporate social responsibility, a topic of increasing interest for Canadians. The Red Lake gold trend held potential for more gold reserves, particularly as deep mining techniques became more economically feasible. </w:t>
      </w:r>
    </w:p>
    <w:p w14:paraId="3F647B23" w14:textId="77777777" w:rsidR="00DB76D3" w:rsidRDefault="00DB76D3" w:rsidP="006B03E0">
      <w:pPr>
        <w:pStyle w:val="BodyTextMain"/>
      </w:pPr>
    </w:p>
    <w:p w14:paraId="2EA3D63B" w14:textId="1445A144" w:rsidR="00DB76D3" w:rsidRDefault="00184F38" w:rsidP="006B03E0">
      <w:pPr>
        <w:pStyle w:val="BodyTextMain"/>
      </w:pPr>
      <w:r>
        <w:t xml:space="preserve">Bull </w:t>
      </w:r>
      <w:r w:rsidR="00DB76D3">
        <w:t xml:space="preserve">inquired whether </w:t>
      </w:r>
      <w:proofErr w:type="spellStart"/>
      <w:r w:rsidR="00DB76D3">
        <w:t>Manitowabi</w:t>
      </w:r>
      <w:proofErr w:type="spellEnd"/>
      <w:r w:rsidR="00DB76D3">
        <w:t xml:space="preserve"> had heard of any new exploration or business opportunities at the Red Lake Camp. One problem was </w:t>
      </w:r>
      <w:r>
        <w:t xml:space="preserve">that </w:t>
      </w:r>
      <w:r w:rsidR="00DB76D3">
        <w:t xml:space="preserve">the mining liaison office in Red Lake was not staffed. This meant that no one from Lac </w:t>
      </w:r>
      <w:proofErr w:type="spellStart"/>
      <w:r w:rsidR="00DB76D3">
        <w:t>Seul</w:t>
      </w:r>
      <w:proofErr w:type="spellEnd"/>
      <w:r w:rsidR="00DB76D3">
        <w:t xml:space="preserve"> was supervising the assignment of contracts, employment, or joint venture opportunities with Goldcorp or other mining companies. Although </w:t>
      </w:r>
      <w:proofErr w:type="spellStart"/>
      <w:r w:rsidR="00DB76D3">
        <w:t>Manitowabi</w:t>
      </w:r>
      <w:proofErr w:type="spellEnd"/>
      <w:r w:rsidR="00DB76D3">
        <w:t xml:space="preserve"> was not aware of any current opportunities, he speculated that companies were more likely to approach the First Nation as Tribute had done </w:t>
      </w:r>
      <w:r w:rsidR="000A2D7C">
        <w:t>10</w:t>
      </w:r>
      <w:r w:rsidR="00DB76D3">
        <w:t xml:space="preserve"> years earlier; it was less likely that the band would have to resort to legal channels again. Bull hoped </w:t>
      </w:r>
      <w:proofErr w:type="spellStart"/>
      <w:r w:rsidR="00DB76D3">
        <w:t>Manitowabi</w:t>
      </w:r>
      <w:proofErr w:type="spellEnd"/>
      <w:r w:rsidR="00DB76D3">
        <w:t xml:space="preserve"> was correct, but vowed to remain vigilant for opportunities and the rights of his community.</w:t>
      </w:r>
      <w:r w:rsidR="00163A73">
        <w:t xml:space="preserve"> As the meeting broke</w:t>
      </w:r>
      <w:r w:rsidR="005C0562">
        <w:t>,</w:t>
      </w:r>
      <w:r w:rsidR="00163A73">
        <w:t xml:space="preserve"> </w:t>
      </w:r>
      <w:r w:rsidR="000A2D7C">
        <w:t>Bull</w:t>
      </w:r>
      <w:r w:rsidR="00163A73">
        <w:t xml:space="preserve"> wondered </w:t>
      </w:r>
      <w:proofErr w:type="gramStart"/>
      <w:r w:rsidR="00163A73">
        <w:t>what were the next concrete steps to take to ensure continuing economic development in the community</w:t>
      </w:r>
      <w:proofErr w:type="gramEnd"/>
      <w:r w:rsidR="00163A73">
        <w:t>.</w:t>
      </w:r>
      <w:r w:rsidR="00DB76D3">
        <w:br w:type="page"/>
      </w:r>
    </w:p>
    <w:p w14:paraId="5E5E6C46" w14:textId="463C97B8" w:rsidR="00DB76D3" w:rsidRDefault="00DB76D3" w:rsidP="006B03E0">
      <w:pPr>
        <w:pStyle w:val="ExhibitHeading"/>
      </w:pPr>
      <w:r>
        <w:lastRenderedPageBreak/>
        <w:t>exhibit 1: Indian Agent Letter to Ottawa regarding Potential Flood</w:t>
      </w:r>
    </w:p>
    <w:p w14:paraId="676CA746" w14:textId="77777777" w:rsidR="00DB76D3" w:rsidRDefault="00DB76D3" w:rsidP="00715F7A">
      <w:pPr>
        <w:pStyle w:val="ExhibitText"/>
      </w:pPr>
    </w:p>
    <w:p w14:paraId="4E5A0D35" w14:textId="77777777" w:rsidR="00DB76D3" w:rsidRDefault="00DB76D3" w:rsidP="00715F7A">
      <w:pPr>
        <w:pStyle w:val="ExhibitText"/>
        <w:jc w:val="center"/>
      </w:pPr>
      <w:r>
        <w:rPr>
          <w:noProof/>
          <w:lang w:eastAsia="en-GB"/>
        </w:rPr>
        <w:drawing>
          <wp:inline distT="0" distB="0" distL="0" distR="0" wp14:anchorId="29A08EB0" wp14:editId="57541D16">
            <wp:extent cx="7406640" cy="5554980"/>
            <wp:effectExtent l="1143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c Seul Chief thomas letter.JPG"/>
                    <pic:cNvPicPr/>
                  </pic:nvPicPr>
                  <pic:blipFill>
                    <a:blip r:embed="rId11">
                      <a:grayscl/>
                      <a:extLst>
                        <a:ext uri="{28A0092B-C50C-407E-A947-70E740481C1C}">
                          <a14:useLocalDpi xmlns:a14="http://schemas.microsoft.com/office/drawing/2010/main" val="0"/>
                        </a:ext>
                      </a:extLst>
                    </a:blip>
                    <a:stretch>
                      <a:fillRect/>
                    </a:stretch>
                  </pic:blipFill>
                  <pic:spPr>
                    <a:xfrm rot="5400000">
                      <a:off x="0" y="0"/>
                      <a:ext cx="7406640" cy="5554980"/>
                    </a:xfrm>
                    <a:prstGeom prst="rect">
                      <a:avLst/>
                    </a:prstGeom>
                  </pic:spPr>
                </pic:pic>
              </a:graphicData>
            </a:graphic>
          </wp:inline>
        </w:drawing>
      </w:r>
    </w:p>
    <w:p w14:paraId="6FB98FDB" w14:textId="77777777" w:rsidR="00DB76D3" w:rsidRDefault="00DB76D3" w:rsidP="00715F7A">
      <w:pPr>
        <w:pStyle w:val="ExhibitText"/>
      </w:pPr>
    </w:p>
    <w:p w14:paraId="3CD0AA16" w14:textId="3FFAF8CF" w:rsidR="00DB76D3" w:rsidRDefault="00DB76D3" w:rsidP="006B03E0">
      <w:pPr>
        <w:pStyle w:val="Footnote"/>
      </w:pPr>
      <w:r w:rsidRPr="000641BD">
        <w:t xml:space="preserve">Source: Lac </w:t>
      </w:r>
      <w:proofErr w:type="spellStart"/>
      <w:r w:rsidRPr="000641BD">
        <w:t>Seul</w:t>
      </w:r>
      <w:proofErr w:type="spellEnd"/>
      <w:r w:rsidRPr="000641BD">
        <w:t xml:space="preserve"> First Nation, used with permission</w:t>
      </w:r>
      <w:r w:rsidR="00184F38">
        <w:t>.</w:t>
      </w:r>
      <w:r>
        <w:br w:type="page"/>
      </w:r>
    </w:p>
    <w:p w14:paraId="1A27FAB6" w14:textId="77777777" w:rsidR="00184F38" w:rsidRDefault="00DB76D3" w:rsidP="006B03E0">
      <w:pPr>
        <w:pStyle w:val="ExhibitHeading"/>
      </w:pPr>
      <w:r>
        <w:lastRenderedPageBreak/>
        <w:t xml:space="preserve">exhibit 2: Transcript of the </w:t>
      </w:r>
      <w:r w:rsidRPr="0087564C">
        <w:t>Lac Seul commemorative plaque</w:t>
      </w:r>
      <w:r>
        <w:t xml:space="preserve"> located </w:t>
      </w:r>
    </w:p>
    <w:p w14:paraId="2C19ECA1" w14:textId="0AC9E5F9" w:rsidR="00DB76D3" w:rsidRPr="0087564C" w:rsidRDefault="00DB76D3" w:rsidP="006B03E0">
      <w:pPr>
        <w:pStyle w:val="ExhibitHeading"/>
      </w:pPr>
      <w:r>
        <w:t>at entrance to reserve</w:t>
      </w:r>
    </w:p>
    <w:p w14:paraId="79979FC5" w14:textId="77777777" w:rsidR="00DB76D3" w:rsidRDefault="00DB76D3" w:rsidP="00715F7A">
      <w:pPr>
        <w:pStyle w:val="ExhibitText"/>
      </w:pPr>
    </w:p>
    <w:p w14:paraId="1319FE15" w14:textId="77777777" w:rsidR="00DB76D3" w:rsidRDefault="00DB76D3" w:rsidP="00715F7A">
      <w:pPr>
        <w:pStyle w:val="Casehead2"/>
      </w:pPr>
      <w:r w:rsidRPr="00655524">
        <w:t xml:space="preserve">The Flooding of </w:t>
      </w:r>
      <w:proofErr w:type="spellStart"/>
      <w:r w:rsidRPr="00655524">
        <w:t>Obishikokaang</w:t>
      </w:r>
      <w:proofErr w:type="spellEnd"/>
    </w:p>
    <w:p w14:paraId="67352519" w14:textId="77777777" w:rsidR="00DB76D3" w:rsidRPr="00655524" w:rsidRDefault="00DB76D3" w:rsidP="006B03E0">
      <w:pPr>
        <w:pStyle w:val="ExhibitText"/>
      </w:pPr>
    </w:p>
    <w:p w14:paraId="7CDD1622" w14:textId="7B606EE0" w:rsidR="00DB76D3" w:rsidRDefault="00DB76D3" w:rsidP="006B03E0">
      <w:pPr>
        <w:pStyle w:val="ExhibitText"/>
        <w:rPr>
          <w:rFonts w:cs="Times New Roman"/>
        </w:rPr>
      </w:pPr>
      <w:r w:rsidRPr="00655524">
        <w:rPr>
          <w:rFonts w:cs="Times New Roman"/>
        </w:rPr>
        <w:t xml:space="preserve">The </w:t>
      </w:r>
      <w:proofErr w:type="spellStart"/>
      <w:r w:rsidRPr="00655524">
        <w:rPr>
          <w:rFonts w:cs="Times New Roman"/>
        </w:rPr>
        <w:t>Obishikokaang</w:t>
      </w:r>
      <w:proofErr w:type="spellEnd"/>
      <w:r w:rsidRPr="00655524">
        <w:rPr>
          <w:rFonts w:cs="Times New Roman"/>
        </w:rPr>
        <w:t xml:space="preserve"> </w:t>
      </w:r>
      <w:proofErr w:type="spellStart"/>
      <w:r w:rsidRPr="00655524">
        <w:rPr>
          <w:rFonts w:cs="Times New Roman"/>
        </w:rPr>
        <w:t>Anishinaabeg</w:t>
      </w:r>
      <w:proofErr w:type="spellEnd"/>
      <w:r w:rsidRPr="00655524">
        <w:rPr>
          <w:rFonts w:cs="Times New Roman"/>
        </w:rPr>
        <w:t xml:space="preserve"> have </w:t>
      </w:r>
      <w:r w:rsidRPr="00655524">
        <w:rPr>
          <w:rFonts w:cs="0"/>
        </w:rPr>
        <w:t>li</w:t>
      </w:r>
      <w:r>
        <w:rPr>
          <w:rFonts w:cs="0"/>
        </w:rPr>
        <w:t>ved</w:t>
      </w:r>
      <w:r w:rsidRPr="00655524">
        <w:rPr>
          <w:rFonts w:cs="0"/>
        </w:rPr>
        <w:t xml:space="preserve"> </w:t>
      </w:r>
      <w:r w:rsidRPr="00655524">
        <w:rPr>
          <w:rFonts w:cs="Times New Roman"/>
        </w:rPr>
        <w:t xml:space="preserve">in the </w:t>
      </w:r>
      <w:r>
        <w:rPr>
          <w:rFonts w:cs="Times New Roman"/>
        </w:rPr>
        <w:t xml:space="preserve">Lac </w:t>
      </w:r>
      <w:proofErr w:type="spellStart"/>
      <w:r>
        <w:rPr>
          <w:rFonts w:cs="Times New Roman"/>
        </w:rPr>
        <w:t>S</w:t>
      </w:r>
      <w:r w:rsidRPr="00655524">
        <w:rPr>
          <w:rFonts w:cs="Times New Roman"/>
        </w:rPr>
        <w:t>eul</w:t>
      </w:r>
      <w:proofErr w:type="spellEnd"/>
      <w:r w:rsidRPr="00655524">
        <w:rPr>
          <w:rFonts w:cs="Times New Roman"/>
        </w:rPr>
        <w:t xml:space="preserve"> re</w:t>
      </w:r>
      <w:r>
        <w:rPr>
          <w:rFonts w:cs="Times New Roman"/>
        </w:rPr>
        <w:t>gi</w:t>
      </w:r>
      <w:r w:rsidRPr="00655524">
        <w:rPr>
          <w:rFonts w:cs="Times New Roman"/>
        </w:rPr>
        <w:t>on since the gla</w:t>
      </w:r>
      <w:r>
        <w:rPr>
          <w:rFonts w:cs="Times New Roman"/>
        </w:rPr>
        <w:t>ci</w:t>
      </w:r>
      <w:r w:rsidRPr="00655524">
        <w:rPr>
          <w:rFonts w:cs="Times New Roman"/>
        </w:rPr>
        <w:t>ers</w:t>
      </w:r>
      <w:r>
        <w:rPr>
          <w:rFonts w:cs="Times New Roman"/>
        </w:rPr>
        <w:t xml:space="preserve"> </w:t>
      </w:r>
      <w:r w:rsidRPr="00655524">
        <w:rPr>
          <w:rFonts w:cs="Times New Roman"/>
        </w:rPr>
        <w:t>receded during the la</w:t>
      </w:r>
      <w:r>
        <w:rPr>
          <w:rFonts w:cs="Times New Roman"/>
        </w:rPr>
        <w:t>s</w:t>
      </w:r>
      <w:r w:rsidRPr="00655524">
        <w:rPr>
          <w:rFonts w:cs="Times New Roman"/>
        </w:rPr>
        <w:t>t Ice Age. This is their tradition</w:t>
      </w:r>
      <w:r>
        <w:rPr>
          <w:rFonts w:cs="Times New Roman"/>
        </w:rPr>
        <w:t>a</w:t>
      </w:r>
      <w:r w:rsidRPr="00655524">
        <w:rPr>
          <w:rFonts w:cs="Times New Roman"/>
        </w:rPr>
        <w:t>l territory, acknowledged as a</w:t>
      </w:r>
      <w:r>
        <w:rPr>
          <w:rFonts w:cs="Times New Roman"/>
        </w:rPr>
        <w:t xml:space="preserve"> </w:t>
      </w:r>
      <w:r w:rsidRPr="00655524">
        <w:rPr>
          <w:rFonts w:cs="Times New Roman"/>
        </w:rPr>
        <w:t xml:space="preserve">gift from </w:t>
      </w:r>
      <w:proofErr w:type="spellStart"/>
      <w:r w:rsidRPr="00655524">
        <w:rPr>
          <w:rFonts w:cs="Times New Roman"/>
        </w:rPr>
        <w:t>Giche-Man</w:t>
      </w:r>
      <w:r>
        <w:rPr>
          <w:rFonts w:cs="Times New Roman"/>
        </w:rPr>
        <w:t>id</w:t>
      </w:r>
      <w:r w:rsidRPr="00655524">
        <w:rPr>
          <w:rFonts w:cs="Times New Roman"/>
        </w:rPr>
        <w:t>oo</w:t>
      </w:r>
      <w:proofErr w:type="spellEnd"/>
      <w:r w:rsidRPr="00655524">
        <w:rPr>
          <w:rFonts w:cs="Times New Roman"/>
        </w:rPr>
        <w:t>. For generations</w:t>
      </w:r>
      <w:r>
        <w:rPr>
          <w:rFonts w:cs="Times New Roman"/>
        </w:rPr>
        <w:t>,</w:t>
      </w:r>
      <w:r w:rsidRPr="00655524">
        <w:rPr>
          <w:rFonts w:cs="Times New Roman"/>
        </w:rPr>
        <w:t xml:space="preserve"> the summer </w:t>
      </w:r>
      <w:r>
        <w:rPr>
          <w:rFonts w:cs="Times New Roman"/>
        </w:rPr>
        <w:t>settl</w:t>
      </w:r>
      <w:r w:rsidRPr="00655524">
        <w:rPr>
          <w:rFonts w:cs="Times New Roman"/>
        </w:rPr>
        <w:t>ement of these people</w:t>
      </w:r>
      <w:r>
        <w:rPr>
          <w:rFonts w:cs="Times New Roman"/>
        </w:rPr>
        <w:t xml:space="preserve"> </w:t>
      </w:r>
      <w:r w:rsidRPr="00655524">
        <w:rPr>
          <w:rFonts w:cs="Times New Roman"/>
        </w:rPr>
        <w:t>s</w:t>
      </w:r>
      <w:r>
        <w:rPr>
          <w:rFonts w:cs="Times New Roman"/>
        </w:rPr>
        <w:t>erved</w:t>
      </w:r>
      <w:r w:rsidRPr="00655524">
        <w:rPr>
          <w:rFonts w:cs="Times New Roman"/>
        </w:rPr>
        <w:t xml:space="preserve"> as a spiritual centre of Mid</w:t>
      </w:r>
      <w:r>
        <w:rPr>
          <w:rFonts w:cs="Times New Roman"/>
        </w:rPr>
        <w:t>ewiwin, the Grand Medici</w:t>
      </w:r>
      <w:r w:rsidRPr="00655524">
        <w:rPr>
          <w:rFonts w:cs="Times New Roman"/>
        </w:rPr>
        <w:t xml:space="preserve">ne Society of the </w:t>
      </w:r>
      <w:proofErr w:type="spellStart"/>
      <w:r w:rsidRPr="00655524">
        <w:rPr>
          <w:rFonts w:cs="Times New Roman"/>
        </w:rPr>
        <w:t>Ojibwe</w:t>
      </w:r>
      <w:proofErr w:type="spellEnd"/>
      <w:r w:rsidRPr="00655524">
        <w:rPr>
          <w:rFonts w:cs="Times New Roman"/>
        </w:rPr>
        <w:t>.</w:t>
      </w:r>
    </w:p>
    <w:p w14:paraId="48A6FF53" w14:textId="77777777" w:rsidR="00DB76D3" w:rsidRPr="00655524" w:rsidRDefault="00DB76D3" w:rsidP="006B03E0">
      <w:pPr>
        <w:pStyle w:val="ExhibitText"/>
      </w:pPr>
    </w:p>
    <w:p w14:paraId="499DFF6C" w14:textId="6CF571FF" w:rsidR="00DB76D3" w:rsidRDefault="00DB76D3" w:rsidP="006B03E0">
      <w:pPr>
        <w:pStyle w:val="ExhibitText"/>
        <w:rPr>
          <w:rFonts w:cs="Times New Roman"/>
        </w:rPr>
      </w:pPr>
      <w:r w:rsidRPr="00655524">
        <w:rPr>
          <w:rFonts w:cs="Times New Roman"/>
        </w:rPr>
        <w:t xml:space="preserve">For thousands </w:t>
      </w:r>
      <w:r>
        <w:rPr>
          <w:rFonts w:cs="Times New Roman"/>
        </w:rPr>
        <w:t xml:space="preserve">of years, </w:t>
      </w:r>
      <w:r w:rsidRPr="00655524">
        <w:rPr>
          <w:rFonts w:cs="Times New Roman"/>
        </w:rPr>
        <w:t xml:space="preserve">the </w:t>
      </w:r>
      <w:proofErr w:type="spellStart"/>
      <w:r w:rsidRPr="00655524">
        <w:rPr>
          <w:rFonts w:cs="Times New Roman"/>
        </w:rPr>
        <w:t>Anishinaabeg</w:t>
      </w:r>
      <w:proofErr w:type="spellEnd"/>
      <w:r w:rsidRPr="00655524">
        <w:rPr>
          <w:rFonts w:cs="Times New Roman"/>
        </w:rPr>
        <w:t xml:space="preserve"> of Lac </w:t>
      </w:r>
      <w:proofErr w:type="spellStart"/>
      <w:r w:rsidRPr="00655524">
        <w:rPr>
          <w:rFonts w:cs="Times New Roman"/>
        </w:rPr>
        <w:t>Seul</w:t>
      </w:r>
      <w:proofErr w:type="spellEnd"/>
      <w:r w:rsidRPr="00655524">
        <w:rPr>
          <w:rFonts w:cs="Times New Roman"/>
        </w:rPr>
        <w:t xml:space="preserve"> lived prosperously through their</w:t>
      </w:r>
      <w:r>
        <w:rPr>
          <w:rFonts w:cs="Times New Roman"/>
        </w:rPr>
        <w:t xml:space="preserve"> </w:t>
      </w:r>
      <w:r w:rsidRPr="00655524">
        <w:rPr>
          <w:rFonts w:cs="Times New Roman"/>
        </w:rPr>
        <w:t xml:space="preserve">traditional practices of hunting, trapping, fishing, and harvesting. </w:t>
      </w:r>
      <w:r>
        <w:rPr>
          <w:rFonts w:cs="Times New Roman"/>
        </w:rPr>
        <w:t>Wi</w:t>
      </w:r>
      <w:r w:rsidRPr="00655524">
        <w:rPr>
          <w:rFonts w:cs="Times New Roman"/>
        </w:rPr>
        <w:t>th the westward</w:t>
      </w:r>
      <w:r>
        <w:rPr>
          <w:rFonts w:cs="Times New Roman"/>
        </w:rPr>
        <w:t xml:space="preserve"> </w:t>
      </w:r>
      <w:r w:rsidRPr="00655524">
        <w:rPr>
          <w:rFonts w:cs="Times New Roman"/>
        </w:rPr>
        <w:t>expansion of Canada</w:t>
      </w:r>
      <w:r>
        <w:rPr>
          <w:rFonts w:cs="Times New Roman"/>
        </w:rPr>
        <w:t>,</w:t>
      </w:r>
      <w:r w:rsidRPr="00655524">
        <w:rPr>
          <w:rFonts w:cs="Times New Roman"/>
        </w:rPr>
        <w:t xml:space="preserve"> the </w:t>
      </w:r>
      <w:proofErr w:type="spellStart"/>
      <w:r w:rsidRPr="00655524">
        <w:rPr>
          <w:rFonts w:cs="Times New Roman"/>
        </w:rPr>
        <w:t>Obish</w:t>
      </w:r>
      <w:r>
        <w:rPr>
          <w:rFonts w:cs="Times New Roman"/>
        </w:rPr>
        <w:t>ikokaang</w:t>
      </w:r>
      <w:proofErr w:type="spellEnd"/>
      <w:r>
        <w:rPr>
          <w:rFonts w:cs="Times New Roman"/>
        </w:rPr>
        <w:t xml:space="preserve"> people entered into 187</w:t>
      </w:r>
      <w:r w:rsidRPr="00655524">
        <w:rPr>
          <w:rFonts w:cs="Times New Roman"/>
        </w:rPr>
        <w:t>3 Treaty #3 through</w:t>
      </w:r>
      <w:r>
        <w:rPr>
          <w:rFonts w:cs="Times New Roman"/>
        </w:rPr>
        <w:t xml:space="preserve"> </w:t>
      </w:r>
      <w:r w:rsidRPr="00655524">
        <w:rPr>
          <w:rFonts w:cs="Times New Roman"/>
        </w:rPr>
        <w:t xml:space="preserve">an </w:t>
      </w:r>
      <w:r>
        <w:rPr>
          <w:rFonts w:cs="Times New Roman"/>
        </w:rPr>
        <w:t>adh</w:t>
      </w:r>
      <w:r w:rsidRPr="00655524">
        <w:rPr>
          <w:rFonts w:cs="Times New Roman"/>
        </w:rPr>
        <w:t>esion in 1874,</w:t>
      </w:r>
      <w:r>
        <w:rPr>
          <w:rFonts w:cs="Times New Roman"/>
        </w:rPr>
        <w:t xml:space="preserve"> signed by </w:t>
      </w:r>
      <w:proofErr w:type="spellStart"/>
      <w:r>
        <w:rPr>
          <w:rFonts w:cs="Times New Roman"/>
        </w:rPr>
        <w:t>Napanayyahgaynum</w:t>
      </w:r>
      <w:proofErr w:type="spellEnd"/>
      <w:r>
        <w:rPr>
          <w:rFonts w:cs="Times New Roman"/>
        </w:rPr>
        <w:t xml:space="preserve"> (Ch</w:t>
      </w:r>
      <w:r w:rsidRPr="00655524">
        <w:rPr>
          <w:rFonts w:cs="Times New Roman"/>
        </w:rPr>
        <w:t>ief John Crow Martin, later</w:t>
      </w:r>
      <w:r>
        <w:rPr>
          <w:rFonts w:cs="Times New Roman"/>
        </w:rPr>
        <w:t xml:space="preserve"> </w:t>
      </w:r>
      <w:r w:rsidRPr="00655524">
        <w:rPr>
          <w:rFonts w:cs="Times New Roman"/>
        </w:rPr>
        <w:t xml:space="preserve">Cromarty). This Treaty promised the Lac </w:t>
      </w:r>
      <w:proofErr w:type="spellStart"/>
      <w:r w:rsidRPr="00655524">
        <w:rPr>
          <w:rFonts w:cs="Times New Roman"/>
        </w:rPr>
        <w:t>Seul</w:t>
      </w:r>
      <w:proofErr w:type="spellEnd"/>
      <w:r w:rsidRPr="00655524">
        <w:rPr>
          <w:rFonts w:cs="Times New Roman"/>
        </w:rPr>
        <w:t xml:space="preserve"> people relocation to a specific set of</w:t>
      </w:r>
      <w:r>
        <w:rPr>
          <w:rFonts w:cs="Times New Roman"/>
        </w:rPr>
        <w:t xml:space="preserve"> </w:t>
      </w:r>
      <w:r w:rsidRPr="00655524">
        <w:rPr>
          <w:rFonts w:cs="Times New Roman"/>
        </w:rPr>
        <w:t>reserve l</w:t>
      </w:r>
      <w:r>
        <w:rPr>
          <w:rFonts w:cs="Times New Roman"/>
        </w:rPr>
        <w:t>ands, and was committed to ensuring that they could continue to h</w:t>
      </w:r>
      <w:r w:rsidRPr="00655524">
        <w:rPr>
          <w:rFonts w:cs="Times New Roman"/>
        </w:rPr>
        <w:t>unt, trap, fish</w:t>
      </w:r>
      <w:r>
        <w:rPr>
          <w:rFonts w:cs="Times New Roman"/>
        </w:rPr>
        <w:t xml:space="preserve">, </w:t>
      </w:r>
      <w:r w:rsidRPr="00655524">
        <w:rPr>
          <w:rFonts w:cs="Times New Roman"/>
        </w:rPr>
        <w:t>and harvest. The Chie</w:t>
      </w:r>
      <w:r>
        <w:rPr>
          <w:rFonts w:cs="Times New Roman"/>
        </w:rPr>
        <w:t>f and Elders carefully chose th</w:t>
      </w:r>
      <w:r w:rsidRPr="00655524">
        <w:rPr>
          <w:rFonts w:cs="Times New Roman"/>
        </w:rPr>
        <w:t>e reserve site with a view to</w:t>
      </w:r>
      <w:r>
        <w:rPr>
          <w:rFonts w:cs="Times New Roman"/>
        </w:rPr>
        <w:t xml:space="preserve"> </w:t>
      </w:r>
      <w:r w:rsidRPr="00655524">
        <w:rPr>
          <w:rFonts w:cs="Times New Roman"/>
        </w:rPr>
        <w:t>preserving their traditional way of life. Th</w:t>
      </w:r>
      <w:r>
        <w:rPr>
          <w:rFonts w:cs="Times New Roman"/>
        </w:rPr>
        <w:t>e location offered bountiful fi</w:t>
      </w:r>
      <w:r w:rsidRPr="00655524">
        <w:rPr>
          <w:rFonts w:cs="Times New Roman"/>
        </w:rPr>
        <w:t>shing and</w:t>
      </w:r>
      <w:r>
        <w:rPr>
          <w:rFonts w:cs="Times New Roman"/>
        </w:rPr>
        <w:t xml:space="preserve"> </w:t>
      </w:r>
      <w:r w:rsidRPr="00655524">
        <w:rPr>
          <w:rFonts w:cs="Times New Roman"/>
        </w:rPr>
        <w:t>trapping, access to sweet water, and a shoreline that was ideal for cultivating wild rice.</w:t>
      </w:r>
    </w:p>
    <w:p w14:paraId="4D5CBE21" w14:textId="77777777" w:rsidR="00DB76D3" w:rsidRPr="00655524" w:rsidRDefault="00DB76D3" w:rsidP="006B03E0">
      <w:pPr>
        <w:pStyle w:val="ExhibitText"/>
      </w:pPr>
    </w:p>
    <w:p w14:paraId="79F6E767" w14:textId="4E48763C" w:rsidR="00DB76D3" w:rsidRDefault="00DB76D3" w:rsidP="006B03E0">
      <w:pPr>
        <w:pStyle w:val="ExhibitText"/>
        <w:rPr>
          <w:rFonts w:cs="Times New Roman"/>
        </w:rPr>
      </w:pPr>
      <w:r w:rsidRPr="00655524">
        <w:rPr>
          <w:rFonts w:cs="Times New Roman"/>
        </w:rPr>
        <w:t>In the early 20th cen</w:t>
      </w:r>
      <w:r>
        <w:rPr>
          <w:rFonts w:cs="Times New Roman"/>
        </w:rPr>
        <w:t>tury,</w:t>
      </w:r>
      <w:r w:rsidRPr="00655524">
        <w:rPr>
          <w:rFonts w:cs="Times New Roman"/>
        </w:rPr>
        <w:t xml:space="preserve"> the demand for electricity in </w:t>
      </w:r>
      <w:proofErr w:type="spellStart"/>
      <w:r w:rsidRPr="00655524">
        <w:rPr>
          <w:rFonts w:cs="Times New Roman"/>
        </w:rPr>
        <w:t>North</w:t>
      </w:r>
      <w:r>
        <w:rPr>
          <w:rFonts w:cs="Times New Roman"/>
        </w:rPr>
        <w:t>western</w:t>
      </w:r>
      <w:proofErr w:type="spellEnd"/>
      <w:r w:rsidRPr="00655524">
        <w:rPr>
          <w:rFonts w:cs="Times New Roman"/>
        </w:rPr>
        <w:t xml:space="preserve"> Ontario grew. The</w:t>
      </w:r>
      <w:r>
        <w:rPr>
          <w:rFonts w:cs="Times New Roman"/>
        </w:rPr>
        <w:t xml:space="preserve"> </w:t>
      </w:r>
      <w:r w:rsidRPr="00655524">
        <w:rPr>
          <w:rFonts w:cs="Times New Roman"/>
        </w:rPr>
        <w:t xml:space="preserve">river-lake system of Lac </w:t>
      </w:r>
      <w:proofErr w:type="spellStart"/>
      <w:r w:rsidRPr="00655524">
        <w:rPr>
          <w:rFonts w:cs="Times New Roman"/>
        </w:rPr>
        <w:t>Seul</w:t>
      </w:r>
      <w:proofErr w:type="spellEnd"/>
      <w:r w:rsidRPr="00655524">
        <w:rPr>
          <w:rFonts w:cs="Times New Roman"/>
        </w:rPr>
        <w:t xml:space="preserve"> was identified as a promising reservoir for hydroelectric</w:t>
      </w:r>
      <w:r>
        <w:rPr>
          <w:rFonts w:cs="Times New Roman"/>
        </w:rPr>
        <w:t xml:space="preserve"> </w:t>
      </w:r>
      <w:r w:rsidRPr="00655524">
        <w:rPr>
          <w:rFonts w:cs="Times New Roman"/>
        </w:rPr>
        <w:t>generation and for flood control downriver</w:t>
      </w:r>
      <w:r>
        <w:rPr>
          <w:rFonts w:cs="Times New Roman"/>
        </w:rPr>
        <w:t>,</w:t>
      </w:r>
      <w:r w:rsidRPr="00655524">
        <w:rPr>
          <w:rFonts w:cs="Times New Roman"/>
        </w:rPr>
        <w:t xml:space="preserve"> and work began in the late</w:t>
      </w:r>
      <w:r w:rsidR="00184F38">
        <w:rPr>
          <w:rFonts w:cs="Times New Roman"/>
        </w:rPr>
        <w:t xml:space="preserve"> </w:t>
      </w:r>
      <w:r w:rsidRPr="00655524">
        <w:rPr>
          <w:rFonts w:cs="Times New Roman"/>
        </w:rPr>
        <w:t>1920s.</w:t>
      </w:r>
    </w:p>
    <w:p w14:paraId="10185E72" w14:textId="77777777" w:rsidR="00DB76D3" w:rsidRDefault="00DB76D3" w:rsidP="006B03E0">
      <w:pPr>
        <w:pStyle w:val="ExhibitText"/>
        <w:rPr>
          <w:rFonts w:cs="Times New Roman"/>
        </w:rPr>
      </w:pPr>
    </w:p>
    <w:p w14:paraId="11EBF0FE" w14:textId="7A8C4BAF" w:rsidR="00DB76D3" w:rsidRDefault="00DB76D3" w:rsidP="006B03E0">
      <w:pPr>
        <w:pStyle w:val="ExhibitText"/>
        <w:rPr>
          <w:rFonts w:cs="Times New Roman"/>
        </w:rPr>
      </w:pPr>
      <w:r w:rsidRPr="00751F19">
        <w:rPr>
          <w:rFonts w:cs="Times New Roman"/>
        </w:rPr>
        <w:t xml:space="preserve">In 1934, without knowledge or permission of the </w:t>
      </w:r>
      <w:proofErr w:type="spellStart"/>
      <w:r w:rsidRPr="00751F19">
        <w:rPr>
          <w:rFonts w:cs="Times New Roman"/>
        </w:rPr>
        <w:t>Obishikokaang</w:t>
      </w:r>
      <w:proofErr w:type="spellEnd"/>
      <w:r w:rsidRPr="00751F19">
        <w:rPr>
          <w:rFonts w:cs="Times New Roman"/>
        </w:rPr>
        <w:t xml:space="preserve"> </w:t>
      </w:r>
      <w:proofErr w:type="spellStart"/>
      <w:r w:rsidRPr="00751F19">
        <w:rPr>
          <w:rFonts w:cs="Times New Roman"/>
        </w:rPr>
        <w:t>Anishinaabeg</w:t>
      </w:r>
      <w:proofErr w:type="spellEnd"/>
      <w:r w:rsidRPr="00751F19">
        <w:rPr>
          <w:rFonts w:cs="Times New Roman"/>
        </w:rPr>
        <w:t>, the dam</w:t>
      </w:r>
      <w:r>
        <w:rPr>
          <w:rFonts w:cs="Times New Roman"/>
        </w:rPr>
        <w:t xml:space="preserve"> </w:t>
      </w:r>
      <w:r w:rsidRPr="00751F19">
        <w:rPr>
          <w:rFonts w:cs="Times New Roman"/>
        </w:rPr>
        <w:t xml:space="preserve">was activated and the lake rose by 12 </w:t>
      </w:r>
      <w:r>
        <w:rPr>
          <w:rFonts w:cs="Times New Roman"/>
        </w:rPr>
        <w:t>feet</w:t>
      </w:r>
      <w:r w:rsidRPr="00751F19">
        <w:rPr>
          <w:rFonts w:cs="Times New Roman"/>
        </w:rPr>
        <w:t xml:space="preserve">. The people of </w:t>
      </w:r>
      <w:proofErr w:type="spellStart"/>
      <w:r w:rsidRPr="00751F19">
        <w:rPr>
          <w:rFonts w:cs="Times New Roman"/>
        </w:rPr>
        <w:t>Obishikokaang</w:t>
      </w:r>
      <w:proofErr w:type="spellEnd"/>
      <w:r>
        <w:rPr>
          <w:rFonts w:cs="Times New Roman"/>
        </w:rPr>
        <w:t xml:space="preserve"> return</w:t>
      </w:r>
      <w:r w:rsidRPr="00751F19">
        <w:rPr>
          <w:rFonts w:cs="Times New Roman"/>
        </w:rPr>
        <w:t>ed from a winter of trapping to find their summer settlement, along the reserve</w:t>
      </w:r>
      <w:r>
        <w:rPr>
          <w:rFonts w:cs="Times New Roman"/>
        </w:rPr>
        <w:t xml:space="preserve"> </w:t>
      </w:r>
      <w:r w:rsidRPr="00751F19">
        <w:rPr>
          <w:rFonts w:cs="Times New Roman"/>
        </w:rPr>
        <w:t>shoreline, under water</w:t>
      </w:r>
      <w:r>
        <w:rPr>
          <w:rFonts w:cs="Times New Roman"/>
        </w:rPr>
        <w:t>.</w:t>
      </w:r>
    </w:p>
    <w:p w14:paraId="2388EEE2" w14:textId="77777777" w:rsidR="00DB76D3" w:rsidRPr="00655524" w:rsidRDefault="00DB76D3" w:rsidP="006B03E0">
      <w:pPr>
        <w:pStyle w:val="ExhibitText"/>
      </w:pPr>
    </w:p>
    <w:p w14:paraId="574106D4" w14:textId="48CE38BB" w:rsidR="00DB76D3" w:rsidRDefault="00DB76D3" w:rsidP="006B03E0">
      <w:pPr>
        <w:pStyle w:val="ExhibitText"/>
        <w:rPr>
          <w:rFonts w:cs="Times New Roman"/>
        </w:rPr>
      </w:pPr>
      <w:r w:rsidRPr="00655524">
        <w:rPr>
          <w:rFonts w:cs="Times New Roman"/>
        </w:rPr>
        <w:t>Eighty-two reserve houses were destroyed, along with the Council houses, farms, barns,</w:t>
      </w:r>
      <w:r>
        <w:rPr>
          <w:rFonts w:cs="Times New Roman"/>
        </w:rPr>
        <w:t xml:space="preserve"> the poww</w:t>
      </w:r>
      <w:r w:rsidRPr="00655524">
        <w:rPr>
          <w:rFonts w:cs="Times New Roman"/>
        </w:rPr>
        <w:t xml:space="preserve">ow grounds, and the sacred Midewiwin Grounds. Hundreds of Lac </w:t>
      </w:r>
      <w:proofErr w:type="spellStart"/>
      <w:r w:rsidRPr="00655524">
        <w:rPr>
          <w:rFonts w:cs="Times New Roman"/>
        </w:rPr>
        <w:t>Seul</w:t>
      </w:r>
      <w:proofErr w:type="spellEnd"/>
      <w:r w:rsidRPr="00655524">
        <w:rPr>
          <w:rFonts w:cs="Times New Roman"/>
        </w:rPr>
        <w:t xml:space="preserve"> people found themselves homeless</w:t>
      </w:r>
      <w:r w:rsidR="00184F38">
        <w:rPr>
          <w:rFonts w:cs="Times New Roman"/>
        </w:rPr>
        <w:t>,</w:t>
      </w:r>
      <w:r w:rsidRPr="00655524">
        <w:rPr>
          <w:rFonts w:cs="Times New Roman"/>
        </w:rPr>
        <w:t xml:space="preserve"> and many famili</w:t>
      </w:r>
      <w:r>
        <w:rPr>
          <w:rFonts w:cs="Times New Roman"/>
        </w:rPr>
        <w:t>es were forced to leave the res</w:t>
      </w:r>
      <w:r w:rsidRPr="00655524">
        <w:rPr>
          <w:rFonts w:cs="Times New Roman"/>
        </w:rPr>
        <w:t>erve</w:t>
      </w:r>
      <w:r>
        <w:rPr>
          <w:rFonts w:cs="Times New Roman"/>
        </w:rPr>
        <w:t xml:space="preserve"> </w:t>
      </w:r>
      <w:r w:rsidRPr="00655524">
        <w:rPr>
          <w:rFonts w:cs="Times New Roman"/>
        </w:rPr>
        <w:t>in order to s</w:t>
      </w:r>
      <w:r>
        <w:rPr>
          <w:rFonts w:cs="Times New Roman"/>
        </w:rPr>
        <w:t>urv</w:t>
      </w:r>
      <w:r w:rsidRPr="00655524">
        <w:rPr>
          <w:rFonts w:cs="Times New Roman"/>
        </w:rPr>
        <w:t>ive. Fl</w:t>
      </w:r>
      <w:r>
        <w:rPr>
          <w:rFonts w:cs="Times New Roman"/>
        </w:rPr>
        <w:t>ooding</w:t>
      </w:r>
      <w:r w:rsidRPr="00655524">
        <w:rPr>
          <w:rFonts w:cs="Times New Roman"/>
        </w:rPr>
        <w:t xml:space="preserve"> o</w:t>
      </w:r>
      <w:r>
        <w:rPr>
          <w:rFonts w:cs="Times New Roman"/>
        </w:rPr>
        <w:t>f the lake affected the resourc</w:t>
      </w:r>
      <w:r w:rsidRPr="00655524">
        <w:rPr>
          <w:rFonts w:cs="Times New Roman"/>
        </w:rPr>
        <w:t xml:space="preserve">es the Lac </w:t>
      </w:r>
      <w:proofErr w:type="spellStart"/>
      <w:r w:rsidRPr="00655524">
        <w:rPr>
          <w:rFonts w:cs="Times New Roman"/>
        </w:rPr>
        <w:t>Seul</w:t>
      </w:r>
      <w:proofErr w:type="spellEnd"/>
      <w:r w:rsidRPr="00655524">
        <w:rPr>
          <w:rFonts w:cs="Times New Roman"/>
        </w:rPr>
        <w:t xml:space="preserve"> people depended on for their livelih</w:t>
      </w:r>
      <w:r>
        <w:rPr>
          <w:rFonts w:cs="Times New Roman"/>
        </w:rPr>
        <w:t>ood. Timber, muskrat swamps, and agricultu</w:t>
      </w:r>
      <w:r w:rsidRPr="00655524">
        <w:rPr>
          <w:rFonts w:cs="Times New Roman"/>
        </w:rPr>
        <w:t xml:space="preserve">ral </w:t>
      </w:r>
      <w:r>
        <w:rPr>
          <w:rFonts w:cs="Times New Roman"/>
        </w:rPr>
        <w:t xml:space="preserve">areas were lost </w:t>
      </w:r>
      <w:r w:rsidRPr="00655524">
        <w:rPr>
          <w:rFonts w:cs="Times New Roman"/>
        </w:rPr>
        <w:t xml:space="preserve">and the vital wild rice </w:t>
      </w:r>
      <w:r>
        <w:rPr>
          <w:rFonts w:cs="Times New Roman"/>
        </w:rPr>
        <w:t xml:space="preserve">beds </w:t>
      </w:r>
      <w:r w:rsidRPr="00655524">
        <w:rPr>
          <w:rFonts w:cs="Times New Roman"/>
        </w:rPr>
        <w:t>decimated.</w:t>
      </w:r>
    </w:p>
    <w:p w14:paraId="74AFCBBA" w14:textId="77777777" w:rsidR="00DB76D3" w:rsidRPr="00655524" w:rsidRDefault="00DB76D3" w:rsidP="006B03E0">
      <w:pPr>
        <w:pStyle w:val="ExhibitText"/>
      </w:pPr>
    </w:p>
    <w:p w14:paraId="1727A12C" w14:textId="77777777" w:rsidR="00DB76D3" w:rsidRDefault="00DB76D3" w:rsidP="006B03E0">
      <w:pPr>
        <w:pStyle w:val="ExhibitText"/>
        <w:rPr>
          <w:rFonts w:cs="Times New Roman"/>
        </w:rPr>
      </w:pPr>
      <w:r w:rsidRPr="00655524">
        <w:rPr>
          <w:rFonts w:cs="Times New Roman"/>
        </w:rPr>
        <w:t>This memorial is dedicat</w:t>
      </w:r>
      <w:r>
        <w:rPr>
          <w:rFonts w:cs="Times New Roman"/>
        </w:rPr>
        <w:t xml:space="preserve">ed to those members of </w:t>
      </w:r>
      <w:proofErr w:type="spellStart"/>
      <w:r>
        <w:rPr>
          <w:rFonts w:cs="Times New Roman"/>
        </w:rPr>
        <w:t>Obishik</w:t>
      </w:r>
      <w:r w:rsidRPr="00655524">
        <w:rPr>
          <w:rFonts w:cs="Times New Roman"/>
        </w:rPr>
        <w:t>okaang's</w:t>
      </w:r>
      <w:proofErr w:type="spellEnd"/>
      <w:r w:rsidRPr="00655524">
        <w:rPr>
          <w:rFonts w:cs="Times New Roman"/>
        </w:rPr>
        <w:t xml:space="preserve"> original seven Clans</w:t>
      </w:r>
      <w:r>
        <w:rPr>
          <w:rFonts w:cs="Times New Roman"/>
        </w:rPr>
        <w:t xml:space="preserve"> made homeless and des</w:t>
      </w:r>
      <w:r w:rsidRPr="00655524">
        <w:rPr>
          <w:rFonts w:cs="Times New Roman"/>
        </w:rPr>
        <w:t xml:space="preserve">titute by the flooding of Lac </w:t>
      </w:r>
      <w:proofErr w:type="spellStart"/>
      <w:r w:rsidRPr="00655524">
        <w:rPr>
          <w:rFonts w:cs="Times New Roman"/>
        </w:rPr>
        <w:t>Seul</w:t>
      </w:r>
      <w:proofErr w:type="spellEnd"/>
      <w:r w:rsidRPr="00655524">
        <w:rPr>
          <w:rFonts w:cs="Times New Roman"/>
        </w:rPr>
        <w:t xml:space="preserve"> in 1934, and for those</w:t>
      </w:r>
      <w:r>
        <w:rPr>
          <w:rFonts w:cs="Times New Roman"/>
        </w:rPr>
        <w:t xml:space="preserve"> </w:t>
      </w:r>
      <w:r w:rsidRPr="00655524">
        <w:rPr>
          <w:rFonts w:cs="Times New Roman"/>
        </w:rPr>
        <w:t>members w</w:t>
      </w:r>
      <w:r>
        <w:rPr>
          <w:rFonts w:cs="Times New Roman"/>
        </w:rPr>
        <w:t>ho have lost their lives on a trea</w:t>
      </w:r>
      <w:r w:rsidRPr="00655524">
        <w:rPr>
          <w:rFonts w:cs="Times New Roman"/>
        </w:rPr>
        <w:t>cherous and changed lake.</w:t>
      </w:r>
    </w:p>
    <w:p w14:paraId="665EDF89" w14:textId="77777777" w:rsidR="00DB76D3" w:rsidRDefault="00DB76D3" w:rsidP="006B03E0">
      <w:pPr>
        <w:pStyle w:val="ExhibitText"/>
        <w:rPr>
          <w:rFonts w:cs="Times New Roman"/>
        </w:rPr>
      </w:pPr>
    </w:p>
    <w:p w14:paraId="60B280B4" w14:textId="77777777" w:rsidR="00DB76D3" w:rsidRDefault="00DB76D3" w:rsidP="006B03E0">
      <w:pPr>
        <w:pStyle w:val="Footnote"/>
      </w:pPr>
      <w:r>
        <w:t xml:space="preserve">Source: Transcribed by the author. </w:t>
      </w:r>
    </w:p>
    <w:p w14:paraId="3B0075D9" w14:textId="77777777" w:rsidR="00DB76D3" w:rsidRDefault="00DB76D3" w:rsidP="006B03E0">
      <w:pPr>
        <w:pStyle w:val="ExhibitText"/>
        <w:rPr>
          <w:rFonts w:cs="Times New Roman"/>
        </w:rPr>
      </w:pPr>
      <w:r>
        <w:rPr>
          <w:rFonts w:cs="Times New Roman"/>
        </w:rPr>
        <w:br w:type="page"/>
      </w:r>
    </w:p>
    <w:p w14:paraId="666FD96F" w14:textId="37EE04EE" w:rsidR="00DB76D3" w:rsidRDefault="00DB76D3" w:rsidP="00715F7A">
      <w:pPr>
        <w:pStyle w:val="ExhibitHeading"/>
      </w:pPr>
      <w:r>
        <w:lastRenderedPageBreak/>
        <w:t>Exhibit 3: Education Census Data, Lac Seul Compared to Ontario, 2011</w:t>
      </w:r>
    </w:p>
    <w:p w14:paraId="6BF5640B" w14:textId="77777777" w:rsidR="009A2947" w:rsidRDefault="009A2947" w:rsidP="00715F7A">
      <w:pPr>
        <w:pStyle w:val="ExhibitText"/>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007"/>
        <w:gridCol w:w="2250"/>
      </w:tblGrid>
      <w:tr w:rsidR="00C13D8D" w14:paraId="48059BC8" w14:textId="77777777" w:rsidTr="00B60E1A">
        <w:trPr>
          <w:trHeight w:val="360"/>
          <w:jc w:val="center"/>
        </w:trPr>
        <w:tc>
          <w:tcPr>
            <w:tcW w:w="5103" w:type="dxa"/>
            <w:tcBorders>
              <w:top w:val="single" w:sz="4" w:space="0" w:color="auto"/>
              <w:bottom w:val="single" w:sz="12" w:space="0" w:color="auto"/>
            </w:tcBorders>
            <w:vAlign w:val="center"/>
          </w:tcPr>
          <w:p w14:paraId="35684CB9" w14:textId="03E96B7C" w:rsidR="00C13D8D" w:rsidRDefault="00547665" w:rsidP="00C13D8D">
            <w:pPr>
              <w:pStyle w:val="ExhibitText"/>
              <w:jc w:val="left"/>
            </w:pPr>
            <w:r>
              <w:rPr>
                <w:color w:val="000000"/>
                <w:sz w:val="22"/>
                <w:szCs w:val="22"/>
              </w:rPr>
              <w:t>Per</w:t>
            </w:r>
            <w:r w:rsidR="00B60E1A">
              <w:rPr>
                <w:color w:val="000000"/>
                <w:sz w:val="22"/>
                <w:szCs w:val="22"/>
              </w:rPr>
              <w:t xml:space="preserve"> </w:t>
            </w:r>
            <w:r>
              <w:rPr>
                <w:color w:val="000000"/>
                <w:sz w:val="22"/>
                <w:szCs w:val="22"/>
              </w:rPr>
              <w:t xml:space="preserve">cent of </w:t>
            </w:r>
            <w:r w:rsidRPr="009A2947">
              <w:rPr>
                <w:color w:val="000000"/>
                <w:sz w:val="22"/>
                <w:szCs w:val="22"/>
              </w:rPr>
              <w:t>p</w:t>
            </w:r>
            <w:r w:rsidRPr="009D4222">
              <w:rPr>
                <w:color w:val="000000"/>
                <w:sz w:val="22"/>
                <w:szCs w:val="22"/>
              </w:rPr>
              <w:t>opulation 15 years and over</w:t>
            </w:r>
            <w:r>
              <w:rPr>
                <w:color w:val="000000"/>
                <w:sz w:val="22"/>
                <w:szCs w:val="22"/>
              </w:rPr>
              <w:t xml:space="preserve"> with</w:t>
            </w:r>
            <w:r w:rsidR="00B60E1A">
              <w:rPr>
                <w:color w:val="000000"/>
                <w:sz w:val="22"/>
                <w:szCs w:val="22"/>
              </w:rPr>
              <w:t xml:space="preserve"> </w:t>
            </w:r>
            <w:r>
              <w:rPr>
                <w:color w:val="000000"/>
                <w:sz w:val="22"/>
                <w:szCs w:val="22"/>
              </w:rPr>
              <w:t>…</w:t>
            </w:r>
          </w:p>
        </w:tc>
        <w:tc>
          <w:tcPr>
            <w:tcW w:w="2007" w:type="dxa"/>
            <w:tcBorders>
              <w:top w:val="single" w:sz="4" w:space="0" w:color="auto"/>
              <w:bottom w:val="single" w:sz="12" w:space="0" w:color="auto"/>
            </w:tcBorders>
            <w:vAlign w:val="center"/>
          </w:tcPr>
          <w:p w14:paraId="7D541617" w14:textId="15E348A8" w:rsidR="00C13D8D" w:rsidRPr="00547665" w:rsidRDefault="00C13D8D" w:rsidP="00C13D8D">
            <w:pPr>
              <w:pStyle w:val="ExhibitText"/>
              <w:jc w:val="center"/>
              <w:rPr>
                <w:b/>
              </w:rPr>
            </w:pPr>
            <w:r w:rsidRPr="00547665">
              <w:rPr>
                <w:b/>
                <w:color w:val="000000"/>
                <w:sz w:val="22"/>
                <w:szCs w:val="22"/>
              </w:rPr>
              <w:t xml:space="preserve">Lac </w:t>
            </w:r>
            <w:proofErr w:type="spellStart"/>
            <w:r w:rsidRPr="00547665">
              <w:rPr>
                <w:b/>
                <w:color w:val="000000"/>
                <w:sz w:val="22"/>
                <w:szCs w:val="22"/>
              </w:rPr>
              <w:t>Seul</w:t>
            </w:r>
            <w:proofErr w:type="spellEnd"/>
          </w:p>
        </w:tc>
        <w:tc>
          <w:tcPr>
            <w:tcW w:w="2250" w:type="dxa"/>
            <w:tcBorders>
              <w:top w:val="single" w:sz="4" w:space="0" w:color="auto"/>
              <w:bottom w:val="single" w:sz="12" w:space="0" w:color="auto"/>
            </w:tcBorders>
            <w:vAlign w:val="center"/>
          </w:tcPr>
          <w:p w14:paraId="1DE07C19" w14:textId="4A61D17C" w:rsidR="00C13D8D" w:rsidRPr="00547665" w:rsidRDefault="00C13D8D" w:rsidP="00C13D8D">
            <w:pPr>
              <w:pStyle w:val="ExhibitText"/>
              <w:jc w:val="center"/>
              <w:rPr>
                <w:b/>
              </w:rPr>
            </w:pPr>
            <w:r w:rsidRPr="00547665">
              <w:rPr>
                <w:b/>
                <w:color w:val="000000"/>
                <w:sz w:val="22"/>
                <w:szCs w:val="22"/>
              </w:rPr>
              <w:t>Ontario</w:t>
            </w:r>
          </w:p>
        </w:tc>
      </w:tr>
      <w:tr w:rsidR="00C13D8D" w14:paraId="4A851983" w14:textId="77777777" w:rsidTr="00B60E1A">
        <w:trPr>
          <w:trHeight w:val="360"/>
          <w:jc w:val="center"/>
        </w:trPr>
        <w:tc>
          <w:tcPr>
            <w:tcW w:w="5103" w:type="dxa"/>
            <w:vAlign w:val="center"/>
          </w:tcPr>
          <w:p w14:paraId="335F10E8" w14:textId="0E4408F5" w:rsidR="00C13D8D" w:rsidRDefault="00C13D8D" w:rsidP="00C13D8D">
            <w:pPr>
              <w:pStyle w:val="ExhibitText"/>
              <w:jc w:val="left"/>
            </w:pPr>
            <w:r w:rsidRPr="009D4222">
              <w:rPr>
                <w:color w:val="000000"/>
                <w:sz w:val="22"/>
                <w:szCs w:val="22"/>
              </w:rPr>
              <w:t>No degree, certificate or diploma</w:t>
            </w:r>
          </w:p>
        </w:tc>
        <w:tc>
          <w:tcPr>
            <w:tcW w:w="2007" w:type="dxa"/>
            <w:vAlign w:val="center"/>
          </w:tcPr>
          <w:p w14:paraId="61185072" w14:textId="47B9F60B" w:rsidR="00C13D8D" w:rsidRDefault="00C13D8D" w:rsidP="00C13D8D">
            <w:pPr>
              <w:pStyle w:val="ExhibitText"/>
              <w:ind w:right="720"/>
              <w:jc w:val="right"/>
            </w:pPr>
            <w:r w:rsidRPr="009D4222">
              <w:rPr>
                <w:color w:val="000000"/>
                <w:sz w:val="22"/>
                <w:szCs w:val="22"/>
              </w:rPr>
              <w:t>64</w:t>
            </w:r>
          </w:p>
        </w:tc>
        <w:tc>
          <w:tcPr>
            <w:tcW w:w="2250" w:type="dxa"/>
            <w:vAlign w:val="center"/>
          </w:tcPr>
          <w:p w14:paraId="7CD32025" w14:textId="59E69042" w:rsidR="00C13D8D" w:rsidRDefault="00C13D8D" w:rsidP="00C13D8D">
            <w:pPr>
              <w:pStyle w:val="ExhibitText"/>
              <w:ind w:right="720"/>
              <w:jc w:val="right"/>
            </w:pPr>
            <w:r w:rsidRPr="009D4222">
              <w:rPr>
                <w:color w:val="000000"/>
                <w:sz w:val="22"/>
                <w:szCs w:val="22"/>
              </w:rPr>
              <w:t>19</w:t>
            </w:r>
          </w:p>
        </w:tc>
      </w:tr>
      <w:tr w:rsidR="00C13D8D" w14:paraId="44DE6815" w14:textId="77777777" w:rsidTr="00B60E1A">
        <w:trPr>
          <w:trHeight w:val="360"/>
          <w:jc w:val="center"/>
        </w:trPr>
        <w:tc>
          <w:tcPr>
            <w:tcW w:w="5103" w:type="dxa"/>
            <w:vAlign w:val="center"/>
          </w:tcPr>
          <w:p w14:paraId="57C08C68" w14:textId="4B0D25C8" w:rsidR="00C13D8D" w:rsidRPr="009D4222" w:rsidRDefault="00C13D8D" w:rsidP="00C13D8D">
            <w:pPr>
              <w:pStyle w:val="ExhibitText"/>
              <w:jc w:val="left"/>
              <w:rPr>
                <w:color w:val="000000"/>
              </w:rPr>
            </w:pPr>
            <w:r w:rsidRPr="009D4222">
              <w:rPr>
                <w:color w:val="000000"/>
                <w:sz w:val="22"/>
                <w:szCs w:val="22"/>
              </w:rPr>
              <w:t>High school diploma or equivalent only</w:t>
            </w:r>
          </w:p>
        </w:tc>
        <w:tc>
          <w:tcPr>
            <w:tcW w:w="2007" w:type="dxa"/>
            <w:vAlign w:val="center"/>
          </w:tcPr>
          <w:p w14:paraId="10D75FEE" w14:textId="4A66600A" w:rsidR="00C13D8D" w:rsidRDefault="00C13D8D" w:rsidP="00C13D8D">
            <w:pPr>
              <w:pStyle w:val="ExhibitText"/>
              <w:ind w:right="720"/>
              <w:jc w:val="right"/>
            </w:pPr>
            <w:r w:rsidRPr="009D4222">
              <w:rPr>
                <w:color w:val="000000"/>
                <w:sz w:val="22"/>
                <w:szCs w:val="22"/>
              </w:rPr>
              <w:t>19</w:t>
            </w:r>
          </w:p>
        </w:tc>
        <w:tc>
          <w:tcPr>
            <w:tcW w:w="2250" w:type="dxa"/>
            <w:vAlign w:val="center"/>
          </w:tcPr>
          <w:p w14:paraId="3187E163" w14:textId="7A0665F6" w:rsidR="00C13D8D" w:rsidRDefault="00C13D8D" w:rsidP="00C13D8D">
            <w:pPr>
              <w:pStyle w:val="ExhibitText"/>
              <w:ind w:right="720"/>
              <w:jc w:val="right"/>
            </w:pPr>
            <w:r w:rsidRPr="009D4222">
              <w:rPr>
                <w:color w:val="000000"/>
                <w:sz w:val="22"/>
                <w:szCs w:val="22"/>
              </w:rPr>
              <w:t>27</w:t>
            </w:r>
          </w:p>
        </w:tc>
      </w:tr>
      <w:tr w:rsidR="00C13D8D" w14:paraId="1B963218" w14:textId="77777777" w:rsidTr="00B60E1A">
        <w:trPr>
          <w:trHeight w:val="360"/>
          <w:jc w:val="center"/>
        </w:trPr>
        <w:tc>
          <w:tcPr>
            <w:tcW w:w="5103" w:type="dxa"/>
            <w:vAlign w:val="center"/>
          </w:tcPr>
          <w:p w14:paraId="543BA24C" w14:textId="7FBD5576" w:rsidR="00C13D8D" w:rsidRPr="009D4222" w:rsidRDefault="00C13D8D" w:rsidP="00C13D8D">
            <w:pPr>
              <w:pStyle w:val="ExhibitText"/>
              <w:jc w:val="left"/>
              <w:rPr>
                <w:color w:val="000000"/>
              </w:rPr>
            </w:pPr>
            <w:r w:rsidRPr="009D4222">
              <w:rPr>
                <w:color w:val="000000"/>
                <w:sz w:val="22"/>
                <w:szCs w:val="22"/>
              </w:rPr>
              <w:t>Trades/apprenticeship or other non-university certificate</w:t>
            </w:r>
          </w:p>
        </w:tc>
        <w:tc>
          <w:tcPr>
            <w:tcW w:w="2007" w:type="dxa"/>
            <w:vAlign w:val="center"/>
          </w:tcPr>
          <w:p w14:paraId="0ECE1DAC" w14:textId="1F4BFB78" w:rsidR="00C13D8D" w:rsidRDefault="00C13D8D" w:rsidP="00C13D8D">
            <w:pPr>
              <w:pStyle w:val="ExhibitText"/>
              <w:ind w:right="720"/>
              <w:jc w:val="right"/>
            </w:pPr>
            <w:r w:rsidRPr="009D4222">
              <w:rPr>
                <w:color w:val="000000"/>
                <w:sz w:val="22"/>
                <w:szCs w:val="22"/>
              </w:rPr>
              <w:t>13</w:t>
            </w:r>
          </w:p>
        </w:tc>
        <w:tc>
          <w:tcPr>
            <w:tcW w:w="2250" w:type="dxa"/>
            <w:vAlign w:val="center"/>
          </w:tcPr>
          <w:p w14:paraId="1454FDB8" w14:textId="6BF2C27B" w:rsidR="00C13D8D" w:rsidRDefault="00C13D8D" w:rsidP="00C13D8D">
            <w:pPr>
              <w:pStyle w:val="ExhibitText"/>
              <w:ind w:right="720"/>
              <w:jc w:val="right"/>
            </w:pPr>
            <w:r w:rsidRPr="009D4222">
              <w:rPr>
                <w:color w:val="000000"/>
                <w:sz w:val="22"/>
                <w:szCs w:val="22"/>
              </w:rPr>
              <w:t>27</w:t>
            </w:r>
          </w:p>
        </w:tc>
      </w:tr>
      <w:tr w:rsidR="00C13D8D" w14:paraId="2055FD22" w14:textId="77777777" w:rsidTr="00B60E1A">
        <w:trPr>
          <w:trHeight w:val="360"/>
          <w:jc w:val="center"/>
        </w:trPr>
        <w:tc>
          <w:tcPr>
            <w:tcW w:w="5103" w:type="dxa"/>
            <w:vAlign w:val="center"/>
          </w:tcPr>
          <w:p w14:paraId="5001B330" w14:textId="390376F5" w:rsidR="00C13D8D" w:rsidRPr="009D4222" w:rsidRDefault="00C13D8D" w:rsidP="00C13D8D">
            <w:pPr>
              <w:pStyle w:val="ExhibitText"/>
              <w:jc w:val="left"/>
              <w:rPr>
                <w:color w:val="000000"/>
              </w:rPr>
            </w:pPr>
            <w:r w:rsidRPr="009D4222">
              <w:rPr>
                <w:color w:val="000000"/>
                <w:sz w:val="22"/>
                <w:szCs w:val="22"/>
              </w:rPr>
              <w:t>University certificate below bachelor level</w:t>
            </w:r>
          </w:p>
        </w:tc>
        <w:tc>
          <w:tcPr>
            <w:tcW w:w="2007" w:type="dxa"/>
            <w:vAlign w:val="center"/>
          </w:tcPr>
          <w:p w14:paraId="6C442126" w14:textId="7EAB3D9C" w:rsidR="00C13D8D" w:rsidRDefault="00C13D8D" w:rsidP="00C13D8D">
            <w:pPr>
              <w:pStyle w:val="ExhibitText"/>
              <w:ind w:right="720"/>
              <w:jc w:val="right"/>
            </w:pPr>
            <w:r w:rsidRPr="009D4222">
              <w:rPr>
                <w:color w:val="000000"/>
                <w:sz w:val="22"/>
                <w:szCs w:val="22"/>
              </w:rPr>
              <w:t>2</w:t>
            </w:r>
          </w:p>
        </w:tc>
        <w:tc>
          <w:tcPr>
            <w:tcW w:w="2250" w:type="dxa"/>
            <w:vAlign w:val="center"/>
          </w:tcPr>
          <w:p w14:paraId="0CB895C2" w14:textId="68BDA0ED" w:rsidR="00C13D8D" w:rsidRDefault="00C13D8D" w:rsidP="00C13D8D">
            <w:pPr>
              <w:pStyle w:val="ExhibitText"/>
              <w:ind w:right="720"/>
              <w:jc w:val="right"/>
            </w:pPr>
            <w:r w:rsidRPr="009D4222">
              <w:rPr>
                <w:color w:val="000000"/>
                <w:sz w:val="22"/>
                <w:szCs w:val="22"/>
              </w:rPr>
              <w:t>4</w:t>
            </w:r>
          </w:p>
        </w:tc>
      </w:tr>
      <w:tr w:rsidR="00C13D8D" w14:paraId="25056C06" w14:textId="77777777" w:rsidTr="00B60E1A">
        <w:trPr>
          <w:trHeight w:val="360"/>
          <w:jc w:val="center"/>
        </w:trPr>
        <w:tc>
          <w:tcPr>
            <w:tcW w:w="5103" w:type="dxa"/>
            <w:tcBorders>
              <w:bottom w:val="single" w:sz="4" w:space="0" w:color="auto"/>
            </w:tcBorders>
            <w:vAlign w:val="center"/>
          </w:tcPr>
          <w:p w14:paraId="2DD4FBB8" w14:textId="5F9ED238" w:rsidR="00C13D8D" w:rsidRPr="009D4222" w:rsidRDefault="00C13D8D" w:rsidP="00C13D8D">
            <w:pPr>
              <w:pStyle w:val="ExhibitText"/>
              <w:jc w:val="left"/>
              <w:rPr>
                <w:color w:val="000000"/>
              </w:rPr>
            </w:pPr>
            <w:r w:rsidRPr="009D4222">
              <w:rPr>
                <w:color w:val="000000"/>
                <w:sz w:val="22"/>
                <w:szCs w:val="22"/>
              </w:rPr>
              <w:t>University degree (bachelor level or higher)</w:t>
            </w:r>
          </w:p>
        </w:tc>
        <w:tc>
          <w:tcPr>
            <w:tcW w:w="2007" w:type="dxa"/>
            <w:tcBorders>
              <w:bottom w:val="single" w:sz="4" w:space="0" w:color="auto"/>
            </w:tcBorders>
            <w:vAlign w:val="center"/>
          </w:tcPr>
          <w:p w14:paraId="5EC990E4" w14:textId="59571656" w:rsidR="00C13D8D" w:rsidRDefault="00C13D8D" w:rsidP="00C13D8D">
            <w:pPr>
              <w:pStyle w:val="ExhibitText"/>
              <w:ind w:right="720"/>
              <w:jc w:val="right"/>
            </w:pPr>
            <w:r w:rsidRPr="009D4222">
              <w:rPr>
                <w:color w:val="000000"/>
                <w:sz w:val="22"/>
                <w:szCs w:val="22"/>
              </w:rPr>
              <w:t>2</w:t>
            </w:r>
          </w:p>
        </w:tc>
        <w:tc>
          <w:tcPr>
            <w:tcW w:w="2250" w:type="dxa"/>
            <w:tcBorders>
              <w:bottom w:val="single" w:sz="4" w:space="0" w:color="auto"/>
            </w:tcBorders>
            <w:vAlign w:val="center"/>
          </w:tcPr>
          <w:p w14:paraId="75C86CDE" w14:textId="5D2E8FC1" w:rsidR="00C13D8D" w:rsidRDefault="00C13D8D" w:rsidP="00C13D8D">
            <w:pPr>
              <w:pStyle w:val="ExhibitText"/>
              <w:ind w:right="720"/>
              <w:jc w:val="right"/>
            </w:pPr>
            <w:r w:rsidRPr="009D4222">
              <w:rPr>
                <w:color w:val="000000"/>
                <w:sz w:val="22"/>
                <w:szCs w:val="22"/>
              </w:rPr>
              <w:t>23</w:t>
            </w:r>
          </w:p>
        </w:tc>
      </w:tr>
    </w:tbl>
    <w:p w14:paraId="7ED09EBE" w14:textId="77777777" w:rsidR="00C13D8D" w:rsidRDefault="00C13D8D" w:rsidP="00715F7A">
      <w:pPr>
        <w:pStyle w:val="ExhibitText"/>
      </w:pPr>
    </w:p>
    <w:p w14:paraId="6AF9B0D9" w14:textId="77777777" w:rsidR="003507C6" w:rsidRDefault="003507C6" w:rsidP="00715F7A">
      <w:pPr>
        <w:pStyle w:val="Footnote"/>
      </w:pPr>
      <w:r>
        <w:t xml:space="preserve">Source: “Education Characteristics: Lac </w:t>
      </w:r>
      <w:proofErr w:type="spellStart"/>
      <w:r>
        <w:t>Seul</w:t>
      </w:r>
      <w:proofErr w:type="spellEnd"/>
      <w:r>
        <w:t xml:space="preserve">,” Indigenous and Northern Affairs Canada, accessed October 15, 2016, </w:t>
      </w:r>
      <w:r w:rsidRPr="007E6082">
        <w:t>http:</w:t>
      </w:r>
      <w:r>
        <w:t>//fnp-ppn.aandc-aadnc.gc.ca/fnp.</w:t>
      </w:r>
    </w:p>
    <w:p w14:paraId="7E81DC34" w14:textId="56E9B153" w:rsidR="009A2947" w:rsidRDefault="009A2947" w:rsidP="00715F7A">
      <w:pPr>
        <w:pStyle w:val="ExhibitText"/>
      </w:pPr>
      <w:r>
        <w:br w:type="page"/>
      </w:r>
    </w:p>
    <w:p w14:paraId="5E448F7F" w14:textId="77777777" w:rsidR="009A2947" w:rsidRDefault="009A2947" w:rsidP="006B03E0">
      <w:pPr>
        <w:pStyle w:val="ExhibitText"/>
        <w:rPr>
          <w:rFonts w:cs="Times New Roman"/>
        </w:rPr>
      </w:pPr>
    </w:p>
    <w:p w14:paraId="1BB5D45C" w14:textId="77777777" w:rsidR="006B03E0" w:rsidRPr="006F1D9E" w:rsidRDefault="006B03E0" w:rsidP="006B03E0">
      <w:pPr>
        <w:pStyle w:val="Casehead1"/>
      </w:pPr>
      <w:r>
        <w:t>endnotes</w:t>
      </w:r>
    </w:p>
    <w:sectPr w:rsidR="006B03E0" w:rsidRPr="006F1D9E"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0D5F4" w14:textId="77777777" w:rsidR="00F24D0F" w:rsidRDefault="00F24D0F" w:rsidP="00D75295">
      <w:r>
        <w:separator/>
      </w:r>
    </w:p>
  </w:endnote>
  <w:endnote w:type="continuationSeparator" w:id="0">
    <w:p w14:paraId="6EC160B8" w14:textId="77777777" w:rsidR="00F24D0F" w:rsidRDefault="00F24D0F" w:rsidP="00D75295">
      <w:r>
        <w:continuationSeparator/>
      </w:r>
    </w:p>
  </w:endnote>
  <w:endnote w:id="1">
    <w:p w14:paraId="46BA952B" w14:textId="553E2608" w:rsidR="005C0562" w:rsidRDefault="005C0562" w:rsidP="006B03E0">
      <w:pPr>
        <w:pStyle w:val="Footnote"/>
      </w:pPr>
      <w:r>
        <w:rPr>
          <w:rStyle w:val="EndnoteReference"/>
        </w:rPr>
        <w:endnoteRef/>
      </w:r>
      <w:r>
        <w:t xml:space="preserve"> Peter </w:t>
      </w:r>
      <w:proofErr w:type="spellStart"/>
      <w:r>
        <w:t>Koven</w:t>
      </w:r>
      <w:proofErr w:type="spellEnd"/>
      <w:r>
        <w:t>, “</w:t>
      </w:r>
      <w:r w:rsidRPr="00E82876">
        <w:t xml:space="preserve">Rubicon Minerals Corp Shares Plunge </w:t>
      </w:r>
      <w:r>
        <w:t>a</w:t>
      </w:r>
      <w:r w:rsidRPr="00E82876">
        <w:t xml:space="preserve">s Miner Slashes Its Gold Resources </w:t>
      </w:r>
      <w:r>
        <w:t>b</w:t>
      </w:r>
      <w:r w:rsidRPr="00E82876">
        <w:t>y 88</w:t>
      </w:r>
      <w:r>
        <w:t xml:space="preserve"> Per Cent,” </w:t>
      </w:r>
      <w:r>
        <w:rPr>
          <w:i/>
        </w:rPr>
        <w:t xml:space="preserve">Financial Post, </w:t>
      </w:r>
      <w:r>
        <w:t xml:space="preserve">January 11, 2016, accessed January 28, 2016, </w:t>
      </w:r>
      <w:r w:rsidRPr="00F50F13">
        <w:t>http://business.financialpost.com/news/mining/rubicon-minerals-corp-shares-plunge-as-miner-slashes-its-gold-resources-by-88</w:t>
      </w:r>
      <w:r>
        <w:t>.</w:t>
      </w:r>
    </w:p>
  </w:endnote>
  <w:endnote w:id="2">
    <w:p w14:paraId="7EF97C7E" w14:textId="14C78171" w:rsidR="005C0562" w:rsidRDefault="005C0562" w:rsidP="006B03E0">
      <w:pPr>
        <w:pStyle w:val="Footnote"/>
      </w:pPr>
      <w:r>
        <w:rPr>
          <w:rStyle w:val="EndnoteReference"/>
        </w:rPr>
        <w:endnoteRef/>
      </w:r>
      <w:r>
        <w:t xml:space="preserve"> </w:t>
      </w:r>
      <w:r w:rsidRPr="00E6069E">
        <w:t>“Registered Population</w:t>
      </w:r>
      <w:r>
        <w:t xml:space="preserve">: Lac </w:t>
      </w:r>
      <w:proofErr w:type="spellStart"/>
      <w:r>
        <w:t>Seul</w:t>
      </w:r>
      <w:proofErr w:type="spellEnd"/>
      <w:r w:rsidRPr="00E6069E">
        <w:t xml:space="preserve">,” </w:t>
      </w:r>
      <w:r>
        <w:t>Indigenous and Northern Affairs</w:t>
      </w:r>
      <w:r w:rsidRPr="00E6069E">
        <w:t xml:space="preserve"> Canada, </w:t>
      </w:r>
      <w:r>
        <w:t xml:space="preserve">February 20, 2017, </w:t>
      </w:r>
      <w:r w:rsidRPr="00E6069E">
        <w:t xml:space="preserve">accessed </w:t>
      </w:r>
      <w:r>
        <w:t>March 8, 2017,</w:t>
      </w:r>
      <w:r w:rsidRPr="00E6069E">
        <w:t xml:space="preserve"> </w:t>
      </w:r>
      <w:r w:rsidRPr="000C2EDB">
        <w:t>http://fnp-ppn.aandc-aadnc.gc.ca/fnp/Main/Search/SearchFN.aspx?lang=eng</w:t>
      </w:r>
      <w:r w:rsidRPr="00E6069E">
        <w:t>.</w:t>
      </w:r>
    </w:p>
  </w:endnote>
  <w:endnote w:id="3">
    <w:p w14:paraId="79AACD9D" w14:textId="2BB5F57D" w:rsidR="005C0562" w:rsidRPr="00715F7A" w:rsidRDefault="005C0562" w:rsidP="00DE3A70">
      <w:pPr>
        <w:pStyle w:val="Footnote"/>
      </w:pPr>
      <w:r w:rsidRPr="00547665">
        <w:rPr>
          <w:rStyle w:val="EndnoteReference"/>
        </w:rPr>
        <w:endnoteRef/>
      </w:r>
      <w:r w:rsidRPr="00715F7A">
        <w:t xml:space="preserve"> </w:t>
      </w:r>
      <w:proofErr w:type="spellStart"/>
      <w:r w:rsidRPr="00715F7A">
        <w:rPr>
          <w:i/>
        </w:rPr>
        <w:t>Corbiere</w:t>
      </w:r>
      <w:proofErr w:type="spellEnd"/>
      <w:r w:rsidRPr="00715F7A">
        <w:rPr>
          <w:i/>
        </w:rPr>
        <w:t xml:space="preserve"> v. Canada (Minister of Indian and Northern Affairs)</w:t>
      </w:r>
      <w:r w:rsidRPr="00715F7A">
        <w:t>, [1999] 2 SCR 203, https://scc-csc.lexum.com/scc-csc/scc-csc/en/item/1704/index.do.</w:t>
      </w:r>
    </w:p>
  </w:endnote>
  <w:endnote w:id="4">
    <w:p w14:paraId="15A45821" w14:textId="2DAD6C37" w:rsidR="005C0562" w:rsidRDefault="005C0562" w:rsidP="006B03E0">
      <w:pPr>
        <w:pStyle w:val="Footnote"/>
      </w:pPr>
      <w:r w:rsidRPr="00547665">
        <w:rPr>
          <w:rStyle w:val="EndnoteReference"/>
        </w:rPr>
        <w:endnoteRef/>
      </w:r>
      <w:r w:rsidRPr="006B03E0">
        <w:t xml:space="preserve"> </w:t>
      </w:r>
      <w:r w:rsidRPr="006B03E0">
        <w:rPr>
          <w:rStyle w:val="FootnoteTextChar"/>
          <w:rFonts w:ascii="Arial" w:hAnsi="Arial" w:cs="Arial"/>
          <w:sz w:val="17"/>
          <w:szCs w:val="17"/>
        </w:rPr>
        <w:t xml:space="preserve">Paddy Reid and Grace Rajnovich, “Laurel: </w:t>
      </w:r>
      <w:r>
        <w:rPr>
          <w:rStyle w:val="FootnoteTextChar"/>
          <w:rFonts w:ascii="Arial" w:hAnsi="Arial" w:cs="Arial"/>
          <w:sz w:val="17"/>
          <w:szCs w:val="17"/>
        </w:rPr>
        <w:t>A</w:t>
      </w:r>
      <w:r w:rsidRPr="006B03E0">
        <w:rPr>
          <w:rStyle w:val="FootnoteTextChar"/>
          <w:rFonts w:ascii="Arial" w:hAnsi="Arial" w:cs="Arial"/>
          <w:sz w:val="17"/>
          <w:szCs w:val="17"/>
        </w:rPr>
        <w:t xml:space="preserve"> Re-evaluation of Spatial, Social and Temporal Paradigms,” </w:t>
      </w:r>
      <w:r w:rsidRPr="00715F7A">
        <w:rPr>
          <w:rStyle w:val="FootnoteTextChar"/>
          <w:rFonts w:ascii="Arial" w:hAnsi="Arial" w:cs="Arial"/>
          <w:i/>
          <w:sz w:val="17"/>
          <w:szCs w:val="17"/>
        </w:rPr>
        <w:t>Canadian Journal of Archaeology</w:t>
      </w:r>
      <w:r w:rsidRPr="006B03E0">
        <w:rPr>
          <w:rStyle w:val="FootnoteTextChar"/>
          <w:rFonts w:ascii="Arial" w:hAnsi="Arial" w:cs="Arial"/>
          <w:sz w:val="17"/>
          <w:szCs w:val="17"/>
        </w:rPr>
        <w:t xml:space="preserve"> </w:t>
      </w:r>
      <w:r>
        <w:rPr>
          <w:rStyle w:val="FootnoteTextChar"/>
          <w:rFonts w:ascii="Arial" w:hAnsi="Arial" w:cs="Arial"/>
          <w:sz w:val="17"/>
          <w:szCs w:val="17"/>
        </w:rPr>
        <w:t>1</w:t>
      </w:r>
      <w:r w:rsidRPr="006B03E0">
        <w:rPr>
          <w:rStyle w:val="FootnoteTextChar"/>
          <w:rFonts w:ascii="Arial" w:hAnsi="Arial" w:cs="Arial"/>
          <w:sz w:val="17"/>
          <w:szCs w:val="17"/>
        </w:rPr>
        <w:t>5 (1991)</w:t>
      </w:r>
      <w:r>
        <w:rPr>
          <w:rStyle w:val="FootnoteTextChar"/>
          <w:rFonts w:ascii="Arial" w:hAnsi="Arial" w:cs="Arial"/>
          <w:sz w:val="17"/>
          <w:szCs w:val="17"/>
        </w:rPr>
        <w:t>:</w:t>
      </w:r>
      <w:r w:rsidRPr="006B03E0">
        <w:rPr>
          <w:rStyle w:val="FootnoteTextChar"/>
          <w:rFonts w:ascii="Arial" w:hAnsi="Arial" w:cs="Arial"/>
          <w:sz w:val="17"/>
          <w:szCs w:val="17"/>
        </w:rPr>
        <w:t xml:space="preserve"> 193</w:t>
      </w:r>
      <w:r>
        <w:rPr>
          <w:rStyle w:val="FootnoteTextChar"/>
          <w:rFonts w:ascii="Arial" w:hAnsi="Arial" w:cs="Arial"/>
          <w:sz w:val="17"/>
          <w:szCs w:val="17"/>
        </w:rPr>
        <w:t>–</w:t>
      </w:r>
      <w:r w:rsidRPr="006B03E0">
        <w:rPr>
          <w:rStyle w:val="FootnoteTextChar"/>
          <w:rFonts w:ascii="Arial" w:hAnsi="Arial" w:cs="Arial"/>
          <w:sz w:val="17"/>
          <w:szCs w:val="17"/>
        </w:rPr>
        <w:t>2</w:t>
      </w:r>
      <w:r>
        <w:rPr>
          <w:rStyle w:val="FootnoteTextChar"/>
          <w:rFonts w:ascii="Arial" w:hAnsi="Arial" w:cs="Arial"/>
          <w:sz w:val="17"/>
          <w:szCs w:val="17"/>
        </w:rPr>
        <w:t>34</w:t>
      </w:r>
      <w:r w:rsidRPr="006B03E0">
        <w:rPr>
          <w:rStyle w:val="FootnoteTextChar"/>
          <w:rFonts w:ascii="Arial" w:hAnsi="Arial" w:cs="Arial"/>
          <w:sz w:val="17"/>
          <w:szCs w:val="17"/>
        </w:rPr>
        <w:t>.</w:t>
      </w:r>
    </w:p>
  </w:endnote>
  <w:endnote w:id="5">
    <w:p w14:paraId="04428911" w14:textId="4A116E2C" w:rsidR="00B60E1A" w:rsidRDefault="005C0562" w:rsidP="006B03E0">
      <w:pPr>
        <w:pStyle w:val="Footnote"/>
      </w:pPr>
      <w:r>
        <w:rPr>
          <w:rStyle w:val="EndnoteReference"/>
        </w:rPr>
        <w:endnoteRef/>
      </w:r>
      <w:r>
        <w:t xml:space="preserve"> </w:t>
      </w:r>
      <w:r>
        <w:rPr>
          <w:rFonts w:cs="Times New Roman"/>
          <w:bCs/>
        </w:rPr>
        <w:t xml:space="preserve">Brian </w:t>
      </w:r>
      <w:proofErr w:type="spellStart"/>
      <w:r>
        <w:rPr>
          <w:rFonts w:cs="Times New Roman"/>
          <w:bCs/>
        </w:rPr>
        <w:t>Schwimmer</w:t>
      </w:r>
      <w:proofErr w:type="spellEnd"/>
      <w:r>
        <w:rPr>
          <w:rFonts w:cs="Times New Roman"/>
          <w:bCs/>
        </w:rPr>
        <w:t xml:space="preserve">, Virginia </w:t>
      </w:r>
      <w:proofErr w:type="spellStart"/>
      <w:r>
        <w:rPr>
          <w:rFonts w:cs="Times New Roman"/>
          <w:bCs/>
        </w:rPr>
        <w:t>Petch</w:t>
      </w:r>
      <w:proofErr w:type="spellEnd"/>
      <w:r>
        <w:rPr>
          <w:rFonts w:cs="Times New Roman"/>
          <w:bCs/>
        </w:rPr>
        <w:t xml:space="preserve">, and </w:t>
      </w:r>
      <w:r w:rsidRPr="000A7A07">
        <w:rPr>
          <w:rFonts w:cs="Times New Roman"/>
          <w:bCs/>
        </w:rPr>
        <w:t xml:space="preserve">Linda </w:t>
      </w:r>
      <w:proofErr w:type="spellStart"/>
      <w:r w:rsidRPr="000A7A07">
        <w:rPr>
          <w:rFonts w:cs="Times New Roman"/>
          <w:bCs/>
        </w:rPr>
        <w:t>Larcombe</w:t>
      </w:r>
      <w:proofErr w:type="spellEnd"/>
      <w:r w:rsidRPr="000A7A07">
        <w:t xml:space="preserve">, “Laurel Phase” </w:t>
      </w:r>
      <w:r>
        <w:t xml:space="preserve">in “Manitoba Culture History: Chronological Overview,” </w:t>
      </w:r>
      <w:r w:rsidRPr="000A7A07">
        <w:t>University of Ma</w:t>
      </w:r>
      <w:r>
        <w:t>nitoba, accessed October 9, 2015,</w:t>
      </w:r>
      <w:r w:rsidRPr="000A7A07">
        <w:t xml:space="preserve"> </w:t>
      </w:r>
      <w:r w:rsidR="00B60E1A" w:rsidRPr="00B60E1A">
        <w:t>www.umanitoba.ca/faculties/arts/anthropology/manarchnet</w:t>
      </w:r>
    </w:p>
    <w:p w14:paraId="5CD5954C" w14:textId="0791045B" w:rsidR="005C0562" w:rsidRPr="00EA7CA3" w:rsidRDefault="005C0562" w:rsidP="006B03E0">
      <w:pPr>
        <w:pStyle w:val="Footnote"/>
        <w:rPr>
          <w:sz w:val="20"/>
          <w:szCs w:val="20"/>
        </w:rPr>
      </w:pPr>
      <w:r w:rsidRPr="00F50F13">
        <w:t>/chronology/woodland/laurel.htm</w:t>
      </w:r>
      <w:r w:rsidRPr="0053061F">
        <w:t>l</w:t>
      </w:r>
      <w:r w:rsidRPr="0053061F">
        <w:rPr>
          <w:rStyle w:val="Hyperlink"/>
          <w:u w:val="none"/>
        </w:rPr>
        <w:t>.</w:t>
      </w:r>
    </w:p>
  </w:endnote>
  <w:endnote w:id="6">
    <w:p w14:paraId="43413D9C" w14:textId="1E518C27" w:rsidR="005C0562" w:rsidRPr="004A130B" w:rsidRDefault="005C0562" w:rsidP="00BE01F0">
      <w:pPr>
        <w:pStyle w:val="Footnote"/>
        <w:rPr>
          <w:sz w:val="20"/>
          <w:szCs w:val="20"/>
        </w:rPr>
      </w:pPr>
      <w:r w:rsidRPr="004A130B">
        <w:rPr>
          <w:rStyle w:val="EndnoteReference"/>
        </w:rPr>
        <w:endnoteRef/>
      </w:r>
      <w:r w:rsidRPr="004A130B">
        <w:rPr>
          <w:sz w:val="20"/>
          <w:szCs w:val="20"/>
        </w:rPr>
        <w:t xml:space="preserve"> </w:t>
      </w:r>
      <w:r w:rsidRPr="00202A4A">
        <w:t xml:space="preserve">Scott Hamilton, </w:t>
      </w:r>
      <w:r w:rsidRPr="00A14E88">
        <w:rPr>
          <w:i/>
        </w:rPr>
        <w:t xml:space="preserve">The Archaeology of the </w:t>
      </w:r>
      <w:proofErr w:type="spellStart"/>
      <w:r w:rsidRPr="00A14E88">
        <w:rPr>
          <w:i/>
        </w:rPr>
        <w:t>Wenasaga</w:t>
      </w:r>
      <w:proofErr w:type="spellEnd"/>
      <w:r w:rsidRPr="00A14E88">
        <w:rPr>
          <w:i/>
        </w:rPr>
        <w:t xml:space="preserve"> Rapids</w:t>
      </w:r>
      <w:r w:rsidRPr="00A14E88">
        <w:t xml:space="preserve">, </w:t>
      </w:r>
      <w:r w:rsidRPr="00715F7A">
        <w:t>prepared for the Archaeology and Heritage Planning Branch, Archaeology Research Report 17 (Toronto</w:t>
      </w:r>
      <w:r>
        <w:t>, ON</w:t>
      </w:r>
      <w:r w:rsidRPr="00715F7A">
        <w:t xml:space="preserve">: </w:t>
      </w:r>
      <w:r w:rsidRPr="00202A4A">
        <w:t xml:space="preserve">Ontario Ministry of Culture and Recreation, </w:t>
      </w:r>
      <w:r w:rsidRPr="00715F7A">
        <w:t>1981)</w:t>
      </w:r>
      <w:r w:rsidRPr="00A14E88">
        <w:t>.</w:t>
      </w:r>
    </w:p>
  </w:endnote>
  <w:endnote w:id="7">
    <w:p w14:paraId="2251629D" w14:textId="397A7FFF" w:rsidR="005C0562" w:rsidRPr="004A130B" w:rsidRDefault="005C0562" w:rsidP="00BE01F0">
      <w:pPr>
        <w:pStyle w:val="Footnote"/>
        <w:rPr>
          <w:sz w:val="20"/>
          <w:szCs w:val="20"/>
        </w:rPr>
      </w:pPr>
      <w:r w:rsidRPr="004A130B">
        <w:rPr>
          <w:rStyle w:val="EndnoteReference"/>
        </w:rPr>
        <w:endnoteRef/>
      </w:r>
      <w:r w:rsidRPr="004A130B">
        <w:rPr>
          <w:sz w:val="20"/>
          <w:szCs w:val="20"/>
        </w:rPr>
        <w:t xml:space="preserve"> </w:t>
      </w:r>
      <w:r w:rsidRPr="006B03E0">
        <w:t>Matthew Boyd and Clarence Surette, “</w:t>
      </w:r>
      <w:proofErr w:type="spellStart"/>
      <w:r w:rsidRPr="006B03E0">
        <w:t>Precontact</w:t>
      </w:r>
      <w:proofErr w:type="spellEnd"/>
      <w:r w:rsidRPr="006B03E0">
        <w:t xml:space="preserve"> Maize in North America,” </w:t>
      </w:r>
      <w:r w:rsidRPr="00715F7A">
        <w:rPr>
          <w:i/>
        </w:rPr>
        <w:t>American Antiquity</w:t>
      </w:r>
      <w:r w:rsidRPr="006B03E0">
        <w:t xml:space="preserve"> 75, no. 1 (2010): 117</w:t>
      </w:r>
      <w:r>
        <w:t>–</w:t>
      </w:r>
      <w:r w:rsidRPr="006B03E0">
        <w:t>133.</w:t>
      </w:r>
    </w:p>
  </w:endnote>
  <w:endnote w:id="8">
    <w:p w14:paraId="1CF90AA2" w14:textId="616000D2" w:rsidR="005C0562" w:rsidRPr="004A130B" w:rsidRDefault="005C0562" w:rsidP="006B03E0">
      <w:pPr>
        <w:pStyle w:val="Footnote"/>
        <w:rPr>
          <w:sz w:val="20"/>
          <w:szCs w:val="20"/>
        </w:rPr>
      </w:pPr>
      <w:r w:rsidRPr="004A130B">
        <w:rPr>
          <w:rStyle w:val="EndnoteReference"/>
        </w:rPr>
        <w:endnoteRef/>
      </w:r>
      <w:r w:rsidRPr="004A130B">
        <w:rPr>
          <w:sz w:val="20"/>
          <w:szCs w:val="20"/>
        </w:rPr>
        <w:t xml:space="preserve"> </w:t>
      </w:r>
      <w:r w:rsidRPr="00202A4A">
        <w:t>James V.</w:t>
      </w:r>
      <w:r w:rsidRPr="0027341F">
        <w:t xml:space="preserve"> Wright, </w:t>
      </w:r>
      <w:r w:rsidRPr="00715F7A">
        <w:rPr>
          <w:i/>
        </w:rPr>
        <w:t>A.D. 500—European Contact</w:t>
      </w:r>
      <w:r w:rsidRPr="00202A4A">
        <w:t>, V</w:t>
      </w:r>
      <w:r w:rsidRPr="0027341F">
        <w:t xml:space="preserve">ol. 3, Part 1 of </w:t>
      </w:r>
      <w:proofErr w:type="gramStart"/>
      <w:r w:rsidRPr="0027341F">
        <w:rPr>
          <w:i/>
        </w:rPr>
        <w:t>A</w:t>
      </w:r>
      <w:proofErr w:type="gramEnd"/>
      <w:r w:rsidRPr="0027341F">
        <w:rPr>
          <w:i/>
        </w:rPr>
        <w:t xml:space="preserve"> History of the Native People of Canada</w:t>
      </w:r>
      <w:r w:rsidRPr="0027341F">
        <w:t xml:space="preserve"> (Ottawa</w:t>
      </w:r>
      <w:r>
        <w:t>, ON</w:t>
      </w:r>
      <w:r w:rsidRPr="00202A4A">
        <w:t xml:space="preserve">: </w:t>
      </w:r>
      <w:r w:rsidRPr="0027341F">
        <w:t>Canadian Museum of Civilization, 2004).</w:t>
      </w:r>
    </w:p>
  </w:endnote>
  <w:endnote w:id="9">
    <w:p w14:paraId="58CBF54B" w14:textId="680242E0" w:rsidR="005C0562" w:rsidRPr="004A130B" w:rsidRDefault="005C0562" w:rsidP="009F6C5F">
      <w:pPr>
        <w:pStyle w:val="Footnote"/>
        <w:rPr>
          <w:sz w:val="20"/>
          <w:szCs w:val="20"/>
        </w:rPr>
      </w:pPr>
      <w:r w:rsidRPr="004A130B">
        <w:rPr>
          <w:rStyle w:val="EndnoteReference"/>
        </w:rPr>
        <w:endnoteRef/>
      </w:r>
      <w:r w:rsidRPr="004A130B">
        <w:rPr>
          <w:sz w:val="20"/>
          <w:szCs w:val="20"/>
        </w:rPr>
        <w:t xml:space="preserve"> </w:t>
      </w:r>
      <w:r w:rsidRPr="006D26CE">
        <w:t>Adolph M.</w:t>
      </w:r>
      <w:r>
        <w:t xml:space="preserve"> </w:t>
      </w:r>
      <w:r w:rsidRPr="006D26CE">
        <w:t>Greenberg and James Morrison</w:t>
      </w:r>
      <w:r>
        <w:t>,</w:t>
      </w:r>
      <w:r w:rsidRPr="006D26CE">
        <w:t xml:space="preserve"> </w:t>
      </w:r>
      <w:r>
        <w:t>“</w:t>
      </w:r>
      <w:r w:rsidRPr="006D26CE">
        <w:t>Group Identities in the Boreal Forest: The Origin of the Northern Ojibwa,</w:t>
      </w:r>
      <w:r>
        <w:t>”</w:t>
      </w:r>
      <w:r w:rsidRPr="006D26CE">
        <w:t xml:space="preserve"> </w:t>
      </w:r>
      <w:proofErr w:type="spellStart"/>
      <w:r w:rsidRPr="00ED5CC4">
        <w:rPr>
          <w:i/>
        </w:rPr>
        <w:t>Ethnohistory</w:t>
      </w:r>
      <w:proofErr w:type="spellEnd"/>
      <w:r>
        <w:t xml:space="preserve"> </w:t>
      </w:r>
      <w:r w:rsidRPr="006D26CE">
        <w:t>29</w:t>
      </w:r>
      <w:r>
        <w:t xml:space="preserve">, no. </w:t>
      </w:r>
      <w:r w:rsidRPr="006D26CE">
        <w:t xml:space="preserve">2 </w:t>
      </w:r>
      <w:r>
        <w:t>(</w:t>
      </w:r>
      <w:r w:rsidRPr="006D26CE">
        <w:t>1982</w:t>
      </w:r>
      <w:r>
        <w:t>):</w:t>
      </w:r>
      <w:r w:rsidRPr="006D26CE">
        <w:t xml:space="preserve"> 75</w:t>
      </w:r>
      <w:r>
        <w:t>–</w:t>
      </w:r>
      <w:r w:rsidRPr="006D26CE">
        <w:t>102</w:t>
      </w:r>
      <w:r>
        <w:t>.</w:t>
      </w:r>
    </w:p>
  </w:endnote>
  <w:endnote w:id="10">
    <w:p w14:paraId="7EF885FD" w14:textId="6C330DD6" w:rsidR="00B60E1A" w:rsidRPr="00B60E1A" w:rsidRDefault="005C0562" w:rsidP="006B03E0">
      <w:pPr>
        <w:pStyle w:val="Footnote"/>
        <w:rPr>
          <w:rFonts w:cs="Times New Roman"/>
          <w:spacing w:val="-4"/>
          <w:kern w:val="17"/>
        </w:rPr>
      </w:pPr>
      <w:r w:rsidRPr="00B60E1A">
        <w:rPr>
          <w:rStyle w:val="EndnoteReference"/>
          <w:spacing w:val="-4"/>
          <w:kern w:val="17"/>
        </w:rPr>
        <w:endnoteRef/>
      </w:r>
      <w:r w:rsidRPr="00B60E1A">
        <w:rPr>
          <w:spacing w:val="-4"/>
          <w:kern w:val="17"/>
        </w:rPr>
        <w:t xml:space="preserve"> “Lac </w:t>
      </w:r>
      <w:proofErr w:type="spellStart"/>
      <w:r w:rsidRPr="00B60E1A">
        <w:rPr>
          <w:spacing w:val="-4"/>
          <w:kern w:val="17"/>
        </w:rPr>
        <w:t>Seul</w:t>
      </w:r>
      <w:proofErr w:type="spellEnd"/>
      <w:r w:rsidRPr="00B60E1A">
        <w:rPr>
          <w:spacing w:val="-4"/>
          <w:kern w:val="17"/>
        </w:rPr>
        <w:t xml:space="preserve">,” Archives of Manitoba, accessed May 19, 2016, </w:t>
      </w:r>
      <w:r w:rsidR="00B60E1A" w:rsidRPr="00B60E1A">
        <w:rPr>
          <w:rFonts w:cs="Times New Roman"/>
          <w:spacing w:val="-4"/>
          <w:kern w:val="17"/>
        </w:rPr>
        <w:t>http://pam.minisisinc.com/scripts/mwimain.dll/144/PAM_AUTHORITY</w:t>
      </w:r>
    </w:p>
    <w:p w14:paraId="07A307C7" w14:textId="1F393AE4" w:rsidR="005C0562" w:rsidRDefault="005C0562" w:rsidP="006B03E0">
      <w:pPr>
        <w:pStyle w:val="Footnote"/>
      </w:pPr>
      <w:r w:rsidRPr="00B60E1A">
        <w:rPr>
          <w:rFonts w:cs="Times New Roman"/>
          <w:spacing w:val="-4"/>
          <w:kern w:val="17"/>
        </w:rPr>
        <w:t>/AUTH_DESC_DET_REP/SISN 13</w:t>
      </w:r>
      <w:r w:rsidR="00912FDA" w:rsidRPr="00B60E1A">
        <w:rPr>
          <w:rFonts w:cs="Times New Roman"/>
          <w:spacing w:val="-4"/>
          <w:kern w:val="17"/>
        </w:rPr>
        <w:t>.</w:t>
      </w:r>
    </w:p>
  </w:endnote>
  <w:endnote w:id="11">
    <w:p w14:paraId="146E0455" w14:textId="54C173ED" w:rsidR="005C0562" w:rsidRDefault="005C0562" w:rsidP="006B03E0">
      <w:pPr>
        <w:pStyle w:val="Footnote"/>
      </w:pPr>
      <w:r>
        <w:rPr>
          <w:rStyle w:val="EndnoteReference"/>
        </w:rPr>
        <w:endnoteRef/>
      </w:r>
      <w:r>
        <w:t xml:space="preserve"> </w:t>
      </w:r>
      <w:r w:rsidRPr="00491CAE">
        <w:t xml:space="preserve">Percy </w:t>
      </w:r>
      <w:proofErr w:type="spellStart"/>
      <w:r w:rsidRPr="00491CAE">
        <w:t>Ningewance</w:t>
      </w:r>
      <w:proofErr w:type="spellEnd"/>
      <w:r w:rsidRPr="00715F7A">
        <w:t xml:space="preserve"> (</w:t>
      </w:r>
      <w:r w:rsidRPr="00491CAE">
        <w:t>former chief</w:t>
      </w:r>
      <w:r w:rsidRPr="00715F7A">
        <w:t xml:space="preserve">, Lac </w:t>
      </w:r>
      <w:proofErr w:type="spellStart"/>
      <w:r w:rsidRPr="00715F7A">
        <w:t>Seul</w:t>
      </w:r>
      <w:proofErr w:type="spellEnd"/>
      <w:r w:rsidRPr="00715F7A">
        <w:t xml:space="preserve"> First Nation)</w:t>
      </w:r>
      <w:r w:rsidRPr="00202A4A">
        <w:t>, in conversation with the</w:t>
      </w:r>
      <w:r w:rsidRPr="00491CAE">
        <w:t xml:space="preserve"> author, November 19, 2015.</w:t>
      </w:r>
    </w:p>
  </w:endnote>
  <w:endnote w:id="12">
    <w:p w14:paraId="7CF37EB2" w14:textId="54243F51" w:rsidR="005C0562" w:rsidRPr="004A130B" w:rsidRDefault="005C0562" w:rsidP="006B03E0">
      <w:pPr>
        <w:pStyle w:val="Footnote"/>
        <w:rPr>
          <w:sz w:val="20"/>
          <w:szCs w:val="20"/>
        </w:rPr>
      </w:pPr>
      <w:r w:rsidRPr="004A130B">
        <w:rPr>
          <w:rStyle w:val="EndnoteReference"/>
        </w:rPr>
        <w:endnoteRef/>
      </w:r>
      <w:r w:rsidRPr="004A130B">
        <w:rPr>
          <w:sz w:val="20"/>
          <w:szCs w:val="20"/>
        </w:rPr>
        <w:t xml:space="preserve"> </w:t>
      </w:r>
      <w:r w:rsidRPr="00202A4A">
        <w:t xml:space="preserve">Wayne Daugherty, </w:t>
      </w:r>
      <w:r w:rsidRPr="00491CAE">
        <w:rPr>
          <w:i/>
        </w:rPr>
        <w:t xml:space="preserve">Treaty Research Report: Treaty </w:t>
      </w:r>
      <w:r w:rsidRPr="00715F7A">
        <w:rPr>
          <w:i/>
        </w:rPr>
        <w:t>No. 3</w:t>
      </w:r>
      <w:r w:rsidRPr="00491CAE">
        <w:rPr>
          <w:i/>
        </w:rPr>
        <w:t xml:space="preserve"> (1873)</w:t>
      </w:r>
      <w:r w:rsidRPr="00491CAE">
        <w:t xml:space="preserve">, </w:t>
      </w:r>
      <w:r w:rsidRPr="00715F7A">
        <w:t xml:space="preserve">prepared for the </w:t>
      </w:r>
      <w:r w:rsidRPr="00202A4A">
        <w:t>Treaties and Historical Research Centre</w:t>
      </w:r>
      <w:r w:rsidRPr="00715F7A">
        <w:t xml:space="preserve"> (Ottawa</w:t>
      </w:r>
      <w:r w:rsidRPr="00202A4A">
        <w:t xml:space="preserve">, </w:t>
      </w:r>
      <w:r w:rsidRPr="00715F7A">
        <w:t>ON: Indigenous and Northern Affairs Canada, 1</w:t>
      </w:r>
      <w:r w:rsidRPr="00202A4A">
        <w:t>986</w:t>
      </w:r>
      <w:r w:rsidRPr="00491CAE">
        <w:t>).</w:t>
      </w:r>
    </w:p>
  </w:endnote>
  <w:endnote w:id="13">
    <w:p w14:paraId="73D47D84" w14:textId="03BF25EB" w:rsidR="005C0562" w:rsidRPr="006A1285" w:rsidRDefault="005C0562" w:rsidP="00715F7A">
      <w:pPr>
        <w:pStyle w:val="Footnote"/>
      </w:pPr>
      <w:r>
        <w:rPr>
          <w:rStyle w:val="EndnoteReference"/>
        </w:rPr>
        <w:endnoteRef/>
      </w:r>
      <w:r>
        <w:t xml:space="preserve"> An adhesion was a contract with the terms and conditions drafted by just one of the parties to the contract. The other party did not have the power, or had little power, to negotiate or modify the terms of the contract. </w:t>
      </w:r>
      <w:r>
        <w:rPr>
          <w:lang w:val="en-US"/>
        </w:rPr>
        <w:t>This second party was, therefore, in a “take it or leave it”</w:t>
      </w:r>
      <w:r w:rsidRPr="00BA51BD">
        <w:rPr>
          <w:rFonts w:ascii="Times New Roman" w:hAnsi="Times New Roman" w:cs="Times New Roman"/>
          <w:sz w:val="20"/>
          <w:szCs w:val="20"/>
          <w:lang w:val="en-US"/>
        </w:rPr>
        <w:t xml:space="preserve"> </w:t>
      </w:r>
      <w:r w:rsidRPr="00715F7A">
        <w:t>position</w:t>
      </w:r>
      <w:r w:rsidRPr="00BA51BD">
        <w:rPr>
          <w:rFonts w:ascii="Times New Roman" w:hAnsi="Times New Roman" w:cs="Times New Roman"/>
          <w:sz w:val="20"/>
          <w:szCs w:val="20"/>
          <w:lang w:val="en-US"/>
        </w:rPr>
        <w:t>.</w:t>
      </w:r>
    </w:p>
  </w:endnote>
  <w:endnote w:id="14">
    <w:p w14:paraId="736950CB" w14:textId="29BF96C2" w:rsidR="005C0562" w:rsidRDefault="005C0562" w:rsidP="009C159A">
      <w:pPr>
        <w:pStyle w:val="Footnote"/>
      </w:pPr>
      <w:r>
        <w:rPr>
          <w:rStyle w:val="EndnoteReference"/>
        </w:rPr>
        <w:endnoteRef/>
      </w:r>
      <w:r>
        <w:t xml:space="preserve"> </w:t>
      </w:r>
      <w:r w:rsidRPr="00457211">
        <w:t xml:space="preserve">All </w:t>
      </w:r>
      <w:r w:rsidRPr="00457211" w:rsidDel="00933797">
        <w:t>currenc</w:t>
      </w:r>
      <w:r w:rsidDel="00933797">
        <w:t>y amounts</w:t>
      </w:r>
      <w:r w:rsidRPr="00457211" w:rsidDel="00933797">
        <w:t xml:space="preserve"> </w:t>
      </w:r>
      <w:r w:rsidRPr="00457211">
        <w:t xml:space="preserve">are in </w:t>
      </w:r>
      <w:r>
        <w:t xml:space="preserve">CA$ </w:t>
      </w:r>
      <w:r w:rsidRPr="00457211">
        <w:t>unless ot</w:t>
      </w:r>
      <w:r>
        <w:t xml:space="preserve">herwise </w:t>
      </w:r>
      <w:r w:rsidDel="00933797">
        <w:t>specified</w:t>
      </w:r>
      <w:r>
        <w:t xml:space="preserve">; </w:t>
      </w:r>
      <w:r w:rsidRPr="006B03E0">
        <w:t>CA$1 = US$0.7</w:t>
      </w:r>
      <w:r>
        <w:t>21</w:t>
      </w:r>
      <w:r w:rsidRPr="006B03E0">
        <w:t xml:space="preserve"> on </w:t>
      </w:r>
      <w:r>
        <w:t>January 1,</w:t>
      </w:r>
      <w:r w:rsidRPr="006B03E0">
        <w:t xml:space="preserve"> 2016</w:t>
      </w:r>
      <w:r>
        <w:t>.</w:t>
      </w:r>
    </w:p>
  </w:endnote>
  <w:endnote w:id="15">
    <w:p w14:paraId="245075CA" w14:textId="625C3D87" w:rsidR="005C0562" w:rsidRPr="005D5F2D" w:rsidRDefault="005C0562">
      <w:pPr>
        <w:pStyle w:val="Footnote"/>
      </w:pPr>
      <w:r w:rsidRPr="004A130B">
        <w:rPr>
          <w:rStyle w:val="EndnoteReference"/>
        </w:rPr>
        <w:endnoteRef/>
      </w:r>
      <w:r w:rsidRPr="004A130B">
        <w:t xml:space="preserve"> </w:t>
      </w:r>
      <w:r>
        <w:t xml:space="preserve">“The </w:t>
      </w:r>
      <w:proofErr w:type="spellStart"/>
      <w:r>
        <w:t>Paypom</w:t>
      </w:r>
      <w:proofErr w:type="spellEnd"/>
      <w:r>
        <w:t xml:space="preserve"> Treaty,” Grand Council Treaty #3: The Government of the </w:t>
      </w:r>
      <w:proofErr w:type="spellStart"/>
      <w:r>
        <w:t>Anishinaabe</w:t>
      </w:r>
      <w:proofErr w:type="spellEnd"/>
      <w:r>
        <w:t xml:space="preserve"> Nation, October 3, 1873, accessed March 8, 2017, </w:t>
      </w:r>
      <w:r w:rsidRPr="005D5F2D">
        <w:t>www.gct3</w:t>
      </w:r>
      <w:r>
        <w:t xml:space="preserve">.ca/about/history/paypom-treaty; </w:t>
      </w:r>
      <w:r w:rsidRPr="006D26CE">
        <w:t>Daugherty,</w:t>
      </w:r>
      <w:r>
        <w:t xml:space="preserve"> op. cit.</w:t>
      </w:r>
      <w:r>
        <w:rPr>
          <w:i/>
        </w:rPr>
        <w:t xml:space="preserve">, </w:t>
      </w:r>
      <w:r w:rsidRPr="00715F7A">
        <w:t>45.</w:t>
      </w:r>
    </w:p>
  </w:endnote>
  <w:endnote w:id="16">
    <w:p w14:paraId="3DC39B6D" w14:textId="30007134" w:rsidR="005C0562" w:rsidRPr="00715F7A" w:rsidRDefault="005C0562">
      <w:pPr>
        <w:pStyle w:val="Footnote"/>
        <w:rPr>
          <w:sz w:val="24"/>
          <w:szCs w:val="24"/>
          <w:lang w:val="en-US"/>
        </w:rPr>
      </w:pPr>
      <w:r w:rsidRPr="00E02E19">
        <w:rPr>
          <w:rStyle w:val="EndnoteReference"/>
        </w:rPr>
        <w:endnoteRef/>
      </w:r>
      <w:r w:rsidRPr="006B03E0">
        <w:t xml:space="preserve"> </w:t>
      </w:r>
      <w:r w:rsidRPr="00715F7A">
        <w:rPr>
          <w:rStyle w:val="FootnoteTextChar"/>
          <w:rFonts w:ascii="Arial" w:hAnsi="Arial" w:cs="Arial"/>
          <w:i/>
          <w:sz w:val="17"/>
          <w:szCs w:val="17"/>
        </w:rPr>
        <w:t xml:space="preserve">Lac </w:t>
      </w:r>
      <w:proofErr w:type="spellStart"/>
      <w:r w:rsidRPr="00715F7A">
        <w:rPr>
          <w:rStyle w:val="FootnoteTextChar"/>
          <w:rFonts w:ascii="Arial" w:hAnsi="Arial" w:cs="Arial"/>
          <w:i/>
          <w:sz w:val="17"/>
          <w:szCs w:val="17"/>
        </w:rPr>
        <w:t>Seul</w:t>
      </w:r>
      <w:proofErr w:type="spellEnd"/>
      <w:r w:rsidRPr="00715F7A">
        <w:rPr>
          <w:rStyle w:val="FootnoteTextChar"/>
          <w:rFonts w:ascii="Arial" w:hAnsi="Arial" w:cs="Arial"/>
          <w:i/>
          <w:sz w:val="17"/>
          <w:szCs w:val="17"/>
        </w:rPr>
        <w:t xml:space="preserve"> First Nation v. Canada</w:t>
      </w:r>
      <w:r w:rsidRPr="006B03E0">
        <w:rPr>
          <w:rStyle w:val="FootnoteTextChar"/>
          <w:rFonts w:ascii="Arial" w:hAnsi="Arial" w:cs="Arial"/>
          <w:sz w:val="17"/>
          <w:szCs w:val="17"/>
        </w:rPr>
        <w:t xml:space="preserve">, </w:t>
      </w:r>
      <w:r>
        <w:rPr>
          <w:rStyle w:val="FootnoteTextChar"/>
          <w:rFonts w:ascii="Arial" w:hAnsi="Arial" w:cs="Arial"/>
          <w:sz w:val="17"/>
          <w:szCs w:val="17"/>
        </w:rPr>
        <w:t>[</w:t>
      </w:r>
      <w:r w:rsidRPr="006B03E0">
        <w:rPr>
          <w:rStyle w:val="FootnoteTextChar"/>
          <w:rFonts w:ascii="Arial" w:hAnsi="Arial" w:cs="Arial"/>
          <w:sz w:val="17"/>
          <w:szCs w:val="17"/>
        </w:rPr>
        <w:t>2009</w:t>
      </w:r>
      <w:r>
        <w:rPr>
          <w:rStyle w:val="FootnoteTextChar"/>
          <w:rFonts w:ascii="Arial" w:hAnsi="Arial" w:cs="Arial"/>
          <w:sz w:val="17"/>
          <w:szCs w:val="17"/>
        </w:rPr>
        <w:t>]</w:t>
      </w:r>
      <w:r w:rsidRPr="006B03E0">
        <w:rPr>
          <w:rStyle w:val="FootnoteTextChar"/>
          <w:rFonts w:ascii="Arial" w:hAnsi="Arial" w:cs="Arial"/>
          <w:sz w:val="17"/>
          <w:szCs w:val="17"/>
        </w:rPr>
        <w:t xml:space="preserve"> </w:t>
      </w:r>
      <w:r>
        <w:rPr>
          <w:rStyle w:val="FootnoteTextChar"/>
          <w:rFonts w:ascii="Arial" w:hAnsi="Arial" w:cs="Arial"/>
          <w:sz w:val="17"/>
          <w:szCs w:val="17"/>
        </w:rPr>
        <w:t xml:space="preserve">348 FTR 258, </w:t>
      </w:r>
      <w:proofErr w:type="spellStart"/>
      <w:r>
        <w:rPr>
          <w:rStyle w:val="FootnoteTextChar"/>
          <w:rFonts w:ascii="Arial" w:hAnsi="Arial" w:cs="Arial"/>
          <w:sz w:val="17"/>
          <w:szCs w:val="17"/>
        </w:rPr>
        <w:t>CanLII</w:t>
      </w:r>
      <w:proofErr w:type="spellEnd"/>
      <w:r w:rsidRPr="006B03E0">
        <w:rPr>
          <w:rStyle w:val="FootnoteTextChar"/>
          <w:rFonts w:ascii="Arial" w:hAnsi="Arial" w:cs="Arial"/>
          <w:sz w:val="17"/>
          <w:szCs w:val="17"/>
        </w:rPr>
        <w:t xml:space="preserve"> 481</w:t>
      </w:r>
      <w:r w:rsidRPr="00715F7A">
        <w:t>, accessed December 16, 2016, http://canlii.ca/t/25ltr</w:t>
      </w:r>
      <w:r w:rsidRPr="006B03E0">
        <w:rPr>
          <w:rStyle w:val="FootnoteTextChar"/>
          <w:rFonts w:ascii="Arial" w:hAnsi="Arial" w:cs="Arial"/>
          <w:sz w:val="17"/>
          <w:szCs w:val="17"/>
        </w:rPr>
        <w:t>.</w:t>
      </w:r>
    </w:p>
  </w:endnote>
  <w:endnote w:id="17">
    <w:p w14:paraId="0A910CA8" w14:textId="1E9B87DC" w:rsidR="005C0562" w:rsidRPr="00D97D3E" w:rsidRDefault="005C0562" w:rsidP="004D7273">
      <w:pPr>
        <w:pStyle w:val="Footnote"/>
      </w:pPr>
      <w:r>
        <w:rPr>
          <w:rStyle w:val="EndnoteReference"/>
        </w:rPr>
        <w:endnoteRef/>
      </w:r>
      <w:r>
        <w:t xml:space="preserve"> Mark </w:t>
      </w:r>
      <w:proofErr w:type="spellStart"/>
      <w:r>
        <w:t>Kuhlberg</w:t>
      </w:r>
      <w:proofErr w:type="spellEnd"/>
      <w:r>
        <w:t xml:space="preserve">, “‘Nothing </w:t>
      </w:r>
      <w:r w:rsidR="002A5A31">
        <w:t>I</w:t>
      </w:r>
      <w:r>
        <w:t xml:space="preserve">t </w:t>
      </w:r>
      <w:r w:rsidR="002A5A31">
        <w:t>S</w:t>
      </w:r>
      <w:r>
        <w:t xml:space="preserve">eems </w:t>
      </w:r>
      <w:r w:rsidR="002A5A31">
        <w:t>C</w:t>
      </w:r>
      <w:r>
        <w:t xml:space="preserve">an </w:t>
      </w:r>
      <w:r w:rsidR="002A5A31">
        <w:t>B</w:t>
      </w:r>
      <w:r>
        <w:t xml:space="preserve">e </w:t>
      </w:r>
      <w:r w:rsidR="002A5A31">
        <w:t>D</w:t>
      </w:r>
      <w:r>
        <w:t xml:space="preserve">one about </w:t>
      </w:r>
      <w:r w:rsidR="002A5A31">
        <w:t>I</w:t>
      </w:r>
      <w:r>
        <w:t xml:space="preserve">t’: Charlie Cox, Indian Affairs Timber Policy, and the Long Lac Reserve, 1924–40,” </w:t>
      </w:r>
      <w:r>
        <w:rPr>
          <w:i/>
        </w:rPr>
        <w:t xml:space="preserve">Canadian Historical Review </w:t>
      </w:r>
      <w:r>
        <w:t>84, no. 1 (2003), 33–64, doi:</w:t>
      </w:r>
      <w:r w:rsidRPr="00715F7A">
        <w:t>10.3138/CHR.84.1.33</w:t>
      </w:r>
      <w:r>
        <w:t>. Gull Bay First Nation would file a similar claim in February 2016 and settle later that year for a payment of $8.2 million: Stephanie Cram, “</w:t>
      </w:r>
      <w:r w:rsidRPr="00D23448">
        <w:t>Gull Bay First Nation Files Claim to Fix 166-Year-Old Error in Size of Reserve</w:t>
      </w:r>
      <w:r>
        <w:t xml:space="preserve">,” CBC News, March 1, 2016, accessed March 9, 2017, </w:t>
      </w:r>
      <w:r w:rsidRPr="00D23448">
        <w:t>www.cbc.ca/news/indigenous/gull-bay-files-claim-to-fix-reserve-size-error-1.3469533</w:t>
      </w:r>
      <w:r>
        <w:t xml:space="preserve">; “Gull Bay Votes for $8 Million Settlement,” TB News Watch, September 13, 2016, accessed March 9, 2017, </w:t>
      </w:r>
      <w:r w:rsidRPr="00503E05">
        <w:t>www.tbnewswatch.com/local-news/gull-bay-votes-for-8-million-settlement-412427</w:t>
      </w:r>
      <w:r>
        <w:t xml:space="preserve">. </w:t>
      </w:r>
    </w:p>
  </w:endnote>
  <w:endnote w:id="18">
    <w:p w14:paraId="4812D7BC" w14:textId="6671B265" w:rsidR="005C0562" w:rsidRPr="006B03E0" w:rsidRDefault="005C0562" w:rsidP="006B03E0">
      <w:pPr>
        <w:pStyle w:val="Footnote"/>
      </w:pPr>
      <w:r w:rsidRPr="001556BB">
        <w:rPr>
          <w:rStyle w:val="EndnoteReference"/>
        </w:rPr>
        <w:endnoteRef/>
      </w:r>
      <w:r w:rsidRPr="006B03E0">
        <w:t xml:space="preserve"> </w:t>
      </w:r>
      <w:r w:rsidRPr="00715F7A">
        <w:rPr>
          <w:rStyle w:val="FootnoteTextChar"/>
          <w:rFonts w:ascii="Arial" w:hAnsi="Arial" w:cs="Arial"/>
          <w:i/>
          <w:sz w:val="17"/>
          <w:szCs w:val="17"/>
        </w:rPr>
        <w:t xml:space="preserve">Lac </w:t>
      </w:r>
      <w:proofErr w:type="spellStart"/>
      <w:r w:rsidRPr="00715F7A">
        <w:rPr>
          <w:rStyle w:val="FootnoteTextChar"/>
          <w:rFonts w:ascii="Arial" w:hAnsi="Arial" w:cs="Arial"/>
          <w:i/>
          <w:sz w:val="17"/>
          <w:szCs w:val="17"/>
        </w:rPr>
        <w:t>Seul</w:t>
      </w:r>
      <w:proofErr w:type="spellEnd"/>
      <w:r w:rsidRPr="00715F7A">
        <w:rPr>
          <w:rStyle w:val="FootnoteTextChar"/>
          <w:rFonts w:ascii="Arial" w:hAnsi="Arial" w:cs="Arial"/>
          <w:i/>
          <w:sz w:val="17"/>
          <w:szCs w:val="17"/>
        </w:rPr>
        <w:t xml:space="preserve"> First Nation v. Canada</w:t>
      </w:r>
      <w:r w:rsidRPr="006B03E0">
        <w:rPr>
          <w:rStyle w:val="FootnoteTextChar"/>
          <w:rFonts w:ascii="Arial" w:hAnsi="Arial" w:cs="Arial"/>
          <w:sz w:val="17"/>
          <w:szCs w:val="17"/>
        </w:rPr>
        <w:t xml:space="preserve">, 2009, </w:t>
      </w:r>
      <w:r w:rsidR="000A2D7C">
        <w:rPr>
          <w:rStyle w:val="FootnoteTextChar"/>
          <w:rFonts w:ascii="Arial" w:hAnsi="Arial" w:cs="Arial"/>
          <w:sz w:val="17"/>
          <w:szCs w:val="17"/>
        </w:rPr>
        <w:t xml:space="preserve">op. cit., </w:t>
      </w:r>
      <w:r w:rsidRPr="006B03E0">
        <w:rPr>
          <w:rStyle w:val="FootnoteTextChar"/>
          <w:rFonts w:ascii="Arial" w:hAnsi="Arial" w:cs="Arial"/>
          <w:sz w:val="17"/>
          <w:szCs w:val="17"/>
        </w:rPr>
        <w:t>32.</w:t>
      </w:r>
      <w:r>
        <w:rPr>
          <w:rStyle w:val="FootnoteTextChar"/>
          <w:rFonts w:ascii="Arial" w:hAnsi="Arial" w:cs="Arial"/>
          <w:sz w:val="17"/>
          <w:szCs w:val="17"/>
        </w:rPr>
        <w:t xml:space="preserve"> </w:t>
      </w:r>
    </w:p>
  </w:endnote>
  <w:endnote w:id="19">
    <w:p w14:paraId="22FD8FE8" w14:textId="333D6C7B" w:rsidR="005C0562" w:rsidRDefault="005C0562" w:rsidP="00AE4DBA">
      <w:pPr>
        <w:pStyle w:val="Footnote"/>
      </w:pPr>
      <w:r w:rsidRPr="001556BB">
        <w:rPr>
          <w:rStyle w:val="EndnoteReference"/>
        </w:rPr>
        <w:endnoteRef/>
      </w:r>
      <w:r w:rsidRPr="006B03E0">
        <w:t xml:space="preserve"> </w:t>
      </w:r>
      <w:r w:rsidRPr="00715F7A">
        <w:rPr>
          <w:rStyle w:val="FootnoteTextChar"/>
          <w:rFonts w:ascii="Arial" w:hAnsi="Arial" w:cs="Arial"/>
          <w:i/>
          <w:sz w:val="17"/>
          <w:szCs w:val="17"/>
        </w:rPr>
        <w:t xml:space="preserve">Lac </w:t>
      </w:r>
      <w:proofErr w:type="spellStart"/>
      <w:r w:rsidRPr="00715F7A">
        <w:rPr>
          <w:rStyle w:val="FootnoteTextChar"/>
          <w:rFonts w:ascii="Arial" w:hAnsi="Arial" w:cs="Arial"/>
          <w:i/>
          <w:sz w:val="17"/>
          <w:szCs w:val="17"/>
        </w:rPr>
        <w:t>Seul</w:t>
      </w:r>
      <w:proofErr w:type="spellEnd"/>
      <w:r w:rsidRPr="00715F7A">
        <w:rPr>
          <w:rStyle w:val="FootnoteTextChar"/>
          <w:rFonts w:ascii="Arial" w:hAnsi="Arial" w:cs="Arial"/>
          <w:i/>
          <w:sz w:val="17"/>
          <w:szCs w:val="17"/>
        </w:rPr>
        <w:t xml:space="preserve"> First Nation v. Canada</w:t>
      </w:r>
      <w:r w:rsidRPr="006B03E0">
        <w:rPr>
          <w:rStyle w:val="FootnoteTextChar"/>
          <w:rFonts w:ascii="Arial" w:hAnsi="Arial" w:cs="Arial"/>
          <w:sz w:val="17"/>
          <w:szCs w:val="17"/>
        </w:rPr>
        <w:t xml:space="preserve">, </w:t>
      </w:r>
      <w:r>
        <w:rPr>
          <w:rStyle w:val="FootnoteTextChar"/>
          <w:rFonts w:ascii="Arial" w:hAnsi="Arial" w:cs="Arial"/>
          <w:sz w:val="17"/>
          <w:szCs w:val="17"/>
        </w:rPr>
        <w:t xml:space="preserve">2009, </w:t>
      </w:r>
      <w:r w:rsidR="000A2D7C">
        <w:rPr>
          <w:rStyle w:val="FootnoteTextChar"/>
          <w:rFonts w:ascii="Arial" w:hAnsi="Arial" w:cs="Arial"/>
          <w:sz w:val="17"/>
          <w:szCs w:val="17"/>
        </w:rPr>
        <w:t xml:space="preserve">op. cit., </w:t>
      </w:r>
      <w:r w:rsidRPr="006B03E0">
        <w:rPr>
          <w:rStyle w:val="FootnoteTextChar"/>
          <w:rFonts w:ascii="Arial" w:hAnsi="Arial" w:cs="Arial"/>
          <w:sz w:val="17"/>
          <w:szCs w:val="17"/>
        </w:rPr>
        <w:t>15.</w:t>
      </w:r>
    </w:p>
  </w:endnote>
  <w:endnote w:id="20">
    <w:p w14:paraId="7B4E6BC2" w14:textId="669BB03F" w:rsidR="005C0562" w:rsidRDefault="005C0562" w:rsidP="00D11F72">
      <w:pPr>
        <w:pStyle w:val="Footnote"/>
      </w:pPr>
      <w:r>
        <w:rPr>
          <w:rStyle w:val="EndnoteReference"/>
        </w:rPr>
        <w:endnoteRef/>
      </w:r>
      <w:r>
        <w:t xml:space="preserve"> Sam </w:t>
      </w:r>
      <w:proofErr w:type="spellStart"/>
      <w:r>
        <w:t>Manitowabi</w:t>
      </w:r>
      <w:proofErr w:type="spellEnd"/>
      <w:r>
        <w:t xml:space="preserve"> (economic development manager, Lac </w:t>
      </w:r>
      <w:proofErr w:type="spellStart"/>
      <w:r>
        <w:t>Seul</w:t>
      </w:r>
      <w:proofErr w:type="spellEnd"/>
      <w:r>
        <w:t xml:space="preserve"> First Nation), in discussion with the author, June 14, 2016.</w:t>
      </w:r>
    </w:p>
  </w:endnote>
  <w:endnote w:id="21">
    <w:p w14:paraId="4302AE14" w14:textId="716E8F47" w:rsidR="005C0562" w:rsidRDefault="005C0562" w:rsidP="006B03E0">
      <w:pPr>
        <w:pStyle w:val="Footnote"/>
      </w:pPr>
      <w:r>
        <w:rPr>
          <w:rStyle w:val="EndnoteReference"/>
        </w:rPr>
        <w:endnoteRef/>
      </w:r>
      <w:r>
        <w:t xml:space="preserve"> Clifford Bull (chief, Lac </w:t>
      </w:r>
      <w:proofErr w:type="spellStart"/>
      <w:r>
        <w:t>Seul</w:t>
      </w:r>
      <w:proofErr w:type="spellEnd"/>
      <w:r>
        <w:t xml:space="preserve"> First Nation), in discussion with the author, June 14, 2016.</w:t>
      </w:r>
    </w:p>
  </w:endnote>
  <w:endnote w:id="22">
    <w:p w14:paraId="218E8CC8" w14:textId="11601557" w:rsidR="005C0562" w:rsidRPr="0053061F" w:rsidRDefault="005C0562" w:rsidP="0053061F">
      <w:pPr>
        <w:pStyle w:val="Footnote"/>
        <w:rPr>
          <w:lang w:val="en-US"/>
        </w:rPr>
      </w:pPr>
      <w:r>
        <w:rPr>
          <w:rStyle w:val="EndnoteReference"/>
        </w:rPr>
        <w:endnoteRef/>
      </w:r>
      <w:r>
        <w:t xml:space="preserve"> </w:t>
      </w:r>
      <w:r>
        <w:rPr>
          <w:lang w:val="en-US"/>
        </w:rPr>
        <w:t xml:space="preserve">Bryan Meadows, “First Nation </w:t>
      </w:r>
      <w:r w:rsidR="002A5A31">
        <w:rPr>
          <w:lang w:val="en-US"/>
        </w:rPr>
        <w:t>F</w:t>
      </w:r>
      <w:r>
        <w:rPr>
          <w:lang w:val="en-US"/>
        </w:rPr>
        <w:t xml:space="preserve">eels </w:t>
      </w:r>
      <w:r w:rsidR="002A5A31">
        <w:rPr>
          <w:lang w:val="en-US"/>
        </w:rPr>
        <w:t>C</w:t>
      </w:r>
      <w:r>
        <w:rPr>
          <w:lang w:val="en-US"/>
        </w:rPr>
        <w:t xml:space="preserve">ompensation </w:t>
      </w:r>
      <w:r w:rsidR="002A5A31">
        <w:rPr>
          <w:lang w:val="en-US"/>
        </w:rPr>
        <w:t>O</w:t>
      </w:r>
      <w:r>
        <w:rPr>
          <w:lang w:val="en-US"/>
        </w:rPr>
        <w:t xml:space="preserve">ffer </w:t>
      </w:r>
      <w:r w:rsidR="002A5A31">
        <w:rPr>
          <w:lang w:val="en-US"/>
        </w:rPr>
        <w:t>N</w:t>
      </w:r>
      <w:r>
        <w:rPr>
          <w:lang w:val="en-US"/>
        </w:rPr>
        <w:t xml:space="preserve">ot </w:t>
      </w:r>
      <w:r w:rsidR="002A5A31">
        <w:rPr>
          <w:lang w:val="en-US"/>
        </w:rPr>
        <w:t>E</w:t>
      </w:r>
      <w:r>
        <w:rPr>
          <w:lang w:val="en-US"/>
        </w:rPr>
        <w:t xml:space="preserve">nough,” </w:t>
      </w:r>
      <w:r>
        <w:rPr>
          <w:i/>
          <w:lang w:val="en-US"/>
        </w:rPr>
        <w:t xml:space="preserve">Chronicle Journal, </w:t>
      </w:r>
      <w:r>
        <w:rPr>
          <w:lang w:val="en-US"/>
        </w:rPr>
        <w:t xml:space="preserve">April </w:t>
      </w:r>
      <w:r w:rsidR="002A5A31">
        <w:rPr>
          <w:lang w:val="en-US"/>
        </w:rPr>
        <w:t xml:space="preserve">20, </w:t>
      </w:r>
      <w:r>
        <w:rPr>
          <w:lang w:val="en-US"/>
        </w:rPr>
        <w:t xml:space="preserve">2008, accessed December 16, 2015, </w:t>
      </w:r>
      <w:r w:rsidRPr="0053061F">
        <w:rPr>
          <w:lang w:val="en-US"/>
        </w:rPr>
        <w:t>www.chroniclejournal.com/first-nation-feels-compensation-offer-not-enough/article_290eee76-f89f-58bb-be74-66da20186c61.html</w:t>
      </w:r>
      <w:r w:rsidR="002A5A31">
        <w:rPr>
          <w:lang w:val="en-US"/>
        </w:rPr>
        <w:t>.</w:t>
      </w:r>
      <w:r>
        <w:rPr>
          <w:lang w:val="en-US"/>
        </w:rPr>
        <w:t xml:space="preserve"> </w:t>
      </w:r>
    </w:p>
  </w:endnote>
  <w:endnote w:id="23">
    <w:p w14:paraId="58DD0D15" w14:textId="69CC4753" w:rsidR="005C0562" w:rsidRDefault="005C0562">
      <w:pPr>
        <w:pStyle w:val="Footnote"/>
      </w:pPr>
      <w:r w:rsidRPr="002E1FB4">
        <w:rPr>
          <w:rStyle w:val="EndnoteReference"/>
        </w:rPr>
        <w:endnoteRef/>
      </w:r>
      <w:r w:rsidRPr="002E1FB4">
        <w:t xml:space="preserve"> </w:t>
      </w:r>
      <w:r w:rsidRPr="00715F7A">
        <w:rPr>
          <w:i/>
        </w:rPr>
        <w:t xml:space="preserve">Lac </w:t>
      </w:r>
      <w:proofErr w:type="spellStart"/>
      <w:r w:rsidRPr="00715F7A">
        <w:rPr>
          <w:i/>
        </w:rPr>
        <w:t>Seul</w:t>
      </w:r>
      <w:proofErr w:type="spellEnd"/>
      <w:r w:rsidRPr="00715F7A">
        <w:rPr>
          <w:i/>
        </w:rPr>
        <w:t xml:space="preserve"> First Nation v. Canada</w:t>
      </w:r>
      <w:r w:rsidRPr="00715F7A">
        <w:t xml:space="preserve">, [2014] </w:t>
      </w:r>
      <w:proofErr w:type="spellStart"/>
      <w:r w:rsidRPr="00715F7A">
        <w:t>CanLII</w:t>
      </w:r>
      <w:proofErr w:type="spellEnd"/>
      <w:r w:rsidRPr="00715F7A">
        <w:t xml:space="preserve"> 296 (FC), accessed January 24, 2016, http://canlii.ca/t/g6t6w</w:t>
      </w:r>
      <w:r>
        <w:rPr>
          <w:rStyle w:val="FootnoteTextChar"/>
        </w:rPr>
        <w:t>.</w:t>
      </w:r>
    </w:p>
  </w:endnote>
  <w:endnote w:id="24">
    <w:p w14:paraId="2223F3D4" w14:textId="21F03828" w:rsidR="005C0562" w:rsidRDefault="005C0562" w:rsidP="00715F7A">
      <w:pPr>
        <w:pStyle w:val="Footnote"/>
      </w:pPr>
      <w:r>
        <w:rPr>
          <w:rStyle w:val="EndnoteReference"/>
        </w:rPr>
        <w:endnoteRef/>
      </w:r>
      <w:r>
        <w:t xml:space="preserve"> “Annex A: Specific Claims Snapshot,” in Progress Report—Specific Claims 2012–2013, Indigenous and Northern Affairs Canada, accessed December 15, 2016, </w:t>
      </w:r>
      <w:r w:rsidRPr="00715F7A">
        <w:t>www.aadnc-aandc.gc.ca/eng/1395851556693/1395851656888</w:t>
      </w:r>
      <w:r>
        <w:t>.</w:t>
      </w:r>
    </w:p>
  </w:endnote>
  <w:endnote w:id="25">
    <w:p w14:paraId="334BB3F9" w14:textId="0851704D" w:rsidR="005C0562" w:rsidRDefault="005C0562" w:rsidP="006B03E0">
      <w:pPr>
        <w:pStyle w:val="Footnote"/>
      </w:pPr>
      <w:r>
        <w:rPr>
          <w:rStyle w:val="EndnoteReference"/>
        </w:rPr>
        <w:endnoteRef/>
      </w:r>
      <w:r>
        <w:t xml:space="preserve"> Bull, op. cit., November 19, 2015.</w:t>
      </w:r>
    </w:p>
  </w:endnote>
  <w:endnote w:id="26">
    <w:p w14:paraId="6C766F17" w14:textId="3D7F0EB1" w:rsidR="005C0562" w:rsidRPr="004865C9" w:rsidRDefault="005C0562" w:rsidP="00862019">
      <w:pPr>
        <w:pStyle w:val="Footnote"/>
        <w:rPr>
          <w:i/>
        </w:rPr>
      </w:pPr>
      <w:r>
        <w:rPr>
          <w:rStyle w:val="EndnoteReference"/>
        </w:rPr>
        <w:endnoteRef/>
      </w:r>
      <w:r>
        <w:t xml:space="preserve"> Rick Garrick, “Long Lake, Lac </w:t>
      </w:r>
      <w:proofErr w:type="spellStart"/>
      <w:r>
        <w:t>Seul</w:t>
      </w:r>
      <w:proofErr w:type="spellEnd"/>
      <w:r>
        <w:t xml:space="preserve"> Settle Power Issues,” </w:t>
      </w:r>
      <w:r>
        <w:rPr>
          <w:i/>
        </w:rPr>
        <w:t xml:space="preserve">Anishinabek News, </w:t>
      </w:r>
      <w:r w:rsidRPr="004865C9">
        <w:t>Dec</w:t>
      </w:r>
      <w:r>
        <w:t>ember</w:t>
      </w:r>
      <w:r w:rsidRPr="004865C9">
        <w:t xml:space="preserve"> 2006, 23</w:t>
      </w:r>
      <w:r>
        <w:t xml:space="preserve"> [archived, accessed March 9, 2017, </w:t>
      </w:r>
      <w:r w:rsidRPr="0055667E">
        <w:t>http://doczz.net/doc/4543362/complaints-could-become-avalanche</w:t>
      </w:r>
      <w:r>
        <w:t>]</w:t>
      </w:r>
      <w:r w:rsidRPr="004865C9">
        <w:t>.</w:t>
      </w:r>
    </w:p>
  </w:endnote>
  <w:endnote w:id="27">
    <w:p w14:paraId="6BBE3DAE" w14:textId="58E052F0" w:rsidR="005C0562" w:rsidRDefault="005C0562" w:rsidP="00E0113B">
      <w:pPr>
        <w:pStyle w:val="Footnote"/>
      </w:pPr>
      <w:r>
        <w:rPr>
          <w:rStyle w:val="EndnoteReference"/>
        </w:rPr>
        <w:endnoteRef/>
      </w:r>
      <w:r>
        <w:t xml:space="preserve"> </w:t>
      </w:r>
      <w:r w:rsidRPr="006D26CE">
        <w:t>W.</w:t>
      </w:r>
      <w:r>
        <w:t xml:space="preserve"> </w:t>
      </w:r>
      <w:r w:rsidRPr="006D26CE">
        <w:t>R.</w:t>
      </w:r>
      <w:r>
        <w:t xml:space="preserve"> Rogers</w:t>
      </w:r>
      <w:r w:rsidRPr="006D26CE">
        <w:t xml:space="preserve">, </w:t>
      </w:r>
      <w:r w:rsidRPr="00884069">
        <w:rPr>
          <w:i/>
        </w:rPr>
        <w:t>Red Lake and Adjacent Areas</w:t>
      </w:r>
      <w:r w:rsidRPr="006D26CE">
        <w:t xml:space="preserve">, </w:t>
      </w:r>
      <w:r>
        <w:t>prepared for the Department of Mines</w:t>
      </w:r>
      <w:r w:rsidRPr="006D26CE">
        <w:t xml:space="preserve">, </w:t>
      </w:r>
      <w:r>
        <w:t xml:space="preserve">Province of Ontario (Toronto, ON: </w:t>
      </w:r>
      <w:r w:rsidRPr="006D26CE">
        <w:t>Clarkson W. James, 1926</w:t>
      </w:r>
      <w:r>
        <w:t>).</w:t>
      </w:r>
    </w:p>
  </w:endnote>
  <w:endnote w:id="28">
    <w:p w14:paraId="1B6B0FBD" w14:textId="6A696F48" w:rsidR="005C0562" w:rsidRDefault="005C0562" w:rsidP="00422680">
      <w:pPr>
        <w:pStyle w:val="Footnote"/>
      </w:pPr>
      <w:r>
        <w:rPr>
          <w:rStyle w:val="EndnoteReference"/>
        </w:rPr>
        <w:endnoteRef/>
      </w:r>
      <w:r>
        <w:t xml:space="preserve"> “Red Lake—The High-Grade Gold Capital of the World,” infographic, Mining.com, March 6, 2015, accessed November 19, 2015, </w:t>
      </w:r>
      <w:r w:rsidRPr="00F50F13">
        <w:t>www.mining.com/web/infographic-red-lake-high-grade-gold-capital-word</w:t>
      </w:r>
      <w:r>
        <w:t>.</w:t>
      </w:r>
    </w:p>
  </w:endnote>
  <w:endnote w:id="29">
    <w:p w14:paraId="6E79DEBD" w14:textId="4F4E9D78" w:rsidR="005C0562" w:rsidRDefault="005C0562" w:rsidP="00422680">
      <w:pPr>
        <w:pStyle w:val="Footnote"/>
      </w:pPr>
      <w:r>
        <w:rPr>
          <w:rStyle w:val="EndnoteReference"/>
        </w:rPr>
        <w:endnoteRef/>
      </w:r>
      <w:r>
        <w:t xml:space="preserve"> “Red Lake—Overview &amp; Operating Highlights,” Goldcorp, Inc., accessed December 5, 2015, </w:t>
      </w:r>
      <w:r w:rsidRPr="004638B1">
        <w:t>www.goldcorp.com/English/Unrivalled-Assets/Mines-and-Projects/Canada-and-US/Operations/Red-Lake/Overview-and-Operating-Highlights/default.aspx</w:t>
      </w:r>
      <w:r>
        <w:t>.</w:t>
      </w:r>
    </w:p>
  </w:endnote>
  <w:endnote w:id="30">
    <w:p w14:paraId="36C12BEC" w14:textId="3713CE97" w:rsidR="005C0562" w:rsidRPr="00B60E1A" w:rsidRDefault="005C0562" w:rsidP="0053061F">
      <w:pPr>
        <w:pStyle w:val="Footnote"/>
        <w:rPr>
          <w:spacing w:val="-4"/>
          <w:kern w:val="17"/>
          <w:lang w:val="en-US"/>
        </w:rPr>
      </w:pPr>
      <w:r w:rsidRPr="00B60E1A">
        <w:rPr>
          <w:rStyle w:val="EndnoteReference"/>
          <w:spacing w:val="-4"/>
          <w:kern w:val="17"/>
        </w:rPr>
        <w:endnoteRef/>
      </w:r>
      <w:r w:rsidRPr="00B60E1A">
        <w:rPr>
          <w:spacing w:val="-4"/>
          <w:kern w:val="17"/>
        </w:rPr>
        <w:t xml:space="preserve"> </w:t>
      </w:r>
      <w:r w:rsidRPr="00B60E1A">
        <w:rPr>
          <w:spacing w:val="-4"/>
          <w:kern w:val="17"/>
          <w:lang w:val="en-US"/>
        </w:rPr>
        <w:t xml:space="preserve">Kate Harries, “Company </w:t>
      </w:r>
      <w:r w:rsidR="000A2D7C" w:rsidRPr="00B60E1A">
        <w:rPr>
          <w:spacing w:val="-4"/>
          <w:kern w:val="17"/>
          <w:lang w:val="en-US"/>
        </w:rPr>
        <w:t>M</w:t>
      </w:r>
      <w:r w:rsidRPr="00B60E1A">
        <w:rPr>
          <w:spacing w:val="-4"/>
          <w:kern w:val="17"/>
          <w:lang w:val="en-US"/>
        </w:rPr>
        <w:t xml:space="preserve">ust </w:t>
      </w:r>
      <w:r w:rsidR="000A2D7C" w:rsidRPr="00B60E1A">
        <w:rPr>
          <w:spacing w:val="-4"/>
          <w:kern w:val="17"/>
          <w:lang w:val="en-US"/>
        </w:rPr>
        <w:t>G</w:t>
      </w:r>
      <w:r w:rsidRPr="00B60E1A">
        <w:rPr>
          <w:spacing w:val="-4"/>
          <w:kern w:val="17"/>
          <w:lang w:val="en-US"/>
        </w:rPr>
        <w:t xml:space="preserve">et </w:t>
      </w:r>
      <w:r w:rsidR="000A2D7C" w:rsidRPr="00B60E1A">
        <w:rPr>
          <w:spacing w:val="-4"/>
          <w:kern w:val="17"/>
          <w:lang w:val="en-US"/>
        </w:rPr>
        <w:t>A</w:t>
      </w:r>
      <w:r w:rsidRPr="00B60E1A">
        <w:rPr>
          <w:spacing w:val="-4"/>
          <w:kern w:val="17"/>
          <w:lang w:val="en-US"/>
        </w:rPr>
        <w:t xml:space="preserve">ccess to </w:t>
      </w:r>
      <w:r w:rsidR="000A2D7C" w:rsidRPr="00B60E1A">
        <w:rPr>
          <w:spacing w:val="-4"/>
          <w:kern w:val="17"/>
          <w:lang w:val="en-US"/>
        </w:rPr>
        <w:t>D</w:t>
      </w:r>
      <w:r w:rsidRPr="00B60E1A">
        <w:rPr>
          <w:spacing w:val="-4"/>
          <w:kern w:val="17"/>
          <w:lang w:val="en-US"/>
        </w:rPr>
        <w:t xml:space="preserve">rilling </w:t>
      </w:r>
      <w:r w:rsidR="000A2D7C" w:rsidRPr="00B60E1A">
        <w:rPr>
          <w:spacing w:val="-4"/>
          <w:kern w:val="17"/>
          <w:lang w:val="en-US"/>
        </w:rPr>
        <w:t>S</w:t>
      </w:r>
      <w:r w:rsidRPr="00B60E1A">
        <w:rPr>
          <w:spacing w:val="-4"/>
          <w:kern w:val="17"/>
          <w:lang w:val="en-US"/>
        </w:rPr>
        <w:t xml:space="preserve">ite, </w:t>
      </w:r>
      <w:r w:rsidR="000A2D7C" w:rsidRPr="00B60E1A">
        <w:rPr>
          <w:spacing w:val="-4"/>
          <w:kern w:val="17"/>
          <w:lang w:val="en-US"/>
        </w:rPr>
        <w:t>C</w:t>
      </w:r>
      <w:r w:rsidRPr="00B60E1A">
        <w:rPr>
          <w:spacing w:val="-4"/>
          <w:kern w:val="17"/>
          <w:lang w:val="en-US"/>
        </w:rPr>
        <w:t xml:space="preserve">ourt </w:t>
      </w:r>
      <w:r w:rsidR="000A2D7C" w:rsidRPr="00B60E1A">
        <w:rPr>
          <w:spacing w:val="-4"/>
          <w:kern w:val="17"/>
          <w:lang w:val="en-US"/>
        </w:rPr>
        <w:t>T</w:t>
      </w:r>
      <w:r w:rsidRPr="00B60E1A">
        <w:rPr>
          <w:spacing w:val="-4"/>
          <w:kern w:val="17"/>
          <w:lang w:val="en-US"/>
        </w:rPr>
        <w:t xml:space="preserve">old,” </w:t>
      </w:r>
      <w:r w:rsidRPr="00B60E1A">
        <w:rPr>
          <w:i/>
          <w:spacing w:val="-4"/>
          <w:kern w:val="17"/>
          <w:lang w:val="en-US"/>
        </w:rPr>
        <w:t>Globe and Mail,</w:t>
      </w:r>
      <w:r w:rsidRPr="00B60E1A">
        <w:rPr>
          <w:spacing w:val="-4"/>
          <w:kern w:val="17"/>
          <w:lang w:val="en-US"/>
        </w:rPr>
        <w:t xml:space="preserve"> June </w:t>
      </w:r>
      <w:r w:rsidR="00C127B8" w:rsidRPr="00B60E1A">
        <w:rPr>
          <w:spacing w:val="-4"/>
          <w:kern w:val="17"/>
          <w:lang w:val="en-US"/>
        </w:rPr>
        <w:t xml:space="preserve">23, </w:t>
      </w:r>
      <w:r w:rsidRPr="00B60E1A">
        <w:rPr>
          <w:spacing w:val="-4"/>
          <w:kern w:val="17"/>
          <w:lang w:val="en-US"/>
        </w:rPr>
        <w:t>2006, accessed December</w:t>
      </w:r>
      <w:r w:rsidR="00C127B8" w:rsidRPr="00B60E1A">
        <w:rPr>
          <w:spacing w:val="-4"/>
          <w:kern w:val="17"/>
          <w:lang w:val="en-US"/>
        </w:rPr>
        <w:t> </w:t>
      </w:r>
      <w:r w:rsidRPr="00B60E1A">
        <w:rPr>
          <w:spacing w:val="-4"/>
          <w:kern w:val="17"/>
          <w:lang w:val="en-US"/>
        </w:rPr>
        <w:t>16, 2015, www.theglobeandmail.com/news/national/company-must-get-access-to-drilling-site-court-told/article20414515/</w:t>
      </w:r>
      <w:r w:rsidR="0053061F" w:rsidRPr="00B60E1A">
        <w:rPr>
          <w:spacing w:val="-4"/>
          <w:kern w:val="17"/>
          <w:lang w:val="en-US"/>
        </w:rPr>
        <w:t>.</w:t>
      </w:r>
    </w:p>
  </w:endnote>
  <w:endnote w:id="31">
    <w:p w14:paraId="45CC979A" w14:textId="370787D9" w:rsidR="005C0562" w:rsidRPr="00715F7A" w:rsidRDefault="005C0562">
      <w:pPr>
        <w:pStyle w:val="Footnote"/>
        <w:rPr>
          <w:sz w:val="24"/>
          <w:szCs w:val="24"/>
          <w:lang w:val="en-US"/>
        </w:rPr>
      </w:pPr>
      <w:r>
        <w:rPr>
          <w:rStyle w:val="EndnoteReference"/>
        </w:rPr>
        <w:endnoteRef/>
      </w:r>
      <w:r>
        <w:t xml:space="preserve"> </w:t>
      </w:r>
      <w:proofErr w:type="spellStart"/>
      <w:r w:rsidRPr="00715F7A">
        <w:rPr>
          <w:i/>
        </w:rPr>
        <w:t>Platinex</w:t>
      </w:r>
      <w:proofErr w:type="spellEnd"/>
      <w:r w:rsidRPr="00715F7A">
        <w:rPr>
          <w:i/>
        </w:rPr>
        <w:t xml:space="preserve"> Inc. v. </w:t>
      </w:r>
      <w:proofErr w:type="spellStart"/>
      <w:r w:rsidRPr="00715F7A">
        <w:rPr>
          <w:i/>
        </w:rPr>
        <w:t>Kitchenuhmaykoosib</w:t>
      </w:r>
      <w:proofErr w:type="spellEnd"/>
      <w:r w:rsidRPr="00715F7A">
        <w:rPr>
          <w:i/>
        </w:rPr>
        <w:t xml:space="preserve"> </w:t>
      </w:r>
      <w:proofErr w:type="spellStart"/>
      <w:r w:rsidRPr="00715F7A">
        <w:rPr>
          <w:i/>
        </w:rPr>
        <w:t>Inninuwug</w:t>
      </w:r>
      <w:proofErr w:type="spellEnd"/>
      <w:r w:rsidRPr="00715F7A">
        <w:rPr>
          <w:i/>
        </w:rPr>
        <w:t xml:space="preserve"> First Nation</w:t>
      </w:r>
      <w:r>
        <w:t xml:space="preserve"> (2006), 272 DLR (4th) 727, [2006] </w:t>
      </w:r>
      <w:proofErr w:type="spellStart"/>
      <w:r>
        <w:t>CanLII</w:t>
      </w:r>
      <w:proofErr w:type="spellEnd"/>
      <w:r>
        <w:t xml:space="preserve"> 26171 (ON SC), accessed November 26, 2015</w:t>
      </w:r>
      <w:r w:rsidRPr="00ED5FDD">
        <w:t xml:space="preserve">, </w:t>
      </w:r>
      <w:r w:rsidRPr="00715F7A">
        <w:t>http://canlii.ca/t/1p1sj</w:t>
      </w:r>
      <w:r w:rsidRPr="00ED5FDD">
        <w:t>.</w:t>
      </w:r>
    </w:p>
  </w:endnote>
  <w:endnote w:id="32">
    <w:p w14:paraId="54E0D2F9" w14:textId="0C33A167" w:rsidR="005C0562" w:rsidRDefault="005C0562" w:rsidP="006B03E0">
      <w:pPr>
        <w:pStyle w:val="Footnote"/>
      </w:pPr>
      <w:r>
        <w:rPr>
          <w:rStyle w:val="EndnoteReference"/>
        </w:rPr>
        <w:endnoteRef/>
      </w:r>
      <w:r>
        <w:t xml:space="preserve"> Ontario Ministry of Northern Development and Mines, “</w:t>
      </w:r>
      <w:r>
        <w:rPr>
          <w:rFonts w:cs="Times New Roman"/>
        </w:rPr>
        <w:t xml:space="preserve">Ontario Resolves Litigation Dispute </w:t>
      </w:r>
      <w:proofErr w:type="gramStart"/>
      <w:r>
        <w:rPr>
          <w:rFonts w:cs="Times New Roman"/>
        </w:rPr>
        <w:t>Over</w:t>
      </w:r>
      <w:proofErr w:type="gramEnd"/>
      <w:r>
        <w:rPr>
          <w:rFonts w:cs="Times New Roman"/>
        </w:rPr>
        <w:t xml:space="preserve"> Big Trout Lake Property [corrected],</w:t>
      </w:r>
      <w:r>
        <w:t xml:space="preserve">” press release, December 14, 2009, accessed December 5, 2015, </w:t>
      </w:r>
      <w:r w:rsidRPr="00F50F13">
        <w:t>www.news.ontario.ca/mndmf/en/2009/12/correction-ontario-resolves-litigation-dispute-over-big-trout-lake-property.html</w:t>
      </w:r>
      <w:r>
        <w:t>.</w:t>
      </w:r>
    </w:p>
  </w:endnote>
  <w:endnote w:id="33">
    <w:p w14:paraId="500A871A" w14:textId="0CA7D3E3" w:rsidR="005C0562" w:rsidRDefault="005C0562" w:rsidP="006B03E0">
      <w:pPr>
        <w:pStyle w:val="Footnote"/>
      </w:pPr>
      <w:r>
        <w:rPr>
          <w:rStyle w:val="EndnoteReference"/>
        </w:rPr>
        <w:endnoteRef/>
      </w:r>
      <w:r>
        <w:t xml:space="preserve"> </w:t>
      </w:r>
      <w:proofErr w:type="spellStart"/>
      <w:r>
        <w:t>Manitowabi</w:t>
      </w:r>
      <w:proofErr w:type="spellEnd"/>
      <w:r w:rsidR="0053061F">
        <w:t>, op. cit., November 20, 2015.</w:t>
      </w:r>
    </w:p>
  </w:endnote>
  <w:endnote w:id="34">
    <w:p w14:paraId="3EEDD8D2" w14:textId="0ABC87B3" w:rsidR="005C0562" w:rsidRDefault="005C0562" w:rsidP="006B03E0">
      <w:pPr>
        <w:pStyle w:val="Footnote"/>
      </w:pPr>
      <w:r>
        <w:rPr>
          <w:rStyle w:val="EndnoteReference"/>
        </w:rPr>
        <w:endnoteRef/>
      </w:r>
      <w:r>
        <w:t xml:space="preserve"> “</w:t>
      </w:r>
      <w:r>
        <w:rPr>
          <w:rFonts w:cs="Times New Roman"/>
        </w:rPr>
        <w:t>Agnico-Eagle [</w:t>
      </w:r>
      <w:r w:rsidRPr="00715F7A">
        <w:rPr>
          <w:rFonts w:cs="Times New Roman"/>
          <w:i/>
        </w:rPr>
        <w:t>sic</w:t>
      </w:r>
      <w:r>
        <w:rPr>
          <w:rFonts w:cs="Times New Roman"/>
        </w:rPr>
        <w:t>] Invests $50M in Gold Eagle,</w:t>
      </w:r>
      <w:r>
        <w:t xml:space="preserve">” </w:t>
      </w:r>
      <w:r w:rsidRPr="00715F7A">
        <w:rPr>
          <w:i/>
        </w:rPr>
        <w:t>The Star</w:t>
      </w:r>
      <w:r>
        <w:t xml:space="preserve">, June 26, 2008, accessed December 16, 2015, </w:t>
      </w:r>
      <w:r w:rsidRPr="00F50F13">
        <w:t>www.thestar.com/business/2008/06/26/agnicoeagle_invests_50m_in_gold_eagle.html</w:t>
      </w:r>
      <w:r>
        <w:t>.</w:t>
      </w:r>
    </w:p>
  </w:endnote>
  <w:endnote w:id="35">
    <w:p w14:paraId="45A3CB1A" w14:textId="074C9122" w:rsidR="005C0562" w:rsidRDefault="005C0562" w:rsidP="006B03E0">
      <w:pPr>
        <w:pStyle w:val="Footnote"/>
      </w:pPr>
      <w:r>
        <w:rPr>
          <w:rStyle w:val="EndnoteReference"/>
        </w:rPr>
        <w:endnoteRef/>
      </w:r>
      <w:r>
        <w:t xml:space="preserve"> Ian Ross, “</w:t>
      </w:r>
      <w:r>
        <w:rPr>
          <w:rFonts w:cs="Times New Roman"/>
        </w:rPr>
        <w:t>Gold Eagle Strikes It Rich with Goldcorp Acquisition,</w:t>
      </w:r>
      <w:r>
        <w:t xml:space="preserve">” </w:t>
      </w:r>
      <w:r>
        <w:rPr>
          <w:i/>
        </w:rPr>
        <w:t>Northern Ontario Business,</w:t>
      </w:r>
      <w:r>
        <w:t xml:space="preserve"> October 21, 2008, accessed December 16, 2015, </w:t>
      </w:r>
      <w:r w:rsidRPr="0072691E">
        <w:t>www.northernontariobusiness.com/Industry-News/mining/Gold-Eagle-strikes-it-rich-with-Goldcorp-acquisition.aspx</w:t>
      </w:r>
      <w:r>
        <w:t>.</w:t>
      </w:r>
    </w:p>
  </w:endnote>
  <w:endnote w:id="36">
    <w:p w14:paraId="37B383FB" w14:textId="2EF8C88D" w:rsidR="005C0562" w:rsidRDefault="005C0562" w:rsidP="006B03E0">
      <w:pPr>
        <w:pStyle w:val="Footnote"/>
      </w:pPr>
      <w:r>
        <w:rPr>
          <w:rStyle w:val="EndnoteReference"/>
        </w:rPr>
        <w:endnoteRef/>
      </w:r>
      <w:r>
        <w:t xml:space="preserve"> Bull, op. cit., November 20, 2015.</w:t>
      </w:r>
    </w:p>
  </w:endnote>
  <w:endnote w:id="37">
    <w:p w14:paraId="7CDAFE5C" w14:textId="29F3FBC4" w:rsidR="005C0562" w:rsidRDefault="005C0562" w:rsidP="006B03E0">
      <w:pPr>
        <w:pStyle w:val="Footnote"/>
      </w:pPr>
      <w:r>
        <w:rPr>
          <w:rStyle w:val="EndnoteReference"/>
        </w:rPr>
        <w:endnoteRef/>
      </w:r>
      <w:r>
        <w:t xml:space="preserve"> Goldcorp Inc., “</w:t>
      </w:r>
      <w:r w:rsidRPr="00A9184D">
        <w:t xml:space="preserve">Lac </w:t>
      </w:r>
      <w:proofErr w:type="spellStart"/>
      <w:r w:rsidRPr="00A9184D">
        <w:t>Seul</w:t>
      </w:r>
      <w:proofErr w:type="spellEnd"/>
      <w:r w:rsidRPr="00A9184D">
        <w:t xml:space="preserve"> First Nation and Goldcorp Inc. Sign Collaboration Agreement</w:t>
      </w:r>
      <w:r>
        <w:t xml:space="preserve">,” press release, August 19, 2013, accessed March 20, 2016, </w:t>
      </w:r>
      <w:r w:rsidRPr="00AA1BD9">
        <w:t>www.goldcorp.com/English/Investor-Resources/News/News-Details/2013/Lac-Seul-First-Nation-and-Goldcorp-Inc-Sign-Collaboration-Agreement/default.aspx</w:t>
      </w:r>
      <w:r>
        <w:t>.</w:t>
      </w:r>
    </w:p>
  </w:endnote>
  <w:endnote w:id="38">
    <w:p w14:paraId="785D08E1" w14:textId="13994F8A" w:rsidR="005C0562" w:rsidRDefault="005C0562" w:rsidP="006B03E0">
      <w:pPr>
        <w:pStyle w:val="Footnote"/>
      </w:pPr>
      <w:r>
        <w:rPr>
          <w:rStyle w:val="EndnoteReference"/>
        </w:rPr>
        <w:endnoteRef/>
      </w:r>
      <w:r>
        <w:t xml:space="preserve"> “</w:t>
      </w:r>
      <w:r>
        <w:rPr>
          <w:rFonts w:cs="Times New Roman"/>
        </w:rPr>
        <w:t xml:space="preserve">Exploration Agreement: Rubicon, Lac </w:t>
      </w:r>
      <w:proofErr w:type="spellStart"/>
      <w:r>
        <w:rPr>
          <w:rFonts w:cs="Times New Roman"/>
        </w:rPr>
        <w:t>Seul</w:t>
      </w:r>
      <w:proofErr w:type="spellEnd"/>
      <w:r>
        <w:rPr>
          <w:rFonts w:cs="Times New Roman"/>
        </w:rPr>
        <w:t xml:space="preserve"> First Nation Ink Deal,</w:t>
      </w:r>
      <w:r>
        <w:t xml:space="preserve">” </w:t>
      </w:r>
      <w:r w:rsidRPr="00715F7A">
        <w:rPr>
          <w:i/>
        </w:rPr>
        <w:t>Canadian Mining Journal</w:t>
      </w:r>
      <w:r>
        <w:t xml:space="preserve">, January 31, 2010, accessed December 16, 2015, </w:t>
      </w:r>
      <w:r w:rsidRPr="00A61669">
        <w:t>www.canadianminingjournal.com/news/exploration-agreement-rubicon</w:t>
      </w:r>
      <w:r>
        <w:t>-lac-seul-first-nation-ink-deal.</w:t>
      </w:r>
    </w:p>
  </w:endnote>
  <w:endnote w:id="39">
    <w:p w14:paraId="77CBCCE0" w14:textId="28987E15" w:rsidR="005C0562" w:rsidRDefault="005C0562" w:rsidP="00CA2952">
      <w:pPr>
        <w:pStyle w:val="Footnote"/>
      </w:pPr>
      <w:r>
        <w:rPr>
          <w:rStyle w:val="EndnoteReference"/>
        </w:rPr>
        <w:endnoteRef/>
      </w:r>
      <w:r>
        <w:t xml:space="preserve"> Lac </w:t>
      </w:r>
      <w:proofErr w:type="spellStart"/>
      <w:r>
        <w:t>Seul</w:t>
      </w:r>
      <w:proofErr w:type="spellEnd"/>
      <w:r>
        <w:t xml:space="preserve"> First Nation, “</w:t>
      </w:r>
      <w:r>
        <w:rPr>
          <w:rFonts w:cs="Times New Roman"/>
        </w:rPr>
        <w:t xml:space="preserve">Lac </w:t>
      </w:r>
      <w:proofErr w:type="spellStart"/>
      <w:r>
        <w:rPr>
          <w:rFonts w:cs="Times New Roman"/>
        </w:rPr>
        <w:t>Seul</w:t>
      </w:r>
      <w:proofErr w:type="spellEnd"/>
      <w:r>
        <w:rPr>
          <w:rFonts w:cs="Times New Roman"/>
        </w:rPr>
        <w:t xml:space="preserve"> First Nation Closes $500,000 Placement in </w:t>
      </w:r>
      <w:proofErr w:type="spellStart"/>
      <w:r>
        <w:rPr>
          <w:rFonts w:cs="Times New Roman"/>
        </w:rPr>
        <w:t>AurCrest</w:t>
      </w:r>
      <w:proofErr w:type="spellEnd"/>
      <w:r>
        <w:rPr>
          <w:rFonts w:cs="Times New Roman"/>
        </w:rPr>
        <w:t xml:space="preserve"> Gold Inc.</w:t>
      </w:r>
      <w:r>
        <w:t xml:space="preserve">,” press release (posted by Market Wired), March 16, 2011, accessed June 12, 2016, </w:t>
      </w:r>
      <w:r w:rsidRPr="00A9733A">
        <w:t>www.marketwired.com/press-release/lac-seul-first-nation-closes-500000-placement-in-aurcrest-gold-inc-1412838.htm</w:t>
      </w:r>
      <w:r>
        <w:t>.</w:t>
      </w:r>
    </w:p>
  </w:endnote>
  <w:endnote w:id="40">
    <w:p w14:paraId="0F10974A" w14:textId="167CD537" w:rsidR="005C0562" w:rsidRDefault="005C0562" w:rsidP="006B03E0">
      <w:pPr>
        <w:pStyle w:val="Footnote"/>
      </w:pPr>
      <w:r>
        <w:rPr>
          <w:rStyle w:val="EndnoteReference"/>
        </w:rPr>
        <w:endnoteRef/>
      </w:r>
      <w:r>
        <w:t xml:space="preserve"> </w:t>
      </w:r>
      <w:proofErr w:type="spellStart"/>
      <w:r>
        <w:t>AurCrest</w:t>
      </w:r>
      <w:proofErr w:type="spellEnd"/>
      <w:r>
        <w:t xml:space="preserve"> Gold Inc., “</w:t>
      </w:r>
      <w:proofErr w:type="spellStart"/>
      <w:r>
        <w:rPr>
          <w:rFonts w:cs="Times New Roman"/>
        </w:rPr>
        <w:t>Aurcrest</w:t>
      </w:r>
      <w:proofErr w:type="spellEnd"/>
      <w:r>
        <w:rPr>
          <w:rFonts w:cs="Times New Roman"/>
        </w:rPr>
        <w:t xml:space="preserve"> Gold Signs Letter of Intent with Cat Lake First Nation to Develop up to 40 MWs of Renewable Energy,</w:t>
      </w:r>
      <w:r>
        <w:t xml:space="preserve">” press release (posted by Market Wired), March 23, 2016, June 12, 2016, </w:t>
      </w:r>
      <w:r w:rsidRPr="00A9733A">
        <w:t>www.marketwired.com/press-release/aurcrest-gold-signs-letter-intent-with-cat-lake-first-nation-develop-up-40-mws-renewable-2108549.htm</w:t>
      </w:r>
      <w:r>
        <w:t>.</w:t>
      </w:r>
    </w:p>
  </w:endnote>
  <w:endnote w:id="41">
    <w:p w14:paraId="137AEFFC" w14:textId="73E088EF" w:rsidR="005C0562" w:rsidRDefault="005C0562" w:rsidP="00715F7A">
      <w:pPr>
        <w:pStyle w:val="Footnote"/>
      </w:pPr>
      <w:r>
        <w:rPr>
          <w:rStyle w:val="EndnoteReference"/>
        </w:rPr>
        <w:endnoteRef/>
      </w:r>
      <w:r>
        <w:t xml:space="preserve"> “Workforce Characteristics: Lac </w:t>
      </w:r>
      <w:proofErr w:type="spellStart"/>
      <w:r>
        <w:t>Seul</w:t>
      </w:r>
      <w:proofErr w:type="spellEnd"/>
      <w:r>
        <w:t xml:space="preserve">,” Indigenous and Northern Affairs Canada, accessed October 15, 2016, </w:t>
      </w:r>
      <w:r w:rsidRPr="007E6082">
        <w:t>http:</w:t>
      </w:r>
      <w:r>
        <w:t>//fnp-ppn.aandc-aadnc.gc.ca/fnp.</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ode">
    <w:charset w:val="00"/>
    <w:family w:val="auto"/>
    <w:pitch w:val="variable"/>
    <w:sig w:usb0="F7FFAEFF" w:usb1="F9DFFFFF" w:usb2="001FFDBF" w:usb3="00000000" w:csb0="003F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0">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1FCF7" w14:textId="77777777" w:rsidR="00F24D0F" w:rsidRDefault="00F24D0F" w:rsidP="00D75295">
      <w:r>
        <w:separator/>
      </w:r>
    </w:p>
  </w:footnote>
  <w:footnote w:type="continuationSeparator" w:id="0">
    <w:p w14:paraId="3E370FE2" w14:textId="77777777" w:rsidR="00F24D0F" w:rsidRDefault="00F24D0F"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B31C8" w14:textId="72F6A01D" w:rsidR="005C0562" w:rsidRDefault="005C056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60E1A">
      <w:rPr>
        <w:rFonts w:ascii="Arial" w:hAnsi="Arial"/>
        <w:b/>
        <w:noProof/>
      </w:rPr>
      <w:t>15</w:t>
    </w:r>
    <w:r>
      <w:rPr>
        <w:rFonts w:ascii="Arial" w:hAnsi="Arial"/>
        <w:b/>
      </w:rPr>
      <w:fldChar w:fldCharType="end"/>
    </w:r>
    <w:r>
      <w:rPr>
        <w:rFonts w:ascii="Arial" w:hAnsi="Arial"/>
        <w:b/>
      </w:rPr>
      <w:tab/>
    </w:r>
    <w:r w:rsidR="0053061F">
      <w:rPr>
        <w:rFonts w:ascii="Arial" w:hAnsi="Arial"/>
        <w:b/>
      </w:rPr>
      <w:t>9B17M</w:t>
    </w:r>
    <w:r w:rsidR="00912FDA">
      <w:rPr>
        <w:rFonts w:ascii="Arial" w:hAnsi="Arial"/>
        <w:b/>
      </w:rPr>
      <w:t>066</w:t>
    </w:r>
  </w:p>
  <w:p w14:paraId="1D918ABE" w14:textId="77777777" w:rsidR="005C0562" w:rsidRPr="00C92CC4" w:rsidRDefault="005C0562">
    <w:pPr>
      <w:pStyle w:val="Header"/>
      <w:rPr>
        <w:sz w:val="18"/>
        <w:szCs w:val="18"/>
      </w:rPr>
    </w:pPr>
  </w:p>
  <w:p w14:paraId="738460A1" w14:textId="77777777" w:rsidR="005C0562" w:rsidRPr="00C92CC4" w:rsidRDefault="005C056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4120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7B277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58E2F1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B0E40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50C1FD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2C237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E6534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130313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370889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25A4B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B1CD4D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7EDC"/>
    <w:rsid w:val="000216CE"/>
    <w:rsid w:val="00025DC7"/>
    <w:rsid w:val="00026486"/>
    <w:rsid w:val="000316D3"/>
    <w:rsid w:val="00033AD3"/>
    <w:rsid w:val="0004280A"/>
    <w:rsid w:val="00044ECC"/>
    <w:rsid w:val="000531D3"/>
    <w:rsid w:val="00054590"/>
    <w:rsid w:val="0005646B"/>
    <w:rsid w:val="000735F2"/>
    <w:rsid w:val="0007373C"/>
    <w:rsid w:val="0008102D"/>
    <w:rsid w:val="00081DDA"/>
    <w:rsid w:val="00094C0E"/>
    <w:rsid w:val="00097E6B"/>
    <w:rsid w:val="000A2D7C"/>
    <w:rsid w:val="000C18B5"/>
    <w:rsid w:val="000C2EDB"/>
    <w:rsid w:val="000F0C22"/>
    <w:rsid w:val="000F6B09"/>
    <w:rsid w:val="000F6FDC"/>
    <w:rsid w:val="00104567"/>
    <w:rsid w:val="0012732D"/>
    <w:rsid w:val="00146A2C"/>
    <w:rsid w:val="00154FC9"/>
    <w:rsid w:val="001556BB"/>
    <w:rsid w:val="001636AE"/>
    <w:rsid w:val="00163A73"/>
    <w:rsid w:val="001657B3"/>
    <w:rsid w:val="00184F38"/>
    <w:rsid w:val="0019241A"/>
    <w:rsid w:val="00195760"/>
    <w:rsid w:val="001A5335"/>
    <w:rsid w:val="001A752D"/>
    <w:rsid w:val="001C6267"/>
    <w:rsid w:val="001D2BA0"/>
    <w:rsid w:val="001D6B55"/>
    <w:rsid w:val="001E3B0C"/>
    <w:rsid w:val="00201079"/>
    <w:rsid w:val="00202A4A"/>
    <w:rsid w:val="00203AA1"/>
    <w:rsid w:val="0020756D"/>
    <w:rsid w:val="00210DB6"/>
    <w:rsid w:val="00213E98"/>
    <w:rsid w:val="00223EB0"/>
    <w:rsid w:val="0027341F"/>
    <w:rsid w:val="00274D57"/>
    <w:rsid w:val="0027622E"/>
    <w:rsid w:val="00284057"/>
    <w:rsid w:val="002A5A31"/>
    <w:rsid w:val="002C33F6"/>
    <w:rsid w:val="002C5FCF"/>
    <w:rsid w:val="002C6024"/>
    <w:rsid w:val="002C7294"/>
    <w:rsid w:val="002D3BE9"/>
    <w:rsid w:val="002E32F0"/>
    <w:rsid w:val="002F460C"/>
    <w:rsid w:val="002F48D6"/>
    <w:rsid w:val="003068E5"/>
    <w:rsid w:val="00306D95"/>
    <w:rsid w:val="003426AD"/>
    <w:rsid w:val="003507C6"/>
    <w:rsid w:val="0035090C"/>
    <w:rsid w:val="00353858"/>
    <w:rsid w:val="00353ADE"/>
    <w:rsid w:val="00354899"/>
    <w:rsid w:val="00355FD6"/>
    <w:rsid w:val="00361C8E"/>
    <w:rsid w:val="00364A5C"/>
    <w:rsid w:val="003657F4"/>
    <w:rsid w:val="0036612A"/>
    <w:rsid w:val="00373FB1"/>
    <w:rsid w:val="003844BD"/>
    <w:rsid w:val="003853C2"/>
    <w:rsid w:val="003A1E2A"/>
    <w:rsid w:val="003A4CAB"/>
    <w:rsid w:val="003B19C5"/>
    <w:rsid w:val="003B30D8"/>
    <w:rsid w:val="003B3D71"/>
    <w:rsid w:val="003B7EF2"/>
    <w:rsid w:val="003C1E6E"/>
    <w:rsid w:val="003C3FA4"/>
    <w:rsid w:val="003C6300"/>
    <w:rsid w:val="003F2B0C"/>
    <w:rsid w:val="00410729"/>
    <w:rsid w:val="00410B89"/>
    <w:rsid w:val="00415D62"/>
    <w:rsid w:val="004221E4"/>
    <w:rsid w:val="00422680"/>
    <w:rsid w:val="004247A6"/>
    <w:rsid w:val="00453BEC"/>
    <w:rsid w:val="00460CBD"/>
    <w:rsid w:val="00471088"/>
    <w:rsid w:val="00482228"/>
    <w:rsid w:val="00483AF9"/>
    <w:rsid w:val="00491CAE"/>
    <w:rsid w:val="00496FED"/>
    <w:rsid w:val="004B1CCB"/>
    <w:rsid w:val="004B69BB"/>
    <w:rsid w:val="004D7273"/>
    <w:rsid w:val="004D73A5"/>
    <w:rsid w:val="004D76E8"/>
    <w:rsid w:val="004E6BC9"/>
    <w:rsid w:val="00503818"/>
    <w:rsid w:val="00503E05"/>
    <w:rsid w:val="00512415"/>
    <w:rsid w:val="00515B32"/>
    <w:rsid w:val="00517824"/>
    <w:rsid w:val="0053061F"/>
    <w:rsid w:val="00532CF5"/>
    <w:rsid w:val="00541DC3"/>
    <w:rsid w:val="005433A8"/>
    <w:rsid w:val="00547665"/>
    <w:rsid w:val="005528CB"/>
    <w:rsid w:val="0055667E"/>
    <w:rsid w:val="00566771"/>
    <w:rsid w:val="00581E2E"/>
    <w:rsid w:val="00584F15"/>
    <w:rsid w:val="005A6608"/>
    <w:rsid w:val="005B143B"/>
    <w:rsid w:val="005B2B7C"/>
    <w:rsid w:val="005C0562"/>
    <w:rsid w:val="005D1696"/>
    <w:rsid w:val="005D5F2D"/>
    <w:rsid w:val="005E01AB"/>
    <w:rsid w:val="005E779D"/>
    <w:rsid w:val="00613BD0"/>
    <w:rsid w:val="006163F7"/>
    <w:rsid w:val="00626AFF"/>
    <w:rsid w:val="0063195B"/>
    <w:rsid w:val="00635605"/>
    <w:rsid w:val="00635A4D"/>
    <w:rsid w:val="00646D5C"/>
    <w:rsid w:val="00651C8B"/>
    <w:rsid w:val="00652606"/>
    <w:rsid w:val="00663E5F"/>
    <w:rsid w:val="00673E66"/>
    <w:rsid w:val="00682754"/>
    <w:rsid w:val="00693BF5"/>
    <w:rsid w:val="006A1285"/>
    <w:rsid w:val="006A1979"/>
    <w:rsid w:val="006A58A9"/>
    <w:rsid w:val="006A606D"/>
    <w:rsid w:val="006B03E0"/>
    <w:rsid w:val="006B56C4"/>
    <w:rsid w:val="006B7F7A"/>
    <w:rsid w:val="006C0371"/>
    <w:rsid w:val="006C08B6"/>
    <w:rsid w:val="006C0B1A"/>
    <w:rsid w:val="006C4384"/>
    <w:rsid w:val="006C6065"/>
    <w:rsid w:val="006C7F9F"/>
    <w:rsid w:val="006D6BDC"/>
    <w:rsid w:val="006E0E61"/>
    <w:rsid w:val="006E2F6D"/>
    <w:rsid w:val="006E58F6"/>
    <w:rsid w:val="006E6D63"/>
    <w:rsid w:val="006E77E1"/>
    <w:rsid w:val="006F131D"/>
    <w:rsid w:val="006F1D9E"/>
    <w:rsid w:val="006F2ACB"/>
    <w:rsid w:val="006F42D6"/>
    <w:rsid w:val="006F610E"/>
    <w:rsid w:val="007029EE"/>
    <w:rsid w:val="00703C1B"/>
    <w:rsid w:val="007068B6"/>
    <w:rsid w:val="00714E0E"/>
    <w:rsid w:val="00715F7A"/>
    <w:rsid w:val="00716829"/>
    <w:rsid w:val="00717777"/>
    <w:rsid w:val="00720BC1"/>
    <w:rsid w:val="00735B29"/>
    <w:rsid w:val="00743BB1"/>
    <w:rsid w:val="0074799E"/>
    <w:rsid w:val="00752BCD"/>
    <w:rsid w:val="0075347A"/>
    <w:rsid w:val="00766DA1"/>
    <w:rsid w:val="00783C5C"/>
    <w:rsid w:val="007866A6"/>
    <w:rsid w:val="00793923"/>
    <w:rsid w:val="007A130D"/>
    <w:rsid w:val="007A29AF"/>
    <w:rsid w:val="007C14BC"/>
    <w:rsid w:val="007D4102"/>
    <w:rsid w:val="007E5921"/>
    <w:rsid w:val="007E6082"/>
    <w:rsid w:val="007F4370"/>
    <w:rsid w:val="007F7215"/>
    <w:rsid w:val="00805A4D"/>
    <w:rsid w:val="00816CE9"/>
    <w:rsid w:val="00821FFC"/>
    <w:rsid w:val="00826A9E"/>
    <w:rsid w:val="008271CA"/>
    <w:rsid w:val="008420EC"/>
    <w:rsid w:val="00843338"/>
    <w:rsid w:val="008467D5"/>
    <w:rsid w:val="00856D9F"/>
    <w:rsid w:val="00860AED"/>
    <w:rsid w:val="00862019"/>
    <w:rsid w:val="00866F6D"/>
    <w:rsid w:val="00877A90"/>
    <w:rsid w:val="00890A01"/>
    <w:rsid w:val="008A4DC4"/>
    <w:rsid w:val="008C4C1E"/>
    <w:rsid w:val="008D27ED"/>
    <w:rsid w:val="008D58DF"/>
    <w:rsid w:val="008F2EF2"/>
    <w:rsid w:val="009055B5"/>
    <w:rsid w:val="009067A4"/>
    <w:rsid w:val="0090722E"/>
    <w:rsid w:val="00911682"/>
    <w:rsid w:val="00911E3C"/>
    <w:rsid w:val="00912FDA"/>
    <w:rsid w:val="00915B0A"/>
    <w:rsid w:val="009237E8"/>
    <w:rsid w:val="009340DB"/>
    <w:rsid w:val="00934C6D"/>
    <w:rsid w:val="00972498"/>
    <w:rsid w:val="00974CC6"/>
    <w:rsid w:val="00976AD4"/>
    <w:rsid w:val="009836B2"/>
    <w:rsid w:val="009A2947"/>
    <w:rsid w:val="009A312F"/>
    <w:rsid w:val="009A5348"/>
    <w:rsid w:val="009A5CBE"/>
    <w:rsid w:val="009A67BB"/>
    <w:rsid w:val="009C159A"/>
    <w:rsid w:val="009C76D5"/>
    <w:rsid w:val="009D039A"/>
    <w:rsid w:val="009F6C5F"/>
    <w:rsid w:val="009F7AA4"/>
    <w:rsid w:val="00A11688"/>
    <w:rsid w:val="00A14E88"/>
    <w:rsid w:val="00A31E8B"/>
    <w:rsid w:val="00A44F74"/>
    <w:rsid w:val="00A559DB"/>
    <w:rsid w:val="00A57247"/>
    <w:rsid w:val="00A6183E"/>
    <w:rsid w:val="00A829C4"/>
    <w:rsid w:val="00A840C3"/>
    <w:rsid w:val="00A86BCC"/>
    <w:rsid w:val="00A92AAE"/>
    <w:rsid w:val="00A95027"/>
    <w:rsid w:val="00A979C5"/>
    <w:rsid w:val="00AC161A"/>
    <w:rsid w:val="00AC5959"/>
    <w:rsid w:val="00AC5D87"/>
    <w:rsid w:val="00AD7509"/>
    <w:rsid w:val="00AE258F"/>
    <w:rsid w:val="00AE4DBA"/>
    <w:rsid w:val="00AF35FC"/>
    <w:rsid w:val="00AF7FCF"/>
    <w:rsid w:val="00B03639"/>
    <w:rsid w:val="00B0652A"/>
    <w:rsid w:val="00B36BD8"/>
    <w:rsid w:val="00B3757D"/>
    <w:rsid w:val="00B40937"/>
    <w:rsid w:val="00B423EF"/>
    <w:rsid w:val="00B453DE"/>
    <w:rsid w:val="00B465C8"/>
    <w:rsid w:val="00B4742F"/>
    <w:rsid w:val="00B52180"/>
    <w:rsid w:val="00B60E1A"/>
    <w:rsid w:val="00B64ED9"/>
    <w:rsid w:val="00B67ECF"/>
    <w:rsid w:val="00B70050"/>
    <w:rsid w:val="00B77AA6"/>
    <w:rsid w:val="00B901F9"/>
    <w:rsid w:val="00B91054"/>
    <w:rsid w:val="00B92871"/>
    <w:rsid w:val="00BA51BD"/>
    <w:rsid w:val="00BC4548"/>
    <w:rsid w:val="00BD09FE"/>
    <w:rsid w:val="00BD2AE7"/>
    <w:rsid w:val="00BD6EFB"/>
    <w:rsid w:val="00BE01F0"/>
    <w:rsid w:val="00BF5323"/>
    <w:rsid w:val="00C047EE"/>
    <w:rsid w:val="00C127B8"/>
    <w:rsid w:val="00C13D8D"/>
    <w:rsid w:val="00C15244"/>
    <w:rsid w:val="00C15BE2"/>
    <w:rsid w:val="00C22219"/>
    <w:rsid w:val="00C3447F"/>
    <w:rsid w:val="00C46D65"/>
    <w:rsid w:val="00C63A8B"/>
    <w:rsid w:val="00C74EB1"/>
    <w:rsid w:val="00C81491"/>
    <w:rsid w:val="00C815A5"/>
    <w:rsid w:val="00C81676"/>
    <w:rsid w:val="00C9032D"/>
    <w:rsid w:val="00C9126F"/>
    <w:rsid w:val="00C92CC4"/>
    <w:rsid w:val="00CA0AFB"/>
    <w:rsid w:val="00CA265A"/>
    <w:rsid w:val="00CA2952"/>
    <w:rsid w:val="00CA2CE1"/>
    <w:rsid w:val="00CA36D2"/>
    <w:rsid w:val="00CA377F"/>
    <w:rsid w:val="00CA3976"/>
    <w:rsid w:val="00CA757B"/>
    <w:rsid w:val="00CB179F"/>
    <w:rsid w:val="00CB6B09"/>
    <w:rsid w:val="00CC1787"/>
    <w:rsid w:val="00CC182C"/>
    <w:rsid w:val="00CC6523"/>
    <w:rsid w:val="00CC6C6F"/>
    <w:rsid w:val="00CC6E5E"/>
    <w:rsid w:val="00CD0824"/>
    <w:rsid w:val="00CD2908"/>
    <w:rsid w:val="00CE3C11"/>
    <w:rsid w:val="00CF7B82"/>
    <w:rsid w:val="00D03A82"/>
    <w:rsid w:val="00D040AA"/>
    <w:rsid w:val="00D10AA8"/>
    <w:rsid w:val="00D11F72"/>
    <w:rsid w:val="00D12462"/>
    <w:rsid w:val="00D15344"/>
    <w:rsid w:val="00D16076"/>
    <w:rsid w:val="00D20BBF"/>
    <w:rsid w:val="00D21BAE"/>
    <w:rsid w:val="00D23448"/>
    <w:rsid w:val="00D23A9B"/>
    <w:rsid w:val="00D31BEC"/>
    <w:rsid w:val="00D31C94"/>
    <w:rsid w:val="00D35CA3"/>
    <w:rsid w:val="00D45785"/>
    <w:rsid w:val="00D5426E"/>
    <w:rsid w:val="00D55FE0"/>
    <w:rsid w:val="00D63150"/>
    <w:rsid w:val="00D64A32"/>
    <w:rsid w:val="00D64EFC"/>
    <w:rsid w:val="00D72E3A"/>
    <w:rsid w:val="00D74E0F"/>
    <w:rsid w:val="00D75295"/>
    <w:rsid w:val="00D756E0"/>
    <w:rsid w:val="00D76CE9"/>
    <w:rsid w:val="00D90A76"/>
    <w:rsid w:val="00D9145D"/>
    <w:rsid w:val="00D91679"/>
    <w:rsid w:val="00D97F12"/>
    <w:rsid w:val="00DB42E7"/>
    <w:rsid w:val="00DB76D3"/>
    <w:rsid w:val="00DB77BD"/>
    <w:rsid w:val="00DD1FEE"/>
    <w:rsid w:val="00DD4CA1"/>
    <w:rsid w:val="00DD7FD8"/>
    <w:rsid w:val="00DE3A70"/>
    <w:rsid w:val="00DE649A"/>
    <w:rsid w:val="00DF2793"/>
    <w:rsid w:val="00DF32C2"/>
    <w:rsid w:val="00DF7736"/>
    <w:rsid w:val="00E00C0B"/>
    <w:rsid w:val="00E0113B"/>
    <w:rsid w:val="00E02E19"/>
    <w:rsid w:val="00E066DF"/>
    <w:rsid w:val="00E074AB"/>
    <w:rsid w:val="00E4560F"/>
    <w:rsid w:val="00E45AA4"/>
    <w:rsid w:val="00E471A7"/>
    <w:rsid w:val="00E5077E"/>
    <w:rsid w:val="00E5430B"/>
    <w:rsid w:val="00E635CF"/>
    <w:rsid w:val="00E816B8"/>
    <w:rsid w:val="00E8617A"/>
    <w:rsid w:val="00EB5410"/>
    <w:rsid w:val="00EC6E0A"/>
    <w:rsid w:val="00ED479D"/>
    <w:rsid w:val="00ED4E18"/>
    <w:rsid w:val="00ED5FDD"/>
    <w:rsid w:val="00EE1322"/>
    <w:rsid w:val="00EE1F37"/>
    <w:rsid w:val="00EE32EB"/>
    <w:rsid w:val="00EE3B15"/>
    <w:rsid w:val="00EF06EC"/>
    <w:rsid w:val="00F0159C"/>
    <w:rsid w:val="00F01BBC"/>
    <w:rsid w:val="00F03C6A"/>
    <w:rsid w:val="00F105B7"/>
    <w:rsid w:val="00F1219D"/>
    <w:rsid w:val="00F12E1E"/>
    <w:rsid w:val="00F17A21"/>
    <w:rsid w:val="00F2151D"/>
    <w:rsid w:val="00F24D0F"/>
    <w:rsid w:val="00F34957"/>
    <w:rsid w:val="00F405F3"/>
    <w:rsid w:val="00F4279D"/>
    <w:rsid w:val="00F4353C"/>
    <w:rsid w:val="00F50E91"/>
    <w:rsid w:val="00F5722F"/>
    <w:rsid w:val="00F57D29"/>
    <w:rsid w:val="00F57E34"/>
    <w:rsid w:val="00F7408E"/>
    <w:rsid w:val="00F81A3C"/>
    <w:rsid w:val="00F92A99"/>
    <w:rsid w:val="00F953B9"/>
    <w:rsid w:val="00F96201"/>
    <w:rsid w:val="00FB3D5E"/>
    <w:rsid w:val="00FB69A9"/>
    <w:rsid w:val="00FC30E9"/>
    <w:rsid w:val="00FD0B18"/>
    <w:rsid w:val="00FD0F82"/>
    <w:rsid w:val="00FD59B8"/>
    <w:rsid w:val="00FE714F"/>
    <w:rsid w:val="00FF0189"/>
    <w:rsid w:val="00FF1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95538F6"/>
  <w15:docId w15:val="{EB1A57E6-0301-4297-AB82-BA5E2A0B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B69BB"/>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6B03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6B03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33AD3"/>
    <w:pPr>
      <w:jc w:val="both"/>
    </w:pPr>
    <w:rPr>
      <w:sz w:val="22"/>
      <w:szCs w:val="22"/>
    </w:rPr>
  </w:style>
  <w:style w:type="character" w:customStyle="1" w:styleId="BodyTextMainChar">
    <w:name w:val="Body Text Main Char"/>
    <w:basedOn w:val="DefaultParagraphFont"/>
    <w:link w:val="BodyTextMain"/>
    <w:rsid w:val="00033AD3"/>
    <w:rPr>
      <w:rFonts w:ascii="Times New Roman" w:eastAsia="Times New Roman" w:hAnsi="Times New Roman" w:cs="Times New Roman"/>
      <w:lang w:val="en-GB"/>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DB76D3"/>
    <w:rPr>
      <w:b w:val="0"/>
      <w:color w:val="auto"/>
      <w:vertAlign w:val="superscript"/>
    </w:rPr>
  </w:style>
  <w:style w:type="paragraph" w:customStyle="1" w:styleId="Footnote">
    <w:name w:val="Footnote"/>
    <w:basedOn w:val="FootnoteText"/>
    <w:link w:val="FootnoteChar"/>
    <w:qFormat/>
    <w:rsid w:val="00DB76D3"/>
    <w:pPr>
      <w:jc w:val="both"/>
    </w:pPr>
    <w:rPr>
      <w:rFonts w:ascii="Arial" w:hAnsi="Arial" w:cs="Arial"/>
      <w:sz w:val="17"/>
      <w:szCs w:val="17"/>
    </w:rPr>
  </w:style>
  <w:style w:type="character" w:customStyle="1" w:styleId="FootnoteChar">
    <w:name w:val="Footnote Char"/>
    <w:basedOn w:val="FootnoteTextChar"/>
    <w:link w:val="Footnote"/>
    <w:rsid w:val="00DB76D3"/>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lang w:val="en-GB"/>
    </w:rPr>
  </w:style>
  <w:style w:type="paragraph" w:customStyle="1" w:styleId="ExhibitNumber">
    <w:name w:val="Exhibit Number"/>
    <w:basedOn w:val="BodyTextMain"/>
    <w:link w:val="ExhibitNumberChar"/>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lang w:val="en-GB"/>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lang w:val="en-GB"/>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1Char">
    <w:name w:val="Heading 1 Char"/>
    <w:basedOn w:val="DefaultParagraphFont"/>
    <w:link w:val="Heading1"/>
    <w:uiPriority w:val="9"/>
    <w:rsid w:val="006B03E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6B03E0"/>
    <w:rPr>
      <w:rFonts w:asciiTheme="majorHAnsi" w:eastAsiaTheme="majorEastAsia" w:hAnsiTheme="majorHAnsi" w:cstheme="majorBidi"/>
      <w:b/>
      <w:bCs/>
      <w:color w:val="4F81BD" w:themeColor="accent1"/>
      <w:sz w:val="26"/>
      <w:szCs w:val="26"/>
    </w:rPr>
  </w:style>
  <w:style w:type="paragraph" w:customStyle="1" w:styleId="Default">
    <w:name w:val="Default"/>
    <w:rsid w:val="006B03E0"/>
    <w:pPr>
      <w:widowControl w:val="0"/>
      <w:autoSpaceDE w:val="0"/>
      <w:autoSpaceDN w:val="0"/>
      <w:adjustRightInd w:val="0"/>
      <w:spacing w:after="0" w:line="240" w:lineRule="auto"/>
    </w:pPr>
    <w:rPr>
      <w:rFonts w:ascii="Code" w:eastAsiaTheme="minorEastAsia" w:hAnsi="Code" w:cs="Code"/>
      <w:color w:val="000000"/>
      <w:sz w:val="24"/>
      <w:szCs w:val="24"/>
    </w:rPr>
  </w:style>
  <w:style w:type="character" w:styleId="PageNumber">
    <w:name w:val="page number"/>
    <w:basedOn w:val="DefaultParagraphFont"/>
    <w:uiPriority w:val="99"/>
    <w:semiHidden/>
    <w:unhideWhenUsed/>
    <w:rsid w:val="006B03E0"/>
  </w:style>
  <w:style w:type="character" w:styleId="FollowedHyperlink">
    <w:name w:val="FollowedHyperlink"/>
    <w:basedOn w:val="DefaultParagraphFont"/>
    <w:uiPriority w:val="99"/>
    <w:semiHidden/>
    <w:unhideWhenUsed/>
    <w:rsid w:val="006B03E0"/>
    <w:rPr>
      <w:color w:val="800080" w:themeColor="followedHyperlink"/>
      <w:u w:val="single"/>
    </w:rPr>
  </w:style>
  <w:style w:type="paragraph" w:customStyle="1" w:styleId="cashead1">
    <w:name w:val="cashead 1"/>
    <w:basedOn w:val="Heading1"/>
    <w:rsid w:val="006B03E0"/>
  </w:style>
  <w:style w:type="paragraph" w:styleId="DocumentMap">
    <w:name w:val="Document Map"/>
    <w:basedOn w:val="Normal"/>
    <w:link w:val="DocumentMapChar"/>
    <w:uiPriority w:val="99"/>
    <w:semiHidden/>
    <w:unhideWhenUsed/>
    <w:rsid w:val="009A294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A2947"/>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3344">
      <w:bodyDiv w:val="1"/>
      <w:marLeft w:val="0"/>
      <w:marRight w:val="0"/>
      <w:marTop w:val="0"/>
      <w:marBottom w:val="0"/>
      <w:divBdr>
        <w:top w:val="none" w:sz="0" w:space="0" w:color="auto"/>
        <w:left w:val="none" w:sz="0" w:space="0" w:color="auto"/>
        <w:bottom w:val="none" w:sz="0" w:space="0" w:color="auto"/>
        <w:right w:val="none" w:sz="0" w:space="0" w:color="auto"/>
      </w:divBdr>
    </w:div>
    <w:div w:id="67532812">
      <w:bodyDiv w:val="1"/>
      <w:marLeft w:val="0"/>
      <w:marRight w:val="0"/>
      <w:marTop w:val="0"/>
      <w:marBottom w:val="0"/>
      <w:divBdr>
        <w:top w:val="none" w:sz="0" w:space="0" w:color="auto"/>
        <w:left w:val="none" w:sz="0" w:space="0" w:color="auto"/>
        <w:bottom w:val="none" w:sz="0" w:space="0" w:color="auto"/>
        <w:right w:val="none" w:sz="0" w:space="0" w:color="auto"/>
      </w:divBdr>
    </w:div>
    <w:div w:id="300549030">
      <w:bodyDiv w:val="1"/>
      <w:marLeft w:val="0"/>
      <w:marRight w:val="0"/>
      <w:marTop w:val="0"/>
      <w:marBottom w:val="0"/>
      <w:divBdr>
        <w:top w:val="none" w:sz="0" w:space="0" w:color="auto"/>
        <w:left w:val="none" w:sz="0" w:space="0" w:color="auto"/>
        <w:bottom w:val="none" w:sz="0" w:space="0" w:color="auto"/>
        <w:right w:val="none" w:sz="0" w:space="0" w:color="auto"/>
      </w:divBdr>
    </w:div>
    <w:div w:id="402724000">
      <w:bodyDiv w:val="1"/>
      <w:marLeft w:val="0"/>
      <w:marRight w:val="0"/>
      <w:marTop w:val="0"/>
      <w:marBottom w:val="0"/>
      <w:divBdr>
        <w:top w:val="none" w:sz="0" w:space="0" w:color="auto"/>
        <w:left w:val="none" w:sz="0" w:space="0" w:color="auto"/>
        <w:bottom w:val="none" w:sz="0" w:space="0" w:color="auto"/>
        <w:right w:val="none" w:sz="0" w:space="0" w:color="auto"/>
      </w:divBdr>
    </w:div>
    <w:div w:id="551499768">
      <w:bodyDiv w:val="1"/>
      <w:marLeft w:val="0"/>
      <w:marRight w:val="0"/>
      <w:marTop w:val="0"/>
      <w:marBottom w:val="0"/>
      <w:divBdr>
        <w:top w:val="none" w:sz="0" w:space="0" w:color="auto"/>
        <w:left w:val="none" w:sz="0" w:space="0" w:color="auto"/>
        <w:bottom w:val="none" w:sz="0" w:space="0" w:color="auto"/>
        <w:right w:val="none" w:sz="0" w:space="0" w:color="auto"/>
      </w:divBdr>
    </w:div>
    <w:div w:id="1411732250">
      <w:bodyDiv w:val="1"/>
      <w:marLeft w:val="0"/>
      <w:marRight w:val="0"/>
      <w:marTop w:val="0"/>
      <w:marBottom w:val="0"/>
      <w:divBdr>
        <w:top w:val="none" w:sz="0" w:space="0" w:color="auto"/>
        <w:left w:val="none" w:sz="0" w:space="0" w:color="auto"/>
        <w:bottom w:val="none" w:sz="0" w:space="0" w:color="auto"/>
        <w:right w:val="none" w:sz="0" w:space="0" w:color="auto"/>
      </w:divBdr>
    </w:div>
    <w:div w:id="166627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F63F2-F6C0-4D87-955F-1B299CBC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5743</Words>
  <Characters>32740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2017-05-02T03:50:00Z</cp:lastPrinted>
  <dcterms:created xsi:type="dcterms:W3CDTF">2017-05-02T13:52:00Z</dcterms:created>
  <dcterms:modified xsi:type="dcterms:W3CDTF">2017-05-17T19:54:00Z</dcterms:modified>
</cp:coreProperties>
</file>