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0B59D" w14:textId="77777777" w:rsidR="00856D9F" w:rsidRDefault="00D57EF0" w:rsidP="008467D5">
      <w:pPr>
        <w:pBdr>
          <w:bottom w:val="single" w:sz="18" w:space="1" w:color="auto"/>
        </w:pBdr>
        <w:tabs>
          <w:tab w:val="left" w:pos="-1440"/>
          <w:tab w:val="left" w:pos="-720"/>
          <w:tab w:val="left" w:pos="1"/>
        </w:tabs>
        <w:rPr>
          <w:rFonts w:ascii="Arial" w:hAnsi="Arial"/>
          <w:b/>
          <w:sz w:val="24"/>
        </w:rPr>
      </w:pPr>
      <w:r w:rsidRPr="00D57EF0">
        <w:rPr>
          <w:rFonts w:ascii="Arial" w:hAnsi="Arial"/>
          <w:b/>
          <w:noProof/>
          <w:sz w:val="24"/>
          <w:lang w:val="en-US"/>
        </w:rPr>
        <w:drawing>
          <wp:inline distT="0" distB="0" distL="0" distR="0" wp14:anchorId="3E752281" wp14:editId="2EB97FA3">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9A4174F" w14:textId="77777777" w:rsidR="00D57EF0" w:rsidRDefault="00D57EF0" w:rsidP="008467D5">
      <w:pPr>
        <w:pBdr>
          <w:bottom w:val="single" w:sz="18" w:space="1" w:color="auto"/>
        </w:pBdr>
        <w:tabs>
          <w:tab w:val="left" w:pos="-1440"/>
          <w:tab w:val="left" w:pos="-720"/>
          <w:tab w:val="left" w:pos="1"/>
        </w:tabs>
        <w:rPr>
          <w:rFonts w:ascii="Arial" w:hAnsi="Arial"/>
          <w:b/>
          <w:sz w:val="24"/>
        </w:rPr>
      </w:pPr>
    </w:p>
    <w:p w14:paraId="071F1249" w14:textId="486323F0" w:rsidR="00D75295" w:rsidRDefault="00D57EF0" w:rsidP="00F105B7">
      <w:pPr>
        <w:pStyle w:val="ProductNumber"/>
      </w:pPr>
      <w:r>
        <w:t>9B17M</w:t>
      </w:r>
      <w:r w:rsidR="00F8507D">
        <w:t>068</w:t>
      </w:r>
    </w:p>
    <w:p w14:paraId="4E0D332A" w14:textId="77777777" w:rsidR="00D75295" w:rsidRDefault="00D75295" w:rsidP="00D75295">
      <w:pPr>
        <w:jc w:val="right"/>
        <w:rPr>
          <w:rFonts w:ascii="Arial" w:hAnsi="Arial"/>
          <w:b/>
          <w:sz w:val="28"/>
          <w:szCs w:val="28"/>
        </w:rPr>
      </w:pPr>
    </w:p>
    <w:p w14:paraId="6B70B862" w14:textId="77777777" w:rsidR="00013360" w:rsidRPr="00361C8E" w:rsidRDefault="00F23898" w:rsidP="00013360">
      <w:pPr>
        <w:pStyle w:val="CaseTitle"/>
        <w:spacing w:after="0" w:line="240" w:lineRule="auto"/>
      </w:pPr>
      <w:r>
        <w:t>Sifton Properties: From Solar to Sewage</w:t>
      </w:r>
    </w:p>
    <w:p w14:paraId="5E5E778B" w14:textId="77777777" w:rsidR="00013360" w:rsidRDefault="00013360" w:rsidP="00013360">
      <w:pPr>
        <w:pStyle w:val="CaseTitle"/>
        <w:spacing w:after="0" w:line="240" w:lineRule="auto"/>
        <w:rPr>
          <w:sz w:val="20"/>
          <w:szCs w:val="20"/>
        </w:rPr>
      </w:pPr>
    </w:p>
    <w:p w14:paraId="691CF7B8" w14:textId="77777777" w:rsidR="00CA3976" w:rsidRDefault="00CA3976" w:rsidP="00013360">
      <w:pPr>
        <w:pStyle w:val="CaseTitle"/>
        <w:spacing w:after="0" w:line="240" w:lineRule="auto"/>
        <w:rPr>
          <w:sz w:val="20"/>
          <w:szCs w:val="20"/>
        </w:rPr>
      </w:pPr>
    </w:p>
    <w:p w14:paraId="17584116" w14:textId="77777777" w:rsidR="00013360" w:rsidRPr="00013360" w:rsidRDefault="00013360" w:rsidP="00013360">
      <w:pPr>
        <w:pStyle w:val="CaseTitle"/>
        <w:spacing w:after="0" w:line="240" w:lineRule="auto"/>
        <w:rPr>
          <w:sz w:val="20"/>
          <w:szCs w:val="20"/>
        </w:rPr>
      </w:pPr>
    </w:p>
    <w:p w14:paraId="2FC5AA68" w14:textId="77777777" w:rsidR="00013360" w:rsidRDefault="00B15EE2" w:rsidP="00104567">
      <w:pPr>
        <w:pStyle w:val="StyleCopyrightStatementAfter0ptBottomSinglesolidline1"/>
      </w:pPr>
      <w:r>
        <w:t xml:space="preserve">Derek Butcher, </w:t>
      </w:r>
      <w:r w:rsidR="00F23898">
        <w:t>Francine Schlosser</w:t>
      </w:r>
      <w:r>
        <w:t>, and Nicole Anderson</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4D272136" w14:textId="77777777" w:rsidR="00013360" w:rsidRDefault="00013360" w:rsidP="00104567">
      <w:pPr>
        <w:pStyle w:val="StyleCopyrightStatementAfter0ptBottomSinglesolidline1"/>
      </w:pPr>
    </w:p>
    <w:p w14:paraId="7131EEC1" w14:textId="77777777" w:rsidR="00D57EF0" w:rsidRPr="00E23AB7" w:rsidRDefault="00D57EF0" w:rsidP="00FF1EC1">
      <w:pPr>
        <w:tabs>
          <w:tab w:val="right" w:pos="9360"/>
        </w:tabs>
        <w:autoSpaceDE w:val="0"/>
        <w:autoSpaceDN w:val="0"/>
        <w:adjustRightInd w:val="0"/>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3A14FA9" w14:textId="77777777" w:rsidR="00D57EF0" w:rsidRPr="00E23AB7" w:rsidRDefault="00D57EF0" w:rsidP="00FF1EC1">
      <w:pPr>
        <w:tabs>
          <w:tab w:val="right" w:pos="9360"/>
        </w:tabs>
        <w:autoSpaceDE w:val="0"/>
        <w:autoSpaceDN w:val="0"/>
        <w:adjustRightInd w:val="0"/>
        <w:textAlignment w:val="center"/>
        <w:rPr>
          <w:rFonts w:ascii="Arial" w:hAnsi="Arial"/>
          <w:i/>
          <w:iCs/>
          <w:color w:val="000000"/>
          <w:sz w:val="16"/>
        </w:rPr>
      </w:pPr>
    </w:p>
    <w:p w14:paraId="7E79CF72" w14:textId="6D50813C" w:rsidR="003B7EF2" w:rsidRDefault="00D57EF0" w:rsidP="003B7EF2">
      <w:pPr>
        <w:pStyle w:val="StyleStyleCopyrightStatementAfter0ptBottomSinglesolid"/>
      </w:pPr>
      <w:r w:rsidRPr="00A608B8">
        <w:rPr>
          <w:rFonts w:cstheme="minorBidi"/>
        </w:rPr>
        <w:t>Copyright © 201</w:t>
      </w:r>
      <w:r>
        <w:rPr>
          <w:rFonts w:cstheme="minorBidi"/>
        </w:rPr>
        <w:t>7</w:t>
      </w:r>
      <w:r w:rsidRPr="00A608B8">
        <w:rPr>
          <w:rFonts w:cstheme="minorBidi"/>
        </w:rPr>
        <w:t>, Richard Ivey School of Business Foundation</w:t>
      </w:r>
      <w:r w:rsidR="003B7EF2">
        <w:tab/>
        <w:t xml:space="preserve">Version: </w:t>
      </w:r>
      <w:r w:rsidR="00361C8E">
        <w:t>201</w:t>
      </w:r>
      <w:r w:rsidR="009C5B5E">
        <w:t>7</w:t>
      </w:r>
      <w:r w:rsidR="00361C8E">
        <w:t>-</w:t>
      </w:r>
      <w:r w:rsidR="001E19A7">
        <w:t>0</w:t>
      </w:r>
      <w:r w:rsidR="00442673">
        <w:t>6</w:t>
      </w:r>
      <w:r w:rsidR="00361C8E">
        <w:t>-</w:t>
      </w:r>
      <w:r w:rsidR="007E78A6">
        <w:t>0</w:t>
      </w:r>
      <w:r w:rsidR="00442673">
        <w:t>2</w:t>
      </w:r>
      <w:bookmarkStart w:id="0" w:name="_GoBack"/>
      <w:bookmarkEnd w:id="0"/>
    </w:p>
    <w:p w14:paraId="22184C71" w14:textId="77777777" w:rsidR="003B7EF2" w:rsidRPr="003B7EF2" w:rsidRDefault="003B7EF2" w:rsidP="00104567">
      <w:pPr>
        <w:pStyle w:val="StyleCopyrightStatementAfter0ptBottomSinglesolidline1"/>
        <w:rPr>
          <w:rFonts w:ascii="Times New Roman" w:hAnsi="Times New Roman"/>
          <w:sz w:val="20"/>
        </w:rPr>
      </w:pPr>
    </w:p>
    <w:p w14:paraId="193940A1" w14:textId="77777777" w:rsidR="003B7EF2" w:rsidRDefault="003B7EF2" w:rsidP="00471088">
      <w:pPr>
        <w:pStyle w:val="StyleCopyrightStatementAfter0ptBottomSinglesolidline1"/>
        <w:pBdr>
          <w:top w:val="none" w:sz="0" w:space="0" w:color="auto"/>
        </w:pBdr>
        <w:rPr>
          <w:rFonts w:ascii="Times New Roman" w:hAnsi="Times New Roman"/>
          <w:i w:val="0"/>
          <w:sz w:val="22"/>
          <w:szCs w:val="22"/>
        </w:rPr>
      </w:pPr>
    </w:p>
    <w:p w14:paraId="44710F18" w14:textId="10437D1B" w:rsidR="00F23898" w:rsidRPr="00F23898" w:rsidRDefault="008938E2" w:rsidP="00F23898">
      <w:pPr>
        <w:pStyle w:val="BodyTextMain"/>
      </w:pPr>
      <w:r>
        <w:t>On</w:t>
      </w:r>
      <w:r w:rsidR="00F23898" w:rsidRPr="00F23898">
        <w:t xml:space="preserve"> August 17, 2012</w:t>
      </w:r>
      <w:r w:rsidR="00D45F51">
        <w:t>,</w:t>
      </w:r>
      <w:r w:rsidR="00F23898" w:rsidRPr="00F23898">
        <w:t xml:space="preserve"> Ryan Troup had been working tirelessly for the past 14 weeks during his </w:t>
      </w:r>
      <w:r w:rsidR="00626130" w:rsidRPr="00106F91">
        <w:t>MBA</w:t>
      </w:r>
      <w:r w:rsidR="00F23898" w:rsidRPr="00F23898">
        <w:t xml:space="preserve"> internship placement w</w:t>
      </w:r>
      <w:r w:rsidR="00F23898">
        <w:t xml:space="preserve">ith </w:t>
      </w:r>
      <w:proofErr w:type="spellStart"/>
      <w:r w:rsidR="00F23898">
        <w:t>Sifton</w:t>
      </w:r>
      <w:proofErr w:type="spellEnd"/>
      <w:r w:rsidR="00F23898">
        <w:t xml:space="preserve"> Properties Limited</w:t>
      </w:r>
      <w:r w:rsidR="00D45F51">
        <w:t xml:space="preserve"> </w:t>
      </w:r>
      <w:r w:rsidR="003434B1">
        <w:t>(</w:t>
      </w:r>
      <w:proofErr w:type="spellStart"/>
      <w:r w:rsidR="00D45F51">
        <w:t>Sifton</w:t>
      </w:r>
      <w:proofErr w:type="spellEnd"/>
      <w:r w:rsidR="00D45F51">
        <w:t>)</w:t>
      </w:r>
      <w:r w:rsidR="00F23898">
        <w:t xml:space="preserve">. </w:t>
      </w:r>
      <w:r w:rsidR="00F23898" w:rsidRPr="00F23898">
        <w:t xml:space="preserve">As the </w:t>
      </w:r>
      <w:r w:rsidR="009A19BA">
        <w:t>s</w:t>
      </w:r>
      <w:r w:rsidR="00F23898" w:rsidRPr="00F23898">
        <w:t xml:space="preserve">ustainable </w:t>
      </w:r>
      <w:r w:rsidR="009A19BA">
        <w:t>c</w:t>
      </w:r>
      <w:r w:rsidR="00F23898" w:rsidRPr="00F23898">
        <w:t xml:space="preserve">ommunity </w:t>
      </w:r>
      <w:r w:rsidR="009A19BA">
        <w:t>d</w:t>
      </w:r>
      <w:r w:rsidR="00F23898" w:rsidRPr="00F23898">
        <w:t xml:space="preserve">evelopment </w:t>
      </w:r>
      <w:r w:rsidR="009A19BA">
        <w:t>a</w:t>
      </w:r>
      <w:r w:rsidR="00F23898" w:rsidRPr="00F23898">
        <w:t xml:space="preserve">ssistant, </w:t>
      </w:r>
      <w:r w:rsidR="00A34F2B">
        <w:t>Troup</w:t>
      </w:r>
      <w:r w:rsidR="00A34F2B" w:rsidRPr="00F23898">
        <w:t xml:space="preserve"> </w:t>
      </w:r>
      <w:r w:rsidR="00F23898" w:rsidRPr="00F23898">
        <w:t xml:space="preserve">was responsible for developing financial projections for various renewable community energy systems being considered for implementation in </w:t>
      </w:r>
      <w:proofErr w:type="spellStart"/>
      <w:r w:rsidR="00F23898" w:rsidRPr="00F23898">
        <w:t>Sifton</w:t>
      </w:r>
      <w:r w:rsidR="00A25968">
        <w:t>’</w:t>
      </w:r>
      <w:r w:rsidR="00F23898" w:rsidRPr="00F23898">
        <w:t>s</w:t>
      </w:r>
      <w:proofErr w:type="spellEnd"/>
      <w:r w:rsidR="00F23898" w:rsidRPr="00F23898">
        <w:t xml:space="preserve"> new community development project: </w:t>
      </w:r>
      <w:proofErr w:type="spellStart"/>
      <w:r w:rsidR="00F23898" w:rsidRPr="00F23898">
        <w:t>RiverBend</w:t>
      </w:r>
      <w:proofErr w:type="spellEnd"/>
      <w:r w:rsidR="00F23898" w:rsidRPr="00F23898">
        <w:t xml:space="preserve"> Heights.</w:t>
      </w:r>
      <w:r w:rsidR="00F23898">
        <w:t xml:space="preserve"> </w:t>
      </w:r>
      <w:r w:rsidR="00F23898" w:rsidRPr="00F23898">
        <w:t xml:space="preserve">This development project was to be </w:t>
      </w:r>
      <w:proofErr w:type="spellStart"/>
      <w:r w:rsidR="00F23898" w:rsidRPr="00F23898">
        <w:t>Sifton</w:t>
      </w:r>
      <w:r w:rsidR="00A25968">
        <w:t>’</w:t>
      </w:r>
      <w:r w:rsidR="00F23898" w:rsidRPr="00F23898">
        <w:t>s</w:t>
      </w:r>
      <w:proofErr w:type="spellEnd"/>
      <w:r w:rsidR="00F23898" w:rsidRPr="00F23898">
        <w:t xml:space="preserve"> first large-scale venture into the </w:t>
      </w:r>
      <w:proofErr w:type="gramStart"/>
      <w:r w:rsidR="00F23898" w:rsidRPr="00F23898">
        <w:t>sustainable</w:t>
      </w:r>
      <w:proofErr w:type="gramEnd"/>
      <w:r w:rsidR="00F23898" w:rsidRPr="00F23898">
        <w:t xml:space="preserve"> construction industry and, as such, </w:t>
      </w:r>
      <w:r w:rsidR="00A34F2B">
        <w:t>Troup</w:t>
      </w:r>
      <w:r w:rsidR="00A25968">
        <w:t>’</w:t>
      </w:r>
      <w:r w:rsidR="00A34F2B">
        <w:t>s</w:t>
      </w:r>
      <w:r w:rsidR="00A34F2B" w:rsidRPr="00F23898">
        <w:t xml:space="preserve"> </w:t>
      </w:r>
      <w:r w:rsidR="00F23898" w:rsidRPr="00F23898">
        <w:t xml:space="preserve">background in sustainable business instantly made him the resident expert at </w:t>
      </w:r>
      <w:proofErr w:type="spellStart"/>
      <w:r w:rsidR="00F23898" w:rsidRPr="00F23898">
        <w:t>Sifton</w:t>
      </w:r>
      <w:proofErr w:type="spellEnd"/>
      <w:r w:rsidR="00F23898" w:rsidRPr="00F23898">
        <w:t>.</w:t>
      </w:r>
      <w:r w:rsidR="00F23898">
        <w:t xml:space="preserve"> </w:t>
      </w:r>
      <w:r w:rsidR="00F23898" w:rsidRPr="00F23898">
        <w:t xml:space="preserve">Consequently, </w:t>
      </w:r>
      <w:r w:rsidR="00A34F2B">
        <w:t>Troup</w:t>
      </w:r>
      <w:r w:rsidR="00A25968">
        <w:t>’</w:t>
      </w:r>
      <w:r w:rsidR="00A34F2B">
        <w:t>s</w:t>
      </w:r>
      <w:r w:rsidR="00A34F2B" w:rsidRPr="00F23898">
        <w:t xml:space="preserve"> </w:t>
      </w:r>
      <w:r w:rsidR="00F23898" w:rsidRPr="00F23898">
        <w:t xml:space="preserve">recommendations would </w:t>
      </w:r>
      <w:r w:rsidR="00777F27">
        <w:t xml:space="preserve">have a </w:t>
      </w:r>
      <w:r w:rsidR="00F23898" w:rsidRPr="00F23898">
        <w:t xml:space="preserve">significant impact </w:t>
      </w:r>
      <w:r w:rsidR="00777F27">
        <w:t xml:space="preserve">on </w:t>
      </w:r>
      <w:r w:rsidR="00F23898" w:rsidRPr="00F23898">
        <w:t>top management</w:t>
      </w:r>
      <w:r w:rsidR="00A25968">
        <w:t>’</w:t>
      </w:r>
      <w:r w:rsidR="00F23898" w:rsidRPr="00F23898">
        <w:t>s decision with the project.</w:t>
      </w:r>
      <w:r w:rsidR="00F23898">
        <w:t xml:space="preserve"> </w:t>
      </w:r>
      <w:r w:rsidR="00A34F2B">
        <w:t>Troup</w:t>
      </w:r>
      <w:r w:rsidR="00A34F2B" w:rsidRPr="00F23898">
        <w:t xml:space="preserve"> </w:t>
      </w:r>
      <w:r w:rsidR="00F23898" w:rsidRPr="00F23898">
        <w:t>knew he had to be thorough and accurate with his research</w:t>
      </w:r>
      <w:r w:rsidR="00777F27">
        <w:t>,</w:t>
      </w:r>
      <w:r w:rsidR="00F23898" w:rsidRPr="00F23898">
        <w:t xml:space="preserve"> given the distinct possibility that a poor recommendation could cost </w:t>
      </w:r>
      <w:proofErr w:type="spellStart"/>
      <w:r w:rsidR="00F23898" w:rsidRPr="00F23898">
        <w:t>Sifton</w:t>
      </w:r>
      <w:proofErr w:type="spellEnd"/>
      <w:r w:rsidR="00F23898" w:rsidRPr="00F23898">
        <w:t xml:space="preserve"> hundreds of thousands of dollars.</w:t>
      </w:r>
      <w:r w:rsidR="00F23898">
        <w:t xml:space="preserve"> </w:t>
      </w:r>
      <w:r w:rsidR="00F23898" w:rsidRPr="00F23898">
        <w:t xml:space="preserve">While he was wrestling with the possible outcomes in his head, the </w:t>
      </w:r>
      <w:r w:rsidR="003434B1">
        <w:t>p</w:t>
      </w:r>
      <w:r w:rsidR="00F23898" w:rsidRPr="00F23898">
        <w:t xml:space="preserve">roject </w:t>
      </w:r>
      <w:r w:rsidR="003434B1">
        <w:t>m</w:t>
      </w:r>
      <w:r w:rsidR="00F23898" w:rsidRPr="00F23898">
        <w:t xml:space="preserve">anager of </w:t>
      </w:r>
      <w:proofErr w:type="spellStart"/>
      <w:r w:rsidR="00AB129A">
        <w:t>Sifton’s</w:t>
      </w:r>
      <w:proofErr w:type="spellEnd"/>
      <w:r w:rsidR="00AB129A">
        <w:t xml:space="preserve"> </w:t>
      </w:r>
      <w:r w:rsidR="008A7ECC" w:rsidRPr="0009062A">
        <w:t>n</w:t>
      </w:r>
      <w:r w:rsidR="00F23898" w:rsidRPr="0009062A">
        <w:t xml:space="preserve">eighbourhood </w:t>
      </w:r>
      <w:r w:rsidR="008A7ECC" w:rsidRPr="0009062A">
        <w:t>d</w:t>
      </w:r>
      <w:r w:rsidR="00F23898" w:rsidRPr="0009062A">
        <w:t>evelopments</w:t>
      </w:r>
      <w:r w:rsidR="008A7ECC" w:rsidRPr="0009062A">
        <w:t xml:space="preserve"> department</w:t>
      </w:r>
      <w:r w:rsidR="00F23898" w:rsidRPr="0009062A">
        <w:t>, Maureen</w:t>
      </w:r>
      <w:r w:rsidR="00F23898" w:rsidRPr="00F23898">
        <w:t xml:space="preserve"> </w:t>
      </w:r>
      <w:proofErr w:type="spellStart"/>
      <w:r w:rsidR="00F23898" w:rsidRPr="00F23898">
        <w:t>Zunti</w:t>
      </w:r>
      <w:proofErr w:type="spellEnd"/>
      <w:r w:rsidR="00F23898" w:rsidRPr="00F23898">
        <w:t>, came into his office.</w:t>
      </w:r>
    </w:p>
    <w:p w14:paraId="405CE4CF" w14:textId="77777777" w:rsidR="00F23898" w:rsidRPr="00F23898" w:rsidRDefault="00F23898" w:rsidP="00F23898">
      <w:pPr>
        <w:pStyle w:val="BodyTextMain"/>
      </w:pPr>
    </w:p>
    <w:p w14:paraId="46C2B1EA" w14:textId="3CCEEE79" w:rsidR="00F23898" w:rsidRPr="00F23898" w:rsidRDefault="00A34F2B" w:rsidP="00F23898">
      <w:pPr>
        <w:pStyle w:val="BodyTextMain"/>
        <w:ind w:left="720"/>
      </w:pPr>
      <w:r>
        <w:t>Troup</w:t>
      </w:r>
      <w:r w:rsidR="00F23898" w:rsidRPr="00F23898">
        <w:t xml:space="preserve">, the </w:t>
      </w:r>
      <w:r w:rsidR="00382E30">
        <w:t>p</w:t>
      </w:r>
      <w:r w:rsidR="00F23898" w:rsidRPr="00F23898">
        <w:t>resident of the company has to go out of town next Tuesday</w:t>
      </w:r>
      <w:r w:rsidR="00777F27">
        <w:t>,</w:t>
      </w:r>
      <w:r w:rsidR="00F23898" w:rsidRPr="00F23898">
        <w:t xml:space="preserve"> so we had to reschedule your presentation to next Monday, the 20th.</w:t>
      </w:r>
      <w:r w:rsidR="00F23898">
        <w:t xml:space="preserve"> </w:t>
      </w:r>
      <w:r w:rsidR="00F23898" w:rsidRPr="00F23898">
        <w:t xml:space="preserve">He is very interested to see what you have come up with, specifically for the </w:t>
      </w:r>
      <w:r w:rsidR="00504A55" w:rsidRPr="00F23898">
        <w:t>ATES</w:t>
      </w:r>
      <w:r w:rsidR="00504A55">
        <w:t xml:space="preserve"> </w:t>
      </w:r>
      <w:r w:rsidR="001A322A">
        <w:t xml:space="preserve">[aquifer thermal energy storage] </w:t>
      </w:r>
      <w:r w:rsidR="00F23898" w:rsidRPr="00F23898">
        <w:t>system the two of you discussed at the start of your internship.</w:t>
      </w:r>
      <w:r w:rsidR="00F23898">
        <w:t xml:space="preserve"> </w:t>
      </w:r>
      <w:r w:rsidR="00F23898" w:rsidRPr="00F23898">
        <w:t>You</w:t>
      </w:r>
      <w:r w:rsidR="00A25968">
        <w:t>’</w:t>
      </w:r>
      <w:r w:rsidR="00F23898" w:rsidRPr="00F23898">
        <w:t>ll still be presenting to m</w:t>
      </w:r>
      <w:r w:rsidR="00382E30">
        <w:t>e</w:t>
      </w:r>
      <w:r w:rsidR="00F23898" w:rsidRPr="00F23898">
        <w:t xml:space="preserve">, the </w:t>
      </w:r>
      <w:r w:rsidR="00382E30">
        <w:t>p</w:t>
      </w:r>
      <w:r w:rsidR="00F23898" w:rsidRPr="00F23898">
        <w:t>resident</w:t>
      </w:r>
      <w:r w:rsidR="00382E30">
        <w:t>,</w:t>
      </w:r>
      <w:r w:rsidR="00F23898" w:rsidRPr="00F23898">
        <w:t xml:space="preserve"> and the </w:t>
      </w:r>
      <w:r w:rsidR="00382E30">
        <w:t>d</w:t>
      </w:r>
      <w:r w:rsidR="00F23898" w:rsidRPr="00F23898">
        <w:t>epartment VPs for now.</w:t>
      </w:r>
      <w:r w:rsidR="00F23898">
        <w:t xml:space="preserve"> </w:t>
      </w:r>
      <w:r w:rsidR="00F23898" w:rsidRPr="00F23898">
        <w:t>If you need anything just let me know</w:t>
      </w:r>
      <w:r w:rsidR="00777F27">
        <w:t>;</w:t>
      </w:r>
      <w:r w:rsidR="00F23898" w:rsidRPr="00F23898">
        <w:t xml:space="preserve"> I</w:t>
      </w:r>
      <w:r w:rsidR="00A25968">
        <w:t>’</w:t>
      </w:r>
      <w:r w:rsidR="00F23898" w:rsidRPr="00F23898">
        <w:t>m happy to help</w:t>
      </w:r>
      <w:r w:rsidR="00D57EF0">
        <w:t>.</w:t>
      </w:r>
    </w:p>
    <w:p w14:paraId="36303A3F" w14:textId="77777777" w:rsidR="00F23898" w:rsidRPr="00F23898" w:rsidRDefault="00F23898" w:rsidP="00F23898">
      <w:pPr>
        <w:pStyle w:val="BodyTextMain"/>
      </w:pPr>
    </w:p>
    <w:p w14:paraId="73374D5D" w14:textId="39A06070" w:rsidR="00F23898" w:rsidRPr="00F23898" w:rsidRDefault="00A34F2B" w:rsidP="00F23898">
      <w:pPr>
        <w:pStyle w:val="BodyTextMain"/>
        <w:rPr>
          <w:rFonts w:eastAsia="Arial Unicode MS"/>
        </w:rPr>
      </w:pPr>
      <w:r>
        <w:rPr>
          <w:rFonts w:eastAsia="Arial Unicode MS"/>
        </w:rPr>
        <w:t>Troup</w:t>
      </w:r>
      <w:r w:rsidRPr="00F23898">
        <w:rPr>
          <w:rFonts w:eastAsia="Arial Unicode MS"/>
        </w:rPr>
        <w:t xml:space="preserve"> </w:t>
      </w:r>
      <w:r w:rsidR="00F23898" w:rsidRPr="00F23898">
        <w:rPr>
          <w:rFonts w:eastAsia="Arial Unicode MS"/>
        </w:rPr>
        <w:t xml:space="preserve">put down his notes and leaned back in his chair. </w:t>
      </w:r>
      <w:r w:rsidR="0063486C">
        <w:t>He</w:t>
      </w:r>
      <w:r w:rsidRPr="00F23898">
        <w:t xml:space="preserve"> </w:t>
      </w:r>
      <w:r w:rsidR="00F23898" w:rsidRPr="00F23898">
        <w:t>had all of the financial projections complete but had yet to decide which energy system to recommend to top management.</w:t>
      </w:r>
      <w:r w:rsidR="00F23898">
        <w:t xml:space="preserve"> </w:t>
      </w:r>
      <w:r w:rsidR="0063486C">
        <w:rPr>
          <w:rFonts w:eastAsia="Arial Unicode MS"/>
        </w:rPr>
        <w:t xml:space="preserve">Of the three options available to </w:t>
      </w:r>
      <w:proofErr w:type="spellStart"/>
      <w:r w:rsidR="0063486C">
        <w:rPr>
          <w:rFonts w:eastAsia="Arial Unicode MS"/>
        </w:rPr>
        <w:t>Sifton</w:t>
      </w:r>
      <w:proofErr w:type="spellEnd"/>
      <w:r w:rsidR="00AE6EB9">
        <w:rPr>
          <w:rFonts w:eastAsia="Arial Unicode MS"/>
        </w:rPr>
        <w:t>,</w:t>
      </w:r>
      <w:r w:rsidR="00F23898" w:rsidRPr="00F23898">
        <w:rPr>
          <w:rFonts w:eastAsia="Arial Unicode MS"/>
        </w:rPr>
        <w:t xml:space="preserve"> some systems were more financially feasible than others</w:t>
      </w:r>
      <w:r w:rsidR="0063486C">
        <w:rPr>
          <w:rFonts w:eastAsia="Arial Unicode MS"/>
        </w:rPr>
        <w:t>. However, the environmental performance and social aspect of each had to be considered to determine marketability to consumers. Troup</w:t>
      </w:r>
      <w:r w:rsidRPr="00F23898">
        <w:rPr>
          <w:rFonts w:eastAsia="Arial Unicode MS"/>
        </w:rPr>
        <w:t xml:space="preserve"> </w:t>
      </w:r>
      <w:r w:rsidR="00F23898" w:rsidRPr="00F23898">
        <w:rPr>
          <w:rFonts w:eastAsia="Arial Unicode MS"/>
        </w:rPr>
        <w:t xml:space="preserve">knew that top management was interested in the number of residents </w:t>
      </w:r>
      <w:r w:rsidR="00AE6EB9">
        <w:rPr>
          <w:rFonts w:eastAsia="Arial Unicode MS"/>
        </w:rPr>
        <w:t>who</w:t>
      </w:r>
      <w:r w:rsidR="00F23898" w:rsidRPr="00F23898">
        <w:rPr>
          <w:rFonts w:eastAsia="Arial Unicode MS"/>
        </w:rPr>
        <w:t xml:space="preserve"> could be provided with energy, the recommended system</w:t>
      </w:r>
      <w:r w:rsidR="00A25968">
        <w:rPr>
          <w:rFonts w:eastAsia="Arial Unicode MS"/>
        </w:rPr>
        <w:t>’</w:t>
      </w:r>
      <w:r w:rsidR="00F23898" w:rsidRPr="00F23898">
        <w:rPr>
          <w:rFonts w:eastAsia="Arial Unicode MS"/>
        </w:rPr>
        <w:t>s overall cost</w:t>
      </w:r>
      <w:r w:rsidR="00AE6EB9">
        <w:rPr>
          <w:rFonts w:eastAsia="Arial Unicode MS"/>
        </w:rPr>
        <w:t>,</w:t>
      </w:r>
      <w:r w:rsidR="00F23898" w:rsidRPr="00F23898">
        <w:rPr>
          <w:rFonts w:eastAsia="Arial Unicode MS"/>
        </w:rPr>
        <w:t xml:space="preserve"> and the system</w:t>
      </w:r>
      <w:r w:rsidR="00A25968">
        <w:rPr>
          <w:rFonts w:eastAsia="Arial Unicode MS"/>
        </w:rPr>
        <w:t>’</w:t>
      </w:r>
      <w:r w:rsidR="00F23898" w:rsidRPr="00F23898">
        <w:rPr>
          <w:rFonts w:eastAsia="Arial Unicode MS"/>
        </w:rPr>
        <w:t>s payback period in comparison to traditional electricity or natural gas costs.</w:t>
      </w:r>
      <w:r w:rsidR="00F23898">
        <w:rPr>
          <w:rFonts w:eastAsia="Arial Unicode MS"/>
        </w:rPr>
        <w:t xml:space="preserve"> </w:t>
      </w:r>
      <w:r w:rsidR="00F23898" w:rsidRPr="00F23898">
        <w:rPr>
          <w:rFonts w:eastAsia="Arial Unicode MS"/>
        </w:rPr>
        <w:t>Furthermore, he knew that top management was keen on the ATES system.</w:t>
      </w:r>
      <w:r w:rsidR="00F23898">
        <w:rPr>
          <w:rFonts w:eastAsia="Arial Unicode MS"/>
        </w:rPr>
        <w:t xml:space="preserve"> </w:t>
      </w:r>
      <w:r w:rsidR="00F23898" w:rsidRPr="00F23898">
        <w:rPr>
          <w:rFonts w:eastAsia="Arial Unicode MS"/>
        </w:rPr>
        <w:t>The company had a flair for innovation and would be one of the first communities in Canada to implement such a system.</w:t>
      </w:r>
      <w:r w:rsidR="00F23898">
        <w:rPr>
          <w:rFonts w:eastAsia="Arial Unicode MS"/>
        </w:rPr>
        <w:t xml:space="preserve"> </w:t>
      </w:r>
      <w:r w:rsidR="00F23898" w:rsidRPr="00F23898">
        <w:rPr>
          <w:rFonts w:eastAsia="Arial Unicode MS"/>
        </w:rPr>
        <w:t>Consequently, the company had already paid for a feasibility study on the system.</w:t>
      </w:r>
      <w:r w:rsidR="00F23898">
        <w:rPr>
          <w:rFonts w:eastAsia="Arial Unicode MS"/>
        </w:rPr>
        <w:t xml:space="preserve"> </w:t>
      </w:r>
      <w:r w:rsidR="00F23898" w:rsidRPr="00F23898">
        <w:rPr>
          <w:rFonts w:eastAsia="Arial Unicode MS"/>
        </w:rPr>
        <w:t>However, in comparison to the other two systems</w:t>
      </w:r>
      <w:r w:rsidR="00777F27">
        <w:rPr>
          <w:rFonts w:eastAsia="Arial Unicode MS"/>
        </w:rPr>
        <w:t>,</w:t>
      </w:r>
      <w:r w:rsidR="00F23898" w:rsidRPr="00F23898">
        <w:rPr>
          <w:rFonts w:eastAsia="Arial Unicode MS"/>
        </w:rPr>
        <w:t xml:space="preserve"> this system might cause more disruption to the environment. </w:t>
      </w:r>
      <w:r w:rsidR="00AE6EB9">
        <w:rPr>
          <w:rFonts w:eastAsia="Arial Unicode MS"/>
        </w:rPr>
        <w:t xml:space="preserve">Troup </w:t>
      </w:r>
      <w:r w:rsidR="00F23898" w:rsidRPr="00F23898">
        <w:rPr>
          <w:rFonts w:eastAsia="Arial Unicode MS"/>
        </w:rPr>
        <w:t>was</w:t>
      </w:r>
      <w:r w:rsidR="00AE6EB9">
        <w:rPr>
          <w:rFonts w:eastAsia="Arial Unicode MS"/>
        </w:rPr>
        <w:t xml:space="preserve"> </w:t>
      </w:r>
      <w:r w:rsidR="00777F27">
        <w:rPr>
          <w:rFonts w:eastAsia="Arial Unicode MS"/>
        </w:rPr>
        <w:t>un</w:t>
      </w:r>
      <w:r w:rsidR="00F23898" w:rsidRPr="00F23898">
        <w:rPr>
          <w:rFonts w:eastAsia="Arial Unicode MS"/>
        </w:rPr>
        <w:t xml:space="preserve">sure </w:t>
      </w:r>
      <w:r w:rsidR="00777F27">
        <w:rPr>
          <w:rFonts w:eastAsia="Arial Unicode MS"/>
        </w:rPr>
        <w:t xml:space="preserve">whether </w:t>
      </w:r>
      <w:r w:rsidR="00F23898" w:rsidRPr="00F23898">
        <w:rPr>
          <w:rFonts w:eastAsia="Arial Unicode MS"/>
        </w:rPr>
        <w:t>he should recommend the ATES system.</w:t>
      </w:r>
    </w:p>
    <w:p w14:paraId="2B9FD7C1" w14:textId="77777777" w:rsidR="00F23898" w:rsidRDefault="00F23898" w:rsidP="00F23898">
      <w:pPr>
        <w:pStyle w:val="BodyTextMain"/>
      </w:pPr>
    </w:p>
    <w:p w14:paraId="2E24E167" w14:textId="77777777" w:rsidR="00D57EF0" w:rsidRPr="00F23898" w:rsidRDefault="00D57EF0" w:rsidP="00F23898">
      <w:pPr>
        <w:pStyle w:val="BodyTextMain"/>
      </w:pPr>
    </w:p>
    <w:p w14:paraId="57E80189" w14:textId="77777777" w:rsidR="00F23898" w:rsidRPr="00F23898" w:rsidRDefault="00F23898" w:rsidP="00D57EF0">
      <w:pPr>
        <w:pStyle w:val="Casehead1"/>
        <w:keepNext/>
      </w:pPr>
      <w:r w:rsidRPr="00F23898">
        <w:lastRenderedPageBreak/>
        <w:t>SIFTON PROPERTIES LTD.</w:t>
      </w:r>
    </w:p>
    <w:p w14:paraId="7A8FCBCB" w14:textId="77777777" w:rsidR="00F23898" w:rsidRPr="00F23898" w:rsidRDefault="00F23898" w:rsidP="00D57EF0">
      <w:pPr>
        <w:pStyle w:val="BodyTextMain"/>
        <w:keepNext/>
      </w:pPr>
    </w:p>
    <w:p w14:paraId="798A2194" w14:textId="42D50628" w:rsidR="00F23898" w:rsidRPr="00F23898" w:rsidRDefault="00F23898" w:rsidP="00D57EF0">
      <w:pPr>
        <w:pStyle w:val="BodyTextMain"/>
        <w:keepNext/>
      </w:pPr>
      <w:r w:rsidRPr="00F23898">
        <w:t xml:space="preserve">In 1923, Harry </w:t>
      </w:r>
      <w:proofErr w:type="spellStart"/>
      <w:r w:rsidRPr="00F23898">
        <w:t>Sifton</w:t>
      </w:r>
      <w:proofErr w:type="spellEnd"/>
      <w:r w:rsidRPr="00F23898">
        <w:t xml:space="preserve"> built his first house at 587 Rosedale Avenue in London, Ontario, Canada</w:t>
      </w:r>
      <w:r w:rsidR="00AE6EB9">
        <w:t>—</w:t>
      </w:r>
      <w:r w:rsidRPr="00F23898">
        <w:t>where it still stands today.</w:t>
      </w:r>
      <w:r>
        <w:t xml:space="preserve"> </w:t>
      </w:r>
      <w:r w:rsidRPr="00F23898">
        <w:t xml:space="preserve">This house acted as the pillar upon which </w:t>
      </w:r>
      <w:r w:rsidR="00F56DB9">
        <w:t>he</w:t>
      </w:r>
      <w:r w:rsidRPr="00F23898">
        <w:t xml:space="preserve"> founded </w:t>
      </w:r>
      <w:proofErr w:type="spellStart"/>
      <w:r w:rsidRPr="00F23898">
        <w:t>Sifton</w:t>
      </w:r>
      <w:proofErr w:type="spellEnd"/>
      <w:r w:rsidR="00CB2DDF">
        <w:t>.</w:t>
      </w:r>
      <w:r>
        <w:t xml:space="preserve"> </w:t>
      </w:r>
      <w:r w:rsidRPr="00F23898">
        <w:t xml:space="preserve">The company maintained its roots in London and steadily expanded because of </w:t>
      </w:r>
      <w:r w:rsidR="00F56DB9">
        <w:t>Harry</w:t>
      </w:r>
      <w:r w:rsidR="00A25968">
        <w:t>’</w:t>
      </w:r>
      <w:r w:rsidR="00A34F2B" w:rsidRPr="00F23898">
        <w:t xml:space="preserve">s </w:t>
      </w:r>
      <w:r w:rsidRPr="00F23898">
        <w:t xml:space="preserve">practice of building several homes simultaneously on speculation </w:t>
      </w:r>
      <w:r w:rsidR="00777F27">
        <w:t>combined with</w:t>
      </w:r>
      <w:r w:rsidRPr="00F23898">
        <w:t xml:space="preserve"> his unique flair for design.</w:t>
      </w:r>
      <w:r>
        <w:t xml:space="preserve"> </w:t>
      </w:r>
      <w:r w:rsidR="00A25968">
        <w:t>“</w:t>
      </w:r>
      <w:r w:rsidRPr="00F23898">
        <w:t>In those days</w:t>
      </w:r>
      <w:r w:rsidR="00AE6EB9">
        <w:t>,</w:t>
      </w:r>
      <w:r w:rsidRPr="00F23898">
        <w:t xml:space="preserve"> there wasn</w:t>
      </w:r>
      <w:r w:rsidR="00A25968">
        <w:t>’</w:t>
      </w:r>
      <w:r w:rsidRPr="00F23898">
        <w:t>t a lot of design flair,</w:t>
      </w:r>
      <w:r w:rsidR="00A25968">
        <w:t>”</w:t>
      </w:r>
      <w:r w:rsidRPr="00F23898">
        <w:t xml:space="preserve"> said Richard </w:t>
      </w:r>
      <w:proofErr w:type="spellStart"/>
      <w:r w:rsidRPr="00F23898">
        <w:t>Sifton</w:t>
      </w:r>
      <w:proofErr w:type="spellEnd"/>
      <w:r w:rsidRPr="00F23898">
        <w:t xml:space="preserve">, current </w:t>
      </w:r>
      <w:r w:rsidR="00777F27">
        <w:t>chief executive officer</w:t>
      </w:r>
      <w:r w:rsidRPr="00F23898">
        <w:t xml:space="preserve"> of the company. </w:t>
      </w:r>
      <w:r w:rsidR="00A25968">
        <w:t>“</w:t>
      </w:r>
      <w:r w:rsidRPr="00F23898">
        <w:t>He wanted a house that people didn</w:t>
      </w:r>
      <w:r w:rsidR="00A25968">
        <w:t>’</w:t>
      </w:r>
      <w:r w:rsidRPr="00F23898">
        <w:t>t simply live in but would be proud of.</w:t>
      </w:r>
      <w:r w:rsidR="00A25968">
        <w:t>”</w:t>
      </w:r>
      <w:r w:rsidRPr="00F23898">
        <w:rPr>
          <w:vertAlign w:val="superscript"/>
        </w:rPr>
        <w:footnoteReference w:id="1"/>
      </w:r>
    </w:p>
    <w:p w14:paraId="43372E44" w14:textId="77777777" w:rsidR="00F23898" w:rsidRPr="00F23898" w:rsidRDefault="00F23898" w:rsidP="00F23898">
      <w:pPr>
        <w:pStyle w:val="BodyTextMain"/>
      </w:pPr>
    </w:p>
    <w:p w14:paraId="36F6B827" w14:textId="774B69D1" w:rsidR="00F23898" w:rsidRPr="00F23898" w:rsidRDefault="00F23898" w:rsidP="00F23898">
      <w:pPr>
        <w:pStyle w:val="BodyTextMain"/>
      </w:pPr>
      <w:r w:rsidRPr="00F23898">
        <w:t>This practice proved to be so popular that</w:t>
      </w:r>
      <w:r w:rsidR="004A2F6E">
        <w:t>,</w:t>
      </w:r>
      <w:r w:rsidRPr="00F23898">
        <w:t xml:space="preserve"> by 1940</w:t>
      </w:r>
      <w:r w:rsidR="004A2F6E">
        <w:t>,</w:t>
      </w:r>
      <w:r w:rsidRPr="00F23898">
        <w:t xml:space="preserve"> the company was building 20 homes per year. However, roughly 500 homes later, </w:t>
      </w:r>
      <w:r w:rsidR="00F56DB9">
        <w:t xml:space="preserve">Harry </w:t>
      </w:r>
      <w:r w:rsidRPr="00F23898">
        <w:t>stepped down and handed control of the company over to his son Mowbray.</w:t>
      </w:r>
      <w:r>
        <w:t xml:space="preserve"> </w:t>
      </w:r>
      <w:r w:rsidRPr="00F23898">
        <w:t xml:space="preserve">Under </w:t>
      </w:r>
      <w:r w:rsidR="00F56DB9">
        <w:t>new</w:t>
      </w:r>
      <w:r w:rsidRPr="00F23898">
        <w:t xml:space="preserve"> leadership, </w:t>
      </w:r>
      <w:proofErr w:type="spellStart"/>
      <w:r w:rsidRPr="00F23898">
        <w:t>Sifton</w:t>
      </w:r>
      <w:r w:rsidR="00A25968">
        <w:t>’</w:t>
      </w:r>
      <w:r w:rsidRPr="00F23898">
        <w:t>s</w:t>
      </w:r>
      <w:proofErr w:type="spellEnd"/>
      <w:r w:rsidRPr="00F23898">
        <w:t xml:space="preserve"> operations rapidly expanded and began its evolution into the construction and land development company it is today.</w:t>
      </w:r>
      <w:r>
        <w:t xml:space="preserve"> </w:t>
      </w:r>
      <w:r w:rsidRPr="00F23898">
        <w:t>Mowbray</w:t>
      </w:r>
      <w:r w:rsidR="00A25968">
        <w:t>’</w:t>
      </w:r>
      <w:r w:rsidRPr="00F23898">
        <w:t>s strategy of assembling large tracts of land proved critical to company growth.</w:t>
      </w:r>
      <w:r>
        <w:t xml:space="preserve"> </w:t>
      </w:r>
      <w:r w:rsidRPr="00F23898">
        <w:t xml:space="preserve">While </w:t>
      </w:r>
      <w:r w:rsidR="00F56DB9">
        <w:t xml:space="preserve">Harry </w:t>
      </w:r>
      <w:r w:rsidRPr="00F23898">
        <w:t xml:space="preserve">had once considered half a dozen houses to be a large commitment, the company had grown to such a point that it began developing entire </w:t>
      </w:r>
      <w:r w:rsidR="00495221" w:rsidRPr="00F23898">
        <w:t>communities</w:t>
      </w:r>
      <w:r w:rsidRPr="00F23898">
        <w:t>.</w:t>
      </w:r>
      <w:r>
        <w:t xml:space="preserve"> </w:t>
      </w:r>
      <w:r w:rsidRPr="00F23898">
        <w:t>Along with residential housing, these communities included features such as recreational areas, shopping centres</w:t>
      </w:r>
      <w:r w:rsidR="00AE6EB9">
        <w:t>,</w:t>
      </w:r>
      <w:r w:rsidRPr="00F23898">
        <w:t xml:space="preserve"> and commercial services</w:t>
      </w:r>
      <w:r w:rsidR="00930ECF">
        <w:t>—</w:t>
      </w:r>
      <w:r w:rsidRPr="00F23898">
        <w:t>allowing for the creation of a true community</w:t>
      </w:r>
      <w:r w:rsidR="004A2F6E">
        <w:t xml:space="preserve"> </w:t>
      </w:r>
      <w:r w:rsidRPr="00F23898">
        <w:t>feel among residents.</w:t>
      </w:r>
    </w:p>
    <w:p w14:paraId="320374A7" w14:textId="77777777" w:rsidR="00F23898" w:rsidRPr="00F23898" w:rsidRDefault="00F23898" w:rsidP="00F23898">
      <w:pPr>
        <w:pStyle w:val="BodyTextMain"/>
      </w:pPr>
    </w:p>
    <w:p w14:paraId="499F0542" w14:textId="1FDCC3A1" w:rsidR="00F23898" w:rsidRPr="00F23898" w:rsidRDefault="00F23898" w:rsidP="00F23898">
      <w:pPr>
        <w:pStyle w:val="BodyTextMain"/>
      </w:pPr>
      <w:r w:rsidRPr="00F23898">
        <w:t xml:space="preserve">Mowbray </w:t>
      </w:r>
      <w:proofErr w:type="spellStart"/>
      <w:r w:rsidRPr="00F23898">
        <w:t>Sifton</w:t>
      </w:r>
      <w:proofErr w:type="spellEnd"/>
      <w:r w:rsidRPr="00F23898">
        <w:t xml:space="preserve"> continued to lead the company until 2004</w:t>
      </w:r>
      <w:r w:rsidR="004A2F6E">
        <w:t>,</w:t>
      </w:r>
      <w:r w:rsidRPr="00F23898">
        <w:t xml:space="preserve"> when he stepped down as chairperson of the board.</w:t>
      </w:r>
      <w:r>
        <w:t xml:space="preserve"> </w:t>
      </w:r>
      <w:r w:rsidRPr="00F23898">
        <w:t xml:space="preserve">While Glen </w:t>
      </w:r>
      <w:proofErr w:type="spellStart"/>
      <w:r w:rsidRPr="00F23898">
        <w:t>Sifton</w:t>
      </w:r>
      <w:proofErr w:type="spellEnd"/>
      <w:r w:rsidRPr="00F23898">
        <w:t xml:space="preserve"> assumed Mowbray</w:t>
      </w:r>
      <w:r w:rsidR="00A25968">
        <w:t>’</w:t>
      </w:r>
      <w:r w:rsidRPr="00F23898">
        <w:t xml:space="preserve">s position on the board, </w:t>
      </w:r>
      <w:r w:rsidR="00334475">
        <w:t>Glen’s</w:t>
      </w:r>
      <w:r w:rsidRPr="00F23898">
        <w:t xml:space="preserve"> brother, Richard </w:t>
      </w:r>
      <w:proofErr w:type="spellStart"/>
      <w:r w:rsidRPr="00F23898">
        <w:t>Sifton</w:t>
      </w:r>
      <w:proofErr w:type="spellEnd"/>
      <w:r w:rsidRPr="00F23898">
        <w:t xml:space="preserve">, assumed the role of </w:t>
      </w:r>
      <w:r w:rsidR="004041E3">
        <w:t>p</w:t>
      </w:r>
      <w:r w:rsidRPr="00F23898">
        <w:t>resident.</w:t>
      </w:r>
    </w:p>
    <w:p w14:paraId="74997F9A" w14:textId="77777777" w:rsidR="00F23898" w:rsidRPr="00F23898" w:rsidRDefault="00F23898" w:rsidP="00F23898">
      <w:pPr>
        <w:pStyle w:val="BodyTextMain"/>
      </w:pPr>
    </w:p>
    <w:p w14:paraId="3FC133DA" w14:textId="70E50136" w:rsidR="00F23898" w:rsidRPr="00F23898" w:rsidRDefault="00F23898" w:rsidP="00F23898">
      <w:pPr>
        <w:pStyle w:val="BodyTextMain"/>
      </w:pPr>
      <w:r w:rsidRPr="00F23898">
        <w:t>By 2012,</w:t>
      </w:r>
      <w:r>
        <w:t xml:space="preserve"> </w:t>
      </w:r>
      <w:r w:rsidRPr="00F23898">
        <w:t>the company had experienced significant growth since its inception.</w:t>
      </w:r>
      <w:r>
        <w:t xml:space="preserve"> </w:t>
      </w:r>
      <w:proofErr w:type="spellStart"/>
      <w:r w:rsidRPr="00F23898">
        <w:t>Sifton</w:t>
      </w:r>
      <w:proofErr w:type="spellEnd"/>
      <w:r w:rsidRPr="00F23898">
        <w:t xml:space="preserve"> employed over 1,200 </w:t>
      </w:r>
      <w:r w:rsidR="00C31434">
        <w:t>people</w:t>
      </w:r>
      <w:r w:rsidRPr="00F23898">
        <w:t xml:space="preserve"> and served as one of Southwestern Ontario</w:t>
      </w:r>
      <w:r w:rsidR="00A25968">
        <w:t>’</w:t>
      </w:r>
      <w:r w:rsidRPr="00F23898">
        <w:t>s premier construction and land development companies</w:t>
      </w:r>
      <w:r w:rsidR="00610C90">
        <w:t>,</w:t>
      </w:r>
      <w:r w:rsidRPr="00F23898">
        <w:t xml:space="preserve"> with development projects in Guelph, Brantford, Kitchener, Mississauga</w:t>
      </w:r>
      <w:r w:rsidR="00610C90">
        <w:t>,</w:t>
      </w:r>
      <w:r w:rsidRPr="00F23898">
        <w:t xml:space="preserve"> and, of course, London.</w:t>
      </w:r>
      <w:r>
        <w:t xml:space="preserve"> </w:t>
      </w:r>
      <w:r w:rsidRPr="00F23898">
        <w:t xml:space="preserve">Founded nearly a century ago, the company had experienced multiple periods of economic growth and downturn. However, </w:t>
      </w:r>
      <w:proofErr w:type="spellStart"/>
      <w:r w:rsidRPr="00F23898">
        <w:t>Sifton</w:t>
      </w:r>
      <w:r w:rsidR="00A25968">
        <w:t>’</w:t>
      </w:r>
      <w:r w:rsidRPr="00F23898">
        <w:t>s</w:t>
      </w:r>
      <w:proofErr w:type="spellEnd"/>
      <w:r w:rsidRPr="00F23898">
        <w:t xml:space="preserve"> diversification strategy allowed the company to not only survive the test of time but </w:t>
      </w:r>
      <w:r w:rsidR="00C31434">
        <w:t xml:space="preserve">also </w:t>
      </w:r>
      <w:r w:rsidRPr="00F23898">
        <w:t>thrive under it.</w:t>
      </w:r>
      <w:r>
        <w:t xml:space="preserve"> </w:t>
      </w:r>
      <w:r w:rsidRPr="00F23898">
        <w:t xml:space="preserve">For instance, during the Great Depression of the 1930s, Harry </w:t>
      </w:r>
      <w:proofErr w:type="spellStart"/>
      <w:r w:rsidRPr="00F23898">
        <w:t>Sifton</w:t>
      </w:r>
      <w:proofErr w:type="spellEnd"/>
      <w:r w:rsidRPr="00F23898">
        <w:t xml:space="preserve"> shifted the business model to renting his homes rather than selling them.</w:t>
      </w:r>
      <w:r>
        <w:t xml:space="preserve"> </w:t>
      </w:r>
      <w:r w:rsidRPr="00F23898">
        <w:t>A testament to this strategy still st</w:t>
      </w:r>
      <w:r w:rsidR="00594B3C">
        <w:t>ood</w:t>
      </w:r>
      <w:r w:rsidRPr="00F23898">
        <w:t xml:space="preserve"> in the company</w:t>
      </w:r>
      <w:r w:rsidR="00A25968">
        <w:t>’</w:t>
      </w:r>
      <w:r w:rsidRPr="00F23898">
        <w:t xml:space="preserve">s corporate office, where a grandfather clock, which was used in lieu of rent payment to Harry </w:t>
      </w:r>
      <w:proofErr w:type="spellStart"/>
      <w:r w:rsidRPr="00F23898">
        <w:t>Sifton</w:t>
      </w:r>
      <w:proofErr w:type="spellEnd"/>
      <w:r w:rsidRPr="00F23898">
        <w:t>, still tick</w:t>
      </w:r>
      <w:r w:rsidR="00594B3C">
        <w:t>ed</w:t>
      </w:r>
      <w:r w:rsidRPr="00F23898">
        <w:t xml:space="preserve"> the working hours away</w:t>
      </w:r>
      <w:r w:rsidR="00C641F0">
        <w:t>.</w:t>
      </w:r>
      <w:r w:rsidR="00C31434">
        <w:rPr>
          <w:rStyle w:val="FootnoteReference"/>
        </w:rPr>
        <w:footnoteReference w:id="2"/>
      </w:r>
      <w:r>
        <w:t xml:space="preserve"> </w:t>
      </w:r>
      <w:r w:rsidRPr="00F23898">
        <w:t>The company ha</w:t>
      </w:r>
      <w:r w:rsidR="00594B3C">
        <w:t>d</w:t>
      </w:r>
      <w:r w:rsidRPr="00F23898">
        <w:t xml:space="preserve"> since diversified to encompass multiple business operations to smooth </w:t>
      </w:r>
      <w:r w:rsidR="00610C90">
        <w:t xml:space="preserve">out </w:t>
      </w:r>
      <w:r w:rsidRPr="00F23898">
        <w:t>fluctuations during periods of growth and downturn.</w:t>
      </w:r>
      <w:r>
        <w:t xml:space="preserve"> </w:t>
      </w:r>
      <w:proofErr w:type="spellStart"/>
      <w:r w:rsidRPr="00F23898">
        <w:t>Sifton</w:t>
      </w:r>
      <w:r w:rsidR="00A25968">
        <w:t>’</w:t>
      </w:r>
      <w:r w:rsidRPr="00F23898">
        <w:t>s</w:t>
      </w:r>
      <w:proofErr w:type="spellEnd"/>
      <w:r w:rsidRPr="00F23898">
        <w:t xml:space="preserve"> five business branches include</w:t>
      </w:r>
      <w:r w:rsidR="00594B3C">
        <w:t>d the following</w:t>
      </w:r>
      <w:r w:rsidRPr="00F23898">
        <w:t>:</w:t>
      </w:r>
    </w:p>
    <w:p w14:paraId="71EF043D" w14:textId="77777777" w:rsidR="00F23898" w:rsidRPr="00F23898" w:rsidRDefault="00F23898" w:rsidP="00F23898">
      <w:pPr>
        <w:pStyle w:val="BodyTextMain"/>
      </w:pPr>
    </w:p>
    <w:p w14:paraId="79829463" w14:textId="1C6C7413" w:rsidR="00F23898" w:rsidRPr="00F23898" w:rsidRDefault="008A7ECC" w:rsidP="00F23898">
      <w:pPr>
        <w:pStyle w:val="BodyTextMain"/>
        <w:numPr>
          <w:ilvl w:val="0"/>
          <w:numId w:val="31"/>
        </w:numPr>
      </w:pPr>
      <w:r>
        <w:t>r</w:t>
      </w:r>
      <w:r w:rsidR="00F23898" w:rsidRPr="00F23898">
        <w:t xml:space="preserve">etirement </w:t>
      </w:r>
      <w:r w:rsidR="00594B3C">
        <w:t>r</w:t>
      </w:r>
      <w:r w:rsidR="00F23898" w:rsidRPr="00F23898">
        <w:t>esidences</w:t>
      </w:r>
    </w:p>
    <w:p w14:paraId="2183A077" w14:textId="07ADAF55" w:rsidR="00F23898" w:rsidRPr="00F23898" w:rsidRDefault="008A7ECC" w:rsidP="00F23898">
      <w:pPr>
        <w:pStyle w:val="BodyTextMain"/>
        <w:numPr>
          <w:ilvl w:val="0"/>
          <w:numId w:val="31"/>
        </w:numPr>
      </w:pPr>
      <w:r>
        <w:t>r</w:t>
      </w:r>
      <w:r w:rsidR="00F23898" w:rsidRPr="00F23898">
        <w:t xml:space="preserve">esidential </w:t>
      </w:r>
      <w:r w:rsidR="00594B3C">
        <w:t>r</w:t>
      </w:r>
      <w:r w:rsidR="00F23898" w:rsidRPr="00F23898">
        <w:t>entals</w:t>
      </w:r>
    </w:p>
    <w:p w14:paraId="51AFAA81" w14:textId="2D2C0CB9" w:rsidR="00F23898" w:rsidRPr="00F23898" w:rsidRDefault="008A7ECC" w:rsidP="00F23898">
      <w:pPr>
        <w:pStyle w:val="BodyTextMain"/>
        <w:numPr>
          <w:ilvl w:val="0"/>
          <w:numId w:val="31"/>
        </w:numPr>
      </w:pPr>
      <w:r>
        <w:t>n</w:t>
      </w:r>
      <w:r w:rsidR="00F23898" w:rsidRPr="00F23898">
        <w:t xml:space="preserve">ew </w:t>
      </w:r>
      <w:r w:rsidR="00594B3C">
        <w:t>h</w:t>
      </w:r>
      <w:r w:rsidR="00F23898" w:rsidRPr="00F23898">
        <w:t xml:space="preserve">ome </w:t>
      </w:r>
      <w:r w:rsidR="00594B3C">
        <w:t>c</w:t>
      </w:r>
      <w:r w:rsidR="00F23898" w:rsidRPr="00F23898">
        <w:t>onstruction</w:t>
      </w:r>
    </w:p>
    <w:p w14:paraId="5B2CF652" w14:textId="0DF0DB91" w:rsidR="00F23898" w:rsidRPr="00F23898" w:rsidRDefault="008A7ECC" w:rsidP="00F23898">
      <w:pPr>
        <w:pStyle w:val="BodyTextMain"/>
        <w:numPr>
          <w:ilvl w:val="0"/>
          <w:numId w:val="31"/>
        </w:numPr>
      </w:pPr>
      <w:r>
        <w:t>n</w:t>
      </w:r>
      <w:r w:rsidR="00F23898" w:rsidRPr="00F23898">
        <w:t xml:space="preserve">eighbourhood </w:t>
      </w:r>
      <w:r w:rsidR="00594B3C">
        <w:t>d</w:t>
      </w:r>
      <w:r w:rsidR="00F23898" w:rsidRPr="00F23898">
        <w:t>evelopments</w:t>
      </w:r>
    </w:p>
    <w:p w14:paraId="66F2915C" w14:textId="6C2412A7" w:rsidR="00F23898" w:rsidRPr="00F23898" w:rsidRDefault="008A7ECC" w:rsidP="00F23898">
      <w:pPr>
        <w:pStyle w:val="BodyTextMain"/>
        <w:numPr>
          <w:ilvl w:val="0"/>
          <w:numId w:val="31"/>
        </w:numPr>
      </w:pPr>
      <w:r>
        <w:t>c</w:t>
      </w:r>
      <w:r w:rsidR="00F23898" w:rsidRPr="00F23898">
        <w:t xml:space="preserve">ommercial </w:t>
      </w:r>
      <w:r w:rsidR="00594B3C">
        <w:t>p</w:t>
      </w:r>
      <w:r w:rsidR="00F23898" w:rsidRPr="00F23898">
        <w:t>roperties</w:t>
      </w:r>
    </w:p>
    <w:p w14:paraId="02BF7401" w14:textId="77777777" w:rsidR="00F23898" w:rsidRPr="00F23898" w:rsidRDefault="00F23898" w:rsidP="00F23898">
      <w:pPr>
        <w:pStyle w:val="BodyTextMain"/>
      </w:pPr>
    </w:p>
    <w:p w14:paraId="05D20E54" w14:textId="3E5D6F6D" w:rsidR="00F23898" w:rsidRPr="00F23898" w:rsidRDefault="00F23898" w:rsidP="00F23898">
      <w:pPr>
        <w:pStyle w:val="BodyTextMain"/>
      </w:pPr>
      <w:r w:rsidRPr="00F23898">
        <w:t>Afterwards, the company experienced strong growth due to Mowbray</w:t>
      </w:r>
      <w:r w:rsidR="00A25968">
        <w:t>’</w:t>
      </w:r>
      <w:r w:rsidRPr="00F23898">
        <w:t xml:space="preserve">s willingness to develop entire communities through the </w:t>
      </w:r>
      <w:r w:rsidR="008A7ECC">
        <w:t>n</w:t>
      </w:r>
      <w:r w:rsidRPr="00F23898">
        <w:t xml:space="preserve">eighbourhood </w:t>
      </w:r>
      <w:r w:rsidR="008A7ECC" w:rsidRPr="0009062A">
        <w:t>d</w:t>
      </w:r>
      <w:r w:rsidRPr="0009062A">
        <w:t>evelopments department.</w:t>
      </w:r>
    </w:p>
    <w:p w14:paraId="667C5653" w14:textId="77777777" w:rsidR="00F23898" w:rsidRDefault="00F23898" w:rsidP="00F23898">
      <w:pPr>
        <w:pStyle w:val="BodyTextMain"/>
      </w:pPr>
    </w:p>
    <w:p w14:paraId="4B08AC9F" w14:textId="77777777" w:rsidR="00F23898" w:rsidRDefault="00F23898" w:rsidP="00F23898">
      <w:pPr>
        <w:pStyle w:val="BodyTextMain"/>
      </w:pPr>
    </w:p>
    <w:p w14:paraId="26D331B2" w14:textId="77777777" w:rsidR="00F23898" w:rsidRDefault="00F23898" w:rsidP="007A4BA4">
      <w:pPr>
        <w:pStyle w:val="Casehead1"/>
        <w:keepNext/>
      </w:pPr>
      <w:r w:rsidRPr="00F23898">
        <w:lastRenderedPageBreak/>
        <w:t>NEIGHBOURHOOD DEVELOPMENTS</w:t>
      </w:r>
    </w:p>
    <w:p w14:paraId="0F263CA7" w14:textId="77777777" w:rsidR="00691935" w:rsidRPr="00F23898" w:rsidRDefault="00691935" w:rsidP="007A4BA4">
      <w:pPr>
        <w:pStyle w:val="Casehead1"/>
        <w:keepNext/>
      </w:pPr>
    </w:p>
    <w:p w14:paraId="48F194FB" w14:textId="0B4D4AC2" w:rsidR="00F23898" w:rsidRPr="00F23898" w:rsidRDefault="00F23898" w:rsidP="00F23898">
      <w:pPr>
        <w:pStyle w:val="BodyTextMain"/>
      </w:pPr>
      <w:r w:rsidRPr="00F23898">
        <w:t xml:space="preserve">The </w:t>
      </w:r>
      <w:r w:rsidR="008A7ECC">
        <w:t>n</w:t>
      </w:r>
      <w:r w:rsidRPr="00F23898">
        <w:t xml:space="preserve">eighbourhood </w:t>
      </w:r>
      <w:r w:rsidR="008A7ECC" w:rsidRPr="0009062A">
        <w:t>d</w:t>
      </w:r>
      <w:r w:rsidRPr="0009062A">
        <w:t>evelopments department</w:t>
      </w:r>
      <w:r w:rsidRPr="00F23898">
        <w:t xml:space="preserve"> was responsible for the development of countless neighbourhoods in London</w:t>
      </w:r>
      <w:r w:rsidR="007A4BA4">
        <w:t>,</w:t>
      </w:r>
      <w:r w:rsidRPr="00F23898">
        <w:t xml:space="preserve"> and five additional communities were being developed in 2012 (</w:t>
      </w:r>
      <w:r>
        <w:t xml:space="preserve">see </w:t>
      </w:r>
      <w:r w:rsidRPr="00F23898">
        <w:t>Exhibit 1).</w:t>
      </w:r>
      <w:r>
        <w:t xml:space="preserve"> </w:t>
      </w:r>
      <w:r w:rsidRPr="00F23898">
        <w:t>Accordingly, the department was responsible for thousands of acres of property in London.</w:t>
      </w:r>
      <w:r>
        <w:t xml:space="preserve"> </w:t>
      </w:r>
      <w:r w:rsidRPr="00F23898">
        <w:t>Additionally, the department stayed true to the innovation and flexibility of Harry and Mowbray and developed beautiful and comprehensive community development projects throughout London and the surrounding area.</w:t>
      </w:r>
      <w:r>
        <w:t xml:space="preserve"> </w:t>
      </w:r>
      <w:r w:rsidRPr="00F23898">
        <w:t>Furthermore, the department was eff</w:t>
      </w:r>
      <w:r w:rsidR="004A4A6B">
        <w:t>i</w:t>
      </w:r>
      <w:r w:rsidRPr="00F23898">
        <w:t xml:space="preserve">ciently staffed and the workload was primarily handled by four employees: </w:t>
      </w:r>
    </w:p>
    <w:p w14:paraId="76ED3181" w14:textId="77777777" w:rsidR="00F23898" w:rsidRPr="00F23898" w:rsidRDefault="00F23898" w:rsidP="00F23898">
      <w:pPr>
        <w:pStyle w:val="BodyTextMain"/>
      </w:pPr>
    </w:p>
    <w:p w14:paraId="04911748" w14:textId="5A9DED83" w:rsidR="00F23898" w:rsidRPr="00F23898" w:rsidRDefault="007A4BA4" w:rsidP="00F23898">
      <w:pPr>
        <w:pStyle w:val="BodyTextMain"/>
        <w:numPr>
          <w:ilvl w:val="0"/>
          <w:numId w:val="32"/>
        </w:numPr>
      </w:pPr>
      <w:r>
        <w:t>v</w:t>
      </w:r>
      <w:r w:rsidR="00F23898" w:rsidRPr="00F23898">
        <w:t>ice-</w:t>
      </w:r>
      <w:r>
        <w:t>p</w:t>
      </w:r>
      <w:r w:rsidR="00F23898" w:rsidRPr="00F23898">
        <w:t xml:space="preserve">resident, </w:t>
      </w:r>
      <w:r w:rsidR="001A322A">
        <w:t>n</w:t>
      </w:r>
      <w:r w:rsidR="00F23898" w:rsidRPr="00F23898">
        <w:t xml:space="preserve">eighbourhood </w:t>
      </w:r>
      <w:r w:rsidR="001A322A">
        <w:t>d</w:t>
      </w:r>
      <w:r w:rsidR="00F23898" w:rsidRPr="00F23898">
        <w:t>evelopments</w:t>
      </w:r>
      <w:r w:rsidR="004A4A6B">
        <w:t>—</w:t>
      </w:r>
      <w:r w:rsidR="00F23898" w:rsidRPr="00F23898">
        <w:t xml:space="preserve">Phil </w:t>
      </w:r>
      <w:proofErr w:type="spellStart"/>
      <w:r w:rsidR="00F23898" w:rsidRPr="00F23898">
        <w:t>Masschelein</w:t>
      </w:r>
      <w:proofErr w:type="spellEnd"/>
    </w:p>
    <w:p w14:paraId="4D36CA8C" w14:textId="1ED4BE9E" w:rsidR="00F23898" w:rsidRPr="00F23898" w:rsidRDefault="007A4BA4" w:rsidP="00F23898">
      <w:pPr>
        <w:pStyle w:val="BodyTextMain"/>
        <w:numPr>
          <w:ilvl w:val="0"/>
          <w:numId w:val="32"/>
        </w:numPr>
      </w:pPr>
      <w:r>
        <w:t>p</w:t>
      </w:r>
      <w:r w:rsidR="00F23898" w:rsidRPr="00F23898">
        <w:t xml:space="preserve">roject </w:t>
      </w:r>
      <w:r>
        <w:t>m</w:t>
      </w:r>
      <w:r w:rsidR="00F23898" w:rsidRPr="00F23898">
        <w:t xml:space="preserve">anager, </w:t>
      </w:r>
      <w:r w:rsidR="001A322A">
        <w:t>n</w:t>
      </w:r>
      <w:r w:rsidR="00F23898" w:rsidRPr="00F23898">
        <w:t xml:space="preserve">eighbourhood </w:t>
      </w:r>
      <w:r w:rsidR="001A322A">
        <w:t>d</w:t>
      </w:r>
      <w:r w:rsidR="00F23898" w:rsidRPr="00F23898">
        <w:t>evelopments</w:t>
      </w:r>
      <w:r w:rsidR="004A4A6B">
        <w:t>—</w:t>
      </w:r>
      <w:r w:rsidR="00F23898" w:rsidRPr="00F23898">
        <w:t xml:space="preserve">Maureen </w:t>
      </w:r>
      <w:proofErr w:type="spellStart"/>
      <w:r w:rsidR="00F23898" w:rsidRPr="00F23898">
        <w:t>Zunti</w:t>
      </w:r>
      <w:proofErr w:type="spellEnd"/>
    </w:p>
    <w:p w14:paraId="4A0528D6" w14:textId="47232757" w:rsidR="00F23898" w:rsidRPr="00F23898" w:rsidRDefault="007A4BA4" w:rsidP="00F23898">
      <w:pPr>
        <w:pStyle w:val="BodyTextMain"/>
        <w:numPr>
          <w:ilvl w:val="0"/>
          <w:numId w:val="32"/>
        </w:numPr>
      </w:pPr>
      <w:r>
        <w:t>l</w:t>
      </w:r>
      <w:r w:rsidR="00F23898" w:rsidRPr="00F23898">
        <w:t xml:space="preserve">and </w:t>
      </w:r>
      <w:r>
        <w:t>t</w:t>
      </w:r>
      <w:r w:rsidR="00F23898" w:rsidRPr="00F23898">
        <w:t xml:space="preserve">echnician, </w:t>
      </w:r>
      <w:r w:rsidR="001A322A">
        <w:t>n</w:t>
      </w:r>
      <w:r w:rsidR="00F23898" w:rsidRPr="00F23898">
        <w:t xml:space="preserve">eighbourhood </w:t>
      </w:r>
      <w:r w:rsidR="001A322A">
        <w:t>d</w:t>
      </w:r>
      <w:r w:rsidR="00F23898" w:rsidRPr="00F23898">
        <w:t>evelopments</w:t>
      </w:r>
      <w:r w:rsidR="004A4A6B">
        <w:t>—</w:t>
      </w:r>
      <w:r w:rsidR="00F23898" w:rsidRPr="00F23898">
        <w:t>Matt Robertson</w:t>
      </w:r>
    </w:p>
    <w:p w14:paraId="42FC7AA0" w14:textId="606A8A18" w:rsidR="00F23898" w:rsidRPr="00F23898" w:rsidRDefault="007A4BA4" w:rsidP="00F23898">
      <w:pPr>
        <w:pStyle w:val="BodyTextMain"/>
        <w:numPr>
          <w:ilvl w:val="0"/>
          <w:numId w:val="32"/>
        </w:numPr>
      </w:pPr>
      <w:r>
        <w:t>a</w:t>
      </w:r>
      <w:r w:rsidR="00F23898" w:rsidRPr="00F23898">
        <w:t xml:space="preserve">dministrative </w:t>
      </w:r>
      <w:r>
        <w:t>a</w:t>
      </w:r>
      <w:r w:rsidR="00F23898" w:rsidRPr="00F23898">
        <w:t xml:space="preserve">ssistant, </w:t>
      </w:r>
      <w:r w:rsidR="001A322A">
        <w:t>n</w:t>
      </w:r>
      <w:r w:rsidR="00F23898" w:rsidRPr="00F23898">
        <w:t xml:space="preserve">eighbourhood </w:t>
      </w:r>
      <w:r w:rsidR="001A322A">
        <w:t>d</w:t>
      </w:r>
      <w:r w:rsidR="00F23898" w:rsidRPr="00F23898">
        <w:t>evelopments</w:t>
      </w:r>
      <w:r w:rsidR="004A4A6B">
        <w:t>—</w:t>
      </w:r>
      <w:r w:rsidR="00F23898" w:rsidRPr="00F23898">
        <w:t xml:space="preserve">Maureen </w:t>
      </w:r>
      <w:proofErr w:type="spellStart"/>
      <w:r w:rsidR="00F23898" w:rsidRPr="00F23898">
        <w:t>Gunton</w:t>
      </w:r>
      <w:proofErr w:type="spellEnd"/>
    </w:p>
    <w:p w14:paraId="6AF920A4" w14:textId="77777777" w:rsidR="00F23898" w:rsidRPr="00F23898" w:rsidRDefault="00F23898" w:rsidP="00F23898">
      <w:pPr>
        <w:pStyle w:val="BodyTextMain"/>
      </w:pPr>
    </w:p>
    <w:p w14:paraId="72662F95" w14:textId="1D8FF2A7" w:rsidR="00F23898" w:rsidRPr="00F23898" w:rsidRDefault="00F23898" w:rsidP="00F23898">
      <w:pPr>
        <w:pStyle w:val="BodyTextMain"/>
      </w:pPr>
      <w:r w:rsidRPr="00F23898">
        <w:t>Each individual employee acted as a key contributor to the proper functionality of the department.</w:t>
      </w:r>
      <w:r>
        <w:t xml:space="preserve"> </w:t>
      </w:r>
      <w:r w:rsidRPr="00F23898">
        <w:t>However, the employees also relied upon one another and were in constant communication</w:t>
      </w:r>
      <w:r w:rsidR="004A4A6B">
        <w:t>—</w:t>
      </w:r>
      <w:r w:rsidRPr="00F23898">
        <w:t>whether through email, regular meetings</w:t>
      </w:r>
      <w:r w:rsidR="004A4A6B">
        <w:t>,</w:t>
      </w:r>
      <w:r w:rsidRPr="00F23898">
        <w:t xml:space="preserve"> or simply popping into one another</w:t>
      </w:r>
      <w:r w:rsidR="00A25968">
        <w:t>’</w:t>
      </w:r>
      <w:r w:rsidRPr="00F23898">
        <w:t>s office</w:t>
      </w:r>
      <w:r w:rsidR="00D17111">
        <w:t>s</w:t>
      </w:r>
      <w:r w:rsidRPr="00F23898">
        <w:t>.</w:t>
      </w:r>
      <w:r>
        <w:t xml:space="preserve"> </w:t>
      </w:r>
    </w:p>
    <w:p w14:paraId="553C58A5" w14:textId="77777777" w:rsidR="00F23898" w:rsidRPr="00F23898" w:rsidRDefault="00F23898" w:rsidP="00F23898">
      <w:pPr>
        <w:pStyle w:val="BodyTextMain"/>
      </w:pPr>
    </w:p>
    <w:p w14:paraId="072192FA" w14:textId="77777777" w:rsidR="00F23898" w:rsidRPr="00F23898" w:rsidRDefault="00F23898" w:rsidP="00F23898">
      <w:pPr>
        <w:pStyle w:val="BodyTextMain"/>
      </w:pPr>
      <w:r w:rsidRPr="00F23898">
        <w:t>The department prided itself on providing consumers with a multitude of choices.</w:t>
      </w:r>
      <w:r>
        <w:t xml:space="preserve"> </w:t>
      </w:r>
      <w:r w:rsidRPr="00F23898">
        <w:t>Homes were available in multiple price brackets and design styles.</w:t>
      </w:r>
      <w:r>
        <w:t xml:space="preserve"> </w:t>
      </w:r>
      <w:r w:rsidRPr="00F23898">
        <w:t xml:space="preserve">Some homes were built by </w:t>
      </w:r>
      <w:proofErr w:type="spellStart"/>
      <w:r w:rsidRPr="00F23898">
        <w:t>Sifton</w:t>
      </w:r>
      <w:proofErr w:type="spellEnd"/>
      <w:r w:rsidR="004A4A6B">
        <w:t>,</w:t>
      </w:r>
      <w:r w:rsidRPr="00F23898">
        <w:t xml:space="preserve"> and others were outsourced to local homebuilders.</w:t>
      </w:r>
      <w:r>
        <w:t xml:space="preserve"> </w:t>
      </w:r>
      <w:r w:rsidRPr="00F23898">
        <w:t>Consumers could choose to live in a private community setting or opt for a country-like atmosphere in the middle of London.</w:t>
      </w:r>
    </w:p>
    <w:p w14:paraId="2E103CEA" w14:textId="77777777" w:rsidR="00F23898" w:rsidRPr="00F23898" w:rsidRDefault="00F23898" w:rsidP="00F23898">
      <w:pPr>
        <w:pStyle w:val="BodyTextMain"/>
      </w:pPr>
    </w:p>
    <w:p w14:paraId="3FFDAA69" w14:textId="365CBC0C" w:rsidR="00F23898" w:rsidRPr="00F23898" w:rsidRDefault="00F23898" w:rsidP="00F23898">
      <w:pPr>
        <w:pStyle w:val="BodyTextMain"/>
      </w:pPr>
      <w:r w:rsidRPr="00F23898">
        <w:t>The success of the department was attributed to the flexibility, innovation</w:t>
      </w:r>
      <w:r w:rsidR="004A4A6B">
        <w:t>,</w:t>
      </w:r>
      <w:r w:rsidRPr="00F23898">
        <w:t xml:space="preserve"> and customer focus promoted by </w:t>
      </w:r>
      <w:r w:rsidR="004A4A6B">
        <w:t>the company p</w:t>
      </w:r>
      <w:r w:rsidRPr="00F23898">
        <w:t>resident</w:t>
      </w:r>
      <w:r w:rsidR="004A4A6B">
        <w:t>,</w:t>
      </w:r>
      <w:r w:rsidRPr="00F23898">
        <w:t xml:space="preserve"> Richard </w:t>
      </w:r>
      <w:proofErr w:type="spellStart"/>
      <w:r w:rsidRPr="00F23898">
        <w:t>Sifton</w:t>
      </w:r>
      <w:proofErr w:type="spellEnd"/>
      <w:r w:rsidRPr="00F23898">
        <w:t xml:space="preserve">. </w:t>
      </w:r>
      <w:proofErr w:type="spellStart"/>
      <w:r w:rsidRPr="00F23898">
        <w:t>Sifton</w:t>
      </w:r>
      <w:proofErr w:type="spellEnd"/>
      <w:r w:rsidRPr="00F23898">
        <w:t xml:space="preserve"> was the first real estate developer in Canada to install utilities and develop the first</w:t>
      </w:r>
      <w:r w:rsidR="004A4A6B">
        <w:t>-</w:t>
      </w:r>
      <w:r w:rsidRPr="00F23898">
        <w:t xml:space="preserve">ever gated golf community in </w:t>
      </w:r>
      <w:r w:rsidR="00D5650D">
        <w:t>S</w:t>
      </w:r>
      <w:r w:rsidRPr="00F23898">
        <w:t>outhwestern Ontario.</w:t>
      </w:r>
      <w:r>
        <w:t xml:space="preserve"> </w:t>
      </w:r>
      <w:r w:rsidRPr="00F23898">
        <w:t>Additionally, the company was responsible for the development of Canada</w:t>
      </w:r>
      <w:r w:rsidR="00A25968">
        <w:t>’</w:t>
      </w:r>
      <w:r w:rsidRPr="00F23898">
        <w:t>s first</w:t>
      </w:r>
      <w:r w:rsidR="00D5650D">
        <w:t>-</w:t>
      </w:r>
      <w:r w:rsidRPr="00F23898">
        <w:t>ever planned community, Oakridge Acres, and London</w:t>
      </w:r>
      <w:r w:rsidR="00A25968">
        <w:t>’</w:t>
      </w:r>
      <w:r w:rsidRPr="00F23898">
        <w:t>s first</w:t>
      </w:r>
      <w:r w:rsidR="00D5650D">
        <w:t>-</w:t>
      </w:r>
      <w:r w:rsidRPr="00F23898">
        <w:t>ever solar home.</w:t>
      </w:r>
    </w:p>
    <w:p w14:paraId="017F49FA" w14:textId="77777777" w:rsidR="00F23898" w:rsidRPr="00F23898" w:rsidRDefault="00F23898" w:rsidP="00F23898">
      <w:pPr>
        <w:pStyle w:val="BodyTextMain"/>
      </w:pPr>
    </w:p>
    <w:p w14:paraId="0B45A868" w14:textId="5CCC5698" w:rsidR="00F23898" w:rsidRPr="00F23898" w:rsidRDefault="00F23898" w:rsidP="00F23898">
      <w:pPr>
        <w:pStyle w:val="BodyTextMain"/>
      </w:pPr>
      <w:r w:rsidRPr="00F23898">
        <w:t xml:space="preserve">The development of the solar home came as no surprise to </w:t>
      </w:r>
      <w:r w:rsidR="0064233C">
        <w:t>those</w:t>
      </w:r>
      <w:r w:rsidRPr="00F23898">
        <w:t xml:space="preserve"> familiar with the company.</w:t>
      </w:r>
      <w:r>
        <w:t xml:space="preserve"> </w:t>
      </w:r>
      <w:proofErr w:type="spellStart"/>
      <w:r w:rsidRPr="00F23898">
        <w:t>Sifton</w:t>
      </w:r>
      <w:proofErr w:type="spellEnd"/>
      <w:r w:rsidRPr="00F23898">
        <w:t xml:space="preserve"> ha</w:t>
      </w:r>
      <w:r w:rsidR="00F87484">
        <w:t>d</w:t>
      </w:r>
      <w:r w:rsidRPr="00F23898">
        <w:t xml:space="preserve"> long been an environmentally and socially responsible company that readily </w:t>
      </w:r>
      <w:r w:rsidR="00495221" w:rsidRPr="00F23898">
        <w:t>contribute</w:t>
      </w:r>
      <w:r w:rsidR="00F87484">
        <w:t>d</w:t>
      </w:r>
      <w:r w:rsidRPr="00F23898">
        <w:t xml:space="preserve"> to community betterment.</w:t>
      </w:r>
      <w:r>
        <w:t xml:space="preserve"> </w:t>
      </w:r>
      <w:r w:rsidRPr="00F23898">
        <w:t xml:space="preserve">In 1962, Mowbray donated the </w:t>
      </w:r>
      <w:proofErr w:type="spellStart"/>
      <w:r w:rsidRPr="00F23898">
        <w:t>Sifton</w:t>
      </w:r>
      <w:proofErr w:type="spellEnd"/>
      <w:r w:rsidRPr="00F23898">
        <w:t xml:space="preserve"> Bog to the City of London</w:t>
      </w:r>
      <w:r w:rsidR="00D5650D">
        <w:t>,</w:t>
      </w:r>
      <w:r w:rsidRPr="00F23898">
        <w:t xml:space="preserve"> and the company continue</w:t>
      </w:r>
      <w:r w:rsidR="00F87484">
        <w:t>d</w:t>
      </w:r>
      <w:r w:rsidRPr="00F23898">
        <w:t xml:space="preserve"> to donate acres of parkland and environmentally sensitive lands.</w:t>
      </w:r>
      <w:r>
        <w:t xml:space="preserve"> </w:t>
      </w:r>
      <w:r w:rsidRPr="00F23898">
        <w:t xml:space="preserve">The company </w:t>
      </w:r>
      <w:r w:rsidR="00724D82" w:rsidRPr="00F23898">
        <w:t>preserve</w:t>
      </w:r>
      <w:r w:rsidR="00724D82">
        <w:t>d</w:t>
      </w:r>
      <w:r w:rsidR="00724D82" w:rsidRPr="00F23898">
        <w:t xml:space="preserve"> </w:t>
      </w:r>
      <w:proofErr w:type="spellStart"/>
      <w:r w:rsidRPr="00F23898">
        <w:t>Kains</w:t>
      </w:r>
      <w:proofErr w:type="spellEnd"/>
      <w:r w:rsidRPr="00F23898">
        <w:t xml:space="preserve"> Woods in conjunction with the City of London and regularly h</w:t>
      </w:r>
      <w:r w:rsidR="00724D82">
        <w:t>e</w:t>
      </w:r>
      <w:r w:rsidRPr="00F23898">
        <w:t>ld charitable events to benefit the community.</w:t>
      </w:r>
    </w:p>
    <w:p w14:paraId="0A5A542F" w14:textId="77777777" w:rsidR="00F23898" w:rsidRPr="00F23898" w:rsidRDefault="00F23898" w:rsidP="00F23898">
      <w:pPr>
        <w:pStyle w:val="BodyTextMain"/>
      </w:pPr>
    </w:p>
    <w:p w14:paraId="465C491B" w14:textId="22303B7F" w:rsidR="00F23898" w:rsidRDefault="00F23898" w:rsidP="00F23898">
      <w:pPr>
        <w:pStyle w:val="BodyTextMain"/>
      </w:pPr>
      <w:r w:rsidRPr="00F23898">
        <w:t xml:space="preserve">Although environmental responsibility was always important to </w:t>
      </w:r>
      <w:proofErr w:type="spellStart"/>
      <w:r w:rsidR="00D17111">
        <w:t>Sifton</w:t>
      </w:r>
      <w:proofErr w:type="spellEnd"/>
      <w:r w:rsidRPr="00F23898">
        <w:t xml:space="preserve">, </w:t>
      </w:r>
      <w:r w:rsidR="00D17111">
        <w:t xml:space="preserve">the company’s </w:t>
      </w:r>
      <w:r w:rsidRPr="00F23898">
        <w:t>environmental advocacy and performance had previously focused on land conservation.</w:t>
      </w:r>
      <w:r>
        <w:t xml:space="preserve"> </w:t>
      </w:r>
      <w:r w:rsidRPr="00F23898">
        <w:t>The development of London</w:t>
      </w:r>
      <w:r w:rsidR="00A25968">
        <w:t>’</w:t>
      </w:r>
      <w:r w:rsidRPr="00F23898">
        <w:t>s first solar home was the company</w:t>
      </w:r>
      <w:r w:rsidR="00A25968">
        <w:t>’</w:t>
      </w:r>
      <w:r w:rsidRPr="00F23898">
        <w:t>s first foray into the growing sustainable building industry.</w:t>
      </w:r>
    </w:p>
    <w:p w14:paraId="5D6D7194" w14:textId="77777777" w:rsidR="00F23898" w:rsidRPr="00F23898" w:rsidRDefault="00F23898" w:rsidP="00F23898">
      <w:pPr>
        <w:pStyle w:val="BodyTextMain"/>
      </w:pPr>
    </w:p>
    <w:p w14:paraId="4AAB17FA" w14:textId="77777777" w:rsidR="00F23898" w:rsidRPr="00F23898" w:rsidRDefault="00F23898" w:rsidP="00F23898">
      <w:pPr>
        <w:pStyle w:val="BodyTextMain"/>
      </w:pPr>
    </w:p>
    <w:p w14:paraId="20C3AA2A" w14:textId="77777777" w:rsidR="00F23898" w:rsidRPr="00F23898" w:rsidRDefault="00F23898" w:rsidP="00F23898">
      <w:pPr>
        <w:pStyle w:val="Casehead1"/>
        <w:keepNext/>
      </w:pPr>
      <w:r w:rsidRPr="00F23898">
        <w:t>SUSTAINABLE BUILDING INDUSTRY</w:t>
      </w:r>
    </w:p>
    <w:p w14:paraId="0D63C6A8" w14:textId="77777777" w:rsidR="00F23898" w:rsidRPr="00F23898" w:rsidRDefault="00F23898" w:rsidP="00F23898">
      <w:pPr>
        <w:pStyle w:val="BodyTextMain"/>
        <w:keepNext/>
      </w:pPr>
    </w:p>
    <w:p w14:paraId="47C8D3C0" w14:textId="77777777" w:rsidR="00F23898" w:rsidRPr="00F23898" w:rsidRDefault="00F23898" w:rsidP="00F23898">
      <w:pPr>
        <w:pStyle w:val="BodyTextMain"/>
        <w:keepNext/>
      </w:pPr>
      <w:r w:rsidRPr="00F23898">
        <w:t xml:space="preserve">Sustainability, in its simplest form, </w:t>
      </w:r>
      <w:r w:rsidR="00724D82">
        <w:t>wa</w:t>
      </w:r>
      <w:r w:rsidR="00724D82" w:rsidRPr="00F23898">
        <w:t xml:space="preserve">s </w:t>
      </w:r>
      <w:r w:rsidRPr="00F23898">
        <w:t>best defined as the ability to meet societal needs of the present without compromising the environmental, economic</w:t>
      </w:r>
      <w:r w:rsidR="00D5650D">
        <w:t>,</w:t>
      </w:r>
      <w:r w:rsidRPr="00F23898">
        <w:t xml:space="preserve"> and social needs of the future.</w:t>
      </w:r>
      <w:r>
        <w:t xml:space="preserve"> </w:t>
      </w:r>
      <w:r w:rsidRPr="00F23898">
        <w:t>Concerns over topics such as ozone depletion, climate change, human rights violations, war, famine</w:t>
      </w:r>
      <w:r w:rsidR="00D5650D">
        <w:t>,</w:t>
      </w:r>
      <w:r w:rsidRPr="00F23898">
        <w:t xml:space="preserve"> and social inequality ha</w:t>
      </w:r>
      <w:r w:rsidR="00724D82">
        <w:t>d</w:t>
      </w:r>
      <w:r w:rsidRPr="00F23898">
        <w:t xml:space="preserve"> combined to bring this concept to the forefront of the mind of the consumer.</w:t>
      </w:r>
      <w:r>
        <w:t xml:space="preserve"> </w:t>
      </w:r>
      <w:r w:rsidRPr="00F23898">
        <w:t xml:space="preserve">Consequently, many individuals </w:t>
      </w:r>
      <w:r w:rsidR="00724D82">
        <w:t>we</w:t>
      </w:r>
      <w:r w:rsidR="00724D82" w:rsidRPr="00F23898">
        <w:t xml:space="preserve">re </w:t>
      </w:r>
      <w:r w:rsidRPr="00F23898">
        <w:t>becoming aware of their own impact on the future of the planet.</w:t>
      </w:r>
      <w:r>
        <w:t xml:space="preserve"> </w:t>
      </w:r>
      <w:r w:rsidRPr="00F23898">
        <w:t xml:space="preserve">A new option </w:t>
      </w:r>
      <w:r w:rsidR="00724D82" w:rsidRPr="00F23898">
        <w:t>ha</w:t>
      </w:r>
      <w:r w:rsidR="00724D82">
        <w:t>d</w:t>
      </w:r>
      <w:r w:rsidR="00724D82" w:rsidRPr="00F23898">
        <w:t xml:space="preserve"> </w:t>
      </w:r>
      <w:r w:rsidRPr="00F23898">
        <w:t xml:space="preserve">emerged </w:t>
      </w:r>
      <w:r w:rsidRPr="00F23898">
        <w:lastRenderedPageBreak/>
        <w:t xml:space="preserve">to cater to consumers seeking to live in a home and community that </w:t>
      </w:r>
      <w:r w:rsidR="00724D82" w:rsidRPr="00F23898">
        <w:t>d</w:t>
      </w:r>
      <w:r w:rsidR="00724D82">
        <w:t>id</w:t>
      </w:r>
      <w:r w:rsidR="00724D82" w:rsidRPr="00F23898">
        <w:t xml:space="preserve"> </w:t>
      </w:r>
      <w:r w:rsidRPr="00F23898">
        <w:t>not compromise the future viability of the planet.</w:t>
      </w:r>
    </w:p>
    <w:p w14:paraId="7E7059D8" w14:textId="77777777" w:rsidR="00F23898" w:rsidRPr="00F23898" w:rsidRDefault="00F23898" w:rsidP="00F23898">
      <w:pPr>
        <w:pStyle w:val="BodyTextMain"/>
      </w:pPr>
    </w:p>
    <w:p w14:paraId="37339F4B" w14:textId="13E0943A" w:rsidR="00F23898" w:rsidRPr="00F23898" w:rsidRDefault="00F23898" w:rsidP="00F23898">
      <w:pPr>
        <w:pStyle w:val="BodyTextMain"/>
      </w:pPr>
      <w:r w:rsidRPr="00F23898">
        <w:t xml:space="preserve">Sustainable building, like sustainability, </w:t>
      </w:r>
      <w:r w:rsidR="00724D82">
        <w:t>wa</w:t>
      </w:r>
      <w:r w:rsidR="00724D82" w:rsidRPr="00F23898">
        <w:t xml:space="preserve">s </w:t>
      </w:r>
      <w:r w:rsidRPr="00F23898">
        <w:t xml:space="preserve">also about </w:t>
      </w:r>
      <w:r w:rsidRPr="00D17111">
        <w:t xml:space="preserve">meeting the needs </w:t>
      </w:r>
      <w:r w:rsidR="00724D82" w:rsidRPr="00D17111">
        <w:t>at the time</w:t>
      </w:r>
      <w:r w:rsidRPr="00F23898">
        <w:t xml:space="preserve"> without compromising the needs of future generations.</w:t>
      </w:r>
      <w:r>
        <w:t xml:space="preserve"> </w:t>
      </w:r>
      <w:r w:rsidRPr="00F23898">
        <w:t xml:space="preserve">However, the incorporation of the term </w:t>
      </w:r>
      <w:r w:rsidR="00A25968">
        <w:t>“</w:t>
      </w:r>
      <w:r w:rsidRPr="00F23898">
        <w:t>building</w:t>
      </w:r>
      <w:r w:rsidR="00A25968">
        <w:t>”</w:t>
      </w:r>
      <w:r w:rsidRPr="00F23898">
        <w:t xml:space="preserve"> </w:t>
      </w:r>
      <w:r w:rsidR="00724D82" w:rsidRPr="00F23898">
        <w:t>ensure</w:t>
      </w:r>
      <w:r w:rsidR="00724D82">
        <w:t>d</w:t>
      </w:r>
      <w:r w:rsidR="00724D82" w:rsidRPr="00F23898">
        <w:t xml:space="preserve"> </w:t>
      </w:r>
      <w:r w:rsidRPr="00F23898">
        <w:t xml:space="preserve">that the needs of tomorrow </w:t>
      </w:r>
      <w:r w:rsidR="00724D82">
        <w:t>we</w:t>
      </w:r>
      <w:r w:rsidR="00724D82" w:rsidRPr="00F23898">
        <w:t xml:space="preserve">re </w:t>
      </w:r>
      <w:r w:rsidRPr="00F23898">
        <w:t>growing.</w:t>
      </w:r>
      <w:r>
        <w:t xml:space="preserve"> </w:t>
      </w:r>
      <w:r w:rsidRPr="00F23898">
        <w:t xml:space="preserve">As the human population </w:t>
      </w:r>
      <w:r w:rsidR="00724D82" w:rsidRPr="00F23898">
        <w:t>gr</w:t>
      </w:r>
      <w:r w:rsidR="00724D82">
        <w:t>e</w:t>
      </w:r>
      <w:r w:rsidR="00724D82" w:rsidRPr="00F23898">
        <w:t>w</w:t>
      </w:r>
      <w:r w:rsidRPr="00F23898">
        <w:t xml:space="preserve">, so too </w:t>
      </w:r>
      <w:r w:rsidR="00724D82" w:rsidRPr="00F23898">
        <w:t>d</w:t>
      </w:r>
      <w:r w:rsidR="00724D82">
        <w:t>id</w:t>
      </w:r>
      <w:r w:rsidR="00724D82" w:rsidRPr="00F23898">
        <w:t xml:space="preserve"> </w:t>
      </w:r>
      <w:r w:rsidRPr="00F23898">
        <w:t xml:space="preserve">the need for </w:t>
      </w:r>
      <w:r w:rsidR="00495221" w:rsidRPr="00F23898">
        <w:t>infrastructure</w:t>
      </w:r>
      <w:r w:rsidRPr="00F23898">
        <w:t xml:space="preserve"> to support society.</w:t>
      </w:r>
      <w:r>
        <w:t xml:space="preserve"> </w:t>
      </w:r>
      <w:r w:rsidRPr="00F23898">
        <w:t xml:space="preserve">However, the creation of new infrastructure, whether it </w:t>
      </w:r>
      <w:r w:rsidR="00724D82">
        <w:t>wa</w:t>
      </w:r>
      <w:r w:rsidR="00724D82" w:rsidRPr="00F23898">
        <w:t xml:space="preserve">s </w:t>
      </w:r>
      <w:r w:rsidRPr="00F23898">
        <w:t xml:space="preserve">homes, office </w:t>
      </w:r>
      <w:r w:rsidR="008938E2" w:rsidRPr="00F23898">
        <w:t>buildings</w:t>
      </w:r>
      <w:r w:rsidR="008938E2">
        <w:t xml:space="preserve">, </w:t>
      </w:r>
      <w:r w:rsidR="008938E2" w:rsidRPr="00F23898">
        <w:t>or</w:t>
      </w:r>
      <w:r w:rsidRPr="00F23898">
        <w:t xml:space="preserve"> roads, </w:t>
      </w:r>
      <w:r w:rsidR="00724D82" w:rsidRPr="00F23898">
        <w:t>require</w:t>
      </w:r>
      <w:r w:rsidR="00724D82">
        <w:t>d</w:t>
      </w:r>
      <w:r w:rsidR="00724D82" w:rsidRPr="00F23898">
        <w:t xml:space="preserve"> </w:t>
      </w:r>
      <w:r w:rsidRPr="00F23898">
        <w:t xml:space="preserve">the use of new resources and new land on a planet that </w:t>
      </w:r>
      <w:r w:rsidR="00724D82" w:rsidRPr="00F23898">
        <w:t>ha</w:t>
      </w:r>
      <w:r w:rsidR="00724D82">
        <w:t>d</w:t>
      </w:r>
      <w:r w:rsidR="00724D82" w:rsidRPr="00F23898">
        <w:t xml:space="preserve"> </w:t>
      </w:r>
      <w:r w:rsidRPr="00F23898">
        <w:t>a finite amount of both.</w:t>
      </w:r>
      <w:r>
        <w:t xml:space="preserve"> </w:t>
      </w:r>
      <w:r w:rsidRPr="00F23898">
        <w:t xml:space="preserve">Thus, in order to meet the needs </w:t>
      </w:r>
      <w:r w:rsidR="00724D82">
        <w:t>at the time</w:t>
      </w:r>
      <w:r w:rsidRPr="00F23898">
        <w:t xml:space="preserve"> without compromising the needs of future generations, companies </w:t>
      </w:r>
      <w:r w:rsidR="00724D82">
        <w:t>we</w:t>
      </w:r>
      <w:r w:rsidR="00724D82" w:rsidRPr="00F23898">
        <w:t xml:space="preserve">re </w:t>
      </w:r>
      <w:r w:rsidRPr="00F23898">
        <w:t>engaging in sustainable building practices in order to limit the amount of resources used for the sake of growth.</w:t>
      </w:r>
      <w:r>
        <w:t xml:space="preserve"> </w:t>
      </w:r>
      <w:r w:rsidRPr="00F23898">
        <w:t xml:space="preserve">Given </w:t>
      </w:r>
      <w:proofErr w:type="spellStart"/>
      <w:r w:rsidRPr="00F23898">
        <w:t>Sifton</w:t>
      </w:r>
      <w:r w:rsidR="00A25968">
        <w:t>’</w:t>
      </w:r>
      <w:r w:rsidRPr="00F23898">
        <w:t>s</w:t>
      </w:r>
      <w:proofErr w:type="spellEnd"/>
      <w:r w:rsidRPr="00F23898">
        <w:t xml:space="preserve"> history of environmental and societal awareness, it came as no surprise when the company began planning its first sustainable community.</w:t>
      </w:r>
    </w:p>
    <w:p w14:paraId="5272C268" w14:textId="77777777" w:rsidR="00F23898" w:rsidRDefault="00F23898" w:rsidP="00F23898">
      <w:pPr>
        <w:pStyle w:val="BodyTextMain"/>
      </w:pPr>
    </w:p>
    <w:p w14:paraId="1798F889" w14:textId="77777777" w:rsidR="00F23898" w:rsidRPr="00F23898" w:rsidRDefault="00F23898" w:rsidP="00F23898">
      <w:pPr>
        <w:pStyle w:val="BodyTextMain"/>
      </w:pPr>
    </w:p>
    <w:p w14:paraId="628350B2" w14:textId="77777777" w:rsidR="00F23898" w:rsidRPr="00F23898" w:rsidRDefault="00F23898" w:rsidP="00F23898">
      <w:pPr>
        <w:pStyle w:val="Casehead1"/>
      </w:pPr>
      <w:r w:rsidRPr="00F23898">
        <w:t>RIVERBEND HEIGHTS</w:t>
      </w:r>
    </w:p>
    <w:p w14:paraId="62BBADF4" w14:textId="77777777" w:rsidR="00F23898" w:rsidRPr="00F23898" w:rsidRDefault="00F23898" w:rsidP="00F23898">
      <w:pPr>
        <w:pStyle w:val="BodyTextMain"/>
      </w:pPr>
    </w:p>
    <w:p w14:paraId="550D5C0E" w14:textId="77777777" w:rsidR="00F23898" w:rsidRPr="00F23898" w:rsidRDefault="00F23898" w:rsidP="00F23898">
      <w:pPr>
        <w:pStyle w:val="BodyTextMain"/>
      </w:pPr>
      <w:proofErr w:type="spellStart"/>
      <w:r w:rsidRPr="00F23898">
        <w:t>RiverBend</w:t>
      </w:r>
      <w:proofErr w:type="spellEnd"/>
      <w:r w:rsidRPr="00F23898">
        <w:t xml:space="preserve"> Heights was one of </w:t>
      </w:r>
      <w:proofErr w:type="spellStart"/>
      <w:r w:rsidRPr="00F23898">
        <w:t>Sifton</w:t>
      </w:r>
      <w:r w:rsidR="00A25968">
        <w:t>’</w:t>
      </w:r>
      <w:r w:rsidR="00D5650D">
        <w:t>s</w:t>
      </w:r>
      <w:proofErr w:type="spellEnd"/>
      <w:r w:rsidRPr="00F23898">
        <w:t xml:space="preserve"> newest community development projects.</w:t>
      </w:r>
      <w:r>
        <w:t xml:space="preserve"> </w:t>
      </w:r>
      <w:r w:rsidRPr="00F23898">
        <w:t xml:space="preserve">The development site was situated on </w:t>
      </w:r>
      <w:r w:rsidR="00626130" w:rsidRPr="0064233C">
        <w:t>70 acres</w:t>
      </w:r>
      <w:r w:rsidRPr="00F23898">
        <w:t xml:space="preserve"> of land between Oxford Street West and Shore Road in London, Ontario.</w:t>
      </w:r>
      <w:r>
        <w:t xml:space="preserve"> </w:t>
      </w:r>
      <w:proofErr w:type="spellStart"/>
      <w:r w:rsidRPr="00F23898">
        <w:t>Sifton</w:t>
      </w:r>
      <w:proofErr w:type="spellEnd"/>
      <w:r w:rsidRPr="00F23898">
        <w:t xml:space="preserve"> was already established in this particular area of London, as the company</w:t>
      </w:r>
      <w:r w:rsidR="00A25968">
        <w:t>’</w:t>
      </w:r>
      <w:r w:rsidRPr="00F23898">
        <w:t xml:space="preserve">s </w:t>
      </w:r>
      <w:proofErr w:type="spellStart"/>
      <w:r w:rsidRPr="00F23898">
        <w:t>RiverBend</w:t>
      </w:r>
      <w:proofErr w:type="spellEnd"/>
      <w:r w:rsidRPr="00F23898">
        <w:t xml:space="preserve"> Park community was situated nearby.</w:t>
      </w:r>
    </w:p>
    <w:p w14:paraId="7C916CEF" w14:textId="77777777" w:rsidR="00F23898" w:rsidRPr="00F23898" w:rsidRDefault="00F23898" w:rsidP="00F23898">
      <w:pPr>
        <w:pStyle w:val="BodyTextMain"/>
      </w:pPr>
    </w:p>
    <w:p w14:paraId="221AC507" w14:textId="2CC7B638" w:rsidR="00F23898" w:rsidRPr="00F23898" w:rsidRDefault="008A7ECC" w:rsidP="00F23898">
      <w:pPr>
        <w:pStyle w:val="BodyTextMain"/>
      </w:pPr>
      <w:r>
        <w:t>The n</w:t>
      </w:r>
      <w:r w:rsidR="00F23898" w:rsidRPr="00F23898">
        <w:t xml:space="preserve">eighbourhood </w:t>
      </w:r>
      <w:r w:rsidRPr="0009062A">
        <w:t>d</w:t>
      </w:r>
      <w:r w:rsidR="00F23898" w:rsidRPr="0009062A">
        <w:t>evelopments department had</w:t>
      </w:r>
      <w:r w:rsidR="00F23898" w:rsidRPr="00F23898">
        <w:t xml:space="preserve"> a clear vision of </w:t>
      </w:r>
      <w:proofErr w:type="spellStart"/>
      <w:r w:rsidR="00F23898" w:rsidRPr="00F23898">
        <w:t>RiverBend</w:t>
      </w:r>
      <w:proofErr w:type="spellEnd"/>
      <w:r w:rsidR="00F23898" w:rsidRPr="00F23898">
        <w:t xml:space="preserve"> Heights and the role it would play in the lives of those in the region.</w:t>
      </w:r>
      <w:r w:rsidR="00F23898">
        <w:t xml:space="preserve"> </w:t>
      </w:r>
      <w:r w:rsidR="00F23898" w:rsidRPr="00F23898">
        <w:t xml:space="preserve">With </w:t>
      </w:r>
      <w:proofErr w:type="spellStart"/>
      <w:r w:rsidR="00F23898" w:rsidRPr="00F23898">
        <w:t>RiverBend</w:t>
      </w:r>
      <w:proofErr w:type="spellEnd"/>
      <w:r w:rsidR="00F23898" w:rsidRPr="00F23898">
        <w:t xml:space="preserve"> Heights, the department sought to create a true community feel where inhabitants could meet all of their daily needs while simultaneously maintaining a healthy and environmentally friendly lifestyle.</w:t>
      </w:r>
      <w:r w:rsidR="00F23898">
        <w:t xml:space="preserve"> </w:t>
      </w:r>
      <w:r w:rsidR="00F23898" w:rsidRPr="00F23898">
        <w:t xml:space="preserve">In order to create this community feel, a main street, </w:t>
      </w:r>
      <w:proofErr w:type="spellStart"/>
      <w:r w:rsidR="00F23898" w:rsidRPr="00F23898">
        <w:t>RiverBend</w:t>
      </w:r>
      <w:proofErr w:type="spellEnd"/>
      <w:r w:rsidR="00F23898" w:rsidRPr="00F23898">
        <w:t xml:space="preserve"> Road, was created.</w:t>
      </w:r>
      <w:r w:rsidR="00F23898">
        <w:t xml:space="preserve"> </w:t>
      </w:r>
      <w:r w:rsidR="00F23898" w:rsidRPr="00F23898">
        <w:t>This road would house many of the businesses in the community and act as a community hub.</w:t>
      </w:r>
    </w:p>
    <w:p w14:paraId="78055BE1" w14:textId="77777777" w:rsidR="00F23898" w:rsidRPr="00F23898" w:rsidRDefault="00F23898" w:rsidP="00F23898">
      <w:pPr>
        <w:pStyle w:val="BodyTextMain"/>
      </w:pPr>
    </w:p>
    <w:p w14:paraId="00A2CBBD" w14:textId="04A63DFE" w:rsidR="00F23898" w:rsidRPr="00F23898" w:rsidRDefault="009957F6" w:rsidP="00F23898">
      <w:pPr>
        <w:pStyle w:val="BodyTextMain"/>
      </w:pPr>
      <w:r>
        <w:t>The development would create a community feel</w:t>
      </w:r>
      <w:r w:rsidR="00F23898" w:rsidRPr="00F23898">
        <w:t xml:space="preserve"> through the housing available to potential community inhabitants.</w:t>
      </w:r>
      <w:r w:rsidR="00F23898">
        <w:t xml:space="preserve"> </w:t>
      </w:r>
      <w:proofErr w:type="spellStart"/>
      <w:r w:rsidR="00F23898" w:rsidRPr="00F23898">
        <w:t>RiverBend</w:t>
      </w:r>
      <w:proofErr w:type="spellEnd"/>
      <w:r w:rsidR="00F23898" w:rsidRPr="00F23898">
        <w:t xml:space="preserve"> Heights would contain a mixture of medium to high</w:t>
      </w:r>
      <w:r w:rsidR="00AB129A">
        <w:t>-</w:t>
      </w:r>
      <w:r w:rsidR="00F23898" w:rsidRPr="00F23898">
        <w:t>density residential housing structures including townhouses, apartment buildings</w:t>
      </w:r>
      <w:r w:rsidR="00023CD7">
        <w:t>,</w:t>
      </w:r>
      <w:r w:rsidR="00F23898" w:rsidRPr="00F23898">
        <w:t xml:space="preserve"> and even some </w:t>
      </w:r>
      <w:r w:rsidR="00023CD7">
        <w:t>l</w:t>
      </w:r>
      <w:r w:rsidR="00F23898" w:rsidRPr="00F23898">
        <w:t>ive</w:t>
      </w:r>
      <w:r w:rsidR="00023CD7">
        <w:t xml:space="preserve"> and w</w:t>
      </w:r>
      <w:r w:rsidR="00F23898" w:rsidRPr="00F23898">
        <w:t>ork complexes.</w:t>
      </w:r>
      <w:r w:rsidR="00F23898">
        <w:t xml:space="preserve"> </w:t>
      </w:r>
      <w:r w:rsidR="00F23898" w:rsidRPr="00F23898">
        <w:t xml:space="preserve">Using the estimates from the City of London, </w:t>
      </w:r>
      <w:proofErr w:type="spellStart"/>
      <w:r w:rsidR="00F23898" w:rsidRPr="00F23898">
        <w:t>RiverBend</w:t>
      </w:r>
      <w:proofErr w:type="spellEnd"/>
      <w:r w:rsidR="00F23898" w:rsidRPr="00F23898">
        <w:t xml:space="preserve"> Heights could house approximately 3,200 permanent residents</w:t>
      </w:r>
      <w:r w:rsidR="00F23898">
        <w:t>.</w:t>
      </w:r>
      <w:r w:rsidR="00F23898" w:rsidRPr="00F23898">
        <w:rPr>
          <w:vertAlign w:val="superscript"/>
        </w:rPr>
        <w:footnoteReference w:id="3"/>
      </w:r>
    </w:p>
    <w:p w14:paraId="006ED506" w14:textId="77777777" w:rsidR="00F23898" w:rsidRPr="00F23898" w:rsidRDefault="00F23898" w:rsidP="00F23898">
      <w:pPr>
        <w:pStyle w:val="BodyTextMain"/>
      </w:pPr>
    </w:p>
    <w:p w14:paraId="22EE255B" w14:textId="777373CC" w:rsidR="00F23898" w:rsidRDefault="00F23898" w:rsidP="00F23898">
      <w:pPr>
        <w:pStyle w:val="BodyTextMain"/>
      </w:pPr>
      <w:r w:rsidRPr="00F23898">
        <w:t xml:space="preserve">To further enhance the community feel in </w:t>
      </w:r>
      <w:proofErr w:type="spellStart"/>
      <w:r w:rsidRPr="00F23898">
        <w:t>RiverBend</w:t>
      </w:r>
      <w:proofErr w:type="spellEnd"/>
      <w:r w:rsidRPr="00F23898">
        <w:t xml:space="preserve"> Heights, the </w:t>
      </w:r>
      <w:r w:rsidR="008A7ECC">
        <w:t>n</w:t>
      </w:r>
      <w:r w:rsidRPr="00F23898">
        <w:t xml:space="preserve">eighbourhood </w:t>
      </w:r>
      <w:r w:rsidR="008A7ECC" w:rsidRPr="0009062A">
        <w:t>d</w:t>
      </w:r>
      <w:r w:rsidRPr="0009062A">
        <w:t>evelopments department sought</w:t>
      </w:r>
      <w:r w:rsidRPr="00F23898">
        <w:t xml:space="preserve"> to install numerous features found in sustainable communities.</w:t>
      </w:r>
      <w:r>
        <w:t xml:space="preserve"> </w:t>
      </w:r>
      <w:r w:rsidRPr="00F23898">
        <w:t>Features such as recreational parks, bicycle paths</w:t>
      </w:r>
      <w:r w:rsidR="00D24D6E">
        <w:t>,</w:t>
      </w:r>
      <w:r w:rsidRPr="00F23898">
        <w:t xml:space="preserve"> and even a nature path were all being considered for installation in order to promote a sustainable lifestyle in the community.</w:t>
      </w:r>
      <w:r>
        <w:t xml:space="preserve"> </w:t>
      </w:r>
      <w:r w:rsidRPr="00F23898">
        <w:t xml:space="preserve">However, in order to make the community a </w:t>
      </w:r>
      <w:r w:rsidR="00D24D6E">
        <w:t xml:space="preserve">truly </w:t>
      </w:r>
      <w:r w:rsidRPr="00F23898">
        <w:t xml:space="preserve">sustainable one, the company decided to incorporate a sustainable community energy system for the residents and business owners of </w:t>
      </w:r>
      <w:proofErr w:type="spellStart"/>
      <w:r w:rsidRPr="00F23898">
        <w:t>RiverBend</w:t>
      </w:r>
      <w:proofErr w:type="spellEnd"/>
      <w:r w:rsidRPr="00F23898">
        <w:t xml:space="preserve"> Heights.</w:t>
      </w:r>
    </w:p>
    <w:p w14:paraId="251BE236" w14:textId="77777777" w:rsidR="001E75AF" w:rsidRPr="00F23898" w:rsidRDefault="001E75AF" w:rsidP="00F23898">
      <w:pPr>
        <w:pStyle w:val="BodyTextMain"/>
      </w:pPr>
    </w:p>
    <w:p w14:paraId="39C1F667" w14:textId="24EC854C" w:rsidR="00F23898" w:rsidRPr="00F23898" w:rsidRDefault="00F23898" w:rsidP="00F23898">
      <w:pPr>
        <w:pStyle w:val="BodyTextMain"/>
        <w:rPr>
          <w:rFonts w:eastAsia="Arial Unicode MS"/>
        </w:rPr>
      </w:pPr>
      <w:r w:rsidRPr="00F23898">
        <w:rPr>
          <w:rFonts w:eastAsia="Arial Unicode MS"/>
        </w:rPr>
        <w:t xml:space="preserve">The infrastructure in place at </w:t>
      </w:r>
      <w:proofErr w:type="spellStart"/>
      <w:r w:rsidRPr="00F23898">
        <w:rPr>
          <w:rFonts w:eastAsia="Arial Unicode MS"/>
        </w:rPr>
        <w:t>RiverBend</w:t>
      </w:r>
      <w:proofErr w:type="spellEnd"/>
      <w:r w:rsidRPr="00F23898">
        <w:rPr>
          <w:rFonts w:eastAsia="Arial Unicode MS"/>
        </w:rPr>
        <w:t xml:space="preserve"> Heights was worth approximately $30 million</w:t>
      </w:r>
      <w:r w:rsidR="00724D82">
        <w:rPr>
          <w:rFonts w:eastAsia="Arial Unicode MS"/>
        </w:rPr>
        <w:t>,</w:t>
      </w:r>
      <w:r w:rsidR="00FA7226">
        <w:rPr>
          <w:rStyle w:val="FootnoteReference"/>
          <w:rFonts w:eastAsia="Arial Unicode MS"/>
        </w:rPr>
        <w:footnoteReference w:id="4"/>
      </w:r>
      <w:r w:rsidR="00724D82">
        <w:rPr>
          <w:rFonts w:eastAsia="Arial Unicode MS"/>
        </w:rPr>
        <w:t xml:space="preserve"> no</w:t>
      </w:r>
      <w:r w:rsidRPr="00F23898">
        <w:rPr>
          <w:rFonts w:eastAsia="Arial Unicode MS"/>
        </w:rPr>
        <w:t>t including buildings.</w:t>
      </w:r>
      <w:r>
        <w:rPr>
          <w:rFonts w:eastAsia="Arial Unicode MS"/>
        </w:rPr>
        <w:t xml:space="preserve"> </w:t>
      </w:r>
      <w:r w:rsidRPr="00F23898">
        <w:rPr>
          <w:rFonts w:eastAsia="Arial Unicode MS"/>
        </w:rPr>
        <w:t xml:space="preserve">Clearly, the development of this community was not a small project for </w:t>
      </w:r>
      <w:proofErr w:type="spellStart"/>
      <w:r w:rsidR="00C24FE0">
        <w:rPr>
          <w:rFonts w:eastAsia="Arial Unicode MS"/>
        </w:rPr>
        <w:t>Sifton</w:t>
      </w:r>
      <w:proofErr w:type="spellEnd"/>
      <w:r w:rsidRPr="00F23898">
        <w:rPr>
          <w:rFonts w:eastAsia="Arial Unicode MS"/>
        </w:rPr>
        <w:t>.</w:t>
      </w:r>
      <w:r>
        <w:rPr>
          <w:rFonts w:eastAsia="Arial Unicode MS"/>
        </w:rPr>
        <w:t xml:space="preserve"> </w:t>
      </w:r>
      <w:r w:rsidRPr="00F23898">
        <w:rPr>
          <w:rFonts w:eastAsia="Arial Unicode MS"/>
        </w:rPr>
        <w:t xml:space="preserve">Although the company was committed to the installation of a sustainable community energy system in </w:t>
      </w:r>
      <w:proofErr w:type="spellStart"/>
      <w:r w:rsidRPr="00F23898">
        <w:rPr>
          <w:rFonts w:eastAsia="Arial Unicode MS"/>
        </w:rPr>
        <w:t>RiverBend</w:t>
      </w:r>
      <w:proofErr w:type="spellEnd"/>
      <w:r w:rsidRPr="00F23898">
        <w:rPr>
          <w:rFonts w:eastAsia="Arial Unicode MS"/>
        </w:rPr>
        <w:t xml:space="preserve"> Heights, given the financial scope of the project, the cost of such a system was of great importance. </w:t>
      </w:r>
      <w:r w:rsidRPr="00F23898">
        <w:rPr>
          <w:rFonts w:eastAsia="Arial Unicode MS"/>
        </w:rPr>
        <w:lastRenderedPageBreak/>
        <w:t>Additionally, the community energy systems that were being considered for implementation were designed to preserve the environment</w:t>
      </w:r>
      <w:r w:rsidR="009B1696">
        <w:rPr>
          <w:rFonts w:eastAsia="Arial Unicode MS"/>
        </w:rPr>
        <w:t>;</w:t>
      </w:r>
      <w:r w:rsidRPr="00F23898">
        <w:rPr>
          <w:rFonts w:eastAsia="Arial Unicode MS"/>
        </w:rPr>
        <w:t xml:space="preserve"> </w:t>
      </w:r>
      <w:r w:rsidR="00D24D6E">
        <w:rPr>
          <w:rFonts w:eastAsia="Arial Unicode MS"/>
        </w:rPr>
        <w:t xml:space="preserve">all of them </w:t>
      </w:r>
      <w:r w:rsidRPr="00F23898">
        <w:rPr>
          <w:rFonts w:eastAsia="Arial Unicode MS"/>
        </w:rPr>
        <w:t>did</w:t>
      </w:r>
      <w:r w:rsidR="00D24D6E">
        <w:rPr>
          <w:rFonts w:eastAsia="Arial Unicode MS"/>
        </w:rPr>
        <w:t xml:space="preserve"> </w:t>
      </w:r>
      <w:r w:rsidR="009D37F1">
        <w:rPr>
          <w:rFonts w:eastAsia="Arial Unicode MS"/>
        </w:rPr>
        <w:t>so</w:t>
      </w:r>
      <w:r w:rsidRPr="00F23898">
        <w:rPr>
          <w:rFonts w:eastAsia="Arial Unicode MS"/>
        </w:rPr>
        <w:t xml:space="preserve"> to varying degrees.</w:t>
      </w:r>
      <w:r w:rsidR="008938E2">
        <w:rPr>
          <w:rFonts w:eastAsia="Arial Unicode MS"/>
        </w:rPr>
        <w:t xml:space="preserve"> </w:t>
      </w:r>
      <w:r w:rsidRPr="00F23898">
        <w:rPr>
          <w:rFonts w:eastAsia="Arial Unicode MS"/>
        </w:rPr>
        <w:t xml:space="preserve">Consequently, the environmental impact of each system would need to be considered in conjunction with financial costs when deciding which system to install in </w:t>
      </w:r>
      <w:proofErr w:type="spellStart"/>
      <w:r w:rsidRPr="00F23898">
        <w:rPr>
          <w:rFonts w:eastAsia="Arial Unicode MS"/>
        </w:rPr>
        <w:t>RiverBend</w:t>
      </w:r>
      <w:proofErr w:type="spellEnd"/>
      <w:r w:rsidRPr="00F23898">
        <w:rPr>
          <w:rFonts w:eastAsia="Arial Unicode MS"/>
        </w:rPr>
        <w:t xml:space="preserve"> Heights.</w:t>
      </w:r>
    </w:p>
    <w:p w14:paraId="61169D84" w14:textId="77777777" w:rsidR="00F23898" w:rsidRDefault="00F23898" w:rsidP="00F23898">
      <w:pPr>
        <w:pStyle w:val="BodyTextMain"/>
        <w:rPr>
          <w:rFonts w:eastAsia="Arial Unicode MS"/>
        </w:rPr>
      </w:pPr>
    </w:p>
    <w:p w14:paraId="3BA5B176" w14:textId="77777777" w:rsidR="00424672" w:rsidRPr="00F23898" w:rsidRDefault="00424672" w:rsidP="00F23898">
      <w:pPr>
        <w:pStyle w:val="BodyTextMain"/>
        <w:rPr>
          <w:rFonts w:eastAsia="Arial Unicode MS"/>
        </w:rPr>
      </w:pPr>
    </w:p>
    <w:p w14:paraId="5E95D3E8" w14:textId="77777777" w:rsidR="00F23898" w:rsidRPr="00F23898" w:rsidRDefault="00F23898" w:rsidP="00424672">
      <w:pPr>
        <w:pStyle w:val="Casehead1"/>
        <w:rPr>
          <w:rFonts w:eastAsia="Arial Unicode MS"/>
        </w:rPr>
      </w:pPr>
      <w:r w:rsidRPr="00F23898">
        <w:rPr>
          <w:rFonts w:eastAsia="Arial Unicode MS"/>
        </w:rPr>
        <w:t>COMMUNITY ENERGY SYSTEM</w:t>
      </w:r>
    </w:p>
    <w:p w14:paraId="34EF5588" w14:textId="77777777" w:rsidR="00F23898" w:rsidRPr="00F23898" w:rsidRDefault="00F23898" w:rsidP="00F23898">
      <w:pPr>
        <w:pStyle w:val="BodyTextMain"/>
        <w:rPr>
          <w:rFonts w:eastAsia="Arial Unicode MS"/>
        </w:rPr>
      </w:pPr>
    </w:p>
    <w:p w14:paraId="5CB10B9C" w14:textId="72096FD6" w:rsidR="00F23898" w:rsidRPr="00F23898" w:rsidRDefault="00F23898" w:rsidP="00F23898">
      <w:pPr>
        <w:pStyle w:val="BodyTextMain"/>
        <w:rPr>
          <w:rFonts w:eastAsia="Arial Unicode MS"/>
        </w:rPr>
      </w:pPr>
      <w:r w:rsidRPr="00F23898">
        <w:rPr>
          <w:rFonts w:eastAsia="Arial Unicode MS"/>
        </w:rPr>
        <w:t>Sustainable community energy systems suppl</w:t>
      </w:r>
      <w:r w:rsidR="00FE49C1">
        <w:rPr>
          <w:rFonts w:eastAsia="Arial Unicode MS"/>
        </w:rPr>
        <w:t>ied</w:t>
      </w:r>
      <w:r w:rsidRPr="00F23898">
        <w:rPr>
          <w:rFonts w:eastAsia="Arial Unicode MS"/>
        </w:rPr>
        <w:t xml:space="preserve"> a community with clean and environmentally friendly energy by generating energy using renewable resources.</w:t>
      </w:r>
      <w:r>
        <w:rPr>
          <w:rFonts w:eastAsia="Arial Unicode MS"/>
        </w:rPr>
        <w:t xml:space="preserve"> </w:t>
      </w:r>
      <w:r w:rsidRPr="00F23898">
        <w:rPr>
          <w:rFonts w:eastAsia="Arial Unicode MS"/>
        </w:rPr>
        <w:t>The energy generated in such systems c</w:t>
      </w:r>
      <w:r w:rsidR="00FE49C1">
        <w:rPr>
          <w:rFonts w:eastAsia="Arial Unicode MS"/>
        </w:rPr>
        <w:t>ould</w:t>
      </w:r>
      <w:r w:rsidRPr="00F23898">
        <w:rPr>
          <w:rFonts w:eastAsia="Arial Unicode MS"/>
        </w:rPr>
        <w:t xml:space="preserve"> take the form of electricity, heating, cooling</w:t>
      </w:r>
      <w:r w:rsidR="009B1696">
        <w:rPr>
          <w:rFonts w:eastAsia="Arial Unicode MS"/>
        </w:rPr>
        <w:t>,</w:t>
      </w:r>
      <w:r w:rsidRPr="00F23898">
        <w:rPr>
          <w:rFonts w:eastAsia="Arial Unicode MS"/>
        </w:rPr>
        <w:t xml:space="preserve"> or a combination of these forms.</w:t>
      </w:r>
    </w:p>
    <w:p w14:paraId="0F174B46" w14:textId="77777777" w:rsidR="00F23898" w:rsidRPr="00F23898" w:rsidRDefault="00F23898" w:rsidP="00F23898">
      <w:pPr>
        <w:pStyle w:val="BodyTextMain"/>
        <w:rPr>
          <w:rFonts w:eastAsia="Arial Unicode MS"/>
        </w:rPr>
      </w:pPr>
    </w:p>
    <w:p w14:paraId="0BAF699D" w14:textId="3A0D0E85" w:rsidR="00F23898" w:rsidRPr="00F23898" w:rsidRDefault="00F23898" w:rsidP="00F23898">
      <w:pPr>
        <w:pStyle w:val="BodyTextMain"/>
        <w:rPr>
          <w:rFonts w:eastAsia="Arial Unicode MS"/>
        </w:rPr>
      </w:pPr>
      <w:r w:rsidRPr="00F23898">
        <w:rPr>
          <w:rFonts w:eastAsia="Arial Unicode MS"/>
        </w:rPr>
        <w:t xml:space="preserve">In the case of </w:t>
      </w:r>
      <w:proofErr w:type="spellStart"/>
      <w:r w:rsidRPr="00F23898">
        <w:rPr>
          <w:rFonts w:eastAsia="Arial Unicode MS"/>
        </w:rPr>
        <w:t>RiverBend</w:t>
      </w:r>
      <w:proofErr w:type="spellEnd"/>
      <w:r w:rsidRPr="00F23898">
        <w:rPr>
          <w:rFonts w:eastAsia="Arial Unicode MS"/>
        </w:rPr>
        <w:t xml:space="preserve"> Heights, top management at </w:t>
      </w:r>
      <w:proofErr w:type="spellStart"/>
      <w:r w:rsidRPr="00F23898">
        <w:rPr>
          <w:rFonts w:eastAsia="Arial Unicode MS"/>
        </w:rPr>
        <w:t>Sifton</w:t>
      </w:r>
      <w:proofErr w:type="spellEnd"/>
      <w:r w:rsidRPr="00F23898">
        <w:rPr>
          <w:rFonts w:eastAsia="Arial Unicode MS"/>
        </w:rPr>
        <w:t xml:space="preserve"> did not have a particular preference for the form of energy generated.</w:t>
      </w:r>
      <w:r>
        <w:rPr>
          <w:rFonts w:eastAsia="Arial Unicode MS"/>
        </w:rPr>
        <w:t xml:space="preserve"> </w:t>
      </w:r>
      <w:r w:rsidRPr="00F23898">
        <w:rPr>
          <w:rFonts w:eastAsia="Arial Unicode MS"/>
        </w:rPr>
        <w:t xml:space="preserve">However, budgetary concerns </w:t>
      </w:r>
      <w:r w:rsidR="009B1696">
        <w:rPr>
          <w:rFonts w:eastAsia="Arial Unicode MS"/>
        </w:rPr>
        <w:t xml:space="preserve">were </w:t>
      </w:r>
      <w:r w:rsidRPr="00F23898">
        <w:rPr>
          <w:rFonts w:eastAsia="Arial Unicode MS"/>
        </w:rPr>
        <w:t>associated with any system installed in the development project.</w:t>
      </w:r>
      <w:r>
        <w:rPr>
          <w:rFonts w:eastAsia="Arial Unicode MS"/>
        </w:rPr>
        <w:t xml:space="preserve"> </w:t>
      </w:r>
      <w:r w:rsidRPr="00F23898">
        <w:rPr>
          <w:rFonts w:eastAsia="Arial Unicode MS"/>
        </w:rPr>
        <w:t>First, the cost incurred by the company for the entire system, excluding ongoing maintenance costs, could not exceed $3 million.</w:t>
      </w:r>
      <w:r>
        <w:rPr>
          <w:rFonts w:eastAsia="Arial Unicode MS"/>
        </w:rPr>
        <w:t xml:space="preserve"> </w:t>
      </w:r>
      <w:r w:rsidRPr="00F23898">
        <w:rPr>
          <w:rFonts w:eastAsia="Arial Unicode MS"/>
        </w:rPr>
        <w:t xml:space="preserve">Second, as the owner and operator of most of the buildings in </w:t>
      </w:r>
      <w:proofErr w:type="spellStart"/>
      <w:r w:rsidRPr="00F23898">
        <w:rPr>
          <w:rFonts w:eastAsia="Arial Unicode MS"/>
        </w:rPr>
        <w:t>RiverBend</w:t>
      </w:r>
      <w:proofErr w:type="spellEnd"/>
      <w:r w:rsidRPr="00F23898">
        <w:rPr>
          <w:rFonts w:eastAsia="Arial Unicode MS"/>
        </w:rPr>
        <w:t xml:space="preserve"> Heights, </w:t>
      </w:r>
      <w:proofErr w:type="spellStart"/>
      <w:r w:rsidRPr="00F23898">
        <w:rPr>
          <w:rFonts w:eastAsia="Arial Unicode MS"/>
        </w:rPr>
        <w:t>Sifton</w:t>
      </w:r>
      <w:proofErr w:type="spellEnd"/>
      <w:r w:rsidRPr="00F23898">
        <w:rPr>
          <w:rFonts w:eastAsia="Arial Unicode MS"/>
        </w:rPr>
        <w:t xml:space="preserve"> would generally be responsible for ongoing energy generation costs.</w:t>
      </w:r>
      <w:r>
        <w:rPr>
          <w:rFonts w:eastAsia="Arial Unicode MS"/>
        </w:rPr>
        <w:t xml:space="preserve"> </w:t>
      </w:r>
      <w:r w:rsidRPr="00F23898">
        <w:rPr>
          <w:rFonts w:eastAsia="Arial Unicode MS"/>
        </w:rPr>
        <w:t>This dictated a 10</w:t>
      </w:r>
      <w:r w:rsidR="009B1696">
        <w:rPr>
          <w:rFonts w:eastAsia="Arial Unicode MS"/>
        </w:rPr>
        <w:t>-</w:t>
      </w:r>
      <w:r w:rsidRPr="00F23898">
        <w:rPr>
          <w:rFonts w:eastAsia="Arial Unicode MS"/>
        </w:rPr>
        <w:t>year payback period for the system as a result of cost savings from traditional energy sources (</w:t>
      </w:r>
      <w:r w:rsidR="00490465">
        <w:rPr>
          <w:rFonts w:eastAsia="Arial Unicode MS"/>
        </w:rPr>
        <w:t>h</w:t>
      </w:r>
      <w:r w:rsidR="00490465" w:rsidRPr="00F23898">
        <w:rPr>
          <w:rFonts w:eastAsia="Arial Unicode MS"/>
        </w:rPr>
        <w:t>ydroe</w:t>
      </w:r>
      <w:r w:rsidR="00490465">
        <w:rPr>
          <w:rFonts w:eastAsia="Arial Unicode MS"/>
        </w:rPr>
        <w:t>lectric</w:t>
      </w:r>
      <w:r w:rsidR="00F13131">
        <w:rPr>
          <w:rFonts w:eastAsia="Arial Unicode MS"/>
        </w:rPr>
        <w:t xml:space="preserve"> power </w:t>
      </w:r>
      <w:r w:rsidRPr="00F23898">
        <w:rPr>
          <w:rFonts w:eastAsia="Arial Unicode MS"/>
        </w:rPr>
        <w:t xml:space="preserve">and </w:t>
      </w:r>
      <w:r w:rsidR="00F13131">
        <w:rPr>
          <w:rFonts w:eastAsia="Arial Unicode MS"/>
        </w:rPr>
        <w:t>n</w:t>
      </w:r>
      <w:r w:rsidRPr="00F23898">
        <w:rPr>
          <w:rFonts w:eastAsia="Arial Unicode MS"/>
        </w:rPr>
        <w:t xml:space="preserve">atural </w:t>
      </w:r>
      <w:r w:rsidR="00F13131">
        <w:rPr>
          <w:rFonts w:eastAsia="Arial Unicode MS"/>
        </w:rPr>
        <w:t>g</w:t>
      </w:r>
      <w:r w:rsidRPr="00F23898">
        <w:rPr>
          <w:rFonts w:eastAsia="Arial Unicode MS"/>
        </w:rPr>
        <w:t>as).</w:t>
      </w:r>
    </w:p>
    <w:p w14:paraId="637373D1" w14:textId="77777777" w:rsidR="00F23898" w:rsidRPr="00F23898" w:rsidRDefault="00F23898" w:rsidP="00F23898">
      <w:pPr>
        <w:pStyle w:val="BodyTextMain"/>
        <w:rPr>
          <w:rFonts w:eastAsia="Arial Unicode MS"/>
        </w:rPr>
      </w:pPr>
    </w:p>
    <w:p w14:paraId="3B16FAA5" w14:textId="6564CFB8" w:rsidR="006B1F06" w:rsidRDefault="00F23898" w:rsidP="00FD6963">
      <w:pPr>
        <w:pStyle w:val="BodyTextMain"/>
        <w:rPr>
          <w:rFonts w:eastAsia="Arial Unicode MS"/>
        </w:rPr>
      </w:pPr>
      <w:r w:rsidRPr="00F23898">
        <w:rPr>
          <w:rFonts w:eastAsia="Arial Unicode MS"/>
        </w:rPr>
        <w:t xml:space="preserve">With these criteria in mind, the company investigated the installation of one of three different energy generation systems: ATES, </w:t>
      </w:r>
      <w:r w:rsidR="00E46EBE">
        <w:rPr>
          <w:rFonts w:eastAsia="Arial Unicode MS"/>
        </w:rPr>
        <w:t>s</w:t>
      </w:r>
      <w:r w:rsidRPr="00F23898">
        <w:rPr>
          <w:rFonts w:eastAsia="Arial Unicode MS"/>
        </w:rPr>
        <w:t xml:space="preserve">ewer </w:t>
      </w:r>
      <w:r w:rsidR="00E46EBE">
        <w:rPr>
          <w:rFonts w:eastAsia="Arial Unicode MS"/>
        </w:rPr>
        <w:t>h</w:t>
      </w:r>
      <w:r w:rsidRPr="00F23898">
        <w:rPr>
          <w:rFonts w:eastAsia="Arial Unicode MS"/>
        </w:rPr>
        <w:t xml:space="preserve">eat </w:t>
      </w:r>
      <w:r w:rsidR="00E46EBE">
        <w:rPr>
          <w:rFonts w:eastAsia="Arial Unicode MS"/>
        </w:rPr>
        <w:t>r</w:t>
      </w:r>
      <w:r w:rsidRPr="00F23898">
        <w:rPr>
          <w:rFonts w:eastAsia="Arial Unicode MS"/>
        </w:rPr>
        <w:t>ecovery</w:t>
      </w:r>
      <w:r w:rsidR="009B00F8">
        <w:rPr>
          <w:rFonts w:eastAsia="Arial Unicode MS"/>
        </w:rPr>
        <w:t>,</w:t>
      </w:r>
      <w:r w:rsidRPr="00F23898">
        <w:rPr>
          <w:rFonts w:eastAsia="Arial Unicode MS"/>
        </w:rPr>
        <w:t xml:space="preserve"> or </w:t>
      </w:r>
      <w:r w:rsidR="00E46EBE">
        <w:rPr>
          <w:rFonts w:eastAsia="Arial Unicode MS"/>
        </w:rPr>
        <w:t>a</w:t>
      </w:r>
      <w:r w:rsidRPr="00F23898">
        <w:rPr>
          <w:rFonts w:eastAsia="Arial Unicode MS"/>
        </w:rPr>
        <w:t xml:space="preserve">naerobic </w:t>
      </w:r>
      <w:r w:rsidR="00E46EBE">
        <w:rPr>
          <w:rFonts w:eastAsia="Arial Unicode MS"/>
        </w:rPr>
        <w:t>d</w:t>
      </w:r>
      <w:r w:rsidRPr="00F23898">
        <w:rPr>
          <w:rFonts w:eastAsia="Arial Unicode MS"/>
        </w:rPr>
        <w:t xml:space="preserve">igestion and </w:t>
      </w:r>
      <w:r w:rsidR="00E46EBE">
        <w:rPr>
          <w:rFonts w:eastAsia="Arial Unicode MS"/>
        </w:rPr>
        <w:t>c</w:t>
      </w:r>
      <w:r w:rsidRPr="00F23898">
        <w:rPr>
          <w:rFonts w:eastAsia="Arial Unicode MS"/>
        </w:rPr>
        <w:t>ogeneration.</w:t>
      </w:r>
      <w:r>
        <w:rPr>
          <w:rFonts w:eastAsia="Arial Unicode MS"/>
        </w:rPr>
        <w:t xml:space="preserve"> </w:t>
      </w:r>
      <w:r w:rsidRPr="00F23898">
        <w:rPr>
          <w:rFonts w:eastAsia="Arial Unicode MS"/>
        </w:rPr>
        <w:t>While some systems possessed greater energy</w:t>
      </w:r>
      <w:r w:rsidR="006B1F06">
        <w:rPr>
          <w:rFonts w:eastAsia="Arial Unicode MS"/>
        </w:rPr>
        <w:t>-</w:t>
      </w:r>
      <w:r w:rsidRPr="00F23898">
        <w:rPr>
          <w:rFonts w:eastAsia="Arial Unicode MS"/>
        </w:rPr>
        <w:t>generation capabilities than others, the environmental and social impacts of each potential system were also critically important to the company.</w:t>
      </w:r>
      <w:r>
        <w:rPr>
          <w:rFonts w:eastAsia="Arial Unicode MS"/>
        </w:rPr>
        <w:t xml:space="preserve"> </w:t>
      </w:r>
      <w:r w:rsidRPr="00F23898">
        <w:rPr>
          <w:rFonts w:eastAsia="Arial Unicode MS"/>
        </w:rPr>
        <w:t>Additionally, the size of the development project made it financially impossible to supply all community</w:t>
      </w:r>
      <w:r w:rsidR="006B1F06">
        <w:rPr>
          <w:rFonts w:eastAsia="Arial Unicode MS"/>
        </w:rPr>
        <w:t>-</w:t>
      </w:r>
      <w:r w:rsidRPr="00F23898">
        <w:rPr>
          <w:rFonts w:eastAsia="Arial Unicode MS"/>
        </w:rPr>
        <w:t>resident needs with sustainable community energy sources.</w:t>
      </w:r>
      <w:r>
        <w:rPr>
          <w:rFonts w:eastAsia="Arial Unicode MS"/>
        </w:rPr>
        <w:t xml:space="preserve"> </w:t>
      </w:r>
      <w:r w:rsidRPr="00F23898">
        <w:rPr>
          <w:rFonts w:eastAsia="Arial Unicode MS"/>
        </w:rPr>
        <w:t xml:space="preserve">Consequently, top management was interested in seeing </w:t>
      </w:r>
      <w:r w:rsidR="00FD6963">
        <w:rPr>
          <w:rFonts w:eastAsia="Arial Unicode MS"/>
        </w:rPr>
        <w:t>the</w:t>
      </w:r>
      <w:r w:rsidRPr="00F23898">
        <w:rPr>
          <w:rFonts w:eastAsia="Arial Unicode MS"/>
        </w:rPr>
        <w:t xml:space="preserve"> average </w:t>
      </w:r>
      <w:r w:rsidR="00FD6963">
        <w:rPr>
          <w:rFonts w:eastAsia="Arial Unicode MS"/>
        </w:rPr>
        <w:t xml:space="preserve">number of </w:t>
      </w:r>
      <w:r w:rsidRPr="00F23898">
        <w:rPr>
          <w:rFonts w:eastAsia="Arial Unicode MS"/>
        </w:rPr>
        <w:t>residents it could supply with clean energy.</w:t>
      </w:r>
      <w:r>
        <w:rPr>
          <w:rFonts w:eastAsia="Arial Unicode MS"/>
        </w:rPr>
        <w:t xml:space="preserve"> </w:t>
      </w:r>
    </w:p>
    <w:p w14:paraId="7B9A68ED" w14:textId="77777777" w:rsidR="006B1F06" w:rsidRDefault="006B1F06" w:rsidP="00FD6963">
      <w:pPr>
        <w:pStyle w:val="BodyTextMain"/>
        <w:rPr>
          <w:rFonts w:eastAsia="Arial Unicode MS"/>
        </w:rPr>
      </w:pPr>
    </w:p>
    <w:p w14:paraId="6DB835E5" w14:textId="6781B27D" w:rsidR="00547E5D" w:rsidRPr="00D05E50" w:rsidRDefault="00F23898" w:rsidP="00FD6963">
      <w:pPr>
        <w:pStyle w:val="BodyTextMain"/>
      </w:pPr>
      <w:r w:rsidRPr="00F23898">
        <w:rPr>
          <w:rFonts w:eastAsia="Arial Unicode MS"/>
        </w:rPr>
        <w:t>In 2007, the average household in Ontario used approximately 32 gigajoules (GJ), or 8,888.88 kilowatt hours (kWh), per year of electricity.</w:t>
      </w:r>
      <w:r>
        <w:rPr>
          <w:rFonts w:eastAsia="Arial Unicode MS"/>
        </w:rPr>
        <w:t xml:space="preserve"> </w:t>
      </w:r>
      <w:r w:rsidRPr="00F23898">
        <w:rPr>
          <w:rFonts w:eastAsia="Arial Unicode MS"/>
        </w:rPr>
        <w:t>Additionally, the average household in Ontario used 90 GJ</w:t>
      </w:r>
      <w:r w:rsidR="002B2D89">
        <w:rPr>
          <w:rFonts w:eastAsia="Arial Unicode MS"/>
        </w:rPr>
        <w:t>,</w:t>
      </w:r>
      <w:r w:rsidRPr="00F23898">
        <w:rPr>
          <w:rFonts w:eastAsia="Arial Unicode MS"/>
        </w:rPr>
        <w:t xml:space="preserve"> or 25,000 kWh</w:t>
      </w:r>
      <w:r w:rsidR="002B2D89">
        <w:rPr>
          <w:rFonts w:eastAsia="Arial Unicode MS"/>
        </w:rPr>
        <w:t>,</w:t>
      </w:r>
      <w:r w:rsidRPr="00F23898">
        <w:rPr>
          <w:rFonts w:eastAsia="Arial Unicode MS"/>
        </w:rPr>
        <w:t xml:space="preserve"> of natural gas for heating</w:t>
      </w:r>
      <w:r w:rsidR="00424672">
        <w:rPr>
          <w:rFonts w:eastAsia="Arial Unicode MS"/>
        </w:rPr>
        <w:t>.</w:t>
      </w:r>
      <w:r w:rsidRPr="00424672">
        <w:rPr>
          <w:rFonts w:eastAsia="Arial Unicode MS"/>
          <w:vertAlign w:val="superscript"/>
        </w:rPr>
        <w:footnoteReference w:id="5"/>
      </w:r>
      <w:r>
        <w:rPr>
          <w:rFonts w:eastAsia="Arial Unicode MS"/>
        </w:rPr>
        <w:t xml:space="preserve"> </w:t>
      </w:r>
      <w:r w:rsidRPr="00F23898">
        <w:rPr>
          <w:rFonts w:eastAsia="Arial Unicode MS"/>
        </w:rPr>
        <w:t>Considering the average household in Ontario contained 2.68 people</w:t>
      </w:r>
      <w:r w:rsidR="006B1F06">
        <w:rPr>
          <w:rFonts w:eastAsia="Arial Unicode MS"/>
        </w:rPr>
        <w:t>,</w:t>
      </w:r>
      <w:r w:rsidRPr="00424672">
        <w:rPr>
          <w:rFonts w:eastAsia="Arial Unicode MS"/>
          <w:vertAlign w:val="superscript"/>
        </w:rPr>
        <w:footnoteReference w:id="6"/>
      </w:r>
      <w:r w:rsidRPr="00F23898">
        <w:rPr>
          <w:rFonts w:eastAsia="Arial Unicode MS"/>
        </w:rPr>
        <w:t xml:space="preserve"> the company estimated that each resident of </w:t>
      </w:r>
      <w:proofErr w:type="spellStart"/>
      <w:r w:rsidRPr="00F23898">
        <w:rPr>
          <w:rFonts w:eastAsia="Arial Unicode MS"/>
        </w:rPr>
        <w:t>RiverBend</w:t>
      </w:r>
      <w:proofErr w:type="spellEnd"/>
      <w:r w:rsidRPr="00F23898">
        <w:rPr>
          <w:rFonts w:eastAsia="Arial Unicode MS"/>
        </w:rPr>
        <w:t xml:space="preserve"> Heights would require 11.94 GJ</w:t>
      </w:r>
      <w:r w:rsidR="00E46EBE">
        <w:rPr>
          <w:rFonts w:eastAsia="Arial Unicode MS"/>
        </w:rPr>
        <w:t xml:space="preserve"> per </w:t>
      </w:r>
      <w:r w:rsidRPr="00F23898">
        <w:rPr>
          <w:rFonts w:eastAsia="Arial Unicode MS"/>
        </w:rPr>
        <w:t>year</w:t>
      </w:r>
      <w:r w:rsidR="002B2D89">
        <w:rPr>
          <w:rFonts w:eastAsia="Arial Unicode MS"/>
        </w:rPr>
        <w:t>,</w:t>
      </w:r>
      <w:r w:rsidRPr="00F23898">
        <w:rPr>
          <w:rFonts w:eastAsia="Arial Unicode MS"/>
        </w:rPr>
        <w:t xml:space="preserve"> or 3,316.75 kWh</w:t>
      </w:r>
      <w:r w:rsidR="00E46EBE">
        <w:rPr>
          <w:rFonts w:eastAsia="Arial Unicode MS"/>
        </w:rPr>
        <w:t xml:space="preserve"> per </w:t>
      </w:r>
      <w:r w:rsidRPr="00F23898">
        <w:rPr>
          <w:rFonts w:eastAsia="Arial Unicode MS"/>
        </w:rPr>
        <w:t>year</w:t>
      </w:r>
      <w:r w:rsidR="006B1F06">
        <w:rPr>
          <w:rFonts w:eastAsia="Arial Unicode MS"/>
        </w:rPr>
        <w:t>,</w:t>
      </w:r>
      <w:r w:rsidRPr="00F23898">
        <w:rPr>
          <w:rFonts w:eastAsia="Arial Unicode MS"/>
        </w:rPr>
        <w:t xml:space="preserve"> for electricity</w:t>
      </w:r>
      <w:r w:rsidR="006B1F06">
        <w:rPr>
          <w:rFonts w:eastAsia="Arial Unicode MS"/>
        </w:rPr>
        <w:t>;</w:t>
      </w:r>
      <w:r w:rsidRPr="00F23898">
        <w:rPr>
          <w:rFonts w:eastAsia="Arial Unicode MS"/>
        </w:rPr>
        <w:t xml:space="preserve"> and 33.58 GJ</w:t>
      </w:r>
      <w:r w:rsidR="008D1DFB">
        <w:rPr>
          <w:rFonts w:eastAsia="Arial Unicode MS"/>
        </w:rPr>
        <w:t xml:space="preserve"> </w:t>
      </w:r>
      <w:r w:rsidR="00E46EBE">
        <w:rPr>
          <w:rFonts w:eastAsia="Arial Unicode MS"/>
        </w:rPr>
        <w:t xml:space="preserve">per </w:t>
      </w:r>
      <w:r w:rsidRPr="00F23898">
        <w:rPr>
          <w:rFonts w:eastAsia="Arial Unicode MS"/>
        </w:rPr>
        <w:t>year</w:t>
      </w:r>
      <w:r w:rsidR="002B2D89">
        <w:rPr>
          <w:rFonts w:eastAsia="Arial Unicode MS"/>
        </w:rPr>
        <w:t>,</w:t>
      </w:r>
      <w:r w:rsidRPr="00F23898">
        <w:rPr>
          <w:rFonts w:eastAsia="Arial Unicode MS"/>
        </w:rPr>
        <w:t xml:space="preserve"> or 9,328 kWh</w:t>
      </w:r>
      <w:r w:rsidR="002B2D89">
        <w:rPr>
          <w:rFonts w:eastAsia="Arial Unicode MS"/>
        </w:rPr>
        <w:t>,</w:t>
      </w:r>
      <w:r w:rsidR="00E46EBE">
        <w:rPr>
          <w:rFonts w:eastAsia="Arial Unicode MS"/>
        </w:rPr>
        <w:t xml:space="preserve"> per </w:t>
      </w:r>
      <w:r w:rsidRPr="00F23898">
        <w:rPr>
          <w:rFonts w:eastAsia="Arial Unicode MS"/>
        </w:rPr>
        <w:t>year for heating.</w:t>
      </w:r>
      <w:r w:rsidR="002B2D89">
        <w:rPr>
          <w:rStyle w:val="FootnoteReference"/>
          <w:rFonts w:eastAsia="Arial Unicode MS"/>
        </w:rPr>
        <w:footnoteReference w:id="7"/>
      </w:r>
      <w:r w:rsidR="00547E5D">
        <w:rPr>
          <w:rFonts w:eastAsia="Arial Unicode MS"/>
        </w:rPr>
        <w:t xml:space="preserve"> </w:t>
      </w:r>
    </w:p>
    <w:p w14:paraId="4EF87E50" w14:textId="77777777" w:rsidR="00F23898" w:rsidRPr="00F23898" w:rsidRDefault="00F23898" w:rsidP="00F23898">
      <w:pPr>
        <w:pStyle w:val="BodyTextMain"/>
        <w:rPr>
          <w:rFonts w:eastAsia="Arial Unicode MS"/>
        </w:rPr>
      </w:pPr>
    </w:p>
    <w:p w14:paraId="2E12A119" w14:textId="77777777" w:rsidR="00F23898" w:rsidRDefault="00F23898" w:rsidP="00F23898">
      <w:pPr>
        <w:pStyle w:val="BodyTextMain"/>
        <w:rPr>
          <w:rFonts w:eastAsia="Arial Unicode MS"/>
        </w:rPr>
      </w:pPr>
    </w:p>
    <w:p w14:paraId="1BBB145A" w14:textId="77777777" w:rsidR="00F23898" w:rsidRPr="00F23898" w:rsidRDefault="00F23898" w:rsidP="00424672">
      <w:pPr>
        <w:pStyle w:val="Casehead2"/>
        <w:rPr>
          <w:rFonts w:eastAsia="Arial Unicode MS"/>
        </w:rPr>
      </w:pPr>
      <w:r w:rsidRPr="00F23898">
        <w:rPr>
          <w:rFonts w:eastAsia="Arial Unicode MS"/>
        </w:rPr>
        <w:t>Aquifer Thermal Energy Storage (</w:t>
      </w:r>
      <w:r w:rsidR="00E46EBE">
        <w:rPr>
          <w:rFonts w:eastAsia="Arial Unicode MS"/>
        </w:rPr>
        <w:t>ATES)—</w:t>
      </w:r>
      <w:r w:rsidRPr="00F23898">
        <w:rPr>
          <w:rFonts w:eastAsia="Arial Unicode MS"/>
        </w:rPr>
        <w:t>Solar Heating</w:t>
      </w:r>
    </w:p>
    <w:p w14:paraId="7308731F" w14:textId="77777777" w:rsidR="00F23898" w:rsidRPr="00F23898" w:rsidRDefault="00F23898" w:rsidP="00F23898">
      <w:pPr>
        <w:pStyle w:val="BodyTextMain"/>
        <w:rPr>
          <w:rFonts w:eastAsia="Arial Unicode MS"/>
        </w:rPr>
      </w:pPr>
    </w:p>
    <w:p w14:paraId="26354F78" w14:textId="2DA84AAD" w:rsidR="00F23898" w:rsidRPr="00F23898" w:rsidRDefault="00F23898" w:rsidP="00F23898">
      <w:pPr>
        <w:pStyle w:val="BodyTextMain"/>
        <w:rPr>
          <w:rFonts w:eastAsia="Arial Unicode MS"/>
        </w:rPr>
      </w:pPr>
      <w:r w:rsidRPr="00F23898">
        <w:rPr>
          <w:rFonts w:eastAsia="Arial Unicode MS"/>
        </w:rPr>
        <w:t xml:space="preserve">In many locations throughout the world, water </w:t>
      </w:r>
      <w:r w:rsidR="009D2864">
        <w:rPr>
          <w:rFonts w:eastAsia="Arial Unicode MS"/>
        </w:rPr>
        <w:t>wa</w:t>
      </w:r>
      <w:r w:rsidRPr="00F23898">
        <w:rPr>
          <w:rFonts w:eastAsia="Arial Unicode MS"/>
        </w:rPr>
        <w:t>s stored underground in a layer of permeated rock or soil known as an aquifer.</w:t>
      </w:r>
      <w:r>
        <w:rPr>
          <w:rFonts w:eastAsia="Arial Unicode MS"/>
        </w:rPr>
        <w:t xml:space="preserve"> </w:t>
      </w:r>
      <w:r w:rsidR="009D2864">
        <w:rPr>
          <w:rFonts w:eastAsia="Arial Unicode MS"/>
        </w:rPr>
        <w:t>M</w:t>
      </w:r>
      <w:r w:rsidRPr="00F23898">
        <w:rPr>
          <w:rFonts w:eastAsia="Arial Unicode MS"/>
        </w:rPr>
        <w:t>ainly in Europe, the storage potential of aquifers had been leveraged for renewable energy generation.</w:t>
      </w:r>
      <w:r>
        <w:rPr>
          <w:rFonts w:eastAsia="Arial Unicode MS"/>
        </w:rPr>
        <w:t xml:space="preserve"> </w:t>
      </w:r>
      <w:r w:rsidRPr="00F23898">
        <w:rPr>
          <w:rFonts w:eastAsia="Arial Unicode MS"/>
        </w:rPr>
        <w:t>Aquifers act</w:t>
      </w:r>
      <w:r w:rsidR="009D2864">
        <w:rPr>
          <w:rFonts w:eastAsia="Arial Unicode MS"/>
        </w:rPr>
        <w:t>ed</w:t>
      </w:r>
      <w:r w:rsidRPr="00F23898">
        <w:rPr>
          <w:rFonts w:eastAsia="Arial Unicode MS"/>
        </w:rPr>
        <w:t xml:space="preserve"> as excellent energy storage systems</w:t>
      </w:r>
      <w:r w:rsidR="00C7381E">
        <w:rPr>
          <w:rFonts w:eastAsia="Arial Unicode MS"/>
        </w:rPr>
        <w:t xml:space="preserve"> because</w:t>
      </w:r>
      <w:r w:rsidRPr="00F23898">
        <w:rPr>
          <w:rFonts w:eastAsia="Arial Unicode MS"/>
        </w:rPr>
        <w:t xml:space="preserve"> the underground layer </w:t>
      </w:r>
      <w:r w:rsidR="009D2864" w:rsidRPr="00F23898">
        <w:rPr>
          <w:rFonts w:eastAsia="Arial Unicode MS"/>
        </w:rPr>
        <w:t>allow</w:t>
      </w:r>
      <w:r w:rsidR="009D2864">
        <w:rPr>
          <w:rFonts w:eastAsia="Arial Unicode MS"/>
        </w:rPr>
        <w:t>ed</w:t>
      </w:r>
      <w:r w:rsidR="009D2864" w:rsidRPr="00F23898">
        <w:rPr>
          <w:rFonts w:eastAsia="Arial Unicode MS"/>
        </w:rPr>
        <w:t xml:space="preserve"> </w:t>
      </w:r>
      <w:r w:rsidRPr="00F23898">
        <w:rPr>
          <w:rFonts w:eastAsia="Arial Unicode MS"/>
        </w:rPr>
        <w:t>for the maintenance of water temperature.</w:t>
      </w:r>
      <w:r>
        <w:rPr>
          <w:rFonts w:eastAsia="Arial Unicode MS"/>
        </w:rPr>
        <w:t xml:space="preserve"> </w:t>
      </w:r>
      <w:r w:rsidRPr="00F23898">
        <w:rPr>
          <w:rFonts w:eastAsia="Arial Unicode MS"/>
        </w:rPr>
        <w:t xml:space="preserve">In an ATES system, warm water </w:t>
      </w:r>
      <w:r w:rsidR="009D2864">
        <w:rPr>
          <w:rFonts w:eastAsia="Arial Unicode MS"/>
        </w:rPr>
        <w:t>wa</w:t>
      </w:r>
      <w:r w:rsidRPr="00F23898">
        <w:rPr>
          <w:rFonts w:eastAsia="Arial Unicode MS"/>
        </w:rPr>
        <w:t>s circulated throughout a community</w:t>
      </w:r>
      <w:r w:rsidR="00A25968">
        <w:rPr>
          <w:rFonts w:eastAsia="Arial Unicode MS"/>
        </w:rPr>
        <w:t>’</w:t>
      </w:r>
      <w:r w:rsidRPr="00F23898">
        <w:rPr>
          <w:rFonts w:eastAsia="Arial Unicode MS"/>
        </w:rPr>
        <w:t>s infrastructure through piping in order to provide heat during winter months.</w:t>
      </w:r>
      <w:r>
        <w:rPr>
          <w:rFonts w:eastAsia="Arial Unicode MS"/>
        </w:rPr>
        <w:t xml:space="preserve"> </w:t>
      </w:r>
      <w:r w:rsidRPr="00F23898">
        <w:rPr>
          <w:rFonts w:eastAsia="Arial Unicode MS"/>
        </w:rPr>
        <w:t xml:space="preserve">As </w:t>
      </w:r>
      <w:r w:rsidRPr="00F23898">
        <w:rPr>
          <w:rFonts w:eastAsia="Arial Unicode MS"/>
        </w:rPr>
        <w:lastRenderedPageBreak/>
        <w:t xml:space="preserve">the water </w:t>
      </w:r>
      <w:r w:rsidR="009D2864" w:rsidRPr="00F23898">
        <w:rPr>
          <w:rFonts w:eastAsia="Arial Unicode MS"/>
        </w:rPr>
        <w:t>move</w:t>
      </w:r>
      <w:r w:rsidR="009D2864">
        <w:rPr>
          <w:rFonts w:eastAsia="Arial Unicode MS"/>
        </w:rPr>
        <w:t>d</w:t>
      </w:r>
      <w:r w:rsidR="009D2864" w:rsidRPr="00F23898">
        <w:rPr>
          <w:rFonts w:eastAsia="Arial Unicode MS"/>
        </w:rPr>
        <w:t xml:space="preserve"> </w:t>
      </w:r>
      <w:r w:rsidRPr="00F23898">
        <w:rPr>
          <w:rFonts w:eastAsia="Arial Unicode MS"/>
        </w:rPr>
        <w:t xml:space="preserve">throughout the community losing heat, it slowly </w:t>
      </w:r>
      <w:r w:rsidR="009D2864" w:rsidRPr="00F23898">
        <w:rPr>
          <w:rFonts w:eastAsia="Arial Unicode MS"/>
        </w:rPr>
        <w:t>decrease</w:t>
      </w:r>
      <w:r w:rsidR="009D2864">
        <w:rPr>
          <w:rFonts w:eastAsia="Arial Unicode MS"/>
        </w:rPr>
        <w:t>d</w:t>
      </w:r>
      <w:r w:rsidR="009D2864" w:rsidRPr="00F23898">
        <w:rPr>
          <w:rFonts w:eastAsia="Arial Unicode MS"/>
        </w:rPr>
        <w:t xml:space="preserve"> </w:t>
      </w:r>
      <w:r w:rsidRPr="00F23898">
        <w:rPr>
          <w:rFonts w:eastAsia="Arial Unicode MS"/>
        </w:rPr>
        <w:t>in temperature.</w:t>
      </w:r>
      <w:r>
        <w:rPr>
          <w:rFonts w:eastAsia="Arial Unicode MS"/>
        </w:rPr>
        <w:t xml:space="preserve"> </w:t>
      </w:r>
      <w:r w:rsidRPr="00F23898">
        <w:rPr>
          <w:rFonts w:eastAsia="Arial Unicode MS"/>
        </w:rPr>
        <w:t xml:space="preserve">Once its circuit </w:t>
      </w:r>
      <w:r w:rsidR="009D2864">
        <w:rPr>
          <w:rFonts w:eastAsia="Arial Unicode MS"/>
        </w:rPr>
        <w:t>wa</w:t>
      </w:r>
      <w:r w:rsidRPr="00F23898">
        <w:rPr>
          <w:rFonts w:eastAsia="Arial Unicode MS"/>
        </w:rPr>
        <w:t>s complete, the now</w:t>
      </w:r>
      <w:r w:rsidR="00E46EBE">
        <w:rPr>
          <w:rFonts w:eastAsia="Arial Unicode MS"/>
        </w:rPr>
        <w:t>-</w:t>
      </w:r>
      <w:r w:rsidRPr="00F23898">
        <w:rPr>
          <w:rFonts w:eastAsia="Arial Unicode MS"/>
        </w:rPr>
        <w:t xml:space="preserve">cold water </w:t>
      </w:r>
      <w:r w:rsidR="009D2864">
        <w:rPr>
          <w:rFonts w:eastAsia="Arial Unicode MS"/>
        </w:rPr>
        <w:t>wa</w:t>
      </w:r>
      <w:r w:rsidRPr="00F23898">
        <w:rPr>
          <w:rFonts w:eastAsia="Arial Unicode MS"/>
        </w:rPr>
        <w:t>s stored in an underground cold</w:t>
      </w:r>
      <w:r w:rsidR="00C7381E">
        <w:rPr>
          <w:rFonts w:eastAsia="Arial Unicode MS"/>
        </w:rPr>
        <w:t>-</w:t>
      </w:r>
      <w:r w:rsidRPr="00F23898">
        <w:rPr>
          <w:rFonts w:eastAsia="Arial Unicode MS"/>
        </w:rPr>
        <w:t>water well within the aquifer.</w:t>
      </w:r>
      <w:r>
        <w:rPr>
          <w:rFonts w:eastAsia="Arial Unicode MS"/>
        </w:rPr>
        <w:t xml:space="preserve"> </w:t>
      </w:r>
      <w:r w:rsidRPr="00F23898">
        <w:rPr>
          <w:rFonts w:eastAsia="Arial Unicode MS"/>
        </w:rPr>
        <w:t xml:space="preserve">In the summer, this cold water </w:t>
      </w:r>
      <w:r w:rsidR="009D2864">
        <w:rPr>
          <w:rFonts w:eastAsia="Arial Unicode MS"/>
        </w:rPr>
        <w:t>wa</w:t>
      </w:r>
      <w:r w:rsidRPr="00F23898">
        <w:rPr>
          <w:rFonts w:eastAsia="Arial Unicode MS"/>
        </w:rPr>
        <w:t>s recirculated throughout the community</w:t>
      </w:r>
      <w:r w:rsidR="00C7381E">
        <w:rPr>
          <w:rFonts w:eastAsia="Arial Unicode MS"/>
        </w:rPr>
        <w:t>,</w:t>
      </w:r>
      <w:r w:rsidRPr="00F23898">
        <w:rPr>
          <w:rFonts w:eastAsia="Arial Unicode MS"/>
        </w:rPr>
        <w:t xml:space="preserve"> and </w:t>
      </w:r>
      <w:r w:rsidR="00C7381E">
        <w:rPr>
          <w:rFonts w:eastAsia="Arial Unicode MS"/>
        </w:rPr>
        <w:t xml:space="preserve">it </w:t>
      </w:r>
      <w:r w:rsidRPr="00F23898">
        <w:rPr>
          <w:rFonts w:eastAsia="Arial Unicode MS"/>
        </w:rPr>
        <w:t>absorb</w:t>
      </w:r>
      <w:r w:rsidR="009D2864">
        <w:rPr>
          <w:rFonts w:eastAsia="Arial Unicode MS"/>
        </w:rPr>
        <w:t>ed</w:t>
      </w:r>
      <w:r w:rsidRPr="00F23898">
        <w:rPr>
          <w:rFonts w:eastAsia="Arial Unicode MS"/>
        </w:rPr>
        <w:t xml:space="preserve"> heat from infrastructure.</w:t>
      </w:r>
      <w:r>
        <w:rPr>
          <w:rFonts w:eastAsia="Arial Unicode MS"/>
        </w:rPr>
        <w:t xml:space="preserve"> </w:t>
      </w:r>
      <w:r w:rsidRPr="00F23898">
        <w:rPr>
          <w:rFonts w:eastAsia="Arial Unicode MS"/>
        </w:rPr>
        <w:t xml:space="preserve">Similarly, once its circuit </w:t>
      </w:r>
      <w:r w:rsidR="009D2864">
        <w:rPr>
          <w:rFonts w:eastAsia="Arial Unicode MS"/>
        </w:rPr>
        <w:t>wa</w:t>
      </w:r>
      <w:r w:rsidRPr="00F23898">
        <w:rPr>
          <w:rFonts w:eastAsia="Arial Unicode MS"/>
        </w:rPr>
        <w:t>s complete, the now</w:t>
      </w:r>
      <w:r w:rsidR="00E46EBE">
        <w:rPr>
          <w:rFonts w:eastAsia="Arial Unicode MS"/>
        </w:rPr>
        <w:t>-</w:t>
      </w:r>
      <w:r w:rsidRPr="00F23898">
        <w:rPr>
          <w:rFonts w:eastAsia="Arial Unicode MS"/>
        </w:rPr>
        <w:t xml:space="preserve">warm water </w:t>
      </w:r>
      <w:r w:rsidR="009D2864">
        <w:rPr>
          <w:rFonts w:eastAsia="Arial Unicode MS"/>
        </w:rPr>
        <w:t>wa</w:t>
      </w:r>
      <w:r w:rsidRPr="00F23898">
        <w:rPr>
          <w:rFonts w:eastAsia="Arial Unicode MS"/>
        </w:rPr>
        <w:t>s stored in a warm</w:t>
      </w:r>
      <w:r w:rsidR="00C7381E">
        <w:rPr>
          <w:rFonts w:eastAsia="Arial Unicode MS"/>
        </w:rPr>
        <w:t>-</w:t>
      </w:r>
      <w:r w:rsidRPr="00F23898">
        <w:rPr>
          <w:rFonts w:eastAsia="Arial Unicode MS"/>
        </w:rPr>
        <w:t>water well within the aquifer to be reused in the winter months.</w:t>
      </w:r>
      <w:r>
        <w:rPr>
          <w:rFonts w:eastAsia="Arial Unicode MS"/>
        </w:rPr>
        <w:t xml:space="preserve"> </w:t>
      </w:r>
      <w:r w:rsidRPr="00F23898">
        <w:rPr>
          <w:rFonts w:eastAsia="Arial Unicode MS"/>
        </w:rPr>
        <w:t>Typically, this cycle require</w:t>
      </w:r>
      <w:r w:rsidR="009D2864">
        <w:rPr>
          <w:rFonts w:eastAsia="Arial Unicode MS"/>
        </w:rPr>
        <w:t>d</w:t>
      </w:r>
      <w:r w:rsidRPr="00F23898">
        <w:rPr>
          <w:rFonts w:eastAsia="Arial Unicode MS"/>
        </w:rPr>
        <w:t xml:space="preserve"> additional heating to bring warm water to hospitable temperatures during the winter.</w:t>
      </w:r>
      <w:r>
        <w:rPr>
          <w:rFonts w:eastAsia="Arial Unicode MS"/>
        </w:rPr>
        <w:t xml:space="preserve"> </w:t>
      </w:r>
      <w:r w:rsidRPr="00F23898">
        <w:rPr>
          <w:rFonts w:eastAsia="Arial Unicode MS"/>
        </w:rPr>
        <w:t>This additional heating typically c</w:t>
      </w:r>
      <w:r w:rsidR="00D05B02">
        <w:rPr>
          <w:rFonts w:eastAsia="Arial Unicode MS"/>
        </w:rPr>
        <w:t>a</w:t>
      </w:r>
      <w:r w:rsidRPr="00F23898">
        <w:rPr>
          <w:rFonts w:eastAsia="Arial Unicode MS"/>
        </w:rPr>
        <w:t>me from thermal solar panels mounted on infrastructure that generate</w:t>
      </w:r>
      <w:r w:rsidR="00D05B02">
        <w:rPr>
          <w:rFonts w:eastAsia="Arial Unicode MS"/>
        </w:rPr>
        <w:t>d</w:t>
      </w:r>
      <w:r w:rsidRPr="00F23898">
        <w:rPr>
          <w:rFonts w:eastAsia="Arial Unicode MS"/>
        </w:rPr>
        <w:t xml:space="preserve"> additional heat throughout the year.</w:t>
      </w:r>
      <w:r>
        <w:rPr>
          <w:rFonts w:eastAsia="Arial Unicode MS"/>
        </w:rPr>
        <w:t xml:space="preserve"> </w:t>
      </w:r>
      <w:r w:rsidRPr="00F23898">
        <w:rPr>
          <w:rFonts w:eastAsia="Arial Unicode MS"/>
        </w:rPr>
        <w:t xml:space="preserve">This additional heat </w:t>
      </w:r>
      <w:r w:rsidR="00D05B02">
        <w:rPr>
          <w:rFonts w:eastAsia="Arial Unicode MS"/>
        </w:rPr>
        <w:t>wa</w:t>
      </w:r>
      <w:r w:rsidRPr="00F23898">
        <w:rPr>
          <w:rFonts w:eastAsia="Arial Unicode MS"/>
        </w:rPr>
        <w:t>s transferred to the warm water</w:t>
      </w:r>
      <w:r w:rsidR="00C92B4A">
        <w:rPr>
          <w:rFonts w:eastAsia="Arial Unicode MS"/>
        </w:rPr>
        <w:t>,</w:t>
      </w:r>
      <w:r w:rsidRPr="00F23898">
        <w:rPr>
          <w:rFonts w:eastAsia="Arial Unicode MS"/>
        </w:rPr>
        <w:t xml:space="preserve"> entering the community through a heat pump, ensuring that the affected infrastructure </w:t>
      </w:r>
      <w:r w:rsidR="00D05B02">
        <w:rPr>
          <w:rFonts w:eastAsia="Arial Unicode MS"/>
        </w:rPr>
        <w:t>wa</w:t>
      </w:r>
      <w:r w:rsidRPr="00F23898">
        <w:rPr>
          <w:rFonts w:eastAsia="Arial Unicode MS"/>
        </w:rPr>
        <w:t>s heated to an appropriate temperature.</w:t>
      </w:r>
    </w:p>
    <w:p w14:paraId="663674F3" w14:textId="77777777" w:rsidR="00F23898" w:rsidRPr="00F23898" w:rsidRDefault="00F23898" w:rsidP="00F23898">
      <w:pPr>
        <w:pStyle w:val="BodyTextMain"/>
        <w:rPr>
          <w:rFonts w:eastAsia="Arial Unicode MS"/>
        </w:rPr>
      </w:pPr>
    </w:p>
    <w:p w14:paraId="52317D9F" w14:textId="77777777" w:rsidR="00C92B4A" w:rsidRDefault="00F23898" w:rsidP="00F23898">
      <w:pPr>
        <w:pStyle w:val="BodyTextMain"/>
        <w:rPr>
          <w:rFonts w:eastAsia="Arial Unicode MS"/>
        </w:rPr>
      </w:pPr>
      <w:r w:rsidRPr="00F23898">
        <w:rPr>
          <w:rFonts w:eastAsia="Arial Unicode MS"/>
        </w:rPr>
        <w:t>The added benefit from the ATES system c</w:t>
      </w:r>
      <w:r w:rsidR="00D05B02">
        <w:rPr>
          <w:rFonts w:eastAsia="Arial Unicode MS"/>
        </w:rPr>
        <w:t>a</w:t>
      </w:r>
      <w:r w:rsidRPr="00F23898">
        <w:rPr>
          <w:rFonts w:eastAsia="Arial Unicode MS"/>
        </w:rPr>
        <w:t>me from the fact that it c</w:t>
      </w:r>
      <w:r w:rsidR="00D05B02">
        <w:rPr>
          <w:rFonts w:eastAsia="Arial Unicode MS"/>
        </w:rPr>
        <w:t>ould</w:t>
      </w:r>
      <w:r w:rsidRPr="00F23898">
        <w:rPr>
          <w:rFonts w:eastAsia="Arial Unicode MS"/>
        </w:rPr>
        <w:t xml:space="preserve"> supply both heating and cooling for infrastructure.</w:t>
      </w:r>
      <w:r>
        <w:rPr>
          <w:rFonts w:eastAsia="Arial Unicode MS"/>
        </w:rPr>
        <w:t xml:space="preserve"> </w:t>
      </w:r>
      <w:r w:rsidRPr="00F23898">
        <w:rPr>
          <w:rFonts w:eastAsia="Arial Unicode MS"/>
        </w:rPr>
        <w:t>Due to the cyclical nature of the ATES system, the system</w:t>
      </w:r>
      <w:r w:rsidR="00A25968">
        <w:rPr>
          <w:rFonts w:eastAsia="Arial Unicode MS"/>
        </w:rPr>
        <w:t>’</w:t>
      </w:r>
      <w:r w:rsidRPr="00F23898">
        <w:rPr>
          <w:rFonts w:eastAsia="Arial Unicode MS"/>
        </w:rPr>
        <w:t xml:space="preserve">s cooling capabilities </w:t>
      </w:r>
      <w:r w:rsidR="00D05B02">
        <w:rPr>
          <w:rFonts w:eastAsia="Arial Unicode MS"/>
        </w:rPr>
        <w:t>we</w:t>
      </w:r>
      <w:r w:rsidRPr="00F23898">
        <w:rPr>
          <w:rFonts w:eastAsia="Arial Unicode MS"/>
        </w:rPr>
        <w:t xml:space="preserve">re best interpreted as generating the same amount of energy in the form of cooling as </w:t>
      </w:r>
      <w:r w:rsidR="00504A55">
        <w:rPr>
          <w:rFonts w:eastAsia="Arial Unicode MS"/>
        </w:rPr>
        <w:t>they d</w:t>
      </w:r>
      <w:r w:rsidR="00D05B02">
        <w:rPr>
          <w:rFonts w:eastAsia="Arial Unicode MS"/>
        </w:rPr>
        <w:t>id</w:t>
      </w:r>
      <w:r w:rsidRPr="00F23898">
        <w:rPr>
          <w:rFonts w:eastAsia="Arial Unicode MS"/>
        </w:rPr>
        <w:t xml:space="preserve"> in the form of heat (</w:t>
      </w:r>
      <w:r w:rsidR="00C92B4A">
        <w:rPr>
          <w:rFonts w:eastAsia="Arial Unicode MS"/>
        </w:rPr>
        <w:t xml:space="preserve">see </w:t>
      </w:r>
      <w:r w:rsidRPr="00F23898">
        <w:rPr>
          <w:rFonts w:eastAsia="Arial Unicode MS"/>
        </w:rPr>
        <w:t>Exhibit 2).</w:t>
      </w:r>
      <w:r>
        <w:rPr>
          <w:rFonts w:eastAsia="Arial Unicode MS"/>
        </w:rPr>
        <w:t xml:space="preserve"> </w:t>
      </w:r>
    </w:p>
    <w:p w14:paraId="4FAD1374" w14:textId="77777777" w:rsidR="00C92B4A" w:rsidRDefault="00C92B4A" w:rsidP="00F23898">
      <w:pPr>
        <w:pStyle w:val="BodyTextMain"/>
        <w:rPr>
          <w:rFonts w:eastAsia="Arial Unicode MS"/>
        </w:rPr>
      </w:pPr>
    </w:p>
    <w:p w14:paraId="3DD0290D" w14:textId="6F9AE383" w:rsidR="00F23898" w:rsidRPr="00F23898" w:rsidRDefault="00F23898" w:rsidP="00F23898">
      <w:pPr>
        <w:pStyle w:val="BodyTextMain"/>
        <w:rPr>
          <w:rFonts w:eastAsia="Arial Unicode MS"/>
        </w:rPr>
      </w:pPr>
      <w:r w:rsidRPr="00F23898">
        <w:rPr>
          <w:rFonts w:eastAsia="Arial Unicode MS"/>
        </w:rPr>
        <w:t>Air conditioning during the summer months ma</w:t>
      </w:r>
      <w:r w:rsidR="00D05B02">
        <w:rPr>
          <w:rFonts w:eastAsia="Arial Unicode MS"/>
        </w:rPr>
        <w:t>d</w:t>
      </w:r>
      <w:r w:rsidRPr="00F23898">
        <w:rPr>
          <w:rFonts w:eastAsia="Arial Unicode MS"/>
        </w:rPr>
        <w:t>e up a significant portion of the annual electricity consumption of London residents.</w:t>
      </w:r>
      <w:r>
        <w:rPr>
          <w:rFonts w:eastAsia="Arial Unicode MS"/>
        </w:rPr>
        <w:t xml:space="preserve"> </w:t>
      </w:r>
      <w:r w:rsidR="00C76B37">
        <w:rPr>
          <w:rFonts w:eastAsia="Arial Unicode MS"/>
        </w:rPr>
        <w:t>In 201</w:t>
      </w:r>
      <w:r w:rsidRPr="00F23898">
        <w:rPr>
          <w:rFonts w:eastAsia="Arial Unicode MS"/>
        </w:rPr>
        <w:t>3, London Hydro estimated that a 6,000 B</w:t>
      </w:r>
      <w:r w:rsidR="00504A55">
        <w:rPr>
          <w:rFonts w:eastAsia="Arial Unicode MS"/>
        </w:rPr>
        <w:t>ritish thermal unit (B</w:t>
      </w:r>
      <w:r w:rsidRPr="00F23898">
        <w:rPr>
          <w:rFonts w:eastAsia="Arial Unicode MS"/>
        </w:rPr>
        <w:t>TU</w:t>
      </w:r>
      <w:r w:rsidR="00504A55">
        <w:rPr>
          <w:rFonts w:eastAsia="Arial Unicode MS"/>
        </w:rPr>
        <w:t>)</w:t>
      </w:r>
      <w:r w:rsidRPr="00F23898">
        <w:rPr>
          <w:rFonts w:eastAsia="Arial Unicode MS"/>
        </w:rPr>
        <w:t xml:space="preserve"> window-mounted air conditioner used 518 kWh per month</w:t>
      </w:r>
      <w:r w:rsidR="00424672">
        <w:rPr>
          <w:rFonts w:eastAsia="Arial Unicode MS"/>
        </w:rPr>
        <w:t>.</w:t>
      </w:r>
      <w:r w:rsidRPr="00424672">
        <w:rPr>
          <w:rFonts w:eastAsia="Arial Unicode MS"/>
          <w:vertAlign w:val="superscript"/>
        </w:rPr>
        <w:footnoteReference w:id="8"/>
      </w:r>
      <w:r>
        <w:rPr>
          <w:rFonts w:eastAsia="Arial Unicode MS"/>
        </w:rPr>
        <w:t xml:space="preserve"> </w:t>
      </w:r>
      <w:r w:rsidRPr="00F23898">
        <w:rPr>
          <w:rFonts w:eastAsia="Arial Unicode MS"/>
        </w:rPr>
        <w:t xml:space="preserve">Although most of the buildings in </w:t>
      </w:r>
      <w:proofErr w:type="spellStart"/>
      <w:r w:rsidRPr="00F23898">
        <w:rPr>
          <w:rFonts w:eastAsia="Arial Unicode MS"/>
        </w:rPr>
        <w:t>RiverBend</w:t>
      </w:r>
      <w:proofErr w:type="spellEnd"/>
      <w:r w:rsidRPr="00F23898">
        <w:rPr>
          <w:rFonts w:eastAsia="Arial Unicode MS"/>
        </w:rPr>
        <w:t xml:space="preserve"> Heights w</w:t>
      </w:r>
      <w:r w:rsidR="00D05B02">
        <w:rPr>
          <w:rFonts w:eastAsia="Arial Unicode MS"/>
        </w:rPr>
        <w:t>ould</w:t>
      </w:r>
      <w:r w:rsidRPr="00F23898">
        <w:rPr>
          <w:rFonts w:eastAsia="Arial Unicode MS"/>
        </w:rPr>
        <w:t xml:space="preserve"> be equipped with much larger central air conditioner</w:t>
      </w:r>
      <w:r w:rsidR="00504A55">
        <w:rPr>
          <w:rFonts w:eastAsia="Arial Unicode MS"/>
        </w:rPr>
        <w:t>s</w:t>
      </w:r>
      <w:r w:rsidRPr="00F23898">
        <w:rPr>
          <w:rFonts w:eastAsia="Arial Unicode MS"/>
        </w:rPr>
        <w:t>, because residents w</w:t>
      </w:r>
      <w:r w:rsidR="00D05B02">
        <w:rPr>
          <w:rFonts w:eastAsia="Arial Unicode MS"/>
        </w:rPr>
        <w:t>ould</w:t>
      </w:r>
      <w:r w:rsidRPr="00F23898">
        <w:rPr>
          <w:rFonts w:eastAsia="Arial Unicode MS"/>
        </w:rPr>
        <w:t xml:space="preserve"> be living in high</w:t>
      </w:r>
      <w:r w:rsidR="00C92B4A">
        <w:rPr>
          <w:rFonts w:eastAsia="Arial Unicode MS"/>
        </w:rPr>
        <w:t>-</w:t>
      </w:r>
      <w:r w:rsidRPr="00F23898">
        <w:rPr>
          <w:rFonts w:eastAsia="Arial Unicode MS"/>
        </w:rPr>
        <w:t xml:space="preserve">density housing, 518 kWh of electrical consumption per living unit due to air conditioning </w:t>
      </w:r>
      <w:r w:rsidR="00D05B02">
        <w:rPr>
          <w:rFonts w:eastAsia="Arial Unicode MS"/>
        </w:rPr>
        <w:t>wa</w:t>
      </w:r>
      <w:r w:rsidRPr="00F23898">
        <w:rPr>
          <w:rFonts w:eastAsia="Arial Unicode MS"/>
        </w:rPr>
        <w:t>s a fair estimate.</w:t>
      </w:r>
      <w:r>
        <w:rPr>
          <w:rFonts w:eastAsia="Arial Unicode MS"/>
        </w:rPr>
        <w:t xml:space="preserve"> </w:t>
      </w:r>
      <w:r w:rsidRPr="00F23898">
        <w:rPr>
          <w:rFonts w:eastAsia="Arial Unicode MS"/>
        </w:rPr>
        <w:t xml:space="preserve">Based on </w:t>
      </w:r>
      <w:proofErr w:type="spellStart"/>
      <w:r w:rsidRPr="00F23898">
        <w:rPr>
          <w:rFonts w:eastAsia="Arial Unicode MS"/>
        </w:rPr>
        <w:t>RiverBend</w:t>
      </w:r>
      <w:proofErr w:type="spellEnd"/>
      <w:r w:rsidRPr="00F23898">
        <w:rPr>
          <w:rFonts w:eastAsia="Arial Unicode MS"/>
        </w:rPr>
        <w:t xml:space="preserve"> Heights</w:t>
      </w:r>
      <w:r w:rsidR="00A25968">
        <w:rPr>
          <w:rFonts w:eastAsia="Arial Unicode MS"/>
        </w:rPr>
        <w:t>’</w:t>
      </w:r>
      <w:r w:rsidRPr="00F23898">
        <w:rPr>
          <w:rFonts w:eastAsia="Arial Unicode MS"/>
        </w:rPr>
        <w:t xml:space="preserve"> projections of 3,200 residents living in 1,160 living units and using air conditioning for roughly </w:t>
      </w:r>
      <w:r w:rsidR="00C92B4A">
        <w:rPr>
          <w:rFonts w:eastAsia="Arial Unicode MS"/>
        </w:rPr>
        <w:t>three</w:t>
      </w:r>
      <w:r w:rsidRPr="00F23898">
        <w:rPr>
          <w:rFonts w:eastAsia="Arial Unicode MS"/>
        </w:rPr>
        <w:t xml:space="preserve"> months, the company saw a clear opportunity for electricity cost savings.</w:t>
      </w:r>
    </w:p>
    <w:p w14:paraId="75C39E61" w14:textId="77777777" w:rsidR="00F23898" w:rsidRPr="00F23898" w:rsidRDefault="00F23898" w:rsidP="00F23898">
      <w:pPr>
        <w:pStyle w:val="BodyTextMain"/>
        <w:rPr>
          <w:rFonts w:eastAsia="Arial Unicode MS"/>
        </w:rPr>
      </w:pPr>
    </w:p>
    <w:p w14:paraId="6C9FD417" w14:textId="77777777" w:rsidR="00F23898" w:rsidRPr="00F23898" w:rsidRDefault="00F23898" w:rsidP="00F23898">
      <w:pPr>
        <w:pStyle w:val="BodyTextMain"/>
        <w:rPr>
          <w:rFonts w:eastAsia="Arial Unicode MS"/>
        </w:rPr>
      </w:pPr>
      <w:r w:rsidRPr="00F23898">
        <w:rPr>
          <w:rFonts w:eastAsia="Arial Unicode MS"/>
        </w:rPr>
        <w:t xml:space="preserve">The ATES system itself </w:t>
      </w:r>
      <w:r w:rsidR="00D05B02">
        <w:rPr>
          <w:rFonts w:eastAsia="Arial Unicode MS"/>
        </w:rPr>
        <w:t>wa</w:t>
      </w:r>
      <w:r w:rsidRPr="00F23898">
        <w:rPr>
          <w:rFonts w:eastAsia="Arial Unicode MS"/>
        </w:rPr>
        <w:t xml:space="preserve">s quite innovative, and </w:t>
      </w:r>
      <w:proofErr w:type="spellStart"/>
      <w:r w:rsidRPr="00F23898">
        <w:rPr>
          <w:rFonts w:eastAsia="Arial Unicode MS"/>
        </w:rPr>
        <w:t>Sifton</w:t>
      </w:r>
      <w:proofErr w:type="spellEnd"/>
      <w:r w:rsidRPr="00F23898">
        <w:rPr>
          <w:rFonts w:eastAsia="Arial Unicode MS"/>
        </w:rPr>
        <w:t xml:space="preserve"> would be one of the first developers in Canada to implement such a system.</w:t>
      </w:r>
      <w:r>
        <w:rPr>
          <w:rFonts w:eastAsia="Arial Unicode MS"/>
        </w:rPr>
        <w:t xml:space="preserve"> </w:t>
      </w:r>
      <w:r w:rsidRPr="00F23898">
        <w:rPr>
          <w:rFonts w:eastAsia="Arial Unicode MS"/>
        </w:rPr>
        <w:t>Additionally, the system provide</w:t>
      </w:r>
      <w:r w:rsidR="00D05B02">
        <w:rPr>
          <w:rFonts w:eastAsia="Arial Unicode MS"/>
        </w:rPr>
        <w:t>d</w:t>
      </w:r>
      <w:r w:rsidRPr="00F23898">
        <w:rPr>
          <w:rFonts w:eastAsia="Arial Unicode MS"/>
        </w:rPr>
        <w:t xml:space="preserve"> users with numerous environmental benefits.</w:t>
      </w:r>
      <w:r>
        <w:rPr>
          <w:rFonts w:eastAsia="Arial Unicode MS"/>
        </w:rPr>
        <w:t xml:space="preserve"> </w:t>
      </w:r>
      <w:r w:rsidRPr="00F23898">
        <w:rPr>
          <w:rFonts w:eastAsia="Arial Unicode MS"/>
        </w:rPr>
        <w:t>First, it reduce</w:t>
      </w:r>
      <w:r w:rsidR="00D05B02">
        <w:rPr>
          <w:rFonts w:eastAsia="Arial Unicode MS"/>
        </w:rPr>
        <w:t>d</w:t>
      </w:r>
      <w:r w:rsidRPr="00F23898">
        <w:rPr>
          <w:rFonts w:eastAsia="Arial Unicode MS"/>
        </w:rPr>
        <w:t xml:space="preserve"> the need for natural gas heating that require</w:t>
      </w:r>
      <w:r w:rsidR="00D05B02">
        <w:rPr>
          <w:rFonts w:eastAsia="Arial Unicode MS"/>
        </w:rPr>
        <w:t>d</w:t>
      </w:r>
      <w:r w:rsidRPr="00F23898">
        <w:rPr>
          <w:rFonts w:eastAsia="Arial Unicode MS"/>
        </w:rPr>
        <w:t xml:space="preserve"> the consumption of non-renewable fossil fuels.</w:t>
      </w:r>
      <w:r>
        <w:rPr>
          <w:rFonts w:eastAsia="Arial Unicode MS"/>
        </w:rPr>
        <w:t xml:space="preserve"> </w:t>
      </w:r>
      <w:r w:rsidRPr="00F23898">
        <w:rPr>
          <w:rFonts w:eastAsia="Arial Unicode MS"/>
        </w:rPr>
        <w:t>Second, the cooling capabilities of the ATES system reduce</w:t>
      </w:r>
      <w:r w:rsidR="00D05B02">
        <w:rPr>
          <w:rFonts w:eastAsia="Arial Unicode MS"/>
        </w:rPr>
        <w:t>d</w:t>
      </w:r>
      <w:r w:rsidRPr="00F23898">
        <w:rPr>
          <w:rFonts w:eastAsia="Arial Unicode MS"/>
        </w:rPr>
        <w:t xml:space="preserve"> the electrical demand for air conditioners during warm summer months.</w:t>
      </w:r>
      <w:r>
        <w:rPr>
          <w:rFonts w:eastAsia="Arial Unicode MS"/>
        </w:rPr>
        <w:t xml:space="preserve"> </w:t>
      </w:r>
      <w:r w:rsidRPr="00F23898">
        <w:rPr>
          <w:rFonts w:eastAsia="Arial Unicode MS"/>
        </w:rPr>
        <w:t>Finally, the ATES system d</w:t>
      </w:r>
      <w:r w:rsidR="00D05B02">
        <w:rPr>
          <w:rFonts w:eastAsia="Arial Unicode MS"/>
        </w:rPr>
        <w:t>id</w:t>
      </w:r>
      <w:r w:rsidRPr="00F23898">
        <w:rPr>
          <w:rFonts w:eastAsia="Arial Unicode MS"/>
        </w:rPr>
        <w:t xml:space="preserve"> not contribute any greenhouse gas to the atmosphere if thermal solar panels </w:t>
      </w:r>
      <w:r w:rsidR="00D05B02">
        <w:rPr>
          <w:rFonts w:eastAsia="Arial Unicode MS"/>
        </w:rPr>
        <w:t>we</w:t>
      </w:r>
      <w:r w:rsidRPr="00F23898">
        <w:rPr>
          <w:rFonts w:eastAsia="Arial Unicode MS"/>
        </w:rPr>
        <w:t>re used for the heat pump during peak loads or particularly cold days.</w:t>
      </w:r>
    </w:p>
    <w:p w14:paraId="4A986313" w14:textId="77777777" w:rsidR="00F23898" w:rsidRPr="00F23898" w:rsidRDefault="00F23898" w:rsidP="00F23898">
      <w:pPr>
        <w:pStyle w:val="BodyTextMain"/>
        <w:rPr>
          <w:rFonts w:eastAsia="Arial Unicode MS"/>
        </w:rPr>
      </w:pPr>
    </w:p>
    <w:p w14:paraId="531DBF52" w14:textId="449D5791" w:rsidR="00691935" w:rsidRPr="00F23898" w:rsidRDefault="00C92B4A" w:rsidP="00F23898">
      <w:pPr>
        <w:pStyle w:val="BodyTextMain"/>
        <w:rPr>
          <w:rFonts w:eastAsia="Arial Unicode MS"/>
        </w:rPr>
      </w:pPr>
      <w:r>
        <w:rPr>
          <w:rFonts w:eastAsia="Arial Unicode MS"/>
        </w:rPr>
        <w:t>There were, however, some</w:t>
      </w:r>
      <w:r w:rsidR="00F23898" w:rsidRPr="00F23898">
        <w:rPr>
          <w:rFonts w:eastAsia="Arial Unicode MS"/>
        </w:rPr>
        <w:t xml:space="preserve"> environmental and social concerns associated with such a system.</w:t>
      </w:r>
      <w:r w:rsidR="00F23898">
        <w:rPr>
          <w:rFonts w:eastAsia="Arial Unicode MS"/>
        </w:rPr>
        <w:t xml:space="preserve"> </w:t>
      </w:r>
      <w:r w:rsidR="00F23898" w:rsidRPr="00F23898">
        <w:rPr>
          <w:rFonts w:eastAsia="Arial Unicode MS"/>
        </w:rPr>
        <w:t>First, because of the use of water for heating and cooling, if nearby populations require</w:t>
      </w:r>
      <w:r w:rsidR="00D05B02">
        <w:rPr>
          <w:rFonts w:eastAsia="Arial Unicode MS"/>
        </w:rPr>
        <w:t>d</w:t>
      </w:r>
      <w:r w:rsidR="00F23898" w:rsidRPr="00F23898">
        <w:rPr>
          <w:rFonts w:eastAsia="Arial Unicode MS"/>
        </w:rPr>
        <w:t xml:space="preserve"> this source of water for consumption or agriculture, conflicts of interest</w:t>
      </w:r>
      <w:r w:rsidR="00504A55">
        <w:rPr>
          <w:rFonts w:eastAsia="Arial Unicode MS"/>
        </w:rPr>
        <w:t xml:space="preserve"> m</w:t>
      </w:r>
      <w:r w:rsidR="00D05B02">
        <w:rPr>
          <w:rFonts w:eastAsia="Arial Unicode MS"/>
        </w:rPr>
        <w:t>ight</w:t>
      </w:r>
      <w:r w:rsidR="00504A55">
        <w:rPr>
          <w:rFonts w:eastAsia="Arial Unicode MS"/>
        </w:rPr>
        <w:t xml:space="preserve"> arise</w:t>
      </w:r>
      <w:r w:rsidR="00F23898" w:rsidRPr="00F23898">
        <w:rPr>
          <w:rFonts w:eastAsia="Arial Unicode MS"/>
        </w:rPr>
        <w:t>.</w:t>
      </w:r>
      <w:r w:rsidR="00F23898">
        <w:rPr>
          <w:rFonts w:eastAsia="Arial Unicode MS"/>
        </w:rPr>
        <w:t xml:space="preserve"> </w:t>
      </w:r>
      <w:r w:rsidR="00F23898" w:rsidRPr="00F23898">
        <w:rPr>
          <w:rFonts w:eastAsia="Arial Unicode MS"/>
        </w:rPr>
        <w:t>Second, due to the pumping of water from the aquifer, changes in water pressure throughout the aquifer</w:t>
      </w:r>
      <w:r w:rsidR="00504A55">
        <w:rPr>
          <w:rFonts w:eastAsia="Arial Unicode MS"/>
        </w:rPr>
        <w:t xml:space="preserve"> could</w:t>
      </w:r>
      <w:r w:rsidR="00F23898" w:rsidRPr="00F23898">
        <w:rPr>
          <w:rFonts w:eastAsia="Arial Unicode MS"/>
        </w:rPr>
        <w:t xml:space="preserve"> potentially disturb water flow for humans, plants</w:t>
      </w:r>
      <w:r w:rsidR="00504A55">
        <w:rPr>
          <w:rFonts w:eastAsia="Arial Unicode MS"/>
        </w:rPr>
        <w:t>,</w:t>
      </w:r>
      <w:r w:rsidR="00F23898" w:rsidRPr="00F23898">
        <w:rPr>
          <w:rFonts w:eastAsia="Arial Unicode MS"/>
        </w:rPr>
        <w:t xml:space="preserve"> and animals downstream.</w:t>
      </w:r>
      <w:r w:rsidR="00F23898">
        <w:rPr>
          <w:rFonts w:eastAsia="Arial Unicode MS"/>
        </w:rPr>
        <w:t xml:space="preserve"> </w:t>
      </w:r>
      <w:r w:rsidR="00F23898" w:rsidRPr="00F23898">
        <w:rPr>
          <w:rFonts w:eastAsia="Arial Unicode MS"/>
        </w:rPr>
        <w:t>Additionally, changes in flow could disrupt soil settlement patterns in connected bodies of water, disturbing the natural habitat of plants and animals.</w:t>
      </w:r>
      <w:r w:rsidR="00F23898">
        <w:rPr>
          <w:rFonts w:eastAsia="Arial Unicode MS"/>
        </w:rPr>
        <w:t xml:space="preserve"> </w:t>
      </w:r>
      <w:r w:rsidR="00626130" w:rsidRPr="00857D79">
        <w:rPr>
          <w:rFonts w:eastAsia="Arial Unicode MS"/>
        </w:rPr>
        <w:t>Finally, because of water flow through piping, overall water quality could have a negative impact for plants and animals that rel</w:t>
      </w:r>
      <w:r w:rsidR="00857D79">
        <w:rPr>
          <w:rFonts w:eastAsia="Arial Unicode MS"/>
        </w:rPr>
        <w:t>ied</w:t>
      </w:r>
      <w:r w:rsidR="00626130" w:rsidRPr="00857D79">
        <w:rPr>
          <w:rFonts w:eastAsia="Arial Unicode MS"/>
        </w:rPr>
        <w:t xml:space="preserve"> on this water source downstream.</w:t>
      </w:r>
      <w:r w:rsidR="00F23898" w:rsidRPr="00F23898">
        <w:rPr>
          <w:rFonts w:eastAsia="Arial Unicode MS"/>
        </w:rPr>
        <w:t xml:space="preserve"> </w:t>
      </w:r>
      <w:r w:rsidR="00D05B02">
        <w:rPr>
          <w:rFonts w:eastAsia="Arial Unicode MS"/>
        </w:rPr>
        <w:t>(</w:t>
      </w:r>
      <w:r w:rsidR="00F23898" w:rsidRPr="00F23898">
        <w:rPr>
          <w:rFonts w:eastAsia="Arial Unicode MS"/>
        </w:rPr>
        <w:t>The energy output and financial details for the ATES system can be found in Exhibit 2.</w:t>
      </w:r>
      <w:r w:rsidR="00D05B02">
        <w:rPr>
          <w:rFonts w:eastAsia="Arial Unicode MS"/>
        </w:rPr>
        <w:t>)</w:t>
      </w:r>
    </w:p>
    <w:p w14:paraId="37418A73" w14:textId="77777777" w:rsidR="00424672" w:rsidRDefault="00424672" w:rsidP="00F23898">
      <w:pPr>
        <w:pStyle w:val="BodyTextMain"/>
        <w:rPr>
          <w:rFonts w:eastAsia="Arial Unicode MS"/>
        </w:rPr>
      </w:pPr>
    </w:p>
    <w:p w14:paraId="27D236B6" w14:textId="77777777" w:rsidR="004E2FFC" w:rsidRDefault="004E2FFC" w:rsidP="00F23898">
      <w:pPr>
        <w:pStyle w:val="BodyTextMain"/>
        <w:rPr>
          <w:rFonts w:ascii="Arial" w:eastAsia="Arial Unicode MS" w:hAnsi="Arial" w:cs="Arial"/>
          <w:b/>
          <w:sz w:val="20"/>
          <w:szCs w:val="20"/>
        </w:rPr>
      </w:pPr>
    </w:p>
    <w:p w14:paraId="46899F16" w14:textId="77777777" w:rsidR="00F23898" w:rsidRPr="00F23898" w:rsidRDefault="00F23898" w:rsidP="00424672">
      <w:pPr>
        <w:pStyle w:val="Casehead2"/>
        <w:rPr>
          <w:rFonts w:eastAsia="Arial Unicode MS"/>
        </w:rPr>
      </w:pPr>
      <w:r w:rsidRPr="00F23898">
        <w:rPr>
          <w:rFonts w:eastAsia="Arial Unicode MS"/>
        </w:rPr>
        <w:t>Sewer Heat Recovery</w:t>
      </w:r>
    </w:p>
    <w:p w14:paraId="28A8E6F6" w14:textId="77777777" w:rsidR="00F23898" w:rsidRPr="00F23898" w:rsidRDefault="00F23898" w:rsidP="00F23898">
      <w:pPr>
        <w:pStyle w:val="BodyTextMain"/>
        <w:rPr>
          <w:rFonts w:eastAsia="Arial Unicode MS"/>
        </w:rPr>
      </w:pPr>
    </w:p>
    <w:p w14:paraId="72B12848" w14:textId="47165986" w:rsidR="00F23898" w:rsidRPr="00F23898" w:rsidRDefault="00F23898" w:rsidP="00F23898">
      <w:pPr>
        <w:pStyle w:val="BodyTextMain"/>
        <w:rPr>
          <w:rFonts w:eastAsia="Arial Unicode MS"/>
        </w:rPr>
      </w:pPr>
      <w:r w:rsidRPr="00F23898">
        <w:rPr>
          <w:rFonts w:eastAsia="Arial Unicode MS"/>
        </w:rPr>
        <w:t xml:space="preserve">Because of the body temperature of humans and animals, the waste flushed down into city sewers </w:t>
      </w:r>
      <w:r w:rsidR="001E3176">
        <w:rPr>
          <w:rFonts w:eastAsia="Arial Unicode MS"/>
        </w:rPr>
        <w:t>wa</w:t>
      </w:r>
      <w:r w:rsidRPr="00F23898">
        <w:rPr>
          <w:rFonts w:eastAsia="Arial Unicode MS"/>
        </w:rPr>
        <w:t>s quite warm.</w:t>
      </w:r>
      <w:r>
        <w:rPr>
          <w:rFonts w:eastAsia="Arial Unicode MS"/>
        </w:rPr>
        <w:t xml:space="preserve"> </w:t>
      </w:r>
      <w:r w:rsidRPr="00F23898">
        <w:rPr>
          <w:rFonts w:eastAsia="Arial Unicode MS"/>
        </w:rPr>
        <w:t>Several cities around the world, including Vancouver, ha</w:t>
      </w:r>
      <w:r w:rsidR="001E3176">
        <w:rPr>
          <w:rFonts w:eastAsia="Arial Unicode MS"/>
        </w:rPr>
        <w:t>d</w:t>
      </w:r>
      <w:r w:rsidRPr="00F23898">
        <w:rPr>
          <w:rFonts w:eastAsia="Arial Unicode MS"/>
        </w:rPr>
        <w:t xml:space="preserve"> realized this fact and, in an ingenious </w:t>
      </w:r>
      <w:r w:rsidRPr="00F23898">
        <w:rPr>
          <w:rFonts w:eastAsia="Arial Unicode MS"/>
        </w:rPr>
        <w:lastRenderedPageBreak/>
        <w:t>move, harnessed this energy from sewage</w:t>
      </w:r>
      <w:r w:rsidR="00424672">
        <w:rPr>
          <w:rFonts w:eastAsia="Arial Unicode MS"/>
        </w:rPr>
        <w:t>.</w:t>
      </w:r>
      <w:r w:rsidRPr="00424672">
        <w:rPr>
          <w:rFonts w:eastAsia="Arial Unicode MS"/>
          <w:vertAlign w:val="superscript"/>
        </w:rPr>
        <w:footnoteReference w:id="9"/>
      </w:r>
      <w:r>
        <w:rPr>
          <w:rFonts w:eastAsia="Arial Unicode MS"/>
        </w:rPr>
        <w:t xml:space="preserve"> </w:t>
      </w:r>
      <w:r w:rsidRPr="00F23898">
        <w:rPr>
          <w:rFonts w:eastAsia="Arial Unicode MS"/>
        </w:rPr>
        <w:t xml:space="preserve">In a </w:t>
      </w:r>
      <w:r w:rsidR="00337171">
        <w:rPr>
          <w:rFonts w:eastAsia="Arial Unicode MS"/>
        </w:rPr>
        <w:t>s</w:t>
      </w:r>
      <w:r w:rsidRPr="00F23898">
        <w:rPr>
          <w:rFonts w:eastAsia="Arial Unicode MS"/>
        </w:rPr>
        <w:t xml:space="preserve">ewer </w:t>
      </w:r>
      <w:r w:rsidR="00337171">
        <w:rPr>
          <w:rFonts w:eastAsia="Arial Unicode MS"/>
        </w:rPr>
        <w:t>h</w:t>
      </w:r>
      <w:r w:rsidRPr="00F23898">
        <w:rPr>
          <w:rFonts w:eastAsia="Arial Unicode MS"/>
        </w:rPr>
        <w:t xml:space="preserve">eat </w:t>
      </w:r>
      <w:r w:rsidR="00337171">
        <w:rPr>
          <w:rFonts w:eastAsia="Arial Unicode MS"/>
        </w:rPr>
        <w:t>r</w:t>
      </w:r>
      <w:r w:rsidRPr="00F23898">
        <w:rPr>
          <w:rFonts w:eastAsia="Arial Unicode MS"/>
        </w:rPr>
        <w:t xml:space="preserve">ecovery system, sewage </w:t>
      </w:r>
      <w:r w:rsidR="001E3176">
        <w:rPr>
          <w:rFonts w:eastAsia="Arial Unicode MS"/>
        </w:rPr>
        <w:t>wa</w:t>
      </w:r>
      <w:r w:rsidRPr="00F23898">
        <w:rPr>
          <w:rFonts w:eastAsia="Arial Unicode MS"/>
        </w:rPr>
        <w:t>s collected in pipes and filtered in order to remove contaminants.</w:t>
      </w:r>
      <w:r>
        <w:rPr>
          <w:rFonts w:eastAsia="Arial Unicode MS"/>
        </w:rPr>
        <w:t xml:space="preserve"> </w:t>
      </w:r>
      <w:r w:rsidRPr="00F23898">
        <w:rPr>
          <w:rFonts w:eastAsia="Arial Unicode MS"/>
        </w:rPr>
        <w:t>The sewage pipes then pass</w:t>
      </w:r>
      <w:r w:rsidR="001E3176">
        <w:rPr>
          <w:rFonts w:eastAsia="Arial Unicode MS"/>
        </w:rPr>
        <w:t>ed</w:t>
      </w:r>
      <w:r w:rsidRPr="00F23898">
        <w:rPr>
          <w:rFonts w:eastAsia="Arial Unicode MS"/>
        </w:rPr>
        <w:t xml:space="preserve"> through a heat exchanger where the natural heat of the sewage </w:t>
      </w:r>
      <w:r w:rsidR="001E3176">
        <w:rPr>
          <w:rFonts w:eastAsia="Arial Unicode MS"/>
        </w:rPr>
        <w:t>wa</w:t>
      </w:r>
      <w:r w:rsidRPr="00F23898">
        <w:rPr>
          <w:rFonts w:eastAsia="Arial Unicode MS"/>
        </w:rPr>
        <w:t>s captured and transferred to water or coolant pipes.</w:t>
      </w:r>
      <w:r>
        <w:rPr>
          <w:rFonts w:eastAsia="Arial Unicode MS"/>
        </w:rPr>
        <w:t xml:space="preserve"> </w:t>
      </w:r>
      <w:r w:rsidRPr="00F23898">
        <w:rPr>
          <w:rFonts w:eastAsia="Arial Unicode MS"/>
        </w:rPr>
        <w:t>Similar to an ATES system, the water pipes, now containing warm water, ma</w:t>
      </w:r>
      <w:r w:rsidR="001E3176">
        <w:rPr>
          <w:rFonts w:eastAsia="Arial Unicode MS"/>
        </w:rPr>
        <w:t>d</w:t>
      </w:r>
      <w:r w:rsidRPr="00F23898">
        <w:rPr>
          <w:rFonts w:eastAsia="Arial Unicode MS"/>
        </w:rPr>
        <w:t>e their way throughout the community in order to heat local infrastructure.</w:t>
      </w:r>
      <w:r>
        <w:rPr>
          <w:rFonts w:eastAsia="Arial Unicode MS"/>
        </w:rPr>
        <w:t xml:space="preserve"> </w:t>
      </w:r>
      <w:r w:rsidRPr="00F23898">
        <w:rPr>
          <w:rFonts w:eastAsia="Arial Unicode MS"/>
        </w:rPr>
        <w:t>As the water passe</w:t>
      </w:r>
      <w:r w:rsidR="001E3176">
        <w:rPr>
          <w:rFonts w:eastAsia="Arial Unicode MS"/>
        </w:rPr>
        <w:t>d</w:t>
      </w:r>
      <w:r w:rsidRPr="00F23898">
        <w:rPr>
          <w:rFonts w:eastAsia="Arial Unicode MS"/>
        </w:rPr>
        <w:t xml:space="preserve"> through the community, it los</w:t>
      </w:r>
      <w:r w:rsidR="001E3176">
        <w:rPr>
          <w:rFonts w:eastAsia="Arial Unicode MS"/>
        </w:rPr>
        <w:t>t</w:t>
      </w:r>
      <w:r w:rsidRPr="00F23898">
        <w:rPr>
          <w:rFonts w:eastAsia="Arial Unicode MS"/>
        </w:rPr>
        <w:t xml:space="preserve"> energy in the form of heat and return</w:t>
      </w:r>
      <w:r w:rsidR="001E3176">
        <w:rPr>
          <w:rFonts w:eastAsia="Arial Unicode MS"/>
        </w:rPr>
        <w:t>ed</w:t>
      </w:r>
      <w:r w:rsidRPr="00F23898">
        <w:rPr>
          <w:rFonts w:eastAsia="Arial Unicode MS"/>
        </w:rPr>
        <w:t xml:space="preserve"> to the heat exchanger to collect more before being redistributed throughout the community.</w:t>
      </w:r>
    </w:p>
    <w:p w14:paraId="116345D9" w14:textId="77777777" w:rsidR="00F23898" w:rsidRPr="00F23898" w:rsidRDefault="00F23898" w:rsidP="00F23898">
      <w:pPr>
        <w:pStyle w:val="BodyTextMain"/>
        <w:rPr>
          <w:rFonts w:eastAsia="Arial Unicode MS"/>
        </w:rPr>
      </w:pPr>
    </w:p>
    <w:p w14:paraId="287B5AB1" w14:textId="3F753BF4" w:rsidR="00F23898" w:rsidRPr="00F23898" w:rsidRDefault="00F23898" w:rsidP="00F23898">
      <w:pPr>
        <w:pStyle w:val="BodyTextMain"/>
        <w:rPr>
          <w:rFonts w:eastAsia="Arial Unicode MS"/>
        </w:rPr>
      </w:pPr>
      <w:r w:rsidRPr="00F23898">
        <w:rPr>
          <w:rFonts w:eastAsia="Arial Unicode MS"/>
        </w:rPr>
        <w:t xml:space="preserve">The environmental benefits of a </w:t>
      </w:r>
      <w:r w:rsidR="00337171">
        <w:rPr>
          <w:rFonts w:eastAsia="Arial Unicode MS"/>
        </w:rPr>
        <w:t>s</w:t>
      </w:r>
      <w:r w:rsidRPr="00F23898">
        <w:rPr>
          <w:rFonts w:eastAsia="Arial Unicode MS"/>
        </w:rPr>
        <w:t xml:space="preserve">ewer </w:t>
      </w:r>
      <w:r w:rsidR="00337171">
        <w:rPr>
          <w:rFonts w:eastAsia="Arial Unicode MS"/>
        </w:rPr>
        <w:t>h</w:t>
      </w:r>
      <w:r w:rsidRPr="00F23898">
        <w:rPr>
          <w:rFonts w:eastAsia="Arial Unicode MS"/>
        </w:rPr>
        <w:t xml:space="preserve">eat </w:t>
      </w:r>
      <w:r w:rsidR="00337171">
        <w:rPr>
          <w:rFonts w:eastAsia="Arial Unicode MS"/>
        </w:rPr>
        <w:t>r</w:t>
      </w:r>
      <w:r w:rsidRPr="00F23898">
        <w:rPr>
          <w:rFonts w:eastAsia="Arial Unicode MS"/>
        </w:rPr>
        <w:t xml:space="preserve">ecovery system </w:t>
      </w:r>
      <w:r w:rsidR="001E3176">
        <w:rPr>
          <w:rFonts w:eastAsia="Arial Unicode MS"/>
        </w:rPr>
        <w:t>we</w:t>
      </w:r>
      <w:r w:rsidRPr="00F23898">
        <w:rPr>
          <w:rFonts w:eastAsia="Arial Unicode MS"/>
        </w:rPr>
        <w:t>re plentiful.</w:t>
      </w:r>
      <w:r>
        <w:rPr>
          <w:rFonts w:eastAsia="Arial Unicode MS"/>
        </w:rPr>
        <w:t xml:space="preserve"> </w:t>
      </w:r>
      <w:r w:rsidRPr="00F23898">
        <w:rPr>
          <w:rFonts w:eastAsia="Arial Unicode MS"/>
        </w:rPr>
        <w:t>First, it significantly reduce</w:t>
      </w:r>
      <w:r w:rsidR="001E3176">
        <w:rPr>
          <w:rFonts w:eastAsia="Arial Unicode MS"/>
        </w:rPr>
        <w:t>d</w:t>
      </w:r>
      <w:r w:rsidRPr="00F23898">
        <w:rPr>
          <w:rFonts w:eastAsia="Arial Unicode MS"/>
        </w:rPr>
        <w:t xml:space="preserve"> dependence upon natural gas for heating.</w:t>
      </w:r>
      <w:r>
        <w:rPr>
          <w:rFonts w:eastAsia="Arial Unicode MS"/>
        </w:rPr>
        <w:t xml:space="preserve"> </w:t>
      </w:r>
      <w:r w:rsidRPr="00F23898">
        <w:rPr>
          <w:rFonts w:eastAsia="Arial Unicode MS"/>
        </w:rPr>
        <w:t xml:space="preserve">Natural gas burners </w:t>
      </w:r>
      <w:r w:rsidR="001E3176">
        <w:rPr>
          <w:rFonts w:eastAsia="Arial Unicode MS"/>
        </w:rPr>
        <w:t>we</w:t>
      </w:r>
      <w:r w:rsidRPr="00F23898">
        <w:rPr>
          <w:rFonts w:eastAsia="Arial Unicode MS"/>
        </w:rPr>
        <w:t xml:space="preserve">re required </w:t>
      </w:r>
      <w:r w:rsidR="008776CC" w:rsidRPr="00F23898">
        <w:rPr>
          <w:rFonts w:eastAsia="Arial Unicode MS"/>
        </w:rPr>
        <w:t xml:space="preserve">only </w:t>
      </w:r>
      <w:r w:rsidRPr="00F23898">
        <w:rPr>
          <w:rFonts w:eastAsia="Arial Unicode MS"/>
        </w:rPr>
        <w:t>on particularly cold days or during peak periods.</w:t>
      </w:r>
      <w:r>
        <w:rPr>
          <w:rFonts w:eastAsia="Arial Unicode MS"/>
        </w:rPr>
        <w:t xml:space="preserve"> </w:t>
      </w:r>
      <w:r w:rsidRPr="00F23898">
        <w:rPr>
          <w:rFonts w:eastAsia="Arial Unicode MS"/>
        </w:rPr>
        <w:t>Second, this system emit</w:t>
      </w:r>
      <w:r w:rsidR="001E3176">
        <w:rPr>
          <w:rFonts w:eastAsia="Arial Unicode MS"/>
        </w:rPr>
        <w:t>ted</w:t>
      </w:r>
      <w:r w:rsidRPr="00F23898">
        <w:rPr>
          <w:rFonts w:eastAsia="Arial Unicode MS"/>
        </w:rPr>
        <w:t xml:space="preserve"> greenhouse gases </w:t>
      </w:r>
      <w:r w:rsidR="003A4B67" w:rsidRPr="00F23898">
        <w:rPr>
          <w:rFonts w:eastAsia="Arial Unicode MS"/>
        </w:rPr>
        <w:t xml:space="preserve">only </w:t>
      </w:r>
      <w:r w:rsidRPr="00F23898">
        <w:rPr>
          <w:rFonts w:eastAsia="Arial Unicode MS"/>
        </w:rPr>
        <w:t xml:space="preserve">during the aforementioned periods when natural gas combustion </w:t>
      </w:r>
      <w:r w:rsidR="001E3176">
        <w:rPr>
          <w:rFonts w:eastAsia="Arial Unicode MS"/>
        </w:rPr>
        <w:t>wa</w:t>
      </w:r>
      <w:r w:rsidRPr="00F23898">
        <w:rPr>
          <w:rFonts w:eastAsia="Arial Unicode MS"/>
        </w:rPr>
        <w:t>s required.</w:t>
      </w:r>
      <w:r>
        <w:rPr>
          <w:rFonts w:eastAsia="Arial Unicode MS"/>
        </w:rPr>
        <w:t xml:space="preserve"> </w:t>
      </w:r>
      <w:r w:rsidRPr="00F23898">
        <w:rPr>
          <w:rFonts w:eastAsia="Arial Unicode MS"/>
        </w:rPr>
        <w:t>Finally, the entire system r</w:t>
      </w:r>
      <w:r w:rsidR="001E3176">
        <w:rPr>
          <w:rFonts w:eastAsia="Arial Unicode MS"/>
        </w:rPr>
        <w:t>a</w:t>
      </w:r>
      <w:r w:rsidRPr="00F23898">
        <w:rPr>
          <w:rFonts w:eastAsia="Arial Unicode MS"/>
        </w:rPr>
        <w:t>n off a renewable fuel source that would otherwise simply contribute to waste generation.</w:t>
      </w:r>
      <w:r>
        <w:rPr>
          <w:rFonts w:eastAsia="Arial Unicode MS"/>
        </w:rPr>
        <w:t xml:space="preserve"> </w:t>
      </w:r>
      <w:r w:rsidRPr="00F23898">
        <w:rPr>
          <w:rFonts w:eastAsia="Arial Unicode MS"/>
        </w:rPr>
        <w:t>Consequently, the system</w:t>
      </w:r>
      <w:r w:rsidR="00A25968">
        <w:rPr>
          <w:rFonts w:eastAsia="Arial Unicode MS"/>
        </w:rPr>
        <w:t>’</w:t>
      </w:r>
      <w:r w:rsidRPr="00F23898">
        <w:rPr>
          <w:rFonts w:eastAsia="Arial Unicode MS"/>
        </w:rPr>
        <w:t xml:space="preserve">s fuel source could run out </w:t>
      </w:r>
      <w:r w:rsidR="008776CC" w:rsidRPr="00F23898">
        <w:rPr>
          <w:rFonts w:eastAsia="Arial Unicode MS"/>
        </w:rPr>
        <w:t xml:space="preserve">only </w:t>
      </w:r>
      <w:r w:rsidRPr="00F23898">
        <w:rPr>
          <w:rFonts w:eastAsia="Arial Unicode MS"/>
        </w:rPr>
        <w:t>if humans stopped contributing to wastewater.</w:t>
      </w:r>
    </w:p>
    <w:p w14:paraId="1F530F5F" w14:textId="77777777" w:rsidR="00F23898" w:rsidRPr="00F23898" w:rsidRDefault="00F23898" w:rsidP="00F23898">
      <w:pPr>
        <w:pStyle w:val="BodyTextMain"/>
        <w:rPr>
          <w:rFonts w:eastAsia="Arial Unicode MS"/>
        </w:rPr>
      </w:pPr>
    </w:p>
    <w:p w14:paraId="50816589" w14:textId="77777777" w:rsidR="00F23898" w:rsidRPr="00F23898" w:rsidRDefault="00F23898" w:rsidP="00F23898">
      <w:pPr>
        <w:pStyle w:val="BodyTextMain"/>
        <w:rPr>
          <w:rFonts w:eastAsia="Arial Unicode MS"/>
        </w:rPr>
      </w:pPr>
      <w:r w:rsidRPr="00F23898">
        <w:rPr>
          <w:rFonts w:eastAsia="Arial Unicode MS"/>
        </w:rPr>
        <w:t>However, although this technology literally generate</w:t>
      </w:r>
      <w:r w:rsidR="001E3176">
        <w:rPr>
          <w:rFonts w:eastAsia="Arial Unicode MS"/>
        </w:rPr>
        <w:t>d</w:t>
      </w:r>
      <w:r w:rsidRPr="00F23898">
        <w:rPr>
          <w:rFonts w:eastAsia="Arial Unicode MS"/>
        </w:rPr>
        <w:t xml:space="preserve"> energy from waste, some concerns</w:t>
      </w:r>
      <w:r w:rsidR="008776CC">
        <w:rPr>
          <w:rFonts w:eastAsia="Arial Unicode MS"/>
        </w:rPr>
        <w:t xml:space="preserve"> </w:t>
      </w:r>
      <w:r w:rsidR="001E3176">
        <w:rPr>
          <w:rFonts w:eastAsia="Arial Unicode MS"/>
        </w:rPr>
        <w:t>were</w:t>
      </w:r>
      <w:r w:rsidRPr="00F23898">
        <w:rPr>
          <w:rFonts w:eastAsia="Arial Unicode MS"/>
        </w:rPr>
        <w:t xml:space="preserve"> associated with its implementation.</w:t>
      </w:r>
      <w:r>
        <w:rPr>
          <w:rFonts w:eastAsia="Arial Unicode MS"/>
        </w:rPr>
        <w:t xml:space="preserve"> </w:t>
      </w:r>
      <w:r w:rsidRPr="00F23898">
        <w:rPr>
          <w:rFonts w:eastAsia="Arial Unicode MS"/>
        </w:rPr>
        <w:t xml:space="preserve">First, there </w:t>
      </w:r>
      <w:r w:rsidR="001E3176">
        <w:rPr>
          <w:rFonts w:eastAsia="Arial Unicode MS"/>
        </w:rPr>
        <w:t>we</w:t>
      </w:r>
      <w:r w:rsidRPr="00F23898">
        <w:rPr>
          <w:rFonts w:eastAsia="Arial Unicode MS"/>
        </w:rPr>
        <w:t>re societal concerns and preconceptions over sewage.</w:t>
      </w:r>
      <w:r>
        <w:rPr>
          <w:rFonts w:eastAsia="Arial Unicode MS"/>
        </w:rPr>
        <w:t xml:space="preserve"> </w:t>
      </w:r>
      <w:r w:rsidRPr="00F23898">
        <w:rPr>
          <w:rFonts w:eastAsia="Arial Unicode MS"/>
        </w:rPr>
        <w:t>Some individuals m</w:t>
      </w:r>
      <w:r w:rsidR="001E3176">
        <w:rPr>
          <w:rFonts w:eastAsia="Arial Unicode MS"/>
        </w:rPr>
        <w:t>ight</w:t>
      </w:r>
      <w:r w:rsidRPr="00F23898">
        <w:rPr>
          <w:rFonts w:eastAsia="Arial Unicode MS"/>
        </w:rPr>
        <w:t xml:space="preserve"> simply find the technology to be unappealing due to the negative connotations associated with sewage.</w:t>
      </w:r>
      <w:r>
        <w:rPr>
          <w:rFonts w:eastAsia="Arial Unicode MS"/>
        </w:rPr>
        <w:t xml:space="preserve"> </w:t>
      </w:r>
      <w:r w:rsidRPr="00F23898">
        <w:rPr>
          <w:rFonts w:eastAsia="Arial Unicode MS"/>
        </w:rPr>
        <w:t xml:space="preserve">Second, there </w:t>
      </w:r>
      <w:r w:rsidR="001E3176">
        <w:rPr>
          <w:rFonts w:eastAsia="Arial Unicode MS"/>
        </w:rPr>
        <w:t>wa</w:t>
      </w:r>
      <w:r w:rsidRPr="00F23898">
        <w:rPr>
          <w:rFonts w:eastAsia="Arial Unicode MS"/>
        </w:rPr>
        <w:t>s the concern over odo</w:t>
      </w:r>
      <w:r w:rsidR="008776CC">
        <w:rPr>
          <w:rFonts w:eastAsia="Arial Unicode MS"/>
        </w:rPr>
        <w:t>u</w:t>
      </w:r>
      <w:r w:rsidRPr="00F23898">
        <w:rPr>
          <w:rFonts w:eastAsia="Arial Unicode MS"/>
        </w:rPr>
        <w:t>r.</w:t>
      </w:r>
      <w:r>
        <w:rPr>
          <w:rFonts w:eastAsia="Arial Unicode MS"/>
        </w:rPr>
        <w:t xml:space="preserve"> </w:t>
      </w:r>
      <w:r w:rsidRPr="00F23898">
        <w:rPr>
          <w:rFonts w:eastAsia="Arial Unicode MS"/>
        </w:rPr>
        <w:t>In order to reduce costs, the heat exchange and sewage system would be installed within the community or at least close by.</w:t>
      </w:r>
      <w:r>
        <w:rPr>
          <w:rFonts w:eastAsia="Arial Unicode MS"/>
        </w:rPr>
        <w:t xml:space="preserve"> </w:t>
      </w:r>
      <w:r w:rsidRPr="00F23898">
        <w:rPr>
          <w:rFonts w:eastAsia="Arial Unicode MS"/>
        </w:rPr>
        <w:t>Consequently, if mismanaged, the sewage could create an unpleasant smell throughout the area.</w:t>
      </w:r>
      <w:r>
        <w:rPr>
          <w:rFonts w:eastAsia="Arial Unicode MS"/>
        </w:rPr>
        <w:t xml:space="preserve"> </w:t>
      </w:r>
      <w:r w:rsidRPr="00F23898">
        <w:rPr>
          <w:rFonts w:eastAsia="Arial Unicode MS"/>
        </w:rPr>
        <w:t xml:space="preserve">Finally, there </w:t>
      </w:r>
      <w:r w:rsidR="001E3176">
        <w:rPr>
          <w:rFonts w:eastAsia="Arial Unicode MS"/>
        </w:rPr>
        <w:t>we</w:t>
      </w:r>
      <w:r w:rsidRPr="00F23898">
        <w:rPr>
          <w:rFonts w:eastAsia="Arial Unicode MS"/>
        </w:rPr>
        <w:t>re the health and environmental concerns associated with a sewage leak.</w:t>
      </w:r>
      <w:r>
        <w:rPr>
          <w:rFonts w:eastAsia="Arial Unicode MS"/>
        </w:rPr>
        <w:t xml:space="preserve"> </w:t>
      </w:r>
      <w:r w:rsidRPr="00F23898">
        <w:rPr>
          <w:rFonts w:eastAsia="Arial Unicode MS"/>
        </w:rPr>
        <w:t xml:space="preserve">Although these concerns should </w:t>
      </w:r>
      <w:r w:rsidR="001E3176">
        <w:rPr>
          <w:rFonts w:eastAsia="Arial Unicode MS"/>
        </w:rPr>
        <w:t xml:space="preserve">have </w:t>
      </w:r>
      <w:r w:rsidRPr="00F23898">
        <w:rPr>
          <w:rFonts w:eastAsia="Arial Unicode MS"/>
        </w:rPr>
        <w:t>b</w:t>
      </w:r>
      <w:r w:rsidR="001E3176">
        <w:rPr>
          <w:rFonts w:eastAsia="Arial Unicode MS"/>
        </w:rPr>
        <w:t>een</w:t>
      </w:r>
      <w:r w:rsidRPr="00F23898">
        <w:rPr>
          <w:rFonts w:eastAsia="Arial Unicode MS"/>
        </w:rPr>
        <w:t xml:space="preserve"> no different </w:t>
      </w:r>
      <w:r w:rsidR="008776CC">
        <w:rPr>
          <w:rFonts w:eastAsia="Arial Unicode MS"/>
        </w:rPr>
        <w:t>from</w:t>
      </w:r>
      <w:r w:rsidRPr="00F23898">
        <w:rPr>
          <w:rFonts w:eastAsia="Arial Unicode MS"/>
        </w:rPr>
        <w:t xml:space="preserve"> concerns over the sewage systems </w:t>
      </w:r>
      <w:r w:rsidR="001E3176">
        <w:rPr>
          <w:rFonts w:eastAsia="Arial Unicode MS"/>
        </w:rPr>
        <w:t xml:space="preserve">already </w:t>
      </w:r>
      <w:r w:rsidRPr="00F23898">
        <w:rPr>
          <w:rFonts w:eastAsia="Arial Unicode MS"/>
        </w:rPr>
        <w:t>installed all over the world, the high-profile status of this technology could bring such concerns to the forefront.</w:t>
      </w:r>
      <w:r>
        <w:rPr>
          <w:rFonts w:eastAsia="Arial Unicode MS"/>
        </w:rPr>
        <w:t xml:space="preserve"> </w:t>
      </w:r>
      <w:r w:rsidR="001E3176">
        <w:rPr>
          <w:rFonts w:eastAsia="Arial Unicode MS"/>
        </w:rPr>
        <w:t>(</w:t>
      </w:r>
      <w:r w:rsidRPr="00F23898">
        <w:rPr>
          <w:rFonts w:eastAsia="Arial Unicode MS"/>
        </w:rPr>
        <w:t xml:space="preserve">The energy output and financial data for the </w:t>
      </w:r>
      <w:r w:rsidR="00337171">
        <w:rPr>
          <w:rFonts w:eastAsia="Arial Unicode MS"/>
        </w:rPr>
        <w:t>s</w:t>
      </w:r>
      <w:r w:rsidRPr="00F23898">
        <w:rPr>
          <w:rFonts w:eastAsia="Arial Unicode MS"/>
        </w:rPr>
        <w:t xml:space="preserve">ewer </w:t>
      </w:r>
      <w:r w:rsidR="00337171">
        <w:rPr>
          <w:rFonts w:eastAsia="Arial Unicode MS"/>
        </w:rPr>
        <w:t>h</w:t>
      </w:r>
      <w:r w:rsidRPr="00F23898">
        <w:rPr>
          <w:rFonts w:eastAsia="Arial Unicode MS"/>
        </w:rPr>
        <w:t xml:space="preserve">eat </w:t>
      </w:r>
      <w:r w:rsidR="00337171">
        <w:rPr>
          <w:rFonts w:eastAsia="Arial Unicode MS"/>
        </w:rPr>
        <w:t>r</w:t>
      </w:r>
      <w:r w:rsidRPr="00F23898">
        <w:rPr>
          <w:rFonts w:eastAsia="Arial Unicode MS"/>
        </w:rPr>
        <w:t xml:space="preserve">ecovery </w:t>
      </w:r>
      <w:r w:rsidR="00337171">
        <w:rPr>
          <w:rFonts w:eastAsia="Arial Unicode MS"/>
        </w:rPr>
        <w:t>s</w:t>
      </w:r>
      <w:r w:rsidRPr="00F23898">
        <w:rPr>
          <w:rFonts w:eastAsia="Arial Unicode MS"/>
        </w:rPr>
        <w:t>ystem are found in Exhibit 3.</w:t>
      </w:r>
      <w:r w:rsidR="001E3176">
        <w:rPr>
          <w:rFonts w:eastAsia="Arial Unicode MS"/>
        </w:rPr>
        <w:t>)</w:t>
      </w:r>
    </w:p>
    <w:p w14:paraId="0F211130" w14:textId="77777777" w:rsidR="00F23898" w:rsidRDefault="00F23898" w:rsidP="00F23898">
      <w:pPr>
        <w:pStyle w:val="BodyTextMain"/>
        <w:rPr>
          <w:rFonts w:eastAsia="Arial Unicode MS"/>
        </w:rPr>
      </w:pPr>
    </w:p>
    <w:p w14:paraId="029D1ECE" w14:textId="77777777" w:rsidR="00424672" w:rsidRPr="00F23898" w:rsidRDefault="00424672" w:rsidP="00F23898">
      <w:pPr>
        <w:pStyle w:val="BodyTextMain"/>
        <w:rPr>
          <w:rFonts w:eastAsia="Arial Unicode MS"/>
        </w:rPr>
      </w:pPr>
    </w:p>
    <w:p w14:paraId="60B3796F" w14:textId="77777777" w:rsidR="00F23898" w:rsidRPr="00F23898" w:rsidRDefault="00F23898" w:rsidP="00424672">
      <w:pPr>
        <w:pStyle w:val="Casehead2"/>
        <w:rPr>
          <w:rFonts w:eastAsia="Arial Unicode MS"/>
        </w:rPr>
      </w:pPr>
      <w:r w:rsidRPr="00F23898">
        <w:rPr>
          <w:rFonts w:eastAsia="Arial Unicode MS"/>
        </w:rPr>
        <w:t>Anaerobic Digestion and Cogeneration</w:t>
      </w:r>
    </w:p>
    <w:p w14:paraId="604684CC" w14:textId="77777777" w:rsidR="00F23898" w:rsidRPr="00F23898" w:rsidRDefault="00F23898" w:rsidP="00F23898">
      <w:pPr>
        <w:pStyle w:val="BodyTextMain"/>
        <w:rPr>
          <w:rFonts w:eastAsia="Arial Unicode MS"/>
        </w:rPr>
      </w:pPr>
    </w:p>
    <w:p w14:paraId="0C615F0D" w14:textId="6EFC56E8" w:rsidR="00F23898" w:rsidRPr="00F23898" w:rsidRDefault="008776CC" w:rsidP="00F23898">
      <w:pPr>
        <w:pStyle w:val="BodyTextMain"/>
        <w:rPr>
          <w:rFonts w:eastAsia="Arial Unicode MS"/>
        </w:rPr>
      </w:pPr>
      <w:r>
        <w:rPr>
          <w:rFonts w:eastAsia="Arial Unicode MS"/>
        </w:rPr>
        <w:t>V</w:t>
      </w:r>
      <w:r w:rsidR="00F23898" w:rsidRPr="00F23898">
        <w:rPr>
          <w:rFonts w:eastAsia="Arial Unicode MS"/>
        </w:rPr>
        <w:t xml:space="preserve">arious forms of waste </w:t>
      </w:r>
      <w:r w:rsidR="001E3176">
        <w:rPr>
          <w:rFonts w:eastAsia="Arial Unicode MS"/>
        </w:rPr>
        <w:t xml:space="preserve">could </w:t>
      </w:r>
      <w:r w:rsidR="00F23898" w:rsidRPr="00F23898">
        <w:rPr>
          <w:rFonts w:eastAsia="Arial Unicode MS"/>
        </w:rPr>
        <w:t>be treated through anaerobic digestion.</w:t>
      </w:r>
      <w:r w:rsidR="00F23898">
        <w:rPr>
          <w:rFonts w:eastAsia="Arial Unicode MS"/>
        </w:rPr>
        <w:t xml:space="preserve"> </w:t>
      </w:r>
      <w:r w:rsidR="00F23898" w:rsidRPr="00F23898">
        <w:rPr>
          <w:rFonts w:eastAsia="Arial Unicode MS"/>
        </w:rPr>
        <w:t xml:space="preserve">In anaerobic digestion, microorganisms </w:t>
      </w:r>
      <w:r w:rsidR="001E3176">
        <w:rPr>
          <w:rFonts w:eastAsia="Arial Unicode MS"/>
        </w:rPr>
        <w:t>we</w:t>
      </w:r>
      <w:r w:rsidR="00F23898" w:rsidRPr="00F23898">
        <w:rPr>
          <w:rFonts w:eastAsia="Arial Unicode MS"/>
        </w:rPr>
        <w:t>re used, in the absence of oxygen, to break down biodegradable materials such as organic waste.</w:t>
      </w:r>
      <w:r w:rsidR="00F23898">
        <w:rPr>
          <w:rFonts w:eastAsia="Arial Unicode MS"/>
        </w:rPr>
        <w:t xml:space="preserve"> </w:t>
      </w:r>
      <w:r w:rsidR="00F23898" w:rsidRPr="00F23898">
        <w:rPr>
          <w:rFonts w:eastAsia="Arial Unicode MS"/>
        </w:rPr>
        <w:t>Additional forms of waste that c</w:t>
      </w:r>
      <w:r w:rsidR="001E3176">
        <w:rPr>
          <w:rFonts w:eastAsia="Arial Unicode MS"/>
        </w:rPr>
        <w:t>ould</w:t>
      </w:r>
      <w:r w:rsidR="00F23898" w:rsidRPr="00F23898">
        <w:rPr>
          <w:rFonts w:eastAsia="Arial Unicode MS"/>
        </w:rPr>
        <w:t xml:space="preserve"> be treated include</w:t>
      </w:r>
      <w:r w:rsidR="001E3176">
        <w:rPr>
          <w:rFonts w:eastAsia="Arial Unicode MS"/>
        </w:rPr>
        <w:t>d</w:t>
      </w:r>
      <w:r w:rsidR="00F23898" w:rsidRPr="00F23898">
        <w:rPr>
          <w:rFonts w:eastAsia="Arial Unicode MS"/>
        </w:rPr>
        <w:t xml:space="preserve"> sewage sludge and fats, oils</w:t>
      </w:r>
      <w:r>
        <w:rPr>
          <w:rFonts w:eastAsia="Arial Unicode MS"/>
        </w:rPr>
        <w:t>,</w:t>
      </w:r>
      <w:r w:rsidR="00F23898" w:rsidRPr="00F23898">
        <w:rPr>
          <w:rFonts w:eastAsia="Arial Unicode MS"/>
        </w:rPr>
        <w:t xml:space="preserve"> and grease.</w:t>
      </w:r>
      <w:r w:rsidR="00F23898">
        <w:rPr>
          <w:rFonts w:eastAsia="Arial Unicode MS"/>
        </w:rPr>
        <w:t xml:space="preserve"> </w:t>
      </w:r>
      <w:r w:rsidR="00F23898" w:rsidRPr="00F23898">
        <w:rPr>
          <w:rFonts w:eastAsia="Arial Unicode MS"/>
        </w:rPr>
        <w:t>Through various steps, multiple species of microorganisms br</w:t>
      </w:r>
      <w:r w:rsidR="001E3176">
        <w:rPr>
          <w:rFonts w:eastAsia="Arial Unicode MS"/>
        </w:rPr>
        <w:t>oke</w:t>
      </w:r>
      <w:r w:rsidR="00F23898" w:rsidRPr="00F23898">
        <w:rPr>
          <w:rFonts w:eastAsia="Arial Unicode MS"/>
        </w:rPr>
        <w:t xml:space="preserve"> down the waste and generate</w:t>
      </w:r>
      <w:r w:rsidR="001E3176">
        <w:rPr>
          <w:rFonts w:eastAsia="Arial Unicode MS"/>
        </w:rPr>
        <w:t>d</w:t>
      </w:r>
      <w:r w:rsidR="00F23898" w:rsidRPr="00F23898">
        <w:rPr>
          <w:rFonts w:eastAsia="Arial Unicode MS"/>
        </w:rPr>
        <w:t xml:space="preserve"> a product known as biogas.</w:t>
      </w:r>
      <w:r w:rsidR="00F23898">
        <w:rPr>
          <w:rFonts w:eastAsia="Arial Unicode MS"/>
        </w:rPr>
        <w:t xml:space="preserve"> </w:t>
      </w:r>
      <w:r w:rsidR="00F23898" w:rsidRPr="00F23898">
        <w:rPr>
          <w:rFonts w:eastAsia="Arial Unicode MS"/>
        </w:rPr>
        <w:t xml:space="preserve">This biogas </w:t>
      </w:r>
      <w:r w:rsidR="001E3176">
        <w:rPr>
          <w:rFonts w:eastAsia="Arial Unicode MS"/>
        </w:rPr>
        <w:t>wa</w:t>
      </w:r>
      <w:r w:rsidR="00F23898" w:rsidRPr="00F23898">
        <w:rPr>
          <w:rFonts w:eastAsia="Arial Unicode MS"/>
        </w:rPr>
        <w:t>s largely made up of methane and carbon dioxide.</w:t>
      </w:r>
      <w:r w:rsidR="00F23898">
        <w:rPr>
          <w:rFonts w:eastAsia="Arial Unicode MS"/>
        </w:rPr>
        <w:t xml:space="preserve"> </w:t>
      </w:r>
      <w:r w:rsidR="00F23898" w:rsidRPr="00F23898">
        <w:rPr>
          <w:rFonts w:eastAsia="Arial Unicode MS"/>
        </w:rPr>
        <w:t>Although the biogas generated through the digestion process c</w:t>
      </w:r>
      <w:r w:rsidR="001E3176">
        <w:rPr>
          <w:rFonts w:eastAsia="Arial Unicode MS"/>
        </w:rPr>
        <w:t>ould</w:t>
      </w:r>
      <w:r w:rsidR="00F23898" w:rsidRPr="00F23898">
        <w:rPr>
          <w:rFonts w:eastAsia="Arial Unicode MS"/>
        </w:rPr>
        <w:t xml:space="preserve"> be used for multiple purposes, for the sake of this development project, it would be combusted in a gas engine in order to generate electricity.</w:t>
      </w:r>
    </w:p>
    <w:p w14:paraId="0E884081" w14:textId="77777777" w:rsidR="00F23898" w:rsidRPr="00F23898" w:rsidRDefault="00F23898" w:rsidP="00F23898">
      <w:pPr>
        <w:pStyle w:val="BodyTextMain"/>
        <w:rPr>
          <w:rFonts w:eastAsia="Arial Unicode MS"/>
        </w:rPr>
      </w:pPr>
    </w:p>
    <w:p w14:paraId="1C1F52FB" w14:textId="45BAD0B8" w:rsidR="00F23898" w:rsidRDefault="00F23898" w:rsidP="00F23898">
      <w:pPr>
        <w:pStyle w:val="BodyTextMain"/>
        <w:rPr>
          <w:rFonts w:eastAsia="Arial Unicode MS"/>
        </w:rPr>
      </w:pPr>
      <w:r w:rsidRPr="00F23898">
        <w:rPr>
          <w:rFonts w:eastAsia="Arial Unicode MS"/>
        </w:rPr>
        <w:t xml:space="preserve">The methane and carbon dioxide from the biogas </w:t>
      </w:r>
      <w:r w:rsidR="001E3176">
        <w:rPr>
          <w:rFonts w:eastAsia="Arial Unicode MS"/>
        </w:rPr>
        <w:t>we</w:t>
      </w:r>
      <w:r w:rsidRPr="00F23898">
        <w:rPr>
          <w:rFonts w:eastAsia="Arial Unicode MS"/>
        </w:rPr>
        <w:t>re, indeed, two of the most common and damaging greenhouse gases contributing to climate change.</w:t>
      </w:r>
      <w:r>
        <w:rPr>
          <w:rFonts w:eastAsia="Arial Unicode MS"/>
        </w:rPr>
        <w:t xml:space="preserve"> </w:t>
      </w:r>
      <w:r w:rsidRPr="00F23898">
        <w:rPr>
          <w:rFonts w:eastAsia="Arial Unicode MS"/>
        </w:rPr>
        <w:t>However, the combustion process convert</w:t>
      </w:r>
      <w:r w:rsidR="001E3176">
        <w:rPr>
          <w:rFonts w:eastAsia="Arial Unicode MS"/>
        </w:rPr>
        <w:t>ed</w:t>
      </w:r>
      <w:r w:rsidRPr="00F23898">
        <w:rPr>
          <w:rFonts w:eastAsia="Arial Unicode MS"/>
        </w:rPr>
        <w:t xml:space="preserve"> methane, the more harmful </w:t>
      </w:r>
      <w:r w:rsidR="003A4B67">
        <w:rPr>
          <w:rFonts w:eastAsia="Arial Unicode MS"/>
        </w:rPr>
        <w:t xml:space="preserve">of the two </w:t>
      </w:r>
      <w:r w:rsidRPr="00F23898">
        <w:rPr>
          <w:rFonts w:eastAsia="Arial Unicode MS"/>
        </w:rPr>
        <w:t>greenhouse gas</w:t>
      </w:r>
      <w:r w:rsidR="003A4B67">
        <w:rPr>
          <w:rFonts w:eastAsia="Arial Unicode MS"/>
        </w:rPr>
        <w:t>es</w:t>
      </w:r>
      <w:r w:rsidRPr="00F23898">
        <w:rPr>
          <w:rFonts w:eastAsia="Arial Unicode MS"/>
        </w:rPr>
        <w:t>, into carbon dioxide.</w:t>
      </w:r>
      <w:r>
        <w:rPr>
          <w:rFonts w:eastAsia="Arial Unicode MS"/>
        </w:rPr>
        <w:t xml:space="preserve"> </w:t>
      </w:r>
      <w:r w:rsidRPr="00F23898">
        <w:rPr>
          <w:rFonts w:eastAsia="Arial Unicode MS"/>
        </w:rPr>
        <w:t xml:space="preserve">The entire process of anaerobic digestion and electricity generation </w:t>
      </w:r>
      <w:r w:rsidR="00E54F0C">
        <w:rPr>
          <w:rFonts w:eastAsia="Arial Unicode MS"/>
        </w:rPr>
        <w:t>wa</w:t>
      </w:r>
      <w:r w:rsidRPr="00F23898">
        <w:rPr>
          <w:rFonts w:eastAsia="Arial Unicode MS"/>
        </w:rPr>
        <w:t>s considered carbon neutral.</w:t>
      </w:r>
      <w:r>
        <w:rPr>
          <w:rFonts w:eastAsia="Arial Unicode MS"/>
        </w:rPr>
        <w:t xml:space="preserve"> </w:t>
      </w:r>
      <w:r w:rsidRPr="00F23898">
        <w:rPr>
          <w:rFonts w:eastAsia="Arial Unicode MS"/>
        </w:rPr>
        <w:t>In essence, because the largely plant-based materials entering the anaerobic digester ha</w:t>
      </w:r>
      <w:r w:rsidR="00E54F0C">
        <w:rPr>
          <w:rFonts w:eastAsia="Arial Unicode MS"/>
        </w:rPr>
        <w:t>d</w:t>
      </w:r>
      <w:r w:rsidRPr="00F23898">
        <w:rPr>
          <w:rFonts w:eastAsia="Arial Unicode MS"/>
        </w:rPr>
        <w:t xml:space="preserve"> already absorbed carbon dioxide in the atmosphere through photosynthesis, the combustion of biogas simply release</w:t>
      </w:r>
      <w:r w:rsidR="00E54F0C">
        <w:rPr>
          <w:rFonts w:eastAsia="Arial Unicode MS"/>
        </w:rPr>
        <w:t>d</w:t>
      </w:r>
      <w:r w:rsidRPr="00F23898">
        <w:rPr>
          <w:rFonts w:eastAsia="Arial Unicode MS"/>
        </w:rPr>
        <w:t xml:space="preserve"> this carbon dioxide back into the atmosphere.</w:t>
      </w:r>
      <w:r>
        <w:rPr>
          <w:rFonts w:eastAsia="Arial Unicode MS"/>
        </w:rPr>
        <w:t xml:space="preserve"> </w:t>
      </w:r>
      <w:r w:rsidRPr="00F23898">
        <w:rPr>
          <w:rFonts w:eastAsia="Arial Unicode MS"/>
        </w:rPr>
        <w:t xml:space="preserve">Because the amount of methane </w:t>
      </w:r>
      <w:r w:rsidR="00E54F0C">
        <w:rPr>
          <w:rFonts w:eastAsia="Arial Unicode MS"/>
        </w:rPr>
        <w:t>wa</w:t>
      </w:r>
      <w:r w:rsidRPr="00F23898">
        <w:rPr>
          <w:rFonts w:eastAsia="Arial Unicode MS"/>
        </w:rPr>
        <w:t>s reduced through combustion, less</w:t>
      </w:r>
      <w:r w:rsidR="006834E0">
        <w:rPr>
          <w:rFonts w:eastAsia="Arial Unicode MS"/>
        </w:rPr>
        <w:t>-</w:t>
      </w:r>
      <w:r w:rsidRPr="00F23898">
        <w:rPr>
          <w:rFonts w:eastAsia="Arial Unicode MS"/>
        </w:rPr>
        <w:t xml:space="preserve">harmful emissions </w:t>
      </w:r>
      <w:r w:rsidR="00E54F0C">
        <w:rPr>
          <w:rFonts w:eastAsia="Arial Unicode MS"/>
        </w:rPr>
        <w:t>we</w:t>
      </w:r>
      <w:r w:rsidRPr="00F23898">
        <w:rPr>
          <w:rFonts w:eastAsia="Arial Unicode MS"/>
        </w:rPr>
        <w:t>re created through the entire process.</w:t>
      </w:r>
      <w:r>
        <w:rPr>
          <w:rFonts w:eastAsia="Arial Unicode MS"/>
        </w:rPr>
        <w:t xml:space="preserve"> </w:t>
      </w:r>
      <w:r w:rsidRPr="00F23898">
        <w:rPr>
          <w:rFonts w:eastAsia="Arial Unicode MS"/>
        </w:rPr>
        <w:t>Additionally, a by</w:t>
      </w:r>
      <w:r w:rsidR="008776CC">
        <w:rPr>
          <w:rFonts w:eastAsia="Arial Unicode MS"/>
        </w:rPr>
        <w:t>-</w:t>
      </w:r>
      <w:r w:rsidRPr="00F23898">
        <w:rPr>
          <w:rFonts w:eastAsia="Arial Unicode MS"/>
        </w:rPr>
        <w:t>product of anaerobic digestion create</w:t>
      </w:r>
      <w:r w:rsidR="00E54F0C">
        <w:rPr>
          <w:rFonts w:eastAsia="Arial Unicode MS"/>
        </w:rPr>
        <w:t>d</w:t>
      </w:r>
      <w:r w:rsidRPr="00F23898">
        <w:rPr>
          <w:rFonts w:eastAsia="Arial Unicode MS"/>
        </w:rPr>
        <w:t xml:space="preserve"> an efficient fertilizer that c</w:t>
      </w:r>
      <w:r w:rsidR="00E54F0C">
        <w:rPr>
          <w:rFonts w:eastAsia="Arial Unicode MS"/>
        </w:rPr>
        <w:t>ould</w:t>
      </w:r>
      <w:r w:rsidRPr="00F23898">
        <w:rPr>
          <w:rFonts w:eastAsia="Arial Unicode MS"/>
        </w:rPr>
        <w:t xml:space="preserve"> be used to plant new organisms to absorb atmospheric carbon dioxide.</w:t>
      </w:r>
    </w:p>
    <w:p w14:paraId="78BF30E9" w14:textId="77777777" w:rsidR="003E7695" w:rsidRPr="00F23898" w:rsidRDefault="003E7695" w:rsidP="00F23898">
      <w:pPr>
        <w:pStyle w:val="BodyTextMain"/>
        <w:rPr>
          <w:rFonts w:eastAsia="Arial Unicode MS"/>
        </w:rPr>
      </w:pPr>
    </w:p>
    <w:p w14:paraId="59C450A8" w14:textId="65891DC4" w:rsidR="00F23898" w:rsidRPr="00F23898" w:rsidRDefault="00F23898" w:rsidP="00F23898">
      <w:pPr>
        <w:pStyle w:val="BodyTextMain"/>
        <w:rPr>
          <w:rFonts w:eastAsia="Arial Unicode MS"/>
        </w:rPr>
      </w:pPr>
      <w:r w:rsidRPr="00F23898">
        <w:rPr>
          <w:rFonts w:eastAsia="Arial Unicode MS"/>
        </w:rPr>
        <w:lastRenderedPageBreak/>
        <w:t xml:space="preserve">Perhaps the most interesting characteristic of this system </w:t>
      </w:r>
      <w:r w:rsidR="00E54F0C">
        <w:rPr>
          <w:rFonts w:eastAsia="Arial Unicode MS"/>
        </w:rPr>
        <w:t>wa</w:t>
      </w:r>
      <w:r w:rsidRPr="00F23898">
        <w:rPr>
          <w:rFonts w:eastAsia="Arial Unicode MS"/>
        </w:rPr>
        <w:t xml:space="preserve">s that waste heat </w:t>
      </w:r>
      <w:r w:rsidR="00E54F0C">
        <w:rPr>
          <w:rFonts w:eastAsia="Arial Unicode MS"/>
        </w:rPr>
        <w:t>wa</w:t>
      </w:r>
      <w:r w:rsidRPr="00F23898">
        <w:rPr>
          <w:rFonts w:eastAsia="Arial Unicode MS"/>
        </w:rPr>
        <w:t>s generated during the electricity generation process</w:t>
      </w:r>
      <w:r w:rsidR="00856239">
        <w:rPr>
          <w:rFonts w:eastAsia="Arial Unicode MS"/>
        </w:rPr>
        <w:t>—</w:t>
      </w:r>
      <w:r w:rsidRPr="00F23898">
        <w:rPr>
          <w:rFonts w:eastAsia="Arial Unicode MS"/>
        </w:rPr>
        <w:t xml:space="preserve">hence the name </w:t>
      </w:r>
      <w:r w:rsidR="006834E0">
        <w:rPr>
          <w:rFonts w:eastAsia="Arial Unicode MS"/>
        </w:rPr>
        <w:t>“</w:t>
      </w:r>
      <w:r w:rsidRPr="00F23898">
        <w:rPr>
          <w:rFonts w:eastAsia="Arial Unicode MS"/>
        </w:rPr>
        <w:t>cogeneration.</w:t>
      </w:r>
      <w:r w:rsidR="006834E0">
        <w:rPr>
          <w:rFonts w:eastAsia="Arial Unicode MS"/>
        </w:rPr>
        <w:t>”</w:t>
      </w:r>
      <w:r>
        <w:rPr>
          <w:rFonts w:eastAsia="Arial Unicode MS"/>
        </w:rPr>
        <w:t xml:space="preserve"> </w:t>
      </w:r>
      <w:r w:rsidRPr="00F23898">
        <w:rPr>
          <w:rFonts w:eastAsia="Arial Unicode MS"/>
        </w:rPr>
        <w:t>This heat c</w:t>
      </w:r>
      <w:r w:rsidR="00E54F0C">
        <w:rPr>
          <w:rFonts w:eastAsia="Arial Unicode MS"/>
        </w:rPr>
        <w:t>ould</w:t>
      </w:r>
      <w:r w:rsidRPr="00F23898">
        <w:rPr>
          <w:rFonts w:eastAsia="Arial Unicode MS"/>
        </w:rPr>
        <w:t xml:space="preserve"> be harnessed to control the temperature of the digester and provide heating to the community.</w:t>
      </w:r>
      <w:r>
        <w:rPr>
          <w:rFonts w:eastAsia="Arial Unicode MS"/>
        </w:rPr>
        <w:t xml:space="preserve"> </w:t>
      </w:r>
      <w:r w:rsidRPr="00F23898">
        <w:rPr>
          <w:rFonts w:eastAsia="Arial Unicode MS"/>
        </w:rPr>
        <w:t xml:space="preserve">Thus, an anaerobic digester and cogeneration system </w:t>
      </w:r>
      <w:r w:rsidR="00E54F0C">
        <w:rPr>
          <w:rFonts w:eastAsia="Arial Unicode MS"/>
        </w:rPr>
        <w:t>was</w:t>
      </w:r>
      <w:r w:rsidRPr="00F23898">
        <w:rPr>
          <w:rFonts w:eastAsia="Arial Unicode MS"/>
        </w:rPr>
        <w:t xml:space="preserve"> able to produce two forms of energy for human consumption.</w:t>
      </w:r>
      <w:r>
        <w:rPr>
          <w:rFonts w:eastAsia="Arial Unicode MS"/>
        </w:rPr>
        <w:t xml:space="preserve"> </w:t>
      </w:r>
      <w:r w:rsidRPr="00F23898">
        <w:rPr>
          <w:rFonts w:eastAsia="Arial Unicode MS"/>
        </w:rPr>
        <w:t xml:space="preserve">The additional benefits of a coupled anaerobic digestion and cogeneration system </w:t>
      </w:r>
      <w:r w:rsidR="00E54F0C">
        <w:rPr>
          <w:rFonts w:eastAsia="Arial Unicode MS"/>
        </w:rPr>
        <w:t>we</w:t>
      </w:r>
      <w:r w:rsidRPr="00F23898">
        <w:rPr>
          <w:rFonts w:eastAsia="Arial Unicode MS"/>
        </w:rPr>
        <w:t>re, however, numerous.</w:t>
      </w:r>
      <w:r>
        <w:rPr>
          <w:rFonts w:eastAsia="Arial Unicode MS"/>
        </w:rPr>
        <w:t xml:space="preserve"> </w:t>
      </w:r>
      <w:r w:rsidRPr="00F23898">
        <w:rPr>
          <w:rFonts w:eastAsia="Arial Unicode MS"/>
        </w:rPr>
        <w:t>First, by using different forms of waste for energy production, this system act</w:t>
      </w:r>
      <w:r w:rsidR="00E54F0C">
        <w:rPr>
          <w:rFonts w:eastAsia="Arial Unicode MS"/>
        </w:rPr>
        <w:t>ed</w:t>
      </w:r>
      <w:r w:rsidRPr="00F23898">
        <w:rPr>
          <w:rFonts w:eastAsia="Arial Unicode MS"/>
        </w:rPr>
        <w:t xml:space="preserve"> as a means of waste diversion.</w:t>
      </w:r>
      <w:r>
        <w:rPr>
          <w:rFonts w:eastAsia="Arial Unicode MS"/>
        </w:rPr>
        <w:t xml:space="preserve"> </w:t>
      </w:r>
      <w:r w:rsidRPr="00F23898">
        <w:rPr>
          <w:rFonts w:eastAsia="Arial Unicode MS"/>
        </w:rPr>
        <w:t xml:space="preserve">Second, when the waste required to operate the system </w:t>
      </w:r>
      <w:r w:rsidR="00E54F0C">
        <w:rPr>
          <w:rFonts w:eastAsia="Arial Unicode MS"/>
        </w:rPr>
        <w:t>wa</w:t>
      </w:r>
      <w:r w:rsidRPr="00F23898">
        <w:rPr>
          <w:rFonts w:eastAsia="Arial Unicode MS"/>
        </w:rPr>
        <w:t>s simply disposed of, it release</w:t>
      </w:r>
      <w:r w:rsidR="00E54F0C">
        <w:rPr>
          <w:rFonts w:eastAsia="Arial Unicode MS"/>
        </w:rPr>
        <w:t>d</w:t>
      </w:r>
      <w:r w:rsidRPr="00F23898">
        <w:rPr>
          <w:rFonts w:eastAsia="Arial Unicode MS"/>
        </w:rPr>
        <w:t xml:space="preserve"> a great deal of methane into the atmosphere.</w:t>
      </w:r>
      <w:r>
        <w:rPr>
          <w:rFonts w:eastAsia="Arial Unicode MS"/>
        </w:rPr>
        <w:t xml:space="preserve"> </w:t>
      </w:r>
      <w:r w:rsidR="00E54F0C">
        <w:rPr>
          <w:rFonts w:eastAsia="Arial Unicode MS"/>
        </w:rPr>
        <w:t>However, when the waste went</w:t>
      </w:r>
      <w:r w:rsidRPr="00F23898">
        <w:rPr>
          <w:rFonts w:eastAsia="Arial Unicode MS"/>
        </w:rPr>
        <w:t xml:space="preserve"> through anaerobic digestion and combustion, the methane </w:t>
      </w:r>
      <w:r w:rsidR="00E54F0C">
        <w:rPr>
          <w:rFonts w:eastAsia="Arial Unicode MS"/>
        </w:rPr>
        <w:t>wa</w:t>
      </w:r>
      <w:r w:rsidRPr="00F23898">
        <w:rPr>
          <w:rFonts w:eastAsia="Arial Unicode MS"/>
        </w:rPr>
        <w:t>s converted to carbon dioxide</w:t>
      </w:r>
      <w:r w:rsidR="00856239">
        <w:rPr>
          <w:rFonts w:eastAsia="Arial Unicode MS"/>
        </w:rPr>
        <w:t>—</w:t>
      </w:r>
      <w:r w:rsidRPr="00F23898">
        <w:rPr>
          <w:rFonts w:eastAsia="Arial Unicode MS"/>
        </w:rPr>
        <w:t>a less</w:t>
      </w:r>
      <w:r w:rsidR="006834E0">
        <w:rPr>
          <w:rFonts w:eastAsia="Arial Unicode MS"/>
        </w:rPr>
        <w:t>-</w:t>
      </w:r>
      <w:r w:rsidRPr="00F23898">
        <w:rPr>
          <w:rFonts w:eastAsia="Arial Unicode MS"/>
        </w:rPr>
        <w:t>harmful greenhouse gas.</w:t>
      </w:r>
      <w:r>
        <w:rPr>
          <w:rFonts w:eastAsia="Arial Unicode MS"/>
        </w:rPr>
        <w:t xml:space="preserve"> </w:t>
      </w:r>
      <w:r w:rsidRPr="00F23898">
        <w:rPr>
          <w:rFonts w:eastAsia="Arial Unicode MS"/>
        </w:rPr>
        <w:t>Third, the by</w:t>
      </w:r>
      <w:r w:rsidR="00856239">
        <w:rPr>
          <w:rFonts w:eastAsia="Arial Unicode MS"/>
        </w:rPr>
        <w:t>-</w:t>
      </w:r>
      <w:r w:rsidRPr="00F23898">
        <w:rPr>
          <w:rFonts w:eastAsia="Arial Unicode MS"/>
        </w:rPr>
        <w:t>product of the cogeneration process create</w:t>
      </w:r>
      <w:r w:rsidR="00E54F0C">
        <w:rPr>
          <w:rFonts w:eastAsia="Arial Unicode MS"/>
        </w:rPr>
        <w:t>d</w:t>
      </w:r>
      <w:r w:rsidRPr="00F23898">
        <w:rPr>
          <w:rFonts w:eastAsia="Arial Unicode MS"/>
        </w:rPr>
        <w:t xml:space="preserve"> a useful fertilizer for soils.</w:t>
      </w:r>
      <w:r>
        <w:rPr>
          <w:rFonts w:eastAsia="Arial Unicode MS"/>
        </w:rPr>
        <w:t xml:space="preserve"> </w:t>
      </w:r>
      <w:r w:rsidRPr="00F23898">
        <w:rPr>
          <w:rFonts w:eastAsia="Arial Unicode MS"/>
        </w:rPr>
        <w:t>Finally, the creation of biogas reduce</w:t>
      </w:r>
      <w:r w:rsidR="00E54F0C">
        <w:rPr>
          <w:rFonts w:eastAsia="Arial Unicode MS"/>
        </w:rPr>
        <w:t>d</w:t>
      </w:r>
      <w:r w:rsidRPr="00F23898">
        <w:rPr>
          <w:rFonts w:eastAsia="Arial Unicode MS"/>
        </w:rPr>
        <w:t xml:space="preserve"> the need for the combustion of fossil fuels</w:t>
      </w:r>
      <w:r w:rsidR="00856239">
        <w:rPr>
          <w:rFonts w:eastAsia="Arial Unicode MS"/>
        </w:rPr>
        <w:t>—</w:t>
      </w:r>
      <w:r w:rsidRPr="00F23898">
        <w:rPr>
          <w:rFonts w:eastAsia="Arial Unicode MS"/>
        </w:rPr>
        <w:t>a key contributor to climate change.</w:t>
      </w:r>
    </w:p>
    <w:p w14:paraId="5B571A2A" w14:textId="77777777" w:rsidR="00F23898" w:rsidRPr="00F23898" w:rsidRDefault="00F23898" w:rsidP="00F23898">
      <w:pPr>
        <w:pStyle w:val="BodyTextMain"/>
        <w:rPr>
          <w:rFonts w:eastAsia="Arial Unicode MS"/>
        </w:rPr>
      </w:pPr>
    </w:p>
    <w:p w14:paraId="3793B4FE" w14:textId="52E4E79A" w:rsidR="00F23898" w:rsidRPr="00F23898" w:rsidRDefault="00F23898" w:rsidP="00F23898">
      <w:pPr>
        <w:pStyle w:val="BodyTextMain"/>
        <w:rPr>
          <w:rFonts w:eastAsia="Arial Unicode MS"/>
        </w:rPr>
      </w:pPr>
      <w:r w:rsidRPr="00F23898">
        <w:rPr>
          <w:rFonts w:eastAsia="Arial Unicode MS"/>
        </w:rPr>
        <w:t>Like any other form of energy generation, however, this system d</w:t>
      </w:r>
      <w:r w:rsidR="00E54F0C">
        <w:rPr>
          <w:rFonts w:eastAsia="Arial Unicode MS"/>
        </w:rPr>
        <w:t>id</w:t>
      </w:r>
      <w:r w:rsidRPr="00F23898">
        <w:rPr>
          <w:rFonts w:eastAsia="Arial Unicode MS"/>
        </w:rPr>
        <w:t xml:space="preserve"> possess some shortcomings.</w:t>
      </w:r>
      <w:r>
        <w:rPr>
          <w:rFonts w:eastAsia="Arial Unicode MS"/>
        </w:rPr>
        <w:t xml:space="preserve"> </w:t>
      </w:r>
      <w:r w:rsidRPr="00F23898">
        <w:rPr>
          <w:rFonts w:eastAsia="Arial Unicode MS"/>
        </w:rPr>
        <w:t xml:space="preserve">First, the efficiency of the system </w:t>
      </w:r>
      <w:r w:rsidR="00E54F0C">
        <w:rPr>
          <w:rFonts w:eastAsia="Arial Unicode MS"/>
        </w:rPr>
        <w:t>wa</w:t>
      </w:r>
      <w:r w:rsidRPr="00F23898">
        <w:rPr>
          <w:rFonts w:eastAsia="Arial Unicode MS"/>
        </w:rPr>
        <w:t>s dependent upon community participation.</w:t>
      </w:r>
      <w:r>
        <w:rPr>
          <w:rFonts w:eastAsia="Arial Unicode MS"/>
        </w:rPr>
        <w:t xml:space="preserve"> </w:t>
      </w:r>
      <w:r w:rsidRPr="00F23898">
        <w:rPr>
          <w:rFonts w:eastAsia="Arial Unicode MS"/>
        </w:rPr>
        <w:t xml:space="preserve">A previous feasibility report for such a system in </w:t>
      </w:r>
      <w:proofErr w:type="spellStart"/>
      <w:r w:rsidRPr="00F23898">
        <w:rPr>
          <w:rFonts w:eastAsia="Arial Unicode MS"/>
        </w:rPr>
        <w:t>RiverBend</w:t>
      </w:r>
      <w:proofErr w:type="spellEnd"/>
      <w:r w:rsidRPr="00F23898">
        <w:rPr>
          <w:rFonts w:eastAsia="Arial Unicode MS"/>
        </w:rPr>
        <w:t xml:space="preserve"> Heights concluded that the system would require a mix of organic and kitchen waste that would need to be donated by residents.</w:t>
      </w:r>
      <w:r>
        <w:rPr>
          <w:rFonts w:eastAsia="Arial Unicode MS"/>
        </w:rPr>
        <w:t xml:space="preserve"> </w:t>
      </w:r>
      <w:r w:rsidRPr="00F23898">
        <w:rPr>
          <w:rFonts w:eastAsia="Arial Unicode MS"/>
        </w:rPr>
        <w:t>Thus, if local residents were unwilling to collect and provide waste, the fuel source of the system would be depleted.</w:t>
      </w:r>
      <w:r>
        <w:rPr>
          <w:rFonts w:eastAsia="Arial Unicode MS"/>
        </w:rPr>
        <w:t xml:space="preserve"> </w:t>
      </w:r>
      <w:r w:rsidRPr="00F23898">
        <w:rPr>
          <w:rFonts w:eastAsia="Arial Unicode MS"/>
        </w:rPr>
        <w:t>However, if the number of participants were to increase, the system could become more cost efficient (</w:t>
      </w:r>
      <w:r w:rsidR="00424672">
        <w:rPr>
          <w:rFonts w:eastAsia="Arial Unicode MS"/>
        </w:rPr>
        <w:t xml:space="preserve">see </w:t>
      </w:r>
      <w:r w:rsidRPr="00F23898">
        <w:rPr>
          <w:rFonts w:eastAsia="Arial Unicode MS"/>
        </w:rPr>
        <w:t>Exhibit 4).</w:t>
      </w:r>
      <w:r>
        <w:rPr>
          <w:rFonts w:eastAsia="Arial Unicode MS"/>
        </w:rPr>
        <w:t xml:space="preserve"> </w:t>
      </w:r>
      <w:r w:rsidRPr="00F23898">
        <w:rPr>
          <w:rFonts w:eastAsia="Arial Unicode MS"/>
        </w:rPr>
        <w:t xml:space="preserve">Second, the fuel source used to create the biogas </w:t>
      </w:r>
      <w:r w:rsidR="00E54F0C">
        <w:rPr>
          <w:rFonts w:eastAsia="Arial Unicode MS"/>
        </w:rPr>
        <w:t>wa</w:t>
      </w:r>
      <w:r w:rsidRPr="00F23898">
        <w:rPr>
          <w:rFonts w:eastAsia="Arial Unicode MS"/>
        </w:rPr>
        <w:t>s not consistent as there could be periods where less fuel would be available for input.</w:t>
      </w:r>
      <w:r>
        <w:rPr>
          <w:rFonts w:eastAsia="Arial Unicode MS"/>
        </w:rPr>
        <w:t xml:space="preserve"> </w:t>
      </w:r>
      <w:r w:rsidRPr="00F23898">
        <w:rPr>
          <w:rFonts w:eastAsia="Arial Unicode MS"/>
        </w:rPr>
        <w:t>Third, a small risk of explosion existed because the system require</w:t>
      </w:r>
      <w:r w:rsidR="00E54F0C">
        <w:rPr>
          <w:rFonts w:eastAsia="Arial Unicode MS"/>
        </w:rPr>
        <w:t>d</w:t>
      </w:r>
      <w:r w:rsidRPr="00F23898">
        <w:rPr>
          <w:rFonts w:eastAsia="Arial Unicode MS"/>
        </w:rPr>
        <w:t xml:space="preserve"> the handling of methane.</w:t>
      </w:r>
      <w:r>
        <w:rPr>
          <w:rFonts w:eastAsia="Arial Unicode MS"/>
        </w:rPr>
        <w:t xml:space="preserve"> </w:t>
      </w:r>
      <w:r w:rsidRPr="00F23898">
        <w:rPr>
          <w:rFonts w:eastAsia="Arial Unicode MS"/>
        </w:rPr>
        <w:t>Finally, although anaerobic digestion reduce</w:t>
      </w:r>
      <w:r w:rsidR="00E54F0C">
        <w:rPr>
          <w:rFonts w:eastAsia="Arial Unicode MS"/>
        </w:rPr>
        <w:t>d</w:t>
      </w:r>
      <w:r w:rsidRPr="00F23898">
        <w:rPr>
          <w:rFonts w:eastAsia="Arial Unicode MS"/>
        </w:rPr>
        <w:t xml:space="preserve"> the noxious odo</w:t>
      </w:r>
      <w:r w:rsidR="00856239">
        <w:rPr>
          <w:rFonts w:eastAsia="Arial Unicode MS"/>
        </w:rPr>
        <w:t>u</w:t>
      </w:r>
      <w:r w:rsidRPr="00F23898">
        <w:rPr>
          <w:rFonts w:eastAsia="Arial Unicode MS"/>
        </w:rPr>
        <w:t>r of incoming waste by approximately 80</w:t>
      </w:r>
      <w:r w:rsidR="00856239">
        <w:rPr>
          <w:rFonts w:eastAsia="Arial Unicode MS"/>
        </w:rPr>
        <w:t xml:space="preserve"> per cent,</w:t>
      </w:r>
      <w:r w:rsidRPr="00424672">
        <w:rPr>
          <w:rFonts w:eastAsia="Arial Unicode MS"/>
          <w:vertAlign w:val="superscript"/>
        </w:rPr>
        <w:footnoteReference w:id="10"/>
      </w:r>
      <w:r w:rsidRPr="00F23898">
        <w:rPr>
          <w:rFonts w:eastAsia="Arial Unicode MS"/>
        </w:rPr>
        <w:t xml:space="preserve"> the waste being treated would likely possess an unpleasant o</w:t>
      </w:r>
      <w:r w:rsidR="00856239">
        <w:rPr>
          <w:rFonts w:eastAsia="Arial Unicode MS"/>
        </w:rPr>
        <w:t>dour</w:t>
      </w:r>
      <w:r w:rsidRPr="00F23898">
        <w:rPr>
          <w:rFonts w:eastAsia="Arial Unicode MS"/>
        </w:rPr>
        <w:t xml:space="preserve"> during its transport to the digester.</w:t>
      </w:r>
    </w:p>
    <w:p w14:paraId="38935827" w14:textId="77777777" w:rsidR="00F23898" w:rsidRDefault="00F23898" w:rsidP="00F23898">
      <w:pPr>
        <w:pStyle w:val="BodyTextMain"/>
        <w:rPr>
          <w:rFonts w:eastAsia="Arial Unicode MS"/>
        </w:rPr>
      </w:pPr>
    </w:p>
    <w:p w14:paraId="07A9AEE2" w14:textId="77777777" w:rsidR="00424672" w:rsidRPr="00F23898" w:rsidRDefault="00424672" w:rsidP="00F23898">
      <w:pPr>
        <w:pStyle w:val="BodyTextMain"/>
        <w:rPr>
          <w:rFonts w:eastAsia="Arial Unicode MS"/>
        </w:rPr>
      </w:pPr>
    </w:p>
    <w:p w14:paraId="13A6B7FF" w14:textId="77777777" w:rsidR="00F23898" w:rsidRPr="00F23898" w:rsidRDefault="00626130" w:rsidP="00424672">
      <w:pPr>
        <w:pStyle w:val="Casehead1"/>
        <w:rPr>
          <w:rFonts w:eastAsia="Arial Unicode MS"/>
        </w:rPr>
      </w:pPr>
      <w:r w:rsidRPr="00C6616E">
        <w:rPr>
          <w:rFonts w:eastAsia="Arial Unicode MS"/>
        </w:rPr>
        <w:t>STAKEHOLDER GROUPS</w:t>
      </w:r>
    </w:p>
    <w:p w14:paraId="7DED6555" w14:textId="77777777" w:rsidR="00F23898" w:rsidRPr="00F23898" w:rsidRDefault="00F23898" w:rsidP="00F23898">
      <w:pPr>
        <w:pStyle w:val="BodyTextMain"/>
        <w:rPr>
          <w:rFonts w:eastAsia="Arial Unicode MS"/>
        </w:rPr>
      </w:pPr>
    </w:p>
    <w:p w14:paraId="17557AD2" w14:textId="45F5C8F5" w:rsidR="00F23898" w:rsidRPr="00F23898" w:rsidRDefault="00F23898" w:rsidP="00F23898">
      <w:pPr>
        <w:pStyle w:val="BodyTextMain"/>
        <w:rPr>
          <w:rFonts w:eastAsia="Arial Unicode MS"/>
        </w:rPr>
      </w:pPr>
      <w:r w:rsidRPr="00BC42A3">
        <w:rPr>
          <w:rFonts w:eastAsia="Arial Unicode MS"/>
        </w:rPr>
        <w:t xml:space="preserve">Due to the size of the project, several stakeholders would be </w:t>
      </w:r>
      <w:r w:rsidR="001173C2">
        <w:rPr>
          <w:rFonts w:eastAsia="Arial Unicode MS"/>
        </w:rPr>
        <w:t>affected</w:t>
      </w:r>
      <w:r w:rsidR="001173C2" w:rsidRPr="00BC42A3">
        <w:rPr>
          <w:rFonts w:eastAsia="Arial Unicode MS"/>
        </w:rPr>
        <w:t xml:space="preserve"> </w:t>
      </w:r>
      <w:r w:rsidRPr="00BC42A3">
        <w:rPr>
          <w:rFonts w:eastAsia="Arial Unicode MS"/>
        </w:rPr>
        <w:t xml:space="preserve">by the community energy system installed in </w:t>
      </w:r>
      <w:proofErr w:type="spellStart"/>
      <w:r w:rsidRPr="00BC42A3">
        <w:rPr>
          <w:rFonts w:eastAsia="Arial Unicode MS"/>
        </w:rPr>
        <w:t>RiverBend</w:t>
      </w:r>
      <w:proofErr w:type="spellEnd"/>
      <w:r w:rsidRPr="00BC42A3">
        <w:rPr>
          <w:rFonts w:eastAsia="Arial Unicode MS"/>
        </w:rPr>
        <w:t xml:space="preserve"> Heights. </w:t>
      </w:r>
      <w:proofErr w:type="spellStart"/>
      <w:r w:rsidRPr="00BC42A3">
        <w:rPr>
          <w:rFonts w:eastAsia="Arial Unicode MS"/>
        </w:rPr>
        <w:t>Sifton</w:t>
      </w:r>
      <w:proofErr w:type="spellEnd"/>
      <w:r w:rsidRPr="00BC42A3">
        <w:rPr>
          <w:rFonts w:eastAsia="Arial Unicode MS"/>
        </w:rPr>
        <w:t xml:space="preserve"> would need to make a decision that was best for all of its stakeholders rather than for the company</w:t>
      </w:r>
      <w:r w:rsidR="00A25968">
        <w:rPr>
          <w:rFonts w:eastAsia="Arial Unicode MS"/>
        </w:rPr>
        <w:t>’</w:t>
      </w:r>
      <w:r w:rsidRPr="00BC42A3">
        <w:rPr>
          <w:rFonts w:eastAsia="Arial Unicode MS"/>
        </w:rPr>
        <w:t xml:space="preserve">s financial performance alone. Although the development project would </w:t>
      </w:r>
      <w:r w:rsidR="001173C2">
        <w:rPr>
          <w:rFonts w:eastAsia="Arial Unicode MS"/>
        </w:rPr>
        <w:t xml:space="preserve">have an </w:t>
      </w:r>
      <w:r w:rsidRPr="00BC42A3">
        <w:rPr>
          <w:rFonts w:eastAsia="Arial Unicode MS"/>
        </w:rPr>
        <w:t xml:space="preserve">impact </w:t>
      </w:r>
      <w:r w:rsidR="001173C2">
        <w:rPr>
          <w:rFonts w:eastAsia="Arial Unicode MS"/>
        </w:rPr>
        <w:t>on numerous</w:t>
      </w:r>
      <w:r w:rsidRPr="00BC42A3">
        <w:rPr>
          <w:rFonts w:eastAsia="Arial Unicode MS"/>
        </w:rPr>
        <w:t xml:space="preserve"> stakeholders, </w:t>
      </w:r>
      <w:r w:rsidR="00A34F2B" w:rsidRPr="00BC42A3">
        <w:rPr>
          <w:rFonts w:eastAsia="Arial Unicode MS"/>
        </w:rPr>
        <w:t xml:space="preserve">Troup </w:t>
      </w:r>
      <w:r w:rsidRPr="00BC42A3">
        <w:rPr>
          <w:rFonts w:eastAsia="Arial Unicode MS"/>
        </w:rPr>
        <w:t>had identified several key groups that could have an impact on his recommendation:</w:t>
      </w:r>
    </w:p>
    <w:p w14:paraId="45559764" w14:textId="77777777" w:rsidR="00F23898" w:rsidRPr="00F23898" w:rsidRDefault="00F23898" w:rsidP="00F23898">
      <w:pPr>
        <w:pStyle w:val="BodyTextMain"/>
        <w:rPr>
          <w:rFonts w:eastAsia="Arial Unicode MS"/>
        </w:rPr>
      </w:pPr>
    </w:p>
    <w:p w14:paraId="7F9DADA4" w14:textId="27835698" w:rsidR="00F23898" w:rsidRPr="00F23898" w:rsidRDefault="00676D58" w:rsidP="00424672">
      <w:pPr>
        <w:pStyle w:val="BodyTextMain"/>
        <w:numPr>
          <w:ilvl w:val="0"/>
          <w:numId w:val="33"/>
        </w:numPr>
        <w:rPr>
          <w:rFonts w:eastAsia="Arial Unicode MS"/>
        </w:rPr>
      </w:pPr>
      <w:r>
        <w:rPr>
          <w:rFonts w:eastAsia="Arial Unicode MS"/>
        </w:rPr>
        <w:t>p</w:t>
      </w:r>
      <w:r w:rsidR="00F23898" w:rsidRPr="00F23898">
        <w:rPr>
          <w:rFonts w:eastAsia="Arial Unicode MS"/>
        </w:rPr>
        <w:t xml:space="preserve">otential </w:t>
      </w:r>
      <w:r w:rsidR="007C2A20">
        <w:rPr>
          <w:rFonts w:eastAsia="Arial Unicode MS"/>
        </w:rPr>
        <w:t>c</w:t>
      </w:r>
      <w:r w:rsidR="00F23898" w:rsidRPr="00F23898">
        <w:rPr>
          <w:rFonts w:eastAsia="Arial Unicode MS"/>
        </w:rPr>
        <w:t>onsumers</w:t>
      </w:r>
    </w:p>
    <w:p w14:paraId="5F1B765F" w14:textId="66B13D8F" w:rsidR="00F23898" w:rsidRPr="00F23898" w:rsidRDefault="00676D58" w:rsidP="00424672">
      <w:pPr>
        <w:pStyle w:val="BodyTextMain"/>
        <w:numPr>
          <w:ilvl w:val="0"/>
          <w:numId w:val="33"/>
        </w:numPr>
        <w:rPr>
          <w:rFonts w:eastAsia="Arial Unicode MS"/>
        </w:rPr>
      </w:pPr>
      <w:r>
        <w:rPr>
          <w:rFonts w:eastAsia="Arial Unicode MS"/>
        </w:rPr>
        <w:t>e</w:t>
      </w:r>
      <w:r w:rsidR="00F23898" w:rsidRPr="00F23898">
        <w:rPr>
          <w:rFonts w:eastAsia="Arial Unicode MS"/>
        </w:rPr>
        <w:t>nvironmentalists</w:t>
      </w:r>
    </w:p>
    <w:p w14:paraId="3B98F5DA" w14:textId="77777777" w:rsidR="00F23898" w:rsidRPr="00F23898" w:rsidRDefault="00F23898" w:rsidP="00424672">
      <w:pPr>
        <w:pStyle w:val="BodyTextMain"/>
        <w:numPr>
          <w:ilvl w:val="0"/>
          <w:numId w:val="33"/>
        </w:numPr>
        <w:rPr>
          <w:rFonts w:eastAsia="Arial Unicode MS"/>
        </w:rPr>
      </w:pPr>
      <w:r w:rsidRPr="00F23898">
        <w:rPr>
          <w:rFonts w:eastAsia="Arial Unicode MS"/>
        </w:rPr>
        <w:t>First Na</w:t>
      </w:r>
      <w:r w:rsidR="00424672">
        <w:rPr>
          <w:rFonts w:eastAsia="Arial Unicode MS"/>
        </w:rPr>
        <w:t>tions</w:t>
      </w:r>
    </w:p>
    <w:p w14:paraId="761C6FC7" w14:textId="10234FF7" w:rsidR="00F23898" w:rsidRDefault="00676D58" w:rsidP="00424672">
      <w:pPr>
        <w:pStyle w:val="BodyTextMain"/>
        <w:numPr>
          <w:ilvl w:val="0"/>
          <w:numId w:val="33"/>
        </w:numPr>
        <w:rPr>
          <w:rFonts w:eastAsia="Arial Unicode MS"/>
        </w:rPr>
      </w:pPr>
      <w:r>
        <w:rPr>
          <w:rFonts w:eastAsia="Arial Unicode MS"/>
        </w:rPr>
        <w:t>t</w:t>
      </w:r>
      <w:r w:rsidR="00F23898" w:rsidRPr="00F23898">
        <w:rPr>
          <w:rFonts w:eastAsia="Arial Unicode MS"/>
        </w:rPr>
        <w:t xml:space="preserve">op </w:t>
      </w:r>
      <w:r w:rsidR="007C2A20">
        <w:rPr>
          <w:rFonts w:eastAsia="Arial Unicode MS"/>
        </w:rPr>
        <w:t>m</w:t>
      </w:r>
      <w:r w:rsidR="00F23898" w:rsidRPr="00F23898">
        <w:rPr>
          <w:rFonts w:eastAsia="Arial Unicode MS"/>
        </w:rPr>
        <w:t xml:space="preserve">anagement at </w:t>
      </w:r>
      <w:proofErr w:type="spellStart"/>
      <w:r w:rsidR="00F23898" w:rsidRPr="00F23898">
        <w:rPr>
          <w:rFonts w:eastAsia="Arial Unicode MS"/>
        </w:rPr>
        <w:t>Sifton</w:t>
      </w:r>
      <w:proofErr w:type="spellEnd"/>
    </w:p>
    <w:p w14:paraId="1A4AEAC6" w14:textId="77777777" w:rsidR="00424FF1" w:rsidRPr="00F23898" w:rsidRDefault="00424FF1" w:rsidP="00424FF1">
      <w:pPr>
        <w:pStyle w:val="BodyTextMain"/>
        <w:rPr>
          <w:rFonts w:eastAsia="Arial Unicode MS"/>
        </w:rPr>
      </w:pPr>
    </w:p>
    <w:p w14:paraId="6BC1387D" w14:textId="546142BB" w:rsidR="00F23898" w:rsidRPr="00F23898" w:rsidRDefault="00F23898" w:rsidP="00F23898">
      <w:pPr>
        <w:pStyle w:val="BodyTextMain"/>
        <w:rPr>
          <w:rFonts w:eastAsia="Arial Unicode MS"/>
        </w:rPr>
      </w:pPr>
      <w:r w:rsidRPr="00F23898">
        <w:rPr>
          <w:rFonts w:eastAsia="Arial Unicode MS"/>
        </w:rPr>
        <w:t xml:space="preserve">In </w:t>
      </w:r>
      <w:r w:rsidR="001173C2">
        <w:rPr>
          <w:rFonts w:eastAsia="Arial Unicode MS"/>
        </w:rPr>
        <w:t>Troup’s</w:t>
      </w:r>
      <w:r w:rsidRPr="00F23898">
        <w:rPr>
          <w:rFonts w:eastAsia="Arial Unicode MS"/>
        </w:rPr>
        <w:t xml:space="preserve"> mind, the potential consumers of </w:t>
      </w:r>
      <w:proofErr w:type="spellStart"/>
      <w:r w:rsidRPr="00F23898">
        <w:rPr>
          <w:rFonts w:eastAsia="Arial Unicode MS"/>
        </w:rPr>
        <w:t>RiverBend</w:t>
      </w:r>
      <w:proofErr w:type="spellEnd"/>
      <w:r w:rsidRPr="00F23898">
        <w:rPr>
          <w:rFonts w:eastAsia="Arial Unicode MS"/>
        </w:rPr>
        <w:t xml:space="preserve"> Heights were of the utmost importance.</w:t>
      </w:r>
      <w:r>
        <w:rPr>
          <w:rFonts w:eastAsia="Arial Unicode MS"/>
        </w:rPr>
        <w:t xml:space="preserve"> </w:t>
      </w:r>
      <w:r w:rsidRPr="00F23898">
        <w:rPr>
          <w:rFonts w:eastAsia="Arial Unicode MS"/>
        </w:rPr>
        <w:t xml:space="preserve">Without satisfying the consumers, </w:t>
      </w:r>
      <w:proofErr w:type="spellStart"/>
      <w:r w:rsidRPr="00F23898">
        <w:rPr>
          <w:rFonts w:eastAsia="Arial Unicode MS"/>
        </w:rPr>
        <w:t>Sifton</w:t>
      </w:r>
      <w:proofErr w:type="spellEnd"/>
      <w:r w:rsidRPr="00F23898">
        <w:rPr>
          <w:rFonts w:eastAsia="Arial Unicode MS"/>
        </w:rPr>
        <w:t xml:space="preserve"> would be unable to effectively sell space in the community.</w:t>
      </w:r>
      <w:r>
        <w:rPr>
          <w:rFonts w:eastAsia="Arial Unicode MS"/>
        </w:rPr>
        <w:t xml:space="preserve"> </w:t>
      </w:r>
      <w:r w:rsidR="00A34F2B">
        <w:rPr>
          <w:rFonts w:eastAsia="Arial Unicode MS"/>
        </w:rPr>
        <w:t>Troup</w:t>
      </w:r>
      <w:r w:rsidR="00A34F2B" w:rsidRPr="00F23898">
        <w:rPr>
          <w:rFonts w:eastAsia="Arial Unicode MS"/>
        </w:rPr>
        <w:t xml:space="preserve"> </w:t>
      </w:r>
      <w:r w:rsidRPr="00F23898">
        <w:rPr>
          <w:rFonts w:eastAsia="Arial Unicode MS"/>
        </w:rPr>
        <w:t xml:space="preserve">believed that the </w:t>
      </w:r>
      <w:r w:rsidR="00B201F7">
        <w:rPr>
          <w:rFonts w:eastAsia="Arial Unicode MS"/>
        </w:rPr>
        <w:t>first</w:t>
      </w:r>
      <w:r w:rsidRPr="00F23898">
        <w:rPr>
          <w:rFonts w:eastAsia="Arial Unicode MS"/>
        </w:rPr>
        <w:t xml:space="preserve"> priority for this stakeholder group was property costs.</w:t>
      </w:r>
      <w:r>
        <w:rPr>
          <w:rFonts w:eastAsia="Arial Unicode MS"/>
        </w:rPr>
        <w:t xml:space="preserve"> </w:t>
      </w:r>
      <w:r w:rsidRPr="00F23898">
        <w:rPr>
          <w:rFonts w:eastAsia="Arial Unicode MS"/>
        </w:rPr>
        <w:t>A more expensive community energy system would drive up prices for space within the community.</w:t>
      </w:r>
      <w:r>
        <w:rPr>
          <w:rFonts w:eastAsia="Arial Unicode MS"/>
        </w:rPr>
        <w:t xml:space="preserve"> </w:t>
      </w:r>
      <w:r w:rsidRPr="00F23898">
        <w:rPr>
          <w:rFonts w:eastAsia="Arial Unicode MS"/>
        </w:rPr>
        <w:t>The second most important aspect of such a system for potential consumers was likely the system</w:t>
      </w:r>
      <w:r w:rsidR="00A25968">
        <w:rPr>
          <w:rFonts w:eastAsia="Arial Unicode MS"/>
        </w:rPr>
        <w:t>’</w:t>
      </w:r>
      <w:r w:rsidRPr="00F23898">
        <w:rPr>
          <w:rFonts w:eastAsia="Arial Unicode MS"/>
        </w:rPr>
        <w:t>s social impact.</w:t>
      </w:r>
      <w:r>
        <w:rPr>
          <w:rFonts w:eastAsia="Arial Unicode MS"/>
        </w:rPr>
        <w:t xml:space="preserve"> </w:t>
      </w:r>
      <w:r w:rsidRPr="00F23898">
        <w:rPr>
          <w:rFonts w:eastAsia="Arial Unicode MS"/>
        </w:rPr>
        <w:t>Potential consumers would prefer a system that did not generate unpleasant sounds or smells and that did not require any additional effort on their part.</w:t>
      </w:r>
      <w:r>
        <w:rPr>
          <w:rFonts w:eastAsia="Arial Unicode MS"/>
        </w:rPr>
        <w:t xml:space="preserve"> </w:t>
      </w:r>
      <w:r w:rsidRPr="00F23898">
        <w:rPr>
          <w:rFonts w:eastAsia="Arial Unicode MS"/>
        </w:rPr>
        <w:t xml:space="preserve">Finally, </w:t>
      </w:r>
      <w:r w:rsidR="00A34F2B">
        <w:rPr>
          <w:rFonts w:eastAsia="Arial Unicode MS"/>
        </w:rPr>
        <w:t>Troup</w:t>
      </w:r>
      <w:r w:rsidR="00A34F2B" w:rsidRPr="00F23898">
        <w:rPr>
          <w:rFonts w:eastAsia="Arial Unicode MS"/>
        </w:rPr>
        <w:t xml:space="preserve"> </w:t>
      </w:r>
      <w:r w:rsidRPr="00F23898">
        <w:rPr>
          <w:rFonts w:eastAsia="Arial Unicode MS"/>
        </w:rPr>
        <w:t>was confident that potential consumers would be concerned about the environmental impact of the community energy system.</w:t>
      </w:r>
      <w:r>
        <w:rPr>
          <w:rFonts w:eastAsia="Arial Unicode MS"/>
        </w:rPr>
        <w:t xml:space="preserve"> </w:t>
      </w:r>
      <w:r w:rsidRPr="00F23898">
        <w:rPr>
          <w:rFonts w:eastAsia="Arial Unicode MS"/>
        </w:rPr>
        <w:t>However, he believed that the environmental benefits of any system would likely take a back seat to financial costs and social impact for this particular stakeholder group.</w:t>
      </w:r>
    </w:p>
    <w:p w14:paraId="02E3FD26" w14:textId="28C871EE" w:rsidR="00F23898" w:rsidRPr="00F23898" w:rsidRDefault="00F23898" w:rsidP="00F23898">
      <w:pPr>
        <w:pStyle w:val="BodyTextMain"/>
        <w:rPr>
          <w:rFonts w:eastAsia="Arial Unicode MS"/>
        </w:rPr>
      </w:pPr>
      <w:r w:rsidRPr="00F23898">
        <w:rPr>
          <w:rFonts w:eastAsia="Arial Unicode MS"/>
        </w:rPr>
        <w:lastRenderedPageBreak/>
        <w:t xml:space="preserve">The second stakeholder group that required consideration was the </w:t>
      </w:r>
      <w:r w:rsidR="00856239">
        <w:rPr>
          <w:rFonts w:eastAsia="Arial Unicode MS"/>
        </w:rPr>
        <w:t>e</w:t>
      </w:r>
      <w:r w:rsidRPr="00F23898">
        <w:rPr>
          <w:rFonts w:eastAsia="Arial Unicode MS"/>
        </w:rPr>
        <w:t>nvironmentalists.</w:t>
      </w:r>
      <w:r>
        <w:rPr>
          <w:rFonts w:eastAsia="Arial Unicode MS"/>
        </w:rPr>
        <w:t xml:space="preserve"> </w:t>
      </w:r>
      <w:r w:rsidRPr="00F23898">
        <w:rPr>
          <w:rFonts w:eastAsia="Arial Unicode MS"/>
        </w:rPr>
        <w:t xml:space="preserve">Environmentalists would not necessarily be interested in living in or commuting to </w:t>
      </w:r>
      <w:proofErr w:type="spellStart"/>
      <w:r w:rsidRPr="00F23898">
        <w:rPr>
          <w:rFonts w:eastAsia="Arial Unicode MS"/>
        </w:rPr>
        <w:t>RiverBend</w:t>
      </w:r>
      <w:proofErr w:type="spellEnd"/>
      <w:r w:rsidRPr="00F23898">
        <w:rPr>
          <w:rFonts w:eastAsia="Arial Unicode MS"/>
        </w:rPr>
        <w:t xml:space="preserve"> Heights, and thus would be concerned </w:t>
      </w:r>
      <w:r w:rsidR="007138B7">
        <w:rPr>
          <w:rFonts w:eastAsia="Arial Unicode MS"/>
        </w:rPr>
        <w:t xml:space="preserve">only </w:t>
      </w:r>
      <w:r w:rsidRPr="00F23898">
        <w:rPr>
          <w:rFonts w:eastAsia="Arial Unicode MS"/>
        </w:rPr>
        <w:t>with the environmental impact of any system.</w:t>
      </w:r>
      <w:r>
        <w:rPr>
          <w:rFonts w:eastAsia="Arial Unicode MS"/>
        </w:rPr>
        <w:t xml:space="preserve"> </w:t>
      </w:r>
      <w:r w:rsidRPr="00F23898">
        <w:rPr>
          <w:rFonts w:eastAsia="Arial Unicode MS"/>
        </w:rPr>
        <w:t>This stakeholder group would prefer the system that created the greatest environmental benefit with the smallest negative environmental impact.</w:t>
      </w:r>
      <w:r>
        <w:rPr>
          <w:rFonts w:eastAsia="Arial Unicode MS"/>
        </w:rPr>
        <w:t xml:space="preserve"> </w:t>
      </w:r>
      <w:r w:rsidRPr="00F23898">
        <w:rPr>
          <w:rFonts w:eastAsia="Arial Unicode MS"/>
        </w:rPr>
        <w:t>Some of the key environmental issues of concern to this group were greenhouse gas emissions, fossil fuel use, water use</w:t>
      </w:r>
      <w:r w:rsidR="00856239">
        <w:rPr>
          <w:rFonts w:eastAsia="Arial Unicode MS"/>
        </w:rPr>
        <w:t>,</w:t>
      </w:r>
      <w:r w:rsidRPr="00F23898">
        <w:rPr>
          <w:rFonts w:eastAsia="Arial Unicode MS"/>
        </w:rPr>
        <w:t xml:space="preserve"> and impact on wildlife.</w:t>
      </w:r>
      <w:r>
        <w:rPr>
          <w:rFonts w:eastAsia="Arial Unicode MS"/>
        </w:rPr>
        <w:t xml:space="preserve"> </w:t>
      </w:r>
      <w:r w:rsidRPr="00F23898">
        <w:rPr>
          <w:rFonts w:eastAsia="Arial Unicode MS"/>
        </w:rPr>
        <w:t xml:space="preserve">Meeting the concerns of environmentalists would be key to the success of </w:t>
      </w:r>
      <w:proofErr w:type="spellStart"/>
      <w:r w:rsidRPr="00F23898">
        <w:rPr>
          <w:rFonts w:eastAsia="Arial Unicode MS"/>
        </w:rPr>
        <w:t>RiverBend</w:t>
      </w:r>
      <w:proofErr w:type="spellEnd"/>
      <w:r w:rsidRPr="00F23898">
        <w:rPr>
          <w:rFonts w:eastAsia="Arial Unicode MS"/>
        </w:rPr>
        <w:t xml:space="preserve"> Heights, as th</w:t>
      </w:r>
      <w:r w:rsidR="007138B7">
        <w:rPr>
          <w:rFonts w:eastAsia="Arial Unicode MS"/>
        </w:rPr>
        <w:t>is group’s</w:t>
      </w:r>
      <w:r w:rsidRPr="00F23898">
        <w:rPr>
          <w:rFonts w:eastAsia="Arial Unicode MS"/>
        </w:rPr>
        <w:t xml:space="preserve"> opinion could sway the legitimacy of </w:t>
      </w:r>
      <w:proofErr w:type="spellStart"/>
      <w:r w:rsidRPr="00F23898">
        <w:rPr>
          <w:rFonts w:eastAsia="Arial Unicode MS"/>
        </w:rPr>
        <w:t>Sifton</w:t>
      </w:r>
      <w:r w:rsidR="00A25968">
        <w:rPr>
          <w:rFonts w:eastAsia="Arial Unicode MS"/>
        </w:rPr>
        <w:t>’</w:t>
      </w:r>
      <w:r w:rsidRPr="00F23898">
        <w:rPr>
          <w:rFonts w:eastAsia="Arial Unicode MS"/>
        </w:rPr>
        <w:t>s</w:t>
      </w:r>
      <w:proofErr w:type="spellEnd"/>
      <w:r w:rsidRPr="00F23898">
        <w:rPr>
          <w:rFonts w:eastAsia="Arial Unicode MS"/>
        </w:rPr>
        <w:t xml:space="preserve"> sustainability efforts.</w:t>
      </w:r>
    </w:p>
    <w:p w14:paraId="7F735D30" w14:textId="77777777" w:rsidR="00F23898" w:rsidRPr="00F23898" w:rsidRDefault="00F23898" w:rsidP="00F23898">
      <w:pPr>
        <w:pStyle w:val="BodyTextMain"/>
        <w:rPr>
          <w:rFonts w:eastAsia="Arial Unicode MS"/>
        </w:rPr>
      </w:pPr>
    </w:p>
    <w:p w14:paraId="246E9658" w14:textId="1A6CED5B" w:rsidR="00F23898" w:rsidRPr="00F23898" w:rsidRDefault="00F23898" w:rsidP="00F23898">
      <w:pPr>
        <w:pStyle w:val="BodyTextMain"/>
        <w:rPr>
          <w:rFonts w:eastAsia="Arial Unicode MS"/>
        </w:rPr>
      </w:pPr>
      <w:r w:rsidRPr="00F23898">
        <w:rPr>
          <w:rFonts w:eastAsia="Arial Unicode MS"/>
        </w:rPr>
        <w:t xml:space="preserve">The third stakeholder group that could </w:t>
      </w:r>
      <w:r w:rsidR="007138B7">
        <w:rPr>
          <w:rFonts w:eastAsia="Arial Unicode MS"/>
        </w:rPr>
        <w:t>influence</w:t>
      </w:r>
      <w:r w:rsidR="007138B7" w:rsidRPr="00F23898">
        <w:rPr>
          <w:rFonts w:eastAsia="Arial Unicode MS"/>
        </w:rPr>
        <w:t xml:space="preserve"> </w:t>
      </w:r>
      <w:r w:rsidR="00A34F2B">
        <w:rPr>
          <w:rFonts w:eastAsia="Arial Unicode MS"/>
        </w:rPr>
        <w:t>Troup</w:t>
      </w:r>
      <w:r w:rsidR="00A25968">
        <w:rPr>
          <w:rFonts w:eastAsia="Arial Unicode MS"/>
        </w:rPr>
        <w:t>’</w:t>
      </w:r>
      <w:r w:rsidR="00A34F2B">
        <w:rPr>
          <w:rFonts w:eastAsia="Arial Unicode MS"/>
        </w:rPr>
        <w:t>s</w:t>
      </w:r>
      <w:r w:rsidR="00A34F2B" w:rsidRPr="00F23898">
        <w:rPr>
          <w:rFonts w:eastAsia="Arial Unicode MS"/>
        </w:rPr>
        <w:t xml:space="preserve"> </w:t>
      </w:r>
      <w:r w:rsidRPr="00F23898">
        <w:rPr>
          <w:rFonts w:eastAsia="Arial Unicode MS"/>
        </w:rPr>
        <w:t>recommendation was the local First Nations population</w:t>
      </w:r>
      <w:r w:rsidR="00457459">
        <w:rPr>
          <w:rFonts w:eastAsia="Arial Unicode MS"/>
        </w:rPr>
        <w:t>, whose members were</w:t>
      </w:r>
      <w:r w:rsidRPr="00F23898">
        <w:rPr>
          <w:rFonts w:eastAsia="Arial Unicode MS"/>
        </w:rPr>
        <w:t xml:space="preserve"> primarily concerned with the ATES system</w:t>
      </w:r>
      <w:r w:rsidR="00A25968">
        <w:rPr>
          <w:rFonts w:eastAsia="Arial Unicode MS"/>
        </w:rPr>
        <w:t>’</w:t>
      </w:r>
      <w:r w:rsidRPr="00F23898">
        <w:rPr>
          <w:rFonts w:eastAsia="Arial Unicode MS"/>
        </w:rPr>
        <w:t>s effects on downstream bodies of water.</w:t>
      </w:r>
      <w:r>
        <w:rPr>
          <w:rFonts w:eastAsia="Arial Unicode MS"/>
        </w:rPr>
        <w:t xml:space="preserve"> </w:t>
      </w:r>
      <w:r w:rsidRPr="00F23898">
        <w:rPr>
          <w:rFonts w:eastAsia="Arial Unicode MS"/>
        </w:rPr>
        <w:t xml:space="preserve">They were concerned that the system would increase temperatures in </w:t>
      </w:r>
      <w:r w:rsidR="00457459">
        <w:rPr>
          <w:rFonts w:eastAsia="Arial Unicode MS"/>
        </w:rPr>
        <w:t xml:space="preserve">the </w:t>
      </w:r>
      <w:r w:rsidRPr="00F23898">
        <w:rPr>
          <w:rFonts w:eastAsia="Arial Unicode MS"/>
        </w:rPr>
        <w:t>affected tributaries.</w:t>
      </w:r>
      <w:r>
        <w:rPr>
          <w:rFonts w:eastAsia="Arial Unicode MS"/>
        </w:rPr>
        <w:t xml:space="preserve"> </w:t>
      </w:r>
      <w:r w:rsidRPr="00F23898">
        <w:rPr>
          <w:rFonts w:eastAsia="Arial Unicode MS"/>
        </w:rPr>
        <w:t>The tributaries of the Thames River were home to various cold-water species that could die in warm water.</w:t>
      </w:r>
      <w:r>
        <w:rPr>
          <w:rFonts w:eastAsia="Arial Unicode MS"/>
        </w:rPr>
        <w:t xml:space="preserve"> </w:t>
      </w:r>
      <w:r w:rsidRPr="00F23898">
        <w:rPr>
          <w:rFonts w:eastAsia="Arial Unicode MS"/>
        </w:rPr>
        <w:t xml:space="preserve">The First Nations community had previously raised this concern with </w:t>
      </w:r>
      <w:proofErr w:type="spellStart"/>
      <w:r w:rsidRPr="00F23898">
        <w:rPr>
          <w:rFonts w:eastAsia="Arial Unicode MS"/>
        </w:rPr>
        <w:t>Sifton</w:t>
      </w:r>
      <w:proofErr w:type="spellEnd"/>
      <w:r w:rsidR="00BC703F">
        <w:rPr>
          <w:rFonts w:eastAsia="Arial Unicode MS"/>
        </w:rPr>
        <w:t>,</w:t>
      </w:r>
      <w:r w:rsidRPr="00F23898">
        <w:rPr>
          <w:rFonts w:eastAsia="Arial Unicode MS"/>
        </w:rPr>
        <w:t xml:space="preserve"> and their concerns would have a significant impact on </w:t>
      </w:r>
      <w:r w:rsidR="00A34F2B">
        <w:rPr>
          <w:rFonts w:eastAsia="Arial Unicode MS"/>
        </w:rPr>
        <w:t>Troup</w:t>
      </w:r>
      <w:r w:rsidR="00A25968">
        <w:rPr>
          <w:rFonts w:eastAsia="Arial Unicode MS"/>
        </w:rPr>
        <w:t>’</w:t>
      </w:r>
      <w:r w:rsidR="00A34F2B">
        <w:rPr>
          <w:rFonts w:eastAsia="Arial Unicode MS"/>
        </w:rPr>
        <w:t>s</w:t>
      </w:r>
      <w:r w:rsidR="00A34F2B" w:rsidRPr="00F23898">
        <w:rPr>
          <w:rFonts w:eastAsia="Arial Unicode MS"/>
        </w:rPr>
        <w:t xml:space="preserve"> </w:t>
      </w:r>
      <w:r w:rsidRPr="00F23898">
        <w:rPr>
          <w:rFonts w:eastAsia="Arial Unicode MS"/>
        </w:rPr>
        <w:t>recommendation.</w:t>
      </w:r>
    </w:p>
    <w:p w14:paraId="418A7E4B" w14:textId="77777777" w:rsidR="00F23898" w:rsidRPr="00F23898" w:rsidRDefault="00F23898" w:rsidP="00F23898">
      <w:pPr>
        <w:pStyle w:val="BodyTextMain"/>
        <w:rPr>
          <w:rFonts w:eastAsia="Arial Unicode MS"/>
        </w:rPr>
      </w:pPr>
    </w:p>
    <w:p w14:paraId="5EAC5F92" w14:textId="3D2FBC62" w:rsidR="00F23898" w:rsidRPr="00F23898" w:rsidRDefault="00F23898" w:rsidP="00F23898">
      <w:pPr>
        <w:pStyle w:val="BodyTextMain"/>
        <w:rPr>
          <w:rFonts w:eastAsia="Arial Unicode MS"/>
        </w:rPr>
      </w:pPr>
      <w:r w:rsidRPr="00F23898">
        <w:rPr>
          <w:rFonts w:eastAsia="Arial Unicode MS"/>
        </w:rPr>
        <w:t xml:space="preserve">The final key stakeholder group that could </w:t>
      </w:r>
      <w:r w:rsidR="00457459">
        <w:rPr>
          <w:rFonts w:eastAsia="Arial Unicode MS"/>
        </w:rPr>
        <w:t>affect</w:t>
      </w:r>
      <w:r w:rsidR="00457459" w:rsidRPr="00F23898">
        <w:rPr>
          <w:rFonts w:eastAsia="Arial Unicode MS"/>
        </w:rPr>
        <w:t xml:space="preserve"> </w:t>
      </w:r>
      <w:r w:rsidR="00A34F2B">
        <w:rPr>
          <w:rFonts w:eastAsia="Arial Unicode MS"/>
        </w:rPr>
        <w:t>Troup</w:t>
      </w:r>
      <w:r w:rsidR="00A25968">
        <w:rPr>
          <w:rFonts w:eastAsia="Arial Unicode MS"/>
        </w:rPr>
        <w:t>’</w:t>
      </w:r>
      <w:r w:rsidR="00A34F2B">
        <w:rPr>
          <w:rFonts w:eastAsia="Arial Unicode MS"/>
        </w:rPr>
        <w:t>s</w:t>
      </w:r>
      <w:r w:rsidR="00A34F2B" w:rsidRPr="00F23898">
        <w:rPr>
          <w:rFonts w:eastAsia="Arial Unicode MS"/>
        </w:rPr>
        <w:t xml:space="preserve"> </w:t>
      </w:r>
      <w:r w:rsidRPr="00F23898">
        <w:rPr>
          <w:rFonts w:eastAsia="Arial Unicode MS"/>
        </w:rPr>
        <w:t xml:space="preserve">decision was top management at </w:t>
      </w:r>
      <w:proofErr w:type="spellStart"/>
      <w:r w:rsidRPr="00F23898">
        <w:rPr>
          <w:rFonts w:eastAsia="Arial Unicode MS"/>
        </w:rPr>
        <w:t>Sifton</w:t>
      </w:r>
      <w:proofErr w:type="spellEnd"/>
      <w:r w:rsidRPr="00F23898">
        <w:rPr>
          <w:rFonts w:eastAsia="Arial Unicode MS"/>
        </w:rPr>
        <w:t>.</w:t>
      </w:r>
      <w:r>
        <w:rPr>
          <w:rFonts w:eastAsia="Arial Unicode MS"/>
        </w:rPr>
        <w:t xml:space="preserve"> </w:t>
      </w:r>
      <w:proofErr w:type="spellStart"/>
      <w:r w:rsidRPr="00F23898">
        <w:rPr>
          <w:rFonts w:eastAsia="Arial Unicode MS"/>
        </w:rPr>
        <w:t>Sifton</w:t>
      </w:r>
      <w:proofErr w:type="spellEnd"/>
      <w:r w:rsidRPr="00F23898">
        <w:rPr>
          <w:rFonts w:eastAsia="Arial Unicode MS"/>
        </w:rPr>
        <w:t xml:space="preserve"> was concerned with the financial, environmental</w:t>
      </w:r>
      <w:r w:rsidR="00BC703F">
        <w:rPr>
          <w:rFonts w:eastAsia="Arial Unicode MS"/>
        </w:rPr>
        <w:t>,</w:t>
      </w:r>
      <w:r w:rsidRPr="00F23898">
        <w:rPr>
          <w:rFonts w:eastAsia="Arial Unicode MS"/>
        </w:rPr>
        <w:t xml:space="preserve"> and social impacts of each community energy system.</w:t>
      </w:r>
      <w:r>
        <w:rPr>
          <w:rFonts w:eastAsia="Arial Unicode MS"/>
        </w:rPr>
        <w:t xml:space="preserve"> </w:t>
      </w:r>
      <w:r w:rsidRPr="00F23898">
        <w:rPr>
          <w:rFonts w:eastAsia="Arial Unicode MS"/>
        </w:rPr>
        <w:t>The company sought to find a balance between these three issues and was not willing to sacrifice one issue for the betterment of another.</w:t>
      </w:r>
      <w:r>
        <w:rPr>
          <w:rFonts w:eastAsia="Arial Unicode MS"/>
        </w:rPr>
        <w:t xml:space="preserve"> </w:t>
      </w:r>
      <w:r w:rsidRPr="00F23898">
        <w:rPr>
          <w:rFonts w:eastAsia="Arial Unicode MS"/>
        </w:rPr>
        <w:t xml:space="preserve">The company had laid down strict financial criteria as a guideline for </w:t>
      </w:r>
      <w:r w:rsidR="00A34F2B">
        <w:rPr>
          <w:rFonts w:eastAsia="Arial Unicode MS"/>
        </w:rPr>
        <w:t>Troup</w:t>
      </w:r>
      <w:r w:rsidR="00A25968">
        <w:rPr>
          <w:rFonts w:eastAsia="Arial Unicode MS"/>
        </w:rPr>
        <w:t>’</w:t>
      </w:r>
      <w:r w:rsidR="00A34F2B">
        <w:rPr>
          <w:rFonts w:eastAsia="Arial Unicode MS"/>
        </w:rPr>
        <w:t>s</w:t>
      </w:r>
      <w:r w:rsidR="00A34F2B" w:rsidRPr="00F23898">
        <w:rPr>
          <w:rFonts w:eastAsia="Arial Unicode MS"/>
        </w:rPr>
        <w:t xml:space="preserve"> </w:t>
      </w:r>
      <w:r w:rsidRPr="00F23898">
        <w:rPr>
          <w:rFonts w:eastAsia="Arial Unicode MS"/>
        </w:rPr>
        <w:t>recommendation</w:t>
      </w:r>
      <w:r w:rsidR="00BB5ADE">
        <w:rPr>
          <w:rFonts w:eastAsia="Arial Unicode MS"/>
        </w:rPr>
        <w:t>,</w:t>
      </w:r>
      <w:r w:rsidRPr="00F23898">
        <w:rPr>
          <w:rFonts w:eastAsia="Arial Unicode MS"/>
        </w:rPr>
        <w:t xml:space="preserve"> and profitability was the key concern for </w:t>
      </w:r>
      <w:proofErr w:type="spellStart"/>
      <w:r w:rsidRPr="00F23898">
        <w:rPr>
          <w:rFonts w:eastAsia="Arial Unicode MS"/>
        </w:rPr>
        <w:t>Sifton</w:t>
      </w:r>
      <w:proofErr w:type="spellEnd"/>
      <w:r w:rsidRPr="00F23898">
        <w:rPr>
          <w:rFonts w:eastAsia="Arial Unicode MS"/>
        </w:rPr>
        <w:t>. However, the company</w:t>
      </w:r>
      <w:r w:rsidR="00A25968">
        <w:rPr>
          <w:rFonts w:eastAsia="Arial Unicode MS"/>
        </w:rPr>
        <w:t>’</w:t>
      </w:r>
      <w:r w:rsidRPr="00F23898">
        <w:rPr>
          <w:rFonts w:eastAsia="Arial Unicode MS"/>
        </w:rPr>
        <w:t>s environmental and social concerns were similar to those of potential consumers.</w:t>
      </w:r>
    </w:p>
    <w:p w14:paraId="15DB564F" w14:textId="77777777" w:rsidR="00F23898" w:rsidRPr="00F23898" w:rsidRDefault="00F23898" w:rsidP="00F23898">
      <w:pPr>
        <w:pStyle w:val="BodyTextMain"/>
        <w:rPr>
          <w:rFonts w:eastAsia="Arial Unicode MS"/>
        </w:rPr>
      </w:pPr>
    </w:p>
    <w:p w14:paraId="63A99CAE" w14:textId="5F56EDC5" w:rsidR="00F23898" w:rsidRPr="00F23898" w:rsidRDefault="00F23898" w:rsidP="00F23898">
      <w:pPr>
        <w:pStyle w:val="BodyTextMain"/>
      </w:pPr>
      <w:r w:rsidRPr="00F23898">
        <w:rPr>
          <w:rFonts w:eastAsia="Arial Unicode MS"/>
        </w:rPr>
        <w:t>As the clock on his computer reached 5</w:t>
      </w:r>
      <w:r w:rsidR="00FA7226">
        <w:rPr>
          <w:rFonts w:eastAsia="Arial Unicode MS"/>
        </w:rPr>
        <w:t>:00</w:t>
      </w:r>
      <w:r w:rsidRPr="00F23898">
        <w:rPr>
          <w:rFonts w:eastAsia="Arial Unicode MS"/>
        </w:rPr>
        <w:t xml:space="preserve"> </w:t>
      </w:r>
      <w:r w:rsidR="00BC703F">
        <w:rPr>
          <w:rFonts w:eastAsia="Arial Unicode MS"/>
        </w:rPr>
        <w:t>p.m.</w:t>
      </w:r>
      <w:r w:rsidRPr="00F23898">
        <w:rPr>
          <w:rFonts w:eastAsia="Arial Unicode MS"/>
        </w:rPr>
        <w:t xml:space="preserve">, </w:t>
      </w:r>
      <w:r w:rsidR="00A34F2B">
        <w:rPr>
          <w:rFonts w:eastAsia="Arial Unicode MS"/>
        </w:rPr>
        <w:t>Troup</w:t>
      </w:r>
      <w:r w:rsidR="00A34F2B" w:rsidRPr="00F23898">
        <w:rPr>
          <w:rFonts w:eastAsia="Arial Unicode MS"/>
        </w:rPr>
        <w:t xml:space="preserve"> </w:t>
      </w:r>
      <w:r w:rsidRPr="00F23898">
        <w:rPr>
          <w:rFonts w:eastAsia="Arial Unicode MS"/>
        </w:rPr>
        <w:t>packed up his things and made his way to the elevator.</w:t>
      </w:r>
      <w:r>
        <w:rPr>
          <w:rFonts w:eastAsia="Arial Unicode MS"/>
        </w:rPr>
        <w:t xml:space="preserve"> </w:t>
      </w:r>
      <w:r w:rsidRPr="00F23898">
        <w:rPr>
          <w:rFonts w:eastAsia="Arial Unicode MS"/>
        </w:rPr>
        <w:t>He would use the weekend to make up his mind and, come Monday morning, have a system to recommend to the company.</w:t>
      </w:r>
      <w:r>
        <w:rPr>
          <w:rFonts w:eastAsia="Arial Unicode MS"/>
        </w:rPr>
        <w:t xml:space="preserve"> </w:t>
      </w:r>
      <w:r w:rsidRPr="00F23898">
        <w:rPr>
          <w:rFonts w:eastAsia="Arial Unicode MS"/>
        </w:rPr>
        <w:t xml:space="preserve">As he stood waiting for his bus home, </w:t>
      </w:r>
      <w:r w:rsidR="007138B7">
        <w:rPr>
          <w:rFonts w:eastAsia="Arial Unicode MS"/>
        </w:rPr>
        <w:t>Troup</w:t>
      </w:r>
      <w:r w:rsidRPr="00F23898">
        <w:rPr>
          <w:rFonts w:eastAsia="Arial Unicode MS"/>
        </w:rPr>
        <w:t xml:space="preserve"> ran through the various receptions he could receive on Monday as a result of his recommendation.</w:t>
      </w:r>
    </w:p>
    <w:p w14:paraId="7CECADCD" w14:textId="77777777" w:rsidR="00424672" w:rsidRDefault="00424672">
      <w:pPr>
        <w:spacing w:after="200" w:line="276" w:lineRule="auto"/>
        <w:rPr>
          <w:iCs/>
          <w:color w:val="000000"/>
          <w:sz w:val="22"/>
          <w:szCs w:val="22"/>
        </w:rPr>
      </w:pPr>
      <w:r>
        <w:rPr>
          <w:i/>
          <w:sz w:val="22"/>
          <w:szCs w:val="22"/>
        </w:rPr>
        <w:br w:type="page"/>
      </w:r>
    </w:p>
    <w:p w14:paraId="1ED49593" w14:textId="3A7B4842" w:rsidR="00424672" w:rsidRDefault="00424672" w:rsidP="00424672">
      <w:pPr>
        <w:pStyle w:val="ExhibitHeading"/>
      </w:pPr>
      <w:r>
        <w:lastRenderedPageBreak/>
        <w:t>Exhibit 1: Sifton Properities Ltd.</w:t>
      </w:r>
      <w:r w:rsidR="008F3669">
        <w:t>—</w:t>
      </w:r>
      <w:r>
        <w:t>Neighbourhood Development Projects in Progress</w:t>
      </w:r>
    </w:p>
    <w:p w14:paraId="5C7AE4DE" w14:textId="77777777" w:rsidR="00424672" w:rsidRDefault="00424672" w:rsidP="00471088">
      <w:pPr>
        <w:pStyle w:val="StyleCopyrightStatementAfter0ptBottomSinglesolidline1"/>
        <w:pBdr>
          <w:top w:val="none" w:sz="0" w:space="0" w:color="auto"/>
        </w:pBdr>
        <w:rPr>
          <w:rFonts w:ascii="Times New Roman" w:hAnsi="Times New Roman"/>
          <w:i w:val="0"/>
          <w:sz w:val="22"/>
          <w:szCs w:val="22"/>
        </w:rPr>
      </w:pPr>
    </w:p>
    <w:tbl>
      <w:tblPr>
        <w:tblStyle w:val="TableGrid"/>
        <w:tblW w:w="0" w:type="auto"/>
        <w:jc w:val="center"/>
        <w:tblLook w:val="04A0" w:firstRow="1" w:lastRow="0" w:firstColumn="1" w:lastColumn="0" w:noHBand="0" w:noVBand="1"/>
      </w:tblPr>
      <w:tblGrid>
        <w:gridCol w:w="2160"/>
        <w:gridCol w:w="1554"/>
        <w:gridCol w:w="1454"/>
        <w:gridCol w:w="1667"/>
        <w:gridCol w:w="1256"/>
      </w:tblGrid>
      <w:tr w:rsidR="00424672" w14:paraId="4364B3F5" w14:textId="77777777" w:rsidTr="00CC085A">
        <w:trPr>
          <w:jc w:val="center"/>
        </w:trPr>
        <w:tc>
          <w:tcPr>
            <w:tcW w:w="2160" w:type="dxa"/>
          </w:tcPr>
          <w:p w14:paraId="71AB08E3" w14:textId="77777777" w:rsidR="00424672" w:rsidRPr="00424672" w:rsidRDefault="00424672" w:rsidP="00CC085A">
            <w:pPr>
              <w:pStyle w:val="ExhibitText"/>
              <w:jc w:val="left"/>
              <w:rPr>
                <w:rFonts w:eastAsia="Arial Unicode MS"/>
                <w:b/>
              </w:rPr>
            </w:pPr>
            <w:r w:rsidRPr="00424672">
              <w:rPr>
                <w:rFonts w:eastAsia="Arial Unicode MS"/>
                <w:b/>
              </w:rPr>
              <w:t>Neighbourhood</w:t>
            </w:r>
          </w:p>
        </w:tc>
        <w:tc>
          <w:tcPr>
            <w:tcW w:w="1554" w:type="dxa"/>
          </w:tcPr>
          <w:p w14:paraId="4980F06A" w14:textId="77777777" w:rsidR="00424672" w:rsidRPr="00424672" w:rsidRDefault="00424672" w:rsidP="00CC085A">
            <w:pPr>
              <w:pStyle w:val="ExhibitText"/>
              <w:jc w:val="center"/>
              <w:rPr>
                <w:rFonts w:eastAsia="Arial Unicode MS"/>
                <w:b/>
              </w:rPr>
            </w:pPr>
            <w:r w:rsidRPr="00424672">
              <w:rPr>
                <w:rFonts w:eastAsia="Arial Unicode MS"/>
                <w:b/>
              </w:rPr>
              <w:t>Region</w:t>
            </w:r>
          </w:p>
        </w:tc>
        <w:tc>
          <w:tcPr>
            <w:tcW w:w="1454" w:type="dxa"/>
          </w:tcPr>
          <w:p w14:paraId="3C511AA9" w14:textId="77777777" w:rsidR="00424672" w:rsidRDefault="00424672" w:rsidP="00CC085A">
            <w:pPr>
              <w:pStyle w:val="ExhibitText"/>
              <w:jc w:val="center"/>
              <w:rPr>
                <w:rFonts w:eastAsia="Arial Unicode MS"/>
                <w:b/>
              </w:rPr>
            </w:pPr>
            <w:r w:rsidRPr="00424672">
              <w:rPr>
                <w:rFonts w:eastAsia="Arial Unicode MS"/>
                <w:b/>
              </w:rPr>
              <w:t>Lot Size</w:t>
            </w:r>
          </w:p>
          <w:p w14:paraId="7293E766" w14:textId="458446D4" w:rsidR="00442673" w:rsidRPr="00424672" w:rsidRDefault="00442673" w:rsidP="00CC085A">
            <w:pPr>
              <w:pStyle w:val="ExhibitText"/>
              <w:jc w:val="center"/>
              <w:rPr>
                <w:rFonts w:eastAsia="Arial Unicode MS"/>
                <w:b/>
              </w:rPr>
            </w:pPr>
            <w:r>
              <w:rPr>
                <w:rFonts w:eastAsia="Arial Unicode MS"/>
                <w:b/>
              </w:rPr>
              <w:t>(in feet)</w:t>
            </w:r>
          </w:p>
        </w:tc>
        <w:tc>
          <w:tcPr>
            <w:tcW w:w="1667" w:type="dxa"/>
          </w:tcPr>
          <w:p w14:paraId="2F212C8A" w14:textId="77777777" w:rsidR="00424672" w:rsidRPr="00424672" w:rsidRDefault="00424672" w:rsidP="00CC085A">
            <w:pPr>
              <w:pStyle w:val="ExhibitText"/>
              <w:jc w:val="center"/>
              <w:rPr>
                <w:rFonts w:eastAsia="Arial Unicode MS"/>
                <w:b/>
              </w:rPr>
            </w:pPr>
            <w:r w:rsidRPr="00424672">
              <w:rPr>
                <w:rFonts w:eastAsia="Arial Unicode MS"/>
                <w:b/>
              </w:rPr>
              <w:t>Price Range</w:t>
            </w:r>
          </w:p>
        </w:tc>
        <w:tc>
          <w:tcPr>
            <w:tcW w:w="1256" w:type="dxa"/>
          </w:tcPr>
          <w:p w14:paraId="26B686F9" w14:textId="77777777" w:rsidR="00424672" w:rsidRPr="00424672" w:rsidRDefault="00424672" w:rsidP="00CC085A">
            <w:pPr>
              <w:pStyle w:val="ExhibitText"/>
              <w:jc w:val="center"/>
              <w:rPr>
                <w:rFonts w:eastAsia="Arial Unicode MS"/>
                <w:b/>
              </w:rPr>
            </w:pPr>
            <w:r w:rsidRPr="00424672">
              <w:rPr>
                <w:rFonts w:eastAsia="Arial Unicode MS"/>
                <w:b/>
              </w:rPr>
              <w:t># of Builders</w:t>
            </w:r>
          </w:p>
        </w:tc>
      </w:tr>
      <w:tr w:rsidR="00424672" w14:paraId="7195DCD4" w14:textId="77777777" w:rsidTr="00CC085A">
        <w:trPr>
          <w:jc w:val="center"/>
        </w:trPr>
        <w:tc>
          <w:tcPr>
            <w:tcW w:w="2160" w:type="dxa"/>
          </w:tcPr>
          <w:p w14:paraId="09588C02" w14:textId="77777777" w:rsidR="00424672" w:rsidRPr="00037D20" w:rsidRDefault="00424672" w:rsidP="00CC085A">
            <w:pPr>
              <w:pStyle w:val="ExhibitText"/>
              <w:jc w:val="left"/>
              <w:rPr>
                <w:rFonts w:eastAsia="Arial Unicode MS"/>
              </w:rPr>
            </w:pPr>
            <w:proofErr w:type="spellStart"/>
            <w:r>
              <w:rPr>
                <w:rFonts w:eastAsia="Arial Unicode MS"/>
              </w:rPr>
              <w:t>RiverBend</w:t>
            </w:r>
            <w:proofErr w:type="spellEnd"/>
            <w:r w:rsidRPr="00037D20">
              <w:rPr>
                <w:rFonts w:eastAsia="Arial Unicode MS"/>
              </w:rPr>
              <w:t xml:space="preserve"> Heights</w:t>
            </w:r>
          </w:p>
        </w:tc>
        <w:tc>
          <w:tcPr>
            <w:tcW w:w="1554" w:type="dxa"/>
          </w:tcPr>
          <w:p w14:paraId="24FFDF93" w14:textId="77777777" w:rsidR="00424672" w:rsidRPr="00AA22FE" w:rsidRDefault="00424672" w:rsidP="00CC085A">
            <w:pPr>
              <w:pStyle w:val="ExhibitText"/>
              <w:jc w:val="center"/>
              <w:rPr>
                <w:rFonts w:eastAsia="Arial Unicode MS"/>
              </w:rPr>
            </w:pPr>
            <w:r w:rsidRPr="00AA22FE">
              <w:rPr>
                <w:rFonts w:eastAsia="Arial Unicode MS"/>
              </w:rPr>
              <w:t>London</w:t>
            </w:r>
            <w:r w:rsidR="008B3B08">
              <w:rPr>
                <w:rFonts w:eastAsia="Arial Unicode MS"/>
              </w:rPr>
              <w:t xml:space="preserve"> </w:t>
            </w:r>
            <w:r w:rsidRPr="00AA22FE">
              <w:rPr>
                <w:rFonts w:eastAsia="Arial Unicode MS"/>
              </w:rPr>
              <w:t>West</w:t>
            </w:r>
          </w:p>
        </w:tc>
        <w:tc>
          <w:tcPr>
            <w:tcW w:w="1454" w:type="dxa"/>
          </w:tcPr>
          <w:p w14:paraId="0730E2BF" w14:textId="77777777" w:rsidR="00424672" w:rsidRPr="00AA22FE" w:rsidRDefault="00424672" w:rsidP="00CC085A">
            <w:pPr>
              <w:pStyle w:val="ExhibitText"/>
              <w:jc w:val="center"/>
              <w:rPr>
                <w:rFonts w:eastAsia="Arial Unicode MS"/>
              </w:rPr>
            </w:pPr>
            <w:r w:rsidRPr="00AA22FE">
              <w:rPr>
                <w:rFonts w:eastAsia="Arial Unicode MS"/>
              </w:rPr>
              <w:t>N/A</w:t>
            </w:r>
          </w:p>
        </w:tc>
        <w:tc>
          <w:tcPr>
            <w:tcW w:w="1667" w:type="dxa"/>
          </w:tcPr>
          <w:p w14:paraId="797772C7" w14:textId="77777777" w:rsidR="00424672" w:rsidRPr="00AA22FE" w:rsidRDefault="00424672" w:rsidP="00CC085A">
            <w:pPr>
              <w:pStyle w:val="ExhibitText"/>
              <w:jc w:val="center"/>
              <w:rPr>
                <w:rFonts w:eastAsia="Arial Unicode MS"/>
              </w:rPr>
            </w:pPr>
            <w:r w:rsidRPr="00AA22FE">
              <w:rPr>
                <w:rFonts w:eastAsia="Arial Unicode MS"/>
              </w:rPr>
              <w:t>N/A</w:t>
            </w:r>
          </w:p>
        </w:tc>
        <w:tc>
          <w:tcPr>
            <w:tcW w:w="1256" w:type="dxa"/>
          </w:tcPr>
          <w:p w14:paraId="767B41BD" w14:textId="77777777" w:rsidR="00424672" w:rsidRPr="00AA22FE" w:rsidRDefault="00424672" w:rsidP="00CC085A">
            <w:pPr>
              <w:pStyle w:val="ExhibitText"/>
              <w:jc w:val="center"/>
              <w:rPr>
                <w:rFonts w:eastAsia="Arial Unicode MS"/>
              </w:rPr>
            </w:pPr>
            <w:r w:rsidRPr="00AA22FE">
              <w:rPr>
                <w:rFonts w:eastAsia="Arial Unicode MS"/>
              </w:rPr>
              <w:t>N/A</w:t>
            </w:r>
          </w:p>
        </w:tc>
      </w:tr>
      <w:tr w:rsidR="00424672" w14:paraId="009C77E0" w14:textId="77777777" w:rsidTr="00CC085A">
        <w:trPr>
          <w:jc w:val="center"/>
        </w:trPr>
        <w:tc>
          <w:tcPr>
            <w:tcW w:w="2160" w:type="dxa"/>
          </w:tcPr>
          <w:p w14:paraId="1D45A3E2" w14:textId="77777777" w:rsidR="00424672" w:rsidRPr="00037D20" w:rsidRDefault="00424672" w:rsidP="00CC085A">
            <w:pPr>
              <w:pStyle w:val="ExhibitText"/>
              <w:jc w:val="left"/>
              <w:rPr>
                <w:rFonts w:eastAsia="Arial Unicode MS"/>
              </w:rPr>
            </w:pPr>
            <w:proofErr w:type="spellStart"/>
            <w:r>
              <w:rPr>
                <w:rFonts w:eastAsia="Arial Unicode MS"/>
              </w:rPr>
              <w:t>RiverBend</w:t>
            </w:r>
            <w:proofErr w:type="spellEnd"/>
            <w:r w:rsidRPr="00037D20">
              <w:rPr>
                <w:rFonts w:eastAsia="Arial Unicode MS"/>
              </w:rPr>
              <w:t xml:space="preserve"> Village</w:t>
            </w:r>
          </w:p>
        </w:tc>
        <w:tc>
          <w:tcPr>
            <w:tcW w:w="1554" w:type="dxa"/>
          </w:tcPr>
          <w:p w14:paraId="13ACDA1D" w14:textId="77777777" w:rsidR="00424672" w:rsidRPr="00AA22FE" w:rsidRDefault="00424672" w:rsidP="00CC085A">
            <w:pPr>
              <w:pStyle w:val="ExhibitText"/>
              <w:jc w:val="center"/>
              <w:rPr>
                <w:rFonts w:eastAsia="Arial Unicode MS"/>
              </w:rPr>
            </w:pPr>
            <w:r w:rsidRPr="00AA22FE">
              <w:rPr>
                <w:rFonts w:eastAsia="Arial Unicode MS"/>
              </w:rPr>
              <w:t>London</w:t>
            </w:r>
            <w:r w:rsidR="008B3B08">
              <w:rPr>
                <w:rFonts w:eastAsia="Arial Unicode MS"/>
              </w:rPr>
              <w:t xml:space="preserve"> </w:t>
            </w:r>
            <w:r w:rsidRPr="00AA22FE">
              <w:rPr>
                <w:rFonts w:eastAsia="Arial Unicode MS"/>
              </w:rPr>
              <w:t>West</w:t>
            </w:r>
          </w:p>
        </w:tc>
        <w:tc>
          <w:tcPr>
            <w:tcW w:w="1454" w:type="dxa"/>
          </w:tcPr>
          <w:p w14:paraId="6938492C" w14:textId="77777777" w:rsidR="00424672" w:rsidRPr="00AA22FE" w:rsidRDefault="00424672" w:rsidP="00CC085A">
            <w:pPr>
              <w:pStyle w:val="ExhibitText"/>
              <w:jc w:val="center"/>
              <w:rPr>
                <w:rFonts w:eastAsia="Arial Unicode MS"/>
              </w:rPr>
            </w:pPr>
            <w:r w:rsidRPr="00AA22FE">
              <w:rPr>
                <w:rFonts w:eastAsia="Arial Unicode MS"/>
              </w:rPr>
              <w:t>N/A</w:t>
            </w:r>
          </w:p>
        </w:tc>
        <w:tc>
          <w:tcPr>
            <w:tcW w:w="1667" w:type="dxa"/>
          </w:tcPr>
          <w:p w14:paraId="2F5C177E" w14:textId="77777777" w:rsidR="00424672" w:rsidRPr="00AA22FE" w:rsidRDefault="00424672" w:rsidP="00CC085A">
            <w:pPr>
              <w:pStyle w:val="ExhibitText"/>
              <w:jc w:val="center"/>
              <w:rPr>
                <w:rFonts w:eastAsia="Arial Unicode MS"/>
              </w:rPr>
            </w:pPr>
            <w:r w:rsidRPr="00AA22FE">
              <w:rPr>
                <w:rFonts w:eastAsia="Arial Unicode MS"/>
              </w:rPr>
              <w:t>N/A</w:t>
            </w:r>
          </w:p>
        </w:tc>
        <w:tc>
          <w:tcPr>
            <w:tcW w:w="1256" w:type="dxa"/>
          </w:tcPr>
          <w:p w14:paraId="7AFE15EF" w14:textId="77777777" w:rsidR="00424672" w:rsidRPr="00AA22FE" w:rsidRDefault="00424672" w:rsidP="00CC085A">
            <w:pPr>
              <w:pStyle w:val="ExhibitText"/>
              <w:jc w:val="center"/>
              <w:rPr>
                <w:rFonts w:eastAsia="Arial Unicode MS"/>
              </w:rPr>
            </w:pPr>
            <w:r w:rsidRPr="00AA22FE">
              <w:rPr>
                <w:rFonts w:eastAsia="Arial Unicode MS"/>
              </w:rPr>
              <w:t>N/A</w:t>
            </w:r>
          </w:p>
        </w:tc>
      </w:tr>
      <w:tr w:rsidR="00424672" w14:paraId="2C5C5113" w14:textId="77777777" w:rsidTr="00CC085A">
        <w:trPr>
          <w:jc w:val="center"/>
        </w:trPr>
        <w:tc>
          <w:tcPr>
            <w:tcW w:w="2160" w:type="dxa"/>
          </w:tcPr>
          <w:p w14:paraId="0DAF7E35" w14:textId="77777777" w:rsidR="00424672" w:rsidRPr="00037D20" w:rsidRDefault="00424672" w:rsidP="00CC085A">
            <w:pPr>
              <w:pStyle w:val="ExhibitText"/>
              <w:jc w:val="left"/>
              <w:rPr>
                <w:rFonts w:eastAsia="Arial Unicode MS"/>
              </w:rPr>
            </w:pPr>
            <w:proofErr w:type="spellStart"/>
            <w:r w:rsidRPr="00037D20">
              <w:rPr>
                <w:rFonts w:eastAsia="Arial Unicode MS"/>
              </w:rPr>
              <w:t>Timberwalk</w:t>
            </w:r>
            <w:proofErr w:type="spellEnd"/>
          </w:p>
        </w:tc>
        <w:tc>
          <w:tcPr>
            <w:tcW w:w="1554" w:type="dxa"/>
          </w:tcPr>
          <w:p w14:paraId="208962B7" w14:textId="77777777" w:rsidR="00424672" w:rsidRPr="00AA22FE" w:rsidRDefault="00424672" w:rsidP="00CC085A">
            <w:pPr>
              <w:pStyle w:val="ExhibitText"/>
              <w:jc w:val="center"/>
              <w:rPr>
                <w:rFonts w:eastAsia="Arial Unicode MS"/>
              </w:rPr>
            </w:pPr>
            <w:proofErr w:type="spellStart"/>
            <w:r w:rsidRPr="00AA22FE">
              <w:rPr>
                <w:rFonts w:eastAsia="Arial Unicode MS"/>
              </w:rPr>
              <w:t>Ilderton</w:t>
            </w:r>
            <w:proofErr w:type="spellEnd"/>
          </w:p>
        </w:tc>
        <w:tc>
          <w:tcPr>
            <w:tcW w:w="1454" w:type="dxa"/>
          </w:tcPr>
          <w:p w14:paraId="519CD2F2" w14:textId="12376A06" w:rsidR="00424672" w:rsidRPr="00AA22FE" w:rsidRDefault="00424672" w:rsidP="00442673">
            <w:pPr>
              <w:pStyle w:val="ExhibitText"/>
              <w:jc w:val="center"/>
              <w:rPr>
                <w:rFonts w:eastAsia="Arial Unicode MS"/>
              </w:rPr>
            </w:pPr>
            <w:r w:rsidRPr="00AA22FE">
              <w:rPr>
                <w:rFonts w:eastAsia="Arial Unicode MS"/>
              </w:rPr>
              <w:t>50</w:t>
            </w:r>
            <w:r w:rsidR="00CC085A">
              <w:rPr>
                <w:rFonts w:eastAsia="Arial Unicode MS"/>
              </w:rPr>
              <w:t>–</w:t>
            </w:r>
            <w:r w:rsidRPr="00AA22FE">
              <w:rPr>
                <w:rFonts w:eastAsia="Arial Unicode MS"/>
              </w:rPr>
              <w:t>60+</w:t>
            </w:r>
          </w:p>
        </w:tc>
        <w:tc>
          <w:tcPr>
            <w:tcW w:w="1667" w:type="dxa"/>
          </w:tcPr>
          <w:p w14:paraId="0855628D" w14:textId="77777777" w:rsidR="00424672" w:rsidRPr="00AA22FE" w:rsidRDefault="00424672" w:rsidP="00CC085A">
            <w:pPr>
              <w:pStyle w:val="ExhibitText"/>
              <w:jc w:val="center"/>
              <w:rPr>
                <w:rFonts w:eastAsia="Arial Unicode MS"/>
              </w:rPr>
            </w:pPr>
            <w:r w:rsidRPr="00AA22FE">
              <w:rPr>
                <w:rFonts w:eastAsia="Arial Unicode MS"/>
              </w:rPr>
              <w:t>$300,000+</w:t>
            </w:r>
          </w:p>
        </w:tc>
        <w:tc>
          <w:tcPr>
            <w:tcW w:w="1256" w:type="dxa"/>
          </w:tcPr>
          <w:p w14:paraId="4EB261BC" w14:textId="77777777" w:rsidR="00424672" w:rsidRPr="00AA22FE" w:rsidRDefault="00424672" w:rsidP="00CC085A">
            <w:pPr>
              <w:pStyle w:val="ExhibitText"/>
              <w:jc w:val="center"/>
              <w:rPr>
                <w:rFonts w:eastAsia="Arial Unicode MS"/>
              </w:rPr>
            </w:pPr>
            <w:r w:rsidRPr="00AA22FE">
              <w:rPr>
                <w:rFonts w:eastAsia="Arial Unicode MS"/>
              </w:rPr>
              <w:t>TBD</w:t>
            </w:r>
          </w:p>
        </w:tc>
      </w:tr>
      <w:tr w:rsidR="00424672" w14:paraId="2CF0F399" w14:textId="77777777" w:rsidTr="00CC085A">
        <w:trPr>
          <w:jc w:val="center"/>
        </w:trPr>
        <w:tc>
          <w:tcPr>
            <w:tcW w:w="2160" w:type="dxa"/>
          </w:tcPr>
          <w:p w14:paraId="6C9F0F54" w14:textId="77777777" w:rsidR="00424672" w:rsidRPr="00037D20" w:rsidRDefault="00424672" w:rsidP="00CC085A">
            <w:pPr>
              <w:pStyle w:val="ExhibitText"/>
              <w:jc w:val="left"/>
              <w:rPr>
                <w:rFonts w:eastAsia="Arial Unicode MS"/>
              </w:rPr>
            </w:pPr>
            <w:r w:rsidRPr="00037D20">
              <w:rPr>
                <w:rFonts w:eastAsia="Arial Unicode MS"/>
              </w:rPr>
              <w:t>Victoria on the River</w:t>
            </w:r>
          </w:p>
        </w:tc>
        <w:tc>
          <w:tcPr>
            <w:tcW w:w="1554" w:type="dxa"/>
          </w:tcPr>
          <w:p w14:paraId="2D1C0A05" w14:textId="77777777" w:rsidR="00424672" w:rsidRPr="00AA22FE" w:rsidRDefault="00424672" w:rsidP="00CC085A">
            <w:pPr>
              <w:pStyle w:val="ExhibitText"/>
              <w:jc w:val="center"/>
              <w:rPr>
                <w:rFonts w:eastAsia="Arial Unicode MS"/>
              </w:rPr>
            </w:pPr>
            <w:r w:rsidRPr="00AA22FE">
              <w:rPr>
                <w:rFonts w:eastAsia="Arial Unicode MS"/>
              </w:rPr>
              <w:t>London</w:t>
            </w:r>
            <w:r w:rsidR="008B3B08">
              <w:rPr>
                <w:rFonts w:eastAsia="Arial Unicode MS"/>
              </w:rPr>
              <w:t xml:space="preserve"> </w:t>
            </w:r>
            <w:r w:rsidRPr="00AA22FE">
              <w:rPr>
                <w:rFonts w:eastAsia="Arial Unicode MS"/>
              </w:rPr>
              <w:t>South</w:t>
            </w:r>
          </w:p>
        </w:tc>
        <w:tc>
          <w:tcPr>
            <w:tcW w:w="1454" w:type="dxa"/>
          </w:tcPr>
          <w:p w14:paraId="27B92913" w14:textId="42B8B4DF" w:rsidR="00424672" w:rsidRPr="00AA22FE" w:rsidRDefault="00424672" w:rsidP="00442673">
            <w:pPr>
              <w:pStyle w:val="ExhibitText"/>
              <w:jc w:val="center"/>
              <w:rPr>
                <w:rFonts w:eastAsia="Arial Unicode MS"/>
              </w:rPr>
            </w:pPr>
            <w:r w:rsidRPr="00AA22FE">
              <w:rPr>
                <w:rFonts w:eastAsia="Arial Unicode MS"/>
              </w:rPr>
              <w:t>40</w:t>
            </w:r>
            <w:r w:rsidR="00CC085A">
              <w:rPr>
                <w:rFonts w:eastAsia="Arial Unicode MS"/>
              </w:rPr>
              <w:t>–</w:t>
            </w:r>
            <w:r w:rsidRPr="00AA22FE">
              <w:rPr>
                <w:rFonts w:eastAsia="Arial Unicode MS"/>
              </w:rPr>
              <w:t>55+</w:t>
            </w:r>
          </w:p>
        </w:tc>
        <w:tc>
          <w:tcPr>
            <w:tcW w:w="1667" w:type="dxa"/>
          </w:tcPr>
          <w:p w14:paraId="05698DC8" w14:textId="77777777" w:rsidR="00424672" w:rsidRPr="00AA22FE" w:rsidRDefault="00424672" w:rsidP="00CC085A">
            <w:pPr>
              <w:pStyle w:val="ExhibitText"/>
              <w:jc w:val="center"/>
              <w:rPr>
                <w:rFonts w:eastAsia="Arial Unicode MS"/>
              </w:rPr>
            </w:pPr>
            <w:r w:rsidRPr="00AA22FE">
              <w:rPr>
                <w:rFonts w:eastAsia="Arial Unicode MS"/>
              </w:rPr>
              <w:t>$300,000+</w:t>
            </w:r>
          </w:p>
        </w:tc>
        <w:tc>
          <w:tcPr>
            <w:tcW w:w="1256" w:type="dxa"/>
          </w:tcPr>
          <w:p w14:paraId="3D70D6E5" w14:textId="77777777" w:rsidR="00424672" w:rsidRPr="00AA22FE" w:rsidRDefault="00424672" w:rsidP="00CC085A">
            <w:pPr>
              <w:pStyle w:val="ExhibitText"/>
              <w:jc w:val="center"/>
              <w:rPr>
                <w:rFonts w:eastAsia="Arial Unicode MS"/>
              </w:rPr>
            </w:pPr>
            <w:r w:rsidRPr="00AA22FE">
              <w:rPr>
                <w:rFonts w:eastAsia="Arial Unicode MS"/>
              </w:rPr>
              <w:t>TBD</w:t>
            </w:r>
          </w:p>
        </w:tc>
      </w:tr>
      <w:tr w:rsidR="00424672" w14:paraId="08461FCF" w14:textId="77777777" w:rsidTr="00CC085A">
        <w:trPr>
          <w:jc w:val="center"/>
        </w:trPr>
        <w:tc>
          <w:tcPr>
            <w:tcW w:w="2160" w:type="dxa"/>
          </w:tcPr>
          <w:p w14:paraId="32BDF758" w14:textId="77777777" w:rsidR="00424672" w:rsidRPr="00037D20" w:rsidRDefault="00424672" w:rsidP="00CC085A">
            <w:pPr>
              <w:pStyle w:val="ExhibitText"/>
              <w:jc w:val="left"/>
              <w:rPr>
                <w:rFonts w:eastAsia="Arial Unicode MS"/>
              </w:rPr>
            </w:pPr>
            <w:r w:rsidRPr="00037D20">
              <w:rPr>
                <w:rFonts w:eastAsia="Arial Unicode MS"/>
              </w:rPr>
              <w:t xml:space="preserve">Warbler Woods at </w:t>
            </w:r>
            <w:proofErr w:type="spellStart"/>
            <w:r>
              <w:rPr>
                <w:rFonts w:eastAsia="Arial Unicode MS"/>
              </w:rPr>
              <w:t>RiverBend</w:t>
            </w:r>
            <w:proofErr w:type="spellEnd"/>
          </w:p>
        </w:tc>
        <w:tc>
          <w:tcPr>
            <w:tcW w:w="1554" w:type="dxa"/>
          </w:tcPr>
          <w:p w14:paraId="3CC6BEBD" w14:textId="77777777" w:rsidR="00424672" w:rsidRPr="00AA22FE" w:rsidRDefault="00424672" w:rsidP="00CC085A">
            <w:pPr>
              <w:pStyle w:val="ExhibitText"/>
              <w:jc w:val="center"/>
              <w:rPr>
                <w:rFonts w:eastAsia="Arial Unicode MS"/>
              </w:rPr>
            </w:pPr>
            <w:r w:rsidRPr="00AA22FE">
              <w:rPr>
                <w:rFonts w:eastAsia="Arial Unicode MS"/>
              </w:rPr>
              <w:t>London</w:t>
            </w:r>
            <w:r w:rsidR="008B3B08">
              <w:rPr>
                <w:rFonts w:eastAsia="Arial Unicode MS"/>
              </w:rPr>
              <w:t xml:space="preserve"> </w:t>
            </w:r>
            <w:r w:rsidRPr="00AA22FE">
              <w:rPr>
                <w:rFonts w:eastAsia="Arial Unicode MS"/>
              </w:rPr>
              <w:t>West</w:t>
            </w:r>
          </w:p>
        </w:tc>
        <w:tc>
          <w:tcPr>
            <w:tcW w:w="1454" w:type="dxa"/>
          </w:tcPr>
          <w:p w14:paraId="2F903559" w14:textId="6719EC8D" w:rsidR="00424672" w:rsidRPr="00AA22FE" w:rsidRDefault="00424672" w:rsidP="00442673">
            <w:pPr>
              <w:pStyle w:val="ExhibitText"/>
              <w:jc w:val="center"/>
              <w:rPr>
                <w:rFonts w:eastAsia="Arial Unicode MS"/>
              </w:rPr>
            </w:pPr>
            <w:r w:rsidRPr="00AA22FE">
              <w:rPr>
                <w:rFonts w:eastAsia="Arial Unicode MS"/>
              </w:rPr>
              <w:t>50</w:t>
            </w:r>
            <w:r w:rsidR="00CC085A">
              <w:rPr>
                <w:rFonts w:eastAsia="Arial Unicode MS"/>
              </w:rPr>
              <w:t>–</w:t>
            </w:r>
            <w:r w:rsidRPr="00AA22FE">
              <w:rPr>
                <w:rFonts w:eastAsia="Arial Unicode MS"/>
              </w:rPr>
              <w:t>60 Frontage</w:t>
            </w:r>
          </w:p>
        </w:tc>
        <w:tc>
          <w:tcPr>
            <w:tcW w:w="1667" w:type="dxa"/>
          </w:tcPr>
          <w:p w14:paraId="4A5B6542" w14:textId="77777777" w:rsidR="00424672" w:rsidRPr="00AA22FE" w:rsidRDefault="00424672" w:rsidP="00CC085A">
            <w:pPr>
              <w:pStyle w:val="ExhibitText"/>
              <w:jc w:val="center"/>
              <w:rPr>
                <w:rFonts w:eastAsia="Arial Unicode MS"/>
              </w:rPr>
            </w:pPr>
            <w:r w:rsidRPr="00AA22FE">
              <w:rPr>
                <w:rFonts w:eastAsia="Arial Unicode MS"/>
              </w:rPr>
              <w:t>Mid $300,000</w:t>
            </w:r>
            <w:r w:rsidR="00CC085A">
              <w:rPr>
                <w:rFonts w:eastAsia="Arial Unicode MS"/>
              </w:rPr>
              <w:t>–</w:t>
            </w:r>
            <w:r w:rsidRPr="00AA22FE">
              <w:rPr>
                <w:rFonts w:eastAsia="Arial Unicode MS"/>
              </w:rPr>
              <w:t>$500,000+</w:t>
            </w:r>
          </w:p>
        </w:tc>
        <w:tc>
          <w:tcPr>
            <w:tcW w:w="1256" w:type="dxa"/>
          </w:tcPr>
          <w:p w14:paraId="2F486B38" w14:textId="77777777" w:rsidR="00424672" w:rsidRPr="00AA22FE" w:rsidRDefault="00424672" w:rsidP="00CC085A">
            <w:pPr>
              <w:pStyle w:val="ExhibitText"/>
              <w:jc w:val="center"/>
              <w:rPr>
                <w:rFonts w:eastAsia="Arial Unicode MS"/>
              </w:rPr>
            </w:pPr>
            <w:r w:rsidRPr="00AA22FE">
              <w:rPr>
                <w:rFonts w:eastAsia="Arial Unicode MS"/>
              </w:rPr>
              <w:t>2</w:t>
            </w:r>
          </w:p>
        </w:tc>
      </w:tr>
    </w:tbl>
    <w:p w14:paraId="053F0139" w14:textId="77777777" w:rsidR="00424672" w:rsidRDefault="00424672" w:rsidP="00471088">
      <w:pPr>
        <w:pStyle w:val="StyleCopyrightStatementAfter0ptBottomSinglesolidline1"/>
        <w:pBdr>
          <w:top w:val="none" w:sz="0" w:space="0" w:color="auto"/>
        </w:pBdr>
        <w:rPr>
          <w:rFonts w:ascii="Times New Roman" w:hAnsi="Times New Roman"/>
          <w:i w:val="0"/>
          <w:sz w:val="22"/>
          <w:szCs w:val="22"/>
        </w:rPr>
      </w:pPr>
    </w:p>
    <w:p w14:paraId="5D1EA3F3" w14:textId="77777777" w:rsidR="00424672" w:rsidRDefault="00B87C0D" w:rsidP="00B87C0D">
      <w:pPr>
        <w:pStyle w:val="Footnote"/>
      </w:pPr>
      <w:r w:rsidRPr="007C2A20">
        <w:rPr>
          <w:i w:val="0"/>
        </w:rPr>
        <w:t>Source:</w:t>
      </w:r>
      <w:r w:rsidR="00A33187" w:rsidRPr="007C2A20">
        <w:rPr>
          <w:i w:val="0"/>
        </w:rPr>
        <w:t xml:space="preserve"> </w:t>
      </w:r>
      <w:r w:rsidR="00A25968">
        <w:rPr>
          <w:i w:val="0"/>
        </w:rPr>
        <w:t>“</w:t>
      </w:r>
      <w:r w:rsidR="00A33187" w:rsidRPr="007C2A20">
        <w:rPr>
          <w:i w:val="0"/>
        </w:rPr>
        <w:t>Feasibility Study Report: Community Energy System, London, Ontario</w:t>
      </w:r>
      <w:r w:rsidR="00B15924">
        <w:rPr>
          <w:i w:val="0"/>
        </w:rPr>
        <w:t>,</w:t>
      </w:r>
      <w:r w:rsidR="00A25968">
        <w:rPr>
          <w:i w:val="0"/>
        </w:rPr>
        <w:t>”</w:t>
      </w:r>
      <w:r w:rsidR="00B15924">
        <w:rPr>
          <w:i w:val="0"/>
        </w:rPr>
        <w:t xml:space="preserve"> </w:t>
      </w:r>
      <w:r w:rsidR="00B15924" w:rsidRPr="007C2A20">
        <w:rPr>
          <w:i w:val="0"/>
        </w:rPr>
        <w:t>Science Applications International Corporation</w:t>
      </w:r>
      <w:r w:rsidR="00B15924">
        <w:rPr>
          <w:i w:val="0"/>
        </w:rPr>
        <w:t>,</w:t>
      </w:r>
      <w:r w:rsidR="00B15924" w:rsidRPr="007C2A20">
        <w:rPr>
          <w:i w:val="0"/>
        </w:rPr>
        <w:t xml:space="preserve"> </w:t>
      </w:r>
      <w:r w:rsidR="00B15924">
        <w:rPr>
          <w:i w:val="0"/>
        </w:rPr>
        <w:t>2007</w:t>
      </w:r>
      <w:r w:rsidR="00A33187" w:rsidRPr="00864EBB">
        <w:t>.</w:t>
      </w:r>
    </w:p>
    <w:p w14:paraId="7B847C9D" w14:textId="77777777" w:rsidR="00B87C0D" w:rsidRDefault="00B87C0D" w:rsidP="00471088">
      <w:pPr>
        <w:pStyle w:val="StyleCopyrightStatementAfter0ptBottomSinglesolidline1"/>
        <w:pBdr>
          <w:top w:val="none" w:sz="0" w:space="0" w:color="auto"/>
        </w:pBdr>
        <w:rPr>
          <w:rFonts w:ascii="Times New Roman" w:hAnsi="Times New Roman"/>
          <w:i w:val="0"/>
          <w:sz w:val="22"/>
          <w:szCs w:val="22"/>
        </w:rPr>
      </w:pPr>
    </w:p>
    <w:p w14:paraId="24AD7CFC" w14:textId="77777777" w:rsidR="00B87C0D" w:rsidRDefault="00B87C0D" w:rsidP="00471088">
      <w:pPr>
        <w:pStyle w:val="StyleCopyrightStatementAfter0ptBottomSinglesolidline1"/>
        <w:pBdr>
          <w:top w:val="none" w:sz="0" w:space="0" w:color="auto"/>
        </w:pBdr>
        <w:rPr>
          <w:rFonts w:ascii="Times New Roman" w:hAnsi="Times New Roman"/>
          <w:i w:val="0"/>
          <w:sz w:val="22"/>
          <w:szCs w:val="22"/>
        </w:rPr>
      </w:pPr>
    </w:p>
    <w:p w14:paraId="2EA0A365" w14:textId="77777777" w:rsidR="00B87C0D" w:rsidRDefault="00B87C0D" w:rsidP="00B87C0D">
      <w:pPr>
        <w:pStyle w:val="ExhibitHeading"/>
      </w:pPr>
      <w:r>
        <w:t>Exhibit 2: Aquifer Thermal Energy Storage</w:t>
      </w:r>
      <w:r w:rsidR="00791DEF">
        <w:t>—</w:t>
      </w:r>
      <w:r>
        <w:t>Energy Projections and Financial Information</w:t>
      </w:r>
    </w:p>
    <w:p w14:paraId="63A916FB" w14:textId="77777777" w:rsidR="00B87C0D" w:rsidRDefault="00B87C0D" w:rsidP="00471088">
      <w:pPr>
        <w:pStyle w:val="StyleCopyrightStatementAfter0ptBottomSinglesolidline1"/>
        <w:pBdr>
          <w:top w:val="none" w:sz="0" w:space="0" w:color="auto"/>
        </w:pBdr>
        <w:rPr>
          <w:rFonts w:ascii="Times New Roman" w:hAnsi="Times New Roman"/>
          <w:i w:val="0"/>
          <w:sz w:val="22"/>
          <w:szCs w:val="22"/>
        </w:rPr>
      </w:pPr>
    </w:p>
    <w:tbl>
      <w:tblPr>
        <w:tblStyle w:val="TableGrid"/>
        <w:tblW w:w="0" w:type="auto"/>
        <w:jc w:val="center"/>
        <w:tblLook w:val="04A0" w:firstRow="1" w:lastRow="0" w:firstColumn="1" w:lastColumn="0" w:noHBand="0" w:noVBand="1"/>
      </w:tblPr>
      <w:tblGrid>
        <w:gridCol w:w="5353"/>
        <w:gridCol w:w="3506"/>
      </w:tblGrid>
      <w:tr w:rsidR="00B87C0D" w14:paraId="69422000" w14:textId="77777777" w:rsidTr="00B87C0D">
        <w:trPr>
          <w:jc w:val="center"/>
        </w:trPr>
        <w:tc>
          <w:tcPr>
            <w:tcW w:w="5353" w:type="dxa"/>
          </w:tcPr>
          <w:p w14:paraId="68E38B59" w14:textId="77777777" w:rsidR="00B87C0D" w:rsidRPr="00B87C0D" w:rsidRDefault="00B87C0D" w:rsidP="00B87C0D">
            <w:pPr>
              <w:pStyle w:val="ExhibitText"/>
              <w:rPr>
                <w:rFonts w:eastAsia="Arial Unicode MS"/>
                <w:b/>
              </w:rPr>
            </w:pPr>
            <w:r w:rsidRPr="00B87C0D">
              <w:rPr>
                <w:rFonts w:eastAsia="Arial Unicode MS"/>
                <w:b/>
              </w:rPr>
              <w:t>Heat Production (GJ/year)</w:t>
            </w:r>
          </w:p>
        </w:tc>
        <w:tc>
          <w:tcPr>
            <w:tcW w:w="3506" w:type="dxa"/>
          </w:tcPr>
          <w:p w14:paraId="7C65D24F" w14:textId="77777777" w:rsidR="00B87C0D" w:rsidRPr="0011297E" w:rsidRDefault="00B87C0D" w:rsidP="00A33187">
            <w:pPr>
              <w:pStyle w:val="ExhibitText"/>
              <w:jc w:val="right"/>
              <w:rPr>
                <w:rFonts w:eastAsia="Arial Unicode MS"/>
              </w:rPr>
            </w:pPr>
            <w:r w:rsidRPr="0011297E">
              <w:rPr>
                <w:rFonts w:eastAsia="Arial Unicode MS"/>
              </w:rPr>
              <w:t xml:space="preserve">6,133.33 </w:t>
            </w:r>
          </w:p>
        </w:tc>
      </w:tr>
      <w:tr w:rsidR="00B87C0D" w14:paraId="4743FF92" w14:textId="77777777" w:rsidTr="00B87C0D">
        <w:trPr>
          <w:jc w:val="center"/>
        </w:trPr>
        <w:tc>
          <w:tcPr>
            <w:tcW w:w="5353" w:type="dxa"/>
          </w:tcPr>
          <w:p w14:paraId="28D29138" w14:textId="77777777" w:rsidR="00B87C0D" w:rsidRPr="00B87C0D" w:rsidRDefault="00B87C0D" w:rsidP="00B87C0D">
            <w:pPr>
              <w:pStyle w:val="ExhibitText"/>
              <w:rPr>
                <w:rFonts w:eastAsia="Arial Unicode MS"/>
                <w:b/>
              </w:rPr>
            </w:pPr>
            <w:r w:rsidRPr="00B87C0D">
              <w:rPr>
                <w:rFonts w:eastAsia="Arial Unicode MS"/>
                <w:b/>
              </w:rPr>
              <w:t>Cooling Production (kWh/year)</w:t>
            </w:r>
          </w:p>
        </w:tc>
        <w:tc>
          <w:tcPr>
            <w:tcW w:w="3506" w:type="dxa"/>
          </w:tcPr>
          <w:p w14:paraId="3119D66E" w14:textId="77777777" w:rsidR="00B87C0D" w:rsidRPr="002C7A16" w:rsidRDefault="00B87C0D" w:rsidP="00B87C0D">
            <w:pPr>
              <w:pStyle w:val="ExhibitText"/>
              <w:jc w:val="right"/>
              <w:rPr>
                <w:rFonts w:eastAsia="Arial Unicode MS"/>
              </w:rPr>
            </w:pPr>
            <w:r>
              <w:rPr>
                <w:rFonts w:eastAsia="Arial Unicode MS"/>
              </w:rPr>
              <w:t>1,703,702.78 (6,133.</w:t>
            </w:r>
            <w:r w:rsidR="00A33187">
              <w:rPr>
                <w:rFonts w:eastAsia="Arial Unicode MS"/>
              </w:rPr>
              <w:t>33 GJ/year)</w:t>
            </w:r>
          </w:p>
        </w:tc>
      </w:tr>
      <w:tr w:rsidR="00B87C0D" w14:paraId="5D742FDB" w14:textId="77777777" w:rsidTr="00B87C0D">
        <w:trPr>
          <w:jc w:val="center"/>
        </w:trPr>
        <w:tc>
          <w:tcPr>
            <w:tcW w:w="5353" w:type="dxa"/>
          </w:tcPr>
          <w:p w14:paraId="16B05411" w14:textId="77777777" w:rsidR="00B87C0D" w:rsidRPr="00B87C0D" w:rsidRDefault="00B87C0D" w:rsidP="00B87C0D">
            <w:pPr>
              <w:pStyle w:val="ExhibitText"/>
              <w:rPr>
                <w:rFonts w:eastAsia="Arial Unicode MS"/>
                <w:b/>
              </w:rPr>
            </w:pPr>
            <w:r w:rsidRPr="00B87C0D">
              <w:rPr>
                <w:rFonts w:eastAsia="Arial Unicode MS"/>
                <w:b/>
              </w:rPr>
              <w:t>Thermal Solar Panel Area (m</w:t>
            </w:r>
            <w:r w:rsidRPr="00B87C0D">
              <w:rPr>
                <w:rFonts w:eastAsia="Arial Unicode MS"/>
                <w:b/>
                <w:vertAlign w:val="superscript"/>
              </w:rPr>
              <w:t>2</w:t>
            </w:r>
            <w:r w:rsidRPr="00B87C0D">
              <w:rPr>
                <w:rFonts w:eastAsia="Arial Unicode MS"/>
                <w:b/>
              </w:rPr>
              <w:t>)</w:t>
            </w:r>
          </w:p>
        </w:tc>
        <w:tc>
          <w:tcPr>
            <w:tcW w:w="3506" w:type="dxa"/>
          </w:tcPr>
          <w:p w14:paraId="0595C35B" w14:textId="77777777" w:rsidR="00B87C0D" w:rsidRPr="0011297E" w:rsidRDefault="00B87C0D" w:rsidP="00B87C0D">
            <w:pPr>
              <w:pStyle w:val="ExhibitText"/>
              <w:jc w:val="right"/>
              <w:rPr>
                <w:rFonts w:eastAsia="Arial Unicode MS"/>
              </w:rPr>
            </w:pPr>
            <w:r w:rsidRPr="0011297E">
              <w:rPr>
                <w:rFonts w:eastAsia="Arial Unicode MS"/>
              </w:rPr>
              <w:t xml:space="preserve">2,000 </w:t>
            </w:r>
          </w:p>
        </w:tc>
      </w:tr>
      <w:tr w:rsidR="00B87C0D" w14:paraId="472DDD90" w14:textId="77777777" w:rsidTr="00B87C0D">
        <w:trPr>
          <w:jc w:val="center"/>
        </w:trPr>
        <w:tc>
          <w:tcPr>
            <w:tcW w:w="5353" w:type="dxa"/>
          </w:tcPr>
          <w:p w14:paraId="4D5CCE6F" w14:textId="77777777" w:rsidR="00B87C0D" w:rsidRPr="00B87C0D" w:rsidRDefault="00B87C0D" w:rsidP="00B87C0D">
            <w:pPr>
              <w:pStyle w:val="ExhibitText"/>
              <w:rPr>
                <w:rFonts w:eastAsia="Arial Unicode MS"/>
                <w:b/>
              </w:rPr>
            </w:pPr>
            <w:r w:rsidRPr="00B87C0D">
              <w:rPr>
                <w:rFonts w:eastAsia="Arial Unicode MS"/>
                <w:b/>
              </w:rPr>
              <w:t>Cost of 7.32 m</w:t>
            </w:r>
            <w:r w:rsidRPr="00B87C0D">
              <w:rPr>
                <w:rFonts w:eastAsia="Arial Unicode MS"/>
                <w:b/>
                <w:vertAlign w:val="superscript"/>
              </w:rPr>
              <w:t>2</w:t>
            </w:r>
            <w:r w:rsidRPr="00B87C0D">
              <w:rPr>
                <w:rFonts w:eastAsia="Arial Unicode MS"/>
                <w:b/>
              </w:rPr>
              <w:t xml:space="preserve"> Thermal Solar Panel ($)</w:t>
            </w:r>
          </w:p>
        </w:tc>
        <w:tc>
          <w:tcPr>
            <w:tcW w:w="3506" w:type="dxa"/>
          </w:tcPr>
          <w:p w14:paraId="7C68450C" w14:textId="77777777" w:rsidR="00B87C0D" w:rsidRPr="0011297E" w:rsidRDefault="00B87C0D" w:rsidP="00B87C0D">
            <w:pPr>
              <w:pStyle w:val="ExhibitText"/>
              <w:jc w:val="right"/>
              <w:rPr>
                <w:rFonts w:eastAsia="Arial Unicode MS"/>
              </w:rPr>
            </w:pPr>
            <w:r w:rsidRPr="0011297E">
              <w:rPr>
                <w:rFonts w:eastAsia="Arial Unicode MS"/>
              </w:rPr>
              <w:t>300</w:t>
            </w:r>
          </w:p>
        </w:tc>
      </w:tr>
      <w:tr w:rsidR="00B87C0D" w14:paraId="5B21794D" w14:textId="77777777" w:rsidTr="00B87C0D">
        <w:trPr>
          <w:jc w:val="center"/>
        </w:trPr>
        <w:tc>
          <w:tcPr>
            <w:tcW w:w="5353" w:type="dxa"/>
          </w:tcPr>
          <w:p w14:paraId="4599AF0F" w14:textId="77777777" w:rsidR="00B87C0D" w:rsidRPr="00B87C0D" w:rsidRDefault="00B87C0D" w:rsidP="00B87C0D">
            <w:pPr>
              <w:pStyle w:val="ExhibitText"/>
              <w:rPr>
                <w:rFonts w:eastAsia="Arial Unicode MS"/>
                <w:b/>
              </w:rPr>
            </w:pPr>
            <w:r w:rsidRPr="00B87C0D">
              <w:rPr>
                <w:rFonts w:eastAsia="Arial Unicode MS"/>
                <w:b/>
              </w:rPr>
              <w:t>System Installation Cost ($)</w:t>
            </w:r>
          </w:p>
        </w:tc>
        <w:tc>
          <w:tcPr>
            <w:tcW w:w="3506" w:type="dxa"/>
          </w:tcPr>
          <w:p w14:paraId="33DDB2CF" w14:textId="77777777" w:rsidR="00B87C0D" w:rsidRPr="0011297E" w:rsidRDefault="00B87C0D" w:rsidP="00A33187">
            <w:pPr>
              <w:pStyle w:val="ExhibitText"/>
              <w:jc w:val="right"/>
              <w:rPr>
                <w:rFonts w:eastAsia="Arial Unicode MS"/>
              </w:rPr>
            </w:pPr>
            <w:r w:rsidRPr="0011297E">
              <w:rPr>
                <w:rFonts w:eastAsia="Arial Unicode MS"/>
              </w:rPr>
              <w:t>1,368,620</w:t>
            </w:r>
          </w:p>
        </w:tc>
      </w:tr>
      <w:tr w:rsidR="00B87C0D" w14:paraId="0788EE38" w14:textId="77777777" w:rsidTr="00B87C0D">
        <w:trPr>
          <w:jc w:val="center"/>
        </w:trPr>
        <w:tc>
          <w:tcPr>
            <w:tcW w:w="5353" w:type="dxa"/>
          </w:tcPr>
          <w:p w14:paraId="2E377177" w14:textId="77777777" w:rsidR="00B87C0D" w:rsidRPr="00B87C0D" w:rsidRDefault="00B87C0D" w:rsidP="00B87C0D">
            <w:pPr>
              <w:pStyle w:val="ExhibitText"/>
              <w:rPr>
                <w:rFonts w:eastAsia="Arial Unicode MS"/>
                <w:b/>
              </w:rPr>
            </w:pPr>
            <w:r w:rsidRPr="00B87C0D">
              <w:rPr>
                <w:rFonts w:eastAsia="Arial Unicode MS"/>
                <w:b/>
              </w:rPr>
              <w:t xml:space="preserve">Estimated Air Conditioning Load per Unit in </w:t>
            </w:r>
            <w:proofErr w:type="spellStart"/>
            <w:r w:rsidRPr="00B87C0D">
              <w:rPr>
                <w:rFonts w:eastAsia="Arial Unicode MS"/>
                <w:b/>
              </w:rPr>
              <w:t>RiverBend</w:t>
            </w:r>
            <w:proofErr w:type="spellEnd"/>
            <w:r w:rsidRPr="00B87C0D">
              <w:rPr>
                <w:rFonts w:eastAsia="Arial Unicode MS"/>
                <w:b/>
              </w:rPr>
              <w:t xml:space="preserve"> Heights (kWh/month)</w:t>
            </w:r>
          </w:p>
        </w:tc>
        <w:tc>
          <w:tcPr>
            <w:tcW w:w="3506" w:type="dxa"/>
          </w:tcPr>
          <w:p w14:paraId="2008AAB0" w14:textId="77777777" w:rsidR="00B87C0D" w:rsidRPr="0011297E" w:rsidRDefault="00B87C0D" w:rsidP="00B87C0D">
            <w:pPr>
              <w:pStyle w:val="ExhibitText"/>
              <w:jc w:val="right"/>
              <w:rPr>
                <w:rFonts w:eastAsia="Arial Unicode MS"/>
              </w:rPr>
            </w:pPr>
            <w:r w:rsidRPr="0011297E">
              <w:rPr>
                <w:rFonts w:eastAsia="Arial Unicode MS"/>
              </w:rPr>
              <w:t xml:space="preserve">518 </w:t>
            </w:r>
          </w:p>
        </w:tc>
      </w:tr>
      <w:tr w:rsidR="00B87C0D" w14:paraId="049DE9CA" w14:textId="77777777" w:rsidTr="00B87C0D">
        <w:trPr>
          <w:jc w:val="center"/>
        </w:trPr>
        <w:tc>
          <w:tcPr>
            <w:tcW w:w="5353" w:type="dxa"/>
          </w:tcPr>
          <w:p w14:paraId="2B278A60" w14:textId="77777777" w:rsidR="00B87C0D" w:rsidRPr="00B87C0D" w:rsidRDefault="00B87C0D" w:rsidP="00B87C0D">
            <w:pPr>
              <w:pStyle w:val="ExhibitText"/>
              <w:rPr>
                <w:rFonts w:eastAsia="Arial Unicode MS"/>
                <w:b/>
              </w:rPr>
            </w:pPr>
            <w:r w:rsidRPr="00B87C0D">
              <w:rPr>
                <w:rFonts w:eastAsia="Arial Unicode MS"/>
                <w:b/>
              </w:rPr>
              <w:t>Average Cost of Electricity in London ($/kWh)</w:t>
            </w:r>
          </w:p>
        </w:tc>
        <w:tc>
          <w:tcPr>
            <w:tcW w:w="3506" w:type="dxa"/>
          </w:tcPr>
          <w:p w14:paraId="26F448E9" w14:textId="77777777" w:rsidR="00B87C0D" w:rsidRPr="0011297E" w:rsidRDefault="00B87C0D" w:rsidP="00A33187">
            <w:pPr>
              <w:pStyle w:val="ExhibitText"/>
              <w:jc w:val="right"/>
              <w:rPr>
                <w:rFonts w:eastAsia="Arial Unicode MS"/>
              </w:rPr>
            </w:pPr>
            <w:r w:rsidRPr="0011297E">
              <w:rPr>
                <w:rFonts w:eastAsia="Arial Unicode MS"/>
              </w:rPr>
              <w:t>0.0993</w:t>
            </w:r>
          </w:p>
        </w:tc>
      </w:tr>
      <w:tr w:rsidR="00B87C0D" w14:paraId="117C72BA" w14:textId="77777777" w:rsidTr="00B87C0D">
        <w:trPr>
          <w:jc w:val="center"/>
        </w:trPr>
        <w:tc>
          <w:tcPr>
            <w:tcW w:w="5353" w:type="dxa"/>
          </w:tcPr>
          <w:p w14:paraId="391EA760" w14:textId="77777777" w:rsidR="00B87C0D" w:rsidRPr="00B87C0D" w:rsidRDefault="00B87C0D" w:rsidP="00B87C0D">
            <w:pPr>
              <w:pStyle w:val="ExhibitText"/>
              <w:rPr>
                <w:rFonts w:eastAsia="Arial Unicode MS"/>
                <w:b/>
              </w:rPr>
            </w:pPr>
            <w:r w:rsidRPr="00B87C0D">
              <w:rPr>
                <w:rFonts w:eastAsia="Arial Unicode MS"/>
                <w:b/>
              </w:rPr>
              <w:t>Natural Gas Heating Equivalent (m</w:t>
            </w:r>
            <w:r w:rsidRPr="00B87C0D">
              <w:rPr>
                <w:rFonts w:eastAsia="Arial Unicode MS"/>
                <w:b/>
                <w:vertAlign w:val="superscript"/>
              </w:rPr>
              <w:t>3</w:t>
            </w:r>
            <w:r w:rsidRPr="00B87C0D">
              <w:rPr>
                <w:rFonts w:eastAsia="Arial Unicode MS"/>
                <w:b/>
              </w:rPr>
              <w:t>/GJ)</w:t>
            </w:r>
          </w:p>
        </w:tc>
        <w:tc>
          <w:tcPr>
            <w:tcW w:w="3506" w:type="dxa"/>
          </w:tcPr>
          <w:p w14:paraId="6807E22B" w14:textId="77777777" w:rsidR="00B87C0D" w:rsidRPr="0011297E" w:rsidRDefault="00B87C0D" w:rsidP="00B87C0D">
            <w:pPr>
              <w:pStyle w:val="ExhibitText"/>
              <w:jc w:val="right"/>
              <w:rPr>
                <w:rFonts w:eastAsia="Arial Unicode MS"/>
              </w:rPr>
            </w:pPr>
            <w:r w:rsidRPr="0011297E">
              <w:rPr>
                <w:rFonts w:eastAsia="Arial Unicode MS"/>
              </w:rPr>
              <w:t>26.137</w:t>
            </w:r>
          </w:p>
        </w:tc>
      </w:tr>
      <w:tr w:rsidR="00B87C0D" w14:paraId="4CE4DAF2" w14:textId="77777777" w:rsidTr="00B87C0D">
        <w:trPr>
          <w:jc w:val="center"/>
        </w:trPr>
        <w:tc>
          <w:tcPr>
            <w:tcW w:w="5353" w:type="dxa"/>
          </w:tcPr>
          <w:p w14:paraId="6E49FAA5" w14:textId="77777777" w:rsidR="00B87C0D" w:rsidRPr="00B87C0D" w:rsidRDefault="00B87C0D" w:rsidP="00B87C0D">
            <w:pPr>
              <w:pStyle w:val="ExhibitText"/>
              <w:rPr>
                <w:rFonts w:eastAsia="Arial Unicode MS"/>
                <w:b/>
              </w:rPr>
            </w:pPr>
            <w:r w:rsidRPr="00B87C0D">
              <w:rPr>
                <w:rFonts w:eastAsia="Arial Unicode MS"/>
                <w:b/>
              </w:rPr>
              <w:t>Cost of Natural Gas ($/m</w:t>
            </w:r>
            <w:r w:rsidRPr="00B87C0D">
              <w:rPr>
                <w:rFonts w:eastAsia="Arial Unicode MS"/>
                <w:b/>
                <w:vertAlign w:val="superscript"/>
              </w:rPr>
              <w:t>3</w:t>
            </w:r>
            <w:r w:rsidRPr="00B87C0D">
              <w:rPr>
                <w:rFonts w:eastAsia="Arial Unicode MS"/>
                <w:b/>
              </w:rPr>
              <w:t>)</w:t>
            </w:r>
          </w:p>
        </w:tc>
        <w:tc>
          <w:tcPr>
            <w:tcW w:w="3506" w:type="dxa"/>
          </w:tcPr>
          <w:p w14:paraId="27218B2C" w14:textId="77777777" w:rsidR="00B87C0D" w:rsidRPr="0011297E" w:rsidRDefault="00B87C0D" w:rsidP="00A33187">
            <w:pPr>
              <w:pStyle w:val="ExhibitText"/>
              <w:jc w:val="right"/>
              <w:rPr>
                <w:rFonts w:eastAsia="Arial Unicode MS"/>
              </w:rPr>
            </w:pPr>
            <w:r w:rsidRPr="0011297E">
              <w:rPr>
                <w:rFonts w:eastAsia="Arial Unicode MS"/>
              </w:rPr>
              <w:t>0.1878675</w:t>
            </w:r>
          </w:p>
        </w:tc>
      </w:tr>
    </w:tbl>
    <w:p w14:paraId="02B04617" w14:textId="77777777" w:rsidR="00424672" w:rsidRPr="00D650C7" w:rsidRDefault="00424672" w:rsidP="00471088">
      <w:pPr>
        <w:pStyle w:val="StyleCopyrightStatementAfter0ptBottomSinglesolidline1"/>
        <w:pBdr>
          <w:top w:val="none" w:sz="0" w:space="0" w:color="auto"/>
        </w:pBdr>
        <w:rPr>
          <w:rFonts w:ascii="Times New Roman" w:hAnsi="Times New Roman"/>
          <w:i w:val="0"/>
          <w:sz w:val="22"/>
          <w:szCs w:val="22"/>
        </w:rPr>
      </w:pPr>
    </w:p>
    <w:p w14:paraId="3F7DA178" w14:textId="77777777" w:rsidR="00A33187" w:rsidRPr="007C2A20" w:rsidRDefault="003E7695" w:rsidP="00A33187">
      <w:pPr>
        <w:pStyle w:val="Footnote"/>
        <w:rPr>
          <w:i w:val="0"/>
        </w:rPr>
      </w:pPr>
      <w:r w:rsidRPr="007C2A20">
        <w:rPr>
          <w:i w:val="0"/>
        </w:rPr>
        <w:t xml:space="preserve">Notes: </w:t>
      </w:r>
      <w:r w:rsidR="00A33187" w:rsidRPr="007C2A20">
        <w:rPr>
          <w:i w:val="0"/>
        </w:rPr>
        <w:t xml:space="preserve">Cost estimates were developed by Derek Butcher during his time at </w:t>
      </w:r>
      <w:proofErr w:type="spellStart"/>
      <w:r w:rsidR="00A33187" w:rsidRPr="007C2A20">
        <w:rPr>
          <w:i w:val="0"/>
        </w:rPr>
        <w:t>Sifton</w:t>
      </w:r>
      <w:proofErr w:type="spellEnd"/>
      <w:r w:rsidR="00A33187" w:rsidRPr="007C2A20">
        <w:rPr>
          <w:i w:val="0"/>
        </w:rPr>
        <w:t xml:space="preserve"> Properties Ltd.</w:t>
      </w:r>
    </w:p>
    <w:p w14:paraId="51A84C84" w14:textId="77777777" w:rsidR="00B87C0D" w:rsidRPr="007C2A20" w:rsidRDefault="003E7695" w:rsidP="00A33187">
      <w:pPr>
        <w:pStyle w:val="Footnote"/>
        <w:rPr>
          <w:i w:val="0"/>
        </w:rPr>
      </w:pPr>
      <w:r w:rsidRPr="007C2A20">
        <w:rPr>
          <w:i w:val="0"/>
          <w:color w:val="000000"/>
        </w:rPr>
        <w:t xml:space="preserve">Sources: </w:t>
      </w:r>
      <w:r w:rsidR="00A25968">
        <w:rPr>
          <w:i w:val="0"/>
          <w:color w:val="000000"/>
        </w:rPr>
        <w:t>“</w:t>
      </w:r>
      <w:r w:rsidR="00A33187" w:rsidRPr="007C2A20">
        <w:rPr>
          <w:i w:val="0"/>
          <w:color w:val="000000"/>
        </w:rPr>
        <w:t>Delivered Electricity Price Comparison,</w:t>
      </w:r>
      <w:r w:rsidR="00A25968">
        <w:rPr>
          <w:i w:val="0"/>
          <w:color w:val="000000"/>
        </w:rPr>
        <w:t>”</w:t>
      </w:r>
      <w:r w:rsidR="00A33187" w:rsidRPr="007C2A20">
        <w:rPr>
          <w:i w:val="0"/>
          <w:color w:val="000000"/>
        </w:rPr>
        <w:t xml:space="preserve"> </w:t>
      </w:r>
      <w:r w:rsidR="00B15924" w:rsidRPr="007C2A20">
        <w:rPr>
          <w:i w:val="0"/>
          <w:color w:val="000000"/>
        </w:rPr>
        <w:t>Ontario Power Authority</w:t>
      </w:r>
      <w:r w:rsidR="00B15924">
        <w:rPr>
          <w:i w:val="0"/>
          <w:color w:val="000000"/>
        </w:rPr>
        <w:t>,</w:t>
      </w:r>
      <w:r w:rsidR="00B15924" w:rsidRPr="007C2A20">
        <w:rPr>
          <w:i w:val="0"/>
          <w:color w:val="000000"/>
        </w:rPr>
        <w:t xml:space="preserve"> </w:t>
      </w:r>
      <w:r w:rsidR="00B15924">
        <w:rPr>
          <w:i w:val="0"/>
          <w:color w:val="000000"/>
        </w:rPr>
        <w:t>2008,</w:t>
      </w:r>
      <w:r w:rsidR="00B15924" w:rsidRPr="00B15924">
        <w:rPr>
          <w:i w:val="0"/>
        </w:rPr>
        <w:t xml:space="preserve"> </w:t>
      </w:r>
      <w:r w:rsidR="00B15924" w:rsidRPr="007C2A20">
        <w:rPr>
          <w:i w:val="0"/>
        </w:rPr>
        <w:t>accessed July 23, 2012</w:t>
      </w:r>
      <w:r w:rsidR="00B15924">
        <w:rPr>
          <w:i w:val="0"/>
        </w:rPr>
        <w:t>,</w:t>
      </w:r>
      <w:r w:rsidR="00B15924">
        <w:rPr>
          <w:i w:val="0"/>
          <w:color w:val="000000"/>
        </w:rPr>
        <w:t xml:space="preserve"> </w:t>
      </w:r>
      <w:r w:rsidR="00A33187" w:rsidRPr="007C2A20">
        <w:rPr>
          <w:i w:val="0"/>
        </w:rPr>
        <w:t>www.powerauthority.on.ca/sites/default/files/page /7555_Delivered_Electricity_Price_Comparison3.pdf</w:t>
      </w:r>
      <w:r w:rsidR="00B15924">
        <w:rPr>
          <w:i w:val="0"/>
        </w:rPr>
        <w:t>;</w:t>
      </w:r>
    </w:p>
    <w:p w14:paraId="408C3F37" w14:textId="77777777" w:rsidR="008D1FAC" w:rsidRPr="007C2A20" w:rsidRDefault="00A25968" w:rsidP="008D1FAC">
      <w:pPr>
        <w:pStyle w:val="Footnote"/>
        <w:rPr>
          <w:i w:val="0"/>
        </w:rPr>
      </w:pPr>
      <w:r>
        <w:rPr>
          <w:i w:val="0"/>
        </w:rPr>
        <w:t>“</w:t>
      </w:r>
      <w:r w:rsidR="008D1FAC" w:rsidRPr="007C2A20">
        <w:rPr>
          <w:i w:val="0"/>
        </w:rPr>
        <w:t>Feasibility Study Report: Community Energy System, London, Ontario</w:t>
      </w:r>
      <w:r w:rsidR="00B15924">
        <w:rPr>
          <w:i w:val="0"/>
        </w:rPr>
        <w:t>,</w:t>
      </w:r>
      <w:r>
        <w:rPr>
          <w:i w:val="0"/>
        </w:rPr>
        <w:t>”</w:t>
      </w:r>
      <w:r w:rsidR="008D1FAC" w:rsidRPr="007C2A20">
        <w:rPr>
          <w:i w:val="0"/>
        </w:rPr>
        <w:t xml:space="preserve"> </w:t>
      </w:r>
      <w:r w:rsidR="00B15924" w:rsidRPr="007C2A20">
        <w:rPr>
          <w:i w:val="0"/>
        </w:rPr>
        <w:t>Science Applications International Corporation</w:t>
      </w:r>
      <w:r w:rsidR="00B15924">
        <w:rPr>
          <w:i w:val="0"/>
        </w:rPr>
        <w:t>,</w:t>
      </w:r>
      <w:r w:rsidR="00B15924" w:rsidRPr="007C2A20">
        <w:rPr>
          <w:i w:val="0"/>
        </w:rPr>
        <w:t xml:space="preserve"> 2007</w:t>
      </w:r>
      <w:r w:rsidR="00B15924">
        <w:rPr>
          <w:i w:val="0"/>
        </w:rPr>
        <w:t>;</w:t>
      </w:r>
    </w:p>
    <w:p w14:paraId="5F6203F6" w14:textId="77777777" w:rsidR="00B15924" w:rsidRPr="00A0015D" w:rsidRDefault="00A25968" w:rsidP="008D1FAC">
      <w:pPr>
        <w:pStyle w:val="Footnote"/>
        <w:rPr>
          <w:i w:val="0"/>
        </w:rPr>
      </w:pPr>
      <w:r>
        <w:rPr>
          <w:i w:val="0"/>
        </w:rPr>
        <w:t>“</w:t>
      </w:r>
      <w:r w:rsidR="00C67074" w:rsidRPr="00A0015D">
        <w:rPr>
          <w:i w:val="0"/>
        </w:rPr>
        <w:t>Natural Gas Rates</w:t>
      </w:r>
      <w:r w:rsidR="00A0015D">
        <w:rPr>
          <w:i w:val="0"/>
        </w:rPr>
        <w:t>—</w:t>
      </w:r>
      <w:r w:rsidR="00C67074" w:rsidRPr="00A0015D">
        <w:rPr>
          <w:i w:val="0"/>
        </w:rPr>
        <w:t>Historical,</w:t>
      </w:r>
      <w:r>
        <w:rPr>
          <w:i w:val="0"/>
        </w:rPr>
        <w:t>”</w:t>
      </w:r>
      <w:r w:rsidR="00C67074" w:rsidRPr="00A0015D">
        <w:rPr>
          <w:i w:val="0"/>
        </w:rPr>
        <w:t xml:space="preserve"> Ontario Energy Board, January 2017, accessed April 11, 2017, </w:t>
      </w:r>
      <w:r w:rsidR="00B15924" w:rsidRPr="00A0015D">
        <w:rPr>
          <w:i w:val="0"/>
        </w:rPr>
        <w:t>www.ontarioenergyboard.ca/oeb/Consumers/Natural+Gas/Natural+Gas+Rates/Natural+Gas+Rates+-+Historical</w:t>
      </w:r>
      <w:r w:rsidR="00C67074" w:rsidRPr="00A0015D">
        <w:rPr>
          <w:i w:val="0"/>
        </w:rPr>
        <w:t>.</w:t>
      </w:r>
    </w:p>
    <w:p w14:paraId="4E3ECC2F" w14:textId="77777777" w:rsidR="00B87C0D" w:rsidRDefault="00B87C0D" w:rsidP="00471088">
      <w:pPr>
        <w:pStyle w:val="StyleCopyrightStatementAfter0ptBottomSinglesolidline1"/>
        <w:pBdr>
          <w:top w:val="none" w:sz="0" w:space="0" w:color="auto"/>
        </w:pBdr>
        <w:rPr>
          <w:rFonts w:ascii="Times New Roman" w:hAnsi="Times New Roman"/>
          <w:i w:val="0"/>
          <w:sz w:val="22"/>
          <w:szCs w:val="22"/>
        </w:rPr>
      </w:pPr>
    </w:p>
    <w:p w14:paraId="5A2BFC6B" w14:textId="77777777" w:rsidR="00B87C0D" w:rsidRDefault="00B87C0D" w:rsidP="00471088">
      <w:pPr>
        <w:pStyle w:val="StyleCopyrightStatementAfter0ptBottomSinglesolidline1"/>
        <w:pBdr>
          <w:top w:val="none" w:sz="0" w:space="0" w:color="auto"/>
        </w:pBdr>
        <w:rPr>
          <w:rFonts w:ascii="Times New Roman" w:hAnsi="Times New Roman"/>
          <w:i w:val="0"/>
          <w:sz w:val="22"/>
          <w:szCs w:val="22"/>
        </w:rPr>
      </w:pPr>
    </w:p>
    <w:p w14:paraId="647F6A70" w14:textId="77777777" w:rsidR="00B87C0D" w:rsidRDefault="00B87C0D" w:rsidP="00B87C0D">
      <w:pPr>
        <w:pStyle w:val="ExhibitHeading"/>
      </w:pPr>
      <w:r>
        <w:t>Exhibit 3: Sewer Heat Recovery</w:t>
      </w:r>
      <w:r w:rsidR="00A504E7">
        <w:t>—</w:t>
      </w:r>
      <w:r>
        <w:t>Energy Projections and Financial Information</w:t>
      </w:r>
    </w:p>
    <w:p w14:paraId="0723352A" w14:textId="77777777" w:rsidR="00B87C0D" w:rsidRDefault="00B87C0D" w:rsidP="00471088">
      <w:pPr>
        <w:pStyle w:val="StyleCopyrightStatementAfter0ptBottomSinglesolidline1"/>
        <w:pBdr>
          <w:top w:val="none" w:sz="0" w:space="0" w:color="auto"/>
        </w:pBdr>
        <w:rPr>
          <w:rFonts w:ascii="Times New Roman" w:hAnsi="Times New Roman"/>
          <w:i w:val="0"/>
          <w:sz w:val="22"/>
          <w:szCs w:val="22"/>
        </w:rPr>
      </w:pPr>
    </w:p>
    <w:tbl>
      <w:tblPr>
        <w:tblStyle w:val="TableGrid"/>
        <w:tblW w:w="0" w:type="auto"/>
        <w:jc w:val="center"/>
        <w:tblLook w:val="04A0" w:firstRow="1" w:lastRow="0" w:firstColumn="1" w:lastColumn="0" w:noHBand="0" w:noVBand="1"/>
      </w:tblPr>
      <w:tblGrid>
        <w:gridCol w:w="3956"/>
        <w:gridCol w:w="1162"/>
      </w:tblGrid>
      <w:tr w:rsidR="00B87C0D" w14:paraId="39D8F754" w14:textId="77777777" w:rsidTr="00B87C0D">
        <w:trPr>
          <w:jc w:val="center"/>
        </w:trPr>
        <w:tc>
          <w:tcPr>
            <w:tcW w:w="0" w:type="auto"/>
          </w:tcPr>
          <w:p w14:paraId="6CBB4401" w14:textId="77777777" w:rsidR="00B87C0D" w:rsidRPr="00B87C0D" w:rsidRDefault="00B87C0D" w:rsidP="00B87C0D">
            <w:pPr>
              <w:pStyle w:val="ExhibitText"/>
              <w:rPr>
                <w:rFonts w:eastAsia="Arial Unicode MS"/>
                <w:b/>
              </w:rPr>
            </w:pPr>
            <w:r w:rsidRPr="00B87C0D">
              <w:rPr>
                <w:rFonts w:eastAsia="Arial Unicode MS"/>
                <w:b/>
              </w:rPr>
              <w:t>Available Funding ($)</w:t>
            </w:r>
          </w:p>
        </w:tc>
        <w:tc>
          <w:tcPr>
            <w:tcW w:w="0" w:type="auto"/>
          </w:tcPr>
          <w:p w14:paraId="672CB998" w14:textId="77777777" w:rsidR="00B87C0D" w:rsidRPr="0011297E" w:rsidRDefault="00B87C0D" w:rsidP="00B87C0D">
            <w:pPr>
              <w:pStyle w:val="ExhibitText"/>
              <w:jc w:val="right"/>
              <w:rPr>
                <w:rFonts w:eastAsia="Arial Unicode MS"/>
              </w:rPr>
            </w:pPr>
            <w:r w:rsidRPr="0011297E">
              <w:rPr>
                <w:rFonts w:eastAsia="Arial Unicode MS"/>
              </w:rPr>
              <w:t xml:space="preserve">3,000,000 </w:t>
            </w:r>
          </w:p>
        </w:tc>
      </w:tr>
      <w:tr w:rsidR="00B87C0D" w14:paraId="395D3BEC" w14:textId="77777777" w:rsidTr="00B87C0D">
        <w:trPr>
          <w:jc w:val="center"/>
        </w:trPr>
        <w:tc>
          <w:tcPr>
            <w:tcW w:w="0" w:type="auto"/>
          </w:tcPr>
          <w:p w14:paraId="539515B3" w14:textId="77777777" w:rsidR="00B87C0D" w:rsidRPr="00B87C0D" w:rsidRDefault="00B87C0D" w:rsidP="00B87C0D">
            <w:pPr>
              <w:pStyle w:val="ExhibitText"/>
              <w:rPr>
                <w:rFonts w:eastAsia="Arial Unicode MS"/>
                <w:b/>
              </w:rPr>
            </w:pPr>
            <w:r w:rsidRPr="00B87C0D">
              <w:rPr>
                <w:rFonts w:eastAsia="Arial Unicode MS"/>
                <w:b/>
              </w:rPr>
              <w:t>Estimated Installation Cost ($/GJ)</w:t>
            </w:r>
          </w:p>
        </w:tc>
        <w:tc>
          <w:tcPr>
            <w:tcW w:w="0" w:type="auto"/>
          </w:tcPr>
          <w:p w14:paraId="196E591C" w14:textId="77777777" w:rsidR="00B87C0D" w:rsidRPr="00236045" w:rsidRDefault="00B87C0D" w:rsidP="00B87C0D">
            <w:pPr>
              <w:pStyle w:val="ExhibitText"/>
              <w:jc w:val="right"/>
              <w:rPr>
                <w:rFonts w:eastAsia="Arial Unicode MS"/>
              </w:rPr>
            </w:pPr>
            <w:r w:rsidRPr="0011297E">
              <w:rPr>
                <w:rFonts w:eastAsia="Arial Unicode MS"/>
              </w:rPr>
              <w:t>206.35</w:t>
            </w:r>
          </w:p>
        </w:tc>
      </w:tr>
      <w:tr w:rsidR="00B87C0D" w14:paraId="21B4644B" w14:textId="77777777" w:rsidTr="00B87C0D">
        <w:trPr>
          <w:jc w:val="center"/>
        </w:trPr>
        <w:tc>
          <w:tcPr>
            <w:tcW w:w="0" w:type="auto"/>
          </w:tcPr>
          <w:p w14:paraId="48D0A1C7" w14:textId="77777777" w:rsidR="00B87C0D" w:rsidRPr="00B87C0D" w:rsidRDefault="00B87C0D" w:rsidP="00B87C0D">
            <w:pPr>
              <w:pStyle w:val="ExhibitText"/>
              <w:rPr>
                <w:rFonts w:eastAsia="Arial Unicode MS"/>
                <w:b/>
              </w:rPr>
            </w:pPr>
            <w:r w:rsidRPr="00B87C0D">
              <w:rPr>
                <w:rFonts w:eastAsia="Arial Unicode MS"/>
                <w:b/>
              </w:rPr>
              <w:t>Natural Gas Heating Equivalent (m</w:t>
            </w:r>
            <w:r w:rsidRPr="00B87C0D">
              <w:rPr>
                <w:rFonts w:eastAsia="Arial Unicode MS"/>
                <w:b/>
                <w:vertAlign w:val="superscript"/>
              </w:rPr>
              <w:t>3</w:t>
            </w:r>
            <w:r w:rsidRPr="00B87C0D">
              <w:rPr>
                <w:rFonts w:eastAsia="Arial Unicode MS"/>
                <w:b/>
              </w:rPr>
              <w:t>/GJ)</w:t>
            </w:r>
          </w:p>
        </w:tc>
        <w:tc>
          <w:tcPr>
            <w:tcW w:w="0" w:type="auto"/>
          </w:tcPr>
          <w:p w14:paraId="06DB2F5B" w14:textId="77777777" w:rsidR="00B87C0D" w:rsidRPr="0011297E" w:rsidRDefault="00B87C0D" w:rsidP="00B87C0D">
            <w:pPr>
              <w:pStyle w:val="ExhibitText"/>
              <w:jc w:val="right"/>
              <w:rPr>
                <w:rFonts w:eastAsia="Arial Unicode MS"/>
              </w:rPr>
            </w:pPr>
            <w:r w:rsidRPr="0011297E">
              <w:rPr>
                <w:rFonts w:eastAsia="Arial Unicode MS"/>
              </w:rPr>
              <w:t>26.137</w:t>
            </w:r>
          </w:p>
        </w:tc>
      </w:tr>
      <w:tr w:rsidR="00B87C0D" w14:paraId="72336514" w14:textId="77777777" w:rsidTr="00B87C0D">
        <w:trPr>
          <w:jc w:val="center"/>
        </w:trPr>
        <w:tc>
          <w:tcPr>
            <w:tcW w:w="0" w:type="auto"/>
          </w:tcPr>
          <w:p w14:paraId="2078477F" w14:textId="77777777" w:rsidR="00B87C0D" w:rsidRPr="00B87C0D" w:rsidRDefault="00B87C0D" w:rsidP="00B87C0D">
            <w:pPr>
              <w:pStyle w:val="ExhibitText"/>
              <w:rPr>
                <w:rFonts w:eastAsia="Arial Unicode MS"/>
                <w:b/>
              </w:rPr>
            </w:pPr>
            <w:r w:rsidRPr="00B87C0D">
              <w:rPr>
                <w:rFonts w:eastAsia="Arial Unicode MS"/>
                <w:b/>
              </w:rPr>
              <w:t>Cost of Natural Gas ($/m</w:t>
            </w:r>
            <w:r w:rsidRPr="00B87C0D">
              <w:rPr>
                <w:rFonts w:eastAsia="Arial Unicode MS"/>
                <w:b/>
                <w:vertAlign w:val="superscript"/>
              </w:rPr>
              <w:t>3</w:t>
            </w:r>
            <w:r w:rsidRPr="00B87C0D">
              <w:rPr>
                <w:rFonts w:eastAsia="Arial Unicode MS"/>
                <w:b/>
              </w:rPr>
              <w:t>)</w:t>
            </w:r>
          </w:p>
        </w:tc>
        <w:tc>
          <w:tcPr>
            <w:tcW w:w="0" w:type="auto"/>
          </w:tcPr>
          <w:p w14:paraId="415B9A18" w14:textId="77777777" w:rsidR="00B87C0D" w:rsidRPr="0011297E" w:rsidRDefault="00B87C0D" w:rsidP="00B87C0D">
            <w:pPr>
              <w:pStyle w:val="ExhibitText"/>
              <w:jc w:val="right"/>
              <w:rPr>
                <w:rFonts w:eastAsia="Arial Unicode MS"/>
              </w:rPr>
            </w:pPr>
            <w:r w:rsidRPr="0011297E">
              <w:rPr>
                <w:rFonts w:eastAsia="Arial Unicode MS"/>
              </w:rPr>
              <w:t>0.1878675</w:t>
            </w:r>
          </w:p>
        </w:tc>
      </w:tr>
    </w:tbl>
    <w:p w14:paraId="38B9B2B7" w14:textId="77777777" w:rsidR="00B87C0D" w:rsidRDefault="00B87C0D" w:rsidP="00471088">
      <w:pPr>
        <w:pStyle w:val="StyleCopyrightStatementAfter0ptBottomSinglesolidline1"/>
        <w:pBdr>
          <w:top w:val="none" w:sz="0" w:space="0" w:color="auto"/>
        </w:pBdr>
        <w:rPr>
          <w:rFonts w:ascii="Times New Roman" w:hAnsi="Times New Roman"/>
          <w:i w:val="0"/>
          <w:sz w:val="22"/>
          <w:szCs w:val="22"/>
        </w:rPr>
      </w:pPr>
    </w:p>
    <w:p w14:paraId="4709F976" w14:textId="77777777" w:rsidR="00B87C0D" w:rsidRPr="00A0015D" w:rsidRDefault="00B87C0D" w:rsidP="003A557B">
      <w:pPr>
        <w:pStyle w:val="Footnote"/>
        <w:jc w:val="left"/>
        <w:rPr>
          <w:rFonts w:ascii="Times New Roman" w:hAnsi="Times New Roman"/>
          <w:i w:val="0"/>
          <w:sz w:val="22"/>
          <w:szCs w:val="22"/>
        </w:rPr>
      </w:pPr>
      <w:r w:rsidRPr="00A0015D">
        <w:rPr>
          <w:i w:val="0"/>
        </w:rPr>
        <w:t>Source:</w:t>
      </w:r>
      <w:r w:rsidR="00A33187" w:rsidRPr="00A0015D">
        <w:rPr>
          <w:i w:val="0"/>
        </w:rPr>
        <w:t xml:space="preserve"> </w:t>
      </w:r>
      <w:r w:rsidR="00A25968">
        <w:rPr>
          <w:i w:val="0"/>
        </w:rPr>
        <w:t>“</w:t>
      </w:r>
      <w:r w:rsidR="00E445BA" w:rsidRPr="00A0015D">
        <w:rPr>
          <w:i w:val="0"/>
        </w:rPr>
        <w:t>Natural Gas Rates</w:t>
      </w:r>
      <w:r w:rsidR="00E445BA">
        <w:rPr>
          <w:i w:val="0"/>
        </w:rPr>
        <w:t>—</w:t>
      </w:r>
      <w:r w:rsidR="00E445BA" w:rsidRPr="00A0015D">
        <w:rPr>
          <w:i w:val="0"/>
        </w:rPr>
        <w:t>Historical,</w:t>
      </w:r>
      <w:r w:rsidR="00A25968">
        <w:rPr>
          <w:i w:val="0"/>
        </w:rPr>
        <w:t>”</w:t>
      </w:r>
      <w:r w:rsidR="00E445BA" w:rsidRPr="00A0015D">
        <w:rPr>
          <w:i w:val="0"/>
        </w:rPr>
        <w:t xml:space="preserve"> Ontario Energy Board, January 2017, accessed April 11, 2017, www.ontarioenergyboard.ca/oeb/Consumers/Natural+Gas/Natural+Gas+Rates/Natural+Gas+Rates+-+Historical.</w:t>
      </w:r>
    </w:p>
    <w:p w14:paraId="64B3FBAE" w14:textId="77777777" w:rsidR="00B87C0D" w:rsidRDefault="00B87C0D">
      <w:pPr>
        <w:spacing w:after="200" w:line="276" w:lineRule="auto"/>
        <w:rPr>
          <w:iCs/>
          <w:color w:val="000000"/>
          <w:sz w:val="22"/>
          <w:szCs w:val="22"/>
        </w:rPr>
      </w:pPr>
      <w:r>
        <w:rPr>
          <w:i/>
          <w:sz w:val="22"/>
          <w:szCs w:val="22"/>
        </w:rPr>
        <w:br w:type="page"/>
      </w:r>
    </w:p>
    <w:p w14:paraId="67CB3DEA" w14:textId="77777777" w:rsidR="00B87C0D" w:rsidRDefault="00B87C0D" w:rsidP="00B87C0D">
      <w:pPr>
        <w:pStyle w:val="ExhibitHeading"/>
      </w:pPr>
      <w:r>
        <w:lastRenderedPageBreak/>
        <w:t>Exhibit 4: Digestion and Cogeneration</w:t>
      </w:r>
      <w:r w:rsidR="00A504E7">
        <w:t>—</w:t>
      </w:r>
      <w:r>
        <w:t>Energy Projections and Financial Information</w:t>
      </w:r>
    </w:p>
    <w:p w14:paraId="7B1335F0" w14:textId="77777777" w:rsidR="00B87C0D" w:rsidRDefault="00B87C0D" w:rsidP="00471088">
      <w:pPr>
        <w:pStyle w:val="StyleCopyrightStatementAfter0ptBottomSinglesolidline1"/>
        <w:pBdr>
          <w:top w:val="none" w:sz="0" w:space="0" w:color="auto"/>
        </w:pBdr>
        <w:rPr>
          <w:rFonts w:ascii="Times New Roman" w:hAnsi="Times New Roman"/>
          <w:i w:val="0"/>
          <w:sz w:val="22"/>
          <w:szCs w:val="22"/>
        </w:rPr>
      </w:pPr>
    </w:p>
    <w:tbl>
      <w:tblPr>
        <w:tblStyle w:val="TableGrid"/>
        <w:tblW w:w="0" w:type="auto"/>
        <w:jc w:val="center"/>
        <w:tblLook w:val="04A0" w:firstRow="1" w:lastRow="0" w:firstColumn="1" w:lastColumn="0" w:noHBand="0" w:noVBand="1"/>
      </w:tblPr>
      <w:tblGrid>
        <w:gridCol w:w="4801"/>
        <w:gridCol w:w="1250"/>
      </w:tblGrid>
      <w:tr w:rsidR="00B87C0D" w14:paraId="098E92F9" w14:textId="77777777" w:rsidTr="00B87C0D">
        <w:trPr>
          <w:jc w:val="center"/>
        </w:trPr>
        <w:tc>
          <w:tcPr>
            <w:tcW w:w="0" w:type="auto"/>
          </w:tcPr>
          <w:p w14:paraId="2B0922AA" w14:textId="77777777" w:rsidR="00B87C0D" w:rsidRPr="00B87C0D" w:rsidRDefault="00B87C0D" w:rsidP="00B87C0D">
            <w:pPr>
              <w:pStyle w:val="ExhibitText"/>
              <w:rPr>
                <w:rFonts w:eastAsia="Arial Unicode MS"/>
                <w:b/>
              </w:rPr>
            </w:pPr>
            <w:r w:rsidRPr="00B87C0D">
              <w:rPr>
                <w:rFonts w:eastAsia="Arial Unicode MS"/>
                <w:b/>
              </w:rPr>
              <w:t>Waste Input Mass (tonnes)</w:t>
            </w:r>
          </w:p>
        </w:tc>
        <w:tc>
          <w:tcPr>
            <w:tcW w:w="0" w:type="auto"/>
          </w:tcPr>
          <w:p w14:paraId="18838B95" w14:textId="77777777" w:rsidR="00B87C0D" w:rsidRPr="0011297E" w:rsidRDefault="00B87C0D" w:rsidP="00B87C0D">
            <w:pPr>
              <w:pStyle w:val="ExhibitText"/>
              <w:jc w:val="right"/>
              <w:rPr>
                <w:rFonts w:eastAsia="Arial Unicode MS"/>
              </w:rPr>
            </w:pPr>
            <w:r w:rsidRPr="0011297E">
              <w:rPr>
                <w:rFonts w:eastAsia="Arial Unicode MS"/>
              </w:rPr>
              <w:t>820</w:t>
            </w:r>
          </w:p>
        </w:tc>
      </w:tr>
      <w:tr w:rsidR="00B87C0D" w14:paraId="350FA616" w14:textId="77777777" w:rsidTr="00B87C0D">
        <w:trPr>
          <w:jc w:val="center"/>
        </w:trPr>
        <w:tc>
          <w:tcPr>
            <w:tcW w:w="0" w:type="auto"/>
          </w:tcPr>
          <w:p w14:paraId="3DA904A4" w14:textId="77777777" w:rsidR="00B87C0D" w:rsidRPr="00B87C0D" w:rsidRDefault="00B87C0D" w:rsidP="00B87C0D">
            <w:pPr>
              <w:pStyle w:val="ExhibitText"/>
              <w:rPr>
                <w:rFonts w:eastAsia="Arial Unicode MS"/>
                <w:b/>
              </w:rPr>
            </w:pPr>
            <w:r w:rsidRPr="00B87C0D">
              <w:rPr>
                <w:rFonts w:eastAsia="Arial Unicode MS"/>
                <w:b/>
              </w:rPr>
              <w:t>Biogas Generated for Given Input Mass (m</w:t>
            </w:r>
            <w:r w:rsidRPr="00B87C0D">
              <w:rPr>
                <w:rFonts w:eastAsia="Arial Unicode MS"/>
                <w:b/>
                <w:vertAlign w:val="superscript"/>
              </w:rPr>
              <w:t>3</w:t>
            </w:r>
            <w:r w:rsidRPr="00B87C0D">
              <w:rPr>
                <w:rFonts w:eastAsia="Arial Unicode MS"/>
                <w:b/>
              </w:rPr>
              <w:t>/day)</w:t>
            </w:r>
          </w:p>
        </w:tc>
        <w:tc>
          <w:tcPr>
            <w:tcW w:w="0" w:type="auto"/>
          </w:tcPr>
          <w:p w14:paraId="1823EB89" w14:textId="77777777" w:rsidR="00B87C0D" w:rsidRPr="0011297E" w:rsidRDefault="00B87C0D" w:rsidP="003E7695">
            <w:pPr>
              <w:pStyle w:val="ExhibitText"/>
              <w:jc w:val="right"/>
              <w:rPr>
                <w:rFonts w:eastAsia="Arial Unicode MS"/>
              </w:rPr>
            </w:pPr>
            <w:r w:rsidRPr="0011297E">
              <w:rPr>
                <w:rFonts w:eastAsia="Arial Unicode MS"/>
              </w:rPr>
              <w:t xml:space="preserve">365* </w:t>
            </w:r>
          </w:p>
        </w:tc>
      </w:tr>
      <w:tr w:rsidR="00B87C0D" w14:paraId="2F02F6DE" w14:textId="77777777" w:rsidTr="00B87C0D">
        <w:trPr>
          <w:jc w:val="center"/>
        </w:trPr>
        <w:tc>
          <w:tcPr>
            <w:tcW w:w="0" w:type="auto"/>
          </w:tcPr>
          <w:p w14:paraId="34636020" w14:textId="77777777" w:rsidR="00B87C0D" w:rsidRPr="00B87C0D" w:rsidRDefault="00B87C0D" w:rsidP="00B87C0D">
            <w:pPr>
              <w:pStyle w:val="ExhibitText"/>
              <w:rPr>
                <w:rFonts w:eastAsia="Arial Unicode MS"/>
                <w:b/>
              </w:rPr>
            </w:pPr>
            <w:r w:rsidRPr="00B87C0D">
              <w:rPr>
                <w:rFonts w:eastAsia="Arial Unicode MS"/>
                <w:b/>
              </w:rPr>
              <w:t>Electricity Generation Rate (kWh/m</w:t>
            </w:r>
            <w:r w:rsidRPr="00B87C0D">
              <w:rPr>
                <w:rFonts w:eastAsia="Arial Unicode MS"/>
                <w:b/>
                <w:vertAlign w:val="superscript"/>
              </w:rPr>
              <w:t>3</w:t>
            </w:r>
            <w:r w:rsidRPr="00B87C0D">
              <w:rPr>
                <w:rFonts w:eastAsia="Arial Unicode MS"/>
                <w:b/>
              </w:rPr>
              <w:t xml:space="preserve"> of biogas)</w:t>
            </w:r>
          </w:p>
        </w:tc>
        <w:tc>
          <w:tcPr>
            <w:tcW w:w="0" w:type="auto"/>
          </w:tcPr>
          <w:p w14:paraId="636B8610" w14:textId="77777777" w:rsidR="00B87C0D" w:rsidRPr="0011297E" w:rsidRDefault="00B87C0D" w:rsidP="008D1FAC">
            <w:pPr>
              <w:pStyle w:val="ExhibitText"/>
              <w:jc w:val="right"/>
              <w:rPr>
                <w:rFonts w:eastAsia="Arial Unicode MS"/>
              </w:rPr>
            </w:pPr>
            <w:r w:rsidRPr="0011297E">
              <w:rPr>
                <w:rFonts w:eastAsia="Arial Unicode MS"/>
              </w:rPr>
              <w:t>1.7</w:t>
            </w:r>
          </w:p>
        </w:tc>
      </w:tr>
      <w:tr w:rsidR="00B87C0D" w14:paraId="5535E0CD" w14:textId="77777777" w:rsidTr="00B87C0D">
        <w:trPr>
          <w:jc w:val="center"/>
        </w:trPr>
        <w:tc>
          <w:tcPr>
            <w:tcW w:w="0" w:type="auto"/>
          </w:tcPr>
          <w:p w14:paraId="1FC5816F" w14:textId="77777777" w:rsidR="00B87C0D" w:rsidRPr="00B87C0D" w:rsidRDefault="00B87C0D" w:rsidP="00B87C0D">
            <w:pPr>
              <w:pStyle w:val="ExhibitText"/>
              <w:rPr>
                <w:rFonts w:eastAsia="Arial Unicode MS"/>
                <w:b/>
              </w:rPr>
            </w:pPr>
            <w:r w:rsidRPr="00B87C0D">
              <w:rPr>
                <w:rFonts w:eastAsia="Arial Unicode MS"/>
                <w:b/>
              </w:rPr>
              <w:t>Waste Heat Generation Rate (GJ/m</w:t>
            </w:r>
            <w:r w:rsidRPr="00B87C0D">
              <w:rPr>
                <w:rFonts w:eastAsia="Arial Unicode MS"/>
                <w:b/>
                <w:vertAlign w:val="superscript"/>
              </w:rPr>
              <w:t>3</w:t>
            </w:r>
            <w:r w:rsidRPr="00B87C0D">
              <w:rPr>
                <w:rFonts w:eastAsia="Arial Unicode MS"/>
                <w:b/>
              </w:rPr>
              <w:t xml:space="preserve"> of biogas)</w:t>
            </w:r>
          </w:p>
        </w:tc>
        <w:tc>
          <w:tcPr>
            <w:tcW w:w="0" w:type="auto"/>
          </w:tcPr>
          <w:p w14:paraId="7703508B" w14:textId="77777777" w:rsidR="00B87C0D" w:rsidRPr="0011297E" w:rsidRDefault="00B87C0D" w:rsidP="00B87C0D">
            <w:pPr>
              <w:pStyle w:val="ExhibitText"/>
              <w:jc w:val="right"/>
              <w:rPr>
                <w:rFonts w:eastAsia="Arial Unicode MS"/>
                <w:vertAlign w:val="superscript"/>
              </w:rPr>
            </w:pPr>
            <w:r w:rsidRPr="0011297E">
              <w:rPr>
                <w:rFonts w:eastAsia="Arial Unicode MS"/>
              </w:rPr>
              <w:t>0.0077</w:t>
            </w:r>
          </w:p>
        </w:tc>
      </w:tr>
      <w:tr w:rsidR="00B87C0D" w14:paraId="4135AA71" w14:textId="77777777" w:rsidTr="00B87C0D">
        <w:trPr>
          <w:jc w:val="center"/>
        </w:trPr>
        <w:tc>
          <w:tcPr>
            <w:tcW w:w="0" w:type="auto"/>
          </w:tcPr>
          <w:p w14:paraId="0EFDFF81" w14:textId="77777777" w:rsidR="00B87C0D" w:rsidRPr="00B87C0D" w:rsidRDefault="00B87C0D" w:rsidP="00B87C0D">
            <w:pPr>
              <w:pStyle w:val="ExhibitText"/>
              <w:rPr>
                <w:rFonts w:eastAsia="Arial Unicode MS"/>
                <w:b/>
              </w:rPr>
            </w:pPr>
            <w:r w:rsidRPr="00B87C0D">
              <w:rPr>
                <w:rFonts w:eastAsia="Arial Unicode MS"/>
                <w:b/>
              </w:rPr>
              <w:t>Cogeneration System Capacity</w:t>
            </w:r>
          </w:p>
        </w:tc>
        <w:tc>
          <w:tcPr>
            <w:tcW w:w="0" w:type="auto"/>
          </w:tcPr>
          <w:p w14:paraId="413FA1F9" w14:textId="77777777" w:rsidR="00B87C0D" w:rsidRPr="0011297E" w:rsidRDefault="00B87C0D" w:rsidP="00B87C0D">
            <w:pPr>
              <w:pStyle w:val="ExhibitText"/>
              <w:jc w:val="right"/>
              <w:rPr>
                <w:rFonts w:eastAsia="Arial Unicode MS"/>
              </w:rPr>
            </w:pPr>
            <w:r w:rsidRPr="0011297E">
              <w:rPr>
                <w:rFonts w:eastAsia="Arial Unicode MS"/>
              </w:rPr>
              <w:t>82.19 kWh*</w:t>
            </w:r>
          </w:p>
        </w:tc>
      </w:tr>
      <w:tr w:rsidR="00B87C0D" w14:paraId="0516089B" w14:textId="77777777" w:rsidTr="00B87C0D">
        <w:trPr>
          <w:jc w:val="center"/>
        </w:trPr>
        <w:tc>
          <w:tcPr>
            <w:tcW w:w="0" w:type="auto"/>
          </w:tcPr>
          <w:p w14:paraId="42D89ADA" w14:textId="77777777" w:rsidR="00B87C0D" w:rsidRPr="00B87C0D" w:rsidRDefault="00B87C0D" w:rsidP="00B87C0D">
            <w:pPr>
              <w:pStyle w:val="ExhibitText"/>
              <w:rPr>
                <w:rFonts w:eastAsia="Arial Unicode MS"/>
                <w:b/>
              </w:rPr>
            </w:pPr>
            <w:r w:rsidRPr="00B87C0D">
              <w:rPr>
                <w:rFonts w:eastAsia="Arial Unicode MS"/>
                <w:b/>
              </w:rPr>
              <w:t>System Installation Cost ($/kWh Capacity)</w:t>
            </w:r>
          </w:p>
        </w:tc>
        <w:tc>
          <w:tcPr>
            <w:tcW w:w="0" w:type="auto"/>
          </w:tcPr>
          <w:p w14:paraId="0AB962F5" w14:textId="77777777" w:rsidR="00B87C0D" w:rsidRPr="0011297E" w:rsidRDefault="00B87C0D" w:rsidP="00B87C0D">
            <w:pPr>
              <w:pStyle w:val="ExhibitText"/>
              <w:jc w:val="right"/>
              <w:rPr>
                <w:rFonts w:eastAsia="Arial Unicode MS"/>
              </w:rPr>
            </w:pPr>
            <w:r w:rsidRPr="0011297E">
              <w:rPr>
                <w:rFonts w:eastAsia="Arial Unicode MS"/>
              </w:rPr>
              <w:t>7,000</w:t>
            </w:r>
          </w:p>
        </w:tc>
      </w:tr>
      <w:tr w:rsidR="00B87C0D" w14:paraId="4DE1A527" w14:textId="77777777" w:rsidTr="00B87C0D">
        <w:trPr>
          <w:jc w:val="center"/>
        </w:trPr>
        <w:tc>
          <w:tcPr>
            <w:tcW w:w="0" w:type="auto"/>
          </w:tcPr>
          <w:p w14:paraId="3954CD3E" w14:textId="77777777" w:rsidR="00B87C0D" w:rsidRPr="00B87C0D" w:rsidRDefault="00B87C0D" w:rsidP="00B87C0D">
            <w:pPr>
              <w:pStyle w:val="ExhibitText"/>
              <w:rPr>
                <w:rFonts w:eastAsia="Arial Unicode MS"/>
                <w:b/>
              </w:rPr>
            </w:pPr>
            <w:r w:rsidRPr="00B87C0D">
              <w:rPr>
                <w:rFonts w:eastAsia="Arial Unicode MS"/>
                <w:b/>
              </w:rPr>
              <w:t>Average Cost of Electricity in London ($/kWh)</w:t>
            </w:r>
          </w:p>
        </w:tc>
        <w:tc>
          <w:tcPr>
            <w:tcW w:w="0" w:type="auto"/>
          </w:tcPr>
          <w:p w14:paraId="0552A070" w14:textId="77777777" w:rsidR="00B87C0D" w:rsidRPr="0011297E" w:rsidRDefault="00B87C0D" w:rsidP="00B87C0D">
            <w:pPr>
              <w:pStyle w:val="ExhibitText"/>
              <w:jc w:val="right"/>
              <w:rPr>
                <w:rFonts w:eastAsia="Arial Unicode MS"/>
              </w:rPr>
            </w:pPr>
            <w:r w:rsidRPr="0011297E">
              <w:rPr>
                <w:rFonts w:eastAsia="Arial Unicode MS"/>
              </w:rPr>
              <w:t>0.0993</w:t>
            </w:r>
          </w:p>
        </w:tc>
      </w:tr>
      <w:tr w:rsidR="00B87C0D" w14:paraId="57F9B0C0" w14:textId="77777777" w:rsidTr="00B87C0D">
        <w:trPr>
          <w:jc w:val="center"/>
        </w:trPr>
        <w:tc>
          <w:tcPr>
            <w:tcW w:w="0" w:type="auto"/>
          </w:tcPr>
          <w:p w14:paraId="6489B969" w14:textId="77777777" w:rsidR="00B87C0D" w:rsidRPr="00B87C0D" w:rsidRDefault="00B87C0D" w:rsidP="00B87C0D">
            <w:pPr>
              <w:pStyle w:val="ExhibitText"/>
              <w:rPr>
                <w:rFonts w:eastAsia="Arial Unicode MS"/>
                <w:b/>
              </w:rPr>
            </w:pPr>
            <w:r w:rsidRPr="00B87C0D">
              <w:rPr>
                <w:rFonts w:eastAsia="Arial Unicode MS"/>
                <w:b/>
              </w:rPr>
              <w:t>Natural Gas Heating Equivalent (m</w:t>
            </w:r>
            <w:r w:rsidRPr="00B87C0D">
              <w:rPr>
                <w:rFonts w:eastAsia="Arial Unicode MS"/>
                <w:b/>
                <w:vertAlign w:val="superscript"/>
              </w:rPr>
              <w:t>3</w:t>
            </w:r>
            <w:r w:rsidRPr="00B87C0D">
              <w:rPr>
                <w:rFonts w:eastAsia="Arial Unicode MS"/>
                <w:b/>
              </w:rPr>
              <w:t>/GJ)</w:t>
            </w:r>
          </w:p>
        </w:tc>
        <w:tc>
          <w:tcPr>
            <w:tcW w:w="0" w:type="auto"/>
          </w:tcPr>
          <w:p w14:paraId="129ACEBC" w14:textId="77777777" w:rsidR="00B87C0D" w:rsidRPr="0011297E" w:rsidRDefault="00B87C0D" w:rsidP="00B87C0D">
            <w:pPr>
              <w:pStyle w:val="ExhibitText"/>
              <w:jc w:val="right"/>
              <w:rPr>
                <w:rFonts w:eastAsia="Arial Unicode MS"/>
              </w:rPr>
            </w:pPr>
            <w:r w:rsidRPr="0011297E">
              <w:rPr>
                <w:rFonts w:eastAsia="Arial Unicode MS"/>
              </w:rPr>
              <w:t>26.137</w:t>
            </w:r>
          </w:p>
        </w:tc>
      </w:tr>
      <w:tr w:rsidR="00B87C0D" w14:paraId="61497AE1" w14:textId="77777777" w:rsidTr="00B87C0D">
        <w:trPr>
          <w:jc w:val="center"/>
        </w:trPr>
        <w:tc>
          <w:tcPr>
            <w:tcW w:w="0" w:type="auto"/>
          </w:tcPr>
          <w:p w14:paraId="20FEA745" w14:textId="77777777" w:rsidR="00B87C0D" w:rsidRPr="00B87C0D" w:rsidRDefault="00B87C0D" w:rsidP="00B87C0D">
            <w:pPr>
              <w:pStyle w:val="ExhibitText"/>
              <w:rPr>
                <w:rFonts w:eastAsia="Arial Unicode MS"/>
                <w:b/>
              </w:rPr>
            </w:pPr>
            <w:r w:rsidRPr="00B87C0D">
              <w:rPr>
                <w:rFonts w:eastAsia="Arial Unicode MS"/>
                <w:b/>
              </w:rPr>
              <w:t>Cost of Natural Gas ($/m</w:t>
            </w:r>
            <w:r w:rsidRPr="00B87C0D">
              <w:rPr>
                <w:rFonts w:eastAsia="Arial Unicode MS"/>
                <w:b/>
                <w:vertAlign w:val="superscript"/>
              </w:rPr>
              <w:t>3</w:t>
            </w:r>
            <w:r w:rsidRPr="00B87C0D">
              <w:rPr>
                <w:rFonts w:eastAsia="Arial Unicode MS"/>
                <w:b/>
              </w:rPr>
              <w:t>)</w:t>
            </w:r>
          </w:p>
        </w:tc>
        <w:tc>
          <w:tcPr>
            <w:tcW w:w="0" w:type="auto"/>
          </w:tcPr>
          <w:p w14:paraId="6463BCA9" w14:textId="77777777" w:rsidR="00B87C0D" w:rsidRPr="0011297E" w:rsidRDefault="00B87C0D" w:rsidP="00B87C0D">
            <w:pPr>
              <w:pStyle w:val="ExhibitText"/>
              <w:jc w:val="right"/>
              <w:rPr>
                <w:rFonts w:eastAsia="Arial Unicode MS"/>
              </w:rPr>
            </w:pPr>
            <w:r w:rsidRPr="0011297E">
              <w:rPr>
                <w:rFonts w:eastAsia="Arial Unicode MS"/>
              </w:rPr>
              <w:t>0.1878675</w:t>
            </w:r>
          </w:p>
        </w:tc>
      </w:tr>
    </w:tbl>
    <w:p w14:paraId="5AFC019F" w14:textId="77777777" w:rsidR="00B87C0D" w:rsidRDefault="00B87C0D" w:rsidP="00471088">
      <w:pPr>
        <w:pStyle w:val="StyleCopyrightStatementAfter0ptBottomSinglesolidline1"/>
        <w:pBdr>
          <w:top w:val="none" w:sz="0" w:space="0" w:color="auto"/>
        </w:pBdr>
        <w:rPr>
          <w:rFonts w:ascii="Times New Roman" w:hAnsi="Times New Roman"/>
          <w:i w:val="0"/>
          <w:sz w:val="22"/>
          <w:szCs w:val="22"/>
        </w:rPr>
      </w:pPr>
    </w:p>
    <w:p w14:paraId="10D72295" w14:textId="77777777" w:rsidR="004322EC" w:rsidRPr="003A557B" w:rsidRDefault="004322EC" w:rsidP="004322EC">
      <w:pPr>
        <w:pStyle w:val="Footnote"/>
        <w:rPr>
          <w:rFonts w:eastAsia="Arial Unicode MS"/>
          <w:i w:val="0"/>
        </w:rPr>
      </w:pPr>
      <w:r w:rsidRPr="003A557B">
        <w:rPr>
          <w:i w:val="0"/>
        </w:rPr>
        <w:t xml:space="preserve">Note: </w:t>
      </w:r>
      <w:r w:rsidRPr="003A557B">
        <w:rPr>
          <w:rFonts w:eastAsia="Arial Unicode MS"/>
          <w:i w:val="0"/>
        </w:rPr>
        <w:t>*If enough interest is generated in the community, it is estimated that a larger system could process 4,000 tonnes of input waste annually. This would result in a system capacity of 126.11 kWh and the generation of 648,878.05 m</w:t>
      </w:r>
      <w:r w:rsidRPr="003A557B">
        <w:rPr>
          <w:rFonts w:eastAsia="Arial Unicode MS"/>
          <w:i w:val="0"/>
          <w:vertAlign w:val="superscript"/>
        </w:rPr>
        <w:t>3</w:t>
      </w:r>
      <w:r w:rsidR="008D1FAC" w:rsidRPr="003A557B">
        <w:rPr>
          <w:rFonts w:eastAsia="Arial Unicode MS"/>
          <w:i w:val="0"/>
        </w:rPr>
        <w:t xml:space="preserve"> of biogas per year</w:t>
      </w:r>
      <w:r w:rsidRPr="003A557B">
        <w:rPr>
          <w:rFonts w:eastAsia="Arial Unicode MS"/>
          <w:i w:val="0"/>
        </w:rPr>
        <w:t>.</w:t>
      </w:r>
    </w:p>
    <w:p w14:paraId="28565E3C" w14:textId="77777777" w:rsidR="00A33187" w:rsidRPr="003A557B" w:rsidRDefault="004322EC" w:rsidP="00A33187">
      <w:pPr>
        <w:pStyle w:val="Footnote"/>
        <w:rPr>
          <w:i w:val="0"/>
        </w:rPr>
      </w:pPr>
      <w:r w:rsidRPr="003A557B">
        <w:rPr>
          <w:i w:val="0"/>
        </w:rPr>
        <w:t>Source</w:t>
      </w:r>
      <w:r w:rsidR="008D1FAC" w:rsidRPr="003A557B">
        <w:rPr>
          <w:i w:val="0"/>
        </w:rPr>
        <w:t>s</w:t>
      </w:r>
      <w:r w:rsidRPr="003A557B">
        <w:rPr>
          <w:i w:val="0"/>
        </w:rPr>
        <w:t>:</w:t>
      </w:r>
      <w:r w:rsidR="00A33187" w:rsidRPr="003A557B">
        <w:rPr>
          <w:i w:val="0"/>
        </w:rPr>
        <w:t xml:space="preserve"> </w:t>
      </w:r>
      <w:r w:rsidR="00A25968">
        <w:rPr>
          <w:i w:val="0"/>
        </w:rPr>
        <w:t>“</w:t>
      </w:r>
      <w:r w:rsidR="00A33187" w:rsidRPr="003A557B">
        <w:rPr>
          <w:i w:val="0"/>
        </w:rPr>
        <w:t>Economic Feasibility of Anaerobic Digesters,</w:t>
      </w:r>
      <w:r w:rsidR="00A25968">
        <w:rPr>
          <w:i w:val="0"/>
        </w:rPr>
        <w:t>”</w:t>
      </w:r>
      <w:r w:rsidR="00E445BA">
        <w:rPr>
          <w:i w:val="0"/>
        </w:rPr>
        <w:t xml:space="preserve"> </w:t>
      </w:r>
      <w:r w:rsidR="00E445BA" w:rsidRPr="003A557B">
        <w:rPr>
          <w:i w:val="0"/>
        </w:rPr>
        <w:t>Government of Alberta</w:t>
      </w:r>
      <w:r w:rsidR="00E445BA">
        <w:rPr>
          <w:i w:val="0"/>
        </w:rPr>
        <w:t>—</w:t>
      </w:r>
      <w:r w:rsidR="00E445BA" w:rsidRPr="003A557B">
        <w:rPr>
          <w:i w:val="0"/>
        </w:rPr>
        <w:t>Department of Agriculture and Rural Development</w:t>
      </w:r>
      <w:r w:rsidR="00E445BA">
        <w:rPr>
          <w:i w:val="0"/>
        </w:rPr>
        <w:t>,</w:t>
      </w:r>
      <w:r w:rsidR="00E445BA" w:rsidRPr="003A557B">
        <w:rPr>
          <w:i w:val="0"/>
        </w:rPr>
        <w:t xml:space="preserve"> 2008</w:t>
      </w:r>
      <w:r w:rsidR="00E445BA">
        <w:rPr>
          <w:i w:val="0"/>
        </w:rPr>
        <w:t xml:space="preserve">, </w:t>
      </w:r>
      <w:r w:rsidR="00E445BA" w:rsidRPr="003A557B">
        <w:rPr>
          <w:i w:val="0"/>
        </w:rPr>
        <w:t>accessed July 27, 2012</w:t>
      </w:r>
      <w:r w:rsidR="00E445BA">
        <w:rPr>
          <w:i w:val="0"/>
        </w:rPr>
        <w:t>,</w:t>
      </w:r>
      <w:r w:rsidR="00A33187" w:rsidRPr="003A557B">
        <w:rPr>
          <w:i w:val="0"/>
        </w:rPr>
        <w:t xml:space="preserve"> www1.agric.gov.ab.ca/$department/deptdocs.nsf/all/agdex12280</w:t>
      </w:r>
      <w:r w:rsidR="00E445BA">
        <w:rPr>
          <w:i w:val="0"/>
        </w:rPr>
        <w:t>;</w:t>
      </w:r>
    </w:p>
    <w:p w14:paraId="1469EECE" w14:textId="77777777" w:rsidR="008D1FAC" w:rsidRPr="003A557B" w:rsidRDefault="00A25968" w:rsidP="008D1FAC">
      <w:pPr>
        <w:pStyle w:val="Footnote"/>
        <w:rPr>
          <w:i w:val="0"/>
        </w:rPr>
      </w:pPr>
      <w:r>
        <w:rPr>
          <w:i w:val="0"/>
          <w:color w:val="000000"/>
        </w:rPr>
        <w:t>“</w:t>
      </w:r>
      <w:r w:rsidR="008D1FAC" w:rsidRPr="003A557B">
        <w:rPr>
          <w:i w:val="0"/>
          <w:color w:val="000000"/>
        </w:rPr>
        <w:t>Delivered Electricity Price Comparison,</w:t>
      </w:r>
      <w:r>
        <w:rPr>
          <w:i w:val="0"/>
          <w:color w:val="000000"/>
        </w:rPr>
        <w:t>”</w:t>
      </w:r>
      <w:r w:rsidR="00E445BA">
        <w:rPr>
          <w:i w:val="0"/>
          <w:color w:val="000000"/>
        </w:rPr>
        <w:t xml:space="preserve"> </w:t>
      </w:r>
      <w:r w:rsidR="00E445BA" w:rsidRPr="003A557B">
        <w:rPr>
          <w:i w:val="0"/>
          <w:color w:val="000000"/>
        </w:rPr>
        <w:t>Ontario Power Authority</w:t>
      </w:r>
      <w:r w:rsidR="00E445BA">
        <w:rPr>
          <w:i w:val="0"/>
          <w:color w:val="000000"/>
        </w:rPr>
        <w:t>,</w:t>
      </w:r>
      <w:r w:rsidR="00E445BA" w:rsidRPr="003A557B">
        <w:rPr>
          <w:i w:val="0"/>
          <w:color w:val="000000"/>
        </w:rPr>
        <w:t xml:space="preserve"> 2008</w:t>
      </w:r>
      <w:r w:rsidR="00E445BA">
        <w:rPr>
          <w:i w:val="0"/>
          <w:color w:val="000000"/>
        </w:rPr>
        <w:t>,</w:t>
      </w:r>
      <w:r w:rsidR="008D1FAC" w:rsidRPr="003A557B">
        <w:rPr>
          <w:i w:val="0"/>
          <w:color w:val="000000"/>
        </w:rPr>
        <w:t xml:space="preserve"> </w:t>
      </w:r>
      <w:r w:rsidR="00E445BA" w:rsidRPr="003A557B">
        <w:rPr>
          <w:i w:val="0"/>
        </w:rPr>
        <w:t>accessed July 23, 2012</w:t>
      </w:r>
      <w:r w:rsidR="00E445BA">
        <w:rPr>
          <w:i w:val="0"/>
        </w:rPr>
        <w:t xml:space="preserve">, </w:t>
      </w:r>
      <w:r w:rsidR="008D1FAC" w:rsidRPr="003A557B">
        <w:rPr>
          <w:i w:val="0"/>
        </w:rPr>
        <w:t>www.powerauthority.on.ca/sites/default/files/page /7555_Delivered_Electricity_Price_Comparison3.pdf</w:t>
      </w:r>
      <w:r w:rsidR="00E445BA">
        <w:rPr>
          <w:i w:val="0"/>
        </w:rPr>
        <w:t>;</w:t>
      </w:r>
    </w:p>
    <w:p w14:paraId="3EFB017E" w14:textId="77777777" w:rsidR="008D1FAC" w:rsidRPr="003A557B" w:rsidRDefault="00A25968" w:rsidP="008D1FAC">
      <w:pPr>
        <w:pStyle w:val="Footnote"/>
        <w:rPr>
          <w:i w:val="0"/>
          <w:color w:val="000000"/>
        </w:rPr>
      </w:pPr>
      <w:r>
        <w:rPr>
          <w:i w:val="0"/>
        </w:rPr>
        <w:t>“</w:t>
      </w:r>
      <w:r w:rsidR="00E445BA" w:rsidRPr="00A0015D">
        <w:rPr>
          <w:i w:val="0"/>
        </w:rPr>
        <w:t>Natural Gas Rates</w:t>
      </w:r>
      <w:r w:rsidR="00E445BA">
        <w:rPr>
          <w:i w:val="0"/>
        </w:rPr>
        <w:t>—</w:t>
      </w:r>
      <w:r w:rsidR="00E445BA" w:rsidRPr="00A0015D">
        <w:rPr>
          <w:i w:val="0"/>
        </w:rPr>
        <w:t>Historical,</w:t>
      </w:r>
      <w:r>
        <w:rPr>
          <w:i w:val="0"/>
        </w:rPr>
        <w:t>”</w:t>
      </w:r>
      <w:r w:rsidR="00E445BA" w:rsidRPr="00A0015D">
        <w:rPr>
          <w:i w:val="0"/>
        </w:rPr>
        <w:t xml:space="preserve"> Ontario Energy Board, January 2017, accessed April 11, 2017, www.ontarioenergyboard.ca/oeb/Consumers/Natural+Gas/Natural+Gas+Rates/Natural+Gas+Rates+-+Historical.</w:t>
      </w:r>
    </w:p>
    <w:sectPr w:rsidR="008D1FAC" w:rsidRPr="003A557B"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94F0B" w14:textId="77777777" w:rsidR="00614D99" w:rsidRDefault="00614D99" w:rsidP="00D75295">
      <w:r>
        <w:separator/>
      </w:r>
    </w:p>
  </w:endnote>
  <w:endnote w:type="continuationSeparator" w:id="0">
    <w:p w14:paraId="4D5401FA" w14:textId="77777777" w:rsidR="00614D99" w:rsidRDefault="00614D9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yriad Pro">
    <w:altName w:val="Corbel"/>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613F7" w14:textId="77777777" w:rsidR="00614D99" w:rsidRDefault="00614D99" w:rsidP="00D75295">
      <w:r>
        <w:separator/>
      </w:r>
    </w:p>
  </w:footnote>
  <w:footnote w:type="continuationSeparator" w:id="0">
    <w:p w14:paraId="23EF347A" w14:textId="77777777" w:rsidR="00614D99" w:rsidRDefault="00614D99" w:rsidP="00D75295">
      <w:r>
        <w:continuationSeparator/>
      </w:r>
    </w:p>
  </w:footnote>
  <w:footnote w:id="1">
    <w:p w14:paraId="5F7DA383" w14:textId="5C059584" w:rsidR="00FF1EC1" w:rsidRPr="00594B3C" w:rsidRDefault="00FF1EC1" w:rsidP="00F23898">
      <w:pPr>
        <w:pStyle w:val="Footnote"/>
        <w:rPr>
          <w:i w:val="0"/>
        </w:rPr>
      </w:pPr>
      <w:r w:rsidRPr="00594B3C">
        <w:rPr>
          <w:rStyle w:val="FootnoteReference"/>
          <w:i w:val="0"/>
        </w:rPr>
        <w:footnoteRef/>
      </w:r>
      <w:r w:rsidRPr="00594B3C">
        <w:rPr>
          <w:i w:val="0"/>
        </w:rPr>
        <w:t xml:space="preserve"> H</w:t>
      </w:r>
      <w:r>
        <w:rPr>
          <w:i w:val="0"/>
        </w:rPr>
        <w:t>ank</w:t>
      </w:r>
      <w:r w:rsidRPr="00594B3C">
        <w:rPr>
          <w:i w:val="0"/>
        </w:rPr>
        <w:t xml:space="preserve"> </w:t>
      </w:r>
      <w:proofErr w:type="spellStart"/>
      <w:r w:rsidRPr="00594B3C">
        <w:rPr>
          <w:i w:val="0"/>
        </w:rPr>
        <w:t>Daniszewski</w:t>
      </w:r>
      <w:proofErr w:type="spellEnd"/>
      <w:r w:rsidRPr="00594B3C">
        <w:rPr>
          <w:i w:val="0"/>
        </w:rPr>
        <w:t xml:space="preserve">, </w:t>
      </w:r>
      <w:r>
        <w:rPr>
          <w:i w:val="0"/>
        </w:rPr>
        <w:t>“</w:t>
      </w:r>
      <w:proofErr w:type="spellStart"/>
      <w:r w:rsidRPr="00594B3C">
        <w:rPr>
          <w:i w:val="0"/>
        </w:rPr>
        <w:t>Sifton</w:t>
      </w:r>
      <w:proofErr w:type="spellEnd"/>
      <w:r w:rsidRPr="00594B3C">
        <w:rPr>
          <w:i w:val="0"/>
        </w:rPr>
        <w:t xml:space="preserve"> Helped Build London,</w:t>
      </w:r>
      <w:r>
        <w:rPr>
          <w:i w:val="0"/>
        </w:rPr>
        <w:t>”</w:t>
      </w:r>
      <w:r w:rsidRPr="00594B3C">
        <w:rPr>
          <w:i w:val="0"/>
        </w:rPr>
        <w:t xml:space="preserve"> </w:t>
      </w:r>
      <w:r w:rsidRPr="00D57EF0">
        <w:t>London Free Press</w:t>
      </w:r>
      <w:r w:rsidRPr="00594B3C">
        <w:rPr>
          <w:i w:val="0"/>
        </w:rPr>
        <w:t xml:space="preserve">, </w:t>
      </w:r>
      <w:r>
        <w:rPr>
          <w:i w:val="0"/>
        </w:rPr>
        <w:t xml:space="preserve">March 22, </w:t>
      </w:r>
      <w:r w:rsidRPr="00594B3C">
        <w:rPr>
          <w:i w:val="0"/>
        </w:rPr>
        <w:t>2010</w:t>
      </w:r>
      <w:r>
        <w:rPr>
          <w:i w:val="0"/>
        </w:rPr>
        <w:t>.</w:t>
      </w:r>
    </w:p>
  </w:footnote>
  <w:footnote w:id="2">
    <w:p w14:paraId="71F6BBDE" w14:textId="77777777" w:rsidR="00FF1EC1" w:rsidRPr="00E46EBE" w:rsidRDefault="00FF1EC1" w:rsidP="00594B3C">
      <w:pPr>
        <w:pStyle w:val="Footnote"/>
      </w:pPr>
      <w:r w:rsidRPr="0041462A">
        <w:rPr>
          <w:i w:val="0"/>
          <w:vertAlign w:val="superscript"/>
        </w:rPr>
        <w:footnoteRef/>
      </w:r>
      <w:r w:rsidRPr="00594B3C">
        <w:rPr>
          <w:i w:val="0"/>
          <w:vertAlign w:val="superscript"/>
        </w:rPr>
        <w:t xml:space="preserve"> </w:t>
      </w:r>
      <w:r w:rsidRPr="00594B3C">
        <w:rPr>
          <w:i w:val="0"/>
        </w:rPr>
        <w:t>Ibid.</w:t>
      </w:r>
    </w:p>
  </w:footnote>
  <w:footnote w:id="3">
    <w:p w14:paraId="21922757" w14:textId="58603A9F" w:rsidR="00FF1EC1" w:rsidRPr="0011297E" w:rsidRDefault="00FF1EC1" w:rsidP="00424672">
      <w:pPr>
        <w:pStyle w:val="Footnote"/>
      </w:pPr>
      <w:r w:rsidRPr="0041462A">
        <w:rPr>
          <w:rStyle w:val="FootnoteReference"/>
          <w:i w:val="0"/>
          <w:sz w:val="16"/>
          <w:szCs w:val="16"/>
        </w:rPr>
        <w:footnoteRef/>
      </w:r>
      <w:r w:rsidRPr="0011297E">
        <w:t xml:space="preserve"> </w:t>
      </w:r>
      <w:r w:rsidRPr="00670C78">
        <w:rPr>
          <w:i w:val="0"/>
        </w:rPr>
        <w:t>Altus Group</w:t>
      </w:r>
      <w:r>
        <w:t xml:space="preserve">, </w:t>
      </w:r>
      <w:r w:rsidRPr="0011297E">
        <w:t>Employment, Population, Housing and Non</w:t>
      </w:r>
      <w:r w:rsidRPr="0011297E">
        <w:rPr>
          <w:rFonts w:ascii="Myriad Pro" w:hAnsi="Myriad Pro" w:cs="Myriad Pro"/>
          <w:b/>
          <w:bCs/>
        </w:rPr>
        <w:t>‐</w:t>
      </w:r>
      <w:r w:rsidRPr="0011297E">
        <w:t>Residential Construction Projections, City of London, Ontario, 2011 Update</w:t>
      </w:r>
      <w:r>
        <w:t xml:space="preserve">, </w:t>
      </w:r>
      <w:r>
        <w:rPr>
          <w:i w:val="0"/>
        </w:rPr>
        <w:t xml:space="preserve">September 7, 2012, accessed August 8, 2013, </w:t>
      </w:r>
      <w:r w:rsidR="00626130" w:rsidRPr="00B013BB">
        <w:rPr>
          <w:i w:val="0"/>
        </w:rPr>
        <w:t>https://</w:t>
      </w:r>
      <w:r w:rsidRPr="00A50A93">
        <w:rPr>
          <w:i w:val="0"/>
        </w:rPr>
        <w:t>www.london.ca/business/Planning-Development/Official-Plan/Documents/RethinkLondon/FINAL-P4648-CityofLondonEmploymentPopulationandHousingForecast-FinalReport-4.pdf</w:t>
      </w:r>
      <w:r w:rsidRPr="0011297E">
        <w:t>.</w:t>
      </w:r>
    </w:p>
  </w:footnote>
  <w:footnote w:id="4">
    <w:p w14:paraId="20C26936" w14:textId="0F630957" w:rsidR="00FA7226" w:rsidRPr="00FA7226" w:rsidRDefault="00FA7226" w:rsidP="00FA7226">
      <w:pPr>
        <w:pStyle w:val="Footnote"/>
        <w:rPr>
          <w:i w:val="0"/>
          <w:lang w:val="en-US"/>
        </w:rPr>
      </w:pPr>
      <w:r w:rsidRPr="00FA7226">
        <w:rPr>
          <w:rStyle w:val="FootnoteReference"/>
          <w:i w:val="0"/>
        </w:rPr>
        <w:footnoteRef/>
      </w:r>
      <w:r w:rsidRPr="00FA7226">
        <w:rPr>
          <w:i w:val="0"/>
        </w:rPr>
        <w:t xml:space="preserve"> </w:t>
      </w:r>
      <w:r w:rsidRPr="00FA7226">
        <w:rPr>
          <w:i w:val="0"/>
          <w:lang w:val="en-US"/>
        </w:rPr>
        <w:t xml:space="preserve">All currency amounts are in </w:t>
      </w:r>
      <w:r w:rsidR="009F6E2A">
        <w:rPr>
          <w:i w:val="0"/>
          <w:lang w:val="en-US"/>
        </w:rPr>
        <w:t>CA</w:t>
      </w:r>
      <w:r w:rsidRPr="00FA7226">
        <w:rPr>
          <w:i w:val="0"/>
          <w:lang w:val="en-US"/>
        </w:rPr>
        <w:t>$ unless otherwise specified.</w:t>
      </w:r>
    </w:p>
  </w:footnote>
  <w:footnote w:id="5">
    <w:p w14:paraId="7EFBF976" w14:textId="77777777" w:rsidR="00FF1EC1" w:rsidRPr="00741783" w:rsidRDefault="00FF1EC1" w:rsidP="00424672">
      <w:pPr>
        <w:pStyle w:val="Footnote"/>
        <w:rPr>
          <w:i w:val="0"/>
        </w:rPr>
      </w:pPr>
      <w:r w:rsidRPr="00B15924">
        <w:rPr>
          <w:rStyle w:val="FootnoteReference"/>
          <w:i w:val="0"/>
          <w:sz w:val="16"/>
          <w:szCs w:val="16"/>
        </w:rPr>
        <w:footnoteRef/>
      </w:r>
      <w:r w:rsidRPr="0011297E">
        <w:t xml:space="preserve"> </w:t>
      </w:r>
      <w:r>
        <w:rPr>
          <w:i w:val="0"/>
        </w:rPr>
        <w:t>“</w:t>
      </w:r>
      <w:r w:rsidRPr="00741783">
        <w:rPr>
          <w:i w:val="0"/>
        </w:rPr>
        <w:t>Table 3-2: Hou</w:t>
      </w:r>
      <w:r>
        <w:rPr>
          <w:i w:val="0"/>
        </w:rPr>
        <w:t xml:space="preserve">sehold Energy Use, by Fuel Type and by Province, 2007—Average Energy Use,” Government of Canada: </w:t>
      </w:r>
      <w:r w:rsidRPr="00741783">
        <w:rPr>
          <w:i w:val="0"/>
        </w:rPr>
        <w:t>Statistics Canada</w:t>
      </w:r>
      <w:r>
        <w:rPr>
          <w:i w:val="0"/>
        </w:rPr>
        <w:t xml:space="preserve">, December 19, </w:t>
      </w:r>
      <w:r w:rsidRPr="00741783">
        <w:rPr>
          <w:i w:val="0"/>
        </w:rPr>
        <w:t>2012</w:t>
      </w:r>
      <w:r>
        <w:rPr>
          <w:i w:val="0"/>
        </w:rPr>
        <w:t>,</w:t>
      </w:r>
      <w:r w:rsidRPr="0046184F">
        <w:rPr>
          <w:i w:val="0"/>
        </w:rPr>
        <w:t xml:space="preserve"> </w:t>
      </w:r>
      <w:r w:rsidRPr="003E021B">
        <w:rPr>
          <w:i w:val="0"/>
        </w:rPr>
        <w:t>accessed August 10, 2013</w:t>
      </w:r>
      <w:r>
        <w:rPr>
          <w:i w:val="0"/>
        </w:rPr>
        <w:t xml:space="preserve">, </w:t>
      </w:r>
      <w:r w:rsidRPr="00741783">
        <w:rPr>
          <w:i w:val="0"/>
        </w:rPr>
        <w:t>www.statcan.gc.ca/pub/11-526-s/2010001/t004-eng.htm.</w:t>
      </w:r>
    </w:p>
  </w:footnote>
  <w:footnote w:id="6">
    <w:p w14:paraId="239E214D" w14:textId="77777777" w:rsidR="00FF1EC1" w:rsidRPr="00741783" w:rsidRDefault="00FF1EC1" w:rsidP="00424672">
      <w:pPr>
        <w:pStyle w:val="Footnote"/>
        <w:rPr>
          <w:i w:val="0"/>
        </w:rPr>
      </w:pPr>
      <w:r w:rsidRPr="006F5139">
        <w:rPr>
          <w:rStyle w:val="FootnoteReference"/>
          <w:i w:val="0"/>
          <w:sz w:val="16"/>
          <w:szCs w:val="16"/>
        </w:rPr>
        <w:footnoteRef/>
      </w:r>
      <w:r w:rsidRPr="006F5139">
        <w:rPr>
          <w:i w:val="0"/>
        </w:rPr>
        <w:t xml:space="preserve"> </w:t>
      </w:r>
      <w:r>
        <w:rPr>
          <w:i w:val="0"/>
        </w:rPr>
        <w:t xml:space="preserve">“Average Weekly Food Expenditure per Household, Canada and Selected Regions (2001) (Atlantic Region, Quebec, Ontario),” Government of Canada: </w:t>
      </w:r>
      <w:r w:rsidRPr="006F5139">
        <w:rPr>
          <w:i w:val="0"/>
        </w:rPr>
        <w:t>Statistics Canada</w:t>
      </w:r>
      <w:r>
        <w:rPr>
          <w:i w:val="0"/>
        </w:rPr>
        <w:t xml:space="preserve">: Ontario, January 11, </w:t>
      </w:r>
      <w:r w:rsidRPr="006F5139">
        <w:rPr>
          <w:i w:val="0"/>
        </w:rPr>
        <w:t>2005</w:t>
      </w:r>
      <w:r>
        <w:rPr>
          <w:i w:val="0"/>
        </w:rPr>
        <w:t xml:space="preserve">, accessed August 10, 2013, </w:t>
      </w:r>
      <w:r w:rsidRPr="00741783">
        <w:rPr>
          <w:i w:val="0"/>
        </w:rPr>
        <w:t>www.statcan.gc.ca/tables-tableaux/sum-som/l01/cst01/famil27a-eng.htm</w:t>
      </w:r>
      <w:r>
        <w:rPr>
          <w:i w:val="0"/>
        </w:rPr>
        <w:t>.</w:t>
      </w:r>
      <w:r w:rsidRPr="00741783">
        <w:rPr>
          <w:i w:val="0"/>
        </w:rPr>
        <w:t xml:space="preserve"> </w:t>
      </w:r>
    </w:p>
  </w:footnote>
  <w:footnote w:id="7">
    <w:p w14:paraId="04703D26" w14:textId="77777777" w:rsidR="00FF1EC1" w:rsidRPr="002B2D89" w:rsidRDefault="00FF1EC1" w:rsidP="002B2D89">
      <w:pPr>
        <w:pStyle w:val="Footnote"/>
        <w:rPr>
          <w:i w:val="0"/>
          <w:lang w:val="en-US"/>
        </w:rPr>
      </w:pPr>
      <w:r w:rsidRPr="002B2D89">
        <w:rPr>
          <w:rStyle w:val="FootnoteReference"/>
          <w:i w:val="0"/>
        </w:rPr>
        <w:footnoteRef/>
      </w:r>
      <w:r w:rsidRPr="002B2D89">
        <w:rPr>
          <w:i w:val="0"/>
        </w:rPr>
        <w:t xml:space="preserve"> A kWh was a unit of energy equivalent to a kilowatt (1,000 watts) of power operating for one hour. A kWh was commonly used to express electricity in the form of a unit and 1 kWh was equal to 0.0036 GJ. A GJ was equal to 10</w:t>
      </w:r>
      <w:r w:rsidRPr="002B2D89">
        <w:rPr>
          <w:i w:val="0"/>
          <w:vertAlign w:val="superscript"/>
        </w:rPr>
        <w:t>9</w:t>
      </w:r>
      <w:r w:rsidRPr="002B2D89">
        <w:rPr>
          <w:i w:val="0"/>
        </w:rPr>
        <w:t xml:space="preserve"> joules and was a unit of energy used to describe work, electricity, or heat.</w:t>
      </w:r>
    </w:p>
  </w:footnote>
  <w:footnote w:id="8">
    <w:p w14:paraId="60E69ACB" w14:textId="633529F8" w:rsidR="00FF1EC1" w:rsidRPr="00741783" w:rsidRDefault="00FF1EC1" w:rsidP="00424672">
      <w:pPr>
        <w:pStyle w:val="Footnote"/>
        <w:rPr>
          <w:i w:val="0"/>
        </w:rPr>
      </w:pPr>
      <w:r w:rsidRPr="00741783">
        <w:rPr>
          <w:rStyle w:val="FootnoteReference"/>
          <w:i w:val="0"/>
          <w:sz w:val="16"/>
          <w:szCs w:val="16"/>
        </w:rPr>
        <w:footnoteRef/>
      </w:r>
      <w:r w:rsidRPr="00741783">
        <w:rPr>
          <w:i w:val="0"/>
        </w:rPr>
        <w:t xml:space="preserve"> </w:t>
      </w:r>
      <w:r>
        <w:rPr>
          <w:i w:val="0"/>
        </w:rPr>
        <w:t>“</w:t>
      </w:r>
      <w:r w:rsidRPr="00741783">
        <w:rPr>
          <w:i w:val="0"/>
        </w:rPr>
        <w:t>London Hydro Appliance Usage Chart,</w:t>
      </w:r>
      <w:r>
        <w:rPr>
          <w:i w:val="0"/>
        </w:rPr>
        <w:t xml:space="preserve">” </w:t>
      </w:r>
      <w:r w:rsidRPr="00741783">
        <w:rPr>
          <w:i w:val="0"/>
        </w:rPr>
        <w:t>London Hydro</w:t>
      </w:r>
      <w:r>
        <w:rPr>
          <w:i w:val="0"/>
        </w:rPr>
        <w:t>,</w:t>
      </w:r>
      <w:r w:rsidRPr="00741783">
        <w:rPr>
          <w:i w:val="0"/>
        </w:rPr>
        <w:t xml:space="preserve"> </w:t>
      </w:r>
      <w:r>
        <w:rPr>
          <w:i w:val="0"/>
        </w:rPr>
        <w:t>2013,</w:t>
      </w:r>
      <w:r w:rsidRPr="00741783">
        <w:rPr>
          <w:i w:val="0"/>
        </w:rPr>
        <w:t xml:space="preserve"> accessed August 14, 2013</w:t>
      </w:r>
      <w:r>
        <w:rPr>
          <w:i w:val="0"/>
        </w:rPr>
        <w:t xml:space="preserve">, </w:t>
      </w:r>
      <w:r w:rsidRPr="00741783">
        <w:rPr>
          <w:i w:val="0"/>
        </w:rPr>
        <w:t>www.londonhydro.com/residential/applianceusagechart/.</w:t>
      </w:r>
    </w:p>
  </w:footnote>
  <w:footnote w:id="9">
    <w:p w14:paraId="09CD3C3C" w14:textId="260BE0A3" w:rsidR="00FF1EC1" w:rsidRPr="0011297E" w:rsidRDefault="00FF1EC1" w:rsidP="00424672">
      <w:pPr>
        <w:pStyle w:val="Footnote"/>
      </w:pPr>
      <w:r w:rsidRPr="0041462A">
        <w:rPr>
          <w:rStyle w:val="FootnoteReference"/>
          <w:i w:val="0"/>
          <w:sz w:val="16"/>
          <w:szCs w:val="16"/>
        </w:rPr>
        <w:footnoteRef/>
      </w:r>
      <w:r w:rsidRPr="0011297E">
        <w:t xml:space="preserve"> </w:t>
      </w:r>
      <w:r w:rsidRPr="001E3176">
        <w:rPr>
          <w:i w:val="0"/>
        </w:rPr>
        <w:t xml:space="preserve">David Dodge and Duncan Kinney, </w:t>
      </w:r>
      <w:r>
        <w:rPr>
          <w:i w:val="0"/>
        </w:rPr>
        <w:t>“</w:t>
      </w:r>
      <w:r w:rsidRPr="001E3176">
        <w:rPr>
          <w:i w:val="0"/>
        </w:rPr>
        <w:t>Sewer Heat Keep Homes Warm in Vancouver</w:t>
      </w:r>
      <w:r>
        <w:rPr>
          <w:i w:val="0"/>
        </w:rPr>
        <w:t>’</w:t>
      </w:r>
      <w:r w:rsidRPr="001E3176">
        <w:rPr>
          <w:i w:val="0"/>
        </w:rPr>
        <w:t xml:space="preserve">s False Creek Area: District Heating Plant Sits Right under the </w:t>
      </w:r>
      <w:proofErr w:type="spellStart"/>
      <w:r w:rsidRPr="001E3176">
        <w:rPr>
          <w:i w:val="0"/>
        </w:rPr>
        <w:t>Cambie</w:t>
      </w:r>
      <w:proofErr w:type="spellEnd"/>
      <w:r w:rsidRPr="001E3176">
        <w:rPr>
          <w:i w:val="0"/>
        </w:rPr>
        <w:t xml:space="preserve"> Bridge,</w:t>
      </w:r>
      <w:r>
        <w:rPr>
          <w:i w:val="0"/>
        </w:rPr>
        <w:t>”</w:t>
      </w:r>
      <w:r w:rsidRPr="001E3176">
        <w:rPr>
          <w:i w:val="0"/>
        </w:rPr>
        <w:t xml:space="preserve"> Green </w:t>
      </w:r>
      <w:r>
        <w:rPr>
          <w:i w:val="0"/>
        </w:rPr>
        <w:t xml:space="preserve">Energy Futures, January 29, 2013, </w:t>
      </w:r>
      <w:r w:rsidRPr="003E021B">
        <w:rPr>
          <w:i w:val="0"/>
        </w:rPr>
        <w:t>accessed August 11, 2013</w:t>
      </w:r>
      <w:r>
        <w:rPr>
          <w:i w:val="0"/>
        </w:rPr>
        <w:t xml:space="preserve">, </w:t>
      </w:r>
      <w:r w:rsidRPr="008C1625">
        <w:rPr>
          <w:i w:val="0"/>
        </w:rPr>
        <w:t>www.greenenergyfutures.ca/episode/28-sewer-heat-how-vancouver-harvesting-energy-what-goes-down-your-drain</w:t>
      </w:r>
      <w:r w:rsidRPr="001E3176">
        <w:rPr>
          <w:i w:val="0"/>
        </w:rPr>
        <w:t>.</w:t>
      </w:r>
    </w:p>
  </w:footnote>
  <w:footnote w:id="10">
    <w:p w14:paraId="218C7F26" w14:textId="3249F067" w:rsidR="00FF1EC1" w:rsidRPr="007C2A20" w:rsidRDefault="00FF1EC1" w:rsidP="00424672">
      <w:pPr>
        <w:pStyle w:val="Footnote"/>
        <w:rPr>
          <w:i w:val="0"/>
        </w:rPr>
      </w:pPr>
      <w:r w:rsidRPr="007C2A20">
        <w:rPr>
          <w:rStyle w:val="FootnoteReference"/>
          <w:i w:val="0"/>
          <w:sz w:val="16"/>
          <w:szCs w:val="16"/>
        </w:rPr>
        <w:footnoteRef/>
      </w:r>
      <w:r w:rsidRPr="007C2A20">
        <w:rPr>
          <w:i w:val="0"/>
        </w:rPr>
        <w:t xml:space="preserve"> </w:t>
      </w:r>
      <w:r>
        <w:rPr>
          <w:i w:val="0"/>
        </w:rPr>
        <w:t>“</w:t>
      </w:r>
      <w:r w:rsidRPr="007C2A20">
        <w:rPr>
          <w:i w:val="0"/>
        </w:rPr>
        <w:t>Benefits of Anaerobic Digestion,</w:t>
      </w:r>
      <w:r>
        <w:rPr>
          <w:i w:val="0"/>
        </w:rPr>
        <w:t>”</w:t>
      </w:r>
      <w:r w:rsidRPr="007C2A20">
        <w:rPr>
          <w:i w:val="0"/>
        </w:rPr>
        <w:t xml:space="preserve"> </w:t>
      </w:r>
      <w:proofErr w:type="spellStart"/>
      <w:r w:rsidR="00801E81">
        <w:rPr>
          <w:i w:val="0"/>
        </w:rPr>
        <w:t>Agri</w:t>
      </w:r>
      <w:proofErr w:type="spellEnd"/>
      <w:r w:rsidR="00801E81">
        <w:rPr>
          <w:i w:val="0"/>
        </w:rPr>
        <w:t xml:space="preserve">-Food and Biosciences Institute, </w:t>
      </w:r>
      <w:r w:rsidRPr="00842340">
        <w:rPr>
          <w:i w:val="0"/>
        </w:rPr>
        <w:t>accessed August 14, 2013</w:t>
      </w:r>
      <w:r>
        <w:rPr>
          <w:i w:val="0"/>
        </w:rPr>
        <w:t xml:space="preserve">, </w:t>
      </w:r>
      <w:r w:rsidRPr="007C2A20">
        <w:rPr>
          <w:i w:val="0"/>
        </w:rPr>
        <w:t>https://www.afbini.gov.uk/articles/1-benefits-anaerobic-digestion</w:t>
      </w:r>
      <w:r>
        <w:rPr>
          <w:i w:val="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7968" w14:textId="3AE148A9" w:rsidR="00FF1EC1" w:rsidRDefault="00FF1EC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626130">
      <w:rPr>
        <w:rFonts w:ascii="Arial" w:hAnsi="Arial"/>
        <w:b/>
      </w:rPr>
      <w:fldChar w:fldCharType="begin"/>
    </w:r>
    <w:r>
      <w:rPr>
        <w:rFonts w:ascii="Arial" w:hAnsi="Arial"/>
        <w:b/>
      </w:rPr>
      <w:instrText>PAGE</w:instrText>
    </w:r>
    <w:r w:rsidR="00626130">
      <w:rPr>
        <w:rFonts w:ascii="Arial" w:hAnsi="Arial"/>
        <w:b/>
      </w:rPr>
      <w:fldChar w:fldCharType="separate"/>
    </w:r>
    <w:r w:rsidR="00442673">
      <w:rPr>
        <w:rFonts w:ascii="Arial" w:hAnsi="Arial"/>
        <w:b/>
        <w:noProof/>
      </w:rPr>
      <w:t>11</w:t>
    </w:r>
    <w:r w:rsidR="00626130">
      <w:rPr>
        <w:rFonts w:ascii="Arial" w:hAnsi="Arial"/>
        <w:b/>
      </w:rPr>
      <w:fldChar w:fldCharType="end"/>
    </w:r>
    <w:r>
      <w:rPr>
        <w:rFonts w:ascii="Arial" w:hAnsi="Arial"/>
        <w:b/>
      </w:rPr>
      <w:tab/>
      <w:t>9B17M</w:t>
    </w:r>
    <w:r w:rsidR="00F14251">
      <w:rPr>
        <w:rFonts w:ascii="Arial" w:hAnsi="Arial"/>
        <w:b/>
      </w:rPr>
      <w:t>068</w:t>
    </w:r>
  </w:p>
  <w:p w14:paraId="494C8FA1" w14:textId="77777777" w:rsidR="00FF1EC1" w:rsidRPr="00C92CC4" w:rsidRDefault="00FF1EC1">
    <w:pPr>
      <w:pStyle w:val="Header"/>
      <w:rPr>
        <w:sz w:val="18"/>
        <w:szCs w:val="18"/>
      </w:rPr>
    </w:pPr>
  </w:p>
  <w:p w14:paraId="192EEF47" w14:textId="77777777" w:rsidR="00FF1EC1" w:rsidRPr="00C92CC4" w:rsidRDefault="00FF1EC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018F7"/>
    <w:multiLevelType w:val="hybridMultilevel"/>
    <w:tmpl w:val="FB1A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F7D30"/>
    <w:multiLevelType w:val="hybridMultilevel"/>
    <w:tmpl w:val="CACA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10949"/>
    <w:multiLevelType w:val="hybridMultilevel"/>
    <w:tmpl w:val="C7326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29D425D"/>
    <w:multiLevelType w:val="hybridMultilevel"/>
    <w:tmpl w:val="5244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4DF8772C"/>
    <w:multiLevelType w:val="hybridMultilevel"/>
    <w:tmpl w:val="60D8C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6A020B1B"/>
    <w:multiLevelType w:val="hybridMultilevel"/>
    <w:tmpl w:val="7FE85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2"/>
  </w:num>
  <w:num w:numId="13">
    <w:abstractNumId w:val="13"/>
  </w:num>
  <w:num w:numId="14">
    <w:abstractNumId w:val="24"/>
  </w:num>
  <w:num w:numId="15">
    <w:abstractNumId w:val="25"/>
  </w:num>
  <w:num w:numId="16">
    <w:abstractNumId w:val="26"/>
  </w:num>
  <w:num w:numId="17">
    <w:abstractNumId w:val="16"/>
  </w:num>
  <w:num w:numId="18">
    <w:abstractNumId w:val="27"/>
  </w:num>
  <w:num w:numId="19">
    <w:abstractNumId w:val="12"/>
  </w:num>
  <w:num w:numId="20">
    <w:abstractNumId w:val="11"/>
  </w:num>
  <w:num w:numId="21">
    <w:abstractNumId w:val="29"/>
  </w:num>
  <w:num w:numId="22">
    <w:abstractNumId w:val="21"/>
  </w:num>
  <w:num w:numId="23">
    <w:abstractNumId w:val="3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9"/>
  </w:num>
  <w:num w:numId="28">
    <w:abstractNumId w:val="10"/>
  </w:num>
  <w:num w:numId="29">
    <w:abstractNumId w:val="20"/>
  </w:num>
  <w:num w:numId="30">
    <w:abstractNumId w:val="17"/>
  </w:num>
  <w:num w:numId="31">
    <w:abstractNumId w:val="23"/>
  </w:num>
  <w:num w:numId="32">
    <w:abstractNumId w:val="2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602"/>
    <w:rsid w:val="00013360"/>
    <w:rsid w:val="000216CE"/>
    <w:rsid w:val="00023B56"/>
    <w:rsid w:val="00023CD7"/>
    <w:rsid w:val="00025DC7"/>
    <w:rsid w:val="00026486"/>
    <w:rsid w:val="00044ECC"/>
    <w:rsid w:val="000531D3"/>
    <w:rsid w:val="0005646B"/>
    <w:rsid w:val="00066217"/>
    <w:rsid w:val="000665E4"/>
    <w:rsid w:val="0008102D"/>
    <w:rsid w:val="0009062A"/>
    <w:rsid w:val="00094C0E"/>
    <w:rsid w:val="000B44D6"/>
    <w:rsid w:val="000F0C22"/>
    <w:rsid w:val="000F6B09"/>
    <w:rsid w:val="000F6FDC"/>
    <w:rsid w:val="00104567"/>
    <w:rsid w:val="00106F91"/>
    <w:rsid w:val="00110E42"/>
    <w:rsid w:val="00112327"/>
    <w:rsid w:val="001173C2"/>
    <w:rsid w:val="00122CDF"/>
    <w:rsid w:val="00126E16"/>
    <w:rsid w:val="0012732D"/>
    <w:rsid w:val="00154FC9"/>
    <w:rsid w:val="00173071"/>
    <w:rsid w:val="0019241A"/>
    <w:rsid w:val="00195BA4"/>
    <w:rsid w:val="001A322A"/>
    <w:rsid w:val="001A5335"/>
    <w:rsid w:val="001A752D"/>
    <w:rsid w:val="001A7598"/>
    <w:rsid w:val="001B374B"/>
    <w:rsid w:val="001C2AB9"/>
    <w:rsid w:val="001E19A7"/>
    <w:rsid w:val="001E3176"/>
    <w:rsid w:val="001E425A"/>
    <w:rsid w:val="001E75AF"/>
    <w:rsid w:val="00203AA1"/>
    <w:rsid w:val="002050EC"/>
    <w:rsid w:val="00213E98"/>
    <w:rsid w:val="002B2D89"/>
    <w:rsid w:val="002C70D9"/>
    <w:rsid w:val="002D1B57"/>
    <w:rsid w:val="002E4B32"/>
    <w:rsid w:val="002F460C"/>
    <w:rsid w:val="002F48D6"/>
    <w:rsid w:val="00331A4B"/>
    <w:rsid w:val="00334475"/>
    <w:rsid w:val="00337171"/>
    <w:rsid w:val="003434B1"/>
    <w:rsid w:val="00354899"/>
    <w:rsid w:val="00355FD6"/>
    <w:rsid w:val="00361C8E"/>
    <w:rsid w:val="00364A5C"/>
    <w:rsid w:val="00373FB1"/>
    <w:rsid w:val="00382829"/>
    <w:rsid w:val="00382E30"/>
    <w:rsid w:val="003A4B67"/>
    <w:rsid w:val="003A557B"/>
    <w:rsid w:val="003B30D8"/>
    <w:rsid w:val="003B7EF2"/>
    <w:rsid w:val="003C3FA4"/>
    <w:rsid w:val="003D0A99"/>
    <w:rsid w:val="003E7695"/>
    <w:rsid w:val="003F2B0C"/>
    <w:rsid w:val="004031F6"/>
    <w:rsid w:val="004041E3"/>
    <w:rsid w:val="0041462A"/>
    <w:rsid w:val="004221E4"/>
    <w:rsid w:val="00424672"/>
    <w:rsid w:val="00424FF1"/>
    <w:rsid w:val="004322EC"/>
    <w:rsid w:val="00433443"/>
    <w:rsid w:val="00442673"/>
    <w:rsid w:val="00443818"/>
    <w:rsid w:val="004440FC"/>
    <w:rsid w:val="00445C4D"/>
    <w:rsid w:val="00457459"/>
    <w:rsid w:val="00457ED1"/>
    <w:rsid w:val="0046184F"/>
    <w:rsid w:val="00471088"/>
    <w:rsid w:val="00474283"/>
    <w:rsid w:val="00483AF9"/>
    <w:rsid w:val="00490465"/>
    <w:rsid w:val="00495221"/>
    <w:rsid w:val="004976B2"/>
    <w:rsid w:val="004A2C02"/>
    <w:rsid w:val="004A2F6E"/>
    <w:rsid w:val="004A4A6B"/>
    <w:rsid w:val="004A6AF0"/>
    <w:rsid w:val="004B1CCB"/>
    <w:rsid w:val="004B417A"/>
    <w:rsid w:val="004C5623"/>
    <w:rsid w:val="004C7E53"/>
    <w:rsid w:val="004D73A5"/>
    <w:rsid w:val="004E194A"/>
    <w:rsid w:val="004E2FFC"/>
    <w:rsid w:val="004E4176"/>
    <w:rsid w:val="004F3D9F"/>
    <w:rsid w:val="00504A55"/>
    <w:rsid w:val="00524227"/>
    <w:rsid w:val="005274FD"/>
    <w:rsid w:val="00530956"/>
    <w:rsid w:val="00532CF5"/>
    <w:rsid w:val="00547E5D"/>
    <w:rsid w:val="005528CB"/>
    <w:rsid w:val="00566771"/>
    <w:rsid w:val="00581E2E"/>
    <w:rsid w:val="00584F15"/>
    <w:rsid w:val="00594B3C"/>
    <w:rsid w:val="005A5518"/>
    <w:rsid w:val="00610C90"/>
    <w:rsid w:val="00614D99"/>
    <w:rsid w:val="006163F7"/>
    <w:rsid w:val="00626130"/>
    <w:rsid w:val="0063486C"/>
    <w:rsid w:val="0064233C"/>
    <w:rsid w:val="006472BA"/>
    <w:rsid w:val="00652606"/>
    <w:rsid w:val="00670C78"/>
    <w:rsid w:val="00676D58"/>
    <w:rsid w:val="00682754"/>
    <w:rsid w:val="006834E0"/>
    <w:rsid w:val="00691935"/>
    <w:rsid w:val="00693CF2"/>
    <w:rsid w:val="00693FF1"/>
    <w:rsid w:val="006A58A9"/>
    <w:rsid w:val="006A606D"/>
    <w:rsid w:val="006A6575"/>
    <w:rsid w:val="006B1F06"/>
    <w:rsid w:val="006C0371"/>
    <w:rsid w:val="006C08B6"/>
    <w:rsid w:val="006C0B1A"/>
    <w:rsid w:val="006C6065"/>
    <w:rsid w:val="006C7F9F"/>
    <w:rsid w:val="006E2F6D"/>
    <w:rsid w:val="006E58F6"/>
    <w:rsid w:val="006E77E1"/>
    <w:rsid w:val="006F131D"/>
    <w:rsid w:val="006F5139"/>
    <w:rsid w:val="007138B7"/>
    <w:rsid w:val="00724D82"/>
    <w:rsid w:val="00741783"/>
    <w:rsid w:val="007461C1"/>
    <w:rsid w:val="00752BCD"/>
    <w:rsid w:val="00766DA1"/>
    <w:rsid w:val="007734D1"/>
    <w:rsid w:val="00777F27"/>
    <w:rsid w:val="00777F64"/>
    <w:rsid w:val="007866A6"/>
    <w:rsid w:val="00791DEF"/>
    <w:rsid w:val="007A130D"/>
    <w:rsid w:val="007A4BA4"/>
    <w:rsid w:val="007A7A74"/>
    <w:rsid w:val="007C2A20"/>
    <w:rsid w:val="007D4102"/>
    <w:rsid w:val="007E5921"/>
    <w:rsid w:val="007E78A6"/>
    <w:rsid w:val="007F37BE"/>
    <w:rsid w:val="00800891"/>
    <w:rsid w:val="00801E81"/>
    <w:rsid w:val="008066C1"/>
    <w:rsid w:val="00821FFC"/>
    <w:rsid w:val="008271CA"/>
    <w:rsid w:val="00846532"/>
    <w:rsid w:val="008467D5"/>
    <w:rsid w:val="00846F87"/>
    <w:rsid w:val="00856239"/>
    <w:rsid w:val="00856D9F"/>
    <w:rsid w:val="00857D79"/>
    <w:rsid w:val="0087263D"/>
    <w:rsid w:val="008776CC"/>
    <w:rsid w:val="0088452F"/>
    <w:rsid w:val="008938E2"/>
    <w:rsid w:val="008A4DC4"/>
    <w:rsid w:val="008A7ECC"/>
    <w:rsid w:val="008B3B08"/>
    <w:rsid w:val="008C1625"/>
    <w:rsid w:val="008D1DFB"/>
    <w:rsid w:val="008D1FAC"/>
    <w:rsid w:val="008E14A8"/>
    <w:rsid w:val="008F3669"/>
    <w:rsid w:val="008F7B28"/>
    <w:rsid w:val="00901897"/>
    <w:rsid w:val="009067A4"/>
    <w:rsid w:val="0090722E"/>
    <w:rsid w:val="009141B4"/>
    <w:rsid w:val="00914E7E"/>
    <w:rsid w:val="00930ECF"/>
    <w:rsid w:val="009340DB"/>
    <w:rsid w:val="00937CF5"/>
    <w:rsid w:val="00972498"/>
    <w:rsid w:val="00974CC6"/>
    <w:rsid w:val="00976AD4"/>
    <w:rsid w:val="009957F6"/>
    <w:rsid w:val="009A19BA"/>
    <w:rsid w:val="009A312F"/>
    <w:rsid w:val="009A5348"/>
    <w:rsid w:val="009B00F8"/>
    <w:rsid w:val="009B1696"/>
    <w:rsid w:val="009C5B5E"/>
    <w:rsid w:val="009C71FA"/>
    <w:rsid w:val="009C76D5"/>
    <w:rsid w:val="009D2864"/>
    <w:rsid w:val="009D37F1"/>
    <w:rsid w:val="009F216A"/>
    <w:rsid w:val="009F6E2A"/>
    <w:rsid w:val="009F7AA4"/>
    <w:rsid w:val="00A0015D"/>
    <w:rsid w:val="00A25968"/>
    <w:rsid w:val="00A27B6B"/>
    <w:rsid w:val="00A33187"/>
    <w:rsid w:val="00A34F2B"/>
    <w:rsid w:val="00A504E7"/>
    <w:rsid w:val="00A50A93"/>
    <w:rsid w:val="00A559DB"/>
    <w:rsid w:val="00A97A56"/>
    <w:rsid w:val="00AA1712"/>
    <w:rsid w:val="00AA6184"/>
    <w:rsid w:val="00AB129A"/>
    <w:rsid w:val="00AC42CD"/>
    <w:rsid w:val="00AE6EB9"/>
    <w:rsid w:val="00AF35FC"/>
    <w:rsid w:val="00B013BB"/>
    <w:rsid w:val="00B03639"/>
    <w:rsid w:val="00B0652A"/>
    <w:rsid w:val="00B1248A"/>
    <w:rsid w:val="00B15150"/>
    <w:rsid w:val="00B15924"/>
    <w:rsid w:val="00B15EE2"/>
    <w:rsid w:val="00B167EA"/>
    <w:rsid w:val="00B16C51"/>
    <w:rsid w:val="00B201F7"/>
    <w:rsid w:val="00B220FA"/>
    <w:rsid w:val="00B3757D"/>
    <w:rsid w:val="00B40937"/>
    <w:rsid w:val="00B423EF"/>
    <w:rsid w:val="00B453DE"/>
    <w:rsid w:val="00B45ACA"/>
    <w:rsid w:val="00B4742F"/>
    <w:rsid w:val="00B73B8D"/>
    <w:rsid w:val="00B87C0D"/>
    <w:rsid w:val="00B901F9"/>
    <w:rsid w:val="00BA53FF"/>
    <w:rsid w:val="00BB5ADE"/>
    <w:rsid w:val="00BB7F96"/>
    <w:rsid w:val="00BC42A3"/>
    <w:rsid w:val="00BC5D7A"/>
    <w:rsid w:val="00BC703F"/>
    <w:rsid w:val="00BD6EFB"/>
    <w:rsid w:val="00BF773D"/>
    <w:rsid w:val="00C15BE2"/>
    <w:rsid w:val="00C22219"/>
    <w:rsid w:val="00C24FE0"/>
    <w:rsid w:val="00C31434"/>
    <w:rsid w:val="00C3270C"/>
    <w:rsid w:val="00C3447F"/>
    <w:rsid w:val="00C603F1"/>
    <w:rsid w:val="00C641F0"/>
    <w:rsid w:val="00C6616E"/>
    <w:rsid w:val="00C67074"/>
    <w:rsid w:val="00C7381E"/>
    <w:rsid w:val="00C75C03"/>
    <w:rsid w:val="00C76B37"/>
    <w:rsid w:val="00C81491"/>
    <w:rsid w:val="00C81676"/>
    <w:rsid w:val="00C92B4A"/>
    <w:rsid w:val="00C92CC4"/>
    <w:rsid w:val="00CA0AFB"/>
    <w:rsid w:val="00CA2CE1"/>
    <w:rsid w:val="00CA3976"/>
    <w:rsid w:val="00CA757B"/>
    <w:rsid w:val="00CB2DDF"/>
    <w:rsid w:val="00CC085A"/>
    <w:rsid w:val="00CC1787"/>
    <w:rsid w:val="00CC182C"/>
    <w:rsid w:val="00CD0824"/>
    <w:rsid w:val="00CD2908"/>
    <w:rsid w:val="00D0396C"/>
    <w:rsid w:val="00D03A82"/>
    <w:rsid w:val="00D05B02"/>
    <w:rsid w:val="00D15344"/>
    <w:rsid w:val="00D17111"/>
    <w:rsid w:val="00D24D6E"/>
    <w:rsid w:val="00D303DF"/>
    <w:rsid w:val="00D31BEC"/>
    <w:rsid w:val="00D45F51"/>
    <w:rsid w:val="00D5650D"/>
    <w:rsid w:val="00D57EF0"/>
    <w:rsid w:val="00D63150"/>
    <w:rsid w:val="00D64A32"/>
    <w:rsid w:val="00D64EFC"/>
    <w:rsid w:val="00D650C7"/>
    <w:rsid w:val="00D75295"/>
    <w:rsid w:val="00D76CE9"/>
    <w:rsid w:val="00D808E7"/>
    <w:rsid w:val="00D97F12"/>
    <w:rsid w:val="00DB42E7"/>
    <w:rsid w:val="00DC6C90"/>
    <w:rsid w:val="00DF32C2"/>
    <w:rsid w:val="00E10E79"/>
    <w:rsid w:val="00E117AC"/>
    <w:rsid w:val="00E445BA"/>
    <w:rsid w:val="00E46EBE"/>
    <w:rsid w:val="00E471A7"/>
    <w:rsid w:val="00E54F0C"/>
    <w:rsid w:val="00E635CF"/>
    <w:rsid w:val="00E854DD"/>
    <w:rsid w:val="00EB5410"/>
    <w:rsid w:val="00EC6E0A"/>
    <w:rsid w:val="00EC7BDA"/>
    <w:rsid w:val="00ED21FB"/>
    <w:rsid w:val="00ED4E18"/>
    <w:rsid w:val="00ED59A2"/>
    <w:rsid w:val="00EE1F37"/>
    <w:rsid w:val="00EE282A"/>
    <w:rsid w:val="00EF1673"/>
    <w:rsid w:val="00F0159C"/>
    <w:rsid w:val="00F05042"/>
    <w:rsid w:val="00F105B7"/>
    <w:rsid w:val="00F13131"/>
    <w:rsid w:val="00F14251"/>
    <w:rsid w:val="00F17A21"/>
    <w:rsid w:val="00F23898"/>
    <w:rsid w:val="00F24FF5"/>
    <w:rsid w:val="00F50E91"/>
    <w:rsid w:val="00F56DB9"/>
    <w:rsid w:val="00F57D29"/>
    <w:rsid w:val="00F64972"/>
    <w:rsid w:val="00F65E86"/>
    <w:rsid w:val="00F762E5"/>
    <w:rsid w:val="00F8507D"/>
    <w:rsid w:val="00F87484"/>
    <w:rsid w:val="00F92A99"/>
    <w:rsid w:val="00F96201"/>
    <w:rsid w:val="00FA2D82"/>
    <w:rsid w:val="00FA3F94"/>
    <w:rsid w:val="00FA7226"/>
    <w:rsid w:val="00FC30E9"/>
    <w:rsid w:val="00FC33C0"/>
    <w:rsid w:val="00FD0B18"/>
    <w:rsid w:val="00FD0F82"/>
    <w:rsid w:val="00FD2DBD"/>
    <w:rsid w:val="00FD6963"/>
    <w:rsid w:val="00FE1F53"/>
    <w:rsid w:val="00FE49C1"/>
    <w:rsid w:val="00FE714F"/>
    <w:rsid w:val="00FF1E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1AF0330A"/>
  <w15:docId w15:val="{F2569985-736D-4C37-BBDD-A460B679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7033A-1393-4D6F-9753-D2F1BC04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4973</Words>
  <Characters>28348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Irvine, Judy</cp:lastModifiedBy>
  <cp:revision>20</cp:revision>
  <cp:lastPrinted>2017-04-12T17:02:00Z</cp:lastPrinted>
  <dcterms:created xsi:type="dcterms:W3CDTF">2017-05-03T17:00:00Z</dcterms:created>
  <dcterms:modified xsi:type="dcterms:W3CDTF">2017-06-02T13:21:00Z</dcterms:modified>
</cp:coreProperties>
</file>