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5A50CE" w:rsidP="00F105B7">
      <w:pPr>
        <w:pStyle w:val="ProductNumber"/>
      </w:pPr>
      <w:r>
        <w:t>9B17M072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262A45" w:rsidRDefault="005A50CE" w:rsidP="00013360">
      <w:pPr>
        <w:pStyle w:val="CaseTitle"/>
        <w:spacing w:after="0" w:line="240" w:lineRule="auto"/>
        <w:rPr>
          <w:spacing w:val="-2"/>
          <w:sz w:val="20"/>
          <w:szCs w:val="20"/>
        </w:rPr>
      </w:pPr>
      <w:r w:rsidRPr="00262A45">
        <w:rPr>
          <w:spacing w:val="-2"/>
          <w:lang w:val="en-GB"/>
        </w:rPr>
        <w:t>SHAW COMMUNICATIONS: BECOMING A CONNECTIVITY PURE PLAY?</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5A50CE" w:rsidP="00627C63">
      <w:pPr>
        <w:pStyle w:val="StyleCopyrightStatementAfter0ptBottomSinglesolidline1"/>
      </w:pPr>
      <w:r w:rsidRPr="00E319CA">
        <w:rPr>
          <w:lang w:val="en-GB"/>
        </w:rPr>
        <w:t xml:space="preserve">Jeremiah De Sousa wrote this case under the supervision of </w:t>
      </w:r>
      <w:r w:rsidR="005D78B4">
        <w:rPr>
          <w:lang w:val="en-GB"/>
        </w:rPr>
        <w:t xml:space="preserve">Professors </w:t>
      </w:r>
      <w:r w:rsidRPr="00E319CA">
        <w:rPr>
          <w:lang w:val="en-GB"/>
        </w:rPr>
        <w:t>Rod White and W. Glenn Rowe solely to provide material for class discussion.</w:t>
      </w:r>
      <w:r>
        <w:rPr>
          <w:lang w:val="en-GB"/>
        </w:rPr>
        <w:t xml:space="preserve"> </w:t>
      </w:r>
      <w:r w:rsidR="00152682" w:rsidRPr="00104567">
        <w:t>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5A50CE">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5A50CE">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5A50CE">
        <w:t>2017</w:t>
      </w:r>
      <w:r w:rsidR="001C7777">
        <w:t>-</w:t>
      </w:r>
      <w:r w:rsidR="005A50CE">
        <w:t>0</w:t>
      </w:r>
      <w:r w:rsidR="005D78B4">
        <w:t>7</w:t>
      </w:r>
      <w:r w:rsidR="00751E0B">
        <w:t>-</w:t>
      </w:r>
      <w:r w:rsidR="005D78B4">
        <w:t>25</w:t>
      </w:r>
      <w:bookmarkStart w:id="0" w:name="_GoBack"/>
      <w:bookmarkEnd w:id="0"/>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5A50CE" w:rsidRPr="00E319CA" w:rsidRDefault="005A50CE" w:rsidP="005A50CE">
      <w:pPr>
        <w:pStyle w:val="BodyTextMain"/>
        <w:rPr>
          <w:lang w:val="en-GB"/>
        </w:rPr>
      </w:pPr>
      <w:r w:rsidRPr="00E319CA">
        <w:rPr>
          <w:lang w:val="en-GB"/>
        </w:rPr>
        <w:t>Brad Shaw, chief executive officer of Shaw Communications (Shaw), was looking forward to the upcoming 2015 Christmas break. It had been a very busy fall, culminating with the public announcement of Shaw’s industry-altering acquisition of the independent cellular phone network provider WIND Mobile (WIND) for CA$1.6 billion.</w:t>
      </w:r>
      <w:r w:rsidRPr="00E319CA">
        <w:rPr>
          <w:rStyle w:val="FootnoteReference"/>
          <w:lang w:val="en-GB"/>
        </w:rPr>
        <w:footnoteReference w:id="1"/>
      </w:r>
      <w:r w:rsidRPr="00E319CA">
        <w:rPr>
          <w:lang w:val="en-GB"/>
        </w:rPr>
        <w:t xml:space="preserve"> When completed, this acquisition would add cellular services to Shaw’s existing consumer connectivity businesses of cable and satellite television, Internet, and landline telephone services, making Shaw’s connectivity portfolio similar to that of the other major Canadian telecommunications players—Rogers Communications (Rogers), Bell Canada (Bell), and TELUS Communications (TELUS). But another major strategic decision loomed, and Brad wanted to reflect on it before the January board meeting. </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In addition to its telecommunications or connectivity assets, Shaw also held significant media assets, including Shaw Media, which </w:t>
      </w:r>
      <w:proofErr w:type="gramStart"/>
      <w:r w:rsidRPr="00E319CA">
        <w:rPr>
          <w:lang w:val="en-GB"/>
        </w:rPr>
        <w:t>was 100 per cent</w:t>
      </w:r>
      <w:proofErr w:type="gramEnd"/>
      <w:r w:rsidRPr="00E319CA">
        <w:rPr>
          <w:lang w:val="en-GB"/>
        </w:rPr>
        <w:t xml:space="preserve"> owned by Shaw Communications. During the fall of 2015, an internal team had explored how best to construct Shaw’s participation in the media business. In part, this consideration was motivated by the WIND acquisition, which had been implemented with bridge financing. Shaw had a strong balance sheet and could handle the additional debt. </w:t>
      </w:r>
      <w:r w:rsidR="00A40CEF">
        <w:t>If Shaw’s media assets were deemed to be non-strategic; they could be sold, in whole or in part, to retire the bridge financing and provide greater financial flexibility</w:t>
      </w:r>
      <w:r w:rsidRPr="00E319CA">
        <w:rPr>
          <w:lang w:val="en-GB"/>
        </w:rPr>
        <w:t>. The company had developed a specific proposal for reorganizing Shaw’s media assets and generating funds, and it would be considered at the next board meeting.</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Reducing its media assets would make Shaw more of a “pure-play connectivity company.” Was this approach the right way to go? With widespread high-speed Internet </w:t>
      </w:r>
      <w:r>
        <w:rPr>
          <w:lang w:val="en-GB"/>
        </w:rPr>
        <w:t xml:space="preserve">access </w:t>
      </w:r>
      <w:r w:rsidRPr="00E319CA">
        <w:rPr>
          <w:lang w:val="en-GB"/>
        </w:rPr>
        <w:t xml:space="preserve">to consumers’ homes, and increasingly to their mobile devices, the connectivity and media industries were changing dramatically. Brad knew that most other major Canadian telecommunication players had, over the past two decades, acquired and continued to hold significant media assets. How important might the control of media assets be to Shaw’s connectivity businesses? </w:t>
      </w:r>
      <w:r>
        <w:rPr>
          <w:lang w:val="en-GB"/>
        </w:rPr>
        <w:t>W</w:t>
      </w:r>
      <w:r w:rsidRPr="00E319CA">
        <w:rPr>
          <w:lang w:val="en-GB"/>
        </w:rPr>
        <w:t>hat ownership and governance structure was most likely to maximize the value of Shaw’s media assets? Brad looked forward to the holiday break so he would have time to think more about these important questions and prepare for the January board meeting.</w:t>
      </w:r>
    </w:p>
    <w:p w:rsidR="005A50CE" w:rsidRPr="00E319CA" w:rsidRDefault="005A50CE" w:rsidP="005A50CE">
      <w:pPr>
        <w:pStyle w:val="casehead10"/>
        <w:rPr>
          <w:lang w:val="en-GB"/>
        </w:rPr>
      </w:pPr>
      <w:r w:rsidRPr="00E319CA">
        <w:rPr>
          <w:lang w:val="en-GB"/>
        </w:rPr>
        <w:lastRenderedPageBreak/>
        <w:t>SHAW COMMUNICATIONS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Founded in Edmonton, Alberta, as Capital Cable Television Company, Shaw was entering its 50th year in business. The company had grown to offer a breadth of services beyond its founding consumer cable business. Throughout its existence, and at its height, Shaw’s cable television division was the largest in Canada (per subscription totals) and dwarfed all other divisions within Shaw. However, recent results indicated a new reality for Shaw; the company’s cable television division was no longer its largest division. Due to the rapid changes in consumer preferences, Shaw’s Internet division outpaced its other divisions, at 1.77 million subscribers by the end of fiscal 2015.</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Shaw’s major business lines were consumer, media, and business network and infrastructure services. Business Network Services combined Shaw’s services for both business and public sector customers. Business Infrastructure Services had been formed with the 2014 acquisition of </w:t>
      </w:r>
      <w:proofErr w:type="spellStart"/>
      <w:r w:rsidRPr="00E319CA">
        <w:rPr>
          <w:lang w:val="en-GB"/>
        </w:rPr>
        <w:t>ViaWest</w:t>
      </w:r>
      <w:proofErr w:type="spellEnd"/>
      <w:r w:rsidRPr="00E319CA">
        <w:rPr>
          <w:lang w:val="en-GB"/>
        </w:rPr>
        <w:t>, based in Denver, Colorado, to provide a growth platform for cloud and data centre services for business customers. Shaw’s consumer connectivity and media businesses are described in the next section. Financial results are provided in Exhibit 1. Fiscal 2015 financial results by line of business were as follows (in $ millions):</w:t>
      </w:r>
    </w:p>
    <w:p w:rsidR="005A50CE" w:rsidRPr="00E319CA" w:rsidRDefault="005A50CE" w:rsidP="005A50CE">
      <w:pPr>
        <w:pStyle w:val="BodyText"/>
        <w:rPr>
          <w:lang w:val="en-GB"/>
        </w:rPr>
      </w:pPr>
    </w:p>
    <w:p w:rsidR="005A50CE" w:rsidRPr="005A50CE" w:rsidRDefault="00382FDC" w:rsidP="00262A45">
      <w:pPr>
        <w:pStyle w:val="BodyText"/>
        <w:tabs>
          <w:tab w:val="left" w:pos="3686"/>
          <w:tab w:val="left" w:pos="5103"/>
          <w:tab w:val="left" w:pos="6521"/>
        </w:tabs>
        <w:spacing w:after="0"/>
        <w:ind w:left="1440"/>
        <w:rPr>
          <w:rStyle w:val="BodyTextMainChar"/>
          <w:sz w:val="22"/>
          <w:szCs w:val="22"/>
        </w:rPr>
      </w:pPr>
      <w:r>
        <w:rPr>
          <w:sz w:val="22"/>
          <w:szCs w:val="22"/>
          <w:lang w:val="en-GB"/>
        </w:rPr>
        <w:tab/>
      </w:r>
      <w:r w:rsidR="005A50CE" w:rsidRPr="005A50CE">
        <w:rPr>
          <w:sz w:val="22"/>
          <w:szCs w:val="22"/>
          <w:lang w:val="en-GB"/>
        </w:rPr>
        <w:t>Consumer</w:t>
      </w:r>
      <w:r w:rsidR="005A50CE" w:rsidRPr="005A50CE">
        <w:rPr>
          <w:sz w:val="22"/>
          <w:szCs w:val="22"/>
          <w:lang w:val="en-GB"/>
        </w:rPr>
        <w:tab/>
        <w:t>Business</w:t>
      </w:r>
      <w:r w:rsidR="005A50CE" w:rsidRPr="005A50CE">
        <w:rPr>
          <w:rStyle w:val="FootnoteReference"/>
          <w:color w:val="000000" w:themeColor="text1"/>
          <w:sz w:val="22"/>
          <w:szCs w:val="22"/>
          <w:lang w:val="en-GB"/>
        </w:rPr>
        <w:footnoteReference w:id="2"/>
      </w:r>
      <w:r w:rsidR="005A50CE" w:rsidRPr="005A50CE">
        <w:rPr>
          <w:sz w:val="22"/>
          <w:szCs w:val="22"/>
          <w:lang w:val="en-GB"/>
        </w:rPr>
        <w:tab/>
        <w:t>Media</w:t>
      </w:r>
    </w:p>
    <w:p w:rsidR="005A50CE" w:rsidRPr="005A50CE" w:rsidRDefault="005A50CE" w:rsidP="00262A45">
      <w:pPr>
        <w:pStyle w:val="BodyText"/>
        <w:tabs>
          <w:tab w:val="left" w:pos="709"/>
          <w:tab w:val="right" w:pos="4395"/>
          <w:tab w:val="right" w:pos="5812"/>
          <w:tab w:val="right" w:pos="7088"/>
        </w:tabs>
        <w:spacing w:after="0"/>
        <w:ind w:left="1440"/>
        <w:rPr>
          <w:sz w:val="22"/>
          <w:szCs w:val="22"/>
          <w:lang w:val="en-GB"/>
        </w:rPr>
      </w:pPr>
      <w:r w:rsidRPr="005A50CE">
        <w:rPr>
          <w:sz w:val="22"/>
          <w:szCs w:val="22"/>
          <w:lang w:val="en-GB"/>
        </w:rPr>
        <w:t>Revenue</w:t>
      </w:r>
      <w:r w:rsidR="00262A45">
        <w:rPr>
          <w:sz w:val="22"/>
          <w:szCs w:val="22"/>
          <w:lang w:val="en-GB"/>
        </w:rPr>
        <w:tab/>
      </w:r>
      <w:r w:rsidRPr="005A50CE">
        <w:rPr>
          <w:sz w:val="22"/>
          <w:szCs w:val="22"/>
          <w:lang w:val="en-GB"/>
        </w:rPr>
        <w:t>$3,752</w:t>
      </w:r>
      <w:r w:rsidRPr="005A50CE">
        <w:rPr>
          <w:sz w:val="22"/>
          <w:szCs w:val="22"/>
          <w:lang w:val="en-GB"/>
        </w:rPr>
        <w:tab/>
        <w:t xml:space="preserve"> $766</w:t>
      </w:r>
      <w:r w:rsidR="00262A45">
        <w:rPr>
          <w:sz w:val="22"/>
          <w:szCs w:val="22"/>
          <w:lang w:val="en-GB"/>
        </w:rPr>
        <w:tab/>
      </w:r>
      <w:r w:rsidRPr="005A50CE">
        <w:rPr>
          <w:sz w:val="22"/>
          <w:szCs w:val="22"/>
          <w:lang w:val="en-GB"/>
        </w:rPr>
        <w:t>$1,080</w:t>
      </w:r>
    </w:p>
    <w:p w:rsidR="005A50CE" w:rsidRPr="005A50CE" w:rsidRDefault="005A50CE" w:rsidP="00262A45">
      <w:pPr>
        <w:pStyle w:val="BodyText"/>
        <w:tabs>
          <w:tab w:val="left" w:pos="709"/>
          <w:tab w:val="left" w:pos="1985"/>
          <w:tab w:val="right" w:pos="4395"/>
          <w:tab w:val="right" w:pos="5812"/>
          <w:tab w:val="right" w:pos="7088"/>
        </w:tabs>
        <w:spacing w:after="0"/>
        <w:ind w:left="1440"/>
        <w:rPr>
          <w:sz w:val="22"/>
          <w:szCs w:val="22"/>
          <w:lang w:val="en-GB"/>
        </w:rPr>
      </w:pPr>
      <w:r w:rsidRPr="005A50CE">
        <w:rPr>
          <w:sz w:val="22"/>
          <w:szCs w:val="22"/>
          <w:lang w:val="en-GB"/>
        </w:rPr>
        <w:t>Operating Income</w:t>
      </w:r>
      <w:r w:rsidRPr="005A50CE">
        <w:rPr>
          <w:sz w:val="22"/>
          <w:szCs w:val="22"/>
          <w:vertAlign w:val="superscript"/>
          <w:lang w:val="en-GB"/>
        </w:rPr>
        <w:footnoteReference w:id="3"/>
      </w:r>
      <w:r w:rsidR="00262A45">
        <w:rPr>
          <w:sz w:val="22"/>
          <w:szCs w:val="22"/>
          <w:lang w:val="en-GB"/>
        </w:rPr>
        <w:tab/>
      </w:r>
      <w:r w:rsidRPr="005A50CE">
        <w:rPr>
          <w:sz w:val="22"/>
          <w:szCs w:val="22"/>
          <w:lang w:val="en-GB"/>
        </w:rPr>
        <w:t xml:space="preserve">$1,686 </w:t>
      </w:r>
      <w:r w:rsidRPr="005A50CE">
        <w:rPr>
          <w:sz w:val="22"/>
          <w:szCs w:val="22"/>
          <w:lang w:val="en-GB"/>
        </w:rPr>
        <w:tab/>
        <w:t>$351</w:t>
      </w:r>
      <w:r w:rsidR="00262A45">
        <w:rPr>
          <w:sz w:val="22"/>
          <w:szCs w:val="22"/>
          <w:lang w:val="en-GB"/>
        </w:rPr>
        <w:tab/>
      </w:r>
      <w:r w:rsidRPr="005A50CE">
        <w:rPr>
          <w:sz w:val="22"/>
          <w:szCs w:val="22"/>
          <w:lang w:val="en-GB"/>
        </w:rPr>
        <w:t>$342</w:t>
      </w:r>
    </w:p>
    <w:p w:rsidR="005A50CE" w:rsidRPr="005A50CE" w:rsidRDefault="005A50CE" w:rsidP="00262A45">
      <w:pPr>
        <w:pStyle w:val="BodyText"/>
        <w:tabs>
          <w:tab w:val="left" w:pos="709"/>
          <w:tab w:val="right" w:pos="4395"/>
          <w:tab w:val="right" w:pos="5812"/>
          <w:tab w:val="right" w:pos="7088"/>
        </w:tabs>
        <w:spacing w:after="0"/>
        <w:ind w:left="1440"/>
        <w:rPr>
          <w:sz w:val="22"/>
          <w:szCs w:val="22"/>
          <w:lang w:val="en-GB"/>
        </w:rPr>
      </w:pPr>
      <w:r w:rsidRPr="005A50CE">
        <w:rPr>
          <w:sz w:val="22"/>
          <w:szCs w:val="22"/>
          <w:lang w:val="en-GB"/>
        </w:rPr>
        <w:t>Operating Margin (%)</w:t>
      </w:r>
      <w:r w:rsidRPr="005A50CE">
        <w:rPr>
          <w:sz w:val="22"/>
          <w:szCs w:val="22"/>
          <w:lang w:val="en-GB"/>
        </w:rPr>
        <w:tab/>
        <w:t>44.9</w:t>
      </w:r>
      <w:r w:rsidRPr="005A50CE">
        <w:rPr>
          <w:sz w:val="22"/>
          <w:szCs w:val="22"/>
          <w:lang w:val="en-GB"/>
        </w:rPr>
        <w:tab/>
        <w:t xml:space="preserve"> 45.8</w:t>
      </w:r>
      <w:r w:rsidR="00262A45">
        <w:rPr>
          <w:sz w:val="22"/>
          <w:szCs w:val="22"/>
          <w:lang w:val="en-GB"/>
        </w:rPr>
        <w:tab/>
      </w:r>
      <w:r w:rsidRPr="005A50CE">
        <w:rPr>
          <w:sz w:val="22"/>
          <w:szCs w:val="22"/>
          <w:lang w:val="en-GB"/>
        </w:rPr>
        <w:t>31.7</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1"/>
        <w:rPr>
          <w:lang w:val="en-GB"/>
        </w:rPr>
      </w:pPr>
      <w:r w:rsidRPr="00E319CA">
        <w:rPr>
          <w:lang w:val="en-GB"/>
        </w:rPr>
        <w:t>CONSUMER CONNECTIVITY AT SHAW</w:t>
      </w:r>
    </w:p>
    <w:p w:rsidR="005A50CE" w:rsidRPr="00E319CA" w:rsidRDefault="005A50CE" w:rsidP="005A50CE">
      <w:pPr>
        <w:pStyle w:val="BodyTextMain"/>
        <w:rPr>
          <w:lang w:val="en-GB"/>
        </w:rPr>
      </w:pPr>
    </w:p>
    <w:p w:rsidR="005A50CE" w:rsidRPr="00E319CA" w:rsidRDefault="005A50CE" w:rsidP="005A50CE">
      <w:pPr>
        <w:pStyle w:val="Casehead2"/>
        <w:rPr>
          <w:lang w:val="en-GB"/>
        </w:rPr>
      </w:pPr>
      <w:r w:rsidRPr="00E319CA">
        <w:rPr>
          <w:lang w:val="en-GB"/>
        </w:rPr>
        <w:t>Television</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The television services industry in Canada was traditionally delivered through two different systems</w:t>
      </w:r>
      <w:r>
        <w:rPr>
          <w:lang w:val="en-GB"/>
        </w:rPr>
        <w:t>:</w:t>
      </w:r>
      <w:r w:rsidRPr="00E319CA">
        <w:rPr>
          <w:lang w:val="en-GB"/>
        </w:rPr>
        <w:t xml:space="preserve"> either a wired-cable connection or a direct-to-home satellite connection. Approximately 11 million Canadian families subscribed to one of these two television configurations. During 2015, Shaw’s TV subscribers totalled 2.58 million</w:t>
      </w:r>
      <w:r w:rsidRPr="00E319CA">
        <w:rPr>
          <w:rStyle w:val="FootnoteReference"/>
          <w:color w:val="000000" w:themeColor="text1"/>
          <w:lang w:val="en-GB"/>
        </w:rPr>
        <w:footnoteReference w:id="4"/>
      </w:r>
      <w:r w:rsidRPr="00E319CA">
        <w:rPr>
          <w:lang w:val="en-GB"/>
        </w:rPr>
        <w:t xml:space="preserve"> (see Exhibit 2). </w:t>
      </w:r>
    </w:p>
    <w:p w:rsidR="005A50CE" w:rsidRPr="00E319CA" w:rsidRDefault="005A50CE" w:rsidP="005A50CE">
      <w:pPr>
        <w:pStyle w:val="BodyTextMain"/>
        <w:rPr>
          <w:lang w:val="en-GB"/>
        </w:rPr>
      </w:pPr>
    </w:p>
    <w:p w:rsidR="005A50CE" w:rsidRDefault="005A50CE" w:rsidP="005A50CE">
      <w:pPr>
        <w:pStyle w:val="BodyTextMain"/>
        <w:rPr>
          <w:lang w:val="en-GB"/>
        </w:rPr>
      </w:pPr>
      <w:r w:rsidRPr="00E319CA">
        <w:rPr>
          <w:lang w:val="en-GB"/>
        </w:rPr>
        <w:t>Cable television (CATV) to consumers’ homes was federally regulated by the Canadian Radio-television and Telecommunications Commission</w:t>
      </w:r>
      <w:r>
        <w:rPr>
          <w:lang w:val="en-GB"/>
        </w:rPr>
        <w:t xml:space="preserve"> and</w:t>
      </w:r>
      <w:r w:rsidRPr="00E319CA">
        <w:rPr>
          <w:lang w:val="en-GB"/>
        </w:rPr>
        <w:t xml:space="preserve"> us</w:t>
      </w:r>
      <w:r>
        <w:rPr>
          <w:lang w:val="en-GB"/>
        </w:rPr>
        <w:t>ed</w:t>
      </w:r>
      <w:r w:rsidRPr="00E319CA">
        <w:rPr>
          <w:lang w:val="en-GB"/>
        </w:rPr>
        <w:t xml:space="preserve"> a broadcast distribution undertaking (BDU) with a video programming service provider such as Shaw. The “content” could be anything from the news to TV shows and was gathered by paying a licensing fee to content owners for the rights to distribute. The content was then distributed over the local cable distribution network. The network consisted of coaxial and fibre-optic cables to subscriber residences.</w:t>
      </w:r>
      <w:r w:rsidRPr="00E319CA">
        <w:rPr>
          <w:rStyle w:val="FootnoteReference"/>
          <w:color w:val="000000" w:themeColor="text1"/>
          <w:lang w:val="en-GB"/>
        </w:rPr>
        <w:footnoteReference w:id="5"/>
      </w:r>
      <w:r w:rsidRPr="00E319CA">
        <w:rPr>
          <w:lang w:val="en-GB"/>
        </w:rPr>
        <w:t xml:space="preserve"> Shaw’s CATV network served the provinces of British Colombia and Alberta and reached some customers in Saskatchewan, Manitoba, and Northern Ontario. </w:t>
      </w:r>
    </w:p>
    <w:p w:rsidR="00382FDC" w:rsidRPr="00E319CA" w:rsidRDefault="00382FDC" w:rsidP="005A50CE">
      <w:pPr>
        <w:pStyle w:val="BodyTextMain"/>
        <w:rPr>
          <w:lang w:val="en-GB"/>
        </w:rPr>
      </w:pPr>
    </w:p>
    <w:p w:rsidR="005A50CE" w:rsidRPr="00E319CA" w:rsidRDefault="005A50CE" w:rsidP="005A50CE">
      <w:pPr>
        <w:pStyle w:val="BodyTextMain"/>
        <w:rPr>
          <w:lang w:val="en-GB"/>
        </w:rPr>
      </w:pPr>
      <w:r w:rsidRPr="00E319CA">
        <w:rPr>
          <w:lang w:val="en-GB"/>
        </w:rPr>
        <w:t xml:space="preserve">Shaw was one of two BDUs that offered satellite TV services. Satellite was typically the solution for customers who lived in rural areas located outside the coverage areas of existing cable networks. Shaw’s satellite subscriptions made up approximately 30 per cent of its total TV subscriptions. Over the past five </w:t>
      </w:r>
      <w:r w:rsidRPr="00E319CA">
        <w:rPr>
          <w:lang w:val="en-GB"/>
        </w:rPr>
        <w:lastRenderedPageBreak/>
        <w:t>years, Shaw’s TV business overall had contracted at an average annual rate of 5 per cent, which was consistent with the declining consumption of traditional television services (see Exhibit 3).</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Broadband Internet</w:t>
      </w:r>
      <w:r w:rsidRPr="00E319CA">
        <w:rPr>
          <w:rStyle w:val="FootnoteReference"/>
          <w:rFonts w:cs="Arial"/>
          <w:color w:val="000000" w:themeColor="text1"/>
          <w:sz w:val="24"/>
          <w:szCs w:val="24"/>
          <w:lang w:val="en-GB"/>
        </w:rPr>
        <w:footnoteReference w:id="6"/>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In 1996, Shaw expanded its service offerings to include Internet access. Leveraging its existing cable network, the company first offered Internet service to residents of Calgary before expanding the service throughout its entire network. Internet service was delivered through the same fibre-coaxial cable network used to serve television subscribers.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Shaw’s Internet product was its only consumer service to experience growth over the past five years, averaging an increase of 2 per cent annually (see Exhibit 4). Shaw also offered its Internet subscribers Wi-Fi access points in public areas outside their homes. Deployed in 2011, Shaw Go Wi-Fi enriched the customer experience as an alternative to relying on expensive mobile data services. At no extra charge, Shaw’s Internet subscribers had access to approximately 75,000 access points from Victoria, British Columbia, to Sault </w:t>
      </w:r>
      <w:proofErr w:type="spellStart"/>
      <w:r w:rsidRPr="00E319CA">
        <w:rPr>
          <w:lang w:val="en-GB"/>
        </w:rPr>
        <w:t>Ste.</w:t>
      </w:r>
      <w:proofErr w:type="spellEnd"/>
      <w:r w:rsidRPr="00E319CA">
        <w:rPr>
          <w:lang w:val="en-GB"/>
        </w:rPr>
        <w:t xml:space="preserve"> Marie, Ontario. Industry incumbents expected growing consumer demand for both higher-speed Internet access and greater bandwidth, driven by bandwidth-intensive applications, including streaming video, digital downloading, and interactive gaming (see Exhibit 5). Shaw hoped its Shaw Go Wi-Fi initiative could be a differentiating factor in an industry that competed with prices and bundling.</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Telephone</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During 2005, Shaw expanded its connectivity services with the launch of its wired home phone service employing Internet protocol switching technology, called Voice over Internet Protocol (VoIP). This phone service</w:t>
      </w:r>
      <w:r>
        <w:rPr>
          <w:lang w:val="en-GB"/>
        </w:rPr>
        <w:t>, which</w:t>
      </w:r>
      <w:r w:rsidRPr="00E319CA">
        <w:rPr>
          <w:lang w:val="en-GB"/>
        </w:rPr>
        <w:t xml:space="preserve"> used the Internet to send and receive calls, was carried over the same cable distribution network that connected subscribers to television and the Internet. Shaw’s home phone product saw strong growth from its inception, peaking at 1.38 million subscribers in 2014 (see Exhibit 6). However, heightened competition and the trend of households to rely solely on wireless phone services negatively affected Shaw’s home landline phone subscriptions. In fiscal 2015, Shaw lost 83,000 landline phone customers.</w:t>
      </w:r>
    </w:p>
    <w:p w:rsidR="005A50CE" w:rsidRPr="00E319CA" w:rsidRDefault="005A50CE" w:rsidP="005A50CE">
      <w:pPr>
        <w:pStyle w:val="BodyTextMain"/>
        <w:rPr>
          <w:lang w:val="en-GB"/>
        </w:rPr>
      </w:pPr>
    </w:p>
    <w:p w:rsidR="005A50CE" w:rsidRPr="00E319CA" w:rsidRDefault="005A50CE" w:rsidP="005A50CE">
      <w:pPr>
        <w:pStyle w:val="BodyTextMain"/>
        <w:rPr>
          <w:spacing w:val="-2"/>
          <w:lang w:val="en-GB"/>
        </w:rPr>
      </w:pPr>
      <w:r w:rsidRPr="00E319CA">
        <w:rPr>
          <w:spacing w:val="-2"/>
          <w:lang w:val="en-GB"/>
        </w:rPr>
        <w:t>When completed in 2016, the acquisition of WIND would give Shaw a significant foothold in the mobile/wireless phone market. Leveraging its existing backbone network, Shaw would benefit from economies of scope and be able to gain and retain customers through the standard industry practice of bundling two or more services. Many customers seemed to prefer not splitting up their telecommunications services. It was standard practice to give consumers modest discounts on posted prices if they signed up for multiple services. Further, the wireless segment was the largest and fastest-growing segment of consumer connectivity among Canadian households (see Exhibit 7).</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Founded in 2008, WIND was a Canadian communications and investment company. It launched its mobile phone service in the Greater Toronto Area and Calgary in 2009, and expanded to cover Canada’s main metropolitan areas. WIND benefited from a government and regulator </w:t>
      </w:r>
      <w:r>
        <w:rPr>
          <w:lang w:val="en-GB"/>
        </w:rPr>
        <w:t xml:space="preserve">that </w:t>
      </w:r>
      <w:r w:rsidRPr="00E319CA">
        <w:rPr>
          <w:lang w:val="en-GB"/>
        </w:rPr>
        <w:t>favour</w:t>
      </w:r>
      <w:r>
        <w:rPr>
          <w:lang w:val="en-GB"/>
        </w:rPr>
        <w:t>ed</w:t>
      </w:r>
      <w:r w:rsidRPr="00E319CA">
        <w:rPr>
          <w:lang w:val="en-GB"/>
        </w:rPr>
        <w:t xml:space="preserve"> more competition in Canada’s mobile market</w:t>
      </w:r>
      <w:r>
        <w:rPr>
          <w:lang w:val="en-GB"/>
        </w:rPr>
        <w:t>,</w:t>
      </w:r>
      <w:r w:rsidRPr="00E319CA">
        <w:rPr>
          <w:lang w:val="en-GB"/>
        </w:rPr>
        <w:t xml:space="preserve"> and </w:t>
      </w:r>
      <w:r>
        <w:rPr>
          <w:lang w:val="en-GB"/>
        </w:rPr>
        <w:t xml:space="preserve">it </w:t>
      </w:r>
      <w:r w:rsidRPr="00E319CA">
        <w:rPr>
          <w:lang w:val="en-GB"/>
        </w:rPr>
        <w:t xml:space="preserve">had received </w:t>
      </w:r>
      <w:r>
        <w:rPr>
          <w:lang w:val="en-GB"/>
        </w:rPr>
        <w:t xml:space="preserve">a </w:t>
      </w:r>
      <w:r w:rsidRPr="00E319CA">
        <w:rPr>
          <w:lang w:val="en-GB"/>
        </w:rPr>
        <w:t>spectrum licence at a low price.</w:t>
      </w:r>
      <w:r w:rsidRPr="00E319CA">
        <w:rPr>
          <w:rStyle w:val="FootnoteReference"/>
          <w:color w:val="000000" w:themeColor="text1"/>
          <w:lang w:val="en-GB"/>
        </w:rPr>
        <w:footnoteReference w:id="7"/>
      </w:r>
      <w:r w:rsidRPr="00E319CA">
        <w:rPr>
          <w:lang w:val="en-GB"/>
        </w:rPr>
        <w:t xml:space="preserve"> WIND’s </w:t>
      </w:r>
      <w:r w:rsidRPr="00E319CA">
        <w:rPr>
          <w:lang w:val="en-GB"/>
        </w:rPr>
        <w:lastRenderedPageBreak/>
        <w:t>current network needed expansion, as it relied heavily on the network of other wireless carriers when its subscribers were outside the coverage of WIND’s cellular network. Industry experts predicted that Shaw might need to invest $250 million to ensure the current upgrade was completed in a timely way. By the end of 2015, WIND was expected to have more than 940,000 subscribers (see Exhibit 8).</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Shaw’s Media Businesses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In October 2010 Shaw purchased </w:t>
      </w:r>
      <w:proofErr w:type="spellStart"/>
      <w:r w:rsidRPr="00E319CA">
        <w:rPr>
          <w:lang w:val="en-GB"/>
        </w:rPr>
        <w:t>Canwest</w:t>
      </w:r>
      <w:proofErr w:type="spellEnd"/>
      <w:r w:rsidRPr="00E319CA">
        <w:rPr>
          <w:lang w:val="en-GB"/>
        </w:rPr>
        <w:t xml:space="preserve"> Global Communications Corporation (</w:t>
      </w:r>
      <w:proofErr w:type="spellStart"/>
      <w:r w:rsidRPr="00E319CA">
        <w:rPr>
          <w:lang w:val="en-GB"/>
        </w:rPr>
        <w:t>Canwest</w:t>
      </w:r>
      <w:proofErr w:type="spellEnd"/>
      <w:r w:rsidRPr="00E319CA">
        <w:rPr>
          <w:lang w:val="en-GB"/>
        </w:rPr>
        <w:t xml:space="preserve">), a significant Canadian media company. The acquisition made Shaw a vertically integrated telecommunications company that both created content and delivered it to consumers through its connectivity platforms, notably television. Shaw paid approximately $2 billion for </w:t>
      </w:r>
      <w:proofErr w:type="spellStart"/>
      <w:r w:rsidRPr="00E319CA">
        <w:rPr>
          <w:lang w:val="en-GB"/>
        </w:rPr>
        <w:t>Canwest</w:t>
      </w:r>
      <w:proofErr w:type="spellEnd"/>
      <w:r w:rsidRPr="00E319CA">
        <w:rPr>
          <w:lang w:val="en-GB"/>
        </w:rPr>
        <w:t xml:space="preserve"> and renamed it Shaw Media, a division of Shaw Communications. Shaw Media operated some of Canada’s most popular specialty channels, including HGTV Canada and Canada’s second-largest conventional network, Global Television (see Exhibit 9).</w:t>
      </w:r>
      <w:r w:rsidRPr="00E319CA">
        <w:rPr>
          <w:rStyle w:val="FootnoteReference"/>
          <w:color w:val="000000" w:themeColor="text1"/>
          <w:lang w:val="en-GB"/>
        </w:rPr>
        <w:footnoteReference w:id="8"/>
      </w:r>
      <w:r w:rsidRPr="00E319CA">
        <w:rPr>
          <w:lang w:val="en-GB"/>
        </w:rPr>
        <w:t xml:space="preserve"> Through Shaw Media, Shaw derived revenues from advertising and subscriptions to its specialty channels. </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Revenues from Shaw Media had remained stable since the acquisition and were in line with industry trends. However, traditional sources of revenue from media content were expected to decrease in the future as advertisers shifted more of their budgets to online platforms and specialty video programming to meet the increasing demand for unregulated over-the-top (OTT) streaming video services (e.g.</w:t>
      </w:r>
      <w:r>
        <w:rPr>
          <w:lang w:val="en-GB"/>
        </w:rPr>
        <w:t>,</w:t>
      </w:r>
      <w:r w:rsidRPr="00E319CA">
        <w:rPr>
          <w:lang w:val="en-GB"/>
        </w:rPr>
        <w:t xml:space="preserve"> Netflix and YouTube) and other offerings available over Internet connections.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The consumption of video content from OTT providers and other Internet-streaming services was expected to continue and perhaps accelerate. In partnership with Rogers, Shaw Media had responded by launching an OTT video service called </w:t>
      </w:r>
      <w:proofErr w:type="spellStart"/>
      <w:r w:rsidRPr="00E319CA">
        <w:rPr>
          <w:lang w:val="en-GB"/>
        </w:rPr>
        <w:t>Shomi</w:t>
      </w:r>
      <w:proofErr w:type="spellEnd"/>
      <w:r w:rsidRPr="00E319CA">
        <w:rPr>
          <w:lang w:val="en-GB"/>
        </w:rPr>
        <w:t xml:space="preserve"> for $8.99 a month; the service allowed on-demand access to selected movies and television programs from any platform (TV, tablet, smartphone, or computer). Released in November 2014, </w:t>
      </w:r>
      <w:proofErr w:type="spellStart"/>
      <w:r w:rsidRPr="00E319CA">
        <w:rPr>
          <w:lang w:val="en-GB"/>
        </w:rPr>
        <w:t>Shomi</w:t>
      </w:r>
      <w:proofErr w:type="spellEnd"/>
      <w:r w:rsidRPr="00E319CA">
        <w:rPr>
          <w:lang w:val="en-GB"/>
        </w:rPr>
        <w:t xml:space="preserve"> currently served just less than half a million Canadian households (compared with 5.5 million Canadian households for Netflix, the leading OTT provider). </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Ownership of Shaw Communications and Corus</w:t>
      </w:r>
    </w:p>
    <w:p w:rsidR="005A50CE" w:rsidRPr="00E319CA" w:rsidRDefault="005A50CE" w:rsidP="005A50CE">
      <w:pPr>
        <w:pStyle w:val="BodyTextMain"/>
        <w:rPr>
          <w:lang w:val="en-GB"/>
        </w:rPr>
      </w:pPr>
    </w:p>
    <w:p w:rsidR="005A50CE" w:rsidRDefault="005A50CE" w:rsidP="005A50CE">
      <w:pPr>
        <w:pStyle w:val="BodyTextMain"/>
        <w:rPr>
          <w:lang w:val="en-GB"/>
        </w:rPr>
      </w:pPr>
      <w:r w:rsidRPr="00E319CA">
        <w:rPr>
          <w:lang w:val="en-GB"/>
        </w:rPr>
        <w:t>The Shaw family held significant ownership in both Shaw Communications and Corus</w:t>
      </w:r>
      <w:r>
        <w:rPr>
          <w:lang w:val="en-GB"/>
        </w:rPr>
        <w:t xml:space="preserve"> Entertainment Inc. (Corus)</w:t>
      </w:r>
      <w:r w:rsidRPr="00E319CA">
        <w:rPr>
          <w:lang w:val="en-GB"/>
        </w:rPr>
        <w:t>. Shaw Communication’s Class B non-voting shares were widely held and were trading between $26 and $28 per share. The Shaw family, largely through the Shaw Family Living Trust, held approximately 79 per cent of the Class A voting shares in Shaw, and approximately 9 per cent of the Class B shares. The Shaw family also held approximately 84 per cent of the Class A voting shares in Corus and approximately 7 per cent of the Class B non-voting shares.</w:t>
      </w:r>
    </w:p>
    <w:p w:rsidR="005A50CE"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10"/>
        <w:rPr>
          <w:lang w:val="en-GB"/>
        </w:rPr>
      </w:pPr>
      <w:r w:rsidRPr="00E319CA">
        <w:rPr>
          <w:lang w:val="en-GB"/>
        </w:rPr>
        <w:t>CANADIAN TELECOMMUNICATIONS INDUSTRY</w:t>
      </w:r>
    </w:p>
    <w:p w:rsidR="005A50CE" w:rsidRPr="00E319CA" w:rsidRDefault="005A50CE" w:rsidP="005A50CE">
      <w:pPr>
        <w:pStyle w:val="BodyTextMain"/>
        <w:rPr>
          <w:lang w:val="en-GB"/>
        </w:rPr>
      </w:pPr>
    </w:p>
    <w:p w:rsidR="005A50CE" w:rsidRPr="00E319CA" w:rsidRDefault="005A50CE" w:rsidP="005A50CE">
      <w:pPr>
        <w:pStyle w:val="BodyTextMain"/>
        <w:rPr>
          <w:b/>
          <w:bCs/>
          <w:lang w:val="en-GB"/>
        </w:rPr>
      </w:pPr>
      <w:r w:rsidRPr="00E319CA">
        <w:rPr>
          <w:lang w:val="en-GB"/>
        </w:rPr>
        <w:t xml:space="preserve">Canada’s consumer telecommunications market was dominated by a small number of large ownership groups. The top five groups, Bell, Rogers, TELUS, Shaw, and </w:t>
      </w:r>
      <w:proofErr w:type="spellStart"/>
      <w:r w:rsidRPr="00E319CA">
        <w:rPr>
          <w:bCs/>
          <w:lang w:val="en-GB"/>
        </w:rPr>
        <w:t>Vidéotron</w:t>
      </w:r>
      <w:proofErr w:type="spellEnd"/>
      <w:r>
        <w:rPr>
          <w:bCs/>
          <w:lang w:val="en-GB"/>
        </w:rPr>
        <w:t>,</w:t>
      </w:r>
      <w:r w:rsidRPr="00E319CA">
        <w:rPr>
          <w:rStyle w:val="FootnoteReference"/>
          <w:bCs/>
          <w:color w:val="000000" w:themeColor="text1"/>
          <w:lang w:val="en-GB"/>
        </w:rPr>
        <w:footnoteReference w:id="9"/>
      </w:r>
      <w:r w:rsidRPr="00E319CA">
        <w:rPr>
          <w:bCs/>
          <w:lang w:val="en-GB"/>
        </w:rPr>
        <w:t xml:space="preserve"> </w:t>
      </w:r>
      <w:r w:rsidRPr="00E319CA">
        <w:rPr>
          <w:lang w:val="en-GB"/>
        </w:rPr>
        <w:t xml:space="preserve">accounted for about 84 per cent of industry revenues. The next five largest entities, Bragg Communications Inc., </w:t>
      </w:r>
      <w:proofErr w:type="spellStart"/>
      <w:r w:rsidRPr="00E319CA">
        <w:rPr>
          <w:lang w:val="en-GB"/>
        </w:rPr>
        <w:t>Cogeco</w:t>
      </w:r>
      <w:proofErr w:type="spellEnd"/>
      <w:r w:rsidRPr="00E319CA">
        <w:rPr>
          <w:lang w:val="en-GB"/>
        </w:rPr>
        <w:t xml:space="preserve"> Inc., </w:t>
      </w:r>
      <w:r w:rsidRPr="00E319CA">
        <w:rPr>
          <w:lang w:val="en-GB"/>
        </w:rPr>
        <w:lastRenderedPageBreak/>
        <w:t xml:space="preserve">Manitoba Telecom Services Inc. (MTS), SaskTel, and </w:t>
      </w:r>
      <w:proofErr w:type="spellStart"/>
      <w:r w:rsidRPr="00E319CA">
        <w:rPr>
          <w:lang w:val="en-GB"/>
        </w:rPr>
        <w:t>Telesat</w:t>
      </w:r>
      <w:proofErr w:type="spellEnd"/>
      <w:r w:rsidRPr="00E319CA">
        <w:rPr>
          <w:lang w:val="en-GB"/>
        </w:rPr>
        <w:t xml:space="preserve"> Canada, accounted for approximately 8 per cent of market share, and all remaining groups/entities accounted for the balance. Of the top five companies, Bell and TELUS had begun as telephone companies founded in the early 20th century</w:t>
      </w:r>
      <w:r>
        <w:rPr>
          <w:lang w:val="en-GB"/>
        </w:rPr>
        <w:t>—</w:t>
      </w:r>
      <w:r w:rsidRPr="00E319CA">
        <w:rPr>
          <w:lang w:val="en-GB"/>
        </w:rPr>
        <w:t>Bell in Ontario and Quebec, and TELUS in Alberta and British Columbia. The others</w:t>
      </w:r>
      <w:r>
        <w:rPr>
          <w:lang w:val="en-GB"/>
        </w:rPr>
        <w:t>—</w:t>
      </w:r>
      <w:r w:rsidRPr="00E319CA">
        <w:rPr>
          <w:lang w:val="en-GB"/>
        </w:rPr>
        <w:t xml:space="preserve">Shaw, Rogers, and </w:t>
      </w:r>
      <w:proofErr w:type="spellStart"/>
      <w:r w:rsidRPr="00E319CA">
        <w:rPr>
          <w:bCs/>
          <w:lang w:val="en-GB"/>
        </w:rPr>
        <w:t>Vidéotron</w:t>
      </w:r>
      <w:proofErr w:type="spellEnd"/>
      <w:r>
        <w:rPr>
          <w:bCs/>
          <w:lang w:val="en-GB"/>
        </w:rPr>
        <w:t>—</w:t>
      </w:r>
      <w:r w:rsidRPr="00E319CA">
        <w:rPr>
          <w:bCs/>
          <w:lang w:val="en-GB"/>
        </w:rPr>
        <w:t xml:space="preserve">began as CATV providers during the 1960s. Shaw started business in Alberta, Rogers in Ontario, and </w:t>
      </w:r>
      <w:proofErr w:type="spellStart"/>
      <w:r w:rsidRPr="00E319CA">
        <w:rPr>
          <w:bCs/>
          <w:lang w:val="en-GB"/>
        </w:rPr>
        <w:t>Vidéotron</w:t>
      </w:r>
      <w:proofErr w:type="spellEnd"/>
      <w:r w:rsidRPr="00E319CA">
        <w:rPr>
          <w:bCs/>
          <w:lang w:val="en-GB"/>
        </w:rPr>
        <w:t xml:space="preserve"> in Quebec.</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10"/>
        <w:rPr>
          <w:lang w:val="en-GB"/>
        </w:rPr>
      </w:pPr>
      <w:r w:rsidRPr="00E319CA">
        <w:rPr>
          <w:lang w:val="en-GB"/>
        </w:rPr>
        <w:t>ROGERS Communications</w:t>
      </w:r>
    </w:p>
    <w:p w:rsidR="005A50CE" w:rsidRPr="00E319CA" w:rsidRDefault="005A50CE" w:rsidP="005A50CE">
      <w:pPr>
        <w:pStyle w:val="BodyTextMain"/>
        <w:rPr>
          <w:lang w:val="en-GB"/>
        </w:rPr>
      </w:pPr>
    </w:p>
    <w:p w:rsidR="005A50CE" w:rsidRPr="00E319CA" w:rsidRDefault="005A50CE" w:rsidP="005A50CE">
      <w:pPr>
        <w:pStyle w:val="BodyTextMain"/>
        <w:rPr>
          <w:spacing w:val="-2"/>
          <w:lang w:val="en-GB"/>
        </w:rPr>
      </w:pPr>
      <w:r w:rsidRPr="00E319CA">
        <w:rPr>
          <w:spacing w:val="-2"/>
          <w:lang w:val="en-GB"/>
        </w:rPr>
        <w:t xml:space="preserve">Ted Rogers, the entrepreneurial founder of Rogers Communications (Rogers), started Rogers Cable in 1967. Rogers eventually became the largest cable provider in Canada. After its first pioneering wireless </w:t>
      </w:r>
      <w:proofErr w:type="spellStart"/>
      <w:r w:rsidRPr="00E319CA">
        <w:rPr>
          <w:spacing w:val="-2"/>
          <w:lang w:val="en-GB"/>
        </w:rPr>
        <w:t>cellphone</w:t>
      </w:r>
      <w:proofErr w:type="spellEnd"/>
      <w:r w:rsidRPr="00E319CA">
        <w:rPr>
          <w:spacing w:val="-2"/>
          <w:lang w:val="en-GB"/>
        </w:rPr>
        <w:t xml:space="preserve"> call in 1985</w:t>
      </w:r>
      <w:r>
        <w:rPr>
          <w:spacing w:val="-2"/>
          <w:lang w:val="en-GB"/>
        </w:rPr>
        <w:t>,</w:t>
      </w:r>
      <w:r w:rsidRPr="00E319CA">
        <w:rPr>
          <w:spacing w:val="-2"/>
          <w:lang w:val="en-GB"/>
        </w:rPr>
        <w:t xml:space="preserve"> and backed by international giants such as Microsoft, AT&amp;T, and British Telecommunications, Rogers invested heavily in the wireless sector through the 1980s and 1990s. Rogers was also the first to deliver high-speed Internet over its CATV network.</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Media Assets</w:t>
      </w:r>
    </w:p>
    <w:p w:rsidR="005A50CE" w:rsidRPr="00E319CA" w:rsidRDefault="005A50CE" w:rsidP="005A50CE">
      <w:pPr>
        <w:pStyle w:val="BodyTextMain"/>
        <w:rPr>
          <w:lang w:val="en-GB"/>
        </w:rPr>
      </w:pPr>
    </w:p>
    <w:p w:rsidR="005A50CE" w:rsidRPr="00E319CA" w:rsidRDefault="005A50CE" w:rsidP="005A50CE">
      <w:pPr>
        <w:pStyle w:val="BodyTextMain"/>
        <w:rPr>
          <w:spacing w:val="-2"/>
          <w:lang w:val="en-GB"/>
        </w:rPr>
      </w:pPr>
      <w:r w:rsidRPr="00E319CA">
        <w:rPr>
          <w:spacing w:val="-2"/>
          <w:lang w:val="en-GB"/>
        </w:rPr>
        <w:t xml:space="preserve">In 1994, Rogers established Rogers Media by acquiring Maclean-Hunter, a Canadian communications company. MacLean-Hunter’s assets included cable television services in 35 Ontario markets and media assets, including </w:t>
      </w:r>
      <w:r w:rsidRPr="00E319CA">
        <w:rPr>
          <w:i/>
          <w:spacing w:val="-2"/>
          <w:lang w:val="en-GB"/>
        </w:rPr>
        <w:t>Maclean’s Magazine</w:t>
      </w:r>
      <w:r w:rsidRPr="00E319CA">
        <w:rPr>
          <w:spacing w:val="-2"/>
          <w:lang w:val="en-GB"/>
        </w:rPr>
        <w:t xml:space="preserve">, </w:t>
      </w:r>
      <w:r w:rsidRPr="00E319CA">
        <w:rPr>
          <w:i/>
          <w:spacing w:val="-2"/>
          <w:lang w:val="en-GB"/>
        </w:rPr>
        <w:t>The Financial Post</w:t>
      </w:r>
      <w:r w:rsidRPr="00E319CA">
        <w:rPr>
          <w:spacing w:val="-2"/>
          <w:lang w:val="en-GB"/>
        </w:rPr>
        <w:t>, 21 radio stations, television station CFCN in Calgary, and a significant minority share in the CTV television network (see Exhibit 9). Rogers continued to build its media assets, becoming Canada’s largest publishing company, Rogers Publishing Limited, in addition to owning 52 radio stations and dozens of specialty channels. Rogers Media generated $2.1 billion</w:t>
      </w:r>
      <w:r w:rsidR="00CD7D00">
        <w:rPr>
          <w:rStyle w:val="FootnoteReference"/>
          <w:spacing w:val="-2"/>
          <w:lang w:val="en-GB"/>
        </w:rPr>
        <w:footnoteReference w:id="10"/>
      </w:r>
      <w:r w:rsidRPr="00E319CA">
        <w:rPr>
          <w:spacing w:val="-2"/>
          <w:lang w:val="en-GB"/>
        </w:rPr>
        <w:t xml:space="preserve"> in revenues during fiscal year 2015 with the majority being earned through its substantial sports content. Rogers owned the Toronto Blue Jays Baseball Club and had a 38 per cent stake in Maple Leaf Sports &amp; Entertainment</w:t>
      </w:r>
      <w:r>
        <w:rPr>
          <w:spacing w:val="-2"/>
          <w:lang w:val="en-GB"/>
        </w:rPr>
        <w:t xml:space="preserve"> Ltd.</w:t>
      </w:r>
      <w:r w:rsidRPr="00E319CA">
        <w:rPr>
          <w:spacing w:val="-2"/>
          <w:lang w:val="en-GB"/>
        </w:rPr>
        <w:t xml:space="preserve">, which owned the Toronto Raptors, Toronto Maple Leafs, and the Toronto FC soccer club. In 2015, Rogers </w:t>
      </w:r>
      <w:proofErr w:type="spellStart"/>
      <w:r w:rsidRPr="00E319CA">
        <w:rPr>
          <w:spacing w:val="-2"/>
          <w:lang w:val="en-GB"/>
        </w:rPr>
        <w:t>Sportsnet</w:t>
      </w:r>
      <w:proofErr w:type="spellEnd"/>
      <w:r w:rsidRPr="00E319CA">
        <w:rPr>
          <w:spacing w:val="-2"/>
          <w:lang w:val="en-GB"/>
        </w:rPr>
        <w:t xml:space="preserve"> signed a 12-year exclusive Canadian National Hockey League (NHL) licensing agreement to broadcast all televised live NHL hockey games within Canada.</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Connectivity Businesses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Rogers offered connectivity solutions across all platforms</w:t>
      </w:r>
      <w:r>
        <w:rPr>
          <w:lang w:val="en-GB"/>
        </w:rPr>
        <w:t>:</w:t>
      </w:r>
      <w:r w:rsidRPr="00E319CA">
        <w:rPr>
          <w:lang w:val="en-GB"/>
        </w:rPr>
        <w:t xml:space="preserve"> telephone, Internet, television, and wireless services. Revenues from its connectivity business totalled $11.1 billion for fiscal 2015.</w:t>
      </w:r>
      <w:r w:rsidRPr="00E319CA">
        <w:rPr>
          <w:rStyle w:val="FootnoteReference"/>
          <w:color w:val="000000" w:themeColor="text1"/>
          <w:lang w:val="en-GB"/>
        </w:rPr>
        <w:footnoteReference w:id="11"/>
      </w:r>
      <w:r w:rsidRPr="00E319CA">
        <w:rPr>
          <w:lang w:val="en-GB"/>
        </w:rPr>
        <w:t xml:space="preserve"> Rogers was Canada’s largest wireless service provider and was backed by an extensive high-speed wireless data network that reached 93 per cent of Canadians. While </w:t>
      </w:r>
      <w:proofErr w:type="gramStart"/>
      <w:r w:rsidRPr="00E319CA">
        <w:rPr>
          <w:lang w:val="en-GB"/>
        </w:rPr>
        <w:t>Rogers</w:t>
      </w:r>
      <w:proofErr w:type="gramEnd"/>
      <w:r w:rsidRPr="00E319CA">
        <w:rPr>
          <w:lang w:val="en-GB"/>
        </w:rPr>
        <w:t xml:space="preserve"> cellular service competed nationally with country-wide coverage, its physical cable network restricted its other connectivity services. The company’s service territory for television, Internet, and VoIP home landline phones covered approximately 4.2 million homes in Ontario, New Brunswick, and Newfoundland, representing approximately 31 per cent of the Canadian market.</w:t>
      </w:r>
    </w:p>
    <w:p w:rsidR="005A50CE" w:rsidRPr="00E319CA" w:rsidRDefault="005A50CE" w:rsidP="005A50CE">
      <w:pPr>
        <w:pStyle w:val="BodyTextMain"/>
        <w:rPr>
          <w:lang w:val="en-GB"/>
        </w:rPr>
      </w:pPr>
    </w:p>
    <w:p w:rsidR="005A50CE" w:rsidRDefault="005A50CE" w:rsidP="005A50CE">
      <w:pPr>
        <w:pStyle w:val="BodyTextMain"/>
        <w:rPr>
          <w:lang w:val="en-GB"/>
        </w:rPr>
      </w:pPr>
    </w:p>
    <w:p w:rsidR="005A50CE" w:rsidRPr="00E319CA" w:rsidRDefault="005A50CE" w:rsidP="005A50CE">
      <w:pPr>
        <w:pStyle w:val="casehead10"/>
        <w:rPr>
          <w:lang w:val="en-GB"/>
        </w:rPr>
      </w:pPr>
      <w:r w:rsidRPr="00E319CA">
        <w:rPr>
          <w:lang w:val="en-GB"/>
        </w:rPr>
        <w:lastRenderedPageBreak/>
        <w:t>BELL Canada</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The Bell Telephone Company was founded in Boston, Massachusetts, on July 9, 1877, following the invention and patent of the telephone by Alexander Graham Bell. A few years later in 1880, Bell Telephone Company of Canada was established. A government-granted monopoly on Canadian long-distance telephone service gave Bell dominance in the telephony market for most of the 20th century. However, between 1980 and 1997, the federal government largely deregulated the telephony industry, and Bell Canada’s monopoly ended. The majority of Bell’s operations were contained within Ontario and Quebec, while a partnership with another telecommunications company in 2006 allowed Bell to service eastern Canada under the brand Bell Aliant. </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Media Assets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Bell Media was Canada’s leading content-creation company with premier assets in television, radio, and digital media. Bell Media owned 30 local television stations</w:t>
      </w:r>
      <w:r>
        <w:rPr>
          <w:lang w:val="en-GB"/>
        </w:rPr>
        <w:t>,</w:t>
      </w:r>
      <w:r w:rsidRPr="00E319CA">
        <w:rPr>
          <w:lang w:val="en-GB"/>
        </w:rPr>
        <w:t xml:space="preserve"> led by CTV, which had been Canada’s highest-rated television network since 2002, in addition to 30 specialty channels, including its sports channel TSN and pay TV services (see Exhibit 9). Bell Media was also Canada’s largest radio broadcaster, operating 105 licensed radio stations in 54 markets across the country. Bell Media operated more than 200 websites and delivered OTT TV with its </w:t>
      </w:r>
      <w:proofErr w:type="spellStart"/>
      <w:r w:rsidRPr="00E319CA">
        <w:rPr>
          <w:lang w:val="en-GB"/>
        </w:rPr>
        <w:t>CraveTV</w:t>
      </w:r>
      <w:proofErr w:type="spellEnd"/>
      <w:r w:rsidRPr="00E319CA">
        <w:rPr>
          <w:lang w:val="en-GB"/>
        </w:rPr>
        <w:t xml:space="preserve"> and GO video-streaming services. In addition, Bell, along with Rogers, owned 37.5 per cent of Maple Leafs Sports and Entertainment.</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Connectivity Businesses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Bell was Canada’s largest communications company with more than 21 million subscribers across its connectivity platforms. In 2015, Bell accumulated revenues of $12.3 billion for its wireline services (Internet, home phone, television) and $6.9 billion for its cellular services. Its wireline services covered only Ontario, Quebec, and Atlantic Canada. Bell’s cellular service, in conjunction with TELUS, reached 96 per cent of Canadians and was projected to reach 98 per cent by the end of 2016. To mark its 135th anniversary in 2015, Bell announced plans to invest $20 billion in network infrastructure by the end of 2020 to further solidify its lead in communications innovation and accessibility in Canada.</w:t>
      </w:r>
      <w:r w:rsidRPr="00E319CA">
        <w:rPr>
          <w:rStyle w:val="FootnoteReference"/>
          <w:lang w:val="en-GB"/>
        </w:rPr>
        <w:footnoteReference w:id="12"/>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Bell was Canada’s largest television service provider with nearly three million subscribers for Bell Satellite TV and Bell </w:t>
      </w:r>
      <w:proofErr w:type="spellStart"/>
      <w:r w:rsidRPr="00E319CA">
        <w:rPr>
          <w:lang w:val="en-GB"/>
        </w:rPr>
        <w:t>Fibe</w:t>
      </w:r>
      <w:proofErr w:type="spellEnd"/>
      <w:r w:rsidRPr="00E319CA">
        <w:rPr>
          <w:lang w:val="en-GB"/>
        </w:rPr>
        <w:t xml:space="preserve"> TV. </w:t>
      </w:r>
      <w:proofErr w:type="spellStart"/>
      <w:r w:rsidRPr="00E319CA">
        <w:rPr>
          <w:lang w:val="en-GB"/>
        </w:rPr>
        <w:t>Fibe</w:t>
      </w:r>
      <w:proofErr w:type="spellEnd"/>
      <w:r w:rsidRPr="00E319CA">
        <w:rPr>
          <w:lang w:val="en-GB"/>
        </w:rPr>
        <w:t xml:space="preserve"> TV</w:t>
      </w:r>
      <w:r>
        <w:rPr>
          <w:lang w:val="en-GB"/>
        </w:rPr>
        <w:t>,</w:t>
      </w:r>
      <w:r w:rsidRPr="00E319CA">
        <w:rPr>
          <w:lang w:val="en-GB"/>
        </w:rPr>
        <w:t xml:space="preserve"> a newer Internet protocol TV (IPTV) service delivered by way of the company’s broadband fibre-optic network</w:t>
      </w:r>
      <w:r>
        <w:rPr>
          <w:lang w:val="en-GB"/>
        </w:rPr>
        <w:t>,</w:t>
      </w:r>
      <w:r w:rsidRPr="00E319CA">
        <w:rPr>
          <w:lang w:val="en-GB"/>
        </w:rPr>
        <w:t xml:space="preserve"> included the state-of-the-art high-definition personal video recorders </w:t>
      </w:r>
      <w:r>
        <w:rPr>
          <w:lang w:val="en-GB"/>
        </w:rPr>
        <w:t>(</w:t>
      </w:r>
      <w:r w:rsidRPr="00E319CA">
        <w:rPr>
          <w:lang w:val="en-GB"/>
        </w:rPr>
        <w:t>HD PVRs), on-demand movies, TV online, and flexible programming. IPTV had proven to be very competitive with conventional CATV service.</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TELUS Communications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In 1885, TELUS Communications (TELUS) completed its first telephone call in Edmonton, Alberta, the city in which the company was founded. From 1904 to 1990, TELUS was an Alberta government-owned entity and experienced very little competition. The telephone company was privatized in 1990 and merged with the British Columbia Telephone Company in 1999. TELUS TV had introduced its </w:t>
      </w:r>
      <w:proofErr w:type="spellStart"/>
      <w:r w:rsidRPr="00E319CA">
        <w:rPr>
          <w:lang w:val="en-GB"/>
        </w:rPr>
        <w:t>Optik</w:t>
      </w:r>
      <w:proofErr w:type="spellEnd"/>
      <w:r w:rsidRPr="00E319CA">
        <w:rPr>
          <w:lang w:val="en-GB"/>
        </w:rPr>
        <w:t xml:space="preserve"> TV </w:t>
      </w:r>
      <w:r w:rsidRPr="00E319CA">
        <w:rPr>
          <w:lang w:val="en-GB"/>
        </w:rPr>
        <w:lastRenderedPageBreak/>
        <w:t xml:space="preserve">IPTV service in selected Alberta and British Columbia communities in 2005, and added satellite television service in 2009. </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Media Assets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Over the past 15 years, while other telecommunication providers acquired media assets, TELUS was the exception. Since 2000, the company had invested $30 billion in core infrastructure improvements.</w:t>
      </w:r>
      <w:r w:rsidR="009D019C">
        <w:rPr>
          <w:rStyle w:val="FootnoteReference"/>
          <w:lang w:val="en-GB"/>
        </w:rPr>
        <w:footnoteReference w:id="13"/>
      </w:r>
      <w:r w:rsidRPr="00E319CA">
        <w:rPr>
          <w:lang w:val="en-GB"/>
        </w:rPr>
        <w:t xml:space="preserve"> Regulatory guidelines required BDUs that owned content to distribute their content to third parties at the same relative price. Thus, TELUS was able to offer its subscribers their content of choice and pay a fee to the owners, whether to Rogers, Bell Media, or other media companies such as Corus.</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Connectivity Businesses</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As a pure-play connectivity company, TELUS offered Internet, television, home phone, and wireless services. Its complete range of service offerings w</w:t>
      </w:r>
      <w:r>
        <w:rPr>
          <w:lang w:val="en-GB"/>
        </w:rPr>
        <w:t>as</w:t>
      </w:r>
      <w:r w:rsidRPr="00E319CA">
        <w:rPr>
          <w:lang w:val="en-GB"/>
        </w:rPr>
        <w:t xml:space="preserve"> available in Western Canada. Its wireless services were also available in Ontario, Quebec, and the rest of Eastern Canada. TELUS earned revenues of $5.6 billion and $6.3 billion in 2015 for its wireline and cellular services, respectively.</w:t>
      </w:r>
      <w:r w:rsidR="00DE4227">
        <w:rPr>
          <w:rStyle w:val="FootnoteReference"/>
          <w:lang w:val="en-GB"/>
        </w:rPr>
        <w:footnoteReference w:id="14"/>
      </w:r>
      <w:r w:rsidRPr="00E319CA">
        <w:rPr>
          <w:lang w:val="en-GB"/>
        </w:rPr>
        <w:t xml:space="preserve"> By way of an agreement with Bell, TELUS and Bell shared cellular network coverage across most of Canada and were able to reach 99 per cent of Canadians. TELUS emphasized customer service and its network reliability. The company received fewer complaints than any other national carrier. </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10"/>
        <w:rPr>
          <w:lang w:val="en-GB"/>
        </w:rPr>
      </w:pPr>
      <w:r w:rsidRPr="00E319CA">
        <w:rPr>
          <w:lang w:val="en-GB"/>
        </w:rPr>
        <w:t>INDUSTRY TRENDS AND REGULATION</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The average Canadian household spent approximately $203 per month on telecommunication services, an increase of $11.92 (6.2 per cent) per month over the prior year. The increase was driven mostly by changes in spending on wireless and Internet services, which had grown by 14.1 per cent and 10.0 per cent, respectively.</w:t>
      </w:r>
      <w:r w:rsidR="00DE4227">
        <w:rPr>
          <w:rStyle w:val="FootnoteReference"/>
          <w:lang w:val="en-GB"/>
        </w:rPr>
        <w:footnoteReference w:id="15"/>
      </w:r>
      <w:r w:rsidRPr="00E319CA">
        <w:rPr>
          <w:lang w:val="en-GB"/>
        </w:rPr>
        <w:t xml:space="preserve"> The growth in demand for these services was driven by the demand for bandwidth to deliver data-intensive services, such as web browsing, photo sharing, game playing, and video streaming. </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Media Flexibility</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Increasingly, technology advances enabled consumers to view the content they wanted to see, when and where they wanted to see it. Using Internet-streaming video-on-demand providers, such as Netflix and YouTube, meant that viewers could select what they wanted to watch and view it when they wanted to view it. Tablets and mobile phones with Wi-Fi and cellular network connectivity enabled viewers to watch video almost anywhere.</w:t>
      </w:r>
      <w:r w:rsidRPr="00E319CA">
        <w:rPr>
          <w:rStyle w:val="FootnoteReference"/>
          <w:bCs/>
          <w:color w:val="000000" w:themeColor="text1"/>
          <w:lang w:val="en-GB"/>
        </w:rPr>
        <w:footnoteReference w:id="16"/>
      </w:r>
      <w:r w:rsidRPr="00E319CA">
        <w:rPr>
          <w:lang w:val="en-GB"/>
        </w:rPr>
        <w:t xml:space="preserve"> </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lastRenderedPageBreak/>
        <w:t>Canadian CATV consumers were also being offered more flexible options. The CTRC had recently instituted its new pick ’n’ pay policy requiring BDUs to provide a basic “skinny” package of television channels and allowing consumers to purchase additional media content on a channel-by-channel basis. Previously, consumers had been required to buy tiered bundles of channels. This change had implications for the revenues of the BDUs and the pass-through revenues for media specialty channels.</w:t>
      </w:r>
    </w:p>
    <w:p w:rsidR="005A50CE" w:rsidRDefault="005A50CE" w:rsidP="005A50CE">
      <w:pPr>
        <w:pStyle w:val="BodyTextMain"/>
        <w:rPr>
          <w:lang w:val="en-GB"/>
        </w:rPr>
      </w:pPr>
    </w:p>
    <w:p w:rsidR="00501E46" w:rsidRPr="00E319CA" w:rsidRDefault="00501E46" w:rsidP="005A50CE">
      <w:pPr>
        <w:pStyle w:val="BodyTextMain"/>
        <w:rPr>
          <w:lang w:val="en-GB"/>
        </w:rPr>
      </w:pPr>
    </w:p>
    <w:p w:rsidR="005A50CE" w:rsidRPr="00E319CA" w:rsidRDefault="005A50CE" w:rsidP="005A50CE">
      <w:pPr>
        <w:pStyle w:val="casehead20"/>
        <w:rPr>
          <w:lang w:val="en-GB"/>
        </w:rPr>
      </w:pPr>
      <w:r w:rsidRPr="00E319CA">
        <w:rPr>
          <w:lang w:val="en-GB"/>
        </w:rPr>
        <w:t>Bundling</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Market concentration in connectivity services played a role in the rise of bundling. Large players that offered a full range of connectivity services—wireline phone, TV, wireline Internet, and cellular services—were well positioned to offer their customers discounts in exchange for subscribing to their range of connectivity services. Over the past five years, the number of subscriptions with bundled services rose from 8.8 million to 10.4 million subscribers.</w:t>
      </w:r>
      <w:r w:rsidR="00D70282">
        <w:rPr>
          <w:rStyle w:val="FootnoteReference"/>
          <w:lang w:val="en-GB"/>
        </w:rPr>
        <w:footnoteReference w:id="17"/>
      </w:r>
      <w:r w:rsidRPr="00E319CA">
        <w:rPr>
          <w:lang w:val="en-GB"/>
        </w:rPr>
        <w:t xml:space="preserve"> </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Wireless and Cellular Connectivity</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Wireless market penetration in Canada was approximately 82 per cent of the population and was expected to grow at an estimated 1.4 per cent annually. In addition, the growing functionality of mobile devices had led to an increase in demand for higher levels of mobile data at higher download speeds. While revenues from cellular data consumption were expected to increase across the industry, greater access to public Wi-Fi was expected to moderate the growth of these revenues.</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CATV or Streaming Video</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The increased adoption of OTT services such as Netflix, and connectivity platforms such as Google Chromecast and Apple TV, were attracting viewers from cable TV. BDUs attempted to participate in this trend by launching their own on-demand TV services—for example, Shaw and Rogers launched </w:t>
      </w:r>
      <w:proofErr w:type="spellStart"/>
      <w:r w:rsidRPr="00E319CA">
        <w:rPr>
          <w:lang w:val="en-GB"/>
        </w:rPr>
        <w:t>Shomi</w:t>
      </w:r>
      <w:proofErr w:type="spellEnd"/>
      <w:r w:rsidRPr="00E319CA">
        <w:rPr>
          <w:lang w:val="en-GB"/>
        </w:rPr>
        <w:t>, while Bell launched Crave TV. While OTT services competed against BDU TV services, they fuelled Internet data consumption across all platforms (mobile and in-home Internet). Cable and wireline companies were upgrading their networks, increasing their bandwidth by using technologies such as fibre-to-the-home. Newer cellular and Internet Wi-Fi technologies provided faster data communication speeds, allowing television and Internet signals to reach consumers and their devices more quickly.</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20"/>
        <w:rPr>
          <w:lang w:val="en-GB"/>
        </w:rPr>
      </w:pPr>
      <w:r w:rsidRPr="00E319CA">
        <w:rPr>
          <w:lang w:val="en-GB"/>
        </w:rPr>
        <w:t>Combining Content with Connectivity</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The benefits of owning connectivity and media content assets were unclear—especially in Canada. The Canadian Radio-television Telecommunications Commission required telecommunications companies that held media assets to provide equal access to their owned media content from all other telecommunications providers. In addition, with the possible exception of sports, much of the most popular content viewed in Canada originated in the United States. </w:t>
      </w:r>
    </w:p>
    <w:p w:rsidR="005A50CE" w:rsidRPr="00E319CA" w:rsidRDefault="005A50CE" w:rsidP="005A50CE">
      <w:pPr>
        <w:pStyle w:val="BodyTextMain"/>
        <w:rPr>
          <w:sz w:val="20"/>
          <w:szCs w:val="20"/>
          <w:lang w:val="en-GB"/>
        </w:rPr>
      </w:pPr>
    </w:p>
    <w:p w:rsidR="005A50CE" w:rsidRPr="00E319CA" w:rsidRDefault="005A50CE" w:rsidP="005A50CE">
      <w:pPr>
        <w:pStyle w:val="BodyTextMain"/>
        <w:rPr>
          <w:lang w:val="en-GB"/>
        </w:rPr>
      </w:pPr>
      <w:r w:rsidRPr="00E319CA">
        <w:rPr>
          <w:lang w:val="en-GB"/>
        </w:rPr>
        <w:lastRenderedPageBreak/>
        <w:t>Many U.S. media companies were enormous. For example, The Walt Disney Company had a market capitalization of approximately US$160 billion.</w:t>
      </w:r>
      <w:r w:rsidRPr="00E319CA">
        <w:rPr>
          <w:rStyle w:val="FootnoteReference"/>
          <w:bCs/>
          <w:color w:val="000000" w:themeColor="text1"/>
          <w:lang w:val="en-GB"/>
        </w:rPr>
        <w:footnoteReference w:id="18"/>
      </w:r>
      <w:r w:rsidRPr="00E319CA">
        <w:rPr>
          <w:lang w:val="en-GB"/>
        </w:rPr>
        <w:t xml:space="preserve"> Many of the large U.S. media companies were already combined with connectivity companies. For example, Comcast, the largest U.S. cable provider, owned </w:t>
      </w:r>
      <w:proofErr w:type="spellStart"/>
      <w:r w:rsidRPr="00E319CA">
        <w:rPr>
          <w:lang w:val="en-GB"/>
        </w:rPr>
        <w:t>NBCUniversal</w:t>
      </w:r>
      <w:proofErr w:type="spellEnd"/>
      <w:r w:rsidRPr="00E319CA">
        <w:rPr>
          <w:lang w:val="en-GB"/>
        </w:rPr>
        <w:t>, which included the NBC television network, CNBC, MSNBC, and Universal Studios. Thus, large parts of the most popular North American content were well beyond the reach of even the largest Canadian telecommunications companies.</w:t>
      </w:r>
    </w:p>
    <w:p w:rsidR="00382FDC" w:rsidRDefault="00382FDC" w:rsidP="005A50CE">
      <w:pPr>
        <w:pStyle w:val="BodyTextMain"/>
        <w:rPr>
          <w:sz w:val="20"/>
          <w:szCs w:val="20"/>
          <w:lang w:val="en-GB"/>
        </w:rPr>
      </w:pPr>
    </w:p>
    <w:p w:rsidR="00382FDC" w:rsidRPr="00E319CA" w:rsidRDefault="00382FDC" w:rsidP="005A50CE">
      <w:pPr>
        <w:pStyle w:val="BodyTextMain"/>
        <w:rPr>
          <w:sz w:val="20"/>
          <w:szCs w:val="20"/>
          <w:lang w:val="en-GB"/>
        </w:rPr>
      </w:pPr>
    </w:p>
    <w:p w:rsidR="005A50CE" w:rsidRPr="00E319CA" w:rsidRDefault="005A50CE" w:rsidP="005A50CE">
      <w:pPr>
        <w:pStyle w:val="casehead10"/>
        <w:rPr>
          <w:lang w:val="en-GB"/>
        </w:rPr>
      </w:pPr>
      <w:r w:rsidRPr="00E319CA">
        <w:rPr>
          <w:lang w:val="en-GB"/>
        </w:rPr>
        <w:t>THE PROPOSAL FOR MEDIA RESTRUCTURING</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After its acquisition of WIND Mobile, Shaw offered a complete repertoire of connectivity services. Merging Shaw Media with Corus would establish Shaw as a pure-play, full-connectivity </w:t>
      </w:r>
      <w:proofErr w:type="gramStart"/>
      <w:r w:rsidRPr="00E319CA">
        <w:rPr>
          <w:lang w:val="en-GB"/>
        </w:rPr>
        <w:t>company</w:t>
      </w:r>
      <w:proofErr w:type="gramEnd"/>
      <w:r w:rsidRPr="00E319CA">
        <w:rPr>
          <w:lang w:val="en-GB"/>
        </w:rPr>
        <w:t xml:space="preserve"> and strengthen Corus. Corus, originally a part of Shaw, had been spun off into an independent publicly listed company in 1999, due to regulatory restrictions at the time for vertically integrated companies. Corus was a Canadian-based integrated media and content company that created, licensed, and delivered content across a variety of platforms. The company’s portfolio included specialty television channels such as ABC Spark (formally ABC Family), Disney, and </w:t>
      </w:r>
      <w:proofErr w:type="spellStart"/>
      <w:r w:rsidRPr="00E319CA">
        <w:rPr>
          <w:lang w:val="en-GB"/>
        </w:rPr>
        <w:t>Teletoon</w:t>
      </w:r>
      <w:proofErr w:type="spellEnd"/>
      <w:r w:rsidRPr="00E319CA">
        <w:rPr>
          <w:lang w:val="en-GB"/>
        </w:rPr>
        <w:t xml:space="preserve"> in addition to 39 radio stations. </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 xml:space="preserve">Shaw’s internal team assigned to </w:t>
      </w:r>
      <w:proofErr w:type="spellStart"/>
      <w:r w:rsidRPr="00E319CA">
        <w:rPr>
          <w:lang w:val="en-GB"/>
        </w:rPr>
        <w:t>analyzing</w:t>
      </w:r>
      <w:proofErr w:type="spellEnd"/>
      <w:r w:rsidRPr="00E319CA">
        <w:rPr>
          <w:lang w:val="en-GB"/>
        </w:rPr>
        <w:t xml:space="preserve"> the possible sale, together with a leading independent advisory firm, concluded that a fair value for Shaw Media would be $2.65 billion. A similar conclusion was reached by the financial advisors to Corus Entertainment.</w:t>
      </w:r>
      <w:r w:rsidRPr="00E319CA">
        <w:rPr>
          <w:vertAlign w:val="superscript"/>
          <w:lang w:val="en-GB"/>
        </w:rPr>
        <w:footnoteReference w:id="19"/>
      </w:r>
      <w:r w:rsidRPr="00E319CA">
        <w:rPr>
          <w:lang w:val="en-GB"/>
        </w:rPr>
        <w:t xml:space="preserve"> The transfer of Shaw Media to Corus was expected to generate $40 million to $50 million in cost synergies annually, in addition to significant potential revenue synergies. Together, Shaw Media and Corus would have a share of English TV viewership comparable to that held by Bell, potentially representing one-third of what Canadians watched (see Exhibit 10). </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t>Shaw Media could be sold to Corus for some combination of cash and Corus shares. The structure of a deal to sell Shaw Media to Corus would need to be carefully considered—particularly, the amount in cash and the number of Corus shares (see Exhibit 11). Proceeds from the sale in the form of cash could be beneficial for Shaw; however, taking shares rather than cash would provide Shaw Communications with an ownership position in Corus, and the impact of any cash payment on Corus’s balance sheet would need to be considered by Corus’s board (see Exhibits 12 and 13).</w:t>
      </w:r>
    </w:p>
    <w:p w:rsidR="005A50CE" w:rsidRPr="00E319CA" w:rsidRDefault="005A50CE" w:rsidP="005A50CE">
      <w:pPr>
        <w:pStyle w:val="BodyTextMain"/>
        <w:rPr>
          <w:lang w:val="en-GB"/>
        </w:rPr>
      </w:pPr>
    </w:p>
    <w:p w:rsidR="00382FDC" w:rsidRDefault="005A50CE" w:rsidP="005A50CE">
      <w:pPr>
        <w:pStyle w:val="BodyTextMain"/>
        <w:rPr>
          <w:lang w:val="en-GB"/>
        </w:rPr>
      </w:pPr>
      <w:r w:rsidRPr="00E319CA">
        <w:rPr>
          <w:lang w:val="en-GB"/>
        </w:rPr>
        <w:t>Such a deal would be contrary to past practice in the Canadian telecommunications industry, as the largest players, Bell and Rogers,</w:t>
      </w:r>
      <w:r w:rsidRPr="00E319CA">
        <w:rPr>
          <w:rStyle w:val="FootnoteReference"/>
          <w:color w:val="000000" w:themeColor="text1"/>
          <w:lang w:val="en-GB"/>
        </w:rPr>
        <w:footnoteReference w:id="20"/>
      </w:r>
      <w:r w:rsidRPr="00E319CA">
        <w:rPr>
          <w:lang w:val="en-GB"/>
        </w:rPr>
        <w:t xml:space="preserve"> had backward vertically integrated into content. By owning content, BDUs were able to promote and tailor channel packages to favour their own content. Also, media content had been a stable source of income. In exchange for the upfront windfall of cash that could be generated by the sale of Shaw Media, Shaw Communications would be giving up both its ability to use its own content to leverage its connectivity assets and a stable source of free cash flow. Departing from normal industry practice and becoming more of a connectivity pure play would be a significant strategic move for Shaw.</w:t>
      </w:r>
    </w:p>
    <w:p w:rsidR="005A50CE" w:rsidRPr="00E319CA" w:rsidRDefault="005A50CE" w:rsidP="005A50CE">
      <w:pPr>
        <w:pStyle w:val="BodyTextMain"/>
        <w:rPr>
          <w:lang w:val="en-GB"/>
        </w:rPr>
      </w:pPr>
      <w:r w:rsidRPr="00E319CA">
        <w:rPr>
          <w:lang w:val="en-GB"/>
        </w:rPr>
        <w:br w:type="page"/>
      </w:r>
    </w:p>
    <w:p w:rsidR="005A50CE" w:rsidRPr="00E319CA" w:rsidRDefault="005A50CE" w:rsidP="005A50CE">
      <w:pPr>
        <w:pStyle w:val="casehead10"/>
        <w:jc w:val="center"/>
        <w:rPr>
          <w:lang w:val="en-GB"/>
        </w:rPr>
      </w:pPr>
      <w:r w:rsidRPr="00E319CA">
        <w:rPr>
          <w:lang w:val="en-GB"/>
        </w:rPr>
        <w:lastRenderedPageBreak/>
        <w:t>EXHIBIT 1: SHAW Communications FINANCIAL REPORTS, 2011–2015 STATEMENT OF COMPREHENSIVE INCOME (in CA$ millions)</w:t>
      </w:r>
    </w:p>
    <w:p w:rsidR="005A50CE" w:rsidRPr="00E319CA" w:rsidRDefault="005A50CE" w:rsidP="005A50CE">
      <w:pPr>
        <w:pStyle w:val="BodyTextMain"/>
        <w:rPr>
          <w:lang w:val="en-GB"/>
        </w:rPr>
      </w:pPr>
    </w:p>
    <w:tbl>
      <w:tblPr>
        <w:tblW w:w="8728" w:type="dxa"/>
        <w:jc w:val="center"/>
        <w:tblCellMar>
          <w:left w:w="70" w:type="dxa"/>
          <w:right w:w="70" w:type="dxa"/>
        </w:tblCellMar>
        <w:tblLook w:val="04A0" w:firstRow="1" w:lastRow="0" w:firstColumn="1" w:lastColumn="0" w:noHBand="0" w:noVBand="1"/>
      </w:tblPr>
      <w:tblGrid>
        <w:gridCol w:w="3928"/>
        <w:gridCol w:w="960"/>
        <w:gridCol w:w="960"/>
        <w:gridCol w:w="960"/>
        <w:gridCol w:w="960"/>
        <w:gridCol w:w="960"/>
      </w:tblGrid>
      <w:tr w:rsidR="005A50CE" w:rsidRPr="00E319CA" w:rsidTr="005A50CE">
        <w:trPr>
          <w:trHeight w:val="423"/>
          <w:jc w:val="center"/>
        </w:trPr>
        <w:tc>
          <w:tcPr>
            <w:tcW w:w="3928" w:type="dxa"/>
            <w:tcBorders>
              <w:top w:val="nil"/>
              <w:left w:val="nil"/>
              <w:bottom w:val="nil"/>
              <w:right w:val="nil"/>
            </w:tcBorders>
            <w:shd w:val="clear" w:color="auto" w:fill="auto"/>
            <w:noWrap/>
            <w:vAlign w:val="bottom"/>
          </w:tcPr>
          <w:p w:rsidR="005A50CE" w:rsidRPr="00E319CA" w:rsidRDefault="005A50CE" w:rsidP="005A50CE">
            <w:pPr>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D62BC0">
            <w:pPr>
              <w:jc w:val="center"/>
              <w:rPr>
                <w:rFonts w:ascii="Arial" w:hAnsi="Arial" w:cs="Arial"/>
                <w:b/>
                <w:bCs/>
                <w:color w:val="000000"/>
                <w:lang w:val="en-GB" w:eastAsia="fr-FR"/>
              </w:rPr>
            </w:pPr>
            <w:r w:rsidRPr="00E319CA">
              <w:rPr>
                <w:rFonts w:ascii="Arial" w:hAnsi="Arial" w:cs="Arial"/>
                <w:b/>
                <w:bCs/>
                <w:color w:val="000000"/>
                <w:lang w:val="en-GB" w:eastAsia="fr-FR"/>
              </w:rPr>
              <w:t>2011</w:t>
            </w:r>
          </w:p>
        </w:tc>
        <w:tc>
          <w:tcPr>
            <w:tcW w:w="960" w:type="dxa"/>
            <w:tcBorders>
              <w:top w:val="nil"/>
              <w:left w:val="nil"/>
              <w:bottom w:val="nil"/>
              <w:right w:val="nil"/>
            </w:tcBorders>
            <w:shd w:val="clear" w:color="auto" w:fill="auto"/>
            <w:noWrap/>
            <w:vAlign w:val="bottom"/>
          </w:tcPr>
          <w:p w:rsidR="005A50CE" w:rsidRPr="00E319CA" w:rsidRDefault="005A50CE" w:rsidP="00D62BC0">
            <w:pPr>
              <w:jc w:val="center"/>
              <w:rPr>
                <w:rFonts w:ascii="Arial" w:hAnsi="Arial" w:cs="Arial"/>
                <w:b/>
                <w:bCs/>
                <w:color w:val="000000"/>
                <w:lang w:val="en-GB" w:eastAsia="fr-FR"/>
              </w:rPr>
            </w:pPr>
            <w:r w:rsidRPr="00E319CA">
              <w:rPr>
                <w:rFonts w:ascii="Arial" w:hAnsi="Arial" w:cs="Arial"/>
                <w:b/>
                <w:bCs/>
                <w:color w:val="000000"/>
                <w:lang w:val="en-GB" w:eastAsia="fr-FR"/>
              </w:rPr>
              <w:t>2012</w:t>
            </w:r>
          </w:p>
        </w:tc>
        <w:tc>
          <w:tcPr>
            <w:tcW w:w="960" w:type="dxa"/>
            <w:tcBorders>
              <w:top w:val="nil"/>
              <w:left w:val="nil"/>
              <w:bottom w:val="nil"/>
              <w:right w:val="nil"/>
            </w:tcBorders>
            <w:shd w:val="clear" w:color="auto" w:fill="auto"/>
            <w:noWrap/>
            <w:vAlign w:val="bottom"/>
          </w:tcPr>
          <w:p w:rsidR="005A50CE" w:rsidRPr="00E319CA" w:rsidRDefault="005A50CE" w:rsidP="00D62BC0">
            <w:pPr>
              <w:jc w:val="center"/>
              <w:rPr>
                <w:rFonts w:ascii="Arial" w:hAnsi="Arial" w:cs="Arial"/>
                <w:b/>
                <w:bCs/>
                <w:color w:val="000000"/>
                <w:lang w:val="en-GB" w:eastAsia="fr-FR"/>
              </w:rPr>
            </w:pPr>
            <w:r w:rsidRPr="00E319CA">
              <w:rPr>
                <w:rFonts w:ascii="Arial" w:hAnsi="Arial" w:cs="Arial"/>
                <w:b/>
                <w:bCs/>
                <w:color w:val="000000"/>
                <w:lang w:val="en-GB" w:eastAsia="fr-FR"/>
              </w:rPr>
              <w:t>2013</w:t>
            </w:r>
          </w:p>
        </w:tc>
        <w:tc>
          <w:tcPr>
            <w:tcW w:w="960" w:type="dxa"/>
            <w:tcBorders>
              <w:top w:val="nil"/>
              <w:left w:val="nil"/>
              <w:bottom w:val="nil"/>
              <w:right w:val="nil"/>
            </w:tcBorders>
            <w:shd w:val="clear" w:color="auto" w:fill="auto"/>
            <w:noWrap/>
            <w:vAlign w:val="bottom"/>
          </w:tcPr>
          <w:p w:rsidR="005A50CE" w:rsidRPr="00E319CA" w:rsidRDefault="005A50CE" w:rsidP="00D62BC0">
            <w:pPr>
              <w:jc w:val="center"/>
              <w:rPr>
                <w:rFonts w:ascii="Arial" w:hAnsi="Arial" w:cs="Arial"/>
                <w:b/>
                <w:bCs/>
                <w:color w:val="000000"/>
                <w:lang w:val="en-GB" w:eastAsia="fr-FR"/>
              </w:rPr>
            </w:pPr>
            <w:r w:rsidRPr="00E319CA">
              <w:rPr>
                <w:rFonts w:ascii="Arial" w:hAnsi="Arial" w:cs="Arial"/>
                <w:b/>
                <w:bCs/>
                <w:color w:val="000000"/>
                <w:lang w:val="en-GB" w:eastAsia="fr-FR"/>
              </w:rPr>
              <w:t>2014</w:t>
            </w:r>
          </w:p>
        </w:tc>
        <w:tc>
          <w:tcPr>
            <w:tcW w:w="960" w:type="dxa"/>
            <w:tcBorders>
              <w:top w:val="nil"/>
              <w:left w:val="nil"/>
              <w:bottom w:val="nil"/>
              <w:right w:val="nil"/>
            </w:tcBorders>
            <w:shd w:val="clear" w:color="auto" w:fill="auto"/>
            <w:noWrap/>
            <w:vAlign w:val="bottom"/>
          </w:tcPr>
          <w:p w:rsidR="005A50CE" w:rsidRPr="00E319CA" w:rsidRDefault="005A50CE" w:rsidP="00D62BC0">
            <w:pPr>
              <w:jc w:val="center"/>
              <w:rPr>
                <w:rFonts w:ascii="Arial" w:hAnsi="Arial" w:cs="Arial"/>
                <w:b/>
                <w:bCs/>
                <w:color w:val="000000"/>
                <w:lang w:val="en-GB" w:eastAsia="fr-FR"/>
              </w:rPr>
            </w:pPr>
            <w:r w:rsidRPr="00E319CA">
              <w:rPr>
                <w:rFonts w:ascii="Arial" w:hAnsi="Arial" w:cs="Arial"/>
                <w:b/>
                <w:bCs/>
                <w:color w:val="000000"/>
                <w:lang w:val="en-GB" w:eastAsia="fr-FR"/>
              </w:rPr>
              <w:t>2015</w:t>
            </w:r>
          </w:p>
        </w:tc>
      </w:tr>
      <w:tr w:rsidR="005A50CE" w:rsidRPr="00E319CA" w:rsidTr="005A50CE">
        <w:trPr>
          <w:trHeight w:val="144"/>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Revenue</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b/>
                <w:bCs/>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b/>
                <w:bCs/>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b/>
                <w:bCs/>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b/>
                <w:bCs/>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b/>
                <w:bCs/>
                <w:color w:val="000000"/>
                <w:lang w:val="en-GB" w:eastAsia="fr-FR"/>
              </w:rPr>
            </w:pP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tcPr>
          <w:p w:rsidR="005A50CE" w:rsidRPr="00E319CA" w:rsidRDefault="005A50CE" w:rsidP="005A50CE">
            <w:pPr>
              <w:tabs>
                <w:tab w:val="left" w:pos="371"/>
              </w:tabs>
              <w:rPr>
                <w:rFonts w:ascii="Arial" w:hAnsi="Arial" w:cs="Arial"/>
                <w:color w:val="000000"/>
                <w:lang w:val="en-GB" w:eastAsia="fr-FR"/>
              </w:rPr>
            </w:pPr>
            <w:r w:rsidRPr="00E319CA">
              <w:rPr>
                <w:rFonts w:ascii="Arial" w:hAnsi="Arial" w:cs="Arial"/>
                <w:color w:val="000000"/>
                <w:lang w:val="en-GB" w:eastAsia="fr-FR"/>
              </w:rPr>
              <w:tab/>
              <w:t>Consumer</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3,850</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3,945</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4,036</w:t>
            </w:r>
          </w:p>
        </w:tc>
        <w:tc>
          <w:tcPr>
            <w:tcW w:w="960" w:type="dxa"/>
            <w:tcBorders>
              <w:top w:val="nil"/>
              <w:left w:val="nil"/>
              <w:bottom w:val="nil"/>
              <w:right w:val="nil"/>
            </w:tcBorders>
            <w:shd w:val="clear" w:color="auto" w:fill="auto"/>
            <w:noWrap/>
            <w:vAlign w:val="bottom"/>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3,768</w:t>
            </w:r>
          </w:p>
        </w:tc>
        <w:tc>
          <w:tcPr>
            <w:tcW w:w="960" w:type="dxa"/>
            <w:tcBorders>
              <w:top w:val="nil"/>
              <w:left w:val="nil"/>
              <w:bottom w:val="nil"/>
              <w:right w:val="nil"/>
            </w:tcBorders>
            <w:shd w:val="clear" w:color="auto" w:fill="auto"/>
            <w:noWrap/>
            <w:vAlign w:val="bottom"/>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3,752</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tcPr>
          <w:p w:rsidR="005A50CE" w:rsidRPr="00E319CA" w:rsidRDefault="005A50CE" w:rsidP="005A50CE">
            <w:pPr>
              <w:tabs>
                <w:tab w:val="left" w:pos="371"/>
              </w:tabs>
              <w:rPr>
                <w:rFonts w:ascii="Arial" w:hAnsi="Arial" w:cs="Arial"/>
                <w:color w:val="000000"/>
                <w:lang w:val="en-GB" w:eastAsia="fr-FR"/>
              </w:rPr>
            </w:pPr>
            <w:r w:rsidRPr="00E319CA">
              <w:rPr>
                <w:rFonts w:ascii="Arial" w:hAnsi="Arial" w:cs="Arial"/>
                <w:color w:val="000000"/>
                <w:lang w:val="en-GB" w:eastAsia="fr-FR"/>
              </w:rPr>
              <w:tab/>
              <w:t>Media</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891</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1,053</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1,106</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1,096*</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1,080</w:t>
            </w:r>
            <w:r w:rsidRPr="00E319CA">
              <w:rPr>
                <w:rStyle w:val="FootnoteReference"/>
                <w:rFonts w:ascii="Arial" w:hAnsi="Arial" w:cs="Arial"/>
                <w:color w:val="000000"/>
                <w:lang w:val="en-GB" w:eastAsia="fr-FR"/>
              </w:rPr>
              <w:t>**</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tabs>
                <w:tab w:val="left" w:pos="371"/>
              </w:tabs>
              <w:rPr>
                <w:rFonts w:ascii="Arial" w:hAnsi="Arial" w:cs="Arial"/>
                <w:color w:val="000000"/>
                <w:lang w:val="en-GB" w:eastAsia="fr-FR"/>
              </w:rPr>
            </w:pPr>
            <w:r w:rsidRPr="00E319CA">
              <w:rPr>
                <w:rFonts w:ascii="Arial" w:hAnsi="Arial" w:cs="Arial"/>
                <w:color w:val="000000"/>
                <w:lang w:val="en-GB" w:eastAsia="fr-FR"/>
              </w:rPr>
              <w:tab/>
              <w:t>Business</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484</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766</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tcPr>
          <w:p w:rsidR="005A50CE" w:rsidRPr="00E319CA" w:rsidRDefault="005A50CE" w:rsidP="005A50CE">
            <w:pPr>
              <w:tabs>
                <w:tab w:val="left" w:pos="371"/>
              </w:tabs>
              <w:rPr>
                <w:rFonts w:ascii="Arial" w:hAnsi="Arial" w:cs="Arial"/>
                <w:color w:val="000000"/>
                <w:lang w:val="en-GB" w:eastAsia="fr-FR"/>
              </w:rPr>
            </w:pPr>
            <w:r w:rsidRPr="00E319CA">
              <w:rPr>
                <w:rFonts w:ascii="Arial" w:hAnsi="Arial" w:cs="Arial"/>
                <w:color w:val="000000"/>
                <w:lang w:val="en-GB" w:eastAsia="fr-FR"/>
              </w:rPr>
              <w:t>Intersegment eliminations</w:t>
            </w: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(107)</w:t>
            </w:r>
          </w:p>
        </w:tc>
        <w:tc>
          <w:tcPr>
            <w:tcW w:w="960" w:type="dxa"/>
            <w:tcBorders>
              <w:top w:val="nil"/>
              <w:left w:val="nil"/>
              <w:bottom w:val="nil"/>
              <w:right w:val="nil"/>
            </w:tcBorders>
            <w:shd w:val="clear" w:color="auto" w:fill="auto"/>
            <w:noWrap/>
            <w:vAlign w:val="bottom"/>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(110)</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spacing w:after="120"/>
              <w:rPr>
                <w:rFonts w:ascii="Arial" w:hAnsi="Arial" w:cs="Arial"/>
                <w:color w:val="000000"/>
                <w:lang w:val="en-GB" w:eastAsia="fr-FR"/>
              </w:rPr>
            </w:pPr>
            <w:r w:rsidRPr="00E319CA">
              <w:rPr>
                <w:rFonts w:ascii="Arial" w:hAnsi="Arial" w:cs="Arial"/>
                <w:color w:val="000000"/>
                <w:lang w:val="en-GB" w:eastAsia="fr-FR"/>
              </w:rPr>
              <w:t>Total</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spacing w:after="120"/>
              <w:jc w:val="right"/>
              <w:rPr>
                <w:rFonts w:ascii="Arial" w:hAnsi="Arial" w:cs="Arial"/>
                <w:color w:val="000000"/>
                <w:lang w:val="en-GB" w:eastAsia="fr-FR"/>
              </w:rPr>
            </w:pPr>
            <w:r w:rsidRPr="00E319CA">
              <w:rPr>
                <w:rFonts w:ascii="Arial" w:hAnsi="Arial" w:cs="Arial"/>
                <w:color w:val="000000"/>
                <w:lang w:val="en-GB" w:eastAsia="fr-FR"/>
              </w:rPr>
              <w:t>4,741</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spacing w:after="120"/>
              <w:jc w:val="right"/>
              <w:rPr>
                <w:rFonts w:ascii="Arial" w:hAnsi="Arial" w:cs="Arial"/>
                <w:color w:val="000000"/>
                <w:lang w:val="en-GB" w:eastAsia="fr-FR"/>
              </w:rPr>
            </w:pPr>
            <w:r w:rsidRPr="00E319CA">
              <w:rPr>
                <w:rFonts w:ascii="Arial" w:hAnsi="Arial" w:cs="Arial"/>
                <w:color w:val="000000"/>
                <w:lang w:val="en-GB" w:eastAsia="fr-FR"/>
              </w:rPr>
              <w:t>4,998</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spacing w:after="120"/>
              <w:jc w:val="right"/>
              <w:rPr>
                <w:rFonts w:ascii="Arial" w:hAnsi="Arial" w:cs="Arial"/>
                <w:color w:val="000000"/>
                <w:lang w:val="en-GB" w:eastAsia="fr-FR"/>
              </w:rPr>
            </w:pPr>
            <w:r w:rsidRPr="00E319CA">
              <w:rPr>
                <w:rFonts w:ascii="Arial" w:hAnsi="Arial" w:cs="Arial"/>
                <w:color w:val="000000"/>
                <w:lang w:val="en-GB" w:eastAsia="fr-FR"/>
              </w:rPr>
              <w:t>5,142</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spacing w:after="120"/>
              <w:ind w:right="72"/>
              <w:jc w:val="right"/>
              <w:rPr>
                <w:rFonts w:ascii="Arial" w:hAnsi="Arial" w:cs="Arial"/>
                <w:color w:val="000000"/>
                <w:lang w:val="en-GB" w:eastAsia="fr-FR"/>
              </w:rPr>
            </w:pPr>
            <w:r w:rsidRPr="00E319CA">
              <w:rPr>
                <w:rFonts w:ascii="Arial" w:hAnsi="Arial" w:cs="Arial"/>
                <w:color w:val="000000"/>
                <w:lang w:val="en-GB" w:eastAsia="fr-FR"/>
              </w:rPr>
              <w:t>5,241</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spacing w:after="120"/>
              <w:ind w:right="79"/>
              <w:jc w:val="right"/>
              <w:rPr>
                <w:rFonts w:ascii="Arial" w:hAnsi="Arial" w:cs="Arial"/>
                <w:color w:val="000000"/>
                <w:lang w:val="en-GB" w:eastAsia="fr-FR"/>
              </w:rPr>
            </w:pPr>
            <w:r w:rsidRPr="00E319CA">
              <w:rPr>
                <w:rFonts w:ascii="Arial" w:hAnsi="Arial" w:cs="Arial"/>
                <w:color w:val="000000"/>
                <w:lang w:val="en-GB" w:eastAsia="fr-FR"/>
              </w:rPr>
              <w:t>5,488</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Cost of revenue</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(1,959)</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(2,036)</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(2,022)</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(2,092)</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(2,174)</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Gross profit</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2,782</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2,962</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3,120</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3,149</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3,314</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tcPr>
          <w:p w:rsidR="005A50CE" w:rsidRPr="00E319CA" w:rsidRDefault="005A50CE" w:rsidP="005A50CE">
            <w:pPr>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D62BC0">
            <w:pPr>
              <w:ind w:right="72"/>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D62BC0">
            <w:pPr>
              <w:ind w:right="79"/>
              <w:jc w:val="right"/>
              <w:rPr>
                <w:rFonts w:ascii="Arial" w:hAnsi="Arial" w:cs="Arial"/>
                <w:color w:val="000000"/>
                <w:lang w:val="en-GB" w:eastAsia="fr-FR"/>
              </w:rPr>
            </w:pP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Employee salaries and benefits</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(751)</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(835)</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(900)</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(945)</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(987)</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Amortization (PPE, intangibles, and other)</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(736)</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(808)</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(854)</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(765)</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(895)</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Operating income</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1,295</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1,319</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1,366</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1,439</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1,432</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Interest expense</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(335)</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(330)</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(311)</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(271)</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(283)</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Other income (expense)</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(207)</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(14)</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12</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27</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25</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Income before taxes</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753</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975</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1,067</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1,195</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1,174</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Provision for income taxes</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(205)</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(214)</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(283)</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(308)</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(294)</w:t>
            </w: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Other income</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14</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color w:val="000000"/>
                <w:lang w:val="en-GB" w:eastAsia="fr-FR"/>
              </w:rPr>
            </w:pPr>
            <w:r w:rsidRPr="00E319CA">
              <w:rPr>
                <w:rFonts w:ascii="Arial" w:hAnsi="Arial" w:cs="Arial"/>
                <w:color w:val="000000"/>
                <w:lang w:val="en-GB" w:eastAsia="fr-FR"/>
              </w:rPr>
              <w:t>–</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color w:val="000000"/>
                <w:lang w:val="en-GB" w:eastAsia="fr-FR"/>
              </w:rPr>
            </w:pPr>
            <w:r w:rsidRPr="00E319CA">
              <w:rPr>
                <w:rFonts w:ascii="Arial" w:hAnsi="Arial" w:cs="Arial"/>
                <w:color w:val="000000"/>
                <w:lang w:val="en-GB" w:eastAsia="fr-FR"/>
              </w:rPr>
              <w:t>–</w:t>
            </w:r>
          </w:p>
        </w:tc>
      </w:tr>
      <w:tr w:rsidR="005A50CE" w:rsidRPr="00E319CA" w:rsidTr="005A50CE">
        <w:trPr>
          <w:trHeight w:val="20"/>
          <w:jc w:val="center"/>
        </w:trPr>
        <w:tc>
          <w:tcPr>
            <w:tcW w:w="3928" w:type="dxa"/>
            <w:tcBorders>
              <w:top w:val="nil"/>
              <w:left w:val="nil"/>
              <w:bottom w:val="nil"/>
              <w:right w:val="nil"/>
            </w:tcBorders>
            <w:shd w:val="clear" w:color="auto" w:fill="auto"/>
            <w:noWrap/>
            <w:vAlign w:val="bottom"/>
          </w:tcPr>
          <w:p w:rsidR="005A50CE" w:rsidRPr="00E319CA" w:rsidRDefault="005A50CE" w:rsidP="005A50CE">
            <w:pPr>
              <w:rPr>
                <w:rFonts w:ascii="Arial" w:hAnsi="Arial" w:cs="Arial"/>
                <w:b/>
                <w:bCs/>
                <w:color w:val="000000"/>
                <w:sz w:val="16"/>
                <w:szCs w:val="16"/>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b/>
                <w:bCs/>
                <w:color w:val="000000"/>
                <w:sz w:val="16"/>
                <w:szCs w:val="16"/>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b/>
                <w:bCs/>
                <w:color w:val="000000"/>
                <w:sz w:val="16"/>
                <w:szCs w:val="16"/>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5A50CE">
            <w:pPr>
              <w:jc w:val="right"/>
              <w:rPr>
                <w:rFonts w:ascii="Arial" w:hAnsi="Arial" w:cs="Arial"/>
                <w:b/>
                <w:bCs/>
                <w:color w:val="000000"/>
                <w:sz w:val="16"/>
                <w:szCs w:val="16"/>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D62BC0">
            <w:pPr>
              <w:ind w:right="72"/>
              <w:jc w:val="right"/>
              <w:rPr>
                <w:rFonts w:ascii="Arial" w:hAnsi="Arial" w:cs="Arial"/>
                <w:b/>
                <w:bCs/>
                <w:color w:val="000000"/>
                <w:sz w:val="16"/>
                <w:szCs w:val="16"/>
                <w:lang w:val="en-GB" w:eastAsia="fr-FR"/>
              </w:rPr>
            </w:pPr>
          </w:p>
        </w:tc>
        <w:tc>
          <w:tcPr>
            <w:tcW w:w="960" w:type="dxa"/>
            <w:tcBorders>
              <w:top w:val="nil"/>
              <w:left w:val="nil"/>
              <w:bottom w:val="nil"/>
              <w:right w:val="nil"/>
            </w:tcBorders>
            <w:shd w:val="clear" w:color="auto" w:fill="auto"/>
            <w:noWrap/>
            <w:vAlign w:val="bottom"/>
          </w:tcPr>
          <w:p w:rsidR="005A50CE" w:rsidRPr="00E319CA" w:rsidRDefault="005A50CE" w:rsidP="00D62BC0">
            <w:pPr>
              <w:ind w:right="79"/>
              <w:jc w:val="right"/>
              <w:rPr>
                <w:rFonts w:ascii="Arial" w:hAnsi="Arial" w:cs="Arial"/>
                <w:b/>
                <w:bCs/>
                <w:color w:val="000000"/>
                <w:sz w:val="16"/>
                <w:szCs w:val="16"/>
                <w:lang w:val="en-GB" w:eastAsia="fr-FR"/>
              </w:rPr>
            </w:pPr>
          </w:p>
        </w:tc>
      </w:tr>
      <w:tr w:rsidR="005A50CE" w:rsidRPr="00E319CA" w:rsidTr="005A50CE">
        <w:trPr>
          <w:trHeight w:val="227"/>
          <w:jc w:val="center"/>
        </w:trPr>
        <w:tc>
          <w:tcPr>
            <w:tcW w:w="3928"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b/>
                <w:bCs/>
                <w:color w:val="000000"/>
                <w:lang w:val="en-GB" w:eastAsia="fr-FR"/>
              </w:rPr>
            </w:pPr>
            <w:r w:rsidRPr="00E319CA">
              <w:rPr>
                <w:rFonts w:ascii="Arial" w:hAnsi="Arial" w:cs="Arial"/>
                <w:b/>
                <w:bCs/>
                <w:color w:val="000000"/>
                <w:lang w:val="en-GB" w:eastAsia="fr-FR"/>
              </w:rPr>
              <w:t>Net Income</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lang w:val="en-GB" w:eastAsia="fr-FR"/>
              </w:rPr>
            </w:pPr>
            <w:r w:rsidRPr="00E319CA">
              <w:rPr>
                <w:rFonts w:ascii="Arial" w:hAnsi="Arial" w:cs="Arial"/>
                <w:b/>
                <w:bCs/>
                <w:color w:val="000000"/>
                <w:lang w:val="en-GB" w:eastAsia="fr-FR"/>
              </w:rPr>
              <w:t>562</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lang w:val="en-GB" w:eastAsia="fr-FR"/>
              </w:rPr>
            </w:pPr>
            <w:r w:rsidRPr="00E319CA">
              <w:rPr>
                <w:rFonts w:ascii="Arial" w:hAnsi="Arial" w:cs="Arial"/>
                <w:b/>
                <w:bCs/>
                <w:color w:val="000000"/>
                <w:lang w:val="en-GB" w:eastAsia="fr-FR"/>
              </w:rPr>
              <w:t>761</w:t>
            </w:r>
          </w:p>
        </w:tc>
        <w:tc>
          <w:tcPr>
            <w:tcW w:w="96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lang w:val="en-GB" w:eastAsia="fr-FR"/>
              </w:rPr>
            </w:pPr>
            <w:r w:rsidRPr="00E319CA">
              <w:rPr>
                <w:rFonts w:ascii="Arial" w:hAnsi="Arial" w:cs="Arial"/>
                <w:b/>
                <w:bCs/>
                <w:color w:val="000000"/>
                <w:lang w:val="en-GB" w:eastAsia="fr-FR"/>
              </w:rPr>
              <w:t>784</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2"/>
              <w:jc w:val="right"/>
              <w:rPr>
                <w:rFonts w:ascii="Arial" w:hAnsi="Arial" w:cs="Arial"/>
                <w:b/>
                <w:bCs/>
                <w:color w:val="000000"/>
                <w:lang w:val="en-GB" w:eastAsia="fr-FR"/>
              </w:rPr>
            </w:pPr>
            <w:r w:rsidRPr="00E319CA">
              <w:rPr>
                <w:rFonts w:ascii="Arial" w:hAnsi="Arial" w:cs="Arial"/>
                <w:b/>
                <w:bCs/>
                <w:color w:val="000000"/>
                <w:lang w:val="en-GB" w:eastAsia="fr-FR"/>
              </w:rPr>
              <w:t>887</w:t>
            </w:r>
          </w:p>
        </w:tc>
        <w:tc>
          <w:tcPr>
            <w:tcW w:w="960" w:type="dxa"/>
            <w:tcBorders>
              <w:top w:val="nil"/>
              <w:left w:val="nil"/>
              <w:bottom w:val="nil"/>
              <w:right w:val="nil"/>
            </w:tcBorders>
            <w:shd w:val="clear" w:color="auto" w:fill="auto"/>
            <w:noWrap/>
            <w:vAlign w:val="bottom"/>
            <w:hideMark/>
          </w:tcPr>
          <w:p w:rsidR="005A50CE" w:rsidRPr="00E319CA" w:rsidRDefault="005A50CE" w:rsidP="00D62BC0">
            <w:pPr>
              <w:ind w:right="79"/>
              <w:jc w:val="right"/>
              <w:rPr>
                <w:rFonts w:ascii="Arial" w:hAnsi="Arial" w:cs="Arial"/>
                <w:b/>
                <w:bCs/>
                <w:color w:val="000000"/>
                <w:lang w:val="en-GB" w:eastAsia="fr-FR"/>
              </w:rPr>
            </w:pPr>
            <w:r w:rsidRPr="00E319CA">
              <w:rPr>
                <w:rFonts w:ascii="Arial" w:hAnsi="Arial" w:cs="Arial"/>
                <w:b/>
                <w:bCs/>
                <w:color w:val="000000"/>
                <w:lang w:val="en-GB" w:eastAsia="fr-FR"/>
              </w:rPr>
              <w:t>880</w:t>
            </w:r>
          </w:p>
        </w:tc>
      </w:tr>
    </w:tbl>
    <w:p w:rsidR="005A50CE" w:rsidRPr="00E319CA" w:rsidRDefault="005A50CE" w:rsidP="005A50CE">
      <w:pPr>
        <w:pStyle w:val="FootnoteText1"/>
        <w:rPr>
          <w:lang w:val="en-GB"/>
        </w:rPr>
      </w:pPr>
    </w:p>
    <w:p w:rsidR="005A50CE" w:rsidRPr="00E319CA" w:rsidRDefault="005A50CE" w:rsidP="005A50CE">
      <w:pPr>
        <w:pStyle w:val="FootnoteText1"/>
        <w:rPr>
          <w:lang w:val="en-GB"/>
        </w:rPr>
      </w:pPr>
      <w:r w:rsidRPr="00E319CA">
        <w:rPr>
          <w:lang w:val="en-GB"/>
        </w:rPr>
        <w:t>Note: * Operating income was $353 before restructuring costs and amortization; ** Operating income was $342 before restructuring costs and amortization; PPE = property, plant, and equipment.</w:t>
      </w:r>
    </w:p>
    <w:p w:rsidR="005A50CE" w:rsidRPr="00E319CA" w:rsidRDefault="00D70282" w:rsidP="00D70282">
      <w:pPr>
        <w:pStyle w:val="FootnoteText1"/>
        <w:rPr>
          <w:lang w:val="en-GB"/>
        </w:rPr>
      </w:pPr>
      <w:r>
        <w:rPr>
          <w:lang w:val="en-GB"/>
        </w:rPr>
        <w:t>Source: Company files.</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br w:type="page"/>
      </w:r>
    </w:p>
    <w:p w:rsidR="005A50CE" w:rsidRPr="00E319CA" w:rsidRDefault="005A50CE" w:rsidP="005A50CE">
      <w:pPr>
        <w:pStyle w:val="casehead10"/>
        <w:jc w:val="center"/>
        <w:rPr>
          <w:lang w:val="en-GB"/>
        </w:rPr>
      </w:pPr>
      <w:r w:rsidRPr="00E319CA">
        <w:rPr>
          <w:lang w:val="en-GB"/>
        </w:rPr>
        <w:lastRenderedPageBreak/>
        <w:t>EXHIBIT 1 (CONTINUED)</w:t>
      </w:r>
    </w:p>
    <w:p w:rsidR="005A50CE" w:rsidRPr="00E319CA" w:rsidRDefault="005A50CE" w:rsidP="005A50CE">
      <w:pPr>
        <w:pStyle w:val="BodyTextMain"/>
        <w:rPr>
          <w:lang w:val="en-GB"/>
        </w:rPr>
      </w:pPr>
    </w:p>
    <w:p w:rsidR="005A50CE" w:rsidRPr="00E319CA" w:rsidRDefault="005A50CE" w:rsidP="005A50CE">
      <w:pPr>
        <w:pStyle w:val="casehead10"/>
        <w:jc w:val="center"/>
        <w:rPr>
          <w:lang w:val="en-GB"/>
        </w:rPr>
      </w:pPr>
      <w:r w:rsidRPr="00E319CA">
        <w:rPr>
          <w:lang w:val="en-GB"/>
        </w:rPr>
        <w:t>STATEMENT OF FINANCIAL POSITION</w:t>
      </w:r>
      <w:r w:rsidR="00501E46">
        <w:rPr>
          <w:lang w:val="en-GB"/>
        </w:rPr>
        <w:t xml:space="preserve"> </w:t>
      </w:r>
      <w:r w:rsidR="00501E46" w:rsidRPr="00E319CA">
        <w:rPr>
          <w:lang w:val="en-GB"/>
        </w:rPr>
        <w:t>(in CA$ millions)</w:t>
      </w:r>
    </w:p>
    <w:p w:rsidR="005A50CE" w:rsidRPr="00E319CA" w:rsidRDefault="005A50CE" w:rsidP="005A50CE">
      <w:pPr>
        <w:pStyle w:val="BodyTextMain"/>
        <w:rPr>
          <w:lang w:val="en-GB"/>
        </w:rPr>
      </w:pPr>
    </w:p>
    <w:tbl>
      <w:tblPr>
        <w:tblW w:w="9160" w:type="dxa"/>
        <w:tblInd w:w="160" w:type="dxa"/>
        <w:tblCellMar>
          <w:left w:w="70" w:type="dxa"/>
          <w:right w:w="70" w:type="dxa"/>
        </w:tblCellMar>
        <w:tblLook w:val="04A0" w:firstRow="1" w:lastRow="0" w:firstColumn="1" w:lastColumn="0" w:noHBand="0" w:noVBand="1"/>
      </w:tblPr>
      <w:tblGrid>
        <w:gridCol w:w="9160"/>
      </w:tblGrid>
      <w:tr w:rsidR="005A50CE" w:rsidRPr="00E319CA" w:rsidTr="00830CE7">
        <w:trPr>
          <w:trHeight w:val="300"/>
        </w:trPr>
        <w:tc>
          <w:tcPr>
            <w:tcW w:w="9160" w:type="dxa"/>
            <w:tcBorders>
              <w:top w:val="nil"/>
              <w:left w:val="nil"/>
              <w:bottom w:val="nil"/>
              <w:right w:val="nil"/>
            </w:tcBorders>
            <w:shd w:val="clear" w:color="auto" w:fill="auto"/>
            <w:noWrap/>
            <w:vAlign w:val="bottom"/>
          </w:tcPr>
          <w:tbl>
            <w:tblPr>
              <w:tblW w:w="9020" w:type="dxa"/>
              <w:jc w:val="center"/>
              <w:tblCellMar>
                <w:left w:w="70" w:type="dxa"/>
                <w:right w:w="70" w:type="dxa"/>
              </w:tblCellMar>
              <w:tblLook w:val="04A0" w:firstRow="1" w:lastRow="0" w:firstColumn="1" w:lastColumn="0" w:noHBand="0" w:noVBand="1"/>
            </w:tblPr>
            <w:tblGrid>
              <w:gridCol w:w="4196"/>
              <w:gridCol w:w="1314"/>
              <w:gridCol w:w="810"/>
              <w:gridCol w:w="900"/>
              <w:gridCol w:w="900"/>
              <w:gridCol w:w="900"/>
            </w:tblGrid>
            <w:tr w:rsidR="005A50CE" w:rsidRPr="00E319CA" w:rsidTr="00830CE7">
              <w:trPr>
                <w:trHeight w:val="300"/>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b/>
                      <w:color w:val="000000"/>
                      <w:sz w:val="19"/>
                      <w:szCs w:val="19"/>
                      <w:lang w:val="en-GB" w:eastAsia="fr-FR"/>
                    </w:rPr>
                  </w:pPr>
                  <w:r w:rsidRPr="00E319CA">
                    <w:rPr>
                      <w:rFonts w:ascii="Arial" w:hAnsi="Arial" w:cs="Arial"/>
                      <w:b/>
                      <w:bCs/>
                      <w:color w:val="000000"/>
                      <w:sz w:val="19"/>
                      <w:szCs w:val="19"/>
                      <w:lang w:val="en-GB" w:eastAsia="fr-FR"/>
                    </w:rPr>
                    <w:t>ASSETS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sz w:val="19"/>
                      <w:szCs w:val="19"/>
                      <w:lang w:val="en-GB" w:eastAsia="fr-FR"/>
                    </w:rPr>
                  </w:pPr>
                  <w:r w:rsidRPr="00E319CA">
                    <w:rPr>
                      <w:rFonts w:ascii="Arial" w:hAnsi="Arial" w:cs="Arial"/>
                      <w:b/>
                      <w:bCs/>
                      <w:color w:val="000000"/>
                      <w:sz w:val="19"/>
                      <w:szCs w:val="19"/>
                      <w:lang w:val="en-GB" w:eastAsia="fr-FR"/>
                    </w:rPr>
                    <w:t>2011</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sz w:val="19"/>
                      <w:szCs w:val="19"/>
                      <w:lang w:val="en-GB" w:eastAsia="fr-FR"/>
                    </w:rPr>
                  </w:pPr>
                  <w:r w:rsidRPr="00E319CA">
                    <w:rPr>
                      <w:rFonts w:ascii="Arial" w:hAnsi="Arial" w:cs="Arial"/>
                      <w:b/>
                      <w:bCs/>
                      <w:color w:val="000000"/>
                      <w:sz w:val="19"/>
                      <w:szCs w:val="19"/>
                      <w:lang w:val="en-GB" w:eastAsia="fr-FR"/>
                    </w:rPr>
                    <w:t>2012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sz w:val="19"/>
                      <w:szCs w:val="19"/>
                      <w:lang w:val="en-GB" w:eastAsia="fr-FR"/>
                    </w:rPr>
                  </w:pPr>
                  <w:r w:rsidRPr="00E319CA">
                    <w:rPr>
                      <w:rFonts w:ascii="Arial" w:hAnsi="Arial" w:cs="Arial"/>
                      <w:b/>
                      <w:bCs/>
                      <w:color w:val="000000"/>
                      <w:sz w:val="19"/>
                      <w:szCs w:val="19"/>
                      <w:lang w:val="en-GB" w:eastAsia="fr-FR"/>
                    </w:rPr>
                    <w:t>2013</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sz w:val="19"/>
                      <w:szCs w:val="19"/>
                      <w:lang w:val="en-GB" w:eastAsia="fr-FR"/>
                    </w:rPr>
                  </w:pPr>
                  <w:r w:rsidRPr="00E319CA">
                    <w:rPr>
                      <w:rFonts w:ascii="Arial" w:hAnsi="Arial" w:cs="Arial"/>
                      <w:b/>
                      <w:bCs/>
                      <w:color w:val="000000"/>
                      <w:sz w:val="19"/>
                      <w:szCs w:val="19"/>
                      <w:lang w:val="en-GB" w:eastAsia="fr-FR"/>
                    </w:rPr>
                    <w:t>2014</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sz w:val="19"/>
                      <w:szCs w:val="19"/>
                      <w:lang w:val="en-GB" w:eastAsia="fr-FR"/>
                    </w:rPr>
                  </w:pPr>
                  <w:r w:rsidRPr="00E319CA">
                    <w:rPr>
                      <w:rFonts w:ascii="Arial" w:hAnsi="Arial" w:cs="Arial"/>
                      <w:b/>
                      <w:bCs/>
                      <w:color w:val="000000"/>
                      <w:sz w:val="19"/>
                      <w:szCs w:val="19"/>
                      <w:lang w:val="en-GB" w:eastAsia="fr-FR"/>
                    </w:rPr>
                    <w:t>2015</w:t>
                  </w:r>
                </w:p>
              </w:tc>
            </w:tr>
            <w:tr w:rsidR="005A50CE" w:rsidRPr="00E319CA" w:rsidTr="00830CE7">
              <w:trPr>
                <w:trHeight w:val="300"/>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b/>
                      <w:bCs/>
                      <w:color w:val="000000"/>
                      <w:sz w:val="19"/>
                      <w:szCs w:val="19"/>
                      <w:lang w:val="en-GB" w:eastAsia="fr-FR"/>
                    </w:rPr>
                  </w:pPr>
                  <w:r w:rsidRPr="00E319CA">
                    <w:rPr>
                      <w:rFonts w:ascii="Arial" w:hAnsi="Arial" w:cs="Arial"/>
                      <w:b/>
                      <w:bCs/>
                      <w:color w:val="000000"/>
                      <w:sz w:val="19"/>
                      <w:szCs w:val="19"/>
                      <w:lang w:val="en-GB" w:eastAsia="fr-FR"/>
                    </w:rPr>
                    <w:t>Current assets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Cash and cash equivalents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443</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427</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422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637</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398</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Receivables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443</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433</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469</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474</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464</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Inventories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97</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102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96</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119</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60</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Other current assets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279</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89</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208</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103</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87</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Total current assets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1,262</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1,051</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1,195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1,333</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1,009</w:t>
                  </w:r>
                </w:p>
              </w:tc>
            </w:tr>
            <w:tr w:rsidR="005A50CE" w:rsidRPr="00E319CA" w:rsidTr="00830CE7">
              <w:trPr>
                <w:trHeight w:val="60"/>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1314"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r>
            <w:tr w:rsidR="005A50CE" w:rsidRPr="00E319CA" w:rsidTr="00830CE7">
              <w:trPr>
                <w:trHeight w:val="300"/>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b/>
                      <w:bCs/>
                      <w:color w:val="000000"/>
                      <w:sz w:val="19"/>
                      <w:szCs w:val="19"/>
                      <w:lang w:val="en-GB" w:eastAsia="fr-FR"/>
                    </w:rPr>
                  </w:pPr>
                  <w:r w:rsidRPr="00E319CA">
                    <w:rPr>
                      <w:rFonts w:ascii="Arial" w:hAnsi="Arial" w:cs="Arial"/>
                      <w:b/>
                      <w:bCs/>
                      <w:color w:val="000000"/>
                      <w:sz w:val="19"/>
                      <w:szCs w:val="19"/>
                      <w:lang w:val="en-GB" w:eastAsia="fr-FR"/>
                    </w:rPr>
                    <w:t>Non-current assets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Net property, plant, and equipment</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3,200</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3,242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3,370</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3,652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4,220</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Equity and other investments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13</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13</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10</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60</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97</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Goodwill</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815</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715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698</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698</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1,506</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Intangible assets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6,955</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7,355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7,153</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7,198</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7,459</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Other long-term assets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281</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346</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306</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309</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273</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Total non-current assets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11,264</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11,671</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11,537</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11,917</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13,555</w:t>
                  </w:r>
                </w:p>
              </w:tc>
            </w:tr>
            <w:tr w:rsidR="005A50CE" w:rsidRPr="00E319CA" w:rsidTr="00830CE7">
              <w:trPr>
                <w:trHeight w:val="60"/>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r>
            <w:tr w:rsidR="005A50CE" w:rsidRPr="00E319CA" w:rsidTr="00830CE7">
              <w:trPr>
                <w:trHeight w:val="60"/>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b/>
                      <w:bCs/>
                      <w:sz w:val="19"/>
                      <w:szCs w:val="19"/>
                      <w:lang w:val="en-GB" w:eastAsia="fr-FR"/>
                    </w:rPr>
                    <w:t>Total assets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sz w:val="19"/>
                      <w:szCs w:val="19"/>
                      <w:lang w:val="en-GB" w:eastAsia="fr-FR"/>
                    </w:rPr>
                    <w:t>12,526</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sz w:val="19"/>
                      <w:szCs w:val="19"/>
                      <w:lang w:val="en-GB" w:eastAsia="fr-FR"/>
                    </w:rPr>
                    <w:t>12,722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sz w:val="19"/>
                      <w:szCs w:val="19"/>
                      <w:lang w:val="en-GB" w:eastAsia="fr-FR"/>
                    </w:rPr>
                    <w:t>12,732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sz w:val="19"/>
                      <w:szCs w:val="19"/>
                      <w:lang w:val="en-GB" w:eastAsia="fr-FR"/>
                    </w:rPr>
                    <w:t>13,250</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sz w:val="19"/>
                      <w:szCs w:val="19"/>
                      <w:lang w:val="en-GB" w:eastAsia="fr-FR"/>
                    </w:rPr>
                    <w:t>14,564</w:t>
                  </w:r>
                </w:p>
              </w:tc>
            </w:tr>
            <w:tr w:rsidR="005A50CE" w:rsidRPr="00E319CA" w:rsidTr="00830CE7">
              <w:trPr>
                <w:trHeight w:val="144"/>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r>
            <w:tr w:rsidR="005A50CE" w:rsidRPr="00E319CA" w:rsidTr="00830CE7">
              <w:trPr>
                <w:trHeight w:val="60"/>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b/>
                      <w:color w:val="000000"/>
                      <w:sz w:val="19"/>
                      <w:szCs w:val="19"/>
                      <w:lang w:val="en-GB" w:eastAsia="fr-FR"/>
                    </w:rPr>
                  </w:pPr>
                  <w:r w:rsidRPr="00E319CA">
                    <w:rPr>
                      <w:rFonts w:ascii="Arial" w:hAnsi="Arial" w:cs="Arial"/>
                      <w:b/>
                      <w:bCs/>
                      <w:color w:val="000000"/>
                      <w:sz w:val="19"/>
                      <w:szCs w:val="19"/>
                      <w:lang w:val="en-GB" w:eastAsia="fr-FR"/>
                    </w:rPr>
                    <w:t>LIABILITIES AND SHAREHOLDERS’ EQUITY</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b/>
                      <w:bCs/>
                      <w:color w:val="000000"/>
                      <w:sz w:val="19"/>
                      <w:szCs w:val="19"/>
                      <w:lang w:val="en-GB" w:eastAsia="fr-FR"/>
                    </w:rPr>
                    <w:t>Current liabilities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b/>
                      <w:bCs/>
                      <w:color w:val="000000"/>
                      <w:sz w:val="19"/>
                      <w:szCs w:val="19"/>
                      <w:u w:val="single"/>
                      <w:lang w:val="en-GB" w:eastAsia="fr-FR"/>
                    </w:rPr>
                  </w:pPr>
                  <w:r w:rsidRPr="00E319CA">
                    <w:rPr>
                      <w:rFonts w:ascii="Arial" w:hAnsi="Arial" w:cs="Arial"/>
                      <w:color w:val="000000"/>
                      <w:sz w:val="19"/>
                      <w:szCs w:val="19"/>
                      <w:lang w:val="en-GB" w:eastAsia="fr-FR"/>
                    </w:rPr>
                    <w:t>Short-term debt</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451</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998</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608</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Taxes payable</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12</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156</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136</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341</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195</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b/>
                      <w:bCs/>
                      <w:color w:val="000000"/>
                      <w:sz w:val="19"/>
                      <w:szCs w:val="19"/>
                      <w:lang w:val="en-GB" w:eastAsia="fr-FR"/>
                    </w:rPr>
                  </w:pPr>
                  <w:r w:rsidRPr="00E319CA">
                    <w:rPr>
                      <w:rFonts w:ascii="Arial" w:hAnsi="Arial" w:cs="Arial"/>
                      <w:color w:val="000000"/>
                      <w:sz w:val="19"/>
                      <w:szCs w:val="19"/>
                      <w:lang w:val="en-GB" w:eastAsia="fr-FR"/>
                    </w:rPr>
                    <w:t>Deferred revenues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155</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157</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172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183</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196</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Other current liabilities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964</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831</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899</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872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939</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Total current liabilities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1,131</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1,595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2,205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1,396</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1,938</w:t>
                  </w:r>
                </w:p>
              </w:tc>
            </w:tr>
            <w:tr w:rsidR="005A50CE" w:rsidRPr="00E319CA" w:rsidTr="00830CE7">
              <w:trPr>
                <w:trHeight w:val="144"/>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r>
            <w:tr w:rsidR="005A50CE" w:rsidRPr="00E319CA" w:rsidTr="00830CE7">
              <w:trPr>
                <w:trHeight w:val="300"/>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b/>
                      <w:bCs/>
                      <w:color w:val="000000"/>
                      <w:sz w:val="19"/>
                      <w:szCs w:val="19"/>
                      <w:lang w:val="en-GB" w:eastAsia="fr-FR"/>
                    </w:rPr>
                    <w:t>Non-current liabilities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Long-term debt</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5,256</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4,812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3,868</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4,690</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5,061</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Deferred taxes liabilities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1,699</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1,085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1,142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1,105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1,135</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b/>
                      <w:bCs/>
                      <w:color w:val="000000"/>
                      <w:sz w:val="19"/>
                      <w:szCs w:val="19"/>
                      <w:lang w:val="en-GB" w:eastAsia="fr-FR"/>
                    </w:rPr>
                  </w:pPr>
                  <w:r w:rsidRPr="00E319CA">
                    <w:rPr>
                      <w:rFonts w:ascii="Arial" w:hAnsi="Arial" w:cs="Arial"/>
                      <w:color w:val="000000"/>
                      <w:sz w:val="19"/>
                      <w:szCs w:val="19"/>
                      <w:lang w:val="en-GB" w:eastAsia="fr-FR"/>
                    </w:rPr>
                    <w:t>Minority interest</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241</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281</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231</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235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237</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Other long-term liabilities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981</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1,195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1,104</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1,122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784</w:t>
                  </w: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Total non-current liabilities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8,178</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7,373</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6,345</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7,152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7,217</w:t>
                  </w:r>
                </w:p>
              </w:tc>
            </w:tr>
            <w:tr w:rsidR="005A50CE" w:rsidRPr="00E319CA" w:rsidTr="00830CE7">
              <w:trPr>
                <w:trHeight w:val="144"/>
                <w:jc w:val="center"/>
              </w:trPr>
              <w:tc>
                <w:tcPr>
                  <w:tcW w:w="4196" w:type="dxa"/>
                  <w:tcBorders>
                    <w:top w:val="nil"/>
                    <w:left w:val="nil"/>
                    <w:bottom w:val="nil"/>
                    <w:right w:val="nil"/>
                  </w:tcBorders>
                  <w:shd w:val="clear" w:color="auto" w:fill="auto"/>
                  <w:noWrap/>
                  <w:vAlign w:val="bottom"/>
                </w:tcPr>
                <w:p w:rsidR="005A50CE" w:rsidRPr="00E319CA" w:rsidRDefault="005A50CE" w:rsidP="005A50CE">
                  <w:pPr>
                    <w:rPr>
                      <w:rFonts w:ascii="Arial" w:hAnsi="Arial" w:cs="Arial"/>
                      <w:color w:val="000000"/>
                      <w:sz w:val="19"/>
                      <w:szCs w:val="19"/>
                      <w:lang w:val="en-GB" w:eastAsia="fr-FR"/>
                    </w:rPr>
                  </w:pP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Total liabilities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9,309</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8,968</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8,550</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8,548</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9,155</w:t>
                  </w:r>
                </w:p>
              </w:tc>
            </w:tr>
            <w:tr w:rsidR="005A50CE" w:rsidRPr="00E319CA" w:rsidTr="00830CE7">
              <w:trPr>
                <w:trHeight w:val="144"/>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color w:val="000000"/>
                      <w:sz w:val="19"/>
                      <w:szCs w:val="19"/>
                      <w:lang w:val="en-GB" w:eastAsia="fr-FR"/>
                    </w:rPr>
                    <w:t>Common and preferred shareholders</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3,217</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3,754</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4,182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4,702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color w:val="000000"/>
                      <w:sz w:val="19"/>
                      <w:szCs w:val="19"/>
                      <w:lang w:val="en-GB" w:eastAsia="fr-FR"/>
                    </w:rPr>
                    <w:t>5,409</w:t>
                  </w:r>
                </w:p>
              </w:tc>
            </w:tr>
            <w:tr w:rsidR="005A50CE" w:rsidRPr="00E319CA" w:rsidTr="00830CE7">
              <w:trPr>
                <w:trHeight w:val="144"/>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p>
              </w:tc>
            </w:tr>
            <w:tr w:rsidR="005A50CE" w:rsidRPr="00E319CA" w:rsidTr="00830CE7">
              <w:trPr>
                <w:trHeight w:val="227"/>
                <w:jc w:val="center"/>
              </w:trPr>
              <w:tc>
                <w:tcPr>
                  <w:tcW w:w="4196"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sz w:val="19"/>
                      <w:szCs w:val="19"/>
                      <w:lang w:val="en-GB" w:eastAsia="fr-FR"/>
                    </w:rPr>
                  </w:pPr>
                  <w:r w:rsidRPr="00E319CA">
                    <w:rPr>
                      <w:rFonts w:ascii="Arial" w:hAnsi="Arial" w:cs="Arial"/>
                      <w:b/>
                      <w:bCs/>
                      <w:color w:val="000000"/>
                      <w:sz w:val="19"/>
                      <w:szCs w:val="19"/>
                      <w:lang w:val="en-GB" w:eastAsia="fr-FR"/>
                    </w:rPr>
                    <w:t>Total liabilities and stockholders’ equity</w:t>
                  </w:r>
                </w:p>
              </w:tc>
              <w:tc>
                <w:tcPr>
                  <w:tcW w:w="1314"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color w:val="000000"/>
                      <w:sz w:val="19"/>
                      <w:szCs w:val="19"/>
                      <w:lang w:val="en-GB" w:eastAsia="fr-FR"/>
                    </w:rPr>
                    <w:t>12,526</w:t>
                  </w:r>
                </w:p>
              </w:tc>
              <w:tc>
                <w:tcPr>
                  <w:tcW w:w="81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color w:val="000000"/>
                      <w:sz w:val="19"/>
                      <w:szCs w:val="19"/>
                      <w:lang w:val="en-GB" w:eastAsia="fr-FR"/>
                    </w:rPr>
                    <w:t>12,722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color w:val="000000"/>
                      <w:sz w:val="19"/>
                      <w:szCs w:val="19"/>
                      <w:lang w:val="en-GB" w:eastAsia="fr-FR"/>
                    </w:rPr>
                    <w:t>12,732</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color w:val="000000"/>
                      <w:sz w:val="19"/>
                      <w:szCs w:val="19"/>
                      <w:lang w:val="en-GB" w:eastAsia="fr-FR"/>
                    </w:rPr>
                    <w:t>13,250</w:t>
                  </w:r>
                </w:p>
              </w:tc>
              <w:tc>
                <w:tcPr>
                  <w:tcW w:w="900"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sz w:val="19"/>
                      <w:szCs w:val="19"/>
                      <w:lang w:val="en-GB" w:eastAsia="fr-FR"/>
                    </w:rPr>
                  </w:pPr>
                  <w:r w:rsidRPr="00E319CA">
                    <w:rPr>
                      <w:rFonts w:ascii="Arial" w:hAnsi="Arial" w:cs="Arial"/>
                      <w:b/>
                      <w:bCs/>
                      <w:color w:val="000000"/>
                      <w:sz w:val="19"/>
                      <w:szCs w:val="19"/>
                      <w:lang w:val="en-GB" w:eastAsia="fr-FR"/>
                    </w:rPr>
                    <w:t>14,564</w:t>
                  </w:r>
                </w:p>
              </w:tc>
            </w:tr>
          </w:tbl>
          <w:p w:rsidR="005A50CE" w:rsidRPr="00E319CA" w:rsidRDefault="005A50CE" w:rsidP="005A50CE">
            <w:pPr>
              <w:rPr>
                <w:rFonts w:ascii="Arial" w:hAnsi="Arial" w:cs="Arial"/>
                <w:color w:val="000000"/>
                <w:sz w:val="22"/>
                <w:szCs w:val="22"/>
                <w:lang w:val="en-GB" w:eastAsia="fr-FR"/>
              </w:rPr>
            </w:pPr>
          </w:p>
        </w:tc>
      </w:tr>
      <w:tr w:rsidR="005A50CE" w:rsidRPr="00E319CA" w:rsidTr="00830CE7">
        <w:trPr>
          <w:trHeight w:val="300"/>
        </w:trPr>
        <w:tc>
          <w:tcPr>
            <w:tcW w:w="9160" w:type="dxa"/>
            <w:tcBorders>
              <w:top w:val="nil"/>
              <w:left w:val="nil"/>
              <w:bottom w:val="nil"/>
              <w:right w:val="nil"/>
            </w:tcBorders>
            <w:shd w:val="clear" w:color="auto" w:fill="auto"/>
            <w:noWrap/>
            <w:vAlign w:val="bottom"/>
          </w:tcPr>
          <w:p w:rsidR="005A50CE" w:rsidRPr="00E319CA" w:rsidRDefault="005A50CE" w:rsidP="005A50CE">
            <w:pPr>
              <w:rPr>
                <w:rFonts w:ascii="Arial" w:hAnsi="Arial" w:cs="Arial"/>
                <w:color w:val="000000"/>
                <w:sz w:val="22"/>
                <w:szCs w:val="22"/>
                <w:lang w:val="en-GB" w:eastAsia="fr-FR"/>
              </w:rPr>
            </w:pPr>
          </w:p>
        </w:tc>
      </w:tr>
    </w:tbl>
    <w:p w:rsidR="00382FDC" w:rsidRDefault="00382FDC" w:rsidP="005A50CE">
      <w:pPr>
        <w:pStyle w:val="FootnoteText1"/>
        <w:rPr>
          <w:lang w:val="en-GB"/>
        </w:rPr>
      </w:pPr>
    </w:p>
    <w:p w:rsidR="005A50CE" w:rsidRPr="00E319CA" w:rsidRDefault="005A50CE" w:rsidP="005A50CE">
      <w:pPr>
        <w:pStyle w:val="FootnoteText1"/>
        <w:rPr>
          <w:lang w:val="en-GB"/>
        </w:rPr>
      </w:pPr>
      <w:r w:rsidRPr="00E319CA">
        <w:rPr>
          <w:lang w:val="en-GB"/>
        </w:rPr>
        <w:t>Note: Common shares comprised 22,420,064 Class A voting shares and 451,471,562 Class B non-voting shares. Both categories of shares received the same dividend.</w:t>
      </w:r>
    </w:p>
    <w:p w:rsidR="00830CE7" w:rsidRPr="00830CE7" w:rsidRDefault="005A50CE" w:rsidP="00830CE7">
      <w:pPr>
        <w:pStyle w:val="FootnoteText1"/>
      </w:pPr>
      <w:r w:rsidRPr="00830CE7">
        <w:t>Source: Created by case author based on data from Shaw annual reports, accessed March 27, 2017, www.shaw.ca/uploadedFiles/Corporate/Investors/Financial_Reports/COR_Investors_FinRep_AnnualReport_2011.pdf; www.</w:t>
      </w:r>
    </w:p>
    <w:p w:rsidR="00830CE7" w:rsidRPr="00830CE7" w:rsidRDefault="005A50CE" w:rsidP="00830CE7">
      <w:pPr>
        <w:pStyle w:val="FootnoteText1"/>
      </w:pPr>
      <w:r w:rsidRPr="00830CE7">
        <w:t>shaw.ca/uploadedFiles/Corporate/Investors/Financial_Reports/SCIAnnualReport2012.pdf</w:t>
      </w:r>
      <w:r w:rsidRPr="00830CE7">
        <w:rPr>
          <w:rStyle w:val="Hyperlink"/>
          <w:color w:val="auto"/>
          <w:u w:val="none"/>
        </w:rPr>
        <w:t xml:space="preserve">; </w:t>
      </w:r>
      <w:r w:rsidR="00830CE7" w:rsidRPr="00830CE7">
        <w:t>www.shaw.ca/uploadedFiles/</w:t>
      </w:r>
    </w:p>
    <w:p w:rsidR="00830CE7" w:rsidRPr="00830CE7" w:rsidRDefault="005A50CE" w:rsidP="00830CE7">
      <w:pPr>
        <w:pStyle w:val="FootnoteText1"/>
      </w:pPr>
      <w:r w:rsidRPr="00830CE7">
        <w:t>Corporate/Investors/</w:t>
      </w:r>
      <w:proofErr w:type="spellStart"/>
      <w:r w:rsidRPr="00830CE7">
        <w:t>Financial_Reports</w:t>
      </w:r>
      <w:proofErr w:type="spellEnd"/>
      <w:r w:rsidRPr="00830CE7">
        <w:t>/SCI2013annualreport.pdf</w:t>
      </w:r>
      <w:r w:rsidRPr="00830CE7">
        <w:rPr>
          <w:rStyle w:val="Hyperlink"/>
          <w:color w:val="auto"/>
          <w:u w:val="none"/>
        </w:rPr>
        <w:t xml:space="preserve">; </w:t>
      </w:r>
      <w:r w:rsidR="00830CE7" w:rsidRPr="00830CE7">
        <w:t>www.shaw.ca/uploadedFiles/Corporate/Investors/</w:t>
      </w:r>
    </w:p>
    <w:p w:rsidR="00830CE7" w:rsidRPr="00830CE7" w:rsidRDefault="005A50CE" w:rsidP="00830CE7">
      <w:pPr>
        <w:pStyle w:val="FootnoteText1"/>
      </w:pPr>
      <w:proofErr w:type="spellStart"/>
      <w:r w:rsidRPr="00830CE7">
        <w:t>Financial_Reports</w:t>
      </w:r>
      <w:proofErr w:type="spellEnd"/>
      <w:r w:rsidRPr="00830CE7">
        <w:t>/1SCIAnnReport2014.pdf</w:t>
      </w:r>
      <w:r w:rsidRPr="00830CE7">
        <w:rPr>
          <w:rStyle w:val="Hyperlink"/>
          <w:color w:val="auto"/>
          <w:u w:val="none"/>
        </w:rPr>
        <w:t xml:space="preserve">; </w:t>
      </w:r>
      <w:r w:rsidR="00830CE7" w:rsidRPr="00830CE7">
        <w:t>www.shaw.ca/uploadedFiles/Corporate/Investors/Financial_Reports/2015_</w:t>
      </w:r>
    </w:p>
    <w:p w:rsidR="005A50CE" w:rsidRPr="00830CE7" w:rsidRDefault="005A50CE" w:rsidP="00830CE7">
      <w:pPr>
        <w:pStyle w:val="FootnoteText1"/>
      </w:pPr>
      <w:proofErr w:type="gramStart"/>
      <w:r w:rsidRPr="00830CE7">
        <w:t>Annual_Report.pdf.</w:t>
      </w:r>
      <w:proofErr w:type="gramEnd"/>
    </w:p>
    <w:p w:rsidR="005A50CE" w:rsidRPr="00E319CA" w:rsidRDefault="005A50CE" w:rsidP="005A50CE">
      <w:pPr>
        <w:rPr>
          <w:rFonts w:ascii="Arial" w:hAnsi="Arial" w:cs="Arial"/>
          <w:lang w:val="en-GB"/>
        </w:rPr>
      </w:pPr>
      <w:r w:rsidRPr="00E319CA">
        <w:rPr>
          <w:rFonts w:ascii="Arial" w:hAnsi="Arial" w:cs="Arial"/>
          <w:lang w:val="en-GB"/>
        </w:rPr>
        <w:br w:type="page"/>
      </w:r>
    </w:p>
    <w:p w:rsidR="005A50CE" w:rsidRPr="00E319CA" w:rsidRDefault="005A50CE" w:rsidP="005A50CE">
      <w:pPr>
        <w:pStyle w:val="casehead10"/>
        <w:jc w:val="center"/>
        <w:rPr>
          <w:lang w:val="en-GB" w:eastAsia="fr-FR"/>
        </w:rPr>
      </w:pPr>
      <w:r w:rsidRPr="00E319CA">
        <w:rPr>
          <w:lang w:val="en-GB" w:eastAsia="fr-FR"/>
        </w:rPr>
        <w:lastRenderedPageBreak/>
        <w:t>EXHIBIT 2: TELEVISION SUBSCRIBERS OF the four MAJOR CANADIAN PROVIDERS, 2011–2015 (IN MILLIONS)</w:t>
      </w:r>
    </w:p>
    <w:p w:rsidR="005A50CE" w:rsidRPr="00E319CA" w:rsidRDefault="005A50CE" w:rsidP="005A50CE">
      <w:pPr>
        <w:pStyle w:val="BodyTextMain"/>
        <w:rPr>
          <w:lang w:val="en-GB"/>
        </w:rPr>
      </w:pPr>
    </w:p>
    <w:p w:rsidR="005A50CE" w:rsidRPr="00E319CA" w:rsidRDefault="005A50CE" w:rsidP="005A50CE">
      <w:pPr>
        <w:jc w:val="center"/>
        <w:rPr>
          <w:lang w:val="en-GB"/>
        </w:rPr>
      </w:pPr>
      <w:r w:rsidRPr="00E319CA">
        <w:rPr>
          <w:noProof/>
          <w:lang w:val="en-GB" w:eastAsia="en-GB"/>
        </w:rPr>
        <w:drawing>
          <wp:inline distT="0" distB="0" distL="0" distR="0" wp14:anchorId="173B03C0" wp14:editId="4E0B9911">
            <wp:extent cx="4835337" cy="2690906"/>
            <wp:effectExtent l="0" t="0" r="22860" b="14605"/>
            <wp:docPr id="2" name="Chart 2">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50CE" w:rsidRPr="00E319CA" w:rsidRDefault="005A50CE" w:rsidP="005A50CE">
      <w:pPr>
        <w:pStyle w:val="FootnoteText1"/>
        <w:rPr>
          <w:lang w:val="en-GB" w:eastAsia="fr-FR"/>
        </w:rPr>
      </w:pPr>
    </w:p>
    <w:p w:rsidR="005A50CE" w:rsidRPr="00E319CA" w:rsidRDefault="005A50CE" w:rsidP="005A50CE">
      <w:pPr>
        <w:pStyle w:val="FootnoteText1"/>
        <w:rPr>
          <w:lang w:val="en-GB"/>
        </w:rPr>
      </w:pPr>
      <w:r w:rsidRPr="00E319CA">
        <w:rPr>
          <w:lang w:val="en-GB" w:eastAsia="fr-FR"/>
        </w:rPr>
        <w:t>Source: Created by case author based on data from 2011–2015 annual reports from Rogers, Bell, TELUS, and Shaw.</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10"/>
        <w:jc w:val="center"/>
        <w:rPr>
          <w:lang w:val="en-GB" w:eastAsia="fr-FR"/>
        </w:rPr>
      </w:pPr>
      <w:r w:rsidRPr="00E319CA">
        <w:rPr>
          <w:lang w:val="en-GB" w:eastAsia="fr-FR"/>
        </w:rPr>
        <w:t>EXHIBIT 3: AVERAGE TRADITIONAL TELEVISION VIEWING HOURS IN CANADA</w:t>
      </w:r>
      <w:proofErr w:type="gramStart"/>
      <w:r w:rsidRPr="00E319CA">
        <w:rPr>
          <w:lang w:val="en-GB" w:eastAsia="fr-FR"/>
        </w:rPr>
        <w:t>,</w:t>
      </w:r>
      <w:proofErr w:type="gramEnd"/>
      <w:r w:rsidRPr="00E319CA">
        <w:rPr>
          <w:lang w:val="en-GB" w:eastAsia="fr-FR"/>
        </w:rPr>
        <w:br/>
        <w:t>2011–2014</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noProof/>
          <w:lang w:val="en-GB" w:eastAsia="en-GB"/>
        </w:rPr>
        <w:drawing>
          <wp:anchor distT="0" distB="0" distL="114300" distR="114300" simplePos="0" relativeHeight="251659264" behindDoc="1" locked="0" layoutInCell="1" allowOverlap="1" wp14:anchorId="5D76A86C" wp14:editId="2C281199">
            <wp:simplePos x="0" y="0"/>
            <wp:positionH relativeFrom="column">
              <wp:posOffset>506095</wp:posOffset>
            </wp:positionH>
            <wp:positionV relativeFrom="paragraph">
              <wp:posOffset>27940</wp:posOffset>
            </wp:positionV>
            <wp:extent cx="4572000" cy="2648585"/>
            <wp:effectExtent l="0" t="0" r="19050" b="1841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01E46" w:rsidRDefault="00501E46" w:rsidP="005A50CE">
      <w:pPr>
        <w:pStyle w:val="FootnoteText1"/>
        <w:rPr>
          <w:lang w:val="en-GB" w:eastAsia="fr-FR"/>
        </w:rPr>
      </w:pPr>
    </w:p>
    <w:p w:rsidR="005A50CE" w:rsidRPr="00E319CA" w:rsidRDefault="005A50CE" w:rsidP="005A50CE">
      <w:pPr>
        <w:pStyle w:val="FootnoteText1"/>
        <w:rPr>
          <w:lang w:val="en-GB" w:eastAsia="fr-FR"/>
        </w:rPr>
      </w:pPr>
      <w:r w:rsidRPr="00E319CA">
        <w:rPr>
          <w:lang w:val="en-GB" w:eastAsia="fr-FR"/>
        </w:rPr>
        <w:t xml:space="preserve">Source: </w:t>
      </w:r>
      <w:r w:rsidRPr="00E319CA">
        <w:rPr>
          <w:color w:val="000000"/>
          <w:lang w:val="en-GB" w:eastAsia="fr-FR"/>
        </w:rPr>
        <w:t xml:space="preserve">Canadian Radio-television and Telecommunications Commission, </w:t>
      </w:r>
      <w:r w:rsidRPr="007928B2">
        <w:rPr>
          <w:i/>
          <w:color w:val="000000"/>
          <w:lang w:val="en-GB" w:eastAsia="fr-FR"/>
        </w:rPr>
        <w:t>Communications Monitoring Report 2015: Canada’s Communications System: An Overview for Citizens, Consumers, and Creators</w:t>
      </w:r>
      <w:r w:rsidRPr="00E319CA">
        <w:rPr>
          <w:color w:val="000000"/>
          <w:lang w:val="en-GB" w:eastAsia="fr-FR"/>
        </w:rPr>
        <w:t>, October 2015, accessed February 2017, www.crtc.gc.ca/eng/publications/reports/PolicyMonitoring/2015/cmr.pdf.</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lang w:val="en-GB"/>
        </w:rPr>
        <w:br w:type="page"/>
      </w:r>
    </w:p>
    <w:p w:rsidR="005A50CE" w:rsidRPr="00E319CA" w:rsidRDefault="005A50CE" w:rsidP="005A50CE">
      <w:pPr>
        <w:pStyle w:val="casehead10"/>
        <w:jc w:val="center"/>
        <w:rPr>
          <w:lang w:val="en-GB" w:eastAsia="fr-FR"/>
        </w:rPr>
      </w:pPr>
      <w:r w:rsidRPr="00E319CA">
        <w:rPr>
          <w:lang w:val="en-GB" w:eastAsia="fr-FR"/>
        </w:rPr>
        <w:lastRenderedPageBreak/>
        <w:t>EXHIBIT 4: INTERNET SUBSCRIBERS OF the four MAJOR CANADIAN PROVIDERS, 2011–2015 (IN MILLIONS)</w:t>
      </w:r>
    </w:p>
    <w:p w:rsidR="005A50CE" w:rsidRPr="00E319CA" w:rsidRDefault="005A50CE" w:rsidP="005A50CE">
      <w:pPr>
        <w:pStyle w:val="BodyTextMain"/>
        <w:rPr>
          <w:lang w:val="en-GB"/>
        </w:rPr>
      </w:pPr>
    </w:p>
    <w:p w:rsidR="005A50CE" w:rsidRPr="00E319CA" w:rsidRDefault="005A50CE" w:rsidP="005A50CE">
      <w:pPr>
        <w:jc w:val="center"/>
        <w:rPr>
          <w:lang w:val="en-GB"/>
        </w:rPr>
      </w:pPr>
      <w:r w:rsidRPr="00E319CA">
        <w:rPr>
          <w:noProof/>
          <w:lang w:val="en-GB" w:eastAsia="en-GB"/>
        </w:rPr>
        <w:drawing>
          <wp:inline distT="0" distB="0" distL="0" distR="0" wp14:anchorId="2D54919E" wp14:editId="2063228F">
            <wp:extent cx="4658445" cy="2687170"/>
            <wp:effectExtent l="0" t="0" r="27940" b="18415"/>
            <wp:docPr id="7" name="Chart 7">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A50CE" w:rsidRPr="00E319CA" w:rsidRDefault="005A50CE" w:rsidP="005A50CE">
      <w:pPr>
        <w:pStyle w:val="FootnoteText1"/>
        <w:rPr>
          <w:lang w:val="en-GB" w:eastAsia="fr-FR"/>
        </w:rPr>
      </w:pPr>
    </w:p>
    <w:p w:rsidR="005A50CE" w:rsidRPr="00E319CA" w:rsidRDefault="005A50CE" w:rsidP="005A50CE">
      <w:pPr>
        <w:pStyle w:val="FootnoteText1"/>
        <w:rPr>
          <w:lang w:val="en-GB"/>
        </w:rPr>
      </w:pPr>
      <w:r w:rsidRPr="00E319CA">
        <w:rPr>
          <w:lang w:val="en-GB" w:eastAsia="fr-FR"/>
        </w:rPr>
        <w:t>Source: Created by case author based on data from 2011–2015 annual reports from Rogers, Bell, TELUS, and Shaw.</w:t>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casehead10"/>
        <w:jc w:val="center"/>
        <w:rPr>
          <w:lang w:val="en-GB"/>
        </w:rPr>
      </w:pPr>
      <w:r w:rsidRPr="00E319CA">
        <w:rPr>
          <w:lang w:val="en-GB" w:eastAsia="fr-FR"/>
        </w:rPr>
        <w:t>EXHIBIT 5: AVERAGE INTERNET TELEVISION VIEWING HOURS IN CANADA, 2008–2015</w:t>
      </w:r>
    </w:p>
    <w:p w:rsidR="005A50CE" w:rsidRPr="00E319CA" w:rsidRDefault="005A50CE" w:rsidP="005A50CE">
      <w:pPr>
        <w:pStyle w:val="BodyTextMain"/>
        <w:rPr>
          <w:lang w:val="en-GB"/>
        </w:rPr>
      </w:pPr>
    </w:p>
    <w:p w:rsidR="005A50CE" w:rsidRPr="00E319CA" w:rsidRDefault="005A50CE" w:rsidP="005A50CE">
      <w:pPr>
        <w:pStyle w:val="BodyTextMain"/>
        <w:rPr>
          <w:lang w:val="en-GB"/>
        </w:rPr>
      </w:pPr>
      <w:r w:rsidRPr="00E319CA">
        <w:rPr>
          <w:noProof/>
          <w:lang w:val="en-GB" w:eastAsia="en-GB"/>
        </w:rPr>
        <w:drawing>
          <wp:anchor distT="0" distB="0" distL="114300" distR="114300" simplePos="0" relativeHeight="251660288" behindDoc="1" locked="0" layoutInCell="1" allowOverlap="1" wp14:anchorId="26173D88" wp14:editId="64A05BDA">
            <wp:simplePos x="0" y="0"/>
            <wp:positionH relativeFrom="column">
              <wp:posOffset>365760</wp:posOffset>
            </wp:positionH>
            <wp:positionV relativeFrom="paragraph">
              <wp:posOffset>42545</wp:posOffset>
            </wp:positionV>
            <wp:extent cx="4871085" cy="2743200"/>
            <wp:effectExtent l="0" t="0" r="24765" b="1905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Pr="00E319CA" w:rsidRDefault="005A50CE" w:rsidP="005A50CE">
      <w:pPr>
        <w:pStyle w:val="BodyTextMain"/>
        <w:rPr>
          <w:lang w:val="en-GB"/>
        </w:rPr>
      </w:pPr>
    </w:p>
    <w:p w:rsidR="005A50CE" w:rsidRDefault="005A50CE" w:rsidP="005A50CE">
      <w:pPr>
        <w:pStyle w:val="FootnoteText1"/>
        <w:rPr>
          <w:lang w:val="en-GB" w:eastAsia="fr-FR"/>
        </w:rPr>
      </w:pPr>
    </w:p>
    <w:p w:rsidR="005A50CE" w:rsidRPr="00E319CA" w:rsidRDefault="005A50CE" w:rsidP="005A50CE">
      <w:pPr>
        <w:pStyle w:val="FootnoteText1"/>
        <w:rPr>
          <w:lang w:val="en-GB" w:eastAsia="fr-FR"/>
        </w:rPr>
      </w:pPr>
      <w:r w:rsidRPr="00E319CA">
        <w:rPr>
          <w:lang w:val="en-GB" w:eastAsia="fr-FR"/>
        </w:rPr>
        <w:t xml:space="preserve">Source: </w:t>
      </w:r>
      <w:r w:rsidRPr="00E319CA">
        <w:rPr>
          <w:color w:val="000000"/>
          <w:lang w:val="en-GB" w:eastAsia="fr-FR"/>
        </w:rPr>
        <w:t xml:space="preserve">Canadian Radio-television and Telecommunications Commission, </w:t>
      </w:r>
      <w:r w:rsidRPr="007928B2">
        <w:rPr>
          <w:i/>
          <w:color w:val="000000"/>
          <w:lang w:val="en-GB" w:eastAsia="fr-FR"/>
        </w:rPr>
        <w:t>Communications Monitoring Report 2015: Canada’s Communications System: An Overview for Citizens, Consumers, and Creators</w:t>
      </w:r>
      <w:r w:rsidRPr="00E319CA">
        <w:rPr>
          <w:color w:val="000000"/>
          <w:lang w:val="en-GB" w:eastAsia="fr-FR"/>
        </w:rPr>
        <w:t>, October 2015, accessed February 2017, www.crtc.gc.ca/eng/publications/reports/PolicyMonitoring/2015/cmr.pdf.</w:t>
      </w:r>
    </w:p>
    <w:p w:rsidR="005A50CE" w:rsidRPr="00E319CA" w:rsidRDefault="005A50CE" w:rsidP="005A50CE">
      <w:pPr>
        <w:rPr>
          <w:lang w:val="en-GB"/>
        </w:rPr>
      </w:pPr>
    </w:p>
    <w:p w:rsidR="005A50CE" w:rsidRPr="00E319CA" w:rsidRDefault="005A50CE" w:rsidP="005A50CE">
      <w:pPr>
        <w:rPr>
          <w:lang w:val="en-GB"/>
        </w:rPr>
      </w:pPr>
    </w:p>
    <w:p w:rsidR="005A50CE" w:rsidRPr="00E319CA" w:rsidRDefault="005A50CE" w:rsidP="005A50CE">
      <w:pPr>
        <w:rPr>
          <w:lang w:val="en-GB"/>
        </w:rPr>
      </w:pPr>
      <w:r w:rsidRPr="00E319CA">
        <w:rPr>
          <w:lang w:val="en-GB"/>
        </w:rPr>
        <w:br w:type="page"/>
      </w:r>
    </w:p>
    <w:p w:rsidR="005A50CE" w:rsidRPr="00E319CA" w:rsidRDefault="005A50CE" w:rsidP="005A50CE">
      <w:pPr>
        <w:pStyle w:val="casehead10"/>
        <w:jc w:val="center"/>
        <w:rPr>
          <w:rFonts w:cs="Arial"/>
          <w:b w:val="0"/>
          <w:color w:val="000000"/>
          <w:lang w:val="en-GB" w:eastAsia="fr-FR"/>
        </w:rPr>
      </w:pPr>
      <w:r w:rsidRPr="00E319CA">
        <w:rPr>
          <w:lang w:val="en-GB" w:eastAsia="fr-FR"/>
        </w:rPr>
        <w:lastRenderedPageBreak/>
        <w:t xml:space="preserve">EXHIBIT 6: WIRELINE TELEPHONE SUBSCRIBERS OF MAJOR CANADIAN PROVIDERS, </w:t>
      </w:r>
      <w:r w:rsidRPr="00E319CA">
        <w:rPr>
          <w:rFonts w:cs="Arial"/>
          <w:color w:val="000000"/>
          <w:lang w:val="en-GB" w:eastAsia="fr-FR"/>
        </w:rPr>
        <w:t>2011–2015 (IN MILLIONS)</w:t>
      </w:r>
    </w:p>
    <w:p w:rsidR="005A50CE" w:rsidRPr="00E319CA" w:rsidRDefault="005A50CE" w:rsidP="005A50CE">
      <w:pPr>
        <w:pStyle w:val="BodyTextMain"/>
        <w:rPr>
          <w:lang w:val="en-GB" w:eastAsia="fr-FR"/>
        </w:rPr>
      </w:pPr>
    </w:p>
    <w:p w:rsidR="005A50CE" w:rsidRPr="00E319CA" w:rsidRDefault="005A50CE" w:rsidP="005A50CE">
      <w:pPr>
        <w:pStyle w:val="BodyText"/>
        <w:jc w:val="center"/>
        <w:rPr>
          <w:lang w:val="en-GB" w:eastAsia="fr-FR"/>
        </w:rPr>
      </w:pPr>
      <w:r w:rsidRPr="00E319CA">
        <w:rPr>
          <w:noProof/>
          <w:lang w:val="en-GB" w:eastAsia="en-GB"/>
        </w:rPr>
        <w:drawing>
          <wp:inline distT="0" distB="0" distL="0" distR="0" wp14:anchorId="2BF8753C" wp14:editId="75B63E42">
            <wp:extent cx="4768103" cy="2690906"/>
            <wp:effectExtent l="0" t="0" r="13970" b="14605"/>
            <wp:docPr id="9" name="Chart 9">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A50CE" w:rsidRPr="00E319CA" w:rsidRDefault="005A50CE" w:rsidP="005A50CE">
      <w:pPr>
        <w:pStyle w:val="FootnoteText1"/>
        <w:rPr>
          <w:lang w:val="en-GB" w:eastAsia="fr-FR"/>
        </w:rPr>
      </w:pPr>
    </w:p>
    <w:p w:rsidR="005A50CE" w:rsidRPr="00E319CA" w:rsidRDefault="005A50CE" w:rsidP="005A50CE">
      <w:pPr>
        <w:pStyle w:val="FootnoteText1"/>
        <w:rPr>
          <w:lang w:val="en-GB" w:eastAsia="fr-FR"/>
        </w:rPr>
      </w:pPr>
      <w:r w:rsidRPr="00E319CA">
        <w:rPr>
          <w:lang w:val="en-GB" w:eastAsia="fr-FR"/>
        </w:rPr>
        <w:t>Source: Created by case author based on data from 2011–2015 annual reports from Rogers, Bell, TELUS, and Shaw.</w:t>
      </w: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casehead10"/>
        <w:jc w:val="center"/>
        <w:rPr>
          <w:lang w:val="en-GB" w:eastAsia="fr-FR"/>
        </w:rPr>
      </w:pPr>
      <w:r w:rsidRPr="00E319CA">
        <w:rPr>
          <w:lang w:val="en-GB" w:eastAsia="fr-FR"/>
        </w:rPr>
        <w:t>EXHIBIT 7: RESIDENTIAL CONNECTIONS in canadian households, BY PLATFORM, AS A PERCENTAGE OF TOTAL CONNECTIONS, 2010–2014</w:t>
      </w: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r w:rsidRPr="00E319CA">
        <w:rPr>
          <w:noProof/>
          <w:lang w:val="en-GB" w:eastAsia="en-GB"/>
        </w:rPr>
        <w:drawing>
          <wp:anchor distT="0" distB="0" distL="114300" distR="114300" simplePos="0" relativeHeight="251661312" behindDoc="1" locked="0" layoutInCell="1" allowOverlap="1" wp14:anchorId="59EB5AEF" wp14:editId="350C5BB1">
            <wp:simplePos x="0" y="0"/>
            <wp:positionH relativeFrom="column">
              <wp:posOffset>438785</wp:posOffset>
            </wp:positionH>
            <wp:positionV relativeFrom="paragraph">
              <wp:posOffset>85725</wp:posOffset>
            </wp:positionV>
            <wp:extent cx="4572000" cy="2648585"/>
            <wp:effectExtent l="0" t="0" r="19050" b="18415"/>
            <wp:wrapSquare wrapText="bothSides"/>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p>
    <w:p w:rsidR="005A50CE" w:rsidRPr="00E319CA" w:rsidRDefault="005A50CE" w:rsidP="005A50CE">
      <w:pPr>
        <w:pStyle w:val="FootnoteText1"/>
        <w:rPr>
          <w:lang w:val="en-GB" w:eastAsia="fr-FR"/>
        </w:rPr>
      </w:pPr>
    </w:p>
    <w:p w:rsidR="005A50CE" w:rsidRPr="00E319CA" w:rsidRDefault="005A50CE" w:rsidP="005A50CE">
      <w:pPr>
        <w:pStyle w:val="FootnoteText1"/>
        <w:rPr>
          <w:lang w:val="en-GB" w:eastAsia="fr-FR"/>
        </w:rPr>
      </w:pPr>
      <w:r w:rsidRPr="00E319CA">
        <w:rPr>
          <w:lang w:val="en-GB" w:eastAsia="fr-FR"/>
        </w:rPr>
        <w:t xml:space="preserve">Source: </w:t>
      </w:r>
      <w:r w:rsidRPr="00E319CA">
        <w:rPr>
          <w:color w:val="000000"/>
          <w:lang w:val="en-GB" w:eastAsia="fr-FR"/>
        </w:rPr>
        <w:t xml:space="preserve">Canadian Radio-television and Telecommunications Commission, </w:t>
      </w:r>
      <w:r w:rsidRPr="007928B2">
        <w:rPr>
          <w:i/>
          <w:color w:val="000000"/>
          <w:lang w:val="en-GB" w:eastAsia="fr-FR"/>
        </w:rPr>
        <w:t>Communications Monitoring Report 2015: Canada’s Communications System: An Overview for Citizens, Consumers, and Creators</w:t>
      </w:r>
      <w:r w:rsidRPr="00E319CA">
        <w:rPr>
          <w:color w:val="000000"/>
          <w:lang w:val="en-GB" w:eastAsia="fr-FR"/>
        </w:rPr>
        <w:t>, October 2015, accessed February 2017, www.crtc.gc.ca/eng/publications/reports/PolicyMonitoring/2015/cmr.pdf.</w:t>
      </w:r>
      <w:r w:rsidRPr="00E319CA">
        <w:rPr>
          <w:lang w:val="en-GB" w:eastAsia="fr-FR"/>
        </w:rPr>
        <w:t xml:space="preserve"> </w:t>
      </w:r>
    </w:p>
    <w:p w:rsidR="005A50CE" w:rsidRPr="00E319CA" w:rsidRDefault="005A50CE" w:rsidP="005A50CE">
      <w:pPr>
        <w:pStyle w:val="BodyTextMain"/>
        <w:rPr>
          <w:lang w:val="en-GB" w:eastAsia="fr-FR"/>
        </w:rPr>
      </w:pPr>
    </w:p>
    <w:p w:rsidR="005A50CE" w:rsidRPr="00E319CA" w:rsidRDefault="005A50CE" w:rsidP="005A50CE">
      <w:pPr>
        <w:pStyle w:val="BodyTextMain"/>
        <w:rPr>
          <w:lang w:val="en-GB" w:eastAsia="fr-FR"/>
        </w:rPr>
      </w:pPr>
      <w:r w:rsidRPr="00E319CA">
        <w:rPr>
          <w:lang w:val="en-GB" w:eastAsia="fr-FR"/>
        </w:rPr>
        <w:br w:type="page"/>
      </w:r>
    </w:p>
    <w:p w:rsidR="005A50CE" w:rsidRPr="00E319CA" w:rsidRDefault="005A50CE" w:rsidP="005A50CE">
      <w:pPr>
        <w:pStyle w:val="casehead10"/>
        <w:jc w:val="center"/>
        <w:rPr>
          <w:lang w:val="en-GB" w:eastAsia="fr-FR"/>
        </w:rPr>
      </w:pPr>
      <w:r w:rsidRPr="00E319CA">
        <w:rPr>
          <w:lang w:val="en-GB" w:eastAsia="fr-FR"/>
        </w:rPr>
        <w:lastRenderedPageBreak/>
        <w:t>EXHIBIT 8: WIRELESS TELEPHONE SUBSCRIBERS OF the four MAJOR CANADIAN PROVIDERS, 2011–2015 (IN MILLIONS)</w:t>
      </w:r>
    </w:p>
    <w:p w:rsidR="005A50CE" w:rsidRPr="00E319CA" w:rsidRDefault="005A50CE" w:rsidP="005A50CE">
      <w:pPr>
        <w:pStyle w:val="BodyTextMain"/>
        <w:rPr>
          <w:lang w:val="en-GB" w:eastAsia="fr-FR"/>
        </w:rPr>
      </w:pPr>
    </w:p>
    <w:p w:rsidR="005A50CE" w:rsidRPr="00E319CA" w:rsidRDefault="005A50CE" w:rsidP="005A50CE">
      <w:pPr>
        <w:jc w:val="center"/>
        <w:rPr>
          <w:lang w:val="en-GB" w:eastAsia="fr-FR"/>
        </w:rPr>
      </w:pPr>
      <w:r w:rsidRPr="00E319CA">
        <w:rPr>
          <w:noProof/>
          <w:lang w:val="en-GB" w:eastAsia="en-GB"/>
        </w:rPr>
        <w:drawing>
          <wp:inline distT="0" distB="0" distL="0" distR="0" wp14:anchorId="56053265" wp14:editId="206B2688">
            <wp:extent cx="4755830" cy="2687170"/>
            <wp:effectExtent l="0" t="0" r="26035" b="18415"/>
            <wp:docPr id="5" name="Chart 5">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A50CE" w:rsidRPr="00E319CA" w:rsidRDefault="005A50CE" w:rsidP="005A50CE">
      <w:pPr>
        <w:pStyle w:val="FootnoteText1"/>
        <w:rPr>
          <w:color w:val="000000"/>
          <w:lang w:val="en-GB" w:eastAsia="fr-FR"/>
        </w:rPr>
      </w:pPr>
    </w:p>
    <w:p w:rsidR="005A50CE" w:rsidRPr="00E319CA" w:rsidRDefault="005A50CE" w:rsidP="005A50CE">
      <w:pPr>
        <w:pStyle w:val="FootnoteText1"/>
        <w:rPr>
          <w:color w:val="000000"/>
          <w:lang w:val="en-GB" w:eastAsia="fr-FR"/>
        </w:rPr>
      </w:pPr>
      <w:r w:rsidRPr="00E319CA">
        <w:rPr>
          <w:color w:val="000000"/>
          <w:lang w:val="en-GB" w:eastAsia="fr-FR"/>
        </w:rPr>
        <w:t xml:space="preserve">Source: </w:t>
      </w:r>
      <w:r w:rsidRPr="00E319CA">
        <w:rPr>
          <w:lang w:val="en-GB" w:eastAsia="fr-FR"/>
        </w:rPr>
        <w:t>Created by case author based on data from 2011–2015 annual reports from Rogers, Bell, TELUS, and Shaw.</w:t>
      </w:r>
    </w:p>
    <w:p w:rsidR="005A50CE" w:rsidRPr="00E319CA" w:rsidRDefault="005A50CE" w:rsidP="00382FDC">
      <w:pPr>
        <w:pStyle w:val="BodyTextMain"/>
        <w:rPr>
          <w:lang w:val="en-GB" w:eastAsia="fr-FR"/>
        </w:rPr>
      </w:pPr>
    </w:p>
    <w:p w:rsidR="005A50CE" w:rsidRPr="00E319CA" w:rsidRDefault="005A50CE" w:rsidP="00382FDC">
      <w:pPr>
        <w:pStyle w:val="BodyTextMain"/>
        <w:rPr>
          <w:lang w:val="en-GB" w:eastAsia="fr-FR"/>
        </w:rPr>
      </w:pPr>
    </w:p>
    <w:p w:rsidR="005A50CE" w:rsidRPr="00E319CA" w:rsidRDefault="005A50CE" w:rsidP="005A50CE">
      <w:pPr>
        <w:jc w:val="center"/>
        <w:rPr>
          <w:rFonts w:ascii="Arial" w:hAnsi="Arial" w:cs="Arial"/>
          <w:b/>
          <w:color w:val="000000"/>
          <w:lang w:val="en-GB" w:eastAsia="fr-FR"/>
        </w:rPr>
      </w:pPr>
      <w:r w:rsidRPr="00E319CA">
        <w:rPr>
          <w:rFonts w:ascii="Arial" w:hAnsi="Arial" w:cs="Arial"/>
          <w:b/>
          <w:color w:val="000000"/>
          <w:lang w:val="en-GB" w:eastAsia="fr-FR"/>
        </w:rPr>
        <w:t>EXHIBIT 9: PORTFOLIO OF TOP MEDIA BRANDS FOR BIG FOUR ROGERS, BELL, SHAW AND CORUS</w:t>
      </w:r>
    </w:p>
    <w:p w:rsidR="005A50CE" w:rsidRPr="00E319CA" w:rsidRDefault="005A50CE" w:rsidP="00382FDC">
      <w:pPr>
        <w:pStyle w:val="BodyTextMain"/>
        <w:rPr>
          <w:lang w:val="en-GB"/>
        </w:rPr>
      </w:pPr>
    </w:p>
    <w:tbl>
      <w:tblPr>
        <w:tblW w:w="9087" w:type="dxa"/>
        <w:jc w:val="center"/>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858"/>
        <w:gridCol w:w="2693"/>
        <w:gridCol w:w="2127"/>
        <w:gridCol w:w="2409"/>
      </w:tblGrid>
      <w:tr w:rsidR="005A50CE" w:rsidRPr="00E319CA" w:rsidTr="00501E46">
        <w:trPr>
          <w:trHeight w:val="345"/>
          <w:jc w:val="center"/>
        </w:trPr>
        <w:tc>
          <w:tcPr>
            <w:tcW w:w="1858" w:type="dxa"/>
            <w:shd w:val="clear" w:color="auto" w:fill="auto"/>
            <w:noWrap/>
            <w:vAlign w:val="bottom"/>
            <w:hideMark/>
          </w:tcPr>
          <w:p w:rsidR="005A50CE" w:rsidRPr="00E319CA" w:rsidRDefault="005A50CE" w:rsidP="005A50CE">
            <w:pPr>
              <w:rPr>
                <w:rFonts w:ascii="Arial" w:hAnsi="Arial" w:cs="Arial"/>
                <w:b/>
                <w:bCs/>
                <w:color w:val="000000"/>
                <w:lang w:val="en-GB" w:eastAsia="fr-FR"/>
              </w:rPr>
            </w:pPr>
            <w:r w:rsidRPr="00E319CA">
              <w:rPr>
                <w:rFonts w:ascii="Arial" w:hAnsi="Arial" w:cs="Arial"/>
                <w:b/>
                <w:bCs/>
                <w:color w:val="000000"/>
                <w:lang w:val="en-GB" w:eastAsia="fr-FR"/>
              </w:rPr>
              <w:t>Rogers</w:t>
            </w:r>
          </w:p>
        </w:tc>
        <w:tc>
          <w:tcPr>
            <w:tcW w:w="2693" w:type="dxa"/>
            <w:shd w:val="clear" w:color="auto" w:fill="auto"/>
            <w:noWrap/>
            <w:vAlign w:val="bottom"/>
            <w:hideMark/>
          </w:tcPr>
          <w:p w:rsidR="005A50CE" w:rsidRPr="00E319CA" w:rsidRDefault="005A50CE" w:rsidP="005A50CE">
            <w:pPr>
              <w:rPr>
                <w:rFonts w:ascii="Arial" w:hAnsi="Arial" w:cs="Arial"/>
                <w:b/>
                <w:bCs/>
                <w:color w:val="000000"/>
                <w:lang w:val="en-GB" w:eastAsia="fr-FR"/>
              </w:rPr>
            </w:pPr>
            <w:r w:rsidRPr="00E319CA">
              <w:rPr>
                <w:rFonts w:ascii="Arial" w:hAnsi="Arial" w:cs="Arial"/>
                <w:b/>
                <w:bCs/>
                <w:color w:val="000000"/>
                <w:lang w:val="en-GB" w:eastAsia="fr-FR"/>
              </w:rPr>
              <w:t>Bell</w:t>
            </w:r>
          </w:p>
        </w:tc>
        <w:tc>
          <w:tcPr>
            <w:tcW w:w="2127" w:type="dxa"/>
            <w:shd w:val="clear" w:color="auto" w:fill="auto"/>
            <w:noWrap/>
            <w:vAlign w:val="bottom"/>
            <w:hideMark/>
          </w:tcPr>
          <w:p w:rsidR="005A50CE" w:rsidRPr="00E319CA" w:rsidRDefault="005A50CE" w:rsidP="005A50CE">
            <w:pPr>
              <w:rPr>
                <w:rFonts w:ascii="Arial" w:hAnsi="Arial" w:cs="Arial"/>
                <w:b/>
                <w:bCs/>
                <w:color w:val="000000"/>
                <w:lang w:val="en-GB" w:eastAsia="fr-FR"/>
              </w:rPr>
            </w:pPr>
            <w:r w:rsidRPr="00E319CA">
              <w:rPr>
                <w:rFonts w:ascii="Arial" w:hAnsi="Arial" w:cs="Arial"/>
                <w:b/>
                <w:bCs/>
                <w:color w:val="000000"/>
                <w:lang w:val="en-GB" w:eastAsia="fr-FR"/>
              </w:rPr>
              <w:t>Shaw</w:t>
            </w:r>
          </w:p>
        </w:tc>
        <w:tc>
          <w:tcPr>
            <w:tcW w:w="2409" w:type="dxa"/>
            <w:shd w:val="clear" w:color="auto" w:fill="auto"/>
            <w:noWrap/>
            <w:vAlign w:val="bottom"/>
            <w:hideMark/>
          </w:tcPr>
          <w:p w:rsidR="005A50CE" w:rsidRPr="00E319CA" w:rsidRDefault="005A50CE" w:rsidP="005A50CE">
            <w:pPr>
              <w:rPr>
                <w:rFonts w:ascii="Arial" w:hAnsi="Arial" w:cs="Arial"/>
                <w:b/>
                <w:bCs/>
                <w:color w:val="000000"/>
                <w:lang w:val="en-GB" w:eastAsia="fr-FR"/>
              </w:rPr>
            </w:pPr>
            <w:r w:rsidRPr="00E319CA">
              <w:rPr>
                <w:rFonts w:ascii="Arial" w:hAnsi="Arial" w:cs="Arial"/>
                <w:b/>
                <w:bCs/>
                <w:color w:val="000000"/>
                <w:lang w:val="en-GB" w:eastAsia="fr-FR"/>
              </w:rPr>
              <w:t>Corus</w:t>
            </w:r>
          </w:p>
        </w:tc>
      </w:tr>
      <w:tr w:rsidR="005A50CE" w:rsidRPr="00E319CA" w:rsidTr="00501E46">
        <w:trPr>
          <w:trHeight w:val="345"/>
          <w:jc w:val="center"/>
        </w:trPr>
        <w:tc>
          <w:tcPr>
            <w:tcW w:w="1858" w:type="dxa"/>
            <w:shd w:val="clear" w:color="auto" w:fill="auto"/>
            <w:noWrap/>
            <w:vAlign w:val="bottom"/>
            <w:hideMark/>
          </w:tcPr>
          <w:p w:rsidR="005A50CE" w:rsidRPr="00E319CA" w:rsidRDefault="005A50CE" w:rsidP="005A50CE">
            <w:pPr>
              <w:rPr>
                <w:rFonts w:ascii="Arial" w:hAnsi="Arial" w:cs="Arial"/>
                <w:bCs/>
                <w:color w:val="000000"/>
                <w:lang w:val="en-GB" w:eastAsia="fr-FR"/>
              </w:rPr>
            </w:pPr>
          </w:p>
        </w:tc>
        <w:tc>
          <w:tcPr>
            <w:tcW w:w="2693" w:type="dxa"/>
            <w:shd w:val="clear" w:color="auto" w:fill="auto"/>
            <w:noWrap/>
            <w:vAlign w:val="bottom"/>
            <w:hideMark/>
          </w:tcPr>
          <w:p w:rsidR="005A50CE" w:rsidRPr="00E319CA" w:rsidRDefault="005A50CE" w:rsidP="005A50CE">
            <w:pPr>
              <w:rPr>
                <w:rFonts w:ascii="Arial" w:hAnsi="Arial" w:cs="Arial"/>
                <w:bCs/>
                <w:color w:val="000000"/>
                <w:lang w:val="en-GB" w:eastAsia="fr-FR"/>
              </w:rPr>
            </w:pPr>
          </w:p>
        </w:tc>
        <w:tc>
          <w:tcPr>
            <w:tcW w:w="2127" w:type="dxa"/>
            <w:shd w:val="clear" w:color="auto" w:fill="auto"/>
            <w:noWrap/>
            <w:vAlign w:val="bottom"/>
            <w:hideMark/>
          </w:tcPr>
          <w:p w:rsidR="005A50CE" w:rsidRPr="00E319CA" w:rsidRDefault="005A50CE" w:rsidP="005A50CE">
            <w:pPr>
              <w:rPr>
                <w:rFonts w:ascii="Arial" w:hAnsi="Arial" w:cs="Arial"/>
                <w:bCs/>
                <w:color w:val="000000"/>
                <w:lang w:val="en-GB" w:eastAsia="fr-FR"/>
              </w:rPr>
            </w:pPr>
          </w:p>
        </w:tc>
        <w:tc>
          <w:tcPr>
            <w:tcW w:w="2409" w:type="dxa"/>
            <w:shd w:val="clear" w:color="auto" w:fill="auto"/>
            <w:noWrap/>
            <w:vAlign w:val="bottom"/>
            <w:hideMark/>
          </w:tcPr>
          <w:p w:rsidR="005A50CE" w:rsidRPr="00E319CA" w:rsidRDefault="005A50CE" w:rsidP="005A50CE">
            <w:pPr>
              <w:rPr>
                <w:rFonts w:ascii="Arial" w:hAnsi="Arial" w:cs="Arial"/>
                <w:bCs/>
                <w:color w:val="000000"/>
                <w:lang w:val="en-GB" w:eastAsia="fr-FR"/>
              </w:rPr>
            </w:pP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G4 Canada</w:t>
            </w: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Bravo</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Action</w:t>
            </w:r>
          </w:p>
        </w:tc>
        <w:tc>
          <w:tcPr>
            <w:tcW w:w="2409"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ABC Spark</w:t>
            </w:r>
            <w:r w:rsidRPr="00E319CA">
              <w:rPr>
                <w:rFonts w:ascii="Arial" w:hAnsi="Arial" w:cs="Arial"/>
                <w:color w:val="000000"/>
                <w:vertAlign w:val="superscript"/>
                <w:lang w:val="en-GB" w:eastAsia="fr-FR"/>
              </w:rPr>
              <w:t>2</w:t>
            </w:r>
            <w:r w:rsidRPr="00E319CA">
              <w:rPr>
                <w:rFonts w:ascii="Arial" w:hAnsi="Arial" w:cs="Arial"/>
                <w:color w:val="000000"/>
                <w:lang w:val="en-GB" w:eastAsia="fr-FR"/>
              </w:rPr>
              <w:t xml:space="preserve"> </w:t>
            </w: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FX Canada</w:t>
            </w: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Business News Network</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BBC Canada</w:t>
            </w:r>
            <w:r w:rsidRPr="00E319CA">
              <w:rPr>
                <w:rFonts w:ascii="Arial" w:hAnsi="Arial" w:cs="Arial"/>
                <w:color w:val="000000"/>
                <w:vertAlign w:val="superscript"/>
                <w:lang w:val="en-GB" w:eastAsia="fr-FR"/>
              </w:rPr>
              <w:t>1</w:t>
            </w:r>
            <w:r w:rsidRPr="00E319CA">
              <w:rPr>
                <w:rFonts w:ascii="Arial" w:hAnsi="Arial" w:cs="Arial"/>
                <w:color w:val="000000"/>
                <w:lang w:val="en-GB" w:eastAsia="fr-FR"/>
              </w:rPr>
              <w:t xml:space="preserve"> </w:t>
            </w:r>
          </w:p>
        </w:tc>
        <w:tc>
          <w:tcPr>
            <w:tcW w:w="2409" w:type="dxa"/>
            <w:shd w:val="clear" w:color="auto" w:fill="auto"/>
            <w:noWrap/>
            <w:vAlign w:val="bottom"/>
            <w:hideMark/>
          </w:tcPr>
          <w:p w:rsidR="005A50CE" w:rsidRPr="00E319CA" w:rsidRDefault="005A50CE" w:rsidP="005A50CE">
            <w:pPr>
              <w:rPr>
                <w:rFonts w:ascii="Arial" w:hAnsi="Arial" w:cs="Arial"/>
                <w:color w:val="000000"/>
                <w:vertAlign w:val="superscript"/>
                <w:lang w:val="en-GB" w:eastAsia="fr-FR"/>
              </w:rPr>
            </w:pPr>
            <w:r w:rsidRPr="00E319CA">
              <w:rPr>
                <w:rFonts w:ascii="Arial" w:hAnsi="Arial" w:cs="Arial"/>
                <w:color w:val="000000"/>
                <w:lang w:val="en-GB" w:eastAsia="fr-FR"/>
              </w:rPr>
              <w:t>Cartoon Network</w:t>
            </w:r>
            <w:r w:rsidRPr="00E319CA">
              <w:rPr>
                <w:rFonts w:ascii="Arial" w:hAnsi="Arial" w:cs="Arial"/>
                <w:color w:val="000000"/>
                <w:vertAlign w:val="superscript"/>
                <w:lang w:val="en-GB" w:eastAsia="fr-FR"/>
              </w:rPr>
              <w:t>2</w:t>
            </w: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FXX Canada</w:t>
            </w: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The Comedy Network</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DIY Network</w:t>
            </w:r>
            <w:r w:rsidRPr="00E319CA">
              <w:rPr>
                <w:rFonts w:ascii="Arial" w:hAnsi="Arial" w:cs="Arial"/>
                <w:color w:val="000000"/>
                <w:vertAlign w:val="superscript"/>
                <w:lang w:val="en-GB" w:eastAsia="fr-FR"/>
              </w:rPr>
              <w:t>1</w:t>
            </w:r>
            <w:r w:rsidRPr="00E319CA">
              <w:rPr>
                <w:rFonts w:ascii="Arial" w:hAnsi="Arial" w:cs="Arial"/>
                <w:color w:val="000000"/>
                <w:lang w:val="en-GB" w:eastAsia="fr-FR"/>
              </w:rPr>
              <w:t xml:space="preserve"> </w:t>
            </w:r>
          </w:p>
        </w:tc>
        <w:tc>
          <w:tcPr>
            <w:tcW w:w="2409"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CMT</w:t>
            </w:r>
            <w:r w:rsidRPr="00E319CA">
              <w:rPr>
                <w:rFonts w:ascii="Arial" w:hAnsi="Arial" w:cs="Arial"/>
                <w:color w:val="000000"/>
                <w:vertAlign w:val="superscript"/>
                <w:lang w:val="en-GB" w:eastAsia="fr-FR"/>
              </w:rPr>
              <w:t>1</w:t>
            </w:r>
            <w:r w:rsidRPr="00E319CA">
              <w:rPr>
                <w:rFonts w:ascii="Arial" w:hAnsi="Arial" w:cs="Arial"/>
                <w:color w:val="000000"/>
                <w:lang w:val="en-GB" w:eastAsia="fr-FR"/>
              </w:rPr>
              <w:t xml:space="preserve"> </w:t>
            </w: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OLN</w:t>
            </w: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CP24</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Global News</w:t>
            </w:r>
          </w:p>
        </w:tc>
        <w:tc>
          <w:tcPr>
            <w:tcW w:w="2409" w:type="dxa"/>
            <w:shd w:val="clear" w:color="auto" w:fill="auto"/>
            <w:noWrap/>
            <w:vAlign w:val="bottom"/>
            <w:hideMark/>
          </w:tcPr>
          <w:p w:rsidR="005A50CE" w:rsidRPr="00E319CA" w:rsidRDefault="005A50CE" w:rsidP="005A50CE">
            <w:pPr>
              <w:rPr>
                <w:rFonts w:ascii="Arial" w:hAnsi="Arial" w:cs="Arial"/>
                <w:color w:val="000000"/>
                <w:vertAlign w:val="superscript"/>
                <w:lang w:val="en-GB" w:eastAsia="fr-FR"/>
              </w:rPr>
            </w:pPr>
            <w:r w:rsidRPr="00E319CA">
              <w:rPr>
                <w:rFonts w:ascii="Arial" w:hAnsi="Arial" w:cs="Arial"/>
                <w:color w:val="000000"/>
                <w:lang w:val="en-GB" w:eastAsia="fr-FR"/>
              </w:rPr>
              <w:t>Cooking Channel</w:t>
            </w:r>
            <w:r w:rsidRPr="00E319CA">
              <w:rPr>
                <w:rFonts w:ascii="Arial" w:hAnsi="Arial" w:cs="Arial"/>
                <w:color w:val="000000"/>
                <w:vertAlign w:val="superscript"/>
                <w:lang w:val="en-GB" w:eastAsia="fr-FR"/>
              </w:rPr>
              <w:t>2</w:t>
            </w: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proofErr w:type="spellStart"/>
            <w:r w:rsidRPr="00E319CA">
              <w:rPr>
                <w:rFonts w:ascii="Arial" w:hAnsi="Arial" w:cs="Arial"/>
                <w:color w:val="000000"/>
                <w:lang w:val="en-GB" w:eastAsia="fr-FR"/>
              </w:rPr>
              <w:t>Sportsnet</w:t>
            </w:r>
            <w:proofErr w:type="spellEnd"/>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CTV News Channel</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Food Network</w:t>
            </w:r>
            <w:r w:rsidRPr="00E319CA">
              <w:rPr>
                <w:rFonts w:ascii="Arial" w:hAnsi="Arial" w:cs="Arial"/>
                <w:color w:val="000000"/>
                <w:vertAlign w:val="superscript"/>
                <w:lang w:val="en-GB" w:eastAsia="fr-FR"/>
              </w:rPr>
              <w:t>1</w:t>
            </w:r>
            <w:r w:rsidRPr="00E319CA">
              <w:rPr>
                <w:rFonts w:ascii="Arial" w:hAnsi="Arial" w:cs="Arial"/>
                <w:color w:val="000000"/>
                <w:lang w:val="en-GB" w:eastAsia="fr-FR"/>
              </w:rPr>
              <w:t xml:space="preserve"> </w:t>
            </w:r>
          </w:p>
        </w:tc>
        <w:tc>
          <w:tcPr>
            <w:tcW w:w="2409" w:type="dxa"/>
            <w:shd w:val="clear" w:color="auto" w:fill="auto"/>
            <w:noWrap/>
            <w:vAlign w:val="bottom"/>
            <w:hideMark/>
          </w:tcPr>
          <w:p w:rsidR="005A50CE" w:rsidRPr="00E319CA" w:rsidRDefault="005A50CE" w:rsidP="005A50CE">
            <w:pPr>
              <w:rPr>
                <w:rFonts w:ascii="Arial" w:hAnsi="Arial" w:cs="Arial"/>
                <w:color w:val="000000"/>
                <w:vertAlign w:val="superscript"/>
                <w:lang w:val="en-GB" w:eastAsia="fr-FR"/>
              </w:rPr>
            </w:pPr>
            <w:r w:rsidRPr="00E319CA">
              <w:rPr>
                <w:rFonts w:ascii="Arial" w:hAnsi="Arial" w:cs="Arial"/>
                <w:color w:val="000000"/>
                <w:lang w:val="en-GB" w:eastAsia="fr-FR"/>
              </w:rPr>
              <w:t>Cosmopolitan TV</w:t>
            </w:r>
            <w:r w:rsidRPr="00E319CA">
              <w:rPr>
                <w:rFonts w:ascii="Arial" w:hAnsi="Arial" w:cs="Arial"/>
                <w:color w:val="000000"/>
                <w:vertAlign w:val="superscript"/>
                <w:lang w:val="en-GB" w:eastAsia="fr-FR"/>
              </w:rPr>
              <w:t>1</w:t>
            </w: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proofErr w:type="spellStart"/>
            <w:r w:rsidRPr="00E319CA">
              <w:rPr>
                <w:rFonts w:ascii="Arial" w:hAnsi="Arial" w:cs="Arial"/>
                <w:color w:val="000000"/>
                <w:lang w:val="en-GB" w:eastAsia="fr-FR"/>
              </w:rPr>
              <w:t>Sportsnet</w:t>
            </w:r>
            <w:proofErr w:type="spellEnd"/>
            <w:r w:rsidRPr="00E319CA">
              <w:rPr>
                <w:rFonts w:ascii="Arial" w:hAnsi="Arial" w:cs="Arial"/>
                <w:color w:val="000000"/>
                <w:lang w:val="en-GB" w:eastAsia="fr-FR"/>
              </w:rPr>
              <w:t xml:space="preserve"> 360</w:t>
            </w:r>
          </w:p>
        </w:tc>
        <w:tc>
          <w:tcPr>
            <w:tcW w:w="2693" w:type="dxa"/>
            <w:shd w:val="clear" w:color="auto" w:fill="auto"/>
            <w:noWrap/>
            <w:vAlign w:val="bottom"/>
            <w:hideMark/>
          </w:tcPr>
          <w:p w:rsidR="005A50CE" w:rsidRPr="00E319CA" w:rsidRDefault="005A50CE" w:rsidP="005A50CE">
            <w:pPr>
              <w:rPr>
                <w:rFonts w:ascii="Arial" w:hAnsi="Arial" w:cs="Arial"/>
                <w:color w:val="000000"/>
                <w:vertAlign w:val="superscript"/>
                <w:lang w:val="en-GB" w:eastAsia="fr-FR"/>
              </w:rPr>
            </w:pPr>
            <w:r w:rsidRPr="00E319CA">
              <w:rPr>
                <w:rFonts w:ascii="Arial" w:hAnsi="Arial" w:cs="Arial"/>
                <w:color w:val="000000"/>
                <w:lang w:val="en-GB" w:eastAsia="fr-FR"/>
              </w:rPr>
              <w:t>Discovery Channel Canada</w:t>
            </w:r>
            <w:r w:rsidRPr="00E319CA">
              <w:rPr>
                <w:rFonts w:ascii="Arial" w:hAnsi="Arial" w:cs="Arial"/>
                <w:color w:val="000000"/>
                <w:vertAlign w:val="superscript"/>
                <w:lang w:val="en-GB" w:eastAsia="fr-FR"/>
              </w:rPr>
              <w:t>1</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History</w:t>
            </w:r>
            <w:r w:rsidRPr="00E319CA">
              <w:rPr>
                <w:rFonts w:ascii="Arial" w:hAnsi="Arial" w:cs="Arial"/>
                <w:color w:val="000000"/>
                <w:vertAlign w:val="superscript"/>
                <w:lang w:val="en-GB" w:eastAsia="fr-FR"/>
              </w:rPr>
              <w:t>2</w:t>
            </w:r>
          </w:p>
        </w:tc>
        <w:tc>
          <w:tcPr>
            <w:tcW w:w="2409" w:type="dxa"/>
            <w:shd w:val="clear" w:color="auto" w:fill="auto"/>
            <w:noWrap/>
            <w:vAlign w:val="bottom"/>
            <w:hideMark/>
          </w:tcPr>
          <w:p w:rsidR="005A50CE" w:rsidRPr="00E319CA" w:rsidRDefault="005A50CE" w:rsidP="005A50CE">
            <w:pPr>
              <w:rPr>
                <w:rFonts w:ascii="Arial" w:hAnsi="Arial" w:cs="Arial"/>
                <w:color w:val="000000"/>
                <w:vertAlign w:val="superscript"/>
                <w:lang w:val="en-GB" w:eastAsia="fr-FR"/>
              </w:rPr>
            </w:pPr>
            <w:r w:rsidRPr="00E319CA">
              <w:rPr>
                <w:rFonts w:ascii="Arial" w:hAnsi="Arial" w:cs="Arial"/>
                <w:color w:val="000000"/>
                <w:lang w:val="en-GB" w:eastAsia="fr-FR"/>
              </w:rPr>
              <w:t>Disney Channel</w:t>
            </w:r>
            <w:r w:rsidRPr="00E319CA">
              <w:rPr>
                <w:rFonts w:ascii="Arial" w:hAnsi="Arial" w:cs="Arial"/>
                <w:color w:val="000000"/>
                <w:vertAlign w:val="superscript"/>
                <w:lang w:val="en-GB" w:eastAsia="fr-FR"/>
              </w:rPr>
              <w:t>2</w:t>
            </w: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proofErr w:type="spellStart"/>
            <w:r w:rsidRPr="00E319CA">
              <w:rPr>
                <w:rFonts w:ascii="Arial" w:hAnsi="Arial" w:cs="Arial"/>
                <w:color w:val="000000"/>
                <w:lang w:val="en-GB" w:eastAsia="fr-FR"/>
              </w:rPr>
              <w:t>Sportsnet</w:t>
            </w:r>
            <w:proofErr w:type="spellEnd"/>
            <w:r w:rsidRPr="00E319CA">
              <w:rPr>
                <w:rFonts w:ascii="Arial" w:hAnsi="Arial" w:cs="Arial"/>
                <w:color w:val="000000"/>
                <w:lang w:val="en-GB" w:eastAsia="fr-FR"/>
              </w:rPr>
              <w:t xml:space="preserve"> One</w:t>
            </w: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E! Canada</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HGTV</w:t>
            </w:r>
            <w:r w:rsidRPr="00E319CA">
              <w:rPr>
                <w:rFonts w:ascii="Arial" w:hAnsi="Arial" w:cs="Arial"/>
                <w:color w:val="000000"/>
                <w:vertAlign w:val="superscript"/>
                <w:lang w:val="en-GB" w:eastAsia="fr-FR"/>
              </w:rPr>
              <w:t>1</w:t>
            </w:r>
            <w:r w:rsidRPr="00E319CA">
              <w:rPr>
                <w:rFonts w:ascii="Arial" w:hAnsi="Arial" w:cs="Arial"/>
                <w:color w:val="000000"/>
                <w:lang w:val="en-GB" w:eastAsia="fr-FR"/>
              </w:rPr>
              <w:t xml:space="preserve"> </w:t>
            </w:r>
          </w:p>
        </w:tc>
        <w:tc>
          <w:tcPr>
            <w:tcW w:w="2409" w:type="dxa"/>
            <w:shd w:val="clear" w:color="auto" w:fill="auto"/>
            <w:noWrap/>
            <w:vAlign w:val="bottom"/>
            <w:hideMark/>
          </w:tcPr>
          <w:p w:rsidR="005A50CE" w:rsidRPr="00E319CA" w:rsidRDefault="005A50CE" w:rsidP="005A50CE">
            <w:pPr>
              <w:rPr>
                <w:rFonts w:ascii="Arial" w:hAnsi="Arial" w:cs="Arial"/>
                <w:color w:val="000000"/>
                <w:vertAlign w:val="superscript"/>
                <w:lang w:val="en-GB" w:eastAsia="fr-FR"/>
              </w:rPr>
            </w:pPr>
            <w:r w:rsidRPr="00E319CA">
              <w:rPr>
                <w:rFonts w:ascii="Arial" w:hAnsi="Arial" w:cs="Arial"/>
                <w:color w:val="000000"/>
                <w:lang w:val="en-GB" w:eastAsia="fr-FR"/>
              </w:rPr>
              <w:t>Disney Junior</w:t>
            </w:r>
            <w:r w:rsidRPr="00E319CA">
              <w:rPr>
                <w:rFonts w:ascii="Arial" w:hAnsi="Arial" w:cs="Arial"/>
                <w:color w:val="000000"/>
                <w:vertAlign w:val="superscript"/>
                <w:lang w:val="en-GB" w:eastAsia="fr-FR"/>
              </w:rPr>
              <w:t>2</w:t>
            </w: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proofErr w:type="spellStart"/>
            <w:r w:rsidRPr="00E319CA">
              <w:rPr>
                <w:rFonts w:ascii="Arial" w:hAnsi="Arial" w:cs="Arial"/>
                <w:color w:val="000000"/>
                <w:lang w:val="en-GB" w:eastAsia="fr-FR"/>
              </w:rPr>
              <w:t>Sportsnet</w:t>
            </w:r>
            <w:proofErr w:type="spellEnd"/>
            <w:r w:rsidRPr="00E319CA">
              <w:rPr>
                <w:rFonts w:ascii="Arial" w:hAnsi="Arial" w:cs="Arial"/>
                <w:color w:val="000000"/>
                <w:lang w:val="en-GB" w:eastAsia="fr-FR"/>
              </w:rPr>
              <w:t xml:space="preserve"> World</w:t>
            </w: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Fashion Television</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Lifetime</w:t>
            </w:r>
            <w:r w:rsidRPr="00E319CA">
              <w:rPr>
                <w:rFonts w:ascii="Arial" w:hAnsi="Arial" w:cs="Arial"/>
                <w:color w:val="000000"/>
                <w:vertAlign w:val="superscript"/>
                <w:lang w:val="en-GB" w:eastAsia="fr-FR"/>
              </w:rPr>
              <w:t>2</w:t>
            </w:r>
          </w:p>
        </w:tc>
        <w:tc>
          <w:tcPr>
            <w:tcW w:w="2409" w:type="dxa"/>
            <w:shd w:val="clear" w:color="auto" w:fill="auto"/>
            <w:noWrap/>
            <w:vAlign w:val="bottom"/>
            <w:hideMark/>
          </w:tcPr>
          <w:p w:rsidR="005A50CE" w:rsidRPr="00E319CA" w:rsidRDefault="005A50CE" w:rsidP="005A50CE">
            <w:pPr>
              <w:rPr>
                <w:rFonts w:ascii="Arial" w:hAnsi="Arial" w:cs="Arial"/>
                <w:color w:val="000000"/>
                <w:vertAlign w:val="superscript"/>
                <w:lang w:val="en-GB" w:eastAsia="fr-FR"/>
              </w:rPr>
            </w:pPr>
            <w:r w:rsidRPr="00E319CA">
              <w:rPr>
                <w:rFonts w:ascii="Arial" w:hAnsi="Arial" w:cs="Arial"/>
                <w:color w:val="000000"/>
                <w:lang w:val="en-GB" w:eastAsia="fr-FR"/>
              </w:rPr>
              <w:t>Nickelodeon</w:t>
            </w:r>
            <w:r w:rsidRPr="00E319CA">
              <w:rPr>
                <w:rFonts w:ascii="Arial" w:hAnsi="Arial" w:cs="Arial"/>
                <w:color w:val="000000"/>
                <w:vertAlign w:val="superscript"/>
                <w:lang w:val="en-GB" w:eastAsia="fr-FR"/>
              </w:rPr>
              <w:t>2</w:t>
            </w:r>
          </w:p>
        </w:tc>
      </w:tr>
      <w:tr w:rsidR="005A50CE" w:rsidRPr="00E319CA" w:rsidTr="00501E46">
        <w:trPr>
          <w:trHeight w:val="300"/>
          <w:jc w:val="center"/>
        </w:trPr>
        <w:tc>
          <w:tcPr>
            <w:tcW w:w="1858" w:type="dxa"/>
            <w:vMerge w:val="restart"/>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The Shopping Channel</w:t>
            </w: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Gusto</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proofErr w:type="spellStart"/>
            <w:r w:rsidRPr="00E319CA">
              <w:rPr>
                <w:rFonts w:ascii="Arial" w:hAnsi="Arial" w:cs="Arial"/>
                <w:color w:val="000000"/>
                <w:lang w:val="en-GB" w:eastAsia="fr-FR"/>
              </w:rPr>
              <w:t>MovieTime</w:t>
            </w:r>
            <w:proofErr w:type="spellEnd"/>
          </w:p>
        </w:tc>
        <w:tc>
          <w:tcPr>
            <w:tcW w:w="2409" w:type="dxa"/>
            <w:shd w:val="clear" w:color="auto" w:fill="auto"/>
            <w:noWrap/>
            <w:vAlign w:val="bottom"/>
            <w:hideMark/>
          </w:tcPr>
          <w:p w:rsidR="005A50CE" w:rsidRPr="00E319CA" w:rsidRDefault="005A50CE" w:rsidP="005A50CE">
            <w:pPr>
              <w:rPr>
                <w:rFonts w:ascii="Arial" w:hAnsi="Arial" w:cs="Arial"/>
                <w:color w:val="000000"/>
                <w:vertAlign w:val="superscript"/>
                <w:lang w:val="en-GB" w:eastAsia="fr-FR"/>
              </w:rPr>
            </w:pPr>
            <w:r w:rsidRPr="00E319CA">
              <w:rPr>
                <w:rFonts w:ascii="Arial" w:hAnsi="Arial" w:cs="Arial"/>
                <w:color w:val="000000"/>
                <w:lang w:val="en-GB" w:eastAsia="fr-FR"/>
              </w:rPr>
              <w:t>Oprah Winfrey Network</w:t>
            </w:r>
            <w:r w:rsidRPr="00E319CA">
              <w:rPr>
                <w:rFonts w:ascii="Arial" w:hAnsi="Arial" w:cs="Arial"/>
                <w:color w:val="000000"/>
                <w:vertAlign w:val="superscript"/>
                <w:lang w:val="en-GB" w:eastAsia="fr-FR"/>
              </w:rPr>
              <w:t>2</w:t>
            </w:r>
          </w:p>
        </w:tc>
      </w:tr>
      <w:tr w:rsidR="005A50CE" w:rsidRPr="00E319CA" w:rsidTr="00501E46">
        <w:trPr>
          <w:trHeight w:val="300"/>
          <w:jc w:val="center"/>
        </w:trPr>
        <w:tc>
          <w:tcPr>
            <w:tcW w:w="1858" w:type="dxa"/>
            <w:vMerge/>
            <w:shd w:val="clear" w:color="auto" w:fill="auto"/>
            <w:noWrap/>
            <w:vAlign w:val="bottom"/>
            <w:hideMark/>
          </w:tcPr>
          <w:p w:rsidR="005A50CE" w:rsidRPr="00E319CA" w:rsidRDefault="005A50CE" w:rsidP="005A50CE">
            <w:pPr>
              <w:rPr>
                <w:rFonts w:ascii="Arial" w:hAnsi="Arial" w:cs="Arial"/>
                <w:color w:val="000000"/>
                <w:lang w:val="en-GB" w:eastAsia="fr-FR"/>
              </w:rPr>
            </w:pP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MTV Canada</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National Geographic</w:t>
            </w:r>
            <w:r w:rsidRPr="00E319CA">
              <w:rPr>
                <w:rFonts w:ascii="Arial" w:hAnsi="Arial" w:cs="Arial"/>
                <w:color w:val="000000"/>
                <w:vertAlign w:val="superscript"/>
                <w:lang w:val="en-GB" w:eastAsia="fr-FR"/>
              </w:rPr>
              <w:t>1</w:t>
            </w:r>
          </w:p>
        </w:tc>
        <w:tc>
          <w:tcPr>
            <w:tcW w:w="2409" w:type="dxa"/>
            <w:shd w:val="clear" w:color="auto" w:fill="auto"/>
            <w:noWrap/>
            <w:vAlign w:val="bottom"/>
            <w:hideMark/>
          </w:tcPr>
          <w:p w:rsidR="005A50CE" w:rsidRPr="00E319CA" w:rsidRDefault="005A50CE" w:rsidP="005A50CE">
            <w:pPr>
              <w:rPr>
                <w:rFonts w:ascii="Arial" w:hAnsi="Arial" w:cs="Arial"/>
                <w:color w:val="000000"/>
                <w:lang w:val="en-GB" w:eastAsia="fr-FR"/>
              </w:rPr>
            </w:pPr>
            <w:proofErr w:type="spellStart"/>
            <w:r w:rsidRPr="00E319CA">
              <w:rPr>
                <w:rFonts w:ascii="Arial" w:hAnsi="Arial" w:cs="Arial"/>
                <w:color w:val="000000"/>
                <w:lang w:val="en-GB" w:eastAsia="fr-FR"/>
              </w:rPr>
              <w:t>Teletoon</w:t>
            </w:r>
            <w:proofErr w:type="spellEnd"/>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proofErr w:type="spellStart"/>
            <w:r w:rsidRPr="00E319CA">
              <w:rPr>
                <w:rFonts w:ascii="Arial" w:hAnsi="Arial" w:cs="Arial"/>
                <w:color w:val="000000"/>
                <w:lang w:val="en-GB" w:eastAsia="fr-FR"/>
              </w:rPr>
              <w:t>Viceland</w:t>
            </w:r>
            <w:proofErr w:type="spellEnd"/>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Much</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Showcase</w:t>
            </w:r>
          </w:p>
        </w:tc>
        <w:tc>
          <w:tcPr>
            <w:tcW w:w="2409"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Treehouse TV</w:t>
            </w: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WWE Network</w:t>
            </w: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Space</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Slice</w:t>
            </w:r>
          </w:p>
        </w:tc>
        <w:tc>
          <w:tcPr>
            <w:tcW w:w="2409"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W Network</w:t>
            </w:r>
          </w:p>
        </w:tc>
      </w:tr>
      <w:tr w:rsidR="005A50CE" w:rsidRPr="00E319CA" w:rsidTr="00501E46">
        <w:trPr>
          <w:trHeight w:val="300"/>
          <w:jc w:val="center"/>
        </w:trPr>
        <w:tc>
          <w:tcPr>
            <w:tcW w:w="1858" w:type="dxa"/>
            <w:shd w:val="clear" w:color="auto" w:fill="auto"/>
            <w:noWrap/>
            <w:vAlign w:val="bottom"/>
            <w:hideMark/>
          </w:tcPr>
          <w:p w:rsidR="005A50CE" w:rsidRPr="00E319CA" w:rsidRDefault="005A50CE" w:rsidP="005A50CE">
            <w:pPr>
              <w:rPr>
                <w:rFonts w:ascii="Arial" w:hAnsi="Arial" w:cs="Arial"/>
                <w:color w:val="000000"/>
                <w:lang w:val="en-GB" w:eastAsia="fr-FR"/>
              </w:rPr>
            </w:pPr>
          </w:p>
        </w:tc>
        <w:tc>
          <w:tcPr>
            <w:tcW w:w="2693"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TSN</w:t>
            </w:r>
          </w:p>
        </w:tc>
        <w:tc>
          <w:tcPr>
            <w:tcW w:w="2127" w:type="dxa"/>
            <w:shd w:val="clear" w:color="auto" w:fill="auto"/>
            <w:noWrap/>
            <w:vAlign w:val="bottom"/>
            <w:hideMark/>
          </w:tcPr>
          <w:p w:rsidR="005A50CE" w:rsidRPr="00E319CA" w:rsidRDefault="005A50CE" w:rsidP="005A50CE">
            <w:pPr>
              <w:rPr>
                <w:rFonts w:ascii="Arial" w:hAnsi="Arial" w:cs="Arial"/>
                <w:color w:val="000000"/>
                <w:lang w:val="en-GB" w:eastAsia="fr-FR"/>
              </w:rPr>
            </w:pPr>
          </w:p>
        </w:tc>
        <w:tc>
          <w:tcPr>
            <w:tcW w:w="2409" w:type="dxa"/>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YTV</w:t>
            </w:r>
          </w:p>
        </w:tc>
      </w:tr>
    </w:tbl>
    <w:p w:rsidR="005A50CE" w:rsidRPr="00E319CA" w:rsidRDefault="005A50CE" w:rsidP="005A50CE">
      <w:pPr>
        <w:pStyle w:val="FootnoteText1"/>
        <w:rPr>
          <w:lang w:val="en-GB"/>
        </w:rPr>
      </w:pPr>
    </w:p>
    <w:p w:rsidR="005A50CE" w:rsidRPr="00E319CA" w:rsidRDefault="005A50CE" w:rsidP="005A50CE">
      <w:pPr>
        <w:pStyle w:val="FootnoteText1"/>
        <w:rPr>
          <w:lang w:val="en-GB" w:eastAsia="fr-FR"/>
        </w:rPr>
      </w:pPr>
      <w:r w:rsidRPr="00F405DC">
        <w:rPr>
          <w:lang w:val="en-GB" w:eastAsia="fr-FR"/>
        </w:rPr>
        <w:t>Notes:</w:t>
      </w:r>
      <w:r w:rsidRPr="00E319CA">
        <w:rPr>
          <w:vertAlign w:val="superscript"/>
          <w:lang w:val="en-GB" w:eastAsia="fr-FR"/>
        </w:rPr>
        <w:t xml:space="preserve"> 1</w:t>
      </w:r>
      <w:r w:rsidRPr="00E319CA">
        <w:rPr>
          <w:lang w:val="en-GB" w:eastAsia="fr-FR"/>
        </w:rPr>
        <w:t xml:space="preserve">Partnership involving 70%–90% ownership and managing control; </w:t>
      </w:r>
      <w:r w:rsidRPr="00E319CA">
        <w:rPr>
          <w:vertAlign w:val="superscript"/>
          <w:lang w:val="en-GB" w:eastAsia="fr-FR"/>
        </w:rPr>
        <w:t>2</w:t>
      </w:r>
      <w:r w:rsidRPr="00E319CA">
        <w:rPr>
          <w:lang w:val="en-GB" w:eastAsia="fr-FR"/>
        </w:rPr>
        <w:t>Under license.</w:t>
      </w:r>
    </w:p>
    <w:p w:rsidR="005A50CE" w:rsidRPr="00E319CA" w:rsidRDefault="005A50CE" w:rsidP="005A50CE">
      <w:pPr>
        <w:pStyle w:val="FootnoteText1"/>
        <w:rPr>
          <w:lang w:val="en-GB" w:eastAsia="fr-FR"/>
        </w:rPr>
      </w:pPr>
      <w:r w:rsidRPr="00E319CA">
        <w:rPr>
          <w:lang w:val="en-GB" w:eastAsia="fr-FR"/>
        </w:rPr>
        <w:t>Source: Case authors.</w:t>
      </w:r>
    </w:p>
    <w:p w:rsidR="005A50CE" w:rsidRPr="00E319CA" w:rsidRDefault="005A50CE" w:rsidP="005A50CE">
      <w:pPr>
        <w:rPr>
          <w:rFonts w:ascii="Arial" w:hAnsi="Arial"/>
          <w:b/>
          <w:caps/>
          <w:lang w:val="en-GB" w:eastAsia="fr-FR"/>
        </w:rPr>
      </w:pPr>
      <w:r w:rsidRPr="00E319CA">
        <w:rPr>
          <w:lang w:val="en-GB" w:eastAsia="fr-FR"/>
        </w:rPr>
        <w:br w:type="page"/>
      </w:r>
    </w:p>
    <w:p w:rsidR="005A50CE" w:rsidRPr="00E319CA" w:rsidRDefault="005A50CE" w:rsidP="005A50CE">
      <w:pPr>
        <w:jc w:val="center"/>
        <w:rPr>
          <w:rFonts w:ascii="Arial" w:hAnsi="Arial" w:cs="Arial"/>
          <w:b/>
          <w:lang w:val="en-GB"/>
        </w:rPr>
      </w:pPr>
      <w:r w:rsidRPr="00E319CA">
        <w:rPr>
          <w:rFonts w:ascii="Arial" w:hAnsi="Arial" w:cs="Arial"/>
          <w:b/>
          <w:lang w:val="en-GB"/>
        </w:rPr>
        <w:lastRenderedPageBreak/>
        <w:t>EXHIBIT 10: ENGLISH TV VIEWERSHIP BY MEDIA PROVIDER, 2015</w:t>
      </w:r>
    </w:p>
    <w:p w:rsidR="005A50CE" w:rsidRPr="00E319CA" w:rsidRDefault="005A50CE" w:rsidP="005A50CE">
      <w:pPr>
        <w:jc w:val="center"/>
        <w:rPr>
          <w:lang w:val="en-GB"/>
        </w:rPr>
      </w:pPr>
      <w:r w:rsidRPr="00E319CA">
        <w:rPr>
          <w:noProof/>
          <w:lang w:val="en-GB" w:eastAsia="en-GB"/>
        </w:rPr>
        <w:drawing>
          <wp:inline distT="0" distB="0" distL="0" distR="0" wp14:anchorId="53357591" wp14:editId="44EC2121">
            <wp:extent cx="4791075" cy="3205162"/>
            <wp:effectExtent l="0" t="0" r="0" b="0"/>
            <wp:docPr id="12" name="Chart 12">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A50CE" w:rsidRPr="00E319CA" w:rsidRDefault="005A50CE" w:rsidP="005A50CE">
      <w:pPr>
        <w:pStyle w:val="FootnoteText1"/>
        <w:rPr>
          <w:spacing w:val="-2"/>
          <w:lang w:val="en-GB"/>
        </w:rPr>
      </w:pPr>
      <w:r w:rsidRPr="00E319CA">
        <w:rPr>
          <w:spacing w:val="-2"/>
          <w:lang w:val="en-GB"/>
        </w:rPr>
        <w:t xml:space="preserve">Source: Corus Entertainment Inc., </w:t>
      </w:r>
      <w:r w:rsidRPr="007928B2">
        <w:rPr>
          <w:i/>
          <w:spacing w:val="-2"/>
          <w:lang w:val="en-GB"/>
        </w:rPr>
        <w:t>Corus Management Information Circular, for the Special Meeting of Shareholders Regarding the Proposed Acquisition of Shaw Media Inc</w:t>
      </w:r>
      <w:r w:rsidRPr="00E319CA">
        <w:rPr>
          <w:spacing w:val="-2"/>
          <w:lang w:val="en-GB"/>
        </w:rPr>
        <w:t>., February 9, 2016, accessed February 2017, www.corusent.com/wp-content/uploads/2016/02/corus_management_inf_circular.pdf.</w:t>
      </w:r>
    </w:p>
    <w:p w:rsidR="005A50CE" w:rsidRPr="00E319CA" w:rsidRDefault="005A50CE" w:rsidP="00382FDC">
      <w:pPr>
        <w:pStyle w:val="BodyTextMain"/>
        <w:rPr>
          <w:lang w:val="en-GB" w:eastAsia="fr-FR"/>
        </w:rPr>
      </w:pPr>
    </w:p>
    <w:p w:rsidR="005A50CE" w:rsidRPr="00E319CA" w:rsidRDefault="005A50CE" w:rsidP="00382FDC">
      <w:pPr>
        <w:pStyle w:val="BodyTextMain"/>
        <w:rPr>
          <w:lang w:val="en-GB" w:eastAsia="fr-FR"/>
        </w:rPr>
      </w:pPr>
      <w:r w:rsidRPr="00E319CA">
        <w:rPr>
          <w:lang w:val="en-GB" w:eastAsia="fr-FR"/>
        </w:rPr>
        <w:br w:type="page"/>
      </w:r>
    </w:p>
    <w:p w:rsidR="005A50CE" w:rsidRPr="00E319CA" w:rsidRDefault="005A50CE" w:rsidP="005A50CE">
      <w:pPr>
        <w:pStyle w:val="casehead10"/>
        <w:jc w:val="center"/>
        <w:rPr>
          <w:lang w:val="en-GB" w:eastAsia="fr-FR"/>
        </w:rPr>
      </w:pPr>
      <w:r w:rsidRPr="00E319CA">
        <w:rPr>
          <w:lang w:val="en-GB" w:eastAsia="fr-FR"/>
        </w:rPr>
        <w:lastRenderedPageBreak/>
        <w:t>EXHIBIT 11: HISTORICAL SHARE PRICEs for Shaw communications and Corus, 2010–2015</w:t>
      </w:r>
    </w:p>
    <w:p w:rsidR="005A50CE" w:rsidRPr="00E319CA" w:rsidRDefault="005A50CE" w:rsidP="00382FDC">
      <w:pPr>
        <w:pStyle w:val="BodyTextMain"/>
        <w:rPr>
          <w:lang w:val="en-GB"/>
        </w:rPr>
      </w:pPr>
    </w:p>
    <w:p w:rsidR="005A50CE" w:rsidRPr="00E319CA" w:rsidRDefault="005A50CE" w:rsidP="005A50CE">
      <w:pPr>
        <w:jc w:val="center"/>
        <w:rPr>
          <w:lang w:val="en-GB"/>
        </w:rPr>
      </w:pPr>
      <w:r w:rsidRPr="00E319CA">
        <w:rPr>
          <w:noProof/>
          <w:lang w:val="en-GB" w:eastAsia="en-GB"/>
        </w:rPr>
        <w:drawing>
          <wp:inline distT="0" distB="0" distL="0" distR="0" wp14:anchorId="346F6051" wp14:editId="2FCECF1B">
            <wp:extent cx="4572000" cy="3003550"/>
            <wp:effectExtent l="0" t="0" r="19050" b="2540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A50CE" w:rsidRPr="00E319CA" w:rsidRDefault="005A50CE" w:rsidP="00382FDC">
      <w:pPr>
        <w:pStyle w:val="BodyTextMain"/>
        <w:rPr>
          <w:lang w:val="en-GB"/>
        </w:rPr>
      </w:pPr>
    </w:p>
    <w:p w:rsidR="005A50CE" w:rsidRPr="00E319CA" w:rsidRDefault="005A50CE" w:rsidP="005A50CE">
      <w:pPr>
        <w:jc w:val="center"/>
        <w:rPr>
          <w:lang w:val="en-GB"/>
        </w:rPr>
      </w:pPr>
      <w:r w:rsidRPr="00E319CA">
        <w:rPr>
          <w:noProof/>
          <w:lang w:val="en-GB" w:eastAsia="en-GB"/>
        </w:rPr>
        <w:drawing>
          <wp:inline distT="0" distB="0" distL="0" distR="0" wp14:anchorId="01C9779C" wp14:editId="28FE4E7A">
            <wp:extent cx="4572000" cy="2743200"/>
            <wp:effectExtent l="0" t="0" r="19050" b="1905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50CE" w:rsidRPr="00830CE7" w:rsidRDefault="005A50CE" w:rsidP="00830CE7">
      <w:pPr>
        <w:pStyle w:val="FootnoteText1"/>
      </w:pPr>
    </w:p>
    <w:p w:rsidR="005A50CE" w:rsidRPr="00830CE7" w:rsidRDefault="005A50CE" w:rsidP="00830CE7">
      <w:pPr>
        <w:pStyle w:val="FootnoteText1"/>
      </w:pPr>
      <w:r w:rsidRPr="00830CE7">
        <w:t>Source: Shaw Communications, “Shaw Communications Inc. (SJR),” Yahoo Finance, accessed February 2017, https://ca.finance.yahoo.com/quote/SJR?ltr=1.</w:t>
      </w:r>
    </w:p>
    <w:p w:rsidR="005A50CE" w:rsidRPr="00E319CA" w:rsidRDefault="005A50CE" w:rsidP="00382FDC">
      <w:pPr>
        <w:pStyle w:val="BodyTextMain"/>
        <w:rPr>
          <w:lang w:val="en-GB"/>
        </w:rPr>
      </w:pPr>
    </w:p>
    <w:p w:rsidR="005A50CE" w:rsidRPr="00E319CA" w:rsidRDefault="005A50CE" w:rsidP="00382FDC">
      <w:pPr>
        <w:pStyle w:val="BodyTextMain"/>
        <w:rPr>
          <w:lang w:val="en-GB"/>
        </w:rPr>
      </w:pPr>
      <w:r w:rsidRPr="00E319CA">
        <w:rPr>
          <w:lang w:val="en-GB"/>
        </w:rPr>
        <w:br w:type="page"/>
      </w:r>
    </w:p>
    <w:p w:rsidR="005A50CE" w:rsidRPr="00E319CA" w:rsidRDefault="005A50CE" w:rsidP="005A50CE">
      <w:pPr>
        <w:pStyle w:val="casehead10"/>
        <w:jc w:val="center"/>
        <w:rPr>
          <w:lang w:val="en-GB" w:eastAsia="fr-FR"/>
        </w:rPr>
      </w:pPr>
      <w:r w:rsidRPr="00E319CA">
        <w:rPr>
          <w:lang w:val="en-GB" w:eastAsia="fr-FR"/>
        </w:rPr>
        <w:lastRenderedPageBreak/>
        <w:t>EXHIBIT 12: KEY FINANCIAL RATIOS FOR the FOUR LARGEST CANADIAN TELECOMMUNICATION COMPANIES AND CORUS, 2015</w:t>
      </w:r>
    </w:p>
    <w:p w:rsidR="005A50CE" w:rsidRPr="00E319CA" w:rsidRDefault="005A50CE" w:rsidP="005A50CE">
      <w:pPr>
        <w:pStyle w:val="BodyText"/>
        <w:rPr>
          <w:lang w:val="en-GB"/>
        </w:rPr>
      </w:pPr>
    </w:p>
    <w:tbl>
      <w:tblPr>
        <w:tblStyle w:val="TableGrid1"/>
        <w:tblW w:w="9242" w:type="dxa"/>
        <w:jc w:val="center"/>
        <w:tblBorders>
          <w:insideH w:val="none" w:sz="0" w:space="0" w:color="auto"/>
          <w:insideV w:val="none" w:sz="0" w:space="0" w:color="auto"/>
        </w:tblBorders>
        <w:tblLook w:val="04A0" w:firstRow="1" w:lastRow="0" w:firstColumn="1" w:lastColumn="0" w:noHBand="0" w:noVBand="1"/>
      </w:tblPr>
      <w:tblGrid>
        <w:gridCol w:w="1037"/>
        <w:gridCol w:w="1089"/>
        <w:gridCol w:w="1300"/>
        <w:gridCol w:w="1439"/>
        <w:gridCol w:w="1568"/>
        <w:gridCol w:w="1436"/>
        <w:gridCol w:w="1373"/>
      </w:tblGrid>
      <w:tr w:rsidR="005A50CE" w:rsidRPr="00E319CA" w:rsidTr="005A50CE">
        <w:trPr>
          <w:trHeight w:val="621"/>
          <w:jc w:val="center"/>
        </w:trPr>
        <w:tc>
          <w:tcPr>
            <w:tcW w:w="1037" w:type="dxa"/>
          </w:tcPr>
          <w:p w:rsidR="005A50CE" w:rsidRPr="00E319CA" w:rsidRDefault="005A50CE" w:rsidP="005A50CE">
            <w:pPr>
              <w:jc w:val="center"/>
              <w:rPr>
                <w:rFonts w:ascii="Arial" w:hAnsi="Arial" w:cs="Arial"/>
                <w:color w:val="000000"/>
                <w:lang w:val="en-GB"/>
              </w:rPr>
            </w:pPr>
          </w:p>
        </w:tc>
        <w:tc>
          <w:tcPr>
            <w:tcW w:w="1089" w:type="dxa"/>
          </w:tcPr>
          <w:p w:rsidR="005A50CE" w:rsidRPr="00E319CA" w:rsidRDefault="005A50CE" w:rsidP="005A50CE">
            <w:pPr>
              <w:spacing w:after="60"/>
              <w:jc w:val="center"/>
              <w:rPr>
                <w:rFonts w:ascii="Arial" w:hAnsi="Arial" w:cs="Arial"/>
                <w:b/>
                <w:color w:val="000000"/>
                <w:lang w:val="en-GB"/>
              </w:rPr>
            </w:pPr>
            <w:r w:rsidRPr="00E319CA">
              <w:rPr>
                <w:rFonts w:ascii="Arial" w:hAnsi="Arial" w:cs="Arial"/>
                <w:b/>
                <w:color w:val="000000"/>
                <w:lang w:val="en-GB"/>
              </w:rPr>
              <w:t>Debt to Equity</w:t>
            </w:r>
          </w:p>
        </w:tc>
        <w:tc>
          <w:tcPr>
            <w:tcW w:w="1300" w:type="dxa"/>
          </w:tcPr>
          <w:p w:rsidR="005A50CE" w:rsidRPr="00E319CA" w:rsidRDefault="005A50CE" w:rsidP="005A50CE">
            <w:pPr>
              <w:spacing w:after="60"/>
              <w:jc w:val="center"/>
              <w:rPr>
                <w:rFonts w:ascii="Arial" w:hAnsi="Arial" w:cs="Arial"/>
                <w:b/>
                <w:color w:val="000000"/>
                <w:lang w:val="en-GB"/>
              </w:rPr>
            </w:pPr>
            <w:r w:rsidRPr="00E319CA">
              <w:rPr>
                <w:rFonts w:ascii="Arial" w:hAnsi="Arial" w:cs="Arial"/>
                <w:b/>
                <w:color w:val="000000"/>
                <w:lang w:val="en-GB"/>
              </w:rPr>
              <w:t>Return on Equity</w:t>
            </w:r>
          </w:p>
        </w:tc>
        <w:tc>
          <w:tcPr>
            <w:tcW w:w="1439" w:type="dxa"/>
          </w:tcPr>
          <w:p w:rsidR="005A50CE" w:rsidRPr="00E319CA" w:rsidRDefault="005A50CE" w:rsidP="005A50CE">
            <w:pPr>
              <w:spacing w:after="60"/>
              <w:jc w:val="center"/>
              <w:rPr>
                <w:rFonts w:ascii="Arial" w:hAnsi="Arial" w:cs="Arial"/>
                <w:b/>
                <w:color w:val="000000"/>
                <w:lang w:val="en-GB"/>
              </w:rPr>
            </w:pPr>
            <w:r w:rsidRPr="00E319CA">
              <w:rPr>
                <w:rFonts w:ascii="Arial" w:hAnsi="Arial" w:cs="Arial"/>
                <w:b/>
                <w:color w:val="000000"/>
                <w:lang w:val="en-GB"/>
              </w:rPr>
              <w:t>Interest Coverage</w:t>
            </w:r>
          </w:p>
        </w:tc>
        <w:tc>
          <w:tcPr>
            <w:tcW w:w="1568" w:type="dxa"/>
          </w:tcPr>
          <w:p w:rsidR="005A50CE" w:rsidRPr="00E319CA" w:rsidRDefault="005A50CE" w:rsidP="005A50CE">
            <w:pPr>
              <w:spacing w:after="60"/>
              <w:jc w:val="center"/>
              <w:rPr>
                <w:rFonts w:ascii="Arial" w:hAnsi="Arial" w:cs="Arial"/>
                <w:b/>
                <w:color w:val="000000"/>
                <w:lang w:val="en-GB"/>
              </w:rPr>
            </w:pPr>
            <w:r w:rsidRPr="00E319CA">
              <w:rPr>
                <w:rFonts w:ascii="Arial" w:hAnsi="Arial" w:cs="Arial"/>
                <w:b/>
                <w:color w:val="000000"/>
                <w:lang w:val="en-GB"/>
              </w:rPr>
              <w:t>Free Cash flow/Sales%</w:t>
            </w:r>
          </w:p>
        </w:tc>
        <w:tc>
          <w:tcPr>
            <w:tcW w:w="1436" w:type="dxa"/>
          </w:tcPr>
          <w:p w:rsidR="005A50CE" w:rsidRPr="00E319CA" w:rsidRDefault="005A50CE" w:rsidP="005A50CE">
            <w:pPr>
              <w:spacing w:after="60"/>
              <w:jc w:val="center"/>
              <w:rPr>
                <w:rFonts w:ascii="Arial" w:hAnsi="Arial" w:cs="Arial"/>
                <w:b/>
                <w:color w:val="000000"/>
                <w:lang w:val="en-GB"/>
              </w:rPr>
            </w:pPr>
            <w:r w:rsidRPr="00E319CA">
              <w:rPr>
                <w:rFonts w:ascii="Arial" w:hAnsi="Arial" w:cs="Arial"/>
                <w:b/>
                <w:color w:val="000000"/>
                <w:lang w:val="en-GB"/>
              </w:rPr>
              <w:t>Return on Assets</w:t>
            </w:r>
          </w:p>
        </w:tc>
        <w:tc>
          <w:tcPr>
            <w:tcW w:w="1373" w:type="dxa"/>
          </w:tcPr>
          <w:p w:rsidR="005A50CE" w:rsidRPr="00E319CA" w:rsidRDefault="005A50CE" w:rsidP="005A50CE">
            <w:pPr>
              <w:spacing w:after="60"/>
              <w:jc w:val="center"/>
              <w:rPr>
                <w:rFonts w:ascii="Arial" w:hAnsi="Arial" w:cs="Arial"/>
                <w:b/>
                <w:color w:val="000000"/>
                <w:lang w:val="en-GB"/>
              </w:rPr>
            </w:pPr>
            <w:r w:rsidRPr="00E319CA">
              <w:rPr>
                <w:rFonts w:ascii="Arial" w:hAnsi="Arial" w:cs="Arial"/>
                <w:b/>
                <w:color w:val="000000"/>
                <w:lang w:val="en-GB"/>
              </w:rPr>
              <w:t>Net Debt to LTM EBITDA</w:t>
            </w:r>
          </w:p>
        </w:tc>
      </w:tr>
      <w:tr w:rsidR="005A50CE" w:rsidRPr="00E319CA" w:rsidTr="005A50CE">
        <w:trPr>
          <w:trHeight w:val="320"/>
          <w:jc w:val="center"/>
        </w:trPr>
        <w:tc>
          <w:tcPr>
            <w:tcW w:w="1037" w:type="dxa"/>
          </w:tcPr>
          <w:p w:rsidR="005A50CE" w:rsidRPr="00E319CA" w:rsidRDefault="005A50CE" w:rsidP="005A50CE">
            <w:pPr>
              <w:rPr>
                <w:rFonts w:ascii="Arial" w:hAnsi="Arial" w:cs="Arial"/>
                <w:color w:val="000000"/>
                <w:lang w:val="en-GB"/>
              </w:rPr>
            </w:pPr>
            <w:r w:rsidRPr="00E319CA">
              <w:rPr>
                <w:rFonts w:ascii="Arial" w:hAnsi="Arial" w:cs="Arial"/>
                <w:color w:val="000000"/>
                <w:lang w:val="en-GB"/>
              </w:rPr>
              <w:t>Shaw</w:t>
            </w:r>
          </w:p>
        </w:tc>
        <w:tc>
          <w:tcPr>
            <w:tcW w:w="108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0.94</w:t>
            </w:r>
          </w:p>
        </w:tc>
        <w:tc>
          <w:tcPr>
            <w:tcW w:w="1300"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16.66</w:t>
            </w:r>
          </w:p>
        </w:tc>
        <w:tc>
          <w:tcPr>
            <w:tcW w:w="143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5.15</w:t>
            </w:r>
          </w:p>
        </w:tc>
        <w:tc>
          <w:tcPr>
            <w:tcW w:w="1568" w:type="dxa"/>
          </w:tcPr>
          <w:p w:rsidR="005A50CE" w:rsidRPr="00E319CA" w:rsidRDefault="005A50CE" w:rsidP="005A50CE">
            <w:pPr>
              <w:tabs>
                <w:tab w:val="decimal" w:pos="290"/>
              </w:tabs>
              <w:jc w:val="center"/>
              <w:rPr>
                <w:rFonts w:ascii="Arial" w:hAnsi="Arial" w:cs="Arial"/>
                <w:color w:val="000000"/>
                <w:lang w:val="en-GB"/>
              </w:rPr>
            </w:pPr>
            <w:r w:rsidRPr="00E319CA">
              <w:rPr>
                <w:rFonts w:ascii="Arial" w:hAnsi="Arial" w:cs="Arial"/>
                <w:color w:val="000000"/>
                <w:lang w:val="en-GB"/>
              </w:rPr>
              <w:t>10.03</w:t>
            </w:r>
          </w:p>
        </w:tc>
        <w:tc>
          <w:tcPr>
            <w:tcW w:w="1436" w:type="dxa"/>
          </w:tcPr>
          <w:p w:rsidR="005A50CE" w:rsidRPr="00E319CA" w:rsidRDefault="005A50CE" w:rsidP="005A50CE">
            <w:pPr>
              <w:tabs>
                <w:tab w:val="decimal" w:pos="281"/>
              </w:tabs>
              <w:jc w:val="center"/>
              <w:rPr>
                <w:rFonts w:ascii="Arial" w:hAnsi="Arial" w:cs="Arial"/>
                <w:color w:val="000000"/>
                <w:lang w:val="en-GB"/>
              </w:rPr>
            </w:pPr>
            <w:r w:rsidRPr="00E319CA">
              <w:rPr>
                <w:rFonts w:ascii="Arial" w:hAnsi="Arial" w:cs="Arial"/>
                <w:color w:val="000000"/>
                <w:lang w:val="en-GB"/>
              </w:rPr>
              <w:t>6.05</w:t>
            </w:r>
          </w:p>
        </w:tc>
        <w:tc>
          <w:tcPr>
            <w:tcW w:w="1373"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2.33</w:t>
            </w:r>
          </w:p>
        </w:tc>
      </w:tr>
      <w:tr w:rsidR="005A50CE" w:rsidRPr="00E319CA" w:rsidTr="005A50CE">
        <w:trPr>
          <w:trHeight w:val="320"/>
          <w:jc w:val="center"/>
        </w:trPr>
        <w:tc>
          <w:tcPr>
            <w:tcW w:w="1037" w:type="dxa"/>
          </w:tcPr>
          <w:p w:rsidR="005A50CE" w:rsidRPr="00E319CA" w:rsidRDefault="005A50CE" w:rsidP="005A50CE">
            <w:pPr>
              <w:rPr>
                <w:rFonts w:ascii="Arial" w:hAnsi="Arial" w:cs="Arial"/>
                <w:color w:val="000000"/>
                <w:lang w:val="en-GB"/>
              </w:rPr>
            </w:pPr>
            <w:r w:rsidRPr="00E319CA">
              <w:rPr>
                <w:rFonts w:ascii="Arial" w:hAnsi="Arial" w:cs="Arial"/>
                <w:color w:val="000000"/>
                <w:lang w:val="en-GB"/>
              </w:rPr>
              <w:t>TELUS</w:t>
            </w:r>
          </w:p>
        </w:tc>
        <w:tc>
          <w:tcPr>
            <w:tcW w:w="108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1.46</w:t>
            </w:r>
          </w:p>
        </w:tc>
        <w:tc>
          <w:tcPr>
            <w:tcW w:w="1300"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18.27</w:t>
            </w:r>
          </w:p>
        </w:tc>
        <w:tc>
          <w:tcPr>
            <w:tcW w:w="143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5.06</w:t>
            </w:r>
          </w:p>
        </w:tc>
        <w:tc>
          <w:tcPr>
            <w:tcW w:w="1568" w:type="dxa"/>
          </w:tcPr>
          <w:p w:rsidR="005A50CE" w:rsidRPr="00E319CA" w:rsidRDefault="005A50CE" w:rsidP="005A50CE">
            <w:pPr>
              <w:tabs>
                <w:tab w:val="decimal" w:pos="290"/>
              </w:tabs>
              <w:jc w:val="center"/>
              <w:rPr>
                <w:rFonts w:ascii="Arial" w:hAnsi="Arial" w:cs="Arial"/>
                <w:color w:val="000000"/>
                <w:lang w:val="en-GB"/>
              </w:rPr>
            </w:pPr>
            <w:r w:rsidRPr="00E319CA">
              <w:rPr>
                <w:rFonts w:ascii="Arial" w:hAnsi="Arial" w:cs="Arial"/>
                <w:color w:val="000000"/>
                <w:lang w:val="en-GB"/>
              </w:rPr>
              <w:t>–8.22</w:t>
            </w:r>
          </w:p>
        </w:tc>
        <w:tc>
          <w:tcPr>
            <w:tcW w:w="1436" w:type="dxa"/>
          </w:tcPr>
          <w:p w:rsidR="005A50CE" w:rsidRPr="00E319CA" w:rsidRDefault="005A50CE" w:rsidP="005A50CE">
            <w:pPr>
              <w:tabs>
                <w:tab w:val="decimal" w:pos="281"/>
              </w:tabs>
              <w:jc w:val="center"/>
              <w:rPr>
                <w:rFonts w:ascii="Arial" w:hAnsi="Arial" w:cs="Arial"/>
                <w:color w:val="000000"/>
                <w:lang w:val="en-GB"/>
              </w:rPr>
            </w:pPr>
            <w:r w:rsidRPr="00E319CA">
              <w:rPr>
                <w:rFonts w:ascii="Arial" w:hAnsi="Arial" w:cs="Arial"/>
                <w:color w:val="000000"/>
                <w:lang w:val="en-GB"/>
              </w:rPr>
              <w:t>5.57</w:t>
            </w:r>
          </w:p>
        </w:tc>
        <w:tc>
          <w:tcPr>
            <w:tcW w:w="1373"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2.80</w:t>
            </w:r>
          </w:p>
        </w:tc>
      </w:tr>
      <w:tr w:rsidR="005A50CE" w:rsidRPr="00E319CA" w:rsidTr="005A50CE">
        <w:trPr>
          <w:trHeight w:val="298"/>
          <w:jc w:val="center"/>
        </w:trPr>
        <w:tc>
          <w:tcPr>
            <w:tcW w:w="1037" w:type="dxa"/>
          </w:tcPr>
          <w:p w:rsidR="005A50CE" w:rsidRPr="00E319CA" w:rsidRDefault="005A50CE" w:rsidP="005A50CE">
            <w:pPr>
              <w:rPr>
                <w:rFonts w:ascii="Arial" w:hAnsi="Arial" w:cs="Arial"/>
                <w:color w:val="000000"/>
                <w:lang w:val="en-GB"/>
              </w:rPr>
            </w:pPr>
            <w:r w:rsidRPr="00E319CA">
              <w:rPr>
                <w:rFonts w:ascii="Arial" w:hAnsi="Arial" w:cs="Arial"/>
                <w:color w:val="000000"/>
                <w:lang w:val="en-GB"/>
              </w:rPr>
              <w:t>Bell</w:t>
            </w:r>
          </w:p>
        </w:tc>
        <w:tc>
          <w:tcPr>
            <w:tcW w:w="108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1.18</w:t>
            </w:r>
          </w:p>
        </w:tc>
        <w:tc>
          <w:tcPr>
            <w:tcW w:w="1300"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21.08</w:t>
            </w:r>
          </w:p>
        </w:tc>
        <w:tc>
          <w:tcPr>
            <w:tcW w:w="143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4.59</w:t>
            </w:r>
          </w:p>
        </w:tc>
        <w:tc>
          <w:tcPr>
            <w:tcW w:w="1568" w:type="dxa"/>
          </w:tcPr>
          <w:p w:rsidR="005A50CE" w:rsidRPr="00E319CA" w:rsidRDefault="005A50CE" w:rsidP="005A50CE">
            <w:pPr>
              <w:tabs>
                <w:tab w:val="decimal" w:pos="290"/>
              </w:tabs>
              <w:jc w:val="center"/>
              <w:rPr>
                <w:rFonts w:ascii="Arial" w:hAnsi="Arial" w:cs="Arial"/>
                <w:color w:val="000000"/>
                <w:lang w:val="en-GB"/>
              </w:rPr>
            </w:pPr>
            <w:r w:rsidRPr="00E319CA">
              <w:rPr>
                <w:rFonts w:ascii="Arial" w:hAnsi="Arial" w:cs="Arial"/>
                <w:color w:val="000000"/>
                <w:lang w:val="en-GB"/>
              </w:rPr>
              <w:t>9.82</w:t>
            </w:r>
          </w:p>
        </w:tc>
        <w:tc>
          <w:tcPr>
            <w:tcW w:w="1436" w:type="dxa"/>
          </w:tcPr>
          <w:p w:rsidR="005A50CE" w:rsidRPr="00E319CA" w:rsidRDefault="005A50CE" w:rsidP="005A50CE">
            <w:pPr>
              <w:tabs>
                <w:tab w:val="decimal" w:pos="281"/>
              </w:tabs>
              <w:jc w:val="center"/>
              <w:rPr>
                <w:rFonts w:ascii="Arial" w:hAnsi="Arial" w:cs="Arial"/>
                <w:color w:val="000000"/>
                <w:lang w:val="en-GB"/>
              </w:rPr>
            </w:pPr>
            <w:r w:rsidRPr="00E319CA">
              <w:rPr>
                <w:rFonts w:ascii="Arial" w:hAnsi="Arial" w:cs="Arial"/>
                <w:color w:val="000000"/>
                <w:lang w:val="en-GB"/>
              </w:rPr>
              <w:t>5.36</w:t>
            </w:r>
          </w:p>
        </w:tc>
        <w:tc>
          <w:tcPr>
            <w:tcW w:w="1373"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2.46</w:t>
            </w:r>
          </w:p>
        </w:tc>
      </w:tr>
      <w:tr w:rsidR="005A50CE" w:rsidRPr="00E319CA" w:rsidTr="005A50CE">
        <w:trPr>
          <w:trHeight w:val="320"/>
          <w:jc w:val="center"/>
        </w:trPr>
        <w:tc>
          <w:tcPr>
            <w:tcW w:w="1037" w:type="dxa"/>
          </w:tcPr>
          <w:p w:rsidR="005A50CE" w:rsidRPr="00E319CA" w:rsidRDefault="005A50CE" w:rsidP="005A50CE">
            <w:pPr>
              <w:rPr>
                <w:rFonts w:ascii="Arial" w:hAnsi="Arial" w:cs="Arial"/>
                <w:color w:val="000000"/>
                <w:lang w:val="en-GB"/>
              </w:rPr>
            </w:pPr>
            <w:r w:rsidRPr="00E319CA">
              <w:rPr>
                <w:rFonts w:ascii="Arial" w:hAnsi="Arial" w:cs="Arial"/>
                <w:color w:val="000000"/>
                <w:lang w:val="en-GB"/>
              </w:rPr>
              <w:t>Rogers</w:t>
            </w:r>
          </w:p>
        </w:tc>
        <w:tc>
          <w:tcPr>
            <w:tcW w:w="108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2.76</w:t>
            </w:r>
          </w:p>
        </w:tc>
        <w:tc>
          <w:tcPr>
            <w:tcW w:w="1300"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24.60</w:t>
            </w:r>
          </w:p>
        </w:tc>
        <w:tc>
          <w:tcPr>
            <w:tcW w:w="143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3.39</w:t>
            </w:r>
          </w:p>
        </w:tc>
        <w:tc>
          <w:tcPr>
            <w:tcW w:w="1568" w:type="dxa"/>
          </w:tcPr>
          <w:p w:rsidR="005A50CE" w:rsidRPr="00E319CA" w:rsidRDefault="005A50CE" w:rsidP="005A50CE">
            <w:pPr>
              <w:tabs>
                <w:tab w:val="decimal" w:pos="290"/>
              </w:tabs>
              <w:jc w:val="center"/>
              <w:rPr>
                <w:rFonts w:ascii="Arial" w:hAnsi="Arial" w:cs="Arial"/>
                <w:color w:val="000000"/>
                <w:lang w:val="en-GB"/>
              </w:rPr>
            </w:pPr>
            <w:r w:rsidRPr="00E319CA">
              <w:rPr>
                <w:rFonts w:ascii="Arial" w:hAnsi="Arial" w:cs="Arial"/>
                <w:color w:val="000000"/>
                <w:lang w:val="en-GB"/>
              </w:rPr>
              <w:t>9.27</w:t>
            </w:r>
          </w:p>
        </w:tc>
        <w:tc>
          <w:tcPr>
            <w:tcW w:w="1436" w:type="dxa"/>
          </w:tcPr>
          <w:p w:rsidR="005A50CE" w:rsidRPr="00E319CA" w:rsidRDefault="005A50CE" w:rsidP="005A50CE">
            <w:pPr>
              <w:tabs>
                <w:tab w:val="decimal" w:pos="281"/>
              </w:tabs>
              <w:jc w:val="center"/>
              <w:rPr>
                <w:rFonts w:ascii="Arial" w:hAnsi="Arial" w:cs="Arial"/>
                <w:color w:val="000000"/>
                <w:lang w:val="en-GB"/>
              </w:rPr>
            </w:pPr>
            <w:r w:rsidRPr="00E319CA">
              <w:rPr>
                <w:rFonts w:ascii="Arial" w:hAnsi="Arial" w:cs="Arial"/>
                <w:color w:val="000000"/>
                <w:lang w:val="en-GB"/>
              </w:rPr>
              <w:t>4.96</w:t>
            </w:r>
          </w:p>
        </w:tc>
        <w:tc>
          <w:tcPr>
            <w:tcW w:w="1373"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3.61</w:t>
            </w:r>
          </w:p>
        </w:tc>
      </w:tr>
      <w:tr w:rsidR="005A50CE" w:rsidRPr="00E319CA" w:rsidTr="005A50CE">
        <w:trPr>
          <w:trHeight w:val="320"/>
          <w:jc w:val="center"/>
        </w:trPr>
        <w:tc>
          <w:tcPr>
            <w:tcW w:w="1037" w:type="dxa"/>
          </w:tcPr>
          <w:p w:rsidR="005A50CE" w:rsidRPr="00E319CA" w:rsidRDefault="005A50CE" w:rsidP="005A50CE">
            <w:pPr>
              <w:rPr>
                <w:rFonts w:ascii="Arial" w:hAnsi="Arial" w:cs="Arial"/>
                <w:color w:val="000000"/>
                <w:lang w:val="en-GB"/>
              </w:rPr>
            </w:pPr>
            <w:r w:rsidRPr="00E319CA">
              <w:rPr>
                <w:rFonts w:ascii="Arial" w:hAnsi="Arial" w:cs="Arial"/>
                <w:color w:val="000000"/>
                <w:lang w:val="en-GB"/>
              </w:rPr>
              <w:t>Corus***</w:t>
            </w:r>
          </w:p>
        </w:tc>
        <w:tc>
          <w:tcPr>
            <w:tcW w:w="108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0.54</w:t>
            </w:r>
          </w:p>
        </w:tc>
        <w:tc>
          <w:tcPr>
            <w:tcW w:w="1300"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–2.02</w:t>
            </w:r>
          </w:p>
        </w:tc>
        <w:tc>
          <w:tcPr>
            <w:tcW w:w="1439"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1.23</w:t>
            </w:r>
          </w:p>
        </w:tc>
        <w:tc>
          <w:tcPr>
            <w:tcW w:w="1568" w:type="dxa"/>
          </w:tcPr>
          <w:p w:rsidR="005A50CE" w:rsidRPr="00E319CA" w:rsidRDefault="005A50CE" w:rsidP="005A50CE">
            <w:pPr>
              <w:tabs>
                <w:tab w:val="decimal" w:pos="290"/>
              </w:tabs>
              <w:jc w:val="center"/>
              <w:rPr>
                <w:rFonts w:ascii="Arial" w:hAnsi="Arial" w:cs="Arial"/>
                <w:color w:val="000000"/>
                <w:lang w:val="en-GB"/>
              </w:rPr>
            </w:pPr>
            <w:r w:rsidRPr="00E319CA">
              <w:rPr>
                <w:rFonts w:ascii="Arial" w:hAnsi="Arial" w:cs="Arial"/>
                <w:color w:val="000000"/>
                <w:lang w:val="en-GB"/>
              </w:rPr>
              <w:t>20.71</w:t>
            </w:r>
          </w:p>
        </w:tc>
        <w:tc>
          <w:tcPr>
            <w:tcW w:w="1436" w:type="dxa"/>
          </w:tcPr>
          <w:p w:rsidR="005A50CE" w:rsidRPr="00E319CA" w:rsidRDefault="005A50CE" w:rsidP="005A50CE">
            <w:pPr>
              <w:tabs>
                <w:tab w:val="decimal" w:pos="281"/>
              </w:tabs>
              <w:jc w:val="center"/>
              <w:rPr>
                <w:rFonts w:ascii="Arial" w:hAnsi="Arial" w:cs="Arial"/>
                <w:color w:val="000000"/>
                <w:lang w:val="en-GB"/>
              </w:rPr>
            </w:pPr>
            <w:r w:rsidRPr="00E319CA">
              <w:rPr>
                <w:rFonts w:ascii="Arial" w:hAnsi="Arial" w:cs="Arial"/>
                <w:color w:val="000000"/>
                <w:lang w:val="en-GB"/>
              </w:rPr>
              <w:t>–0.93</w:t>
            </w:r>
          </w:p>
        </w:tc>
        <w:tc>
          <w:tcPr>
            <w:tcW w:w="1373" w:type="dxa"/>
          </w:tcPr>
          <w:p w:rsidR="005A50CE" w:rsidRPr="00E319CA" w:rsidRDefault="005A50CE" w:rsidP="005A50CE">
            <w:pPr>
              <w:jc w:val="center"/>
              <w:rPr>
                <w:rFonts w:ascii="Arial" w:hAnsi="Arial" w:cs="Arial"/>
                <w:color w:val="000000"/>
                <w:lang w:val="en-GB"/>
              </w:rPr>
            </w:pPr>
            <w:r w:rsidRPr="00E319CA">
              <w:rPr>
                <w:rFonts w:ascii="Arial" w:hAnsi="Arial" w:cs="Arial"/>
                <w:color w:val="000000"/>
                <w:lang w:val="en-GB"/>
              </w:rPr>
              <w:t>2.95</w:t>
            </w:r>
          </w:p>
        </w:tc>
      </w:tr>
    </w:tbl>
    <w:p w:rsidR="005A50CE" w:rsidRPr="00E319CA" w:rsidRDefault="005A50CE" w:rsidP="005A50CE">
      <w:pPr>
        <w:pStyle w:val="FootnoteText1"/>
        <w:rPr>
          <w:lang w:val="en-GB"/>
        </w:rPr>
      </w:pPr>
    </w:p>
    <w:p w:rsidR="005A50CE" w:rsidRPr="00830CE7" w:rsidRDefault="005A50CE" w:rsidP="00830CE7">
      <w:pPr>
        <w:pStyle w:val="FootnoteText1"/>
      </w:pPr>
      <w:r w:rsidRPr="00830CE7">
        <w:t>Note: LTM EBITDA = Last Twelve Months Earnings before Interest Taxes Depreciation, and Amortization; TELUS’s free cash flow/sales% had averaged 7.11 over the previous five years; Corus’s return on equity, return on assets, and net debt to LT EBITDA had averaged 13.6, 6.83, and 2.3, respectively, over the previous five years.</w:t>
      </w:r>
    </w:p>
    <w:p w:rsidR="00830CE7" w:rsidRDefault="005A50CE" w:rsidP="00830CE7">
      <w:pPr>
        <w:pStyle w:val="FootnoteText1"/>
      </w:pPr>
      <w:r w:rsidRPr="00830CE7">
        <w:t>Source: Created by case author based on financial data for Shaw, TELUS, Bell, Rogers, and Corus from Morningstar, accessed March 27, 2017, http://quote.morningstar.ca/Quicktakes/stock/keyratios.aspx?t=SJR.B&amp;region=CAN&amp;culture=en-CA&amp;ops=clear</w:t>
      </w:r>
      <w:r w:rsidRPr="00830CE7">
        <w:rPr>
          <w:rStyle w:val="Hyperlink"/>
          <w:color w:val="auto"/>
          <w:u w:val="none"/>
        </w:rPr>
        <w:t xml:space="preserve">; </w:t>
      </w:r>
      <w:hyperlink r:id="rId22" w:history="1">
        <w:r w:rsidRPr="00830CE7">
          <w:rPr>
            <w:rStyle w:val="Hyperlink"/>
            <w:color w:val="auto"/>
            <w:u w:val="none"/>
          </w:rPr>
          <w:t>http://quote.morningstar.ca/Quicktakes/stock/keyratios.aspx?t=T&amp;region=CAN&amp;culture=en-CA&amp;ops=clear</w:t>
        </w:r>
      </w:hyperlink>
      <w:r w:rsidRPr="00830CE7">
        <w:rPr>
          <w:rStyle w:val="Hyperlink"/>
          <w:color w:val="auto"/>
          <w:u w:val="none"/>
        </w:rPr>
        <w:t xml:space="preserve">; </w:t>
      </w:r>
      <w:hyperlink r:id="rId23" w:history="1">
        <w:r w:rsidRPr="00830CE7">
          <w:rPr>
            <w:rStyle w:val="Hyperlink"/>
            <w:color w:val="auto"/>
            <w:u w:val="none"/>
          </w:rPr>
          <w:t>http://quote.morningstar.ca/Quicktakes/stock/keyratios.aspx?t=BCE&amp;region=CAN&amp;culture=en-CA&amp;ops=clear</w:t>
        </w:r>
      </w:hyperlink>
      <w:r w:rsidRPr="00830CE7">
        <w:rPr>
          <w:rStyle w:val="Hyperlink"/>
          <w:color w:val="auto"/>
          <w:u w:val="none"/>
        </w:rPr>
        <w:t xml:space="preserve">; </w:t>
      </w:r>
      <w:r w:rsidR="00830CE7" w:rsidRPr="00830CE7">
        <w:t>http://quote</w:t>
      </w:r>
      <w:r w:rsidRPr="00830CE7">
        <w:t>.</w:t>
      </w:r>
    </w:p>
    <w:p w:rsidR="00830CE7" w:rsidRPr="00830CE7" w:rsidRDefault="005A50CE" w:rsidP="00830CE7">
      <w:pPr>
        <w:pStyle w:val="FootnoteText1"/>
      </w:pPr>
      <w:proofErr w:type="gramStart"/>
      <w:r w:rsidRPr="00830CE7">
        <w:t>morningstar.ca/Quicktakes/stock/keyratios.aspx?t=RCI.B&amp;region=CAN&amp;culture=en-CA&amp;ops=clear</w:t>
      </w:r>
      <w:r w:rsidRPr="00830CE7">
        <w:rPr>
          <w:rStyle w:val="Hyperlink"/>
          <w:color w:val="auto"/>
          <w:u w:val="none"/>
        </w:rPr>
        <w:t xml:space="preserve">; </w:t>
      </w:r>
      <w:hyperlink r:id="rId24" w:history="1">
        <w:r w:rsidR="00830CE7" w:rsidRPr="00830CE7">
          <w:t>http://quote.morningstar</w:t>
        </w:r>
      </w:hyperlink>
      <w:r w:rsidRPr="00830CE7">
        <w:t>.</w:t>
      </w:r>
      <w:proofErr w:type="gramEnd"/>
    </w:p>
    <w:p w:rsidR="005A50CE" w:rsidRPr="00830CE7" w:rsidRDefault="005A50CE" w:rsidP="00830CE7">
      <w:pPr>
        <w:pStyle w:val="FootnoteText1"/>
      </w:pPr>
      <w:r w:rsidRPr="00830CE7">
        <w:t>ca/Quicktakes/stock/keyratios.aspx?t=CJR.B&amp;region=CAN&amp;culture=en-CA&amp;ops=clear.</w:t>
      </w:r>
    </w:p>
    <w:p w:rsidR="005A50CE" w:rsidRPr="00E319CA" w:rsidRDefault="005A50CE" w:rsidP="00382FDC">
      <w:pPr>
        <w:pStyle w:val="BodyTextMain"/>
        <w:rPr>
          <w:lang w:val="en-GB" w:eastAsia="fr-FR"/>
        </w:rPr>
      </w:pPr>
    </w:p>
    <w:p w:rsidR="005A50CE" w:rsidRPr="00E319CA" w:rsidRDefault="005A50CE" w:rsidP="00382FDC">
      <w:pPr>
        <w:pStyle w:val="BodyTextMain"/>
        <w:rPr>
          <w:lang w:val="en-GB" w:eastAsia="fr-FR"/>
        </w:rPr>
      </w:pPr>
    </w:p>
    <w:p w:rsidR="005A50CE" w:rsidRPr="00E319CA" w:rsidRDefault="005A50CE" w:rsidP="005A50CE">
      <w:pPr>
        <w:pStyle w:val="casehead10"/>
        <w:jc w:val="center"/>
        <w:rPr>
          <w:lang w:val="en-GB"/>
        </w:rPr>
      </w:pPr>
      <w:r w:rsidRPr="00E319CA">
        <w:rPr>
          <w:lang w:val="en-GB" w:eastAsia="fr-FR"/>
        </w:rPr>
        <w:t>EXHIBIT 13: SUMMARY FINANCIAL INFORMATION FOR CORUS, 2013–2015</w:t>
      </w:r>
    </w:p>
    <w:p w:rsidR="005A50CE" w:rsidRPr="00E319CA" w:rsidRDefault="005A50CE" w:rsidP="00382FDC">
      <w:pPr>
        <w:pStyle w:val="BodyTextMain"/>
        <w:rPr>
          <w:lang w:val="en-GB"/>
        </w:rPr>
      </w:pPr>
    </w:p>
    <w:tbl>
      <w:tblPr>
        <w:tblW w:w="8323" w:type="dxa"/>
        <w:tblCellMar>
          <w:left w:w="70" w:type="dxa"/>
          <w:right w:w="70" w:type="dxa"/>
        </w:tblCellMar>
        <w:tblLook w:val="04A0" w:firstRow="1" w:lastRow="0" w:firstColumn="1" w:lastColumn="0" w:noHBand="0" w:noVBand="1"/>
      </w:tblPr>
      <w:tblGrid>
        <w:gridCol w:w="4520"/>
        <w:gridCol w:w="2126"/>
        <w:gridCol w:w="851"/>
        <w:gridCol w:w="826"/>
      </w:tblGrid>
      <w:tr w:rsidR="005A50CE" w:rsidRPr="00E319CA" w:rsidTr="005A50CE">
        <w:trPr>
          <w:trHeight w:val="300"/>
        </w:trPr>
        <w:tc>
          <w:tcPr>
            <w:tcW w:w="4520" w:type="dxa"/>
            <w:tcBorders>
              <w:top w:val="nil"/>
              <w:left w:val="nil"/>
              <w:bottom w:val="nil"/>
              <w:right w:val="nil"/>
            </w:tcBorders>
            <w:shd w:val="clear" w:color="auto" w:fill="auto"/>
            <w:noWrap/>
            <w:vAlign w:val="bottom"/>
          </w:tcPr>
          <w:p w:rsidR="005A50CE" w:rsidRPr="00E319CA" w:rsidRDefault="005A50CE" w:rsidP="005A50CE">
            <w:pPr>
              <w:rPr>
                <w:rFonts w:ascii="Arial" w:hAnsi="Arial" w:cs="Arial"/>
                <w:b/>
                <w:color w:val="000000"/>
                <w:lang w:val="en-GB" w:eastAsia="fr-FR"/>
              </w:rPr>
            </w:pPr>
          </w:p>
        </w:tc>
        <w:tc>
          <w:tcPr>
            <w:tcW w:w="2126"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lang w:val="en-GB" w:eastAsia="fr-FR"/>
              </w:rPr>
            </w:pPr>
            <w:r w:rsidRPr="00E319CA">
              <w:rPr>
                <w:rFonts w:ascii="Arial" w:hAnsi="Arial" w:cs="Arial"/>
                <w:b/>
                <w:bCs/>
                <w:color w:val="000000"/>
                <w:lang w:val="en-GB" w:eastAsia="fr-FR"/>
              </w:rPr>
              <w:t>2013</w:t>
            </w:r>
          </w:p>
        </w:tc>
        <w:tc>
          <w:tcPr>
            <w:tcW w:w="851"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lang w:val="en-GB" w:eastAsia="fr-FR"/>
              </w:rPr>
            </w:pPr>
            <w:r w:rsidRPr="00E319CA">
              <w:rPr>
                <w:rFonts w:ascii="Arial" w:hAnsi="Arial" w:cs="Arial"/>
                <w:b/>
                <w:bCs/>
                <w:color w:val="000000"/>
                <w:lang w:val="en-GB" w:eastAsia="fr-FR"/>
              </w:rPr>
              <w:t>2014</w:t>
            </w:r>
          </w:p>
        </w:tc>
        <w:tc>
          <w:tcPr>
            <w:tcW w:w="826"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b/>
                <w:bCs/>
                <w:color w:val="000000"/>
                <w:lang w:val="en-GB" w:eastAsia="fr-FR"/>
              </w:rPr>
            </w:pPr>
            <w:r w:rsidRPr="00E319CA">
              <w:rPr>
                <w:rFonts w:ascii="Arial" w:hAnsi="Arial" w:cs="Arial"/>
                <w:b/>
                <w:bCs/>
                <w:color w:val="000000"/>
                <w:lang w:val="en-GB" w:eastAsia="fr-FR"/>
              </w:rPr>
              <w:t>2015</w:t>
            </w:r>
          </w:p>
        </w:tc>
      </w:tr>
      <w:tr w:rsidR="005A50CE" w:rsidRPr="00E319CA" w:rsidTr="005A50CE">
        <w:trPr>
          <w:trHeight w:val="227"/>
        </w:trPr>
        <w:tc>
          <w:tcPr>
            <w:tcW w:w="452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Revenues</w:t>
            </w:r>
          </w:p>
        </w:tc>
        <w:tc>
          <w:tcPr>
            <w:tcW w:w="2126"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752</w:t>
            </w:r>
          </w:p>
        </w:tc>
        <w:tc>
          <w:tcPr>
            <w:tcW w:w="851"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833</w:t>
            </w:r>
          </w:p>
        </w:tc>
        <w:tc>
          <w:tcPr>
            <w:tcW w:w="826"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815</w:t>
            </w:r>
          </w:p>
        </w:tc>
      </w:tr>
      <w:tr w:rsidR="005A50CE" w:rsidRPr="00E319CA" w:rsidTr="005A50CE">
        <w:trPr>
          <w:trHeight w:val="227"/>
        </w:trPr>
        <w:tc>
          <w:tcPr>
            <w:tcW w:w="4520" w:type="dxa"/>
            <w:tcBorders>
              <w:top w:val="nil"/>
              <w:left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Profit</w:t>
            </w:r>
          </w:p>
        </w:tc>
        <w:tc>
          <w:tcPr>
            <w:tcW w:w="2126" w:type="dxa"/>
            <w:tcBorders>
              <w:top w:val="nil"/>
              <w:left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243</w:t>
            </w:r>
          </w:p>
        </w:tc>
        <w:tc>
          <w:tcPr>
            <w:tcW w:w="851" w:type="dxa"/>
            <w:tcBorders>
              <w:top w:val="nil"/>
              <w:left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266</w:t>
            </w:r>
          </w:p>
        </w:tc>
        <w:tc>
          <w:tcPr>
            <w:tcW w:w="826" w:type="dxa"/>
            <w:tcBorders>
              <w:top w:val="nil"/>
              <w:left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253</w:t>
            </w:r>
          </w:p>
        </w:tc>
      </w:tr>
      <w:tr w:rsidR="005A50CE" w:rsidRPr="00E319CA" w:rsidTr="005A50CE">
        <w:trPr>
          <w:trHeight w:val="227"/>
        </w:trPr>
        <w:tc>
          <w:tcPr>
            <w:tcW w:w="4520" w:type="dxa"/>
            <w:tcBorders>
              <w:top w:val="nil"/>
              <w:left w:val="nil"/>
              <w:bottom w:val="single" w:sz="4" w:space="0" w:color="auto"/>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Net (loss) income attributable to shareholders</w:t>
            </w:r>
          </w:p>
        </w:tc>
        <w:tc>
          <w:tcPr>
            <w:tcW w:w="2126" w:type="dxa"/>
            <w:tcBorders>
              <w:top w:val="nil"/>
              <w:left w:val="nil"/>
              <w:bottom w:val="single" w:sz="4" w:space="0" w:color="auto"/>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160</w:t>
            </w:r>
          </w:p>
        </w:tc>
        <w:tc>
          <w:tcPr>
            <w:tcW w:w="851" w:type="dxa"/>
            <w:tcBorders>
              <w:top w:val="nil"/>
              <w:left w:val="nil"/>
              <w:bottom w:val="single" w:sz="4" w:space="0" w:color="auto"/>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150</w:t>
            </w:r>
          </w:p>
        </w:tc>
        <w:tc>
          <w:tcPr>
            <w:tcW w:w="826" w:type="dxa"/>
            <w:tcBorders>
              <w:top w:val="nil"/>
              <w:left w:val="nil"/>
              <w:bottom w:val="single" w:sz="4" w:space="0" w:color="auto"/>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−25</w:t>
            </w:r>
          </w:p>
        </w:tc>
      </w:tr>
      <w:tr w:rsidR="005A50CE" w:rsidRPr="00E319CA" w:rsidTr="005A50CE">
        <w:trPr>
          <w:trHeight w:val="227"/>
        </w:trPr>
        <w:tc>
          <w:tcPr>
            <w:tcW w:w="4520" w:type="dxa"/>
            <w:tcBorders>
              <w:top w:val="single" w:sz="4" w:space="0" w:color="auto"/>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Total assets</w:t>
            </w:r>
          </w:p>
        </w:tc>
        <w:tc>
          <w:tcPr>
            <w:tcW w:w="2126" w:type="dxa"/>
            <w:tcBorders>
              <w:top w:val="single" w:sz="4" w:space="0" w:color="auto"/>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2,167</w:t>
            </w:r>
          </w:p>
        </w:tc>
        <w:tc>
          <w:tcPr>
            <w:tcW w:w="851" w:type="dxa"/>
            <w:tcBorders>
              <w:top w:val="single" w:sz="4" w:space="0" w:color="auto"/>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2,785</w:t>
            </w:r>
          </w:p>
        </w:tc>
        <w:tc>
          <w:tcPr>
            <w:tcW w:w="826" w:type="dxa"/>
            <w:tcBorders>
              <w:top w:val="single" w:sz="4" w:space="0" w:color="auto"/>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2,632</w:t>
            </w:r>
          </w:p>
        </w:tc>
      </w:tr>
      <w:tr w:rsidR="005A50CE" w:rsidRPr="00E319CA" w:rsidTr="005A50CE">
        <w:trPr>
          <w:trHeight w:val="227"/>
        </w:trPr>
        <w:tc>
          <w:tcPr>
            <w:tcW w:w="4520" w:type="dxa"/>
            <w:tcBorders>
              <w:top w:val="nil"/>
              <w:left w:val="nil"/>
              <w:bottom w:val="nil"/>
              <w:right w:val="nil"/>
            </w:tcBorders>
            <w:shd w:val="clear" w:color="auto" w:fill="auto"/>
            <w:noWrap/>
            <w:vAlign w:val="bottom"/>
            <w:hideMark/>
          </w:tcPr>
          <w:p w:rsidR="005A50CE" w:rsidRPr="00E319CA" w:rsidRDefault="005A50CE" w:rsidP="005A50CE">
            <w:pPr>
              <w:rPr>
                <w:rFonts w:ascii="Arial" w:hAnsi="Arial" w:cs="Arial"/>
                <w:color w:val="000000"/>
                <w:lang w:val="en-GB" w:eastAsia="fr-FR"/>
              </w:rPr>
            </w:pPr>
            <w:r w:rsidRPr="00E319CA">
              <w:rPr>
                <w:rFonts w:ascii="Arial" w:hAnsi="Arial" w:cs="Arial"/>
                <w:color w:val="000000"/>
                <w:lang w:val="en-GB" w:eastAsia="fr-FR"/>
              </w:rPr>
              <w:t>Total bank debt and notes</w:t>
            </w:r>
          </w:p>
        </w:tc>
        <w:tc>
          <w:tcPr>
            <w:tcW w:w="2126"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539</w:t>
            </w:r>
          </w:p>
        </w:tc>
        <w:tc>
          <w:tcPr>
            <w:tcW w:w="851"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874</w:t>
            </w:r>
          </w:p>
        </w:tc>
        <w:tc>
          <w:tcPr>
            <w:tcW w:w="826" w:type="dxa"/>
            <w:tcBorders>
              <w:top w:val="nil"/>
              <w:left w:val="nil"/>
              <w:bottom w:val="nil"/>
              <w:right w:val="nil"/>
            </w:tcBorders>
            <w:shd w:val="clear" w:color="auto" w:fill="auto"/>
            <w:noWrap/>
            <w:vAlign w:val="bottom"/>
            <w:hideMark/>
          </w:tcPr>
          <w:p w:rsidR="005A50CE" w:rsidRPr="00E319CA" w:rsidRDefault="005A50CE" w:rsidP="005A50CE">
            <w:pPr>
              <w:jc w:val="right"/>
              <w:rPr>
                <w:rFonts w:ascii="Arial" w:hAnsi="Arial" w:cs="Arial"/>
                <w:color w:val="000000"/>
                <w:lang w:val="en-GB" w:eastAsia="fr-FR"/>
              </w:rPr>
            </w:pPr>
            <w:r w:rsidRPr="00E319CA">
              <w:rPr>
                <w:rFonts w:ascii="Arial" w:hAnsi="Arial" w:cs="Arial"/>
                <w:color w:val="000000"/>
                <w:lang w:val="en-GB" w:eastAsia="fr-FR"/>
              </w:rPr>
              <w:t>801</w:t>
            </w:r>
          </w:p>
        </w:tc>
      </w:tr>
    </w:tbl>
    <w:p w:rsidR="00501E46" w:rsidRDefault="00501E46" w:rsidP="005A50CE">
      <w:pPr>
        <w:pStyle w:val="FootnoteText1"/>
        <w:rPr>
          <w:lang w:val="en-GB" w:eastAsia="fr-FR"/>
        </w:rPr>
      </w:pPr>
    </w:p>
    <w:p w:rsidR="005A50CE" w:rsidRPr="00E319CA" w:rsidRDefault="005A50CE" w:rsidP="005A50CE">
      <w:pPr>
        <w:pStyle w:val="FootnoteText1"/>
        <w:rPr>
          <w:lang w:val="en-GB" w:eastAsia="fr-FR"/>
        </w:rPr>
      </w:pPr>
      <w:r w:rsidRPr="00E319CA">
        <w:rPr>
          <w:lang w:val="en-GB" w:eastAsia="fr-FR"/>
        </w:rPr>
        <w:t xml:space="preserve">Source: Adapted from Corus Entertainment, </w:t>
      </w:r>
      <w:r w:rsidRPr="00F405DC">
        <w:rPr>
          <w:lang w:val="en-GB" w:eastAsia="fr-FR"/>
        </w:rPr>
        <w:t>2015 Annual Report</w:t>
      </w:r>
      <w:r w:rsidRPr="00E319CA">
        <w:rPr>
          <w:lang w:val="en-GB" w:eastAsia="fr-FR"/>
        </w:rPr>
        <w:t>, 11, accessed February 2017, www.corusent.com/wp-content/uploads/2015/12/Corus_AR2015_v7_online.pdf.</w:t>
      </w:r>
    </w:p>
    <w:p w:rsidR="005A50CE" w:rsidRPr="00E319CA" w:rsidRDefault="005A50CE" w:rsidP="00382FDC">
      <w:pPr>
        <w:pStyle w:val="BodyTextMain"/>
        <w:rPr>
          <w:lang w:val="en-GB"/>
        </w:rPr>
      </w:pPr>
    </w:p>
    <w:p w:rsidR="00465348" w:rsidRPr="005A50CE" w:rsidRDefault="00465348" w:rsidP="00382FDC">
      <w:pPr>
        <w:pStyle w:val="BodyTextMain"/>
        <w:rPr>
          <w:lang w:val="en-GB"/>
        </w:rPr>
      </w:pPr>
    </w:p>
    <w:sectPr w:rsidR="00465348" w:rsidRPr="005A50CE" w:rsidSect="00751E0B">
      <w:headerReference w:type="default" r:id="rId2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A45" w:rsidRDefault="00262A45" w:rsidP="00D75295">
      <w:r>
        <w:separator/>
      </w:r>
    </w:p>
  </w:endnote>
  <w:endnote w:type="continuationSeparator" w:id="0">
    <w:p w:rsidR="00262A45" w:rsidRDefault="00262A4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A45" w:rsidRDefault="00262A45" w:rsidP="00D75295">
      <w:r>
        <w:separator/>
      </w:r>
    </w:p>
  </w:footnote>
  <w:footnote w:type="continuationSeparator" w:id="0">
    <w:p w:rsidR="00262A45" w:rsidRDefault="00262A45" w:rsidP="00D75295">
      <w:r>
        <w:continuationSeparator/>
      </w:r>
    </w:p>
  </w:footnote>
  <w:footnote w:id="1">
    <w:p w:rsidR="00262A45" w:rsidRDefault="00262A45" w:rsidP="005A50CE">
      <w:pPr>
        <w:pStyle w:val="FootnoteText1"/>
      </w:pPr>
      <w:r>
        <w:rPr>
          <w:rStyle w:val="FootnoteReference"/>
        </w:rPr>
        <w:footnoteRef/>
      </w:r>
      <w:r>
        <w:t xml:space="preserve"> All currency amounts are in Canadian dollars unless otherwise indicated.</w:t>
      </w:r>
    </w:p>
  </w:footnote>
  <w:footnote w:id="2">
    <w:p w:rsidR="00262A45" w:rsidRPr="009B3DE5" w:rsidRDefault="00262A45" w:rsidP="005A50CE">
      <w:pPr>
        <w:pStyle w:val="FootnoteText1"/>
        <w:rPr>
          <w:lang w:val="en-CA"/>
        </w:rPr>
      </w:pPr>
      <w:r w:rsidRPr="009B3DE5">
        <w:rPr>
          <w:rStyle w:val="FootnoteReference"/>
        </w:rPr>
        <w:footnoteRef/>
      </w:r>
      <w:r w:rsidRPr="009B3DE5">
        <w:t xml:space="preserve"> For fiscal </w:t>
      </w:r>
      <w:r>
        <w:t xml:space="preserve">year </w:t>
      </w:r>
      <w:r w:rsidRPr="009B3DE5">
        <w:t>2015</w:t>
      </w:r>
      <w:r>
        <w:t>,</w:t>
      </w:r>
      <w:r w:rsidRPr="009B3DE5">
        <w:t xml:space="preserve"> </w:t>
      </w:r>
      <w:r w:rsidRPr="009B3DE5">
        <w:rPr>
          <w:lang w:val="en-CA"/>
        </w:rPr>
        <w:t>Business Network Services accounted for $520</w:t>
      </w:r>
      <w:r>
        <w:rPr>
          <w:lang w:val="en-CA"/>
        </w:rPr>
        <w:t xml:space="preserve"> million</w:t>
      </w:r>
      <w:r w:rsidRPr="009B3DE5">
        <w:rPr>
          <w:lang w:val="en-CA"/>
        </w:rPr>
        <w:t xml:space="preserve"> of revenue and $246</w:t>
      </w:r>
      <w:r>
        <w:rPr>
          <w:lang w:val="en-CA"/>
        </w:rPr>
        <w:t xml:space="preserve"> million</w:t>
      </w:r>
      <w:r w:rsidRPr="009B3DE5">
        <w:rPr>
          <w:lang w:val="en-CA"/>
        </w:rPr>
        <w:t xml:space="preserve"> of operating income; the remainder was Business Infrastructure Services.</w:t>
      </w:r>
    </w:p>
  </w:footnote>
  <w:footnote w:id="3">
    <w:p w:rsidR="00262A45" w:rsidRPr="009B3DE5" w:rsidRDefault="00262A45" w:rsidP="005A50CE">
      <w:pPr>
        <w:pStyle w:val="FootnoteText1"/>
        <w:rPr>
          <w:lang w:val="en-CA"/>
        </w:rPr>
      </w:pPr>
      <w:r w:rsidRPr="009B3DE5">
        <w:rPr>
          <w:rStyle w:val="FootnoteReference"/>
        </w:rPr>
        <w:footnoteRef/>
      </w:r>
      <w:r w:rsidRPr="009B3DE5">
        <w:t xml:space="preserve"> </w:t>
      </w:r>
      <w:r>
        <w:t xml:space="preserve">The operating income represents income </w:t>
      </w:r>
      <w:r>
        <w:rPr>
          <w:lang w:val="en-CA"/>
        </w:rPr>
        <w:t>b</w:t>
      </w:r>
      <w:r w:rsidRPr="009B3DE5">
        <w:rPr>
          <w:lang w:val="en-CA"/>
        </w:rPr>
        <w:t>efore restructuring and amortization.</w:t>
      </w:r>
    </w:p>
  </w:footnote>
  <w:footnote w:id="4">
    <w:p w:rsidR="00262A45" w:rsidRPr="00B0505D" w:rsidRDefault="00262A45" w:rsidP="005A50CE">
      <w:pPr>
        <w:pStyle w:val="FootnoteText1"/>
        <w:rPr>
          <w:spacing w:val="-2"/>
        </w:rPr>
      </w:pPr>
      <w:r w:rsidRPr="00B0505D">
        <w:rPr>
          <w:rStyle w:val="FootnoteReference"/>
          <w:spacing w:val="-2"/>
        </w:rPr>
        <w:footnoteRef/>
      </w:r>
      <w:r w:rsidRPr="00B0505D">
        <w:rPr>
          <w:spacing w:val="-2"/>
        </w:rPr>
        <w:t xml:space="preserve"> Shaw’s 2.58 million subscribers were split between 1.77 million cable subscribers and 0.81 million satellite subscribers.</w:t>
      </w:r>
    </w:p>
  </w:footnote>
  <w:footnote w:id="5">
    <w:p w:rsidR="00262A45" w:rsidRPr="009B3DE5" w:rsidRDefault="00262A45" w:rsidP="005A50CE">
      <w:pPr>
        <w:pStyle w:val="FootnoteText1"/>
        <w:rPr>
          <w:lang w:val="en-CA"/>
        </w:rPr>
      </w:pPr>
      <w:r w:rsidRPr="009B3DE5">
        <w:rPr>
          <w:rStyle w:val="FootnoteReference"/>
        </w:rPr>
        <w:footnoteRef/>
      </w:r>
      <w:r w:rsidRPr="009B3DE5">
        <w:t xml:space="preserve"> Coaxial connections used a shielded copper wire to carry electrical signals, while optical connections used a </w:t>
      </w:r>
      <w:proofErr w:type="spellStart"/>
      <w:r w:rsidRPr="009B3DE5">
        <w:t>fib</w:t>
      </w:r>
      <w:r>
        <w:t>re</w:t>
      </w:r>
      <w:proofErr w:type="spellEnd"/>
      <w:r>
        <w:t>-</w:t>
      </w:r>
      <w:r w:rsidRPr="009B3DE5">
        <w:t xml:space="preserve">optic cable to transmit signals as pulses of light. </w:t>
      </w:r>
      <w:proofErr w:type="spellStart"/>
      <w:r w:rsidRPr="009B3DE5">
        <w:t>Fib</w:t>
      </w:r>
      <w:r>
        <w:t>re</w:t>
      </w:r>
      <w:proofErr w:type="spellEnd"/>
      <w:r w:rsidRPr="009B3DE5">
        <w:t xml:space="preserve"> provided more bandwidth and could transmit data at higher speeds </w:t>
      </w:r>
      <w:r>
        <w:t xml:space="preserve">and </w:t>
      </w:r>
      <w:r w:rsidRPr="009B3DE5">
        <w:t>over longer distances.</w:t>
      </w:r>
    </w:p>
  </w:footnote>
  <w:footnote w:id="6">
    <w:p w:rsidR="00262A45" w:rsidRPr="009B3DE5" w:rsidRDefault="00262A45" w:rsidP="005A50CE">
      <w:pPr>
        <w:pStyle w:val="FootnoteText1"/>
        <w:rPr>
          <w:lang w:val="en-CA"/>
        </w:rPr>
      </w:pPr>
      <w:r w:rsidRPr="009B3DE5">
        <w:rPr>
          <w:rStyle w:val="FootnoteReference"/>
        </w:rPr>
        <w:footnoteRef/>
      </w:r>
      <w:r w:rsidRPr="009B3DE5">
        <w:t xml:space="preserve"> Broadband Internet was also known as high</w:t>
      </w:r>
      <w:r>
        <w:t>-</w:t>
      </w:r>
      <w:r w:rsidRPr="009B3DE5">
        <w:t xml:space="preserve">speed </w:t>
      </w:r>
      <w:r>
        <w:t>I</w:t>
      </w:r>
      <w:r w:rsidRPr="009B3DE5">
        <w:t>nternet. In Canada</w:t>
      </w:r>
      <w:r>
        <w:t>,</w:t>
      </w:r>
      <w:r w:rsidRPr="009B3DE5">
        <w:t xml:space="preserve"> the average </w:t>
      </w:r>
      <w:r>
        <w:t>I</w:t>
      </w:r>
      <w:r w:rsidRPr="009B3DE5">
        <w:t>nternet speed was</w:t>
      </w:r>
      <w:r>
        <w:t xml:space="preserve"> </w:t>
      </w:r>
      <w:r w:rsidRPr="009B3DE5">
        <w:t xml:space="preserve">12 </w:t>
      </w:r>
      <w:r>
        <w:t>m</w:t>
      </w:r>
      <w:r w:rsidRPr="009B3DE5">
        <w:t>egabits per second.</w:t>
      </w:r>
    </w:p>
  </w:footnote>
  <w:footnote w:id="7">
    <w:p w:rsidR="00262A45" w:rsidRPr="009B3DE5" w:rsidRDefault="00262A45" w:rsidP="005A50CE">
      <w:pPr>
        <w:pStyle w:val="FootnoteText1"/>
        <w:rPr>
          <w:lang w:val="en-CA"/>
        </w:rPr>
      </w:pPr>
      <w:r w:rsidRPr="009B3DE5">
        <w:rPr>
          <w:rStyle w:val="FootnoteReference"/>
        </w:rPr>
        <w:footnoteRef/>
      </w:r>
      <w:r w:rsidRPr="009B3DE5">
        <w:t xml:space="preserve"> </w:t>
      </w:r>
      <w:r w:rsidRPr="009B3DE5">
        <w:rPr>
          <w:lang w:val="en-CA"/>
        </w:rPr>
        <w:t xml:space="preserve">Spectrum </w:t>
      </w:r>
      <w:r>
        <w:rPr>
          <w:lang w:val="en-CA"/>
        </w:rPr>
        <w:t>wa</w:t>
      </w:r>
      <w:r w:rsidRPr="009B3DE5">
        <w:rPr>
          <w:lang w:val="en-CA"/>
        </w:rPr>
        <w:t xml:space="preserve">s licensed by Industry Canada under the </w:t>
      </w:r>
      <w:proofErr w:type="spellStart"/>
      <w:r w:rsidRPr="00445642">
        <w:rPr>
          <w:lang w:val="en-CA"/>
        </w:rPr>
        <w:t>Radiocommunication</w:t>
      </w:r>
      <w:proofErr w:type="spellEnd"/>
      <w:r w:rsidRPr="00445642">
        <w:rPr>
          <w:lang w:val="en-CA"/>
        </w:rPr>
        <w:t xml:space="preserve"> Act</w:t>
      </w:r>
      <w:r w:rsidRPr="009B3DE5">
        <w:rPr>
          <w:lang w:val="en-CA"/>
        </w:rPr>
        <w:t>.</w:t>
      </w:r>
    </w:p>
  </w:footnote>
  <w:footnote w:id="8">
    <w:p w:rsidR="00262A45" w:rsidRPr="009B3DE5" w:rsidRDefault="00262A45" w:rsidP="005A50CE">
      <w:pPr>
        <w:pStyle w:val="FootnoteText1"/>
        <w:rPr>
          <w:lang w:val="en-CA"/>
        </w:rPr>
      </w:pPr>
      <w:r w:rsidRPr="009B3DE5">
        <w:rPr>
          <w:rStyle w:val="FootnoteReference"/>
        </w:rPr>
        <w:footnoteRef/>
      </w:r>
      <w:r w:rsidRPr="009B3DE5">
        <w:t xml:space="preserve"> </w:t>
      </w:r>
      <w:r w:rsidRPr="009B3DE5">
        <w:rPr>
          <w:lang w:val="en-CA"/>
        </w:rPr>
        <w:t xml:space="preserve">Content for channels </w:t>
      </w:r>
      <w:r>
        <w:rPr>
          <w:lang w:val="en-CA"/>
        </w:rPr>
        <w:t>was</w:t>
      </w:r>
      <w:r w:rsidRPr="009B3DE5">
        <w:rPr>
          <w:lang w:val="en-CA"/>
        </w:rPr>
        <w:t xml:space="preserve"> either created by Shaw or produced by a third party</w:t>
      </w:r>
      <w:r>
        <w:rPr>
          <w:lang w:val="en-CA"/>
        </w:rPr>
        <w:t>,</w:t>
      </w:r>
      <w:r w:rsidRPr="009B3DE5">
        <w:rPr>
          <w:lang w:val="en-CA"/>
        </w:rPr>
        <w:t xml:space="preserve"> </w:t>
      </w:r>
      <w:r>
        <w:rPr>
          <w:lang w:val="en-CA"/>
        </w:rPr>
        <w:t>with</w:t>
      </w:r>
      <w:r w:rsidRPr="009B3DE5">
        <w:rPr>
          <w:lang w:val="en-CA"/>
        </w:rPr>
        <w:t xml:space="preserve"> Shaw h</w:t>
      </w:r>
      <w:r>
        <w:rPr>
          <w:lang w:val="en-CA"/>
        </w:rPr>
        <w:t>olding</w:t>
      </w:r>
      <w:r w:rsidRPr="009B3DE5">
        <w:rPr>
          <w:lang w:val="en-CA"/>
        </w:rPr>
        <w:t xml:space="preserve"> the rights to distribution in Canada.</w:t>
      </w:r>
    </w:p>
  </w:footnote>
  <w:footnote w:id="9">
    <w:p w:rsidR="00262A45" w:rsidRPr="009B3DE5" w:rsidRDefault="00262A45" w:rsidP="005A50CE">
      <w:pPr>
        <w:pStyle w:val="FootnoteText1"/>
        <w:rPr>
          <w:lang w:val="en-CA"/>
        </w:rPr>
      </w:pPr>
      <w:r w:rsidRPr="009B3DE5">
        <w:rPr>
          <w:rStyle w:val="FootnoteReference"/>
        </w:rPr>
        <w:footnoteRef/>
      </w:r>
      <w:r w:rsidRPr="009B3DE5">
        <w:t xml:space="preserve"> </w:t>
      </w:r>
      <w:proofErr w:type="spellStart"/>
      <w:r w:rsidRPr="004D5362">
        <w:rPr>
          <w:bCs/>
          <w:lang w:val="en-GB"/>
        </w:rPr>
        <w:t>Vidéotron</w:t>
      </w:r>
      <w:proofErr w:type="spellEnd"/>
      <w:r w:rsidRPr="009B3DE5">
        <w:t xml:space="preserve"> was owned by Quebecor and provided CATV, high-speed </w:t>
      </w:r>
      <w:r>
        <w:t>I</w:t>
      </w:r>
      <w:r w:rsidRPr="009B3DE5">
        <w:t>nternet, mobile phone</w:t>
      </w:r>
      <w:r>
        <w:t>,</w:t>
      </w:r>
      <w:r w:rsidRPr="009B3DE5">
        <w:t xml:space="preserve"> and home phone services</w:t>
      </w:r>
      <w:r>
        <w:t>,</w:t>
      </w:r>
      <w:r w:rsidRPr="009B3DE5">
        <w:t xml:space="preserve"> primarily in the largely francophone province of Quebec.</w:t>
      </w:r>
    </w:p>
  </w:footnote>
  <w:footnote w:id="10">
    <w:p w:rsidR="00CD7D00" w:rsidRDefault="00CD7D00" w:rsidP="00CD7D00">
      <w:pPr>
        <w:pStyle w:val="FootnoteText1"/>
      </w:pPr>
      <w:r>
        <w:rPr>
          <w:rStyle w:val="FootnoteReference"/>
        </w:rPr>
        <w:footnoteRef/>
      </w:r>
      <w:r>
        <w:t xml:space="preserve"> Rogers Communications Inc., </w:t>
      </w:r>
      <w:r w:rsidRPr="00CD7D00">
        <w:rPr>
          <w:i/>
        </w:rPr>
        <w:t>Rogers Communications Inc. 2015 Annual Report</w:t>
      </w:r>
      <w:r>
        <w:t xml:space="preserve">, accessed May 12, 2017, </w:t>
      </w:r>
      <w:r w:rsidRPr="00CD7D00">
        <w:t>http://netstorage-ion.rogers.com/downloads/IR/pdf/annual-reports/Rogers-2015-Annual-Report.pdf</w:t>
      </w:r>
      <w:r>
        <w:t>.</w:t>
      </w:r>
    </w:p>
  </w:footnote>
  <w:footnote w:id="11">
    <w:p w:rsidR="00262A45" w:rsidRPr="009B3DE5" w:rsidRDefault="00262A45" w:rsidP="005A50CE">
      <w:pPr>
        <w:pStyle w:val="FootnoteText1"/>
        <w:rPr>
          <w:lang w:val="en-CA"/>
        </w:rPr>
      </w:pPr>
      <w:r w:rsidRPr="009B3DE5">
        <w:rPr>
          <w:rStyle w:val="FootnoteReference"/>
        </w:rPr>
        <w:footnoteRef/>
      </w:r>
      <w:r w:rsidRPr="009B3DE5">
        <w:t xml:space="preserve"> </w:t>
      </w:r>
      <w:r>
        <w:t xml:space="preserve">The $11.1 billion revenue represented revenues of </w:t>
      </w:r>
      <w:r w:rsidRPr="009B3DE5">
        <w:t>$0.</w:t>
      </w:r>
      <w:r w:rsidRPr="009B3DE5">
        <w:rPr>
          <w:lang w:val="en-CA"/>
        </w:rPr>
        <w:t>5</w:t>
      </w:r>
      <w:r>
        <w:rPr>
          <w:lang w:val="en-CA"/>
        </w:rPr>
        <w:t xml:space="preserve"> billion for</w:t>
      </w:r>
      <w:r w:rsidRPr="009B3DE5">
        <w:rPr>
          <w:lang w:val="en-CA"/>
        </w:rPr>
        <w:t xml:space="preserve"> </w:t>
      </w:r>
      <w:r>
        <w:rPr>
          <w:lang w:val="en-CA"/>
        </w:rPr>
        <w:t>t</w:t>
      </w:r>
      <w:r w:rsidRPr="009B3DE5">
        <w:rPr>
          <w:lang w:val="en-CA"/>
        </w:rPr>
        <w:t>elephone, $1.6</w:t>
      </w:r>
      <w:r>
        <w:rPr>
          <w:lang w:val="en-CA"/>
        </w:rPr>
        <w:t xml:space="preserve"> billion for</w:t>
      </w:r>
      <w:r w:rsidRPr="009B3DE5">
        <w:rPr>
          <w:lang w:val="en-CA"/>
        </w:rPr>
        <w:t xml:space="preserve"> </w:t>
      </w:r>
      <w:r>
        <w:rPr>
          <w:lang w:val="en-CA"/>
        </w:rPr>
        <w:t>t</w:t>
      </w:r>
      <w:r w:rsidRPr="009B3DE5">
        <w:rPr>
          <w:lang w:val="en-CA"/>
        </w:rPr>
        <w:t>elevision, $1.3</w:t>
      </w:r>
      <w:r>
        <w:rPr>
          <w:lang w:val="en-CA"/>
        </w:rPr>
        <w:t xml:space="preserve"> billion for</w:t>
      </w:r>
      <w:r w:rsidRPr="009B3DE5">
        <w:rPr>
          <w:lang w:val="en-CA"/>
        </w:rPr>
        <w:t xml:space="preserve"> Internet, </w:t>
      </w:r>
      <w:r>
        <w:rPr>
          <w:lang w:val="en-CA"/>
        </w:rPr>
        <w:t xml:space="preserve">and </w:t>
      </w:r>
      <w:r w:rsidRPr="009B3DE5">
        <w:rPr>
          <w:lang w:val="en-CA"/>
        </w:rPr>
        <w:t>$7.7</w:t>
      </w:r>
      <w:r>
        <w:rPr>
          <w:lang w:val="en-CA"/>
        </w:rPr>
        <w:t xml:space="preserve"> billion for</w:t>
      </w:r>
      <w:r w:rsidRPr="009B3DE5">
        <w:rPr>
          <w:lang w:val="en-CA"/>
        </w:rPr>
        <w:t xml:space="preserve"> </w:t>
      </w:r>
      <w:r>
        <w:rPr>
          <w:lang w:val="en-CA"/>
        </w:rPr>
        <w:t>w</w:t>
      </w:r>
      <w:r w:rsidRPr="009B3DE5">
        <w:rPr>
          <w:lang w:val="en-CA"/>
        </w:rPr>
        <w:t>ireless</w:t>
      </w:r>
      <w:r>
        <w:rPr>
          <w:lang w:val="en-CA"/>
        </w:rPr>
        <w:t xml:space="preserve"> services</w:t>
      </w:r>
      <w:r w:rsidRPr="009B3DE5">
        <w:rPr>
          <w:lang w:val="en-CA"/>
        </w:rPr>
        <w:t>.</w:t>
      </w:r>
      <w:r w:rsidR="00CD7D00">
        <w:rPr>
          <w:lang w:val="en-CA"/>
        </w:rPr>
        <w:t xml:space="preserve"> </w:t>
      </w:r>
      <w:r w:rsidR="00CD7D00">
        <w:t xml:space="preserve">Rogers Communications Inc., </w:t>
      </w:r>
      <w:r w:rsidR="00CD7D00" w:rsidRPr="00CD7D00">
        <w:rPr>
          <w:i/>
        </w:rPr>
        <w:t>Rogers Communications Inc. 2015 Annual Report</w:t>
      </w:r>
      <w:r w:rsidR="00CD7D00">
        <w:t xml:space="preserve">, accessed May 12, 2017, </w:t>
      </w:r>
      <w:r w:rsidR="00CD7D00" w:rsidRPr="00CD7D00">
        <w:t>http://netstorage-ion.rogers.com/downloads/IR/pdf/annual-reports/Rogers-2015-Annual-Report.pdf</w:t>
      </w:r>
      <w:r w:rsidR="00CD7D00">
        <w:t>.</w:t>
      </w:r>
    </w:p>
  </w:footnote>
  <w:footnote w:id="12">
    <w:p w:rsidR="00262A45" w:rsidRPr="00386C39" w:rsidRDefault="00262A45" w:rsidP="005A50CE">
      <w:pPr>
        <w:pStyle w:val="FootnoteText1"/>
        <w:rPr>
          <w:lang w:val="en-CA"/>
        </w:rPr>
      </w:pPr>
      <w:r>
        <w:rPr>
          <w:rStyle w:val="FootnoteReference"/>
        </w:rPr>
        <w:footnoteRef/>
      </w:r>
      <w:r>
        <w:t xml:space="preserve"> BCE Inc., </w:t>
      </w:r>
      <w:r w:rsidRPr="00CD7D00">
        <w:rPr>
          <w:i/>
        </w:rPr>
        <w:t>Leading the Way in Communications:</w:t>
      </w:r>
      <w:r w:rsidRPr="00CD7D00" w:rsidDel="00E51340">
        <w:rPr>
          <w:i/>
        </w:rPr>
        <w:t xml:space="preserve"> </w:t>
      </w:r>
      <w:r w:rsidRPr="00CD7D00">
        <w:rPr>
          <w:i/>
        </w:rPr>
        <w:t>BCE Inc. 2015 Annual Report</w:t>
      </w:r>
      <w:r>
        <w:t xml:space="preserve">, accessed March 2017, </w:t>
      </w:r>
      <w:r w:rsidRPr="00386C39">
        <w:t>www.bce.ca/investors/AR-2015/2015-bce-annual-report.pdf</w:t>
      </w:r>
      <w:r>
        <w:t>.</w:t>
      </w:r>
    </w:p>
  </w:footnote>
  <w:footnote w:id="13">
    <w:p w:rsidR="009D019C" w:rsidRDefault="009D019C" w:rsidP="009D019C">
      <w:pPr>
        <w:pStyle w:val="FootnoteText1"/>
      </w:pPr>
      <w:r>
        <w:rPr>
          <w:rStyle w:val="FootnoteReference"/>
        </w:rPr>
        <w:footnoteRef/>
      </w:r>
      <w:r>
        <w:t xml:space="preserve"> Christine Dobby, “</w:t>
      </w:r>
      <w:proofErr w:type="spellStart"/>
      <w:r>
        <w:t>Telus</w:t>
      </w:r>
      <w:proofErr w:type="spellEnd"/>
      <w:r>
        <w:t xml:space="preserve"> Proves That Owning Content Not Crucial for Telecoms,” </w:t>
      </w:r>
      <w:r w:rsidRPr="009D019C">
        <w:rPr>
          <w:i/>
        </w:rPr>
        <w:t>Financial Post</w:t>
      </w:r>
      <w:r>
        <w:t xml:space="preserve">, March 25, 2013, accessed May 12, 2017, </w:t>
      </w:r>
      <w:r w:rsidRPr="009D019C">
        <w:t>http://business.financialpost.com/fp-tech-desk/telus-proves-that-owning-content-not-crucial-for-telecoms</w:t>
      </w:r>
    </w:p>
  </w:footnote>
  <w:footnote w:id="14">
    <w:p w:rsidR="00DE4227" w:rsidRDefault="00DE4227" w:rsidP="00DE4227">
      <w:pPr>
        <w:pStyle w:val="FootnoteText1"/>
      </w:pPr>
      <w:r>
        <w:rPr>
          <w:rStyle w:val="FootnoteReference"/>
        </w:rPr>
        <w:footnoteRef/>
      </w:r>
      <w:r>
        <w:t xml:space="preserve"> </w:t>
      </w:r>
      <w:proofErr w:type="spellStart"/>
      <w:r>
        <w:t>Telus</w:t>
      </w:r>
      <w:proofErr w:type="spellEnd"/>
      <w:r>
        <w:t xml:space="preserve"> Communications, 2015 Annual Report, accessed May 12, 2017, </w:t>
      </w:r>
      <w:r w:rsidRPr="00DE4227">
        <w:t>http://about.telus.com/servlet/JiveServlet/previewBody/6010-102-1-6648/TELUS%202015%20Annual%20Report.pdf</w:t>
      </w:r>
    </w:p>
  </w:footnote>
  <w:footnote w:id="15">
    <w:p w:rsidR="00DE4227" w:rsidRDefault="00DE4227" w:rsidP="00D70282">
      <w:pPr>
        <w:pStyle w:val="FootnoteText1"/>
      </w:pPr>
      <w:r>
        <w:rPr>
          <w:rStyle w:val="FootnoteReference"/>
        </w:rPr>
        <w:footnoteRef/>
      </w:r>
      <w:r>
        <w:t xml:space="preserve"> Aaron </w:t>
      </w:r>
      <w:proofErr w:type="spellStart"/>
      <w:r>
        <w:t>Saltman</w:t>
      </w:r>
      <w:proofErr w:type="spellEnd"/>
      <w:r>
        <w:t xml:space="preserve">, </w:t>
      </w:r>
      <w:r w:rsidR="00D70282">
        <w:t>“</w:t>
      </w:r>
      <w:r>
        <w:t>Why Canadians are Spending More on Wireless and Internet Services,</w:t>
      </w:r>
      <w:r w:rsidR="00D70282">
        <w:t xml:space="preserve">” </w:t>
      </w:r>
      <w:r w:rsidR="00D70282" w:rsidRPr="00D70282">
        <w:rPr>
          <w:i/>
        </w:rPr>
        <w:t>CBC News</w:t>
      </w:r>
      <w:r w:rsidR="00D70282">
        <w:t xml:space="preserve">, October 25, 2015, accessed May 12, 2017,  </w:t>
      </w:r>
      <w:r w:rsidR="00D70282" w:rsidRPr="00D70282">
        <w:t>www.cbc.ca/news/business/crtc-communications-costs-1.3285809</w:t>
      </w:r>
    </w:p>
  </w:footnote>
  <w:footnote w:id="16">
    <w:p w:rsidR="00262A45" w:rsidRPr="009B3DE5" w:rsidRDefault="00262A45" w:rsidP="005A50CE">
      <w:pPr>
        <w:pStyle w:val="FootnoteText1"/>
        <w:rPr>
          <w:lang w:val="en-CA"/>
        </w:rPr>
      </w:pPr>
      <w:r w:rsidRPr="009B3DE5">
        <w:rPr>
          <w:rStyle w:val="FootnoteReference"/>
        </w:rPr>
        <w:footnoteRef/>
      </w:r>
      <w:r w:rsidRPr="009B3DE5">
        <w:t xml:space="preserve"> </w:t>
      </w:r>
      <w:r>
        <w:t xml:space="preserve">Although </w:t>
      </w:r>
      <w:r>
        <w:rPr>
          <w:lang w:val="en-CA"/>
        </w:rPr>
        <w:t>s</w:t>
      </w:r>
      <w:r w:rsidRPr="009B3DE5">
        <w:rPr>
          <w:lang w:val="en-CA"/>
        </w:rPr>
        <w:t>treaming large amounts of good</w:t>
      </w:r>
      <w:r>
        <w:rPr>
          <w:lang w:val="en-CA"/>
        </w:rPr>
        <w:t>-</w:t>
      </w:r>
      <w:r w:rsidRPr="009B3DE5">
        <w:rPr>
          <w:lang w:val="en-CA"/>
        </w:rPr>
        <w:t>quality video over the latest</w:t>
      </w:r>
      <w:r>
        <w:rPr>
          <w:lang w:val="en-CA"/>
        </w:rPr>
        <w:t>-</w:t>
      </w:r>
      <w:r w:rsidRPr="009B3DE5">
        <w:rPr>
          <w:lang w:val="en-CA"/>
        </w:rPr>
        <w:t xml:space="preserve">generation cellular networks </w:t>
      </w:r>
      <w:r>
        <w:rPr>
          <w:lang w:val="en-CA"/>
        </w:rPr>
        <w:t>was</w:t>
      </w:r>
      <w:r w:rsidRPr="009B3DE5">
        <w:rPr>
          <w:lang w:val="en-CA"/>
        </w:rPr>
        <w:t xml:space="preserve"> feasible</w:t>
      </w:r>
      <w:r>
        <w:rPr>
          <w:lang w:val="en-CA"/>
        </w:rPr>
        <w:t>, it</w:t>
      </w:r>
      <w:r w:rsidRPr="009B3DE5">
        <w:rPr>
          <w:lang w:val="en-CA"/>
        </w:rPr>
        <w:t xml:space="preserve"> was still prohibitively expensive for large amounts of video content.</w:t>
      </w:r>
    </w:p>
  </w:footnote>
  <w:footnote w:id="17">
    <w:p w:rsidR="00D70282" w:rsidRDefault="00D70282" w:rsidP="00D70282">
      <w:pPr>
        <w:pStyle w:val="FootnoteText1"/>
      </w:pPr>
      <w:r>
        <w:rPr>
          <w:rStyle w:val="FootnoteReference"/>
        </w:rPr>
        <w:footnoteRef/>
      </w:r>
      <w:r>
        <w:t xml:space="preserve"> Ellen </w:t>
      </w:r>
      <w:proofErr w:type="spellStart"/>
      <w:r>
        <w:t>Roseman</w:t>
      </w:r>
      <w:proofErr w:type="spellEnd"/>
      <w:r>
        <w:t xml:space="preserve">, “Why Do Phone, Internet and TV Service Prices Keep Rising?,” </w:t>
      </w:r>
      <w:r w:rsidRPr="00D70282">
        <w:rPr>
          <w:i/>
        </w:rPr>
        <w:t>Toronto Star</w:t>
      </w:r>
      <w:r>
        <w:t xml:space="preserve">, January 11, 2016, accessed May 12, 2017, </w:t>
      </w:r>
      <w:r w:rsidRPr="00D70282">
        <w:t>https://www.thestar.com/business/personal_finance/spending_saving/2016/01/11/why-do-phone-internet-and-tv-service-prices-keep-rising-roseman.html</w:t>
      </w:r>
    </w:p>
  </w:footnote>
  <w:footnote w:id="18">
    <w:p w:rsidR="00262A45" w:rsidRPr="00B0505D" w:rsidRDefault="00262A45" w:rsidP="005A50CE">
      <w:pPr>
        <w:pStyle w:val="FootnoteText1"/>
        <w:rPr>
          <w:spacing w:val="-2"/>
          <w:lang w:val="en-CA"/>
        </w:rPr>
      </w:pPr>
      <w:r w:rsidRPr="00B0505D">
        <w:rPr>
          <w:rStyle w:val="FootnoteReference"/>
          <w:spacing w:val="-2"/>
        </w:rPr>
        <w:footnoteRef/>
      </w:r>
      <w:r w:rsidRPr="00B0505D">
        <w:rPr>
          <w:spacing w:val="-2"/>
        </w:rPr>
        <w:t xml:space="preserve"> “Walt Disney Market Cap,” </w:t>
      </w:r>
      <w:proofErr w:type="spellStart"/>
      <w:r w:rsidRPr="00B0505D">
        <w:rPr>
          <w:spacing w:val="-2"/>
        </w:rPr>
        <w:t>YCharts</w:t>
      </w:r>
      <w:proofErr w:type="spellEnd"/>
      <w:r w:rsidRPr="00B0505D">
        <w:rPr>
          <w:spacing w:val="-2"/>
        </w:rPr>
        <w:t xml:space="preserve">, accessed February 9, 2016, https://ycharts.com/companies/DIS/market_cap. </w:t>
      </w:r>
    </w:p>
  </w:footnote>
  <w:footnote w:id="19">
    <w:p w:rsidR="00262A45" w:rsidRPr="00B0505D" w:rsidRDefault="00262A45" w:rsidP="005A50CE">
      <w:pPr>
        <w:pStyle w:val="FootnoteText1"/>
        <w:rPr>
          <w:spacing w:val="-2"/>
        </w:rPr>
      </w:pPr>
      <w:r w:rsidRPr="00B0505D">
        <w:rPr>
          <w:rStyle w:val="FootnoteReference"/>
          <w:spacing w:val="-2"/>
        </w:rPr>
        <w:footnoteRef/>
      </w:r>
      <w:r w:rsidRPr="00B0505D">
        <w:rPr>
          <w:spacing w:val="-2"/>
        </w:rPr>
        <w:t xml:space="preserve"> Corus Entertainment Inc., Notice of Special Meeting and Management Information Circular for the Special Meeting of Shareholders Regarding the Proposed Acquisition of Shaw Media Inc. March 9, 2016, February 9, 2016, accessed March 4, 2017, www.corusent.com/wp-content/uploads/2016/02/corus_management_inf_circular.pdf. </w:t>
      </w:r>
    </w:p>
  </w:footnote>
  <w:footnote w:id="20">
    <w:p w:rsidR="00262A45" w:rsidRPr="009717E3" w:rsidRDefault="00262A45" w:rsidP="005A50CE">
      <w:pPr>
        <w:pStyle w:val="FootnoteText1"/>
        <w:rPr>
          <w:lang w:val="en-CA"/>
        </w:rPr>
      </w:pPr>
      <w:r>
        <w:rPr>
          <w:rStyle w:val="FootnoteReference"/>
        </w:rPr>
        <w:footnoteRef/>
      </w:r>
      <w:r>
        <w:t xml:space="preserve"> </w:t>
      </w:r>
      <w:proofErr w:type="spellStart"/>
      <w:r>
        <w:rPr>
          <w:lang w:val="en-CA"/>
        </w:rPr>
        <w:t>Vidéotron</w:t>
      </w:r>
      <w:proofErr w:type="spellEnd"/>
      <w:r>
        <w:rPr>
          <w:lang w:val="en-CA"/>
        </w:rPr>
        <w:t xml:space="preserve"> also owned </w:t>
      </w:r>
      <w:r w:rsidR="00D70282">
        <w:rPr>
          <w:lang w:val="en-CA"/>
        </w:rPr>
        <w:t xml:space="preserve">French </w:t>
      </w:r>
      <w:r>
        <w:rPr>
          <w:lang w:val="en-CA"/>
        </w:rPr>
        <w:t>content.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A45" w:rsidRPr="00C92CC4" w:rsidRDefault="00262A4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78B4">
      <w:rPr>
        <w:rFonts w:ascii="Arial" w:hAnsi="Arial"/>
        <w:b/>
        <w:noProof/>
      </w:rPr>
      <w:t>2</w:t>
    </w:r>
    <w:r>
      <w:rPr>
        <w:rFonts w:ascii="Arial" w:hAnsi="Arial"/>
        <w:b/>
      </w:rPr>
      <w:fldChar w:fldCharType="end"/>
    </w:r>
    <w:r>
      <w:rPr>
        <w:rFonts w:ascii="Arial" w:hAnsi="Arial"/>
        <w:b/>
      </w:rPr>
      <w:tab/>
      <w:t>9B17M072</w:t>
    </w:r>
  </w:p>
  <w:p w:rsidR="00262A45" w:rsidRDefault="00262A45" w:rsidP="00D13667">
    <w:pPr>
      <w:pStyle w:val="Header"/>
      <w:tabs>
        <w:tab w:val="clear" w:pos="4680"/>
      </w:tabs>
      <w:rPr>
        <w:sz w:val="18"/>
        <w:szCs w:val="18"/>
      </w:rPr>
    </w:pPr>
  </w:p>
  <w:p w:rsidR="00262A45" w:rsidRPr="00C92CC4" w:rsidRDefault="00262A45"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50B2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A4E42A4"/>
    <w:lvl w:ilvl="0">
      <w:start w:val="1"/>
      <w:numFmt w:val="decimal"/>
      <w:lvlText w:val="%1."/>
      <w:lvlJc w:val="left"/>
      <w:pPr>
        <w:tabs>
          <w:tab w:val="num" w:pos="1800"/>
        </w:tabs>
        <w:ind w:left="1800" w:hanging="360"/>
      </w:pPr>
    </w:lvl>
  </w:abstractNum>
  <w:abstractNum w:abstractNumId="2">
    <w:nsid w:val="FFFFFF7D"/>
    <w:multiLevelType w:val="singleLevel"/>
    <w:tmpl w:val="EAB8395C"/>
    <w:lvl w:ilvl="0">
      <w:start w:val="1"/>
      <w:numFmt w:val="decimal"/>
      <w:lvlText w:val="%1."/>
      <w:lvlJc w:val="left"/>
      <w:pPr>
        <w:tabs>
          <w:tab w:val="num" w:pos="1440"/>
        </w:tabs>
        <w:ind w:left="1440" w:hanging="360"/>
      </w:pPr>
    </w:lvl>
  </w:abstractNum>
  <w:abstractNum w:abstractNumId="3">
    <w:nsid w:val="FFFFFF7E"/>
    <w:multiLevelType w:val="singleLevel"/>
    <w:tmpl w:val="2C2288EA"/>
    <w:lvl w:ilvl="0">
      <w:start w:val="1"/>
      <w:numFmt w:val="decimal"/>
      <w:lvlText w:val="%1."/>
      <w:lvlJc w:val="left"/>
      <w:pPr>
        <w:tabs>
          <w:tab w:val="num" w:pos="1080"/>
        </w:tabs>
        <w:ind w:left="1080" w:hanging="360"/>
      </w:pPr>
    </w:lvl>
  </w:abstractNum>
  <w:abstractNum w:abstractNumId="4">
    <w:nsid w:val="FFFFFF7F"/>
    <w:multiLevelType w:val="singleLevel"/>
    <w:tmpl w:val="DF7AE510"/>
    <w:lvl w:ilvl="0">
      <w:start w:val="1"/>
      <w:numFmt w:val="decimal"/>
      <w:lvlText w:val="%1."/>
      <w:lvlJc w:val="left"/>
      <w:pPr>
        <w:tabs>
          <w:tab w:val="num" w:pos="720"/>
        </w:tabs>
        <w:ind w:left="720" w:hanging="360"/>
      </w:pPr>
    </w:lvl>
  </w:abstractNum>
  <w:abstractNum w:abstractNumId="5">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12479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C3056A8"/>
    <w:lvl w:ilvl="0">
      <w:start w:val="1"/>
      <w:numFmt w:val="decimal"/>
      <w:lvlText w:val="%1."/>
      <w:lvlJc w:val="left"/>
      <w:pPr>
        <w:tabs>
          <w:tab w:val="num" w:pos="360"/>
        </w:tabs>
        <w:ind w:left="360" w:hanging="360"/>
      </w:pPr>
    </w:lvl>
  </w:abstractNum>
  <w:abstractNum w:abstractNumId="10">
    <w:nsid w:val="FFFFFF89"/>
    <w:multiLevelType w:val="singleLevel"/>
    <w:tmpl w:val="A886C47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2D7B89"/>
    <w:multiLevelType w:val="singleLevel"/>
    <w:tmpl w:val="0409000F"/>
    <w:lvl w:ilvl="0">
      <w:start w:val="1"/>
      <w:numFmt w:val="decimal"/>
      <w:lvlText w:val="%1."/>
      <w:lvlJc w:val="left"/>
      <w:pPr>
        <w:tabs>
          <w:tab w:val="num" w:pos="360"/>
        </w:tabs>
        <w:ind w:left="360" w:hanging="360"/>
      </w:pPr>
    </w:lvl>
  </w:abstractNum>
  <w:abstractNum w:abstractNumId="27">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1F734E"/>
    <w:multiLevelType w:val="hybridMultilevel"/>
    <w:tmpl w:val="A0763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03D490A"/>
    <w:multiLevelType w:val="hybridMultilevel"/>
    <w:tmpl w:val="6DC81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7"/>
  </w:num>
  <w:num w:numId="3">
    <w:abstractNumId w:val="35"/>
  </w:num>
  <w:num w:numId="4">
    <w:abstractNumId w:val="17"/>
  </w:num>
  <w:num w:numId="5">
    <w:abstractNumId w:val="28"/>
  </w:num>
  <w:num w:numId="6">
    <w:abstractNumId w:val="33"/>
  </w:num>
  <w:num w:numId="7">
    <w:abstractNumId w:val="25"/>
  </w:num>
  <w:num w:numId="8">
    <w:abstractNumId w:val="34"/>
  </w:num>
  <w:num w:numId="9">
    <w:abstractNumId w:val="14"/>
  </w:num>
  <w:num w:numId="10">
    <w:abstractNumId w:val="21"/>
  </w:num>
  <w:num w:numId="11">
    <w:abstractNumId w:val="15"/>
  </w:num>
  <w:num w:numId="12">
    <w:abstractNumId w:val="40"/>
  </w:num>
  <w:num w:numId="13">
    <w:abstractNumId w:val="18"/>
  </w:num>
  <w:num w:numId="14">
    <w:abstractNumId w:val="32"/>
  </w:num>
  <w:num w:numId="15">
    <w:abstractNumId w:val="41"/>
  </w:num>
  <w:num w:numId="16">
    <w:abstractNumId w:val="20"/>
  </w:num>
  <w:num w:numId="17">
    <w:abstractNumId w:val="27"/>
  </w:num>
  <w:num w:numId="18">
    <w:abstractNumId w:val="19"/>
  </w:num>
  <w:num w:numId="19">
    <w:abstractNumId w:val="23"/>
  </w:num>
  <w:num w:numId="20">
    <w:abstractNumId w:val="39"/>
  </w:num>
  <w:num w:numId="21">
    <w:abstractNumId w:val="29"/>
  </w:num>
  <w:num w:numId="22">
    <w:abstractNumId w:val="30"/>
  </w:num>
  <w:num w:numId="23">
    <w:abstractNumId w:val="13"/>
  </w:num>
  <w:num w:numId="24">
    <w:abstractNumId w:val="16"/>
  </w:num>
  <w:num w:numId="25">
    <w:abstractNumId w:val="42"/>
  </w:num>
  <w:num w:numId="26">
    <w:abstractNumId w:val="43"/>
  </w:num>
  <w:num w:numId="27">
    <w:abstractNumId w:val="22"/>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6"/>
  </w:num>
  <w:num w:numId="39">
    <w:abstractNumId w:val="26"/>
  </w:num>
  <w:num w:numId="40">
    <w:abstractNumId w:val="0"/>
  </w:num>
  <w:num w:numId="41">
    <w:abstractNumId w:val="11"/>
  </w:num>
  <w:num w:numId="42">
    <w:abstractNumId w:val="12"/>
  </w:num>
  <w:num w:numId="43">
    <w:abstractNumId w:val="38"/>
  </w:num>
  <w:num w:numId="44">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62A45"/>
    <w:rsid w:val="002F460C"/>
    <w:rsid w:val="002F48D6"/>
    <w:rsid w:val="00317391"/>
    <w:rsid w:val="00326216"/>
    <w:rsid w:val="00336580"/>
    <w:rsid w:val="00354899"/>
    <w:rsid w:val="00355FD6"/>
    <w:rsid w:val="00364A5C"/>
    <w:rsid w:val="00373FB1"/>
    <w:rsid w:val="00382FDC"/>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01E46"/>
    <w:rsid w:val="005160F1"/>
    <w:rsid w:val="00524F2F"/>
    <w:rsid w:val="00527E5C"/>
    <w:rsid w:val="00532CF5"/>
    <w:rsid w:val="005528CB"/>
    <w:rsid w:val="00566771"/>
    <w:rsid w:val="00581E2E"/>
    <w:rsid w:val="00584F15"/>
    <w:rsid w:val="0059514B"/>
    <w:rsid w:val="005A1B0F"/>
    <w:rsid w:val="005A50CE"/>
    <w:rsid w:val="005D78B4"/>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928B2"/>
    <w:rsid w:val="007A130D"/>
    <w:rsid w:val="007D1A2D"/>
    <w:rsid w:val="007D4102"/>
    <w:rsid w:val="007F43B7"/>
    <w:rsid w:val="00821FFC"/>
    <w:rsid w:val="008271CA"/>
    <w:rsid w:val="00830CE7"/>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D019C"/>
    <w:rsid w:val="009F7AA4"/>
    <w:rsid w:val="00A10AD7"/>
    <w:rsid w:val="00A40CEF"/>
    <w:rsid w:val="00A559DB"/>
    <w:rsid w:val="00A569EA"/>
    <w:rsid w:val="00AF35FC"/>
    <w:rsid w:val="00AF5556"/>
    <w:rsid w:val="00AF745C"/>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D7D00"/>
    <w:rsid w:val="00D03A82"/>
    <w:rsid w:val="00D13667"/>
    <w:rsid w:val="00D15344"/>
    <w:rsid w:val="00D23F57"/>
    <w:rsid w:val="00D31BEC"/>
    <w:rsid w:val="00D62BC0"/>
    <w:rsid w:val="00D63150"/>
    <w:rsid w:val="00D636BA"/>
    <w:rsid w:val="00D644CF"/>
    <w:rsid w:val="00D64A32"/>
    <w:rsid w:val="00D64EFC"/>
    <w:rsid w:val="00D70282"/>
    <w:rsid w:val="00D75295"/>
    <w:rsid w:val="00D76CE9"/>
    <w:rsid w:val="00D97F12"/>
    <w:rsid w:val="00DA6095"/>
    <w:rsid w:val="00DB42E7"/>
    <w:rsid w:val="00DE01A6"/>
    <w:rsid w:val="00DE4227"/>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5A50CE"/>
    <w:pPr>
      <w:jc w:val="both"/>
    </w:pPr>
    <w:rPr>
      <w:sz w:val="22"/>
      <w:szCs w:val="22"/>
    </w:rPr>
  </w:style>
  <w:style w:type="character" w:customStyle="1" w:styleId="BodyTextMainChar">
    <w:name w:val="Body Text Main Char"/>
    <w:basedOn w:val="DefaultParagraphFont"/>
    <w:link w:val="BodyTextMain"/>
    <w:rsid w:val="005A50CE"/>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382FD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71"/>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5A50CE"/>
    <w:pPr>
      <w:jc w:val="both"/>
    </w:pPr>
    <w:rPr>
      <w:sz w:val="24"/>
      <w:u w:val="single"/>
    </w:rPr>
  </w:style>
  <w:style w:type="paragraph" w:styleId="DocumentMap">
    <w:name w:val="Document Map"/>
    <w:basedOn w:val="Normal"/>
    <w:link w:val="DocumentMapChar"/>
    <w:semiHidden/>
    <w:unhideWhenUsed/>
    <w:rsid w:val="005A50CE"/>
    <w:rPr>
      <w:sz w:val="24"/>
      <w:szCs w:val="24"/>
    </w:rPr>
  </w:style>
  <w:style w:type="character" w:customStyle="1" w:styleId="DocumentMapChar">
    <w:name w:val="Document Map Char"/>
    <w:basedOn w:val="DefaultParagraphFont"/>
    <w:link w:val="DocumentMap"/>
    <w:semiHidden/>
    <w:rsid w:val="005A50CE"/>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5A50CE"/>
    <w:pPr>
      <w:spacing w:after="0" w:line="240" w:lineRule="auto"/>
    </w:pPr>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DefaultParagraphFont"/>
    <w:uiPriority w:val="99"/>
    <w:semiHidden/>
    <w:unhideWhenUsed/>
    <w:rsid w:val="005A50CE"/>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5A50CE"/>
    <w:pPr>
      <w:jc w:val="both"/>
    </w:pPr>
    <w:rPr>
      <w:sz w:val="22"/>
      <w:szCs w:val="22"/>
    </w:rPr>
  </w:style>
  <w:style w:type="character" w:customStyle="1" w:styleId="BodyTextMainChar">
    <w:name w:val="Body Text Main Char"/>
    <w:basedOn w:val="DefaultParagraphFont"/>
    <w:link w:val="BodyTextMain"/>
    <w:rsid w:val="005A50CE"/>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382FD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71"/>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5A50CE"/>
    <w:pPr>
      <w:jc w:val="both"/>
    </w:pPr>
    <w:rPr>
      <w:sz w:val="24"/>
      <w:u w:val="single"/>
    </w:rPr>
  </w:style>
  <w:style w:type="paragraph" w:styleId="DocumentMap">
    <w:name w:val="Document Map"/>
    <w:basedOn w:val="Normal"/>
    <w:link w:val="DocumentMapChar"/>
    <w:semiHidden/>
    <w:unhideWhenUsed/>
    <w:rsid w:val="005A50CE"/>
    <w:rPr>
      <w:sz w:val="24"/>
      <w:szCs w:val="24"/>
    </w:rPr>
  </w:style>
  <w:style w:type="character" w:customStyle="1" w:styleId="DocumentMapChar">
    <w:name w:val="Document Map Char"/>
    <w:basedOn w:val="DefaultParagraphFont"/>
    <w:link w:val="DocumentMap"/>
    <w:semiHidden/>
    <w:rsid w:val="005A50CE"/>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5A50CE"/>
    <w:pPr>
      <w:spacing w:after="0" w:line="240" w:lineRule="auto"/>
    </w:pPr>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DefaultParagraphFont"/>
    <w:uiPriority w:val="99"/>
    <w:semiHidden/>
    <w:unhideWhenUsed/>
    <w:rsid w:val="005A50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openxmlformats.org/officeDocument/2006/relationships/hyperlink" Target="http://quote.morningstar" TargetMode="Externa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hyperlink" Target="http://quote.morningstar.ca/Quicktakes/stock/keyratios.aspx?t=BCE&amp;region=CAN&amp;culture=en-CA&amp;ops=clear" TargetMode="External"/><Relationship Id="rId10" Type="http://schemas.openxmlformats.org/officeDocument/2006/relationships/hyperlink" Target="mailto:cases@ivey.ca" TargetMode="External"/><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hyperlink" Target="http://quote.morningstar.ca/Quicktakes/stock/keyratios.aspx?t=T&amp;region=CAN&amp;culture=en-CA&amp;ops=clear"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erem\Google%20Drive\SubscriberSta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embeddings/oleObject4.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1" Type="http://schemas.openxmlformats.org/officeDocument/2006/relationships/oleObject" Target="file:///C:\Users\jerem\Google%20Drive\SubscriberSta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5.xml.rels><?xml version="1.0" encoding="UTF-8" standalone="yes"?>
<Relationships xmlns="http://schemas.openxmlformats.org/package/2006/relationships"><Relationship Id="rId1" Type="http://schemas.openxmlformats.org/officeDocument/2006/relationships/oleObject" Target="file:///C:\Users\jerem\Google%20Drive\SubscriberSta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7.xml.rels><?xml version="1.0" encoding="UTF-8" standalone="yes"?>
<Relationships xmlns="http://schemas.openxmlformats.org/package/2006/relationships"><Relationship Id="rId1" Type="http://schemas.openxmlformats.org/officeDocument/2006/relationships/oleObject" Target="file:///C:\Users\jerem\Google%20Drive\SubscriberSta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erem\Google%20Drive\shawchannel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Users\rewhite-local\Downloads\table-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Sheet1!$O$19</c:f>
              <c:strCache>
                <c:ptCount val="1"/>
                <c:pt idx="0">
                  <c:v>Rogers</c:v>
                </c:pt>
              </c:strCache>
            </c:strRef>
          </c:tx>
          <c:invertIfNegative val="0"/>
          <c:cat>
            <c:numRef>
              <c:f>Sheet1!$P$18:$T$18</c:f>
              <c:numCache>
                <c:formatCode>General</c:formatCode>
                <c:ptCount val="5"/>
                <c:pt idx="0">
                  <c:v>2011</c:v>
                </c:pt>
                <c:pt idx="1">
                  <c:v>2012</c:v>
                </c:pt>
                <c:pt idx="2">
                  <c:v>2013</c:v>
                </c:pt>
                <c:pt idx="3">
                  <c:v>2014</c:v>
                </c:pt>
                <c:pt idx="4">
                  <c:v>2015</c:v>
                </c:pt>
              </c:numCache>
            </c:numRef>
          </c:cat>
          <c:val>
            <c:numRef>
              <c:f>Sheet1!$P$19:$T$19</c:f>
              <c:numCache>
                <c:formatCode>General</c:formatCode>
                <c:ptCount val="5"/>
                <c:pt idx="0">
                  <c:v>2.2999999999999998</c:v>
                </c:pt>
                <c:pt idx="1">
                  <c:v>2.2000000000000002</c:v>
                </c:pt>
                <c:pt idx="2">
                  <c:v>2.1</c:v>
                </c:pt>
                <c:pt idx="3">
                  <c:v>2</c:v>
                </c:pt>
                <c:pt idx="4">
                  <c:v>1.9</c:v>
                </c:pt>
              </c:numCache>
            </c:numRef>
          </c:val>
          <c:extLst xmlns:c16r2="http://schemas.microsoft.com/office/drawing/2015/06/chart">
            <c:ext xmlns:c16="http://schemas.microsoft.com/office/drawing/2014/chart" uri="{C3380CC4-5D6E-409C-BE32-E72D297353CC}">
              <c16:uniqueId val="{00000000-025F-45D3-863E-86E1F642A622}"/>
            </c:ext>
          </c:extLst>
        </c:ser>
        <c:ser>
          <c:idx val="1"/>
          <c:order val="1"/>
          <c:tx>
            <c:strRef>
              <c:f>Sheet1!$O$20</c:f>
              <c:strCache>
                <c:ptCount val="1"/>
                <c:pt idx="0">
                  <c:v>Bell</c:v>
                </c:pt>
              </c:strCache>
            </c:strRef>
          </c:tx>
          <c:invertIfNegative val="0"/>
          <c:cat>
            <c:numRef>
              <c:f>Sheet1!$P$18:$T$18</c:f>
              <c:numCache>
                <c:formatCode>General</c:formatCode>
                <c:ptCount val="5"/>
                <c:pt idx="0">
                  <c:v>2011</c:v>
                </c:pt>
                <c:pt idx="1">
                  <c:v>2012</c:v>
                </c:pt>
                <c:pt idx="2">
                  <c:v>2013</c:v>
                </c:pt>
                <c:pt idx="3">
                  <c:v>2014</c:v>
                </c:pt>
                <c:pt idx="4">
                  <c:v>2015</c:v>
                </c:pt>
              </c:numCache>
            </c:numRef>
          </c:cat>
          <c:val>
            <c:numRef>
              <c:f>Sheet1!$P$20:$T$20</c:f>
              <c:numCache>
                <c:formatCode>General</c:formatCode>
                <c:ptCount val="5"/>
                <c:pt idx="0">
                  <c:v>2.2000000000000002</c:v>
                </c:pt>
                <c:pt idx="1">
                  <c:v>2.2999999999999998</c:v>
                </c:pt>
                <c:pt idx="2">
                  <c:v>2.5</c:v>
                </c:pt>
                <c:pt idx="3">
                  <c:v>2.6</c:v>
                </c:pt>
                <c:pt idx="4">
                  <c:v>2.7</c:v>
                </c:pt>
              </c:numCache>
            </c:numRef>
          </c:val>
          <c:extLst xmlns:c16r2="http://schemas.microsoft.com/office/drawing/2015/06/chart">
            <c:ext xmlns:c16="http://schemas.microsoft.com/office/drawing/2014/chart" uri="{C3380CC4-5D6E-409C-BE32-E72D297353CC}">
              <c16:uniqueId val="{00000001-025F-45D3-863E-86E1F642A622}"/>
            </c:ext>
          </c:extLst>
        </c:ser>
        <c:ser>
          <c:idx val="2"/>
          <c:order val="2"/>
          <c:tx>
            <c:strRef>
              <c:f>Sheet1!$O$21</c:f>
              <c:strCache>
                <c:ptCount val="1"/>
                <c:pt idx="0">
                  <c:v>TELUS</c:v>
                </c:pt>
              </c:strCache>
            </c:strRef>
          </c:tx>
          <c:invertIfNegative val="0"/>
          <c:cat>
            <c:numRef>
              <c:f>Sheet1!$P$18:$T$18</c:f>
              <c:numCache>
                <c:formatCode>General</c:formatCode>
                <c:ptCount val="5"/>
                <c:pt idx="0">
                  <c:v>2011</c:v>
                </c:pt>
                <c:pt idx="1">
                  <c:v>2012</c:v>
                </c:pt>
                <c:pt idx="2">
                  <c:v>2013</c:v>
                </c:pt>
                <c:pt idx="3">
                  <c:v>2014</c:v>
                </c:pt>
                <c:pt idx="4">
                  <c:v>2015</c:v>
                </c:pt>
              </c:numCache>
            </c:numRef>
          </c:cat>
          <c:val>
            <c:numRef>
              <c:f>Sheet1!$P$21:$T$21</c:f>
              <c:numCache>
                <c:formatCode>General</c:formatCode>
                <c:ptCount val="5"/>
                <c:pt idx="0">
                  <c:v>0.5</c:v>
                </c:pt>
                <c:pt idx="1">
                  <c:v>0.7</c:v>
                </c:pt>
                <c:pt idx="2">
                  <c:v>0.8</c:v>
                </c:pt>
                <c:pt idx="3">
                  <c:v>0.9</c:v>
                </c:pt>
                <c:pt idx="4">
                  <c:v>1</c:v>
                </c:pt>
              </c:numCache>
            </c:numRef>
          </c:val>
          <c:extLst xmlns:c16r2="http://schemas.microsoft.com/office/drawing/2015/06/chart">
            <c:ext xmlns:c16="http://schemas.microsoft.com/office/drawing/2014/chart" uri="{C3380CC4-5D6E-409C-BE32-E72D297353CC}">
              <c16:uniqueId val="{00000002-025F-45D3-863E-86E1F642A622}"/>
            </c:ext>
          </c:extLst>
        </c:ser>
        <c:ser>
          <c:idx val="3"/>
          <c:order val="3"/>
          <c:tx>
            <c:strRef>
              <c:f>Sheet1!$O$22</c:f>
              <c:strCache>
                <c:ptCount val="1"/>
                <c:pt idx="0">
                  <c:v>Shaw</c:v>
                </c:pt>
              </c:strCache>
            </c:strRef>
          </c:tx>
          <c:spPr>
            <a:solidFill>
              <a:schemeClr val="tx1"/>
            </a:solidFill>
          </c:spPr>
          <c:invertIfNegative val="0"/>
          <c:cat>
            <c:numRef>
              <c:f>Sheet1!$P$18:$T$18</c:f>
              <c:numCache>
                <c:formatCode>General</c:formatCode>
                <c:ptCount val="5"/>
                <c:pt idx="0">
                  <c:v>2011</c:v>
                </c:pt>
                <c:pt idx="1">
                  <c:v>2012</c:v>
                </c:pt>
                <c:pt idx="2">
                  <c:v>2013</c:v>
                </c:pt>
                <c:pt idx="3">
                  <c:v>2014</c:v>
                </c:pt>
                <c:pt idx="4">
                  <c:v>2015</c:v>
                </c:pt>
              </c:numCache>
            </c:numRef>
          </c:cat>
          <c:val>
            <c:numRef>
              <c:f>Sheet1!$P$22:$T$22</c:f>
              <c:numCache>
                <c:formatCode>General</c:formatCode>
                <c:ptCount val="5"/>
                <c:pt idx="0">
                  <c:v>3.3</c:v>
                </c:pt>
                <c:pt idx="1">
                  <c:v>3.1</c:v>
                </c:pt>
                <c:pt idx="2">
                  <c:v>2.9</c:v>
                </c:pt>
                <c:pt idx="3">
                  <c:v>2.8</c:v>
                </c:pt>
                <c:pt idx="4">
                  <c:v>2.6</c:v>
                </c:pt>
              </c:numCache>
            </c:numRef>
          </c:val>
          <c:extLst xmlns:c16r2="http://schemas.microsoft.com/office/drawing/2015/06/chart">
            <c:ext xmlns:c16="http://schemas.microsoft.com/office/drawing/2014/chart" uri="{C3380CC4-5D6E-409C-BE32-E72D297353CC}">
              <c16:uniqueId val="{00000003-025F-45D3-863E-86E1F642A622}"/>
            </c:ext>
          </c:extLst>
        </c:ser>
        <c:dLbls>
          <c:showLegendKey val="0"/>
          <c:showVal val="0"/>
          <c:showCatName val="0"/>
          <c:showSerName val="0"/>
          <c:showPercent val="0"/>
          <c:showBubbleSize val="0"/>
        </c:dLbls>
        <c:gapWidth val="150"/>
        <c:axId val="122489856"/>
        <c:axId val="155702400"/>
      </c:barChart>
      <c:catAx>
        <c:axId val="122489856"/>
        <c:scaling>
          <c:orientation val="minMax"/>
        </c:scaling>
        <c:delete val="0"/>
        <c:axPos val="b"/>
        <c:numFmt formatCode="General" sourceLinked="1"/>
        <c:majorTickMark val="out"/>
        <c:minorTickMark val="none"/>
        <c:tickLblPos val="nextTo"/>
        <c:crossAx val="155702400"/>
        <c:crosses val="autoZero"/>
        <c:auto val="1"/>
        <c:lblAlgn val="ctr"/>
        <c:lblOffset val="100"/>
        <c:noMultiLvlLbl val="0"/>
      </c:catAx>
      <c:valAx>
        <c:axId val="155702400"/>
        <c:scaling>
          <c:orientation val="minMax"/>
        </c:scaling>
        <c:delete val="0"/>
        <c:axPos val="l"/>
        <c:majorGridlines/>
        <c:numFmt formatCode="General" sourceLinked="1"/>
        <c:majorTickMark val="out"/>
        <c:minorTickMark val="none"/>
        <c:tickLblPos val="nextTo"/>
        <c:crossAx val="122489856"/>
        <c:crosses val="autoZero"/>
        <c:crossBetween val="between"/>
      </c:valAx>
    </c:plotArea>
    <c:legend>
      <c:legendPos val="r"/>
      <c:overlay val="0"/>
    </c:legend>
    <c:plotVisOnly val="1"/>
    <c:dispBlanksAs val="gap"/>
    <c:showDLblsOverMax val="0"/>
  </c:chart>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Corus (B)</a:t>
            </a:r>
          </a:p>
        </c:rich>
      </c:tx>
      <c:overlay val="0"/>
      <c:spPr>
        <a:noFill/>
        <a:ln>
          <a:noFill/>
        </a:ln>
        <a:effectLst/>
      </c:spPr>
    </c:title>
    <c:autoTitleDeleted val="0"/>
    <c:plotArea>
      <c:layout>
        <c:manualLayout>
          <c:layoutTarget val="inner"/>
          <c:xMode val="edge"/>
          <c:yMode val="edge"/>
          <c:x val="8.6527996500437507E-2"/>
          <c:y val="0.16858814523184601"/>
          <c:w val="0.88847200349956301"/>
          <c:h val="0.72608778069407998"/>
        </c:manualLayout>
      </c:layout>
      <c:lineChart>
        <c:grouping val="standard"/>
        <c:varyColors val="0"/>
        <c:ser>
          <c:idx val="0"/>
          <c:order val="0"/>
          <c:tx>
            <c:strRef>
              <c:f>table!$G$1</c:f>
              <c:strCache>
                <c:ptCount val="1"/>
                <c:pt idx="0">
                  <c:v>Adj Close</c:v>
                </c:pt>
              </c:strCache>
            </c:strRef>
          </c:tx>
          <c:spPr>
            <a:ln w="28575" cap="rnd">
              <a:solidFill>
                <a:schemeClr val="tx1"/>
              </a:solidFill>
              <a:round/>
            </a:ln>
            <a:effectLst/>
          </c:spPr>
          <c:marker>
            <c:symbol val="none"/>
          </c:marker>
          <c:dPt>
            <c:idx val="42"/>
            <c:bubble3D val="0"/>
            <c:extLst xmlns:c16r2="http://schemas.microsoft.com/office/drawing/2015/06/chart">
              <c:ext xmlns:c16="http://schemas.microsoft.com/office/drawing/2014/chart" uri="{C3380CC4-5D6E-409C-BE32-E72D297353CC}">
                <c16:uniqueId val="{00000000-61CA-4EAC-9438-1D82178DE6D3}"/>
              </c:ext>
            </c:extLst>
          </c:dPt>
          <c:cat>
            <c:numRef>
              <c:f>table!$A$2:$A$73</c:f>
              <c:numCache>
                <c:formatCode>m/d/yy</c:formatCode>
                <c:ptCount val="72"/>
                <c:pt idx="0">
                  <c:v>42339</c:v>
                </c:pt>
                <c:pt idx="1">
                  <c:v>42310</c:v>
                </c:pt>
                <c:pt idx="2">
                  <c:v>42278</c:v>
                </c:pt>
                <c:pt idx="3">
                  <c:v>42248</c:v>
                </c:pt>
                <c:pt idx="4">
                  <c:v>42219</c:v>
                </c:pt>
                <c:pt idx="5">
                  <c:v>42186</c:v>
                </c:pt>
                <c:pt idx="6">
                  <c:v>42156</c:v>
                </c:pt>
                <c:pt idx="7">
                  <c:v>42125</c:v>
                </c:pt>
                <c:pt idx="8">
                  <c:v>42095</c:v>
                </c:pt>
                <c:pt idx="9">
                  <c:v>42065</c:v>
                </c:pt>
                <c:pt idx="10">
                  <c:v>42037</c:v>
                </c:pt>
                <c:pt idx="11">
                  <c:v>42005</c:v>
                </c:pt>
                <c:pt idx="12">
                  <c:v>41974</c:v>
                </c:pt>
                <c:pt idx="13">
                  <c:v>41946</c:v>
                </c:pt>
                <c:pt idx="14">
                  <c:v>41913</c:v>
                </c:pt>
                <c:pt idx="15">
                  <c:v>41883</c:v>
                </c:pt>
                <c:pt idx="16">
                  <c:v>41852</c:v>
                </c:pt>
                <c:pt idx="17">
                  <c:v>41821</c:v>
                </c:pt>
                <c:pt idx="18">
                  <c:v>41792</c:v>
                </c:pt>
                <c:pt idx="19">
                  <c:v>41760</c:v>
                </c:pt>
                <c:pt idx="20">
                  <c:v>41730</c:v>
                </c:pt>
                <c:pt idx="21">
                  <c:v>41701</c:v>
                </c:pt>
                <c:pt idx="22">
                  <c:v>41673</c:v>
                </c:pt>
                <c:pt idx="23">
                  <c:v>41640</c:v>
                </c:pt>
                <c:pt idx="24">
                  <c:v>41610</c:v>
                </c:pt>
                <c:pt idx="25">
                  <c:v>41579</c:v>
                </c:pt>
                <c:pt idx="26">
                  <c:v>41548</c:v>
                </c:pt>
                <c:pt idx="27">
                  <c:v>41519</c:v>
                </c:pt>
                <c:pt idx="28">
                  <c:v>41487</c:v>
                </c:pt>
                <c:pt idx="29">
                  <c:v>41456</c:v>
                </c:pt>
                <c:pt idx="30">
                  <c:v>41428</c:v>
                </c:pt>
                <c:pt idx="31">
                  <c:v>41395</c:v>
                </c:pt>
                <c:pt idx="32">
                  <c:v>41365</c:v>
                </c:pt>
                <c:pt idx="33">
                  <c:v>41334</c:v>
                </c:pt>
                <c:pt idx="34">
                  <c:v>41306</c:v>
                </c:pt>
                <c:pt idx="35">
                  <c:v>41275</c:v>
                </c:pt>
                <c:pt idx="36">
                  <c:v>41246</c:v>
                </c:pt>
                <c:pt idx="37">
                  <c:v>41214</c:v>
                </c:pt>
                <c:pt idx="38">
                  <c:v>41183</c:v>
                </c:pt>
                <c:pt idx="39">
                  <c:v>41155</c:v>
                </c:pt>
                <c:pt idx="40">
                  <c:v>41122</c:v>
                </c:pt>
                <c:pt idx="41">
                  <c:v>41092</c:v>
                </c:pt>
                <c:pt idx="42">
                  <c:v>41061</c:v>
                </c:pt>
                <c:pt idx="43">
                  <c:v>41030</c:v>
                </c:pt>
                <c:pt idx="44">
                  <c:v>41001</c:v>
                </c:pt>
                <c:pt idx="45">
                  <c:v>40969</c:v>
                </c:pt>
                <c:pt idx="46">
                  <c:v>40940</c:v>
                </c:pt>
                <c:pt idx="47">
                  <c:v>40910</c:v>
                </c:pt>
                <c:pt idx="48">
                  <c:v>40878</c:v>
                </c:pt>
                <c:pt idx="49">
                  <c:v>40848</c:v>
                </c:pt>
                <c:pt idx="50">
                  <c:v>40819</c:v>
                </c:pt>
                <c:pt idx="51">
                  <c:v>40787</c:v>
                </c:pt>
                <c:pt idx="52">
                  <c:v>40757</c:v>
                </c:pt>
                <c:pt idx="53">
                  <c:v>40728</c:v>
                </c:pt>
                <c:pt idx="54">
                  <c:v>40695</c:v>
                </c:pt>
                <c:pt idx="55">
                  <c:v>40665</c:v>
                </c:pt>
                <c:pt idx="56">
                  <c:v>40634</c:v>
                </c:pt>
                <c:pt idx="57">
                  <c:v>40603</c:v>
                </c:pt>
                <c:pt idx="58">
                  <c:v>40575</c:v>
                </c:pt>
                <c:pt idx="59">
                  <c:v>40547</c:v>
                </c:pt>
                <c:pt idx="60">
                  <c:v>40513</c:v>
                </c:pt>
                <c:pt idx="61">
                  <c:v>40483</c:v>
                </c:pt>
                <c:pt idx="62">
                  <c:v>40452</c:v>
                </c:pt>
                <c:pt idx="63">
                  <c:v>40422</c:v>
                </c:pt>
                <c:pt idx="64">
                  <c:v>40393</c:v>
                </c:pt>
                <c:pt idx="65">
                  <c:v>40361</c:v>
                </c:pt>
                <c:pt idx="66">
                  <c:v>40330</c:v>
                </c:pt>
                <c:pt idx="67">
                  <c:v>40301</c:v>
                </c:pt>
                <c:pt idx="68">
                  <c:v>40269</c:v>
                </c:pt>
                <c:pt idx="69">
                  <c:v>40238</c:v>
                </c:pt>
                <c:pt idx="70">
                  <c:v>40210</c:v>
                </c:pt>
                <c:pt idx="71">
                  <c:v>40182</c:v>
                </c:pt>
              </c:numCache>
            </c:numRef>
          </c:cat>
          <c:val>
            <c:numRef>
              <c:f>table!$G$2:$G$73</c:f>
              <c:numCache>
                <c:formatCode>General</c:formatCode>
                <c:ptCount val="72"/>
                <c:pt idx="0">
                  <c:v>9.1470000000000002</c:v>
                </c:pt>
                <c:pt idx="1">
                  <c:v>9.4540000000000006</c:v>
                </c:pt>
                <c:pt idx="2">
                  <c:v>11.16</c:v>
                </c:pt>
                <c:pt idx="3">
                  <c:v>12.541</c:v>
                </c:pt>
                <c:pt idx="4">
                  <c:v>12.616</c:v>
                </c:pt>
                <c:pt idx="5">
                  <c:v>12.316000000000001</c:v>
                </c:pt>
                <c:pt idx="6">
                  <c:v>14.531000000000001</c:v>
                </c:pt>
                <c:pt idx="7">
                  <c:v>15.29</c:v>
                </c:pt>
                <c:pt idx="8">
                  <c:v>15.994</c:v>
                </c:pt>
                <c:pt idx="9">
                  <c:v>16.501000000000001</c:v>
                </c:pt>
                <c:pt idx="10">
                  <c:v>18.565000000000001</c:v>
                </c:pt>
                <c:pt idx="11">
                  <c:v>18.341000000000001</c:v>
                </c:pt>
                <c:pt idx="12">
                  <c:v>19.43</c:v>
                </c:pt>
                <c:pt idx="13">
                  <c:v>18.297999999999991</c:v>
                </c:pt>
                <c:pt idx="14">
                  <c:v>17.414000000000001</c:v>
                </c:pt>
                <c:pt idx="15">
                  <c:v>20.806000000000001</c:v>
                </c:pt>
                <c:pt idx="16">
                  <c:v>20.379000000000001</c:v>
                </c:pt>
                <c:pt idx="17">
                  <c:v>20.013999999999999</c:v>
                </c:pt>
                <c:pt idx="18">
                  <c:v>20.658999999999999</c:v>
                </c:pt>
                <c:pt idx="19">
                  <c:v>20.66</c:v>
                </c:pt>
                <c:pt idx="20">
                  <c:v>20.225999999999999</c:v>
                </c:pt>
                <c:pt idx="21">
                  <c:v>19.977</c:v>
                </c:pt>
                <c:pt idx="22">
                  <c:v>20.433</c:v>
                </c:pt>
                <c:pt idx="23">
                  <c:v>20.09</c:v>
                </c:pt>
                <c:pt idx="24">
                  <c:v>20.823</c:v>
                </c:pt>
                <c:pt idx="25">
                  <c:v>19.687999999999999</c:v>
                </c:pt>
                <c:pt idx="26">
                  <c:v>19.536999999999999</c:v>
                </c:pt>
                <c:pt idx="27">
                  <c:v>19.838999999999999</c:v>
                </c:pt>
                <c:pt idx="28">
                  <c:v>20.164000000000001</c:v>
                </c:pt>
                <c:pt idx="29">
                  <c:v>19.777000000000001</c:v>
                </c:pt>
                <c:pt idx="30">
                  <c:v>19.114999999999998</c:v>
                </c:pt>
                <c:pt idx="31">
                  <c:v>18.974</c:v>
                </c:pt>
                <c:pt idx="32">
                  <c:v>19.484000000000002</c:v>
                </c:pt>
                <c:pt idx="33">
                  <c:v>20.533999999999999</c:v>
                </c:pt>
                <c:pt idx="34">
                  <c:v>19.887</c:v>
                </c:pt>
                <c:pt idx="35">
                  <c:v>19.443999999999999</c:v>
                </c:pt>
                <c:pt idx="36">
                  <c:v>19.100000000000001</c:v>
                </c:pt>
                <c:pt idx="37">
                  <c:v>17.704000000000001</c:v>
                </c:pt>
                <c:pt idx="38">
                  <c:v>17.449000000000002</c:v>
                </c:pt>
                <c:pt idx="39">
                  <c:v>17.588000000000001</c:v>
                </c:pt>
                <c:pt idx="40">
                  <c:v>17.742999999999981</c:v>
                </c:pt>
                <c:pt idx="41">
                  <c:v>17.329000000000001</c:v>
                </c:pt>
                <c:pt idx="42">
                  <c:v>17.445</c:v>
                </c:pt>
                <c:pt idx="43">
                  <c:v>17.824000000000009</c:v>
                </c:pt>
                <c:pt idx="44">
                  <c:v>18.414999999999999</c:v>
                </c:pt>
                <c:pt idx="45">
                  <c:v>17.895</c:v>
                </c:pt>
                <c:pt idx="46">
                  <c:v>16.419</c:v>
                </c:pt>
                <c:pt idx="47">
                  <c:v>15.579000000000001</c:v>
                </c:pt>
                <c:pt idx="48">
                  <c:v>15.292999999999999</c:v>
                </c:pt>
                <c:pt idx="49">
                  <c:v>14.063000000000001</c:v>
                </c:pt>
                <c:pt idx="50">
                  <c:v>14.121</c:v>
                </c:pt>
                <c:pt idx="51">
                  <c:v>14.554</c:v>
                </c:pt>
                <c:pt idx="52">
                  <c:v>14.946</c:v>
                </c:pt>
                <c:pt idx="53">
                  <c:v>15.682</c:v>
                </c:pt>
                <c:pt idx="54">
                  <c:v>14.984</c:v>
                </c:pt>
                <c:pt idx="55">
                  <c:v>14.792</c:v>
                </c:pt>
                <c:pt idx="56">
                  <c:v>14.413</c:v>
                </c:pt>
                <c:pt idx="57">
                  <c:v>14.927</c:v>
                </c:pt>
                <c:pt idx="58">
                  <c:v>15.819000000000001</c:v>
                </c:pt>
                <c:pt idx="59">
                  <c:v>16.128</c:v>
                </c:pt>
                <c:pt idx="60">
                  <c:v>15.87</c:v>
                </c:pt>
                <c:pt idx="61">
                  <c:v>14.967000000000001</c:v>
                </c:pt>
                <c:pt idx="62">
                  <c:v>15.685</c:v>
                </c:pt>
                <c:pt idx="63">
                  <c:v>15.351000000000001</c:v>
                </c:pt>
                <c:pt idx="64">
                  <c:v>13.803000000000001</c:v>
                </c:pt>
                <c:pt idx="65">
                  <c:v>13.724</c:v>
                </c:pt>
                <c:pt idx="66">
                  <c:v>13.244</c:v>
                </c:pt>
                <c:pt idx="67">
                  <c:v>14.005000000000001</c:v>
                </c:pt>
                <c:pt idx="68">
                  <c:v>14.349</c:v>
                </c:pt>
                <c:pt idx="69">
                  <c:v>13.891999999999999</c:v>
                </c:pt>
                <c:pt idx="70">
                  <c:v>12.585000000000001</c:v>
                </c:pt>
                <c:pt idx="71">
                  <c:v>12.946999999999999</c:v>
                </c:pt>
              </c:numCache>
            </c:numRef>
          </c:val>
          <c:smooth val="0"/>
          <c:extLst xmlns:c16r2="http://schemas.microsoft.com/office/drawing/2015/06/chart">
            <c:ext xmlns:c16="http://schemas.microsoft.com/office/drawing/2014/chart" uri="{C3380CC4-5D6E-409C-BE32-E72D297353CC}">
              <c16:uniqueId val="{00000001-61CA-4EAC-9438-1D82178DE6D3}"/>
            </c:ext>
          </c:extLst>
        </c:ser>
        <c:dLbls>
          <c:showLegendKey val="0"/>
          <c:showVal val="0"/>
          <c:showCatName val="0"/>
          <c:showSerName val="0"/>
          <c:showPercent val="0"/>
          <c:showBubbleSize val="0"/>
        </c:dLbls>
        <c:marker val="1"/>
        <c:smooth val="0"/>
        <c:axId val="160383744"/>
        <c:axId val="160385280"/>
      </c:lineChart>
      <c:dateAx>
        <c:axId val="160383744"/>
        <c:scaling>
          <c:orientation val="minMax"/>
        </c:scaling>
        <c:delete val="0"/>
        <c:axPos val="b"/>
        <c:numFmt formatCode="yyyy/mm" sourceLinked="0"/>
        <c:majorTickMark val="out"/>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60385280"/>
        <c:crosses val="autoZero"/>
        <c:auto val="1"/>
        <c:lblOffset val="100"/>
        <c:baseTimeUnit val="months"/>
        <c:majorUnit val="1"/>
        <c:majorTimeUnit val="years"/>
        <c:minorUnit val="6"/>
        <c:minorTimeUnit val="months"/>
      </c:dateAx>
      <c:valAx>
        <c:axId val="16038528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vert="horz"/>
          <a:lstStyle/>
          <a:p>
            <a:pPr>
              <a:defRPr/>
            </a:pPr>
            <a:endParaRPr lang="en-US"/>
          </a:p>
        </c:txPr>
        <c:crossAx val="16038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Sheet1!$W$78</c:f>
              <c:strCache>
                <c:ptCount val="1"/>
                <c:pt idx="0">
                  <c:v>weekly viewing hours</c:v>
                </c:pt>
              </c:strCache>
            </c:strRef>
          </c:tx>
          <c:invertIfNegative val="0"/>
          <c:cat>
            <c:numRef>
              <c:f>Sheet1!$X$77:$AA$77</c:f>
              <c:numCache>
                <c:formatCode>General</c:formatCode>
                <c:ptCount val="4"/>
                <c:pt idx="0">
                  <c:v>2011</c:v>
                </c:pt>
                <c:pt idx="1">
                  <c:v>2012</c:v>
                </c:pt>
                <c:pt idx="2">
                  <c:v>2013</c:v>
                </c:pt>
                <c:pt idx="3">
                  <c:v>2014</c:v>
                </c:pt>
              </c:numCache>
            </c:numRef>
          </c:cat>
          <c:val>
            <c:numRef>
              <c:f>Sheet1!$X$78:$AA$78</c:f>
              <c:numCache>
                <c:formatCode>General</c:formatCode>
                <c:ptCount val="4"/>
                <c:pt idx="0">
                  <c:v>29.8</c:v>
                </c:pt>
                <c:pt idx="1">
                  <c:v>29.5</c:v>
                </c:pt>
                <c:pt idx="2">
                  <c:v>29.3</c:v>
                </c:pt>
                <c:pt idx="3">
                  <c:v>29</c:v>
                </c:pt>
              </c:numCache>
            </c:numRef>
          </c:val>
          <c:extLst xmlns:c16r2="http://schemas.microsoft.com/office/drawing/2015/06/chart">
            <c:ext xmlns:c16="http://schemas.microsoft.com/office/drawing/2014/chart" uri="{C3380CC4-5D6E-409C-BE32-E72D297353CC}">
              <c16:uniqueId val="{00000000-82BA-4232-AC04-33F39388C03A}"/>
            </c:ext>
          </c:extLst>
        </c:ser>
        <c:dLbls>
          <c:showLegendKey val="0"/>
          <c:showVal val="0"/>
          <c:showCatName val="0"/>
          <c:showSerName val="0"/>
          <c:showPercent val="0"/>
          <c:showBubbleSize val="0"/>
        </c:dLbls>
        <c:gapWidth val="150"/>
        <c:axId val="156246784"/>
        <c:axId val="156248320"/>
      </c:barChart>
      <c:catAx>
        <c:axId val="156246784"/>
        <c:scaling>
          <c:orientation val="minMax"/>
        </c:scaling>
        <c:delete val="0"/>
        <c:axPos val="b"/>
        <c:numFmt formatCode="General" sourceLinked="1"/>
        <c:majorTickMark val="out"/>
        <c:minorTickMark val="none"/>
        <c:tickLblPos val="nextTo"/>
        <c:crossAx val="156248320"/>
        <c:crosses val="autoZero"/>
        <c:auto val="1"/>
        <c:lblAlgn val="ctr"/>
        <c:lblOffset val="100"/>
        <c:noMultiLvlLbl val="0"/>
      </c:catAx>
      <c:valAx>
        <c:axId val="156248320"/>
        <c:scaling>
          <c:orientation val="minMax"/>
          <c:max val="30"/>
          <c:min val="25"/>
        </c:scaling>
        <c:delete val="0"/>
        <c:axPos val="l"/>
        <c:majorGridlines/>
        <c:numFmt formatCode="General" sourceLinked="1"/>
        <c:majorTickMark val="out"/>
        <c:minorTickMark val="none"/>
        <c:tickLblPos val="nextTo"/>
        <c:crossAx val="156246784"/>
        <c:crosses val="autoZero"/>
        <c:crossBetween val="between"/>
      </c:valAx>
    </c:plotArea>
    <c:plotVisOnly val="1"/>
    <c:dispBlanksAs val="gap"/>
    <c:showDLblsOverMax val="0"/>
  </c:chart>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Sheet1!$H$19</c:f>
              <c:strCache>
                <c:ptCount val="1"/>
                <c:pt idx="0">
                  <c:v>Rogers</c:v>
                </c:pt>
              </c:strCache>
            </c:strRef>
          </c:tx>
          <c:invertIfNegative val="0"/>
          <c:cat>
            <c:numRef>
              <c:f>Sheet1!$I$18:$M$18</c:f>
              <c:numCache>
                <c:formatCode>General</c:formatCode>
                <c:ptCount val="5"/>
                <c:pt idx="0">
                  <c:v>2011</c:v>
                </c:pt>
                <c:pt idx="1">
                  <c:v>2012</c:v>
                </c:pt>
                <c:pt idx="2">
                  <c:v>2013</c:v>
                </c:pt>
                <c:pt idx="3">
                  <c:v>2014</c:v>
                </c:pt>
                <c:pt idx="4">
                  <c:v>2015</c:v>
                </c:pt>
              </c:numCache>
            </c:numRef>
          </c:cat>
          <c:val>
            <c:numRef>
              <c:f>Sheet1!$I$19:$M$19</c:f>
              <c:numCache>
                <c:formatCode>General</c:formatCode>
                <c:ptCount val="5"/>
                <c:pt idx="0">
                  <c:v>1.8</c:v>
                </c:pt>
                <c:pt idx="1">
                  <c:v>1.9</c:v>
                </c:pt>
                <c:pt idx="2">
                  <c:v>2</c:v>
                </c:pt>
                <c:pt idx="3">
                  <c:v>2.0099999999999998</c:v>
                </c:pt>
                <c:pt idx="4">
                  <c:v>2.0499999999999998</c:v>
                </c:pt>
              </c:numCache>
            </c:numRef>
          </c:val>
          <c:extLst xmlns:c16r2="http://schemas.microsoft.com/office/drawing/2015/06/chart">
            <c:ext xmlns:c16="http://schemas.microsoft.com/office/drawing/2014/chart" uri="{C3380CC4-5D6E-409C-BE32-E72D297353CC}">
              <c16:uniqueId val="{00000000-6897-41DA-9509-BDED4101ADDC}"/>
            </c:ext>
          </c:extLst>
        </c:ser>
        <c:ser>
          <c:idx val="1"/>
          <c:order val="1"/>
          <c:tx>
            <c:strRef>
              <c:f>Sheet1!$H$20</c:f>
              <c:strCache>
                <c:ptCount val="1"/>
                <c:pt idx="0">
                  <c:v>Bell</c:v>
                </c:pt>
              </c:strCache>
            </c:strRef>
          </c:tx>
          <c:invertIfNegative val="0"/>
          <c:cat>
            <c:numRef>
              <c:f>Sheet1!$I$18:$M$18</c:f>
              <c:numCache>
                <c:formatCode>General</c:formatCode>
                <c:ptCount val="5"/>
                <c:pt idx="0">
                  <c:v>2011</c:v>
                </c:pt>
                <c:pt idx="1">
                  <c:v>2012</c:v>
                </c:pt>
                <c:pt idx="2">
                  <c:v>2013</c:v>
                </c:pt>
                <c:pt idx="3">
                  <c:v>2014</c:v>
                </c:pt>
                <c:pt idx="4">
                  <c:v>2015</c:v>
                </c:pt>
              </c:numCache>
            </c:numRef>
          </c:cat>
          <c:val>
            <c:numRef>
              <c:f>Sheet1!$I$20:$M$20</c:f>
              <c:numCache>
                <c:formatCode>General</c:formatCode>
                <c:ptCount val="5"/>
                <c:pt idx="0">
                  <c:v>3</c:v>
                </c:pt>
                <c:pt idx="1">
                  <c:v>3</c:v>
                </c:pt>
                <c:pt idx="2">
                  <c:v>3.1</c:v>
                </c:pt>
                <c:pt idx="3">
                  <c:v>3.3</c:v>
                </c:pt>
                <c:pt idx="4">
                  <c:v>3.4</c:v>
                </c:pt>
              </c:numCache>
            </c:numRef>
          </c:val>
          <c:extLst xmlns:c16r2="http://schemas.microsoft.com/office/drawing/2015/06/chart">
            <c:ext xmlns:c16="http://schemas.microsoft.com/office/drawing/2014/chart" uri="{C3380CC4-5D6E-409C-BE32-E72D297353CC}">
              <c16:uniqueId val="{00000001-6897-41DA-9509-BDED4101ADDC}"/>
            </c:ext>
          </c:extLst>
        </c:ser>
        <c:ser>
          <c:idx val="2"/>
          <c:order val="2"/>
          <c:tx>
            <c:strRef>
              <c:f>Sheet1!$H$21</c:f>
              <c:strCache>
                <c:ptCount val="1"/>
                <c:pt idx="0">
                  <c:v>TELUS</c:v>
                </c:pt>
              </c:strCache>
            </c:strRef>
          </c:tx>
          <c:invertIfNegative val="0"/>
          <c:cat>
            <c:numRef>
              <c:f>Sheet1!$I$18:$M$18</c:f>
              <c:numCache>
                <c:formatCode>General</c:formatCode>
                <c:ptCount val="5"/>
                <c:pt idx="0">
                  <c:v>2011</c:v>
                </c:pt>
                <c:pt idx="1">
                  <c:v>2012</c:v>
                </c:pt>
                <c:pt idx="2">
                  <c:v>2013</c:v>
                </c:pt>
                <c:pt idx="3">
                  <c:v>2014</c:v>
                </c:pt>
                <c:pt idx="4">
                  <c:v>2015</c:v>
                </c:pt>
              </c:numCache>
            </c:numRef>
          </c:cat>
          <c:val>
            <c:numRef>
              <c:f>Sheet1!$I$21:$M$21</c:f>
              <c:numCache>
                <c:formatCode>General</c:formatCode>
                <c:ptCount val="5"/>
                <c:pt idx="0">
                  <c:v>1.3</c:v>
                </c:pt>
                <c:pt idx="1">
                  <c:v>1.3</c:v>
                </c:pt>
                <c:pt idx="2">
                  <c:v>1.4</c:v>
                </c:pt>
                <c:pt idx="3">
                  <c:v>1.5</c:v>
                </c:pt>
                <c:pt idx="4">
                  <c:v>1.6</c:v>
                </c:pt>
              </c:numCache>
            </c:numRef>
          </c:val>
          <c:extLst xmlns:c16r2="http://schemas.microsoft.com/office/drawing/2015/06/chart">
            <c:ext xmlns:c16="http://schemas.microsoft.com/office/drawing/2014/chart" uri="{C3380CC4-5D6E-409C-BE32-E72D297353CC}">
              <c16:uniqueId val="{00000002-6897-41DA-9509-BDED4101ADDC}"/>
            </c:ext>
          </c:extLst>
        </c:ser>
        <c:ser>
          <c:idx val="3"/>
          <c:order val="3"/>
          <c:tx>
            <c:strRef>
              <c:f>Sheet1!$H$22</c:f>
              <c:strCache>
                <c:ptCount val="1"/>
                <c:pt idx="0">
                  <c:v>Shaw</c:v>
                </c:pt>
              </c:strCache>
            </c:strRef>
          </c:tx>
          <c:spPr>
            <a:solidFill>
              <a:schemeClr val="tx1"/>
            </a:solidFill>
          </c:spPr>
          <c:invertIfNegative val="0"/>
          <c:cat>
            <c:numRef>
              <c:f>Sheet1!$I$18:$M$18</c:f>
              <c:numCache>
                <c:formatCode>General</c:formatCode>
                <c:ptCount val="5"/>
                <c:pt idx="0">
                  <c:v>2011</c:v>
                </c:pt>
                <c:pt idx="1">
                  <c:v>2012</c:v>
                </c:pt>
                <c:pt idx="2">
                  <c:v>2013</c:v>
                </c:pt>
                <c:pt idx="3">
                  <c:v>2014</c:v>
                </c:pt>
                <c:pt idx="4">
                  <c:v>2015</c:v>
                </c:pt>
              </c:numCache>
            </c:numRef>
          </c:cat>
          <c:val>
            <c:numRef>
              <c:f>Sheet1!$I$22:$M$22</c:f>
              <c:numCache>
                <c:formatCode>General</c:formatCode>
                <c:ptCount val="5"/>
                <c:pt idx="0">
                  <c:v>1.6</c:v>
                </c:pt>
                <c:pt idx="1">
                  <c:v>1.7</c:v>
                </c:pt>
                <c:pt idx="2">
                  <c:v>1.7</c:v>
                </c:pt>
                <c:pt idx="3">
                  <c:v>1.8</c:v>
                </c:pt>
                <c:pt idx="4">
                  <c:v>1.8</c:v>
                </c:pt>
              </c:numCache>
            </c:numRef>
          </c:val>
          <c:extLst xmlns:c16r2="http://schemas.microsoft.com/office/drawing/2015/06/chart">
            <c:ext xmlns:c16="http://schemas.microsoft.com/office/drawing/2014/chart" uri="{C3380CC4-5D6E-409C-BE32-E72D297353CC}">
              <c16:uniqueId val="{00000003-6897-41DA-9509-BDED4101ADDC}"/>
            </c:ext>
          </c:extLst>
        </c:ser>
        <c:dLbls>
          <c:showLegendKey val="0"/>
          <c:showVal val="0"/>
          <c:showCatName val="0"/>
          <c:showSerName val="0"/>
          <c:showPercent val="0"/>
          <c:showBubbleSize val="0"/>
        </c:dLbls>
        <c:gapWidth val="150"/>
        <c:axId val="156288512"/>
        <c:axId val="156290048"/>
      </c:barChart>
      <c:catAx>
        <c:axId val="156288512"/>
        <c:scaling>
          <c:orientation val="minMax"/>
        </c:scaling>
        <c:delete val="0"/>
        <c:axPos val="b"/>
        <c:numFmt formatCode="General" sourceLinked="1"/>
        <c:majorTickMark val="out"/>
        <c:minorTickMark val="none"/>
        <c:tickLblPos val="nextTo"/>
        <c:crossAx val="156290048"/>
        <c:crosses val="autoZero"/>
        <c:auto val="1"/>
        <c:lblAlgn val="ctr"/>
        <c:lblOffset val="100"/>
        <c:noMultiLvlLbl val="0"/>
      </c:catAx>
      <c:valAx>
        <c:axId val="156290048"/>
        <c:scaling>
          <c:orientation val="minMax"/>
        </c:scaling>
        <c:delete val="0"/>
        <c:axPos val="l"/>
        <c:majorGridlines/>
        <c:numFmt formatCode="General" sourceLinked="1"/>
        <c:majorTickMark val="out"/>
        <c:minorTickMark val="none"/>
        <c:tickLblPos val="nextTo"/>
        <c:crossAx val="156288512"/>
        <c:crosses val="autoZero"/>
        <c:crossBetween val="between"/>
      </c:valAx>
    </c:plotArea>
    <c:legend>
      <c:legendPos val="r"/>
      <c:overlay val="0"/>
    </c:legend>
    <c:plotVisOnly val="1"/>
    <c:dispBlanksAs val="gap"/>
    <c:showDLblsOverMax val="0"/>
  </c:chart>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Sheet1!$W$61</c:f>
              <c:strCache>
                <c:ptCount val="1"/>
                <c:pt idx="0">
                  <c:v>Typical Weekly User</c:v>
                </c:pt>
              </c:strCache>
            </c:strRef>
          </c:tx>
          <c:invertIfNegative val="0"/>
          <c:cat>
            <c:numRef>
              <c:f>Sheet1!$X$60:$AD$60</c:f>
              <c:numCache>
                <c:formatCode>General</c:formatCode>
                <c:ptCount val="7"/>
                <c:pt idx="0">
                  <c:v>2008</c:v>
                </c:pt>
                <c:pt idx="1">
                  <c:v>2009</c:v>
                </c:pt>
                <c:pt idx="2">
                  <c:v>2010</c:v>
                </c:pt>
                <c:pt idx="3">
                  <c:v>2011</c:v>
                </c:pt>
                <c:pt idx="4">
                  <c:v>2012</c:v>
                </c:pt>
                <c:pt idx="5">
                  <c:v>2013</c:v>
                </c:pt>
                <c:pt idx="6">
                  <c:v>2015</c:v>
                </c:pt>
              </c:numCache>
            </c:numRef>
          </c:cat>
          <c:val>
            <c:numRef>
              <c:f>Sheet1!$X$61:$AD$61</c:f>
              <c:numCache>
                <c:formatCode>General</c:formatCode>
                <c:ptCount val="7"/>
                <c:pt idx="0">
                  <c:v>1.5</c:v>
                </c:pt>
                <c:pt idx="1">
                  <c:v>2</c:v>
                </c:pt>
                <c:pt idx="2">
                  <c:v>2.4</c:v>
                </c:pt>
                <c:pt idx="3">
                  <c:v>2.8</c:v>
                </c:pt>
                <c:pt idx="4">
                  <c:v>3.9</c:v>
                </c:pt>
                <c:pt idx="5">
                  <c:v>5.0999999999999996</c:v>
                </c:pt>
                <c:pt idx="6">
                  <c:v>7</c:v>
                </c:pt>
              </c:numCache>
            </c:numRef>
          </c:val>
          <c:extLst xmlns:c16r2="http://schemas.microsoft.com/office/drawing/2015/06/chart">
            <c:ext xmlns:c16="http://schemas.microsoft.com/office/drawing/2014/chart" uri="{C3380CC4-5D6E-409C-BE32-E72D297353CC}">
              <c16:uniqueId val="{00000000-D681-49F9-8948-9B2A49E85A1C}"/>
            </c:ext>
          </c:extLst>
        </c:ser>
        <c:ser>
          <c:idx val="1"/>
          <c:order val="1"/>
          <c:tx>
            <c:strRef>
              <c:f>Sheet1!$W$62</c:f>
              <c:strCache>
                <c:ptCount val="1"/>
                <c:pt idx="0">
                  <c:v>Total Population</c:v>
                </c:pt>
              </c:strCache>
            </c:strRef>
          </c:tx>
          <c:invertIfNegative val="0"/>
          <c:cat>
            <c:numRef>
              <c:f>Sheet1!$X$60:$AD$60</c:f>
              <c:numCache>
                <c:formatCode>General</c:formatCode>
                <c:ptCount val="7"/>
                <c:pt idx="0">
                  <c:v>2008</c:v>
                </c:pt>
                <c:pt idx="1">
                  <c:v>2009</c:v>
                </c:pt>
                <c:pt idx="2">
                  <c:v>2010</c:v>
                </c:pt>
                <c:pt idx="3">
                  <c:v>2011</c:v>
                </c:pt>
                <c:pt idx="4">
                  <c:v>2012</c:v>
                </c:pt>
                <c:pt idx="5">
                  <c:v>2013</c:v>
                </c:pt>
                <c:pt idx="6">
                  <c:v>2015</c:v>
                </c:pt>
              </c:numCache>
            </c:numRef>
          </c:cat>
          <c:val>
            <c:numRef>
              <c:f>Sheet1!$X$62:$AD$62</c:f>
              <c:numCache>
                <c:formatCode>General</c:formatCode>
                <c:ptCount val="7"/>
                <c:pt idx="0">
                  <c:v>0.3</c:v>
                </c:pt>
                <c:pt idx="1">
                  <c:v>0.5</c:v>
                </c:pt>
                <c:pt idx="2">
                  <c:v>0.5</c:v>
                </c:pt>
                <c:pt idx="3">
                  <c:v>0.7</c:v>
                </c:pt>
                <c:pt idx="4">
                  <c:v>1.3</c:v>
                </c:pt>
                <c:pt idx="5">
                  <c:v>1.9</c:v>
                </c:pt>
                <c:pt idx="6">
                  <c:v>2.7</c:v>
                </c:pt>
              </c:numCache>
            </c:numRef>
          </c:val>
          <c:extLst xmlns:c16r2="http://schemas.microsoft.com/office/drawing/2015/06/chart">
            <c:ext xmlns:c16="http://schemas.microsoft.com/office/drawing/2014/chart" uri="{C3380CC4-5D6E-409C-BE32-E72D297353CC}">
              <c16:uniqueId val="{00000001-D681-49F9-8948-9B2A49E85A1C}"/>
            </c:ext>
          </c:extLst>
        </c:ser>
        <c:dLbls>
          <c:showLegendKey val="0"/>
          <c:showVal val="0"/>
          <c:showCatName val="0"/>
          <c:showSerName val="0"/>
          <c:showPercent val="0"/>
          <c:showBubbleSize val="0"/>
        </c:dLbls>
        <c:gapWidth val="150"/>
        <c:axId val="158183808"/>
        <c:axId val="158185344"/>
      </c:barChart>
      <c:catAx>
        <c:axId val="158183808"/>
        <c:scaling>
          <c:orientation val="minMax"/>
        </c:scaling>
        <c:delete val="0"/>
        <c:axPos val="b"/>
        <c:numFmt formatCode="General" sourceLinked="1"/>
        <c:majorTickMark val="out"/>
        <c:minorTickMark val="none"/>
        <c:tickLblPos val="nextTo"/>
        <c:crossAx val="158185344"/>
        <c:crosses val="autoZero"/>
        <c:auto val="1"/>
        <c:lblAlgn val="ctr"/>
        <c:lblOffset val="100"/>
        <c:noMultiLvlLbl val="0"/>
      </c:catAx>
      <c:valAx>
        <c:axId val="158185344"/>
        <c:scaling>
          <c:orientation val="minMax"/>
        </c:scaling>
        <c:delete val="0"/>
        <c:axPos val="l"/>
        <c:majorGridlines/>
        <c:numFmt formatCode="General" sourceLinked="1"/>
        <c:majorTickMark val="out"/>
        <c:minorTickMark val="none"/>
        <c:tickLblPos val="nextTo"/>
        <c:crossAx val="158183808"/>
        <c:crosses val="autoZero"/>
        <c:crossBetween val="between"/>
      </c:valAx>
    </c:plotArea>
    <c:legend>
      <c:legendPos val="r"/>
      <c:overlay val="0"/>
    </c:legend>
    <c:plotVisOnly val="1"/>
    <c:dispBlanksAs val="gap"/>
    <c:showDLblsOverMax val="0"/>
  </c:chart>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Sheet1!$V$19</c:f>
              <c:strCache>
                <c:ptCount val="1"/>
                <c:pt idx="0">
                  <c:v>Rogers</c:v>
                </c:pt>
              </c:strCache>
            </c:strRef>
          </c:tx>
          <c:invertIfNegative val="0"/>
          <c:cat>
            <c:numRef>
              <c:f>Sheet1!$W$18:$AA$18</c:f>
              <c:numCache>
                <c:formatCode>General</c:formatCode>
                <c:ptCount val="5"/>
                <c:pt idx="0">
                  <c:v>2011</c:v>
                </c:pt>
                <c:pt idx="1">
                  <c:v>2012</c:v>
                </c:pt>
                <c:pt idx="2">
                  <c:v>2013</c:v>
                </c:pt>
                <c:pt idx="3">
                  <c:v>2014</c:v>
                </c:pt>
                <c:pt idx="4">
                  <c:v>2015</c:v>
                </c:pt>
              </c:numCache>
            </c:numRef>
          </c:cat>
          <c:val>
            <c:numRef>
              <c:f>Sheet1!$W$19:$AA$19</c:f>
              <c:numCache>
                <c:formatCode>General</c:formatCode>
                <c:ptCount val="5"/>
                <c:pt idx="0">
                  <c:v>1.5</c:v>
                </c:pt>
                <c:pt idx="1">
                  <c:v>1.1000000000000001</c:v>
                </c:pt>
                <c:pt idx="2">
                  <c:v>1.2</c:v>
                </c:pt>
                <c:pt idx="3">
                  <c:v>1.2</c:v>
                </c:pt>
                <c:pt idx="4">
                  <c:v>1.1000000000000001</c:v>
                </c:pt>
              </c:numCache>
            </c:numRef>
          </c:val>
          <c:extLst xmlns:c16r2="http://schemas.microsoft.com/office/drawing/2015/06/chart">
            <c:ext xmlns:c16="http://schemas.microsoft.com/office/drawing/2014/chart" uri="{C3380CC4-5D6E-409C-BE32-E72D297353CC}">
              <c16:uniqueId val="{00000000-47C9-41C1-84CE-5A164F894F79}"/>
            </c:ext>
          </c:extLst>
        </c:ser>
        <c:ser>
          <c:idx val="1"/>
          <c:order val="1"/>
          <c:tx>
            <c:strRef>
              <c:f>Sheet1!$V$20</c:f>
              <c:strCache>
                <c:ptCount val="1"/>
                <c:pt idx="0">
                  <c:v>Bell</c:v>
                </c:pt>
              </c:strCache>
            </c:strRef>
          </c:tx>
          <c:invertIfNegative val="0"/>
          <c:cat>
            <c:numRef>
              <c:f>Sheet1!$W$18:$AA$18</c:f>
              <c:numCache>
                <c:formatCode>General</c:formatCode>
                <c:ptCount val="5"/>
                <c:pt idx="0">
                  <c:v>2011</c:v>
                </c:pt>
                <c:pt idx="1">
                  <c:v>2012</c:v>
                </c:pt>
                <c:pt idx="2">
                  <c:v>2013</c:v>
                </c:pt>
                <c:pt idx="3">
                  <c:v>2014</c:v>
                </c:pt>
                <c:pt idx="4">
                  <c:v>2015</c:v>
                </c:pt>
              </c:numCache>
            </c:numRef>
          </c:cat>
          <c:val>
            <c:numRef>
              <c:f>Sheet1!$W$20:$AA$20</c:f>
              <c:numCache>
                <c:formatCode>General</c:formatCode>
                <c:ptCount val="5"/>
                <c:pt idx="0">
                  <c:v>8.6999999999999993</c:v>
                </c:pt>
                <c:pt idx="1">
                  <c:v>8.1</c:v>
                </c:pt>
                <c:pt idx="2">
                  <c:v>7.6</c:v>
                </c:pt>
                <c:pt idx="3">
                  <c:v>7.1</c:v>
                </c:pt>
                <c:pt idx="4">
                  <c:v>6.7</c:v>
                </c:pt>
              </c:numCache>
            </c:numRef>
          </c:val>
          <c:extLst xmlns:c16r2="http://schemas.microsoft.com/office/drawing/2015/06/chart">
            <c:ext xmlns:c16="http://schemas.microsoft.com/office/drawing/2014/chart" uri="{C3380CC4-5D6E-409C-BE32-E72D297353CC}">
              <c16:uniqueId val="{00000001-47C9-41C1-84CE-5A164F894F79}"/>
            </c:ext>
          </c:extLst>
        </c:ser>
        <c:ser>
          <c:idx val="2"/>
          <c:order val="2"/>
          <c:tx>
            <c:strRef>
              <c:f>Sheet1!$V$21</c:f>
              <c:strCache>
                <c:ptCount val="1"/>
                <c:pt idx="0">
                  <c:v>TELUS</c:v>
                </c:pt>
              </c:strCache>
            </c:strRef>
          </c:tx>
          <c:invertIfNegative val="0"/>
          <c:cat>
            <c:numRef>
              <c:f>Sheet1!$W$18:$AA$18</c:f>
              <c:numCache>
                <c:formatCode>General</c:formatCode>
                <c:ptCount val="5"/>
                <c:pt idx="0">
                  <c:v>2011</c:v>
                </c:pt>
                <c:pt idx="1">
                  <c:v>2012</c:v>
                </c:pt>
                <c:pt idx="2">
                  <c:v>2013</c:v>
                </c:pt>
                <c:pt idx="3">
                  <c:v>2014</c:v>
                </c:pt>
                <c:pt idx="4">
                  <c:v>2015</c:v>
                </c:pt>
              </c:numCache>
            </c:numRef>
          </c:cat>
          <c:val>
            <c:numRef>
              <c:f>Sheet1!$W$21:$AA$21</c:f>
              <c:numCache>
                <c:formatCode>General</c:formatCode>
                <c:ptCount val="5"/>
                <c:pt idx="0">
                  <c:v>3.6</c:v>
                </c:pt>
                <c:pt idx="1">
                  <c:v>3.4</c:v>
                </c:pt>
                <c:pt idx="2">
                  <c:v>3.3</c:v>
                </c:pt>
                <c:pt idx="3">
                  <c:v>1.6</c:v>
                </c:pt>
                <c:pt idx="4">
                  <c:v>1.5</c:v>
                </c:pt>
              </c:numCache>
            </c:numRef>
          </c:val>
          <c:extLst xmlns:c16r2="http://schemas.microsoft.com/office/drawing/2015/06/chart">
            <c:ext xmlns:c16="http://schemas.microsoft.com/office/drawing/2014/chart" uri="{C3380CC4-5D6E-409C-BE32-E72D297353CC}">
              <c16:uniqueId val="{00000002-47C9-41C1-84CE-5A164F894F79}"/>
            </c:ext>
          </c:extLst>
        </c:ser>
        <c:ser>
          <c:idx val="3"/>
          <c:order val="3"/>
          <c:tx>
            <c:strRef>
              <c:f>Sheet1!$V$22</c:f>
              <c:strCache>
                <c:ptCount val="1"/>
                <c:pt idx="0">
                  <c:v>Shaw</c:v>
                </c:pt>
              </c:strCache>
            </c:strRef>
          </c:tx>
          <c:spPr>
            <a:solidFill>
              <a:schemeClr val="tx1"/>
            </a:solidFill>
          </c:spPr>
          <c:invertIfNegative val="0"/>
          <c:cat>
            <c:numRef>
              <c:f>Sheet1!$W$18:$AA$18</c:f>
              <c:numCache>
                <c:formatCode>General</c:formatCode>
                <c:ptCount val="5"/>
                <c:pt idx="0">
                  <c:v>2011</c:v>
                </c:pt>
                <c:pt idx="1">
                  <c:v>2012</c:v>
                </c:pt>
                <c:pt idx="2">
                  <c:v>2013</c:v>
                </c:pt>
                <c:pt idx="3">
                  <c:v>2014</c:v>
                </c:pt>
                <c:pt idx="4">
                  <c:v>2015</c:v>
                </c:pt>
              </c:numCache>
            </c:numRef>
          </c:cat>
          <c:val>
            <c:numRef>
              <c:f>Sheet1!$W$22:$AA$22</c:f>
              <c:numCache>
                <c:formatCode>General</c:formatCode>
                <c:ptCount val="5"/>
                <c:pt idx="0">
                  <c:v>1.2</c:v>
                </c:pt>
                <c:pt idx="1">
                  <c:v>1.3</c:v>
                </c:pt>
                <c:pt idx="2">
                  <c:v>1.4</c:v>
                </c:pt>
                <c:pt idx="3">
                  <c:v>1.4</c:v>
                </c:pt>
                <c:pt idx="4">
                  <c:v>1.3</c:v>
                </c:pt>
              </c:numCache>
            </c:numRef>
          </c:val>
          <c:extLst xmlns:c16r2="http://schemas.microsoft.com/office/drawing/2015/06/chart">
            <c:ext xmlns:c16="http://schemas.microsoft.com/office/drawing/2014/chart" uri="{C3380CC4-5D6E-409C-BE32-E72D297353CC}">
              <c16:uniqueId val="{00000003-47C9-41C1-84CE-5A164F894F79}"/>
            </c:ext>
          </c:extLst>
        </c:ser>
        <c:dLbls>
          <c:showLegendKey val="0"/>
          <c:showVal val="0"/>
          <c:showCatName val="0"/>
          <c:showSerName val="0"/>
          <c:showPercent val="0"/>
          <c:showBubbleSize val="0"/>
        </c:dLbls>
        <c:gapWidth val="150"/>
        <c:axId val="158549504"/>
        <c:axId val="158551040"/>
      </c:barChart>
      <c:catAx>
        <c:axId val="158549504"/>
        <c:scaling>
          <c:orientation val="minMax"/>
        </c:scaling>
        <c:delete val="0"/>
        <c:axPos val="b"/>
        <c:numFmt formatCode="General" sourceLinked="1"/>
        <c:majorTickMark val="out"/>
        <c:minorTickMark val="none"/>
        <c:tickLblPos val="nextTo"/>
        <c:crossAx val="158551040"/>
        <c:crosses val="autoZero"/>
        <c:auto val="1"/>
        <c:lblAlgn val="ctr"/>
        <c:lblOffset val="100"/>
        <c:noMultiLvlLbl val="0"/>
      </c:catAx>
      <c:valAx>
        <c:axId val="158551040"/>
        <c:scaling>
          <c:orientation val="minMax"/>
        </c:scaling>
        <c:delete val="0"/>
        <c:axPos val="l"/>
        <c:majorGridlines/>
        <c:numFmt formatCode="General" sourceLinked="1"/>
        <c:majorTickMark val="out"/>
        <c:minorTickMark val="none"/>
        <c:tickLblPos val="nextTo"/>
        <c:crossAx val="158549504"/>
        <c:crosses val="autoZero"/>
        <c:crossBetween val="between"/>
      </c:valAx>
    </c:plotArea>
    <c:legend>
      <c:legendPos val="r"/>
      <c:overlay val="0"/>
    </c:legend>
    <c:plotVisOnly val="1"/>
    <c:dispBlanksAs val="gap"/>
    <c:showDLblsOverMax val="0"/>
  </c:chart>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percentStacked"/>
        <c:varyColors val="0"/>
        <c:ser>
          <c:idx val="0"/>
          <c:order val="0"/>
          <c:tx>
            <c:strRef>
              <c:f>Sheet1!$V$48</c:f>
              <c:strCache>
                <c:ptCount val="1"/>
                <c:pt idx="0">
                  <c:v>Wireline Phone</c:v>
                </c:pt>
              </c:strCache>
            </c:strRef>
          </c:tx>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Sheet1!$W$47:$AA$47</c:f>
              <c:numCache>
                <c:formatCode>General</c:formatCode>
                <c:ptCount val="5"/>
                <c:pt idx="0">
                  <c:v>2010</c:v>
                </c:pt>
                <c:pt idx="1">
                  <c:v>2011</c:v>
                </c:pt>
                <c:pt idx="2">
                  <c:v>2012</c:v>
                </c:pt>
                <c:pt idx="3">
                  <c:v>2013</c:v>
                </c:pt>
                <c:pt idx="4">
                  <c:v>2014</c:v>
                </c:pt>
              </c:numCache>
            </c:numRef>
          </c:cat>
          <c:val>
            <c:numRef>
              <c:f>Sheet1!$W$48:$AA$48</c:f>
              <c:numCache>
                <c:formatCode>General</c:formatCode>
                <c:ptCount val="5"/>
                <c:pt idx="0">
                  <c:v>21</c:v>
                </c:pt>
                <c:pt idx="1">
                  <c:v>19.899999999999999</c:v>
                </c:pt>
                <c:pt idx="2">
                  <c:v>19.100000000000001</c:v>
                </c:pt>
                <c:pt idx="3">
                  <c:v>17.899999999999999</c:v>
                </c:pt>
                <c:pt idx="4">
                  <c:v>17.3</c:v>
                </c:pt>
              </c:numCache>
            </c:numRef>
          </c:val>
          <c:extLst xmlns:c16r2="http://schemas.microsoft.com/office/drawing/2015/06/chart">
            <c:ext xmlns:c16="http://schemas.microsoft.com/office/drawing/2014/chart" uri="{C3380CC4-5D6E-409C-BE32-E72D297353CC}">
              <c16:uniqueId val="{00000000-A4E0-4E64-BA01-111FC5044D69}"/>
            </c:ext>
          </c:extLst>
        </c:ser>
        <c:ser>
          <c:idx val="1"/>
          <c:order val="1"/>
          <c:tx>
            <c:strRef>
              <c:f>Sheet1!$V$49</c:f>
              <c:strCache>
                <c:ptCount val="1"/>
                <c:pt idx="0">
                  <c:v>Internet</c:v>
                </c:pt>
              </c:strCache>
            </c:strRef>
          </c:tx>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Sheet1!$W$47:$AA$47</c:f>
              <c:numCache>
                <c:formatCode>General</c:formatCode>
                <c:ptCount val="5"/>
                <c:pt idx="0">
                  <c:v>2010</c:v>
                </c:pt>
                <c:pt idx="1">
                  <c:v>2011</c:v>
                </c:pt>
                <c:pt idx="2">
                  <c:v>2012</c:v>
                </c:pt>
                <c:pt idx="3">
                  <c:v>2013</c:v>
                </c:pt>
                <c:pt idx="4">
                  <c:v>2014</c:v>
                </c:pt>
              </c:numCache>
            </c:numRef>
          </c:cat>
          <c:val>
            <c:numRef>
              <c:f>Sheet1!$W$49:$AA$49</c:f>
              <c:numCache>
                <c:formatCode>General</c:formatCode>
                <c:ptCount val="5"/>
                <c:pt idx="0">
                  <c:v>17.3</c:v>
                </c:pt>
                <c:pt idx="1">
                  <c:v>17.3</c:v>
                </c:pt>
                <c:pt idx="2">
                  <c:v>17.600000000000001</c:v>
                </c:pt>
                <c:pt idx="3">
                  <c:v>17.899999999999999</c:v>
                </c:pt>
                <c:pt idx="4">
                  <c:v>18.399999999999999</c:v>
                </c:pt>
              </c:numCache>
            </c:numRef>
          </c:val>
          <c:extLst xmlns:c16r2="http://schemas.microsoft.com/office/drawing/2015/06/chart">
            <c:ext xmlns:c16="http://schemas.microsoft.com/office/drawing/2014/chart" uri="{C3380CC4-5D6E-409C-BE32-E72D297353CC}">
              <c16:uniqueId val="{00000001-A4E0-4E64-BA01-111FC5044D69}"/>
            </c:ext>
          </c:extLst>
        </c:ser>
        <c:ser>
          <c:idx val="2"/>
          <c:order val="2"/>
          <c:tx>
            <c:strRef>
              <c:f>Sheet1!$V$50</c:f>
              <c:strCache>
                <c:ptCount val="1"/>
                <c:pt idx="0">
                  <c:v>Wireless Phone</c:v>
                </c:pt>
              </c:strCache>
            </c:strRef>
          </c:tx>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Sheet1!$W$47:$AA$47</c:f>
              <c:numCache>
                <c:formatCode>General</c:formatCode>
                <c:ptCount val="5"/>
                <c:pt idx="0">
                  <c:v>2010</c:v>
                </c:pt>
                <c:pt idx="1">
                  <c:v>2011</c:v>
                </c:pt>
                <c:pt idx="2">
                  <c:v>2012</c:v>
                </c:pt>
                <c:pt idx="3">
                  <c:v>2013</c:v>
                </c:pt>
                <c:pt idx="4">
                  <c:v>2014</c:v>
                </c:pt>
              </c:numCache>
            </c:numRef>
          </c:cat>
          <c:val>
            <c:numRef>
              <c:f>Sheet1!$W$50:$AA$50</c:f>
              <c:numCache>
                <c:formatCode>General</c:formatCode>
                <c:ptCount val="5"/>
                <c:pt idx="0">
                  <c:v>42.6</c:v>
                </c:pt>
                <c:pt idx="1">
                  <c:v>43.8</c:v>
                </c:pt>
                <c:pt idx="2">
                  <c:v>44.6</c:v>
                </c:pt>
                <c:pt idx="3">
                  <c:v>45.4</c:v>
                </c:pt>
                <c:pt idx="4">
                  <c:v>45.8</c:v>
                </c:pt>
              </c:numCache>
            </c:numRef>
          </c:val>
          <c:extLst xmlns:c16r2="http://schemas.microsoft.com/office/drawing/2015/06/chart">
            <c:ext xmlns:c16="http://schemas.microsoft.com/office/drawing/2014/chart" uri="{C3380CC4-5D6E-409C-BE32-E72D297353CC}">
              <c16:uniqueId val="{00000002-A4E0-4E64-BA01-111FC5044D69}"/>
            </c:ext>
          </c:extLst>
        </c:ser>
        <c:ser>
          <c:idx val="3"/>
          <c:order val="3"/>
          <c:tx>
            <c:strRef>
              <c:f>Sheet1!$V$51</c:f>
              <c:strCache>
                <c:ptCount val="1"/>
                <c:pt idx="0">
                  <c:v>Television</c:v>
                </c:pt>
              </c:strCache>
            </c:strRef>
          </c:tx>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Sheet1!$W$47:$AA$47</c:f>
              <c:numCache>
                <c:formatCode>General</c:formatCode>
                <c:ptCount val="5"/>
                <c:pt idx="0">
                  <c:v>2010</c:v>
                </c:pt>
                <c:pt idx="1">
                  <c:v>2011</c:v>
                </c:pt>
                <c:pt idx="2">
                  <c:v>2012</c:v>
                </c:pt>
                <c:pt idx="3">
                  <c:v>2013</c:v>
                </c:pt>
                <c:pt idx="4">
                  <c:v>2014</c:v>
                </c:pt>
              </c:numCache>
            </c:numRef>
          </c:cat>
          <c:val>
            <c:numRef>
              <c:f>Sheet1!$W$51:$AA$51</c:f>
              <c:numCache>
                <c:formatCode>General</c:formatCode>
                <c:ptCount val="5"/>
                <c:pt idx="0">
                  <c:v>19.2</c:v>
                </c:pt>
                <c:pt idx="1">
                  <c:v>19</c:v>
                </c:pt>
                <c:pt idx="2">
                  <c:v>18.7</c:v>
                </c:pt>
                <c:pt idx="3">
                  <c:v>18.7</c:v>
                </c:pt>
                <c:pt idx="4">
                  <c:v>18.399999999999999</c:v>
                </c:pt>
              </c:numCache>
            </c:numRef>
          </c:val>
          <c:extLst xmlns:c16r2="http://schemas.microsoft.com/office/drawing/2015/06/chart">
            <c:ext xmlns:c16="http://schemas.microsoft.com/office/drawing/2014/chart" uri="{C3380CC4-5D6E-409C-BE32-E72D297353CC}">
              <c16:uniqueId val="{00000003-A4E0-4E64-BA01-111FC5044D69}"/>
            </c:ext>
          </c:extLst>
        </c:ser>
        <c:dLbls>
          <c:showLegendKey val="0"/>
          <c:showVal val="1"/>
          <c:showCatName val="0"/>
          <c:showSerName val="0"/>
          <c:showPercent val="0"/>
          <c:showBubbleSize val="0"/>
        </c:dLbls>
        <c:gapWidth val="75"/>
        <c:overlap val="100"/>
        <c:axId val="159152000"/>
        <c:axId val="159153536"/>
      </c:barChart>
      <c:catAx>
        <c:axId val="159152000"/>
        <c:scaling>
          <c:orientation val="minMax"/>
        </c:scaling>
        <c:delete val="0"/>
        <c:axPos val="b"/>
        <c:numFmt formatCode="General" sourceLinked="1"/>
        <c:majorTickMark val="none"/>
        <c:minorTickMark val="none"/>
        <c:tickLblPos val="nextTo"/>
        <c:crossAx val="159153536"/>
        <c:crosses val="autoZero"/>
        <c:auto val="1"/>
        <c:lblAlgn val="ctr"/>
        <c:lblOffset val="100"/>
        <c:noMultiLvlLbl val="0"/>
      </c:catAx>
      <c:valAx>
        <c:axId val="159153536"/>
        <c:scaling>
          <c:orientation val="minMax"/>
        </c:scaling>
        <c:delete val="0"/>
        <c:axPos val="l"/>
        <c:numFmt formatCode="0%" sourceLinked="1"/>
        <c:majorTickMark val="none"/>
        <c:minorTickMark val="none"/>
        <c:tickLblPos val="nextTo"/>
        <c:crossAx val="159152000"/>
        <c:crosses val="autoZero"/>
        <c:crossBetween val="between"/>
      </c:valAx>
    </c:plotArea>
    <c:legend>
      <c:legendPos val="r"/>
      <c:overlay val="0"/>
    </c:legend>
    <c:plotVisOnly val="1"/>
    <c:dispBlanksAs val="gap"/>
    <c:showDLblsOverMax val="0"/>
  </c:chart>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Sheet1!$A$19</c:f>
              <c:strCache>
                <c:ptCount val="1"/>
                <c:pt idx="0">
                  <c:v>Rogers</c:v>
                </c:pt>
              </c:strCache>
            </c:strRef>
          </c:tx>
          <c:invertIfNegative val="0"/>
          <c:cat>
            <c:numRef>
              <c:f>Sheet1!$B$18:$F$18</c:f>
              <c:numCache>
                <c:formatCode>General</c:formatCode>
                <c:ptCount val="5"/>
                <c:pt idx="0">
                  <c:v>2011</c:v>
                </c:pt>
                <c:pt idx="1">
                  <c:v>2012</c:v>
                </c:pt>
                <c:pt idx="2">
                  <c:v>2013</c:v>
                </c:pt>
                <c:pt idx="3">
                  <c:v>2014</c:v>
                </c:pt>
                <c:pt idx="4">
                  <c:v>2015</c:v>
                </c:pt>
              </c:numCache>
            </c:numRef>
          </c:cat>
          <c:val>
            <c:numRef>
              <c:f>Sheet1!$B$19:$F$19</c:f>
              <c:numCache>
                <c:formatCode>General</c:formatCode>
                <c:ptCount val="5"/>
                <c:pt idx="0">
                  <c:v>9.3000000000000007</c:v>
                </c:pt>
                <c:pt idx="1">
                  <c:v>9.4</c:v>
                </c:pt>
                <c:pt idx="2">
                  <c:v>9.5</c:v>
                </c:pt>
                <c:pt idx="3">
                  <c:v>9.5</c:v>
                </c:pt>
                <c:pt idx="4">
                  <c:v>9.9</c:v>
                </c:pt>
              </c:numCache>
            </c:numRef>
          </c:val>
          <c:extLst xmlns:c16r2="http://schemas.microsoft.com/office/drawing/2015/06/chart">
            <c:ext xmlns:c16="http://schemas.microsoft.com/office/drawing/2014/chart" uri="{C3380CC4-5D6E-409C-BE32-E72D297353CC}">
              <c16:uniqueId val="{00000000-4A23-47B4-8BC9-9E20CD5B0386}"/>
            </c:ext>
          </c:extLst>
        </c:ser>
        <c:ser>
          <c:idx val="1"/>
          <c:order val="1"/>
          <c:tx>
            <c:strRef>
              <c:f>Sheet1!$A$20</c:f>
              <c:strCache>
                <c:ptCount val="1"/>
                <c:pt idx="0">
                  <c:v>Bell</c:v>
                </c:pt>
              </c:strCache>
            </c:strRef>
          </c:tx>
          <c:invertIfNegative val="0"/>
          <c:cat>
            <c:numRef>
              <c:f>Sheet1!$B$18:$F$18</c:f>
              <c:numCache>
                <c:formatCode>General</c:formatCode>
                <c:ptCount val="5"/>
                <c:pt idx="0">
                  <c:v>2011</c:v>
                </c:pt>
                <c:pt idx="1">
                  <c:v>2012</c:v>
                </c:pt>
                <c:pt idx="2">
                  <c:v>2013</c:v>
                </c:pt>
                <c:pt idx="3">
                  <c:v>2014</c:v>
                </c:pt>
                <c:pt idx="4">
                  <c:v>2015</c:v>
                </c:pt>
              </c:numCache>
            </c:numRef>
          </c:cat>
          <c:val>
            <c:numRef>
              <c:f>Sheet1!$B$20:$F$20</c:f>
              <c:numCache>
                <c:formatCode>General</c:formatCode>
                <c:ptCount val="5"/>
                <c:pt idx="0">
                  <c:v>7.6</c:v>
                </c:pt>
                <c:pt idx="1">
                  <c:v>7.8</c:v>
                </c:pt>
                <c:pt idx="2">
                  <c:v>7.9</c:v>
                </c:pt>
                <c:pt idx="3">
                  <c:v>8.1</c:v>
                </c:pt>
                <c:pt idx="4">
                  <c:v>8.1999999999999993</c:v>
                </c:pt>
              </c:numCache>
            </c:numRef>
          </c:val>
          <c:extLst xmlns:c16r2="http://schemas.microsoft.com/office/drawing/2015/06/chart">
            <c:ext xmlns:c16="http://schemas.microsoft.com/office/drawing/2014/chart" uri="{C3380CC4-5D6E-409C-BE32-E72D297353CC}">
              <c16:uniqueId val="{00000001-4A23-47B4-8BC9-9E20CD5B0386}"/>
            </c:ext>
          </c:extLst>
        </c:ser>
        <c:ser>
          <c:idx val="2"/>
          <c:order val="2"/>
          <c:tx>
            <c:strRef>
              <c:f>Sheet1!$A$21</c:f>
              <c:strCache>
                <c:ptCount val="1"/>
                <c:pt idx="0">
                  <c:v>TELUS</c:v>
                </c:pt>
              </c:strCache>
            </c:strRef>
          </c:tx>
          <c:invertIfNegative val="0"/>
          <c:cat>
            <c:numRef>
              <c:f>Sheet1!$B$18:$F$18</c:f>
              <c:numCache>
                <c:formatCode>General</c:formatCode>
                <c:ptCount val="5"/>
                <c:pt idx="0">
                  <c:v>2011</c:v>
                </c:pt>
                <c:pt idx="1">
                  <c:v>2012</c:v>
                </c:pt>
                <c:pt idx="2">
                  <c:v>2013</c:v>
                </c:pt>
                <c:pt idx="3">
                  <c:v>2014</c:v>
                </c:pt>
                <c:pt idx="4">
                  <c:v>2015</c:v>
                </c:pt>
              </c:numCache>
            </c:numRef>
          </c:cat>
          <c:val>
            <c:numRef>
              <c:f>Sheet1!$B$21:$F$21</c:f>
              <c:numCache>
                <c:formatCode>General</c:formatCode>
                <c:ptCount val="5"/>
                <c:pt idx="0">
                  <c:v>7.3</c:v>
                </c:pt>
                <c:pt idx="1">
                  <c:v>7.7</c:v>
                </c:pt>
                <c:pt idx="2">
                  <c:v>7.8</c:v>
                </c:pt>
                <c:pt idx="3">
                  <c:v>8.3000000000000007</c:v>
                </c:pt>
                <c:pt idx="4">
                  <c:v>8.5</c:v>
                </c:pt>
              </c:numCache>
            </c:numRef>
          </c:val>
          <c:extLst xmlns:c16r2="http://schemas.microsoft.com/office/drawing/2015/06/chart">
            <c:ext xmlns:c16="http://schemas.microsoft.com/office/drawing/2014/chart" uri="{C3380CC4-5D6E-409C-BE32-E72D297353CC}">
              <c16:uniqueId val="{00000002-4A23-47B4-8BC9-9E20CD5B0386}"/>
            </c:ext>
          </c:extLst>
        </c:ser>
        <c:ser>
          <c:idx val="3"/>
          <c:order val="3"/>
          <c:tx>
            <c:strRef>
              <c:f>Sheet1!$A$22</c:f>
              <c:strCache>
                <c:ptCount val="1"/>
                <c:pt idx="0">
                  <c:v>Shaw/Wind</c:v>
                </c:pt>
              </c:strCache>
            </c:strRef>
          </c:tx>
          <c:spPr>
            <a:solidFill>
              <a:schemeClr val="tx1"/>
            </a:solidFill>
          </c:spPr>
          <c:invertIfNegative val="0"/>
          <c:cat>
            <c:numRef>
              <c:f>Sheet1!$B$18:$F$18</c:f>
              <c:numCache>
                <c:formatCode>General</c:formatCode>
                <c:ptCount val="5"/>
                <c:pt idx="0">
                  <c:v>2011</c:v>
                </c:pt>
                <c:pt idx="1">
                  <c:v>2012</c:v>
                </c:pt>
                <c:pt idx="2">
                  <c:v>2013</c:v>
                </c:pt>
                <c:pt idx="3">
                  <c:v>2014</c:v>
                </c:pt>
                <c:pt idx="4">
                  <c:v>2015</c:v>
                </c:pt>
              </c:numCache>
            </c:numRef>
          </c:cat>
          <c:val>
            <c:numRef>
              <c:f>Sheet1!$B$22:$F$22</c:f>
              <c:numCache>
                <c:formatCode>General</c:formatCode>
                <c:ptCount val="5"/>
                <c:pt idx="0">
                  <c:v>0.4</c:v>
                </c:pt>
                <c:pt idx="1">
                  <c:v>0.6</c:v>
                </c:pt>
                <c:pt idx="2">
                  <c:v>0.68</c:v>
                </c:pt>
                <c:pt idx="3">
                  <c:v>0.8</c:v>
                </c:pt>
                <c:pt idx="4">
                  <c:v>0.94</c:v>
                </c:pt>
              </c:numCache>
            </c:numRef>
          </c:val>
          <c:extLst xmlns:c16r2="http://schemas.microsoft.com/office/drawing/2015/06/chart">
            <c:ext xmlns:c16="http://schemas.microsoft.com/office/drawing/2014/chart" uri="{C3380CC4-5D6E-409C-BE32-E72D297353CC}">
              <c16:uniqueId val="{00000003-4A23-47B4-8BC9-9E20CD5B0386}"/>
            </c:ext>
          </c:extLst>
        </c:ser>
        <c:dLbls>
          <c:showLegendKey val="0"/>
          <c:showVal val="0"/>
          <c:showCatName val="0"/>
          <c:showSerName val="0"/>
          <c:showPercent val="0"/>
          <c:showBubbleSize val="0"/>
        </c:dLbls>
        <c:gapWidth val="150"/>
        <c:axId val="159276032"/>
        <c:axId val="159286016"/>
      </c:barChart>
      <c:catAx>
        <c:axId val="159276032"/>
        <c:scaling>
          <c:orientation val="minMax"/>
        </c:scaling>
        <c:delete val="0"/>
        <c:axPos val="b"/>
        <c:numFmt formatCode="General" sourceLinked="1"/>
        <c:majorTickMark val="out"/>
        <c:minorTickMark val="none"/>
        <c:tickLblPos val="nextTo"/>
        <c:crossAx val="159286016"/>
        <c:crosses val="autoZero"/>
        <c:auto val="1"/>
        <c:lblAlgn val="ctr"/>
        <c:lblOffset val="100"/>
        <c:noMultiLvlLbl val="0"/>
      </c:catAx>
      <c:valAx>
        <c:axId val="159286016"/>
        <c:scaling>
          <c:orientation val="minMax"/>
        </c:scaling>
        <c:delete val="0"/>
        <c:axPos val="l"/>
        <c:majorGridlines/>
        <c:numFmt formatCode="General" sourceLinked="1"/>
        <c:majorTickMark val="out"/>
        <c:minorTickMark val="none"/>
        <c:tickLblPos val="nextTo"/>
        <c:crossAx val="159276032"/>
        <c:crosses val="autoZero"/>
        <c:crossBetween val="between"/>
      </c:valAx>
    </c:plotArea>
    <c:legend>
      <c:legendPos val="r"/>
      <c:overlay val="0"/>
    </c:legend>
    <c:plotVisOnly val="1"/>
    <c:dispBlanksAs val="gap"/>
    <c:showDLblsOverMax val="0"/>
  </c:chart>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dLbls>
            <c:dLbl>
              <c:idx val="0"/>
              <c:layout>
                <c:manualLayout>
                  <c:x val="2.7357979751829083E-2"/>
                  <c:y val="-3.0189682000311267E-2"/>
                </c:manualLayout>
              </c:layout>
              <c:tx>
                <c:rich>
                  <a:bodyPr/>
                  <a:lstStyle/>
                  <a:p>
                    <a:r>
                      <a:rPr lang="en-US" sz="900"/>
                      <a:t>Bell
43%</a:t>
                    </a:r>
                  </a:p>
                </c:rich>
              </c:tx>
              <c:showLegendKey val="0"/>
              <c:showVal val="0"/>
              <c:showCatName val="1"/>
              <c:showSerName val="0"/>
              <c:showPercent val="1"/>
              <c:showBubbleSize val="0"/>
              <c:extLst>
                <c:ext xmlns:c15="http://schemas.microsoft.com/office/drawing/2012/chart" uri="{CE6537A1-D6FC-4f65-9D91-7224C49458BB}">
                  <c15:layout/>
                </c:ext>
              </c:extLst>
            </c:dLbl>
            <c:dLbl>
              <c:idx val="1"/>
              <c:layout>
                <c:manualLayout>
                  <c:x val="-6.2117694816550939E-2"/>
                  <c:y val="-3.434592505101737E-2"/>
                </c:manualLayout>
              </c:layout>
              <c:tx>
                <c:rich>
                  <a:bodyPr/>
                  <a:lstStyle/>
                  <a:p>
                    <a:r>
                      <a:rPr lang="en-US" sz="900"/>
                      <a:t>Shaw Media
29%</a:t>
                    </a:r>
                  </a:p>
                </c:rich>
              </c:tx>
              <c:showLegendKey val="0"/>
              <c:showVal val="0"/>
              <c:showCatName val="1"/>
              <c:showSerName val="0"/>
              <c:showPercent val="1"/>
              <c:showBubbleSize val="0"/>
              <c:extLst>
                <c:ext xmlns:c15="http://schemas.microsoft.com/office/drawing/2012/chart" uri="{CE6537A1-D6FC-4f65-9D91-7224C49458BB}">
                  <c15:layout/>
                </c:ext>
              </c:extLst>
            </c:dLbl>
            <c:dLbl>
              <c:idx val="2"/>
              <c:layout>
                <c:manualLayout>
                  <c:x val="-5.2257971962946625E-2"/>
                  <c:y val="1.3858821848876308E-2"/>
                </c:manualLayout>
              </c:layout>
              <c:tx>
                <c:rich>
                  <a:bodyPr/>
                  <a:lstStyle/>
                  <a:p>
                    <a:r>
                      <a:rPr lang="en-US" sz="900"/>
                      <a:t>Other
15%</a:t>
                    </a:r>
                  </a:p>
                </c:rich>
              </c:tx>
              <c:showLegendKey val="0"/>
              <c:showVal val="0"/>
              <c:showCatName val="1"/>
              <c:showSerName val="0"/>
              <c:showPercent val="1"/>
              <c:showBubbleSize val="0"/>
              <c:extLst>
                <c:ext xmlns:c15="http://schemas.microsoft.com/office/drawing/2012/chart" uri="{CE6537A1-D6FC-4f65-9D91-7224C49458BB}">
                  <c15:layout/>
                </c:ext>
              </c:extLst>
            </c:dLbl>
            <c:dLbl>
              <c:idx val="3"/>
              <c:layout>
                <c:manualLayout>
                  <c:x val="-6.8068776876081774E-2"/>
                  <c:y val="7.8822029772373486E-2"/>
                </c:manualLayout>
              </c:layout>
              <c:tx>
                <c:rich>
                  <a:bodyPr/>
                  <a:lstStyle/>
                  <a:p>
                    <a:r>
                      <a:rPr lang="en-US" sz="900"/>
                      <a:t>Rogers
13%</a:t>
                    </a:r>
                  </a:p>
                </c:rich>
              </c:tx>
              <c:showLegendKey val="0"/>
              <c:showVal val="0"/>
              <c:showCatName val="1"/>
              <c:showSerName val="0"/>
              <c:showPercent val="1"/>
              <c:showBubbleSize val="0"/>
              <c:extLst>
                <c:ext xmlns:c15="http://schemas.microsoft.com/office/drawing/2012/chart" uri="{CE6537A1-D6FC-4f65-9D91-7224C49458BB}">
                  <c15:layout/>
                </c:ext>
              </c:extLst>
            </c:dLbl>
            <c:spPr>
              <a:noFill/>
              <a:ln>
                <a:noFill/>
              </a:ln>
              <a:effectLst/>
            </c:sp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Sheet2!$A$12:$A$15</c:f>
              <c:strCache>
                <c:ptCount val="4"/>
                <c:pt idx="0">
                  <c:v>Bell</c:v>
                </c:pt>
                <c:pt idx="1">
                  <c:v>Shaw Media</c:v>
                </c:pt>
                <c:pt idx="2">
                  <c:v>Other</c:v>
                </c:pt>
                <c:pt idx="3">
                  <c:v>Rogers</c:v>
                </c:pt>
              </c:strCache>
            </c:strRef>
          </c:cat>
          <c:val>
            <c:numRef>
              <c:f>Sheet2!$B$12:$B$15</c:f>
              <c:numCache>
                <c:formatCode>0%</c:formatCode>
                <c:ptCount val="4"/>
                <c:pt idx="0">
                  <c:v>0.35</c:v>
                </c:pt>
                <c:pt idx="1">
                  <c:v>0.24</c:v>
                </c:pt>
                <c:pt idx="2">
                  <c:v>0.12</c:v>
                </c:pt>
                <c:pt idx="3">
                  <c:v>0.11</c:v>
                </c:pt>
              </c:numCache>
            </c:numRef>
          </c:val>
          <c:extLst xmlns:c16r2="http://schemas.microsoft.com/office/drawing/2015/06/chart">
            <c:ext xmlns:c16="http://schemas.microsoft.com/office/drawing/2014/chart" uri="{C3380CC4-5D6E-409C-BE32-E72D297353CC}">
              <c16:uniqueId val="{00000000-288B-466D-9F25-56A81D94E90C}"/>
            </c:ext>
          </c:extLst>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Shaw Communications (B)</a:t>
            </a:r>
          </a:p>
        </c:rich>
      </c:tx>
      <c:overlay val="0"/>
      <c:spPr>
        <a:noFill/>
        <a:ln>
          <a:noFill/>
        </a:ln>
        <a:effectLst/>
      </c:spPr>
    </c:title>
    <c:autoTitleDeleted val="0"/>
    <c:plotArea>
      <c:layout/>
      <c:lineChart>
        <c:grouping val="standard"/>
        <c:varyColors val="0"/>
        <c:ser>
          <c:idx val="0"/>
          <c:order val="0"/>
          <c:tx>
            <c:strRef>
              <c:f>'table-1'!$G$1</c:f>
              <c:strCache>
                <c:ptCount val="1"/>
                <c:pt idx="0">
                  <c:v>Adj Close</c:v>
                </c:pt>
              </c:strCache>
            </c:strRef>
          </c:tx>
          <c:spPr>
            <a:ln w="28575" cap="rnd">
              <a:solidFill>
                <a:schemeClr val="tx1"/>
              </a:solidFill>
              <a:round/>
            </a:ln>
            <a:effectLst/>
          </c:spPr>
          <c:marker>
            <c:symbol val="none"/>
          </c:marker>
          <c:cat>
            <c:numRef>
              <c:f>'table-1'!$A$2:$A$73</c:f>
              <c:numCache>
                <c:formatCode>m/d/yy</c:formatCode>
                <c:ptCount val="72"/>
                <c:pt idx="0">
                  <c:v>42339</c:v>
                </c:pt>
                <c:pt idx="1">
                  <c:v>42310</c:v>
                </c:pt>
                <c:pt idx="2">
                  <c:v>42278</c:v>
                </c:pt>
                <c:pt idx="3">
                  <c:v>42248</c:v>
                </c:pt>
                <c:pt idx="4">
                  <c:v>42219</c:v>
                </c:pt>
                <c:pt idx="5">
                  <c:v>42186</c:v>
                </c:pt>
                <c:pt idx="6">
                  <c:v>42156</c:v>
                </c:pt>
                <c:pt idx="7">
                  <c:v>42125</c:v>
                </c:pt>
                <c:pt idx="8">
                  <c:v>42095</c:v>
                </c:pt>
                <c:pt idx="9">
                  <c:v>42065</c:v>
                </c:pt>
                <c:pt idx="10">
                  <c:v>42037</c:v>
                </c:pt>
                <c:pt idx="11">
                  <c:v>42005</c:v>
                </c:pt>
                <c:pt idx="12">
                  <c:v>41974</c:v>
                </c:pt>
                <c:pt idx="13">
                  <c:v>41946</c:v>
                </c:pt>
                <c:pt idx="14">
                  <c:v>41913</c:v>
                </c:pt>
                <c:pt idx="15">
                  <c:v>41883</c:v>
                </c:pt>
                <c:pt idx="16">
                  <c:v>41852</c:v>
                </c:pt>
                <c:pt idx="17">
                  <c:v>41821</c:v>
                </c:pt>
                <c:pt idx="18">
                  <c:v>41792</c:v>
                </c:pt>
                <c:pt idx="19">
                  <c:v>41760</c:v>
                </c:pt>
                <c:pt idx="20">
                  <c:v>41730</c:v>
                </c:pt>
                <c:pt idx="21">
                  <c:v>41701</c:v>
                </c:pt>
                <c:pt idx="22">
                  <c:v>41673</c:v>
                </c:pt>
                <c:pt idx="23">
                  <c:v>41640</c:v>
                </c:pt>
                <c:pt idx="24">
                  <c:v>41610</c:v>
                </c:pt>
                <c:pt idx="25">
                  <c:v>41579</c:v>
                </c:pt>
                <c:pt idx="26">
                  <c:v>41548</c:v>
                </c:pt>
                <c:pt idx="27">
                  <c:v>41519</c:v>
                </c:pt>
                <c:pt idx="28">
                  <c:v>41487</c:v>
                </c:pt>
                <c:pt idx="29">
                  <c:v>41456</c:v>
                </c:pt>
                <c:pt idx="30">
                  <c:v>41428</c:v>
                </c:pt>
                <c:pt idx="31">
                  <c:v>41395</c:v>
                </c:pt>
                <c:pt idx="32">
                  <c:v>41365</c:v>
                </c:pt>
                <c:pt idx="33">
                  <c:v>41334</c:v>
                </c:pt>
                <c:pt idx="34">
                  <c:v>41306</c:v>
                </c:pt>
                <c:pt idx="35">
                  <c:v>41275</c:v>
                </c:pt>
                <c:pt idx="36">
                  <c:v>41246</c:v>
                </c:pt>
                <c:pt idx="37">
                  <c:v>41214</c:v>
                </c:pt>
                <c:pt idx="38">
                  <c:v>41183</c:v>
                </c:pt>
                <c:pt idx="39">
                  <c:v>41155</c:v>
                </c:pt>
                <c:pt idx="40">
                  <c:v>41122</c:v>
                </c:pt>
                <c:pt idx="41">
                  <c:v>41092</c:v>
                </c:pt>
                <c:pt idx="42">
                  <c:v>41061</c:v>
                </c:pt>
                <c:pt idx="43">
                  <c:v>41030</c:v>
                </c:pt>
                <c:pt idx="44">
                  <c:v>41001</c:v>
                </c:pt>
                <c:pt idx="45">
                  <c:v>40969</c:v>
                </c:pt>
                <c:pt idx="46">
                  <c:v>40940</c:v>
                </c:pt>
                <c:pt idx="47">
                  <c:v>40910</c:v>
                </c:pt>
                <c:pt idx="48">
                  <c:v>40878</c:v>
                </c:pt>
                <c:pt idx="49">
                  <c:v>40848</c:v>
                </c:pt>
                <c:pt idx="50">
                  <c:v>40819</c:v>
                </c:pt>
                <c:pt idx="51">
                  <c:v>40787</c:v>
                </c:pt>
                <c:pt idx="52">
                  <c:v>40757</c:v>
                </c:pt>
                <c:pt idx="53">
                  <c:v>40728</c:v>
                </c:pt>
                <c:pt idx="54">
                  <c:v>40695</c:v>
                </c:pt>
                <c:pt idx="55">
                  <c:v>40665</c:v>
                </c:pt>
                <c:pt idx="56">
                  <c:v>40634</c:v>
                </c:pt>
                <c:pt idx="57">
                  <c:v>40603</c:v>
                </c:pt>
                <c:pt idx="58">
                  <c:v>40575</c:v>
                </c:pt>
                <c:pt idx="59">
                  <c:v>40547</c:v>
                </c:pt>
                <c:pt idx="60">
                  <c:v>40513</c:v>
                </c:pt>
                <c:pt idx="61">
                  <c:v>40483</c:v>
                </c:pt>
                <c:pt idx="62">
                  <c:v>40452</c:v>
                </c:pt>
                <c:pt idx="63">
                  <c:v>40437</c:v>
                </c:pt>
                <c:pt idx="64">
                  <c:v>40393</c:v>
                </c:pt>
                <c:pt idx="65">
                  <c:v>40361</c:v>
                </c:pt>
                <c:pt idx="66">
                  <c:v>40330</c:v>
                </c:pt>
                <c:pt idx="67">
                  <c:v>40301</c:v>
                </c:pt>
                <c:pt idx="68">
                  <c:v>40269</c:v>
                </c:pt>
                <c:pt idx="69">
                  <c:v>40238</c:v>
                </c:pt>
                <c:pt idx="70">
                  <c:v>40210</c:v>
                </c:pt>
                <c:pt idx="71">
                  <c:v>40182</c:v>
                </c:pt>
              </c:numCache>
            </c:numRef>
          </c:cat>
          <c:val>
            <c:numRef>
              <c:f>'table-1'!$G$2:$G$73</c:f>
              <c:numCache>
                <c:formatCode>General</c:formatCode>
                <c:ptCount val="72"/>
                <c:pt idx="0">
                  <c:v>25.815930000000009</c:v>
                </c:pt>
                <c:pt idx="1">
                  <c:v>26.136500000000009</c:v>
                </c:pt>
                <c:pt idx="2">
                  <c:v>25.41226</c:v>
                </c:pt>
                <c:pt idx="3">
                  <c:v>24.095189999999999</c:v>
                </c:pt>
                <c:pt idx="4">
                  <c:v>24.552779999999981</c:v>
                </c:pt>
                <c:pt idx="5">
                  <c:v>25.684349999999981</c:v>
                </c:pt>
                <c:pt idx="6">
                  <c:v>25.083590000000001</c:v>
                </c:pt>
                <c:pt idx="7">
                  <c:v>25.221969999999999</c:v>
                </c:pt>
                <c:pt idx="8">
                  <c:v>25.248660000000001</c:v>
                </c:pt>
                <c:pt idx="9">
                  <c:v>25.929970000000001</c:v>
                </c:pt>
                <c:pt idx="10">
                  <c:v>26.368269999999999</c:v>
                </c:pt>
                <c:pt idx="11">
                  <c:v>26.595379999999999</c:v>
                </c:pt>
                <c:pt idx="12">
                  <c:v>28.33418</c:v>
                </c:pt>
                <c:pt idx="13">
                  <c:v>27.81514</c:v>
                </c:pt>
                <c:pt idx="14">
                  <c:v>25.99521</c:v>
                </c:pt>
                <c:pt idx="15">
                  <c:v>24.5749</c:v>
                </c:pt>
                <c:pt idx="16">
                  <c:v>24.439710000000002</c:v>
                </c:pt>
                <c:pt idx="17">
                  <c:v>23.760670000000001</c:v>
                </c:pt>
                <c:pt idx="18">
                  <c:v>24.24999</c:v>
                </c:pt>
                <c:pt idx="19">
                  <c:v>23.841159999999999</c:v>
                </c:pt>
                <c:pt idx="20">
                  <c:v>23.373629999999981</c:v>
                </c:pt>
                <c:pt idx="21">
                  <c:v>23.16142</c:v>
                </c:pt>
                <c:pt idx="22">
                  <c:v>22.389240000000001</c:v>
                </c:pt>
                <c:pt idx="23">
                  <c:v>21.408380000000001</c:v>
                </c:pt>
                <c:pt idx="24">
                  <c:v>22.449200000000001</c:v>
                </c:pt>
                <c:pt idx="25">
                  <c:v>21.17118</c:v>
                </c:pt>
                <c:pt idx="26">
                  <c:v>21.512080000000001</c:v>
                </c:pt>
                <c:pt idx="27">
                  <c:v>20.560839999999999</c:v>
                </c:pt>
                <c:pt idx="28">
                  <c:v>21.7394</c:v>
                </c:pt>
                <c:pt idx="29">
                  <c:v>21.79514</c:v>
                </c:pt>
                <c:pt idx="30">
                  <c:v>21.475650000000002</c:v>
                </c:pt>
                <c:pt idx="31">
                  <c:v>19.590599999999981</c:v>
                </c:pt>
                <c:pt idx="32">
                  <c:v>19.375050000000009</c:v>
                </c:pt>
                <c:pt idx="33">
                  <c:v>21.177779999999991</c:v>
                </c:pt>
                <c:pt idx="34">
                  <c:v>20.69445</c:v>
                </c:pt>
                <c:pt idx="35">
                  <c:v>19.51275</c:v>
                </c:pt>
                <c:pt idx="36">
                  <c:v>19.027830000000009</c:v>
                </c:pt>
                <c:pt idx="37">
                  <c:v>18.178000000000001</c:v>
                </c:pt>
                <c:pt idx="38">
                  <c:v>17.993880000000001</c:v>
                </c:pt>
                <c:pt idx="39">
                  <c:v>16.571380000000001</c:v>
                </c:pt>
                <c:pt idx="40">
                  <c:v>16.538139999999981</c:v>
                </c:pt>
                <c:pt idx="41">
                  <c:v>15.98873</c:v>
                </c:pt>
                <c:pt idx="42">
                  <c:v>15.65462</c:v>
                </c:pt>
                <c:pt idx="43">
                  <c:v>16.001930000000009</c:v>
                </c:pt>
                <c:pt idx="44">
                  <c:v>16.427289999999999</c:v>
                </c:pt>
                <c:pt idx="45">
                  <c:v>16.965329999999842</c:v>
                </c:pt>
                <c:pt idx="46">
                  <c:v>16.257750000000001</c:v>
                </c:pt>
                <c:pt idx="47">
                  <c:v>15.86708</c:v>
                </c:pt>
                <c:pt idx="48">
                  <c:v>16.025790000000001</c:v>
                </c:pt>
                <c:pt idx="49">
                  <c:v>16.611599999999999</c:v>
                </c:pt>
                <c:pt idx="50">
                  <c:v>15.857989999999999</c:v>
                </c:pt>
                <c:pt idx="51">
                  <c:v>16.63861</c:v>
                </c:pt>
                <c:pt idx="52">
                  <c:v>17.467400000000001</c:v>
                </c:pt>
                <c:pt idx="53">
                  <c:v>16.764790000000001</c:v>
                </c:pt>
                <c:pt idx="54">
                  <c:v>17.023859999999999</c:v>
                </c:pt>
                <c:pt idx="55">
                  <c:v>16.019089999999991</c:v>
                </c:pt>
                <c:pt idx="56">
                  <c:v>15.35084</c:v>
                </c:pt>
                <c:pt idx="57">
                  <c:v>15.64574</c:v>
                </c:pt>
                <c:pt idx="58">
                  <c:v>15.777369999999999</c:v>
                </c:pt>
                <c:pt idx="59">
                  <c:v>16.066220000000001</c:v>
                </c:pt>
                <c:pt idx="60">
                  <c:v>16.166889999999999</c:v>
                </c:pt>
                <c:pt idx="61">
                  <c:v>15.520799999999999</c:v>
                </c:pt>
                <c:pt idx="62">
                  <c:v>16.44557</c:v>
                </c:pt>
                <c:pt idx="63">
                  <c:v>16.984210000000001</c:v>
                </c:pt>
                <c:pt idx="64">
                  <c:v>16.001380000000001</c:v>
                </c:pt>
                <c:pt idx="65">
                  <c:v>15.029210000000001</c:v>
                </c:pt>
                <c:pt idx="66">
                  <c:v>14.225149999999999</c:v>
                </c:pt>
                <c:pt idx="67">
                  <c:v>14.180099999999999</c:v>
                </c:pt>
                <c:pt idx="68">
                  <c:v>14.060129999999999</c:v>
                </c:pt>
                <c:pt idx="69">
                  <c:v>14.75694</c:v>
                </c:pt>
                <c:pt idx="70">
                  <c:v>14.6015</c:v>
                </c:pt>
                <c:pt idx="71">
                  <c:v>14.499309999999999</c:v>
                </c:pt>
              </c:numCache>
            </c:numRef>
          </c:val>
          <c:smooth val="0"/>
          <c:extLst xmlns:c16r2="http://schemas.microsoft.com/office/drawing/2015/06/chart">
            <c:ext xmlns:c16="http://schemas.microsoft.com/office/drawing/2014/chart" uri="{C3380CC4-5D6E-409C-BE32-E72D297353CC}">
              <c16:uniqueId val="{00000000-75B5-4C6D-8443-F9F5F1A651A4}"/>
            </c:ext>
          </c:extLst>
        </c:ser>
        <c:dLbls>
          <c:showLegendKey val="0"/>
          <c:showVal val="0"/>
          <c:showCatName val="0"/>
          <c:showSerName val="0"/>
          <c:showPercent val="0"/>
          <c:showBubbleSize val="0"/>
        </c:dLbls>
        <c:marker val="1"/>
        <c:smooth val="0"/>
        <c:axId val="159362048"/>
        <c:axId val="159662848"/>
      </c:lineChart>
      <c:dateAx>
        <c:axId val="159362048"/>
        <c:scaling>
          <c:orientation val="minMax"/>
        </c:scaling>
        <c:delete val="0"/>
        <c:axPos val="b"/>
        <c:numFmt formatCode="yyyy/mm" sourceLinked="0"/>
        <c:majorTickMark val="out"/>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59662848"/>
        <c:crosses val="autoZero"/>
        <c:auto val="0"/>
        <c:lblOffset val="100"/>
        <c:baseTimeUnit val="days"/>
        <c:minorUnit val="1"/>
        <c:minorTimeUnit val="months"/>
      </c:dateAx>
      <c:valAx>
        <c:axId val="15966284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vert="horz"/>
          <a:lstStyle/>
          <a:p>
            <a:pPr>
              <a:defRPr/>
            </a:pPr>
            <a:endParaRPr lang="en-US"/>
          </a:p>
        </c:txPr>
        <c:crossAx val="159362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EC2B7-8A43-4461-B265-72ACDDAF4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5385</Words>
  <Characters>30696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2017-05-12T14:38:00Z</cp:lastPrinted>
  <dcterms:created xsi:type="dcterms:W3CDTF">2017-05-10T14:15:00Z</dcterms:created>
  <dcterms:modified xsi:type="dcterms:W3CDTF">2017-07-25T18:21:00Z</dcterms:modified>
</cp:coreProperties>
</file>