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D27BC7" w:rsidP="00F105B7">
      <w:pPr>
        <w:pStyle w:val="ProductNumber"/>
      </w:pPr>
      <w:r>
        <w:t>9B17M075</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D27BC7" w:rsidP="00013360">
      <w:pPr>
        <w:pStyle w:val="CaseTitle"/>
        <w:spacing w:after="0" w:line="240" w:lineRule="auto"/>
        <w:rPr>
          <w:sz w:val="20"/>
          <w:szCs w:val="20"/>
        </w:rPr>
      </w:pPr>
      <w:r>
        <w:rPr>
          <w:rFonts w:eastAsia="Times New Roman"/>
          <w:szCs w:val="20"/>
        </w:rPr>
        <w:t>The Italian Bakery: exploring options for future growth</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D27BC7" w:rsidP="00627C63">
      <w:pPr>
        <w:pStyle w:val="StyleCopyrightStatementAfter0ptBottomSinglesolidline1"/>
      </w:pPr>
      <w:r>
        <w:t xml:space="preserve">Trina </w:t>
      </w:r>
      <w:proofErr w:type="spellStart"/>
      <w:r>
        <w:t>Ruthes</w:t>
      </w:r>
      <w:proofErr w:type="spellEnd"/>
      <w:r w:rsidR="001C7777">
        <w:t xml:space="preserve"> </w:t>
      </w:r>
      <w:r w:rsidR="004B632F" w:rsidRPr="00104567">
        <w:t>wrote this</w:t>
      </w:r>
      <w:r w:rsidR="004B632F">
        <w:t xml:space="preserve"> </w:t>
      </w:r>
      <w:r w:rsidR="00152682">
        <w:t>case</w:t>
      </w:r>
      <w:r w:rsidR="004B632F">
        <w:t xml:space="preserve"> </w:t>
      </w:r>
      <w:r>
        <w:t>under the supervision of Elizabeth M. A. Grasby</w:t>
      </w:r>
      <w:r w:rsidR="00A6365B">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D27BC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D27BC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D27BC7">
        <w:t>2017</w:t>
      </w:r>
      <w:r w:rsidR="001C7777">
        <w:t>-</w:t>
      </w:r>
      <w:r w:rsidR="00D27BC7">
        <w:t>0</w:t>
      </w:r>
      <w:r w:rsidR="00A6365B">
        <w:t>6</w:t>
      </w:r>
      <w:r w:rsidR="00751E0B">
        <w:t>-</w:t>
      </w:r>
      <w:r w:rsidR="00A6365B">
        <w:t>08</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D27BC7" w:rsidRPr="00C13F95" w:rsidRDefault="00D27BC7" w:rsidP="00D27BC7">
      <w:pPr>
        <w:pStyle w:val="BodyTextMain"/>
        <w:rPr>
          <w:rFonts w:eastAsia="MS Mincho"/>
          <w:lang w:val="en-GB"/>
        </w:rPr>
      </w:pPr>
      <w:r w:rsidRPr="00C13F95">
        <w:rPr>
          <w:rFonts w:eastAsia="MS Mincho"/>
          <w:lang w:val="en-GB"/>
        </w:rPr>
        <w:t>I</w:t>
      </w:r>
      <w:r>
        <w:rPr>
          <w:rFonts w:eastAsia="MS Mincho"/>
          <w:lang w:val="en-GB"/>
        </w:rPr>
        <w:t xml:space="preserve">n </w:t>
      </w:r>
      <w:r w:rsidRPr="00C13F95">
        <w:rPr>
          <w:rFonts w:eastAsia="MS Mincho"/>
          <w:lang w:val="en-GB"/>
        </w:rPr>
        <w:t xml:space="preserve">early January 2015, Bill </w:t>
      </w:r>
      <w:proofErr w:type="spellStart"/>
      <w:r w:rsidRPr="00C13F95">
        <w:rPr>
          <w:rFonts w:eastAsia="MS Mincho"/>
          <w:lang w:val="en-GB"/>
        </w:rPr>
        <w:t>Liambotis</w:t>
      </w:r>
      <w:proofErr w:type="spellEnd"/>
      <w:r w:rsidRPr="00C13F95">
        <w:rPr>
          <w:rFonts w:eastAsia="MS Mincho"/>
          <w:lang w:val="en-GB"/>
        </w:rPr>
        <w:t xml:space="preserve">, owner of the Italian Bakery (the Bakery), a producer and distributor of bread loaves and bread rolls in London, Ontario, had just left a meeting with his business partner, Nikos </w:t>
      </w:r>
      <w:proofErr w:type="spellStart"/>
      <w:r w:rsidRPr="00C13F95">
        <w:rPr>
          <w:rFonts w:eastAsia="MS Mincho"/>
          <w:lang w:val="en-GB"/>
        </w:rPr>
        <w:t>Dannos</w:t>
      </w:r>
      <w:proofErr w:type="spellEnd"/>
      <w:r w:rsidRPr="00C13F95">
        <w:rPr>
          <w:rFonts w:eastAsia="MS Mincho"/>
          <w:lang w:val="en-GB"/>
        </w:rPr>
        <w:t xml:space="preserve">. The two men had been debating the best strategic route for the future of their business. After nearly 15 years, the Bakery had healthy profit levels, but growth had become stagnant. The partners were considering a number of options: should they continue the business as it was, expand the Bakery’s product line to include dessert goods or organic gluten-free bread, sell loaves of bread at a local outdoor market, or sell the business? Although he liked the idea of refuelling growth to promote the future success of the business, </w:t>
      </w:r>
      <w:proofErr w:type="spellStart"/>
      <w:r w:rsidRPr="00C13F95">
        <w:rPr>
          <w:rFonts w:eastAsia="MS Mincho"/>
          <w:lang w:val="en-GB"/>
        </w:rPr>
        <w:t>Liambotis</w:t>
      </w:r>
      <w:proofErr w:type="spellEnd"/>
      <w:r w:rsidRPr="00C13F95">
        <w:rPr>
          <w:rFonts w:eastAsia="MS Mincho"/>
          <w:lang w:val="en-GB"/>
        </w:rPr>
        <w:t xml:space="preserve"> was hesitant to do so this late in his career. If they were to pursue an expansion, </w:t>
      </w:r>
      <w:proofErr w:type="spellStart"/>
      <w:r w:rsidRPr="00C13F95">
        <w:rPr>
          <w:rFonts w:eastAsia="MS Mincho"/>
          <w:lang w:val="en-GB"/>
        </w:rPr>
        <w:t>Liambotis</w:t>
      </w:r>
      <w:proofErr w:type="spellEnd"/>
      <w:r w:rsidRPr="00C13F95">
        <w:rPr>
          <w:rFonts w:eastAsia="MS Mincho"/>
          <w:lang w:val="en-GB"/>
        </w:rPr>
        <w:t xml:space="preserve"> would need to initiate the lending process from the bank. He set out to devise a plan. </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p>
    <w:p w:rsidR="00D27BC7" w:rsidRPr="00C13F95" w:rsidRDefault="00D27BC7" w:rsidP="00D27BC7">
      <w:pPr>
        <w:pStyle w:val="Casehead1"/>
        <w:rPr>
          <w:rFonts w:eastAsia="MS Mincho"/>
          <w:lang w:val="en-GB"/>
        </w:rPr>
      </w:pPr>
      <w:r w:rsidRPr="00C13F95">
        <w:rPr>
          <w:rFonts w:eastAsia="MS Mincho"/>
          <w:lang w:val="en-GB"/>
        </w:rPr>
        <w:t>THE CANADIAN BAKERY PRODUCTS INDUSTRY</w:t>
      </w:r>
      <w:r w:rsidRPr="00C13F95">
        <w:rPr>
          <w:rFonts w:eastAsia="MS Mincho"/>
          <w:vertAlign w:val="superscript"/>
          <w:lang w:val="en-GB"/>
        </w:rPr>
        <w:footnoteReference w:id="1"/>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color w:val="000000"/>
          <w:lang w:val="en-GB"/>
        </w:rPr>
      </w:pPr>
      <w:r w:rsidRPr="00C13F95">
        <w:rPr>
          <w:rFonts w:eastAsia="MS Mincho"/>
          <w:color w:val="000000"/>
          <w:lang w:val="en-GB"/>
        </w:rPr>
        <w:t>The Canadian bakery market, which included fresh and frozen bakery products and desserts, was the second</w:t>
      </w:r>
      <w:r>
        <w:rPr>
          <w:rFonts w:eastAsia="MS Mincho"/>
          <w:color w:val="000000"/>
          <w:lang w:val="en-GB"/>
        </w:rPr>
        <w:t>-</w:t>
      </w:r>
      <w:r w:rsidRPr="00C13F95">
        <w:rPr>
          <w:rFonts w:eastAsia="MS Mincho"/>
          <w:color w:val="000000"/>
          <w:lang w:val="en-GB"/>
        </w:rPr>
        <w:t xml:space="preserve">largest subcategory in the packaged goods market and represented 17.6 per cent of this market. In 2011, it generated revenues of </w:t>
      </w:r>
      <w:r w:rsidR="00A6365B">
        <w:rPr>
          <w:rFonts w:eastAsia="MS Mincho"/>
          <w:color w:val="000000"/>
          <w:lang w:val="en-GB"/>
        </w:rPr>
        <w:t>CA</w:t>
      </w:r>
      <w:r w:rsidRPr="00C13F95">
        <w:rPr>
          <w:rFonts w:eastAsia="MS Mincho"/>
          <w:color w:val="000000"/>
          <w:lang w:val="en-GB"/>
        </w:rPr>
        <w:t>$8.6 billion</w:t>
      </w:r>
      <w:r>
        <w:rPr>
          <w:rStyle w:val="FootnoteReference"/>
          <w:rFonts w:eastAsia="MS Mincho"/>
          <w:color w:val="000000"/>
          <w:lang w:val="en-GB"/>
        </w:rPr>
        <w:footnoteReference w:id="2"/>
      </w:r>
      <w:r w:rsidRPr="00C13F95">
        <w:rPr>
          <w:rFonts w:eastAsia="MS Mincho"/>
          <w:color w:val="000000"/>
          <w:lang w:val="en-GB"/>
        </w:rPr>
        <w:t xml:space="preserve"> and product volume of 1.2 million tonnes. It had expanded at a compound annual growth rate of 3.3 per cent from 2006 to 2011. Bread made up the largest subcategory within this industry; with total sales of $3.5 billion, it had expanded at a compound annual growth rate of 5</w:t>
      </w:r>
      <w:r>
        <w:rPr>
          <w:rFonts w:eastAsia="MS Mincho"/>
          <w:color w:val="000000"/>
          <w:lang w:val="en-GB"/>
        </w:rPr>
        <w:t xml:space="preserve"> </w:t>
      </w:r>
      <w:r w:rsidRPr="00C13F95">
        <w:rPr>
          <w:rFonts w:eastAsia="MS Mincho"/>
          <w:color w:val="000000"/>
          <w:lang w:val="en-GB"/>
        </w:rPr>
        <w:t xml:space="preserve">per cent. </w:t>
      </w:r>
    </w:p>
    <w:p w:rsidR="00D27BC7" w:rsidRPr="00C13F95" w:rsidRDefault="00D27BC7" w:rsidP="00D27BC7">
      <w:pPr>
        <w:pStyle w:val="BodyTextMain"/>
        <w:rPr>
          <w:rFonts w:eastAsia="MS Mincho"/>
          <w:color w:val="000000"/>
          <w:lang w:val="en-GB"/>
        </w:rPr>
      </w:pPr>
    </w:p>
    <w:p w:rsidR="00D27BC7" w:rsidRPr="00C13F95" w:rsidRDefault="00D27BC7" w:rsidP="00D27BC7">
      <w:pPr>
        <w:pStyle w:val="BodyTextMain"/>
        <w:rPr>
          <w:rFonts w:eastAsia="MS Mincho"/>
          <w:b/>
          <w:lang w:val="en-GB"/>
        </w:rPr>
      </w:pPr>
      <w:r w:rsidRPr="00C13F95">
        <w:rPr>
          <w:rFonts w:eastAsia="MS Mincho"/>
          <w:color w:val="000000"/>
          <w:lang w:val="en-GB"/>
        </w:rPr>
        <w:t xml:space="preserve">Despite this revenue growth, the industry’s overall volume growth was stagnant due to a decline in the growth of some dessert subcategories. This inertia was projected to continue through 2016. Changes in consumer behaviour favoured healthier diets and lifestyles, which were becoming increasingly important to Canadians. This trend had also resulted in an increased demand in recent years for innovative and more natural, non-processed products that were tailored to specific dietary requirements (e.g., gluten-free </w:t>
      </w:r>
      <w:r w:rsidRPr="00C13F95">
        <w:rPr>
          <w:rFonts w:eastAsia="MS Mincho"/>
          <w:color w:val="000000"/>
          <w:lang w:val="en-GB"/>
        </w:rPr>
        <w:lastRenderedPageBreak/>
        <w:t>products). This in turn affected the ingredients (e.g., rice flour, chia flour, quinoa, and ancient grains) used in producing bakery products, created a more diverse competitive landscape, and put pressure on existing companies in the industry to adjust their operations to changing consumer demands.</w:t>
      </w:r>
    </w:p>
    <w:p w:rsidR="00D27BC7" w:rsidRPr="00C13F95" w:rsidRDefault="00D27BC7" w:rsidP="00D27BC7">
      <w:pPr>
        <w:pStyle w:val="BodyTextMain"/>
        <w:rPr>
          <w:rFonts w:eastAsia="MS Mincho"/>
          <w:color w:val="000000"/>
          <w:spacing w:val="-1"/>
          <w:lang w:val="en-GB"/>
        </w:rPr>
      </w:pPr>
    </w:p>
    <w:p w:rsidR="00D27BC7" w:rsidRPr="00C13F95" w:rsidRDefault="00D27BC7" w:rsidP="00D27BC7">
      <w:pPr>
        <w:pStyle w:val="BodyTextMain"/>
        <w:rPr>
          <w:rFonts w:eastAsia="MS Mincho"/>
          <w:color w:val="000000"/>
          <w:spacing w:val="-1"/>
          <w:lang w:val="en-GB"/>
        </w:rPr>
      </w:pPr>
    </w:p>
    <w:p w:rsidR="00D27BC7" w:rsidRPr="00C13F95" w:rsidRDefault="00D27BC7" w:rsidP="00D27BC7">
      <w:pPr>
        <w:pStyle w:val="Casehead1"/>
        <w:rPr>
          <w:rFonts w:eastAsia="MS Mincho"/>
          <w:lang w:val="en-GB"/>
        </w:rPr>
      </w:pPr>
      <w:r w:rsidRPr="00C13F95">
        <w:rPr>
          <w:rFonts w:eastAsia="MS Mincho"/>
          <w:lang w:val="en-GB"/>
        </w:rPr>
        <w:t>LONDON, ONTARIO</w:t>
      </w:r>
      <w:r w:rsidRPr="00C13F95">
        <w:rPr>
          <w:rFonts w:eastAsia="MS Mincho"/>
          <w:vertAlign w:val="superscript"/>
          <w:lang w:val="en-GB"/>
        </w:rPr>
        <w:footnoteReference w:id="3"/>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r w:rsidRPr="00C13F95">
        <w:rPr>
          <w:rFonts w:eastAsia="MS Mincho"/>
          <w:lang w:val="en-GB"/>
        </w:rPr>
        <w:t>London, Ontario was the 11</w:t>
      </w:r>
      <w:r w:rsidRPr="00AA572E">
        <w:rPr>
          <w:rFonts w:eastAsia="MS Mincho"/>
          <w:lang w:val="en-GB"/>
        </w:rPr>
        <w:t>th</w:t>
      </w:r>
      <w:r>
        <w:rPr>
          <w:rFonts w:eastAsia="MS Mincho"/>
          <w:lang w:val="en-GB"/>
        </w:rPr>
        <w:t>-</w:t>
      </w:r>
      <w:r w:rsidRPr="00C13F95">
        <w:rPr>
          <w:rFonts w:eastAsia="MS Mincho"/>
          <w:lang w:val="en-GB"/>
        </w:rPr>
        <w:t xml:space="preserve">largest city in Canada and home to 385,000 residents. The city was located in Southwestern Ontario, between Toronto, Ontario, and Detroit, Michigan. London was near major provincial highways, three major U.S. border crossings, and an international airport. Several different industries thrived in London because of its location, transportation routes, and demographics. Its residents represented a broad range of cultural, religious, and socio-economic backgrounds. London had major healthcare facilities that enjoyed an excellent reputation. It was also home to a large retirement community and many national and international students who attended Western University and </w:t>
      </w:r>
      <w:proofErr w:type="spellStart"/>
      <w:r w:rsidRPr="00C13F95">
        <w:rPr>
          <w:rFonts w:eastAsia="MS Mincho"/>
          <w:lang w:val="en-GB"/>
        </w:rPr>
        <w:t>Fanshawe</w:t>
      </w:r>
      <w:proofErr w:type="spellEnd"/>
      <w:r w:rsidRPr="00C13F95">
        <w:rPr>
          <w:rFonts w:eastAsia="MS Mincho"/>
          <w:lang w:val="en-GB"/>
        </w:rPr>
        <w:t xml:space="preserve"> College. The unemployment rate had decreased slightly in recent years to 7.5 per cent in 2014, but it was still higher than the country’s national average and one of the highest in Canada. The London and surrounding area labour force represented 63 per cent of the city’s population.</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r w:rsidRPr="00C13F95">
        <w:rPr>
          <w:rFonts w:eastAsia="MS Mincho"/>
          <w:lang w:val="en-GB"/>
        </w:rPr>
        <w:t>In recent years, London had become globally recognized for its booming food and beverage processing industry. Although the industry had existed in London for many years, recent moves by businesses to the city had helped it grow. London’s close access to major metropolitan areas in Canada and the United States, combined with its proximity to Ontario’s agricultural farm belt, made the city an ideal location. Over 6,000 Londoners were employed in the food-processing industry, and the city was home to several large food-processing companies, including Labatt Brewing Company Limited</w:t>
      </w:r>
      <w:r w:rsidRPr="00C13F95" w:rsidDel="00FD67BD">
        <w:rPr>
          <w:rFonts w:eastAsia="MS Mincho"/>
          <w:lang w:val="en-GB"/>
        </w:rPr>
        <w:t xml:space="preserve"> </w:t>
      </w:r>
      <w:r w:rsidRPr="00C13F95">
        <w:rPr>
          <w:rFonts w:eastAsia="MS Mincho"/>
          <w:lang w:val="en-GB"/>
        </w:rPr>
        <w:t xml:space="preserve">(founded in 1847), Cargill Incorporated, Nestlé, The Original </w:t>
      </w:r>
      <w:proofErr w:type="spellStart"/>
      <w:r w:rsidRPr="00C13F95">
        <w:rPr>
          <w:rFonts w:eastAsia="MS Mincho"/>
          <w:lang w:val="en-GB"/>
        </w:rPr>
        <w:t>Cakerie</w:t>
      </w:r>
      <w:proofErr w:type="spellEnd"/>
      <w:r w:rsidRPr="00C13F95">
        <w:rPr>
          <w:rFonts w:eastAsia="MS Mincho"/>
          <w:lang w:val="en-GB"/>
        </w:rPr>
        <w:t xml:space="preserve">, McCormick Canada, and </w:t>
      </w:r>
      <w:proofErr w:type="spellStart"/>
      <w:r w:rsidRPr="00C13F95">
        <w:rPr>
          <w:rFonts w:eastAsia="MS Mincho"/>
          <w:lang w:val="en-GB"/>
        </w:rPr>
        <w:t>Dr.</w:t>
      </w:r>
      <w:proofErr w:type="spellEnd"/>
      <w:r w:rsidRPr="00C13F95">
        <w:rPr>
          <w:rFonts w:eastAsia="MS Mincho"/>
          <w:lang w:val="en-GB"/>
        </w:rPr>
        <w:t xml:space="preserve"> </w:t>
      </w:r>
      <w:proofErr w:type="spellStart"/>
      <w:r w:rsidRPr="00C13F95">
        <w:rPr>
          <w:rFonts w:eastAsia="MS Mincho"/>
          <w:lang w:val="en-GB"/>
        </w:rPr>
        <w:t>Oetker</w:t>
      </w:r>
      <w:proofErr w:type="spellEnd"/>
      <w:r w:rsidRPr="00C13F95">
        <w:rPr>
          <w:rFonts w:eastAsia="MS Mincho"/>
          <w:lang w:val="en-GB"/>
        </w:rPr>
        <w:t xml:space="preserve">, which opened its first North American frozen pizza plant in London in 2014. </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p>
    <w:p w:rsidR="00D27BC7" w:rsidRPr="00C13F95" w:rsidRDefault="00D27BC7" w:rsidP="00D27BC7">
      <w:pPr>
        <w:pStyle w:val="Casehead1"/>
        <w:rPr>
          <w:rFonts w:eastAsia="MS Mincho"/>
          <w:lang w:val="en-GB"/>
        </w:rPr>
      </w:pPr>
      <w:r w:rsidRPr="00C13F95">
        <w:rPr>
          <w:rFonts w:eastAsia="MS Mincho"/>
          <w:lang w:val="en-GB"/>
        </w:rPr>
        <w:t>THE ITALIAN BAKERY</w:t>
      </w:r>
      <w:r w:rsidRPr="00C13F95">
        <w:rPr>
          <w:rFonts w:eastAsia="MS Mincho"/>
          <w:vertAlign w:val="superscript"/>
          <w:lang w:val="en-GB"/>
        </w:rPr>
        <w:footnoteReference w:id="4"/>
      </w:r>
    </w:p>
    <w:p w:rsidR="00D27BC7" w:rsidRPr="00C13F95" w:rsidRDefault="00D27BC7" w:rsidP="00D27BC7">
      <w:pPr>
        <w:pStyle w:val="BodyTextMain"/>
        <w:rPr>
          <w:rFonts w:eastAsia="MS Mincho"/>
          <w:lang w:val="en-GB"/>
        </w:rPr>
      </w:pPr>
    </w:p>
    <w:p w:rsidR="00D27BC7" w:rsidRPr="00C13F95" w:rsidRDefault="00D27BC7" w:rsidP="00D27BC7">
      <w:pPr>
        <w:pStyle w:val="Casehead2"/>
        <w:rPr>
          <w:rFonts w:eastAsia="MS Mincho"/>
          <w:lang w:val="en-GB"/>
        </w:rPr>
      </w:pPr>
      <w:r w:rsidRPr="00C13F95">
        <w:rPr>
          <w:rFonts w:eastAsia="MS Mincho"/>
          <w:lang w:val="en-GB"/>
        </w:rPr>
        <w:t>Company Background</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r w:rsidRPr="00C13F95">
        <w:rPr>
          <w:rFonts w:eastAsia="MS Mincho"/>
          <w:lang w:val="en-GB"/>
        </w:rPr>
        <w:t xml:space="preserve">In 2000, </w:t>
      </w:r>
      <w:proofErr w:type="spellStart"/>
      <w:r w:rsidRPr="00C13F95">
        <w:rPr>
          <w:rFonts w:eastAsia="MS Mincho"/>
          <w:lang w:val="en-GB"/>
        </w:rPr>
        <w:t>Liambotis</w:t>
      </w:r>
      <w:proofErr w:type="spellEnd"/>
      <w:r w:rsidRPr="00C13F95">
        <w:rPr>
          <w:rFonts w:eastAsia="MS Mincho"/>
          <w:lang w:val="en-GB"/>
        </w:rPr>
        <w:t xml:space="preserve"> and his silent business partner, </w:t>
      </w:r>
      <w:proofErr w:type="spellStart"/>
      <w:r w:rsidRPr="00C13F95">
        <w:rPr>
          <w:rFonts w:eastAsia="MS Mincho"/>
          <w:lang w:val="en-GB"/>
        </w:rPr>
        <w:t>Dannos</w:t>
      </w:r>
      <w:proofErr w:type="spellEnd"/>
      <w:r w:rsidRPr="00C13F95">
        <w:rPr>
          <w:rFonts w:eastAsia="MS Mincho"/>
          <w:lang w:val="en-GB"/>
        </w:rPr>
        <w:t xml:space="preserve">, purchased the Bakery from an Italian family that was retiring. When they purchased the Bakery, it was a small business in east London that specialized in delivering loaves of bread and bread rolls to residential customers. The partners purchased the business for a low price due to its weak financial performance. They used their personal savings and a small bank loan from a chartered bank for the purchase and assumed the existing building lease. </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proofErr w:type="spellStart"/>
      <w:r w:rsidRPr="00C13F95">
        <w:rPr>
          <w:rFonts w:eastAsia="MS Mincho"/>
          <w:lang w:val="en-GB"/>
        </w:rPr>
        <w:t>Liambotis</w:t>
      </w:r>
      <w:proofErr w:type="spellEnd"/>
      <w:r w:rsidRPr="00C13F95">
        <w:rPr>
          <w:rFonts w:eastAsia="MS Mincho"/>
          <w:lang w:val="en-GB"/>
        </w:rPr>
        <w:t xml:space="preserve"> immediately began to transition the Bakery’s client base from home delivery to wholesale. The business experienced impressive initial growth because of </w:t>
      </w:r>
      <w:proofErr w:type="spellStart"/>
      <w:r w:rsidRPr="00C13F95">
        <w:rPr>
          <w:rFonts w:eastAsia="MS Mincho"/>
          <w:lang w:val="en-GB"/>
        </w:rPr>
        <w:t>Liambotis’s</w:t>
      </w:r>
      <w:proofErr w:type="spellEnd"/>
      <w:r w:rsidRPr="00C13F95">
        <w:rPr>
          <w:rFonts w:eastAsia="MS Mincho"/>
          <w:lang w:val="en-GB"/>
        </w:rPr>
        <w:t xml:space="preserve"> personal network with restaurants, businesses, and variety stores. Three years later, </w:t>
      </w:r>
      <w:proofErr w:type="spellStart"/>
      <w:r w:rsidRPr="00C13F95">
        <w:rPr>
          <w:rFonts w:eastAsia="MS Mincho"/>
          <w:lang w:val="en-GB"/>
        </w:rPr>
        <w:t>Liambotis</w:t>
      </w:r>
      <w:proofErr w:type="spellEnd"/>
      <w:r w:rsidRPr="00C13F95">
        <w:rPr>
          <w:rFonts w:eastAsia="MS Mincho"/>
          <w:lang w:val="en-GB"/>
        </w:rPr>
        <w:t xml:space="preserve"> purchased a larger building in an industrial area of east London to accommodate the rapidly growing business. This building was renovated to accommodate more advanced </w:t>
      </w:r>
      <w:proofErr w:type="gramStart"/>
      <w:r w:rsidRPr="00C13F95">
        <w:rPr>
          <w:rFonts w:eastAsia="MS Mincho"/>
          <w:lang w:val="en-GB"/>
        </w:rPr>
        <w:t>equipment,</w:t>
      </w:r>
      <w:proofErr w:type="gramEnd"/>
      <w:r w:rsidRPr="00C13F95">
        <w:rPr>
          <w:rFonts w:eastAsia="MS Mincho"/>
          <w:lang w:val="en-GB"/>
        </w:rPr>
        <w:t xml:space="preserve"> including machines that made 200-dozen bread rolls an hour. </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r w:rsidRPr="00C13F95">
        <w:rPr>
          <w:rFonts w:eastAsia="MS Mincho"/>
          <w:lang w:val="en-GB"/>
        </w:rPr>
        <w:lastRenderedPageBreak/>
        <w:t xml:space="preserve">After over a decade of operations in this larger facility, the Bakery was producing, selling, and delivering bread products to 150 restaurants and businesses in London, Toronto, and the surrounding areas, while retaining a small group of loyal residential clients who had built a strong working relationship with </w:t>
      </w:r>
      <w:proofErr w:type="spellStart"/>
      <w:r w:rsidRPr="00C13F95">
        <w:rPr>
          <w:rFonts w:eastAsia="MS Mincho"/>
          <w:lang w:val="en-GB"/>
        </w:rPr>
        <w:t>Liambotis</w:t>
      </w:r>
      <w:proofErr w:type="spellEnd"/>
      <w:r w:rsidRPr="00C13F95">
        <w:rPr>
          <w:rFonts w:eastAsia="MS Mincho"/>
          <w:lang w:val="en-GB"/>
        </w:rPr>
        <w:t xml:space="preserve"> over the years. In 2012, </w:t>
      </w:r>
      <w:proofErr w:type="spellStart"/>
      <w:r w:rsidRPr="00C13F95">
        <w:rPr>
          <w:rFonts w:eastAsia="MS Mincho"/>
          <w:lang w:val="en-GB"/>
        </w:rPr>
        <w:t>Liambotis</w:t>
      </w:r>
      <w:proofErr w:type="spellEnd"/>
      <w:r w:rsidRPr="00C13F95">
        <w:rPr>
          <w:rFonts w:eastAsia="MS Mincho"/>
          <w:lang w:val="en-GB"/>
        </w:rPr>
        <w:t xml:space="preserve"> borrowed $72,000 in the form of a long-term loan to buy equipment and expand the Bakery’s storefront display to attract this residential customer base. The </w:t>
      </w:r>
      <w:r>
        <w:rPr>
          <w:rFonts w:eastAsia="MS Mincho"/>
          <w:lang w:val="en-GB"/>
        </w:rPr>
        <w:t>B</w:t>
      </w:r>
      <w:r w:rsidRPr="00C13F95">
        <w:rPr>
          <w:rFonts w:eastAsia="MS Mincho"/>
          <w:lang w:val="en-GB"/>
        </w:rPr>
        <w:t xml:space="preserve">akery’s 306 square metres contained a small storefront display, an office, a large production facility, and a small warehouse. Sales from this expansion were disappointing, and </w:t>
      </w:r>
      <w:proofErr w:type="spellStart"/>
      <w:r w:rsidRPr="00C13F95">
        <w:rPr>
          <w:rFonts w:eastAsia="MS Mincho"/>
          <w:lang w:val="en-GB"/>
        </w:rPr>
        <w:t>Liambotis</w:t>
      </w:r>
      <w:proofErr w:type="spellEnd"/>
      <w:r w:rsidRPr="00C13F95">
        <w:rPr>
          <w:rFonts w:eastAsia="MS Mincho"/>
          <w:lang w:val="en-GB"/>
        </w:rPr>
        <w:t xml:space="preserve"> concluded this was because the Bakery was not in an optimal residential location. The Bakery had earned healthy profits in the past several years, but customer growth had been stagnant (see Exhibits 1 to 4). </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p>
    <w:p w:rsidR="00D27BC7" w:rsidRPr="00C13F95" w:rsidRDefault="00D27BC7" w:rsidP="00D27BC7">
      <w:pPr>
        <w:pStyle w:val="Casehead2"/>
        <w:rPr>
          <w:rFonts w:eastAsia="MS Mincho"/>
          <w:lang w:val="en-GB"/>
        </w:rPr>
      </w:pPr>
      <w:r w:rsidRPr="00C13F95">
        <w:rPr>
          <w:rFonts w:eastAsia="MS Mincho"/>
          <w:lang w:val="en-GB"/>
        </w:rPr>
        <w:t xml:space="preserve">Bill </w:t>
      </w:r>
      <w:proofErr w:type="spellStart"/>
      <w:r w:rsidRPr="00C13F95">
        <w:rPr>
          <w:rFonts w:eastAsia="MS Mincho"/>
          <w:lang w:val="en-GB"/>
        </w:rPr>
        <w:t>Liambotis</w:t>
      </w:r>
      <w:proofErr w:type="spellEnd"/>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spacing w:val="-1"/>
          <w:lang w:val="en-GB"/>
        </w:rPr>
      </w:pPr>
      <w:proofErr w:type="spellStart"/>
      <w:r w:rsidRPr="00C13F95">
        <w:rPr>
          <w:rFonts w:eastAsia="MS Mincho"/>
          <w:spacing w:val="-1"/>
          <w:lang w:val="en-GB"/>
        </w:rPr>
        <w:t>Liambotis</w:t>
      </w:r>
      <w:proofErr w:type="spellEnd"/>
      <w:r w:rsidRPr="00C13F95">
        <w:rPr>
          <w:rFonts w:eastAsia="MS Mincho"/>
          <w:spacing w:val="-1"/>
          <w:lang w:val="en-GB"/>
        </w:rPr>
        <w:t xml:space="preserve"> had immigrated to London from Greece 30 years earlier at the age of 20. He first worked in the restaurant and foodservice industries by serving in local restaurants and making doughnuts for a local bakery. He had always enjoyed cooking and baking and was interested in developing his skills in these areas. Based on this passion, </w:t>
      </w:r>
      <w:proofErr w:type="spellStart"/>
      <w:r w:rsidRPr="00C13F95">
        <w:rPr>
          <w:rFonts w:eastAsia="MS Mincho"/>
          <w:spacing w:val="-1"/>
          <w:lang w:val="en-GB"/>
        </w:rPr>
        <w:t>Liambotis</w:t>
      </w:r>
      <w:proofErr w:type="spellEnd"/>
      <w:r w:rsidRPr="00C13F95">
        <w:rPr>
          <w:rFonts w:eastAsia="MS Mincho"/>
          <w:spacing w:val="-1"/>
          <w:lang w:val="en-GB"/>
        </w:rPr>
        <w:t xml:space="preserve"> became a partial owner in two London-based restaurants, both specializing in diner food with a Greek influence. He enjoyed his experience with the restaurants and thrived on being his own boss. After closing these restaurants due to low profitability, </w:t>
      </w:r>
      <w:proofErr w:type="spellStart"/>
      <w:r w:rsidRPr="00C13F95">
        <w:rPr>
          <w:rFonts w:eastAsia="MS Mincho"/>
          <w:spacing w:val="-1"/>
          <w:lang w:val="en-GB"/>
        </w:rPr>
        <w:t>Liambotis</w:t>
      </w:r>
      <w:proofErr w:type="spellEnd"/>
      <w:r w:rsidRPr="00C13F95">
        <w:rPr>
          <w:rFonts w:eastAsia="MS Mincho"/>
          <w:spacing w:val="-1"/>
          <w:lang w:val="en-GB"/>
        </w:rPr>
        <w:t xml:space="preserve"> spent five years as a sales representative for Canada Bread Company Limited</w:t>
      </w:r>
      <w:r>
        <w:rPr>
          <w:rFonts w:eastAsia="MS Mincho"/>
          <w:spacing w:val="-1"/>
          <w:lang w:val="en-GB"/>
        </w:rPr>
        <w:t xml:space="preserve"> (Canada Bread)</w:t>
      </w:r>
      <w:r w:rsidRPr="00C13F95">
        <w:rPr>
          <w:rFonts w:eastAsia="MS Mincho"/>
          <w:spacing w:val="-1"/>
          <w:lang w:val="en-GB"/>
        </w:rPr>
        <w:t xml:space="preserve">, a large bread distributor. When </w:t>
      </w:r>
      <w:proofErr w:type="spellStart"/>
      <w:r w:rsidRPr="00C13F95">
        <w:rPr>
          <w:rFonts w:eastAsia="MS Mincho"/>
          <w:spacing w:val="-1"/>
          <w:lang w:val="en-GB"/>
        </w:rPr>
        <w:t>Liambotis</w:t>
      </w:r>
      <w:proofErr w:type="spellEnd"/>
      <w:r w:rsidRPr="00C13F95">
        <w:rPr>
          <w:rFonts w:eastAsia="MS Mincho"/>
          <w:spacing w:val="-1"/>
          <w:lang w:val="en-GB"/>
        </w:rPr>
        <w:t xml:space="preserve"> and </w:t>
      </w:r>
      <w:proofErr w:type="spellStart"/>
      <w:r w:rsidRPr="00C13F95">
        <w:rPr>
          <w:rFonts w:eastAsia="MS Mincho"/>
          <w:spacing w:val="-1"/>
          <w:lang w:val="en-GB"/>
        </w:rPr>
        <w:t>Dannos</w:t>
      </w:r>
      <w:proofErr w:type="spellEnd"/>
      <w:r w:rsidRPr="00C13F95">
        <w:rPr>
          <w:rFonts w:eastAsia="MS Mincho"/>
          <w:spacing w:val="-1"/>
          <w:lang w:val="en-GB"/>
        </w:rPr>
        <w:t xml:space="preserve"> purchased the Bakery, </w:t>
      </w:r>
      <w:proofErr w:type="spellStart"/>
      <w:r w:rsidRPr="00C13F95">
        <w:rPr>
          <w:rFonts w:eastAsia="MS Mincho"/>
          <w:spacing w:val="-1"/>
          <w:lang w:val="en-GB"/>
        </w:rPr>
        <w:t>Liambotis</w:t>
      </w:r>
      <w:proofErr w:type="spellEnd"/>
      <w:r w:rsidRPr="00C13F95">
        <w:rPr>
          <w:rFonts w:eastAsia="MS Mincho"/>
          <w:spacing w:val="-1"/>
          <w:lang w:val="en-GB"/>
        </w:rPr>
        <w:t xml:space="preserve"> was confident he could leverage the network of strong working relationships he had built at Canada Bread to make the Bakery successful. At the time of the purchase, </w:t>
      </w:r>
      <w:proofErr w:type="spellStart"/>
      <w:r w:rsidRPr="00C13F95">
        <w:rPr>
          <w:rFonts w:eastAsia="MS Mincho"/>
          <w:spacing w:val="-1"/>
          <w:lang w:val="en-GB"/>
        </w:rPr>
        <w:t>Liambotis</w:t>
      </w:r>
      <w:proofErr w:type="spellEnd"/>
      <w:r w:rsidRPr="00C13F95">
        <w:rPr>
          <w:rFonts w:eastAsia="MS Mincho"/>
          <w:spacing w:val="-1"/>
          <w:lang w:val="en-GB"/>
        </w:rPr>
        <w:t xml:space="preserve"> and his wife had four young children and the Bakery was their sole source of income. </w:t>
      </w:r>
      <w:proofErr w:type="spellStart"/>
      <w:r w:rsidRPr="00C13F95">
        <w:rPr>
          <w:rFonts w:eastAsia="MS Mincho"/>
          <w:spacing w:val="-1"/>
          <w:lang w:val="en-GB"/>
        </w:rPr>
        <w:t>Liambotis</w:t>
      </w:r>
      <w:proofErr w:type="spellEnd"/>
      <w:r w:rsidRPr="00C13F95">
        <w:rPr>
          <w:rFonts w:eastAsia="MS Mincho"/>
          <w:spacing w:val="-1"/>
          <w:lang w:val="en-GB"/>
        </w:rPr>
        <w:t xml:space="preserve"> managed all facility operations and customer accounts, and his wife did the bookkeeping for the business. </w:t>
      </w:r>
    </w:p>
    <w:p w:rsidR="00D27BC7" w:rsidRPr="00C13F95" w:rsidRDefault="00D27BC7" w:rsidP="00D27BC7">
      <w:pPr>
        <w:pStyle w:val="BodyTextMain"/>
        <w:rPr>
          <w:rFonts w:eastAsia="MS Mincho"/>
          <w:spacing w:val="-1"/>
          <w:lang w:val="en-GB"/>
        </w:rPr>
      </w:pPr>
    </w:p>
    <w:p w:rsidR="00D27BC7" w:rsidRPr="00C13F95" w:rsidRDefault="00D27BC7" w:rsidP="00D27BC7">
      <w:pPr>
        <w:pStyle w:val="BodyTextMain"/>
        <w:rPr>
          <w:rFonts w:eastAsia="MS Mincho"/>
          <w:spacing w:val="-1"/>
          <w:lang w:val="en-GB"/>
        </w:rPr>
      </w:pPr>
    </w:p>
    <w:p w:rsidR="00D27BC7" w:rsidRPr="00C13F95" w:rsidRDefault="00D27BC7" w:rsidP="00D27BC7">
      <w:pPr>
        <w:pStyle w:val="Casehead2"/>
        <w:rPr>
          <w:rFonts w:eastAsia="MS Mincho"/>
          <w:lang w:val="en-GB"/>
        </w:rPr>
      </w:pPr>
      <w:r w:rsidRPr="00C13F95">
        <w:rPr>
          <w:rFonts w:eastAsia="MS Mincho"/>
          <w:lang w:val="en-GB"/>
        </w:rPr>
        <w:t>Customers</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r w:rsidRPr="00C13F95">
        <w:rPr>
          <w:rFonts w:eastAsia="MS Mincho"/>
          <w:lang w:val="en-GB"/>
        </w:rPr>
        <w:t xml:space="preserve">The Bakery’s customers were divided into three groups: restaurants, businesses, and residential customers. Some notable customers included Pizza Hut Inc., Red Lobster Hospitality LLC, and Mr. Sub. Over the years, </w:t>
      </w:r>
      <w:proofErr w:type="spellStart"/>
      <w:r w:rsidRPr="00C13F95">
        <w:rPr>
          <w:rFonts w:eastAsia="MS Mincho"/>
          <w:lang w:val="en-GB"/>
        </w:rPr>
        <w:t>Liambotis</w:t>
      </w:r>
      <w:proofErr w:type="spellEnd"/>
      <w:r w:rsidRPr="00C13F95">
        <w:rPr>
          <w:rFonts w:eastAsia="MS Mincho"/>
          <w:lang w:val="en-GB"/>
        </w:rPr>
        <w:t xml:space="preserve"> had developed a strong customer network of local restaurants. These customers, who made up 75 per cent of the Bakery’s sales, were loyal and appreciated the Bakery’s quality products and prompt delivery. </w:t>
      </w:r>
      <w:proofErr w:type="spellStart"/>
      <w:r w:rsidRPr="00C13F95">
        <w:rPr>
          <w:rFonts w:eastAsia="MS Mincho"/>
          <w:lang w:val="en-GB"/>
        </w:rPr>
        <w:t>Liambotis</w:t>
      </w:r>
      <w:proofErr w:type="spellEnd"/>
      <w:r w:rsidRPr="00C13F95">
        <w:rPr>
          <w:rFonts w:eastAsia="MS Mincho"/>
          <w:lang w:val="en-GB"/>
        </w:rPr>
        <w:t xml:space="preserve"> made regular visits to these customers, many of whom he considered to be personal friends. This customer group made consistent, standardized purchases. They were generally less likely to try new products but were most commonly influenced by personal sales calls. Businesses (local grocery stores, international markets, and clubs) were the Bakery’s second-largest customer group, making up 20 per cent of sales. This group valued low prices, on-time delivery, and were more open to trying new and innovative products; in fact, they often put pressure on </w:t>
      </w:r>
      <w:proofErr w:type="spellStart"/>
      <w:r w:rsidRPr="00C13F95">
        <w:rPr>
          <w:rFonts w:eastAsia="MS Mincho"/>
          <w:lang w:val="en-GB"/>
        </w:rPr>
        <w:t>Liambotis</w:t>
      </w:r>
      <w:proofErr w:type="spellEnd"/>
      <w:r w:rsidRPr="00C13F95">
        <w:rPr>
          <w:rFonts w:eastAsia="MS Mincho"/>
          <w:lang w:val="en-GB"/>
        </w:rPr>
        <w:t xml:space="preserve"> to introduce new products. Although most customers were loyal, they had been known to switch suppliers if deliveries were not made on schedule. This group was most influenced by sales calls. Residential clients accounted for 5 per cent of sales, and many were long-standing customers. They appreciated the high quality, great taste, and freshness of the Bakery’s products. This customer group consisted of mostly European immigrants who lived nearby and had been accustomed to purchasing fresh</w:t>
      </w:r>
      <w:r>
        <w:rPr>
          <w:rFonts w:eastAsia="MS Mincho"/>
          <w:lang w:val="en-GB"/>
        </w:rPr>
        <w:t>-</w:t>
      </w:r>
      <w:r w:rsidRPr="00C13F95">
        <w:rPr>
          <w:rFonts w:eastAsia="MS Mincho"/>
          <w:lang w:val="en-GB"/>
        </w:rPr>
        <w:t xml:space="preserve">baked goods in their home countries. Although the business and residential groups were smaller than the restaurant market, </w:t>
      </w:r>
      <w:proofErr w:type="spellStart"/>
      <w:r w:rsidRPr="00C13F95">
        <w:rPr>
          <w:rFonts w:eastAsia="MS Mincho"/>
          <w:lang w:val="en-GB"/>
        </w:rPr>
        <w:t>Liambotis</w:t>
      </w:r>
      <w:proofErr w:type="spellEnd"/>
      <w:r w:rsidRPr="00C13F95">
        <w:rPr>
          <w:rFonts w:eastAsia="MS Mincho"/>
          <w:lang w:val="en-GB"/>
        </w:rPr>
        <w:t xml:space="preserve"> believed the Bakery had yet to maximize the full potential of these two markets.</w:t>
      </w:r>
    </w:p>
    <w:p w:rsidR="00D27BC7" w:rsidRDefault="00D27BC7" w:rsidP="00D27BC7">
      <w:pPr>
        <w:pStyle w:val="BodyTextMain"/>
        <w:rPr>
          <w:rFonts w:eastAsia="MS Mincho"/>
          <w:lang w:val="en-GB"/>
        </w:rPr>
      </w:pPr>
    </w:p>
    <w:p w:rsidR="00C2669C" w:rsidRDefault="00C2669C" w:rsidP="00D27BC7">
      <w:pPr>
        <w:pStyle w:val="BodyTextMain"/>
        <w:rPr>
          <w:rFonts w:eastAsia="MS Mincho"/>
          <w:lang w:val="en-GB"/>
        </w:rPr>
      </w:pPr>
    </w:p>
    <w:p w:rsidR="00C2669C" w:rsidRPr="00C13F95" w:rsidRDefault="00C2669C" w:rsidP="00D27BC7">
      <w:pPr>
        <w:pStyle w:val="BodyTextMain"/>
        <w:rPr>
          <w:rFonts w:eastAsia="MS Mincho"/>
          <w:lang w:val="en-GB"/>
        </w:rPr>
      </w:pPr>
    </w:p>
    <w:p w:rsidR="00D27BC7" w:rsidRPr="00C13F95" w:rsidRDefault="00D27BC7" w:rsidP="00D27BC7">
      <w:pPr>
        <w:pStyle w:val="BodyTextMain"/>
        <w:rPr>
          <w:rFonts w:eastAsia="MS Mincho"/>
          <w:lang w:val="en-GB"/>
        </w:rPr>
      </w:pPr>
    </w:p>
    <w:p w:rsidR="00D27BC7" w:rsidRPr="00C13F95" w:rsidRDefault="00D27BC7" w:rsidP="00D27BC7">
      <w:pPr>
        <w:pStyle w:val="Casehead2"/>
        <w:rPr>
          <w:rFonts w:eastAsia="MS Mincho"/>
          <w:lang w:val="en-GB"/>
        </w:rPr>
      </w:pPr>
      <w:r w:rsidRPr="00C13F95">
        <w:rPr>
          <w:rFonts w:eastAsia="MS Mincho"/>
          <w:lang w:val="en-GB"/>
        </w:rPr>
        <w:lastRenderedPageBreak/>
        <w:t>Current Production Operations</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spacing w:val="-1"/>
          <w:lang w:val="en-GB"/>
        </w:rPr>
      </w:pPr>
      <w:r w:rsidRPr="00C13F95">
        <w:rPr>
          <w:rFonts w:eastAsia="MS Mincho"/>
          <w:spacing w:val="-1"/>
          <w:lang w:val="en-GB"/>
        </w:rPr>
        <w:t>The Bakery’s production facility was equipped with industrial-grade ovens, mixers, proofers,</w:t>
      </w:r>
      <w:r w:rsidRPr="00C13F95">
        <w:rPr>
          <w:rFonts w:eastAsia="MS Mincho"/>
          <w:spacing w:val="-1"/>
          <w:vertAlign w:val="superscript"/>
          <w:lang w:val="en-GB"/>
        </w:rPr>
        <w:footnoteReference w:id="5"/>
      </w:r>
      <w:r w:rsidRPr="00C13F95">
        <w:rPr>
          <w:rFonts w:eastAsia="MS Mincho"/>
          <w:spacing w:val="-1"/>
          <w:lang w:val="en-GB"/>
        </w:rPr>
        <w:t xml:space="preserve"> and a small storage space used primarily for storing raw ingredients. Up to four suppliers delivered non-perishable ingredients (flour, shortening, sugar, and yeast) once a week. When necessary, </w:t>
      </w:r>
      <w:proofErr w:type="spellStart"/>
      <w:r w:rsidRPr="00C13F95">
        <w:rPr>
          <w:rFonts w:eastAsia="MS Mincho"/>
          <w:spacing w:val="-1"/>
          <w:lang w:val="en-GB"/>
        </w:rPr>
        <w:t>Liambotis</w:t>
      </w:r>
      <w:proofErr w:type="spellEnd"/>
      <w:r w:rsidRPr="00C13F95">
        <w:rPr>
          <w:rFonts w:eastAsia="MS Mincho"/>
          <w:spacing w:val="-1"/>
          <w:lang w:val="en-GB"/>
        </w:rPr>
        <w:t xml:space="preserve"> switched suppliers based on price and product offerings.</w:t>
      </w:r>
      <w:r w:rsidRPr="00C13F95">
        <w:rPr>
          <w:rFonts w:eastAsia="MS Mincho"/>
          <w:spacing w:val="-1"/>
          <w:vertAlign w:val="superscript"/>
          <w:lang w:val="en-GB"/>
        </w:rPr>
        <w:footnoteReference w:id="6"/>
      </w:r>
      <w:r w:rsidRPr="00C13F95">
        <w:rPr>
          <w:rFonts w:eastAsia="MS Mincho"/>
          <w:spacing w:val="-1"/>
          <w:lang w:val="en-GB"/>
        </w:rPr>
        <w:t xml:space="preserve"> Very little finished</w:t>
      </w:r>
      <w:r>
        <w:rPr>
          <w:rFonts w:eastAsia="MS Mincho"/>
          <w:spacing w:val="-1"/>
          <w:lang w:val="en-GB"/>
        </w:rPr>
        <w:t>-</w:t>
      </w:r>
      <w:r w:rsidRPr="00C13F95">
        <w:rPr>
          <w:rFonts w:eastAsia="MS Mincho"/>
          <w:spacing w:val="-1"/>
          <w:lang w:val="en-GB"/>
        </w:rPr>
        <w:t xml:space="preserve">goods inventory was held because the products were perishable and needed to be fresh. Finished bread products were stored on site for one night only and then delivered the following morning. </w:t>
      </w:r>
    </w:p>
    <w:p w:rsidR="00D27BC7" w:rsidRPr="00C13F95" w:rsidRDefault="00D27BC7" w:rsidP="00D27BC7">
      <w:pPr>
        <w:pStyle w:val="BodyTextMain"/>
        <w:rPr>
          <w:rFonts w:eastAsia="MS Mincho"/>
          <w:spacing w:val="-1"/>
          <w:lang w:val="en-GB"/>
        </w:rPr>
      </w:pPr>
    </w:p>
    <w:p w:rsidR="00D27BC7" w:rsidRPr="00C13F95" w:rsidRDefault="00D27BC7" w:rsidP="00D27BC7">
      <w:pPr>
        <w:pStyle w:val="BodyTextMain"/>
        <w:rPr>
          <w:rFonts w:eastAsia="MS Mincho"/>
          <w:spacing w:val="-1"/>
          <w:lang w:val="en-GB"/>
        </w:rPr>
      </w:pPr>
      <w:r w:rsidRPr="00C13F95">
        <w:rPr>
          <w:rFonts w:eastAsia="MS Mincho"/>
          <w:spacing w:val="-1"/>
          <w:lang w:val="en-GB"/>
        </w:rPr>
        <w:t xml:space="preserve">The Bakery ran two production shifts from Monday to Saturday and closed on Sundays. The day-shift employees made the bread, and the evening-shift employees sliced and packaged the bread. Thirteen production employees (five for the day shift and six for the evening shift) earned $14 per hour and worked eight hours a day, six days a week. Five delivery drivers began their shifts at 5:00 a.m. to deliver the finished goods. These drivers worked eight hours a day, six days a week, and earned $16 per hour. </w:t>
      </w:r>
      <w:proofErr w:type="spellStart"/>
      <w:r w:rsidRPr="00C13F95">
        <w:rPr>
          <w:rFonts w:eastAsia="MS Mincho"/>
          <w:spacing w:val="-1"/>
          <w:lang w:val="en-GB"/>
        </w:rPr>
        <w:t>Liambotis</w:t>
      </w:r>
      <w:proofErr w:type="spellEnd"/>
      <w:r w:rsidRPr="00C13F95">
        <w:rPr>
          <w:rFonts w:eastAsia="MS Mincho"/>
          <w:spacing w:val="-1"/>
          <w:lang w:val="en-GB"/>
        </w:rPr>
        <w:t xml:space="preserve"> believed it was important to pay his employees above the minimum wage rate</w:t>
      </w:r>
      <w:r w:rsidRPr="00C13F95">
        <w:rPr>
          <w:rFonts w:eastAsia="MS Mincho"/>
          <w:spacing w:val="-1"/>
          <w:vertAlign w:val="superscript"/>
          <w:lang w:val="en-GB"/>
        </w:rPr>
        <w:footnoteReference w:id="7"/>
      </w:r>
      <w:r w:rsidRPr="00C13F95">
        <w:rPr>
          <w:rFonts w:eastAsia="MS Mincho"/>
          <w:spacing w:val="-1"/>
          <w:lang w:val="en-GB"/>
        </w:rPr>
        <w:t xml:space="preserve"> to encourage productivity and motivate performance. The Bakery experienced low employee turnover of its delivery drivers and day</w:t>
      </w:r>
      <w:r>
        <w:rPr>
          <w:rFonts w:eastAsia="MS Mincho"/>
          <w:spacing w:val="-1"/>
          <w:lang w:val="en-GB"/>
        </w:rPr>
        <w:t>-</w:t>
      </w:r>
      <w:r w:rsidRPr="00C13F95">
        <w:rPr>
          <w:rFonts w:eastAsia="MS Mincho"/>
          <w:spacing w:val="-1"/>
          <w:lang w:val="en-GB"/>
        </w:rPr>
        <w:t xml:space="preserve">shift workers; however, the evening shift experienced high turnover, and it was often difficult to recruit for this shift. </w:t>
      </w:r>
    </w:p>
    <w:p w:rsidR="00D27BC7" w:rsidRPr="00C13F95" w:rsidRDefault="00D27BC7" w:rsidP="00D27BC7">
      <w:pPr>
        <w:pStyle w:val="BodyTextMain"/>
        <w:rPr>
          <w:rFonts w:eastAsia="MS Mincho"/>
          <w:spacing w:val="-1"/>
          <w:lang w:val="en-GB"/>
        </w:rPr>
      </w:pPr>
    </w:p>
    <w:p w:rsidR="00D27BC7" w:rsidRPr="00C13F95" w:rsidRDefault="00D27BC7" w:rsidP="00D27BC7">
      <w:pPr>
        <w:pStyle w:val="BodyTextMain"/>
        <w:rPr>
          <w:rFonts w:eastAsia="MS Mincho"/>
          <w:spacing w:val="-1"/>
          <w:lang w:val="en-GB"/>
        </w:rPr>
      </w:pPr>
    </w:p>
    <w:p w:rsidR="00D27BC7" w:rsidRPr="00C13F95" w:rsidRDefault="00D27BC7" w:rsidP="00D27BC7">
      <w:pPr>
        <w:pStyle w:val="Casehead1"/>
        <w:rPr>
          <w:rFonts w:eastAsia="MS Mincho"/>
          <w:lang w:val="en-GB"/>
        </w:rPr>
      </w:pPr>
      <w:r w:rsidRPr="00C13F95">
        <w:rPr>
          <w:rFonts w:eastAsia="MS Mincho"/>
          <w:lang w:val="en-GB"/>
        </w:rPr>
        <w:t>THE COMPETITION</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r w:rsidRPr="00C13F95">
        <w:rPr>
          <w:rFonts w:eastAsia="MS Mincho"/>
          <w:lang w:val="en-GB"/>
        </w:rPr>
        <w:t>The Canadian bakery industry included several businesses that manufactured many different products. The top ten companies in the industry were responsible for 28 per cent of new product launches. Most of the product launches between 2006 and 2012 had been in two categories: sweet biscuits and cookies; or cakes, pastries, and sweet goods. The introduction of new products was directly related to considerable pressure from wholesale clients, who encouraged the industry to continuously introduce new and expanded product lines.</w:t>
      </w:r>
      <w:r w:rsidRPr="00C13F95">
        <w:rPr>
          <w:rFonts w:eastAsia="MS Mincho"/>
          <w:vertAlign w:val="superscript"/>
          <w:lang w:val="en-GB"/>
        </w:rPr>
        <w:footnoteReference w:id="8"/>
      </w:r>
      <w:r w:rsidRPr="00C13F95">
        <w:rPr>
          <w:rFonts w:eastAsia="MS Mincho"/>
          <w:lang w:val="en-GB"/>
        </w:rPr>
        <w:t xml:space="preserve"> </w:t>
      </w:r>
    </w:p>
    <w:p w:rsidR="00D27BC7" w:rsidRPr="00C13F95" w:rsidRDefault="00D27BC7" w:rsidP="00D27BC7">
      <w:pPr>
        <w:pStyle w:val="BodyTextMain"/>
        <w:rPr>
          <w:rFonts w:eastAsia="MS Mincho"/>
          <w:color w:val="000000"/>
          <w:spacing w:val="-1"/>
          <w:lang w:val="en-GB"/>
        </w:rPr>
      </w:pPr>
    </w:p>
    <w:p w:rsidR="00D27BC7" w:rsidRPr="00C13F95" w:rsidRDefault="00D27BC7" w:rsidP="00D27BC7">
      <w:pPr>
        <w:pStyle w:val="BodyTextMain"/>
        <w:rPr>
          <w:rFonts w:eastAsia="MS Mincho"/>
          <w:b/>
          <w:color w:val="000000"/>
          <w:spacing w:val="-1"/>
          <w:lang w:val="en-GB"/>
        </w:rPr>
      </w:pPr>
      <w:proofErr w:type="spellStart"/>
      <w:r w:rsidRPr="00C13F95">
        <w:rPr>
          <w:rFonts w:eastAsia="MS Mincho"/>
          <w:color w:val="000000"/>
          <w:spacing w:val="-1"/>
          <w:lang w:val="en-GB"/>
        </w:rPr>
        <w:t>Liambotis</w:t>
      </w:r>
      <w:proofErr w:type="spellEnd"/>
      <w:r w:rsidRPr="00C13F95">
        <w:rPr>
          <w:rFonts w:eastAsia="MS Mincho"/>
          <w:color w:val="000000"/>
          <w:spacing w:val="-1"/>
          <w:lang w:val="en-GB"/>
        </w:rPr>
        <w:t xml:space="preserve"> identified the </w:t>
      </w:r>
      <w:r>
        <w:rPr>
          <w:rFonts w:eastAsia="MS Mincho"/>
          <w:color w:val="000000"/>
          <w:spacing w:val="-1"/>
          <w:lang w:val="en-GB"/>
        </w:rPr>
        <w:t>B</w:t>
      </w:r>
      <w:r w:rsidRPr="00C13F95">
        <w:rPr>
          <w:rFonts w:eastAsia="MS Mincho"/>
          <w:color w:val="000000"/>
          <w:spacing w:val="-1"/>
          <w:lang w:val="en-GB"/>
        </w:rPr>
        <w:t xml:space="preserve">akery’s three major competitors, which each competed for market share from a different segment of the industry’s customer base. </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p>
    <w:p w:rsidR="00D27BC7" w:rsidRPr="00C13F95" w:rsidRDefault="00D27BC7" w:rsidP="00D27BC7">
      <w:pPr>
        <w:pStyle w:val="Casehead2"/>
        <w:rPr>
          <w:rFonts w:eastAsia="MS Mincho"/>
          <w:lang w:val="en-GB"/>
        </w:rPr>
      </w:pPr>
      <w:r w:rsidRPr="00C13F95">
        <w:rPr>
          <w:rFonts w:eastAsia="MS Mincho"/>
          <w:lang w:val="en-GB"/>
        </w:rPr>
        <w:t>Bread Manufacturers—Weston Foods</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color w:val="000000"/>
          <w:spacing w:val="-1"/>
          <w:lang w:val="en-GB"/>
        </w:rPr>
      </w:pPr>
      <w:r w:rsidRPr="00C13F95">
        <w:rPr>
          <w:rFonts w:eastAsia="MS Mincho"/>
          <w:color w:val="000000"/>
          <w:spacing w:val="-1"/>
          <w:lang w:val="en-GB"/>
        </w:rPr>
        <w:t xml:space="preserve">Weston Foods (Weston), a division of George Weston Limited (GWL), was Canada’s largest food and drug processing and </w:t>
      </w:r>
      <w:proofErr w:type="gramStart"/>
      <w:r w:rsidRPr="00C13F95">
        <w:rPr>
          <w:rFonts w:eastAsia="MS Mincho"/>
          <w:color w:val="000000"/>
          <w:spacing w:val="-1"/>
          <w:lang w:val="en-GB"/>
        </w:rPr>
        <w:t>distribution company</w:t>
      </w:r>
      <w:proofErr w:type="gramEnd"/>
      <w:r w:rsidRPr="00C13F95">
        <w:rPr>
          <w:rFonts w:eastAsia="MS Mincho"/>
          <w:color w:val="000000"/>
          <w:spacing w:val="-1"/>
          <w:lang w:val="en-GB"/>
        </w:rPr>
        <w:t xml:space="preserve">. GWL was an owner of Loblaw Companies Limited and brands including President’s Choice, Country Harvest, and </w:t>
      </w:r>
      <w:proofErr w:type="spellStart"/>
      <w:r w:rsidRPr="00C13F95">
        <w:rPr>
          <w:rFonts w:eastAsia="MS Mincho"/>
          <w:color w:val="000000"/>
          <w:spacing w:val="-1"/>
          <w:lang w:val="en-GB"/>
        </w:rPr>
        <w:t>D’Italiano</w:t>
      </w:r>
      <w:proofErr w:type="spellEnd"/>
      <w:r w:rsidRPr="00C13F95">
        <w:rPr>
          <w:rFonts w:eastAsia="MS Mincho"/>
          <w:color w:val="000000"/>
          <w:spacing w:val="-1"/>
          <w:lang w:val="en-GB"/>
        </w:rPr>
        <w:t xml:space="preserve"> breads. The company was founded in Toronto, Ontario, in 1882 by George Weston, who purchased a bread route from his employer. GWL earned nearly $44 billion in revenue and $134 million in net earnings in 2014.</w:t>
      </w:r>
      <w:r w:rsidRPr="00C13F95">
        <w:rPr>
          <w:rFonts w:eastAsia="MS Mincho"/>
          <w:color w:val="000000"/>
          <w:spacing w:val="-1"/>
          <w:vertAlign w:val="superscript"/>
          <w:lang w:val="en-GB"/>
        </w:rPr>
        <w:footnoteReference w:id="9"/>
      </w:r>
      <w:r w:rsidRPr="00C13F95">
        <w:rPr>
          <w:rFonts w:eastAsia="MS Mincho"/>
          <w:color w:val="000000"/>
          <w:spacing w:val="-1"/>
          <w:lang w:val="en-GB"/>
        </w:rPr>
        <w:t xml:space="preserve"> Weston was the Bakery’s largest competitor due to its size, resources, customer base, and distribution network. The Bakery competed directly with Weston for restaurant and business clients. Weston’s size and supplier network enabled its businesses to offer lower prices and a greater variety of products. As the owner of a smaller </w:t>
      </w:r>
      <w:r w:rsidRPr="00C13F95">
        <w:rPr>
          <w:rFonts w:eastAsia="MS Mincho"/>
          <w:color w:val="000000"/>
          <w:spacing w:val="-1"/>
          <w:lang w:val="en-GB"/>
        </w:rPr>
        <w:lastRenderedPageBreak/>
        <w:t xml:space="preserve">company in this market, </w:t>
      </w:r>
      <w:proofErr w:type="spellStart"/>
      <w:r w:rsidRPr="00C13F95">
        <w:rPr>
          <w:rFonts w:eastAsia="MS Mincho"/>
          <w:color w:val="000000"/>
          <w:spacing w:val="-1"/>
          <w:lang w:val="en-GB"/>
        </w:rPr>
        <w:t>Liambotis</w:t>
      </w:r>
      <w:proofErr w:type="spellEnd"/>
      <w:r w:rsidRPr="00C13F95">
        <w:rPr>
          <w:rFonts w:eastAsia="MS Mincho"/>
          <w:color w:val="000000"/>
          <w:spacing w:val="-1"/>
          <w:lang w:val="en-GB"/>
        </w:rPr>
        <w:t xml:space="preserve"> was confident in the Bakery’s ability to compete based on strong personal relationships. </w:t>
      </w:r>
    </w:p>
    <w:p w:rsidR="00D27BC7" w:rsidRPr="00C13F95" w:rsidRDefault="00D27BC7" w:rsidP="00D27BC7">
      <w:pPr>
        <w:pStyle w:val="BodyTextMain"/>
        <w:rPr>
          <w:rFonts w:eastAsia="MS Mincho"/>
          <w:color w:val="000000"/>
          <w:spacing w:val="-1"/>
          <w:lang w:val="en-GB"/>
        </w:rPr>
      </w:pPr>
    </w:p>
    <w:p w:rsidR="00D27BC7" w:rsidRPr="00C13F95" w:rsidRDefault="00D27BC7" w:rsidP="00D27BC7">
      <w:pPr>
        <w:pStyle w:val="BodyTextMain"/>
        <w:rPr>
          <w:rFonts w:eastAsia="MS Mincho"/>
          <w:lang w:val="en-GB"/>
        </w:rPr>
      </w:pPr>
    </w:p>
    <w:p w:rsidR="00D27BC7" w:rsidRPr="00C13F95" w:rsidRDefault="00D27BC7" w:rsidP="00D27BC7">
      <w:pPr>
        <w:pStyle w:val="Casehead2"/>
        <w:rPr>
          <w:rFonts w:eastAsia="MS Mincho"/>
          <w:lang w:val="en-GB"/>
        </w:rPr>
      </w:pPr>
      <w:r w:rsidRPr="00C13F95">
        <w:rPr>
          <w:rFonts w:eastAsia="MS Mincho"/>
          <w:lang w:val="en-GB"/>
        </w:rPr>
        <w:t>Big-Box Retailers—Costco Wholesale</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r w:rsidRPr="00C13F95">
        <w:rPr>
          <w:rFonts w:eastAsia="MS Mincho"/>
          <w:lang w:val="en-GB"/>
        </w:rPr>
        <w:t>Many small restaurants purchased supplies, bread products, and desserts from big-box retailers. Costco Wholesale Canada Ltd.</w:t>
      </w:r>
      <w:r w:rsidRPr="00C13F95" w:rsidDel="00417A05">
        <w:rPr>
          <w:rFonts w:eastAsia="MS Mincho"/>
          <w:lang w:val="en-GB"/>
        </w:rPr>
        <w:t xml:space="preserve"> </w:t>
      </w:r>
      <w:r w:rsidRPr="00C13F95">
        <w:rPr>
          <w:rFonts w:eastAsia="MS Mincho"/>
          <w:lang w:val="en-GB"/>
        </w:rPr>
        <w:t xml:space="preserve">(Costco) was the most popular and accessible choice in London. Costco was a membership warehouse club store; residential and business customers purchased yearly memberships that granted them access to shop at Costco for bulk items at a price slightly above the wholesale price. </w:t>
      </w:r>
      <w:proofErr w:type="spellStart"/>
      <w:r w:rsidRPr="00C13F95">
        <w:rPr>
          <w:rFonts w:eastAsia="MS Mincho"/>
          <w:lang w:val="en-GB"/>
        </w:rPr>
        <w:t>Liambotis</w:t>
      </w:r>
      <w:proofErr w:type="spellEnd"/>
      <w:r w:rsidRPr="00C13F95">
        <w:rPr>
          <w:rFonts w:eastAsia="MS Mincho"/>
          <w:lang w:val="en-GB"/>
        </w:rPr>
        <w:t xml:space="preserve"> knew that some of his restaurant customers visited Costco for last-minute restocking of supplies or to purchase products at lower prices than those offered by the Bakery. </w:t>
      </w:r>
      <w:proofErr w:type="spellStart"/>
      <w:r w:rsidRPr="00C13F95">
        <w:rPr>
          <w:rFonts w:eastAsia="MS Mincho"/>
          <w:lang w:val="en-GB"/>
        </w:rPr>
        <w:t>Liambotis</w:t>
      </w:r>
      <w:proofErr w:type="spellEnd"/>
      <w:r w:rsidRPr="00C13F95">
        <w:rPr>
          <w:rFonts w:eastAsia="MS Mincho"/>
          <w:lang w:val="en-GB"/>
        </w:rPr>
        <w:t xml:space="preserve"> knew that Costco, though popular, was less convenient than the Bakery’s delivery services, and the price difference increased or decreased depending on the products or sales offered by Costco at any particular time.</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p>
    <w:p w:rsidR="00D27BC7" w:rsidRPr="00C13F95" w:rsidRDefault="00D27BC7" w:rsidP="00D27BC7">
      <w:pPr>
        <w:pStyle w:val="Casehead2"/>
        <w:rPr>
          <w:rFonts w:eastAsia="MS Mincho"/>
          <w:lang w:val="en-GB"/>
        </w:rPr>
      </w:pPr>
      <w:r w:rsidRPr="00C13F95">
        <w:rPr>
          <w:rFonts w:eastAsia="MS Mincho"/>
          <w:lang w:val="en-GB"/>
        </w:rPr>
        <w:t>Grocery Stores, Caf</w:t>
      </w:r>
      <w:r>
        <w:rPr>
          <w:rFonts w:eastAsia="MS Mincho"/>
          <w:lang w:val="en-GB"/>
        </w:rPr>
        <w:t>é</w:t>
      </w:r>
      <w:r w:rsidRPr="00C13F95">
        <w:rPr>
          <w:rFonts w:eastAsia="MS Mincho"/>
          <w:lang w:val="en-GB"/>
        </w:rPr>
        <w:t>s, and Restaurants</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r w:rsidRPr="00C13F95">
        <w:rPr>
          <w:rFonts w:eastAsia="MS Mincho"/>
          <w:lang w:val="en-GB"/>
        </w:rPr>
        <w:t>The Bakery competed directly with grocery stores, caf</w:t>
      </w:r>
      <w:r>
        <w:rPr>
          <w:rFonts w:eastAsia="MS Mincho"/>
          <w:lang w:val="en-GB"/>
        </w:rPr>
        <w:t>é</w:t>
      </w:r>
      <w:r w:rsidRPr="00C13F95">
        <w:rPr>
          <w:rFonts w:eastAsia="MS Mincho"/>
          <w:lang w:val="en-GB"/>
        </w:rPr>
        <w:t xml:space="preserve">s, and restaurants for business from its residential customer segment. Grocery stores were customers’ most frequent choice because they offered a quick and convenient way to access bread and bread products while shopping for other food and household items. London was home to a large selection of grocery stores that were easily accessed by residential customers. Many of these stores had made efforts to offer fresher bakery products for their patrons. </w:t>
      </w:r>
      <w:proofErr w:type="spellStart"/>
      <w:r w:rsidRPr="00C13F95">
        <w:rPr>
          <w:rFonts w:eastAsia="MS Mincho"/>
          <w:lang w:val="en-GB"/>
        </w:rPr>
        <w:t>Liambotis</w:t>
      </w:r>
      <w:proofErr w:type="spellEnd"/>
      <w:r w:rsidRPr="00C13F95">
        <w:rPr>
          <w:rFonts w:eastAsia="MS Mincho"/>
          <w:lang w:val="en-GB"/>
        </w:rPr>
        <w:t xml:space="preserve"> observed that bakery purchases in Canada differed from those in Greece: in Greece, it was common for customers to frequent a bakery a couple of times a week to purchase fresh bread products for the home, whereas Canadians usually purchase</w:t>
      </w:r>
      <w:r>
        <w:rPr>
          <w:rFonts w:eastAsia="MS Mincho"/>
          <w:lang w:val="en-GB"/>
        </w:rPr>
        <w:t>d</w:t>
      </w:r>
      <w:r w:rsidRPr="00C13F95">
        <w:rPr>
          <w:rFonts w:eastAsia="MS Mincho"/>
          <w:lang w:val="en-GB"/>
        </w:rPr>
        <w:t xml:space="preserve"> baked goods along with their other groceries. The Bakery offered its walk-in residential customers fresh products Mondays through Saturdays. It had no available seating, whereas customers at caf</w:t>
      </w:r>
      <w:r>
        <w:rPr>
          <w:rFonts w:eastAsia="MS Mincho"/>
          <w:lang w:val="en-GB"/>
        </w:rPr>
        <w:t>é</w:t>
      </w:r>
      <w:r w:rsidRPr="00C13F95">
        <w:rPr>
          <w:rFonts w:eastAsia="MS Mincho"/>
          <w:lang w:val="en-GB"/>
        </w:rPr>
        <w:t>s and restaurants could enjoy fresh bread products, baked goods, and desserts while enjoying a social atmosphere.</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p>
    <w:p w:rsidR="00D27BC7" w:rsidRPr="00C13F95" w:rsidRDefault="00D27BC7" w:rsidP="00D27BC7">
      <w:pPr>
        <w:pStyle w:val="Casehead1"/>
        <w:rPr>
          <w:rFonts w:eastAsia="MS Mincho"/>
          <w:lang w:val="en-GB"/>
        </w:rPr>
      </w:pPr>
      <w:r w:rsidRPr="00C13F95">
        <w:rPr>
          <w:rFonts w:eastAsia="MS Mincho"/>
          <w:lang w:val="en-GB"/>
        </w:rPr>
        <w:t>alternatives</w:t>
      </w:r>
    </w:p>
    <w:p w:rsidR="00D27BC7" w:rsidRPr="00C13F95" w:rsidRDefault="00D27BC7" w:rsidP="00D27BC7">
      <w:pPr>
        <w:pStyle w:val="BodyTextMain"/>
        <w:rPr>
          <w:rFonts w:eastAsia="MS Mincho"/>
          <w:lang w:val="en-GB"/>
        </w:rPr>
      </w:pPr>
    </w:p>
    <w:p w:rsidR="00D27BC7" w:rsidRPr="00C13F95" w:rsidRDefault="00D27BC7" w:rsidP="00D27BC7">
      <w:pPr>
        <w:pStyle w:val="Casehead2"/>
        <w:rPr>
          <w:rFonts w:eastAsia="MS Mincho"/>
          <w:lang w:val="en-GB"/>
        </w:rPr>
      </w:pPr>
      <w:r w:rsidRPr="00C13F95">
        <w:rPr>
          <w:rFonts w:eastAsia="MS Mincho"/>
          <w:lang w:val="en-GB"/>
        </w:rPr>
        <w:t>Status Quo</w:t>
      </w:r>
    </w:p>
    <w:p w:rsidR="00D27BC7" w:rsidRPr="00C13F95" w:rsidRDefault="00D27BC7" w:rsidP="00D27BC7">
      <w:pPr>
        <w:pStyle w:val="BodyTextMain"/>
        <w:rPr>
          <w:rFonts w:eastAsia="MS Mincho"/>
          <w:highlight w:val="yellow"/>
          <w:lang w:val="en-GB"/>
        </w:rPr>
      </w:pPr>
    </w:p>
    <w:p w:rsidR="00D27BC7" w:rsidRPr="00C13F95" w:rsidRDefault="00D27BC7" w:rsidP="00D27BC7">
      <w:pPr>
        <w:pStyle w:val="BodyTextMain"/>
        <w:rPr>
          <w:rFonts w:eastAsia="MS Mincho"/>
          <w:highlight w:val="yellow"/>
          <w:lang w:val="en-GB"/>
        </w:rPr>
      </w:pPr>
      <w:proofErr w:type="spellStart"/>
      <w:r w:rsidRPr="00C13F95">
        <w:rPr>
          <w:lang w:val="en-GB"/>
        </w:rPr>
        <w:t>Liambotis</w:t>
      </w:r>
      <w:proofErr w:type="spellEnd"/>
      <w:r w:rsidRPr="00C13F95">
        <w:rPr>
          <w:lang w:val="en-GB"/>
        </w:rPr>
        <w:t xml:space="preserve"> wondered whether this was the right time to undertake a significant change. He was satisfied with the success the Bakery had achieved over the past 15 years, and he believed he had identified the crucial factors for that success. At the age of 50, </w:t>
      </w:r>
      <w:proofErr w:type="spellStart"/>
      <w:r w:rsidRPr="00C13F95">
        <w:rPr>
          <w:lang w:val="en-GB"/>
        </w:rPr>
        <w:t>Liambotis</w:t>
      </w:r>
      <w:proofErr w:type="spellEnd"/>
      <w:r w:rsidRPr="00C13F95">
        <w:rPr>
          <w:lang w:val="en-GB"/>
        </w:rPr>
        <w:t xml:space="preserve"> was contemplating retirement in the next five years. Would it be wise to take on more work? With the recent changes in the consumer bakery goods industry, he had reservations about making a strategic change now before being certain about the best route. On the other hand, </w:t>
      </w:r>
      <w:proofErr w:type="spellStart"/>
      <w:r w:rsidRPr="00C13F95">
        <w:rPr>
          <w:lang w:val="en-GB"/>
        </w:rPr>
        <w:t>Liambotis</w:t>
      </w:r>
      <w:proofErr w:type="spellEnd"/>
      <w:r w:rsidRPr="00C13F95">
        <w:rPr>
          <w:lang w:val="en-GB"/>
        </w:rPr>
        <w:t xml:space="preserve"> was not happy with the recent stagnation of revenue and income growth. Would this opportunity take his business to the next level and refuel growth? If he maintained the status quo, </w:t>
      </w:r>
      <w:proofErr w:type="spellStart"/>
      <w:r w:rsidRPr="00C13F95">
        <w:rPr>
          <w:lang w:val="en-GB"/>
        </w:rPr>
        <w:t>Liambotis</w:t>
      </w:r>
      <w:proofErr w:type="spellEnd"/>
      <w:r w:rsidRPr="00C13F95">
        <w:rPr>
          <w:lang w:val="en-GB"/>
        </w:rPr>
        <w:t xml:space="preserve"> projected sales would increase by 8 per cent. To achieve this, he would spend an additional $250 per month on advertising in the next year. Changes in the commodity goods market and uncertainty with one of his suppliers would increase the Bakery’s cost of goods sold expense by 1 per cent of sales. The dollar amount of management salary would remain the same as last year. All other expenses would be the same percentage of sales or the same dollar value. </w:t>
      </w:r>
    </w:p>
    <w:p w:rsidR="00D27BC7" w:rsidRDefault="00D27BC7" w:rsidP="00D27BC7">
      <w:pPr>
        <w:pStyle w:val="BodyTextMain"/>
        <w:rPr>
          <w:rFonts w:eastAsia="MS Mincho"/>
          <w:highlight w:val="yellow"/>
          <w:lang w:val="en-GB"/>
        </w:rPr>
      </w:pPr>
    </w:p>
    <w:p w:rsidR="00C2669C" w:rsidRPr="00C13F95" w:rsidRDefault="00C2669C" w:rsidP="00D27BC7">
      <w:pPr>
        <w:pStyle w:val="BodyTextMain"/>
        <w:rPr>
          <w:rFonts w:eastAsia="MS Mincho"/>
          <w:highlight w:val="yellow"/>
          <w:lang w:val="en-GB"/>
        </w:rPr>
      </w:pPr>
    </w:p>
    <w:p w:rsidR="00D27BC7" w:rsidRPr="00C13F95" w:rsidRDefault="00D27BC7" w:rsidP="00D27BC7">
      <w:pPr>
        <w:pStyle w:val="BodyTextMain"/>
        <w:rPr>
          <w:rFonts w:eastAsia="MS Mincho"/>
          <w:highlight w:val="yellow"/>
          <w:lang w:val="en-GB"/>
        </w:rPr>
      </w:pPr>
    </w:p>
    <w:p w:rsidR="00D27BC7" w:rsidRPr="00C13F95" w:rsidRDefault="00D27BC7" w:rsidP="00D27BC7">
      <w:pPr>
        <w:pStyle w:val="Casehead2"/>
        <w:rPr>
          <w:rFonts w:eastAsia="MS Mincho"/>
          <w:lang w:val="en-GB"/>
        </w:rPr>
      </w:pPr>
      <w:r w:rsidRPr="00C13F95">
        <w:rPr>
          <w:rFonts w:eastAsia="MS Mincho"/>
          <w:lang w:val="en-GB"/>
        </w:rPr>
        <w:lastRenderedPageBreak/>
        <w:t>Expansion: Dessert Goods Line</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r w:rsidRPr="00C13F95">
        <w:rPr>
          <w:rFonts w:eastAsia="MS Mincho"/>
          <w:lang w:val="en-GB"/>
        </w:rPr>
        <w:t xml:space="preserve">Adding a dessert goods line (e.g., doughnuts, pastries, and holiday fruit cakes) to the Bakery’s repertoire was one way to increase sales. </w:t>
      </w:r>
      <w:proofErr w:type="spellStart"/>
      <w:r w:rsidRPr="00C13F95">
        <w:rPr>
          <w:rFonts w:eastAsia="MS Mincho"/>
          <w:lang w:val="en-GB"/>
        </w:rPr>
        <w:t>Liambotis</w:t>
      </w:r>
      <w:proofErr w:type="spellEnd"/>
      <w:r w:rsidRPr="00C13F95">
        <w:rPr>
          <w:rFonts w:eastAsia="MS Mincho"/>
          <w:lang w:val="en-GB"/>
        </w:rPr>
        <w:t xml:space="preserve"> believed his skill and passion in this area would help to ensure this option’s success. He had ascertained that there was a high demand for dessert products from several small London doughnut shops, grocery stores, and coffee trucks that had recently opened but were too small to do their own in-house baking. The Bakery could attract a new customer market segment by being the sole supplier of their dessert goods. If pursued, this would be the most significant expansion in the Bakery’s history. Was the business ready for this? Would this option be able to sustain increased sales for many years into the future? </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r w:rsidRPr="00C13F95">
        <w:rPr>
          <w:rFonts w:eastAsia="MS Mincho"/>
          <w:lang w:val="en-GB"/>
        </w:rPr>
        <w:t xml:space="preserve">This alternative would require a $340,000 investment: $125,000 for a 185-square-metre expansion to the building to accommodate a larger production facility, a storage space, and a second office; $95,000 for doughnut- and pastry-making equipment; $100,000 for other equipment, storage racks, and packaging machinery for the fruitcakes; and $20,000 for a used delivery truck to handle the anticipated increase in sales volume. </w:t>
      </w:r>
      <w:proofErr w:type="spellStart"/>
      <w:r w:rsidRPr="00C13F95">
        <w:rPr>
          <w:rFonts w:eastAsia="MS Mincho"/>
          <w:lang w:val="en-GB"/>
        </w:rPr>
        <w:t>Liambotis</w:t>
      </w:r>
      <w:proofErr w:type="spellEnd"/>
      <w:r w:rsidRPr="00C13F95">
        <w:rPr>
          <w:rFonts w:eastAsia="MS Mincho"/>
          <w:lang w:val="en-GB"/>
        </w:rPr>
        <w:t xml:space="preserve"> had secured pre-approval for a $275,000 long-term loan from the Commercial Bank of Canada (CB) at an annual interest rate of prime</w:t>
      </w:r>
      <w:r w:rsidRPr="00C13F95">
        <w:rPr>
          <w:rFonts w:eastAsia="MS Mincho"/>
          <w:vertAlign w:val="superscript"/>
          <w:lang w:val="en-GB"/>
        </w:rPr>
        <w:footnoteReference w:id="10"/>
      </w:r>
      <w:r w:rsidRPr="00C13F95">
        <w:rPr>
          <w:rFonts w:eastAsia="MS Mincho"/>
          <w:lang w:val="en-GB"/>
        </w:rPr>
        <w:t xml:space="preserve"> plus 1 per cent. He was willing to contribute an additional $65,000 interest-free shareholder’s loan to help fund the expansion. </w:t>
      </w:r>
      <w:proofErr w:type="spellStart"/>
      <w:r w:rsidRPr="00C13F95">
        <w:rPr>
          <w:rFonts w:eastAsia="MS Mincho"/>
          <w:lang w:val="en-GB"/>
        </w:rPr>
        <w:t>Liambotis</w:t>
      </w:r>
      <w:proofErr w:type="spellEnd"/>
      <w:r w:rsidRPr="00C13F95">
        <w:rPr>
          <w:rFonts w:eastAsia="MS Mincho"/>
          <w:lang w:val="en-GB"/>
        </w:rPr>
        <w:t xml:space="preserve"> projected that the expansion would increase exposure for the Bakery and that this would result in a 10 per cent increase to the Bakery’s existing bread sales. For the first year, doughnut and pastry sales were projected to be $200,000, and fruitcake sales were projected to be half of that amount. </w:t>
      </w:r>
      <w:proofErr w:type="spellStart"/>
      <w:r w:rsidRPr="00C13F95">
        <w:rPr>
          <w:rFonts w:eastAsia="MS Mincho"/>
          <w:color w:val="000000"/>
          <w:lang w:val="en-GB"/>
        </w:rPr>
        <w:t>Liambotis</w:t>
      </w:r>
      <w:proofErr w:type="spellEnd"/>
      <w:r w:rsidRPr="00C13F95">
        <w:rPr>
          <w:rFonts w:eastAsia="MS Mincho"/>
          <w:color w:val="000000"/>
          <w:lang w:val="en-GB"/>
        </w:rPr>
        <w:t xml:space="preserve"> believed the increased volume would provide for some efficiencies of scale resulting in cost of goods sold remaining at the same percentage of sales. </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r w:rsidRPr="00C13F95">
        <w:rPr>
          <w:rFonts w:eastAsia="MS Mincho"/>
          <w:lang w:val="en-GB"/>
        </w:rPr>
        <w:t xml:space="preserve">The proposed expansion would increase some of the Bakery’s expenses. </w:t>
      </w:r>
      <w:proofErr w:type="spellStart"/>
      <w:r w:rsidRPr="00C13F95">
        <w:rPr>
          <w:rFonts w:eastAsia="MS Mincho"/>
          <w:lang w:val="en-GB"/>
        </w:rPr>
        <w:t>Liambotis</w:t>
      </w:r>
      <w:proofErr w:type="spellEnd"/>
      <w:r w:rsidRPr="00C13F95">
        <w:rPr>
          <w:rFonts w:eastAsia="MS Mincho"/>
          <w:lang w:val="en-GB"/>
        </w:rPr>
        <w:t xml:space="preserve"> planned to hire two new full-time bakers (one for the day shift and one for the evening shift) to assist the current baking staff with production of the existing bread lines and the new dessert lines. He also planned to hire one new delivery truck driver to work full-time hours. Holiday fruitcake production would be seasonal and would require seven temporary bakers to work full-time hours during the months of August to November each year. Even with the facility’s expansion, the Bakery would not have enough space to store and deliver the holiday fruitcakes. To address this, </w:t>
      </w:r>
      <w:proofErr w:type="spellStart"/>
      <w:r w:rsidRPr="00C13F95">
        <w:rPr>
          <w:rFonts w:eastAsia="MS Mincho"/>
          <w:lang w:val="en-GB"/>
        </w:rPr>
        <w:t>Liambotis</w:t>
      </w:r>
      <w:proofErr w:type="spellEnd"/>
      <w:r w:rsidRPr="00C13F95">
        <w:rPr>
          <w:rFonts w:eastAsia="MS Mincho"/>
          <w:lang w:val="en-GB"/>
        </w:rPr>
        <w:t xml:space="preserve"> planned to rent a warehouse facility in Toronto for $8,750 a month (for August to November)</w:t>
      </w:r>
      <w:r w:rsidRPr="00C13F95" w:rsidDel="00133141">
        <w:rPr>
          <w:rFonts w:eastAsia="MS Mincho"/>
          <w:lang w:val="en-GB"/>
        </w:rPr>
        <w:t xml:space="preserve"> </w:t>
      </w:r>
      <w:r w:rsidRPr="00C13F95">
        <w:rPr>
          <w:rFonts w:eastAsia="MS Mincho"/>
          <w:lang w:val="en-GB"/>
        </w:rPr>
        <w:t xml:space="preserve">to store product for delivery to customers in the area. Transportation of products from London to Toronto would cost $350 a trip with an expected 20 trips annually. </w:t>
      </w:r>
      <w:proofErr w:type="spellStart"/>
      <w:r w:rsidRPr="00C13F95">
        <w:rPr>
          <w:rFonts w:eastAsia="MS Mincho"/>
          <w:lang w:val="en-GB"/>
        </w:rPr>
        <w:t>Liambotis</w:t>
      </w:r>
      <w:proofErr w:type="spellEnd"/>
      <w:r w:rsidRPr="00C13F95">
        <w:rPr>
          <w:rFonts w:eastAsia="MS Mincho"/>
          <w:lang w:val="en-GB"/>
        </w:rPr>
        <w:t xml:space="preserve"> also planned to spend an additional $5,000 a year on advertising to promote the new product lines.</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highlight w:val="yellow"/>
          <w:lang w:val="en-GB"/>
        </w:rPr>
      </w:pPr>
    </w:p>
    <w:p w:rsidR="00D27BC7" w:rsidRPr="00C13F95" w:rsidRDefault="00D27BC7" w:rsidP="00D27BC7">
      <w:pPr>
        <w:pStyle w:val="Casehead2"/>
        <w:rPr>
          <w:rFonts w:eastAsia="MS Mincho"/>
          <w:lang w:val="en-GB"/>
        </w:rPr>
      </w:pPr>
      <w:r w:rsidRPr="00C13F95">
        <w:rPr>
          <w:rFonts w:eastAsia="MS Mincho"/>
          <w:lang w:val="en-GB"/>
        </w:rPr>
        <w:t>Expansion: Organic Gluten-Free Bread Line</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proofErr w:type="spellStart"/>
      <w:r w:rsidRPr="00C13F95">
        <w:rPr>
          <w:rFonts w:eastAsia="MS Mincho"/>
          <w:lang w:val="en-GB"/>
        </w:rPr>
        <w:t>Liambotis</w:t>
      </w:r>
      <w:proofErr w:type="spellEnd"/>
      <w:r w:rsidRPr="00C13F95">
        <w:rPr>
          <w:rFonts w:eastAsia="MS Mincho"/>
          <w:lang w:val="en-GB"/>
        </w:rPr>
        <w:t xml:space="preserve"> was also considering a product expansion that would add a healthier alternative to the Bakery’s current product lines. Recent consumer trends favoured natural, non-processed foods, including organic gluten-free</w:t>
      </w:r>
      <w:r w:rsidRPr="00C13F95">
        <w:rPr>
          <w:rFonts w:eastAsia="MS Mincho"/>
          <w:vertAlign w:val="superscript"/>
          <w:lang w:val="en-GB"/>
        </w:rPr>
        <w:footnoteReference w:id="11"/>
      </w:r>
      <w:r w:rsidRPr="00C13F95">
        <w:rPr>
          <w:rFonts w:eastAsia="MS Mincho"/>
          <w:lang w:val="en-GB"/>
        </w:rPr>
        <w:t xml:space="preserve"> products. </w:t>
      </w:r>
      <w:proofErr w:type="spellStart"/>
      <w:r w:rsidRPr="00C13F95">
        <w:rPr>
          <w:rFonts w:eastAsia="MS Mincho"/>
          <w:lang w:val="en-GB"/>
        </w:rPr>
        <w:t>Liambotis</w:t>
      </w:r>
      <w:proofErr w:type="spellEnd"/>
      <w:r w:rsidRPr="00C13F95">
        <w:rPr>
          <w:rFonts w:eastAsia="MS Mincho"/>
          <w:lang w:val="en-GB"/>
        </w:rPr>
        <w:t xml:space="preserve"> was excited about the option of adding this new product line because some of the Bakery’s customers had expressed an interest in it. Again, this option would offer an opportunity to broaden the Bakery’s customer base. </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r w:rsidRPr="00C13F95">
        <w:rPr>
          <w:rFonts w:eastAsia="MS Mincho"/>
          <w:lang w:val="en-GB"/>
        </w:rPr>
        <w:t xml:space="preserve">Despite this option’s potential benefits, </w:t>
      </w:r>
      <w:proofErr w:type="spellStart"/>
      <w:r w:rsidRPr="00C13F95">
        <w:rPr>
          <w:rFonts w:eastAsia="MS Mincho"/>
          <w:lang w:val="en-GB"/>
        </w:rPr>
        <w:t>Liambotis</w:t>
      </w:r>
      <w:proofErr w:type="spellEnd"/>
      <w:r w:rsidRPr="00C13F95">
        <w:rPr>
          <w:rFonts w:eastAsia="MS Mincho"/>
          <w:lang w:val="en-GB"/>
        </w:rPr>
        <w:t xml:space="preserve"> had little experience with this product and was uncertain whether he had the ability to meet the high standard he set for all product lines. The Bakery had </w:t>
      </w:r>
      <w:r w:rsidRPr="00C13F95">
        <w:rPr>
          <w:rFonts w:eastAsia="MS Mincho"/>
          <w:lang w:val="en-GB"/>
        </w:rPr>
        <w:lastRenderedPageBreak/>
        <w:t xml:space="preserve">a reputation for delivering high-quality, great-tasting products, and </w:t>
      </w:r>
      <w:proofErr w:type="spellStart"/>
      <w:r w:rsidRPr="00C13F95">
        <w:rPr>
          <w:rFonts w:eastAsia="MS Mincho"/>
          <w:lang w:val="en-GB"/>
        </w:rPr>
        <w:t>Liambotis</w:t>
      </w:r>
      <w:proofErr w:type="spellEnd"/>
      <w:r w:rsidRPr="00C13F95">
        <w:rPr>
          <w:rFonts w:eastAsia="MS Mincho"/>
          <w:lang w:val="en-GB"/>
        </w:rPr>
        <w:t xml:space="preserve"> had disliked the organic gluten-free bread products he had tasted in the past. Another concern was finding new suppliers for the ingredients required for gluten-free bread products. One of </w:t>
      </w:r>
      <w:proofErr w:type="spellStart"/>
      <w:r w:rsidRPr="00C13F95">
        <w:rPr>
          <w:rFonts w:eastAsia="MS Mincho"/>
          <w:lang w:val="en-GB"/>
        </w:rPr>
        <w:t>Liambotis’s</w:t>
      </w:r>
      <w:proofErr w:type="spellEnd"/>
      <w:r w:rsidRPr="00C13F95">
        <w:rPr>
          <w:rFonts w:eastAsia="MS Mincho"/>
          <w:lang w:val="en-GB"/>
        </w:rPr>
        <w:t xml:space="preserve"> key strengths was his ability to develop and maintain a strong business network in his industry. Could he do this even though he had no connections or experience and did not know the major suppliers in this entirely new market? Nevertheless, </w:t>
      </w:r>
      <w:proofErr w:type="spellStart"/>
      <w:r w:rsidRPr="00C13F95">
        <w:rPr>
          <w:rFonts w:eastAsia="MS Mincho"/>
          <w:lang w:val="en-GB"/>
        </w:rPr>
        <w:t>Liambotis</w:t>
      </w:r>
      <w:proofErr w:type="spellEnd"/>
      <w:r w:rsidRPr="00C13F95">
        <w:rPr>
          <w:rFonts w:eastAsia="MS Mincho"/>
          <w:lang w:val="en-GB"/>
        </w:rPr>
        <w:t xml:space="preserve"> acknowledged the increasing demand for healthier products and decided that perhaps it </w:t>
      </w:r>
      <w:r w:rsidRPr="00B26E5C">
        <w:rPr>
          <w:rFonts w:eastAsia="MS Mincho"/>
          <w:lang w:val="en-GB"/>
        </w:rPr>
        <w:t>was</w:t>
      </w:r>
      <w:r w:rsidRPr="00C13F95">
        <w:rPr>
          <w:rFonts w:eastAsia="MS Mincho"/>
          <w:lang w:val="en-GB"/>
        </w:rPr>
        <w:t xml:space="preserve"> the right time to enter this market. </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r w:rsidRPr="00C13F95">
        <w:rPr>
          <w:rFonts w:eastAsia="MS Mincho"/>
          <w:lang w:val="en-GB"/>
        </w:rPr>
        <w:t>The Bakery already had most of the equipment it needed to produce the organic gluten-free bread line; however, the business would need to spend $120,000 on additional equipment to avoid cross-contamination of the ingredients, storage racks, and product-specific packaging supplies. This option would be financed entirely by a long-term loan</w:t>
      </w:r>
      <w:r w:rsidRPr="00C13F95">
        <w:rPr>
          <w:rFonts w:eastAsia="MS Mincho"/>
          <w:vertAlign w:val="superscript"/>
          <w:lang w:val="en-GB"/>
        </w:rPr>
        <w:footnoteReference w:id="12"/>
      </w:r>
      <w:r w:rsidRPr="00C13F95">
        <w:rPr>
          <w:rFonts w:eastAsia="MS Mincho"/>
          <w:lang w:val="en-GB"/>
        </w:rPr>
        <w:t xml:space="preserve"> from the CB. Additional warehouse space would be needed throughout the year to accommodate the increased production; the rental of storage space would cost $3,250 a month. The new line’s sales were projected at $275,000 because of the product’s premium prices. Existing bread sales were estimated to remain at the same dollar amount as the previous year. If this option were pursued, </w:t>
      </w:r>
      <w:proofErr w:type="spellStart"/>
      <w:r w:rsidRPr="00C13F95">
        <w:rPr>
          <w:rFonts w:eastAsia="MS Mincho"/>
          <w:lang w:val="en-GB"/>
        </w:rPr>
        <w:t>Liambotis</w:t>
      </w:r>
      <w:proofErr w:type="spellEnd"/>
      <w:r w:rsidRPr="00C13F95">
        <w:rPr>
          <w:rFonts w:eastAsia="MS Mincho"/>
          <w:lang w:val="en-GB"/>
        </w:rPr>
        <w:t xml:space="preserve"> would increase the amount of advertising to match that of the dessert goods line. Gluten-free bread included more expensive ingredients, so the cost of goods sold for the new product line would increase to 20 per cent of sales. An additional full-time baker would be hired to help with production and to ensure the </w:t>
      </w:r>
      <w:r>
        <w:rPr>
          <w:rFonts w:eastAsia="MS Mincho"/>
          <w:lang w:val="en-GB"/>
        </w:rPr>
        <w:t>B</w:t>
      </w:r>
      <w:r w:rsidRPr="00C13F95">
        <w:rPr>
          <w:rFonts w:eastAsia="MS Mincho"/>
          <w:lang w:val="en-GB"/>
        </w:rPr>
        <w:t xml:space="preserve">akery produced enough of both product lines. No additional delivery truck drivers would be needed. </w:t>
      </w:r>
    </w:p>
    <w:p w:rsidR="00D27BC7" w:rsidRPr="00C13F95" w:rsidRDefault="00D27BC7" w:rsidP="00D27BC7">
      <w:pPr>
        <w:pStyle w:val="BodyTextMain"/>
        <w:rPr>
          <w:rFonts w:eastAsia="MS Mincho"/>
          <w:highlight w:val="yellow"/>
          <w:lang w:val="en-GB"/>
        </w:rPr>
      </w:pPr>
    </w:p>
    <w:p w:rsidR="00D27BC7" w:rsidRPr="00C13F95" w:rsidRDefault="00D27BC7" w:rsidP="00D27BC7">
      <w:pPr>
        <w:pStyle w:val="BodyTextMain"/>
        <w:rPr>
          <w:rFonts w:eastAsia="MS Mincho"/>
          <w:highlight w:val="yellow"/>
          <w:lang w:val="en-GB"/>
        </w:rPr>
      </w:pPr>
    </w:p>
    <w:p w:rsidR="00D27BC7" w:rsidRPr="00C13F95" w:rsidRDefault="00D27BC7" w:rsidP="00D27BC7">
      <w:pPr>
        <w:pStyle w:val="Casehead2"/>
        <w:rPr>
          <w:rFonts w:eastAsia="MS Mincho"/>
          <w:lang w:val="en-GB"/>
        </w:rPr>
      </w:pPr>
      <w:r w:rsidRPr="00C13F95">
        <w:rPr>
          <w:rFonts w:eastAsia="MS Mincho"/>
          <w:lang w:val="en-GB"/>
        </w:rPr>
        <w:t>Farmers’ Market Booth</w:t>
      </w:r>
    </w:p>
    <w:p w:rsidR="00D27BC7" w:rsidRPr="00C13F95" w:rsidRDefault="00D27BC7" w:rsidP="00D27BC7">
      <w:pPr>
        <w:pStyle w:val="BodyTextMain"/>
        <w:rPr>
          <w:rFonts w:eastAsia="MS Mincho"/>
          <w:highlight w:val="yellow"/>
          <w:lang w:val="en-GB"/>
        </w:rPr>
      </w:pPr>
    </w:p>
    <w:p w:rsidR="00D27BC7" w:rsidRPr="00C13F95" w:rsidRDefault="00D27BC7" w:rsidP="00D27BC7">
      <w:pPr>
        <w:pStyle w:val="BodyTextMain"/>
        <w:rPr>
          <w:rFonts w:eastAsia="MS Mincho"/>
          <w:lang w:val="en-GB"/>
        </w:rPr>
      </w:pPr>
      <w:r w:rsidRPr="00C13F95">
        <w:rPr>
          <w:rFonts w:eastAsia="MS Mincho"/>
          <w:lang w:val="en-GB"/>
        </w:rPr>
        <w:t xml:space="preserve">After observing a segment of consumers purchasing fresh grocery items from independent specialty stores, </w:t>
      </w:r>
      <w:proofErr w:type="spellStart"/>
      <w:r w:rsidRPr="00C13F95">
        <w:rPr>
          <w:rFonts w:eastAsia="MS Mincho"/>
          <w:lang w:val="en-GB"/>
        </w:rPr>
        <w:t>Liambotis</w:t>
      </w:r>
      <w:proofErr w:type="spellEnd"/>
      <w:r w:rsidRPr="00C13F95">
        <w:rPr>
          <w:rFonts w:eastAsia="MS Mincho"/>
          <w:lang w:val="en-GB"/>
        </w:rPr>
        <w:t xml:space="preserve"> believed the Bakery could increase its sales to residential customers. For this option, he would rent an outdoor farmers’ market booth at the Covent Garden Market located in downtown London. The market operated from May to October, and a booth rental cost $520 per season for 26 Saturdays.</w:t>
      </w:r>
      <w:r w:rsidRPr="00C13F95">
        <w:rPr>
          <w:rFonts w:eastAsia="MS Mincho"/>
          <w:vertAlign w:val="superscript"/>
          <w:lang w:val="en-GB"/>
        </w:rPr>
        <w:footnoteReference w:id="13"/>
      </w:r>
      <w:r w:rsidRPr="00C13F95">
        <w:rPr>
          <w:rFonts w:eastAsia="MS Mincho"/>
          <w:lang w:val="en-GB"/>
        </w:rPr>
        <w:t xml:space="preserve"> Another $500 would be spent on signage and supplies. </w:t>
      </w:r>
      <w:proofErr w:type="spellStart"/>
      <w:r w:rsidRPr="00C13F95">
        <w:rPr>
          <w:rFonts w:eastAsia="MS Mincho"/>
          <w:lang w:val="en-GB"/>
        </w:rPr>
        <w:t>Liambotis</w:t>
      </w:r>
      <w:proofErr w:type="spellEnd"/>
      <w:r w:rsidRPr="00C13F95">
        <w:rPr>
          <w:rFonts w:eastAsia="MS Mincho"/>
          <w:lang w:val="en-GB"/>
        </w:rPr>
        <w:t xml:space="preserve"> would hire a part-time employee at the minimum wage rate to sell the Bakery’s loaves from 8:00 a.m. to 1:00 p.m. at the market and to set up and close the booth (an additional 60 minutes) each Saturday. </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r w:rsidRPr="00C13F95">
        <w:rPr>
          <w:rFonts w:eastAsia="MS Mincho"/>
          <w:lang w:val="en-GB"/>
        </w:rPr>
        <w:t xml:space="preserve">A selection of the Bakery’s premium bread loaves (e.g., fresh-baked rolls, artisan sourdough, and rye bread) would be sold for an average price of $4.50 per loaf (prices ranged from $2.99 to $5.99 per loaf). </w:t>
      </w:r>
      <w:proofErr w:type="spellStart"/>
      <w:r w:rsidRPr="00C13F95">
        <w:rPr>
          <w:rFonts w:eastAsia="MS Mincho"/>
          <w:lang w:val="en-GB"/>
        </w:rPr>
        <w:t>Liambotis</w:t>
      </w:r>
      <w:proofErr w:type="spellEnd"/>
      <w:r w:rsidRPr="00C13F95">
        <w:rPr>
          <w:rFonts w:eastAsia="MS Mincho"/>
          <w:lang w:val="en-GB"/>
        </w:rPr>
        <w:t xml:space="preserve"> liked the idea of increasing his residential customer base, connecting with customers on a personal level, and gaining more local exposure for the Bakery; however, he wondered if this was a good fit for the business. Would a temporary part-time employee be able to effectively represent the Bakery at the market? Another concern was the Bakery’s ability to secure a booth at the market. Booth entry was competitive and, to be eligible, businesses needed to be local growers, farmers, or producers. Although </w:t>
      </w:r>
      <w:proofErr w:type="spellStart"/>
      <w:r w:rsidRPr="00C13F95">
        <w:rPr>
          <w:rFonts w:eastAsia="MS Mincho"/>
          <w:lang w:val="en-GB"/>
        </w:rPr>
        <w:t>Liambotis</w:t>
      </w:r>
      <w:proofErr w:type="spellEnd"/>
      <w:r w:rsidRPr="00C13F95">
        <w:rPr>
          <w:rFonts w:eastAsia="MS Mincho"/>
          <w:lang w:val="en-GB"/>
        </w:rPr>
        <w:t xml:space="preserve"> planned to sell loaves made from locally-sourced ingredients, most of his primary suppliers were not from London.</w:t>
      </w:r>
    </w:p>
    <w:p w:rsidR="00D27BC7" w:rsidRPr="00C13F95" w:rsidRDefault="00D27BC7" w:rsidP="00D27BC7">
      <w:pPr>
        <w:pStyle w:val="BodyTextMain"/>
        <w:rPr>
          <w:rFonts w:eastAsia="MS Mincho"/>
          <w:lang w:val="en-GB"/>
        </w:rPr>
      </w:pPr>
    </w:p>
    <w:p w:rsidR="00D27BC7" w:rsidRDefault="00D27BC7" w:rsidP="00D27BC7">
      <w:pPr>
        <w:pStyle w:val="BodyTextMain"/>
        <w:rPr>
          <w:rFonts w:eastAsia="MS Mincho"/>
          <w:highlight w:val="yellow"/>
          <w:lang w:val="en-GB"/>
        </w:rPr>
      </w:pPr>
    </w:p>
    <w:p w:rsidR="00C2669C" w:rsidRDefault="00C2669C" w:rsidP="00D27BC7">
      <w:pPr>
        <w:pStyle w:val="BodyTextMain"/>
        <w:rPr>
          <w:rFonts w:eastAsia="MS Mincho"/>
          <w:highlight w:val="yellow"/>
          <w:lang w:val="en-GB"/>
        </w:rPr>
      </w:pPr>
    </w:p>
    <w:p w:rsidR="00C2669C" w:rsidRDefault="00C2669C" w:rsidP="00D27BC7">
      <w:pPr>
        <w:pStyle w:val="BodyTextMain"/>
        <w:rPr>
          <w:rFonts w:eastAsia="MS Mincho"/>
          <w:highlight w:val="yellow"/>
          <w:lang w:val="en-GB"/>
        </w:rPr>
      </w:pPr>
    </w:p>
    <w:p w:rsidR="00C2669C" w:rsidRPr="00C13F95" w:rsidRDefault="00C2669C" w:rsidP="00D27BC7">
      <w:pPr>
        <w:pStyle w:val="BodyTextMain"/>
        <w:rPr>
          <w:rFonts w:eastAsia="MS Mincho"/>
          <w:highlight w:val="yellow"/>
          <w:lang w:val="en-GB"/>
        </w:rPr>
      </w:pPr>
    </w:p>
    <w:p w:rsidR="00D27BC7" w:rsidRPr="00C13F95" w:rsidRDefault="00D27BC7" w:rsidP="00D27BC7">
      <w:pPr>
        <w:pStyle w:val="Casehead2"/>
        <w:rPr>
          <w:rFonts w:eastAsia="MS Mincho"/>
          <w:lang w:val="en-GB"/>
        </w:rPr>
      </w:pPr>
      <w:r w:rsidRPr="00C13F95">
        <w:rPr>
          <w:rFonts w:eastAsia="MS Mincho"/>
          <w:lang w:val="en-GB"/>
        </w:rPr>
        <w:lastRenderedPageBreak/>
        <w:t>Sell the Business</w:t>
      </w:r>
    </w:p>
    <w:p w:rsidR="00D27BC7" w:rsidRPr="00C13F95" w:rsidRDefault="00D27BC7" w:rsidP="00D27BC7">
      <w:pPr>
        <w:pStyle w:val="BodyTextMain"/>
        <w:rPr>
          <w:rFonts w:eastAsia="MS Mincho"/>
          <w:highlight w:val="yellow"/>
          <w:lang w:val="en-GB"/>
        </w:rPr>
      </w:pPr>
    </w:p>
    <w:p w:rsidR="00D27BC7" w:rsidRPr="00C13F95" w:rsidRDefault="00D27BC7" w:rsidP="00D27BC7">
      <w:pPr>
        <w:pStyle w:val="BodyTextMain"/>
        <w:rPr>
          <w:rFonts w:eastAsia="MS Mincho"/>
          <w:lang w:val="en-GB"/>
        </w:rPr>
      </w:pPr>
      <w:proofErr w:type="spellStart"/>
      <w:r w:rsidRPr="00C13F95">
        <w:rPr>
          <w:rFonts w:eastAsia="MS Mincho"/>
          <w:lang w:val="en-GB"/>
        </w:rPr>
        <w:t>Liambotis</w:t>
      </w:r>
      <w:proofErr w:type="spellEnd"/>
      <w:r w:rsidRPr="00C13F95">
        <w:rPr>
          <w:rFonts w:eastAsia="MS Mincho"/>
          <w:lang w:val="en-GB"/>
        </w:rPr>
        <w:t xml:space="preserve"> had enjoyed a 30-year career in the foodservice and food manufacturing industries, and he was proud of his success since immigrating to Canada. The Bakery had supported </w:t>
      </w:r>
      <w:proofErr w:type="spellStart"/>
      <w:r w:rsidRPr="00C13F95">
        <w:rPr>
          <w:rFonts w:eastAsia="MS Mincho"/>
          <w:lang w:val="en-GB"/>
        </w:rPr>
        <w:t>Liambotis</w:t>
      </w:r>
      <w:proofErr w:type="spellEnd"/>
      <w:r w:rsidRPr="00C13F95">
        <w:rPr>
          <w:rFonts w:eastAsia="MS Mincho"/>
          <w:lang w:val="en-GB"/>
        </w:rPr>
        <w:t xml:space="preserve">, his wife, and their four children. At his current age, and with grown children, </w:t>
      </w:r>
      <w:proofErr w:type="spellStart"/>
      <w:r w:rsidRPr="00C13F95">
        <w:rPr>
          <w:rFonts w:eastAsia="MS Mincho"/>
          <w:lang w:val="en-GB"/>
        </w:rPr>
        <w:t>Liambotis</w:t>
      </w:r>
      <w:proofErr w:type="spellEnd"/>
      <w:r w:rsidRPr="00C13F95">
        <w:rPr>
          <w:rFonts w:eastAsia="MS Mincho"/>
          <w:lang w:val="en-GB"/>
        </w:rPr>
        <w:t xml:space="preserve"> was contemplating early retirement. His original plan had been to retire at age 55; he had worked overtime for many years, and he liked the idea of taking time now to enjoy life and spend time with his grandchildren. </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r w:rsidRPr="00C13F95">
        <w:rPr>
          <w:rFonts w:eastAsia="MS Mincho"/>
          <w:lang w:val="en-GB"/>
        </w:rPr>
        <w:t xml:space="preserve">As a 50 per cent shareholder of the Bakery, </w:t>
      </w:r>
      <w:proofErr w:type="spellStart"/>
      <w:r w:rsidRPr="00C13F95">
        <w:rPr>
          <w:rFonts w:eastAsia="MS Mincho"/>
          <w:lang w:val="en-GB"/>
        </w:rPr>
        <w:t>Liambotis</w:t>
      </w:r>
      <w:proofErr w:type="spellEnd"/>
      <w:r w:rsidRPr="00C13F95">
        <w:rPr>
          <w:rFonts w:eastAsia="MS Mincho"/>
          <w:lang w:val="en-GB"/>
        </w:rPr>
        <w:t xml:space="preserve"> could sell his shares to his business partner. </w:t>
      </w:r>
      <w:proofErr w:type="spellStart"/>
      <w:r w:rsidRPr="00C13F95">
        <w:rPr>
          <w:rFonts w:eastAsia="MS Mincho"/>
          <w:lang w:val="en-GB"/>
        </w:rPr>
        <w:t>Dannos</w:t>
      </w:r>
      <w:proofErr w:type="spellEnd"/>
      <w:r w:rsidRPr="00C13F95">
        <w:rPr>
          <w:rFonts w:eastAsia="MS Mincho"/>
          <w:lang w:val="en-GB"/>
        </w:rPr>
        <w:t xml:space="preserve"> was a few years younger than </w:t>
      </w:r>
      <w:proofErr w:type="spellStart"/>
      <w:r w:rsidRPr="00C13F95">
        <w:rPr>
          <w:rFonts w:eastAsia="MS Mincho"/>
          <w:lang w:val="en-GB"/>
        </w:rPr>
        <w:t>Liambotis</w:t>
      </w:r>
      <w:proofErr w:type="spellEnd"/>
      <w:r w:rsidRPr="00C13F95">
        <w:rPr>
          <w:rFonts w:eastAsia="MS Mincho"/>
          <w:lang w:val="en-GB"/>
        </w:rPr>
        <w:t xml:space="preserve"> and was less likely to want to retire at this stage in his career. Alternat</w:t>
      </w:r>
      <w:r>
        <w:rPr>
          <w:rFonts w:eastAsia="MS Mincho"/>
          <w:lang w:val="en-GB"/>
        </w:rPr>
        <w:t>iv</w:t>
      </w:r>
      <w:r w:rsidRPr="00C13F95">
        <w:rPr>
          <w:rFonts w:eastAsia="MS Mincho"/>
          <w:lang w:val="en-GB"/>
        </w:rPr>
        <w:t xml:space="preserve">ely, the partners could sell the Bakery to an external buyer for a potentially higher price. Was now the right time to exit the business? </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highlight w:val="yellow"/>
          <w:lang w:val="en-GB"/>
        </w:rPr>
      </w:pPr>
    </w:p>
    <w:p w:rsidR="00D27BC7" w:rsidRPr="00C13F95" w:rsidRDefault="00D27BC7" w:rsidP="00D27BC7">
      <w:pPr>
        <w:pStyle w:val="Casehead1"/>
        <w:rPr>
          <w:rFonts w:eastAsia="MS Mincho"/>
          <w:lang w:val="en-GB"/>
        </w:rPr>
      </w:pPr>
      <w:r w:rsidRPr="00C13F95">
        <w:rPr>
          <w:rFonts w:eastAsia="MS Mincho"/>
          <w:lang w:val="en-GB"/>
        </w:rPr>
        <w:t>CONCLUSION</w:t>
      </w:r>
    </w:p>
    <w:p w:rsidR="00D27BC7" w:rsidRPr="00C13F95" w:rsidRDefault="00D27BC7" w:rsidP="00D27BC7">
      <w:pPr>
        <w:pStyle w:val="BodyTextMain"/>
        <w:rPr>
          <w:rFonts w:eastAsia="MS Mincho"/>
          <w:lang w:val="en-GB"/>
        </w:rPr>
      </w:pPr>
    </w:p>
    <w:p w:rsidR="00D27BC7" w:rsidRPr="00C13F95" w:rsidRDefault="00D27BC7" w:rsidP="00D27BC7">
      <w:pPr>
        <w:pStyle w:val="BodyTextMain"/>
        <w:rPr>
          <w:lang w:val="en-GB"/>
        </w:rPr>
      </w:pPr>
      <w:proofErr w:type="spellStart"/>
      <w:r w:rsidRPr="00C13F95">
        <w:rPr>
          <w:lang w:val="en-GB"/>
        </w:rPr>
        <w:t>Liambotis</w:t>
      </w:r>
      <w:proofErr w:type="spellEnd"/>
      <w:r w:rsidRPr="00C13F95">
        <w:rPr>
          <w:lang w:val="en-GB"/>
        </w:rPr>
        <w:t xml:space="preserve"> reflected on the past 15 years of operating the Bakery. The business had navigated through changes and expansions and had reached a healthy level of success. </w:t>
      </w:r>
      <w:proofErr w:type="spellStart"/>
      <w:r w:rsidRPr="00C13F95">
        <w:rPr>
          <w:lang w:val="en-GB"/>
        </w:rPr>
        <w:t>Liambotis</w:t>
      </w:r>
      <w:proofErr w:type="spellEnd"/>
      <w:r w:rsidRPr="00C13F95">
        <w:rPr>
          <w:lang w:val="en-GB"/>
        </w:rPr>
        <w:t xml:space="preserve"> wondered if it would be worthwhile to undertake product</w:t>
      </w:r>
      <w:r>
        <w:rPr>
          <w:lang w:val="en-GB"/>
        </w:rPr>
        <w:t>-</w:t>
      </w:r>
      <w:r w:rsidRPr="00C13F95">
        <w:rPr>
          <w:lang w:val="en-GB"/>
        </w:rPr>
        <w:t xml:space="preserve">line expansions or sell products at the outdoor farmers market. Would the status quo be enough to sustain healthy profits for the business in future years? The Bakery had always been a good source of income for raising a family, but now that he had grandchildren, early retirement was an attractive option. It was time to decide on one of the options and move forward. </w:t>
      </w:r>
    </w:p>
    <w:p w:rsidR="00D27BC7" w:rsidRPr="00C13F95" w:rsidRDefault="00D27BC7" w:rsidP="00D27BC7">
      <w:pPr>
        <w:pStyle w:val="BodyTextMain"/>
        <w:rPr>
          <w:lang w:val="en-GB"/>
        </w:rPr>
      </w:pPr>
    </w:p>
    <w:p w:rsidR="00D27BC7" w:rsidRPr="00C13F95" w:rsidRDefault="00D27BC7" w:rsidP="00D27BC7">
      <w:pPr>
        <w:pStyle w:val="BodyTextMain"/>
        <w:rPr>
          <w:lang w:val="en-GB"/>
        </w:rPr>
      </w:pPr>
    </w:p>
    <w:p w:rsidR="00D27BC7" w:rsidRPr="00C13F95" w:rsidRDefault="00D27BC7" w:rsidP="00D27BC7">
      <w:pPr>
        <w:pStyle w:val="BodyTextMain"/>
        <w:rPr>
          <w:lang w:val="en-GB"/>
        </w:rPr>
      </w:pPr>
    </w:p>
    <w:p w:rsidR="00D27BC7" w:rsidRPr="00C13F95" w:rsidRDefault="00D27BC7" w:rsidP="00D27BC7">
      <w:pPr>
        <w:pStyle w:val="BodyTextMain"/>
        <w:rPr>
          <w:lang w:val="en-GB"/>
        </w:rPr>
      </w:pPr>
      <w:r w:rsidRPr="00C13F95">
        <w:rPr>
          <w:lang w:val="en-GB"/>
        </w:rPr>
        <w:br w:type="page"/>
      </w:r>
    </w:p>
    <w:p w:rsidR="00D27BC7" w:rsidRPr="00AA572E" w:rsidRDefault="00D27BC7" w:rsidP="00D27BC7">
      <w:pPr>
        <w:pStyle w:val="Casehead1"/>
        <w:jc w:val="center"/>
        <w:rPr>
          <w:rFonts w:eastAsia="MS Mincho"/>
          <w:i/>
          <w:u w:val="single"/>
          <w:lang w:val="en-GB"/>
        </w:rPr>
      </w:pPr>
      <w:r w:rsidRPr="00BC5AEF">
        <w:rPr>
          <w:rFonts w:eastAsia="MS Mincho"/>
          <w:lang w:val="en-GB"/>
        </w:rPr>
        <w:lastRenderedPageBreak/>
        <w:t>EXHIBIT 1</w:t>
      </w:r>
      <w:r w:rsidRPr="00BC63F4">
        <w:rPr>
          <w:rFonts w:eastAsia="MS Mincho"/>
          <w:lang w:val="en-GB"/>
        </w:rPr>
        <w:t xml:space="preserve">: </w:t>
      </w:r>
      <w:r w:rsidRPr="00AA572E">
        <w:rPr>
          <w:rFonts w:eastAsia="MS Mincho"/>
          <w:lang w:val="en-GB"/>
        </w:rPr>
        <w:t>The italian bakery—STATEMENT OF EARNINGS</w:t>
      </w:r>
    </w:p>
    <w:p w:rsidR="00D27BC7" w:rsidRPr="00B26E5C" w:rsidRDefault="00D27BC7" w:rsidP="00D27BC7">
      <w:pPr>
        <w:pStyle w:val="Casehead1"/>
        <w:jc w:val="center"/>
        <w:rPr>
          <w:rFonts w:eastAsia="MS Mincho"/>
          <w:lang w:val="en-GB"/>
        </w:rPr>
      </w:pPr>
      <w:r w:rsidRPr="00AA572E">
        <w:rPr>
          <w:rFonts w:eastAsia="MS Mincho"/>
          <w:lang w:val="en-GB"/>
        </w:rPr>
        <w:t xml:space="preserve">(for </w:t>
      </w:r>
      <w:r w:rsidRPr="004A1661">
        <w:rPr>
          <w:rFonts w:eastAsia="MS Mincho"/>
          <w:lang w:val="en-GB"/>
        </w:rPr>
        <w:t>years ending December 31)</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p>
    <w:tbl>
      <w:tblPr>
        <w:tblW w:w="0" w:type="auto"/>
        <w:tblLook w:val="04A0" w:firstRow="1" w:lastRow="0" w:firstColumn="1" w:lastColumn="0" w:noHBand="0" w:noVBand="1"/>
      </w:tblPr>
      <w:tblGrid>
        <w:gridCol w:w="3258"/>
        <w:gridCol w:w="2160"/>
        <w:gridCol w:w="2160"/>
        <w:gridCol w:w="1998"/>
      </w:tblGrid>
      <w:tr w:rsidR="00D27BC7" w:rsidRPr="00C13F95" w:rsidTr="00D27BC7">
        <w:tc>
          <w:tcPr>
            <w:tcW w:w="3258" w:type="dxa"/>
          </w:tcPr>
          <w:p w:rsidR="00D27BC7" w:rsidRPr="00C13F95" w:rsidRDefault="00D27BC7" w:rsidP="00D27BC7">
            <w:pPr>
              <w:tabs>
                <w:tab w:val="left" w:pos="360"/>
              </w:tabs>
              <w:jc w:val="center"/>
              <w:rPr>
                <w:rFonts w:ascii="Arial" w:eastAsia="MS Mincho" w:hAnsi="Arial" w:cs="Arial"/>
                <w:b/>
                <w:spacing w:val="-1"/>
                <w:lang w:val="en-GB"/>
              </w:rPr>
            </w:pPr>
          </w:p>
        </w:tc>
        <w:tc>
          <w:tcPr>
            <w:tcW w:w="2160" w:type="dxa"/>
          </w:tcPr>
          <w:p w:rsidR="00D27BC7" w:rsidRPr="00C13F95" w:rsidRDefault="00D27BC7" w:rsidP="00D27BC7">
            <w:pPr>
              <w:tabs>
                <w:tab w:val="left" w:pos="252"/>
                <w:tab w:val="right" w:pos="1692"/>
              </w:tabs>
              <w:jc w:val="center"/>
              <w:rPr>
                <w:rFonts w:ascii="Arial" w:eastAsia="MS Mincho" w:hAnsi="Arial" w:cs="Arial"/>
                <w:b/>
                <w:spacing w:val="-1"/>
                <w:lang w:val="en-GB"/>
              </w:rPr>
            </w:pPr>
            <w:r w:rsidRPr="00C13F95">
              <w:rPr>
                <w:rFonts w:ascii="Arial" w:eastAsia="MS Mincho" w:hAnsi="Arial" w:cs="Arial"/>
                <w:b/>
                <w:spacing w:val="-1"/>
                <w:lang w:val="en-GB"/>
              </w:rPr>
              <w:t>2014</w:t>
            </w:r>
          </w:p>
        </w:tc>
        <w:tc>
          <w:tcPr>
            <w:tcW w:w="2160" w:type="dxa"/>
          </w:tcPr>
          <w:p w:rsidR="00D27BC7" w:rsidRPr="00C13F95" w:rsidRDefault="00D27BC7" w:rsidP="00D27BC7">
            <w:pPr>
              <w:tabs>
                <w:tab w:val="left" w:pos="252"/>
                <w:tab w:val="right" w:pos="1692"/>
              </w:tabs>
              <w:jc w:val="center"/>
              <w:rPr>
                <w:rFonts w:ascii="Arial" w:eastAsia="MS Mincho" w:hAnsi="Arial" w:cs="Arial"/>
                <w:b/>
                <w:spacing w:val="-1"/>
                <w:lang w:val="en-GB"/>
              </w:rPr>
            </w:pPr>
            <w:r w:rsidRPr="00C13F95">
              <w:rPr>
                <w:rFonts w:ascii="Arial" w:eastAsia="MS Mincho" w:hAnsi="Arial" w:cs="Arial"/>
                <w:b/>
                <w:spacing w:val="-1"/>
                <w:lang w:val="en-GB"/>
              </w:rPr>
              <w:t>2013</w:t>
            </w:r>
          </w:p>
        </w:tc>
        <w:tc>
          <w:tcPr>
            <w:tcW w:w="1998" w:type="dxa"/>
          </w:tcPr>
          <w:p w:rsidR="00D27BC7" w:rsidRPr="00C13F95" w:rsidRDefault="00D27BC7" w:rsidP="00D27BC7">
            <w:pPr>
              <w:tabs>
                <w:tab w:val="left" w:pos="252"/>
                <w:tab w:val="right" w:pos="1602"/>
              </w:tabs>
              <w:jc w:val="center"/>
              <w:rPr>
                <w:rFonts w:ascii="Arial" w:eastAsia="MS Mincho" w:hAnsi="Arial" w:cs="Arial"/>
                <w:b/>
                <w:spacing w:val="-1"/>
                <w:lang w:val="en-GB"/>
              </w:rPr>
            </w:pPr>
            <w:r w:rsidRPr="00C13F95">
              <w:rPr>
                <w:rFonts w:ascii="Arial" w:eastAsia="MS Mincho" w:hAnsi="Arial" w:cs="Arial"/>
                <w:b/>
                <w:spacing w:val="-1"/>
                <w:lang w:val="en-GB"/>
              </w:rPr>
              <w:t>2012</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Revenue</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ab/>
              <w:t>Total sales</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t>$</w:t>
            </w:r>
            <w:r w:rsidRPr="00C13F95">
              <w:rPr>
                <w:rFonts w:ascii="Arial" w:eastAsia="MS Mincho" w:hAnsi="Arial" w:cs="Arial"/>
                <w:spacing w:val="-1"/>
                <w:lang w:val="en-GB"/>
              </w:rPr>
              <w:tab/>
              <w:t>1,074,553</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t>$</w:t>
            </w:r>
            <w:r w:rsidRPr="00C13F95">
              <w:rPr>
                <w:rFonts w:ascii="Arial" w:eastAsia="MS Mincho" w:hAnsi="Arial" w:cs="Arial"/>
                <w:spacing w:val="-1"/>
                <w:lang w:val="en-GB"/>
              </w:rPr>
              <w:tab/>
              <w:t>1,023,384</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r w:rsidRPr="00C13F95">
              <w:rPr>
                <w:rFonts w:ascii="Arial" w:eastAsia="MS Mincho" w:hAnsi="Arial" w:cs="Arial"/>
                <w:spacing w:val="-1"/>
                <w:lang w:val="en-GB"/>
              </w:rPr>
              <w:tab/>
              <w:t>$</w:t>
            </w:r>
            <w:r w:rsidRPr="00C13F95">
              <w:rPr>
                <w:rFonts w:ascii="Arial" w:eastAsia="MS Mincho" w:hAnsi="Arial" w:cs="Arial"/>
                <w:spacing w:val="-1"/>
                <w:lang w:val="en-GB"/>
              </w:rPr>
              <w:tab/>
              <w:t>984,023</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ab/>
              <w:t>Cost of goods sold</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u w:val="single"/>
                <w:lang w:val="en-GB"/>
              </w:rPr>
            </w:pPr>
            <w:r w:rsidRPr="00C13F95">
              <w:rPr>
                <w:rFonts w:ascii="Arial" w:eastAsia="MS Mincho" w:hAnsi="Arial" w:cs="Arial"/>
                <w:spacing w:val="-1"/>
                <w:lang w:val="en-GB"/>
              </w:rPr>
              <w:tab/>
            </w:r>
            <w:r w:rsidRPr="00C13F95">
              <w:rPr>
                <w:rFonts w:ascii="Arial" w:eastAsia="MS Mincho" w:hAnsi="Arial" w:cs="Arial"/>
                <w:spacing w:val="-1"/>
                <w:u w:val="single"/>
                <w:lang w:val="en-GB"/>
              </w:rPr>
              <w:tab/>
              <w:t>165,481</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u w:val="single"/>
                <w:lang w:val="en-GB"/>
              </w:rPr>
            </w:pPr>
            <w:r w:rsidRPr="00C13F95">
              <w:rPr>
                <w:rFonts w:ascii="Arial" w:eastAsia="MS Mincho" w:hAnsi="Arial" w:cs="Arial"/>
                <w:spacing w:val="-1"/>
                <w:lang w:val="en-GB"/>
              </w:rPr>
              <w:tab/>
            </w:r>
            <w:r w:rsidRPr="00C13F95">
              <w:rPr>
                <w:rFonts w:ascii="Arial" w:eastAsia="MS Mincho" w:hAnsi="Arial" w:cs="Arial"/>
                <w:spacing w:val="-1"/>
                <w:u w:val="single"/>
                <w:lang w:val="en-GB"/>
              </w:rPr>
              <w:tab/>
              <w:t>161,695</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u w:val="single"/>
                <w:lang w:val="en-GB"/>
              </w:rPr>
            </w:pPr>
            <w:r w:rsidRPr="00C13F95">
              <w:rPr>
                <w:rFonts w:ascii="Arial" w:eastAsia="MS Mincho" w:hAnsi="Arial" w:cs="Arial"/>
                <w:spacing w:val="-1"/>
                <w:lang w:val="en-GB"/>
              </w:rPr>
              <w:tab/>
            </w:r>
            <w:r w:rsidRPr="00C13F95">
              <w:rPr>
                <w:rFonts w:ascii="Arial" w:eastAsia="MS Mincho" w:hAnsi="Arial" w:cs="Arial"/>
                <w:spacing w:val="-1"/>
                <w:u w:val="single"/>
                <w:lang w:val="en-GB"/>
              </w:rPr>
              <w:tab/>
              <w:t>144,651</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b/>
                <w:spacing w:val="-1"/>
                <w:lang w:val="en-GB"/>
              </w:rPr>
            </w:pPr>
            <w:r w:rsidRPr="00C13F95">
              <w:rPr>
                <w:rFonts w:ascii="Arial" w:eastAsia="MS Mincho" w:hAnsi="Arial" w:cs="Arial"/>
                <w:b/>
                <w:spacing w:val="-1"/>
                <w:lang w:val="en-GB"/>
              </w:rPr>
              <w:t>Gross profit</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909,072</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861,689</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839,372</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Operating expenses</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ab/>
              <w:t>Administrative expenses</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23,963</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29,804</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28,241</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ab/>
              <w:t>Amortization</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20,325</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20,325</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19,349</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ab/>
              <w:t>Management salary</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75,000</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75,000</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60,000</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ab/>
              <w:t>Wages</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584,064</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549,120</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514,176</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ab/>
              <w:t>Utilities</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80,756</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80,746</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75,874</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ab/>
              <w:t>Advertising</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10,763</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10,837</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10,276</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ab/>
              <w:t>Insurance</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20,350</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20,350</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19,287</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ab/>
              <w:t xml:space="preserve">Telephone and </w:t>
            </w:r>
            <w:r>
              <w:rPr>
                <w:rFonts w:ascii="Arial" w:eastAsia="MS Mincho" w:hAnsi="Arial" w:cs="Arial"/>
                <w:spacing w:val="-1"/>
                <w:lang w:val="en-GB"/>
              </w:rPr>
              <w:t>I</w:t>
            </w:r>
            <w:r w:rsidRPr="00C13F95">
              <w:rPr>
                <w:rFonts w:ascii="Arial" w:eastAsia="MS Mincho" w:hAnsi="Arial" w:cs="Arial"/>
                <w:spacing w:val="-1"/>
                <w:lang w:val="en-GB"/>
              </w:rPr>
              <w:t>nternet</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7,837</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7,445</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6,854</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ab/>
              <w:t>Fuel</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5,867</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5,482</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5,093</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ab/>
              <w:t>Repairs</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6,374</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5,768</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6,164</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ab/>
              <w:t>Miscellaneous</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u w:val="single"/>
                <w:lang w:val="en-GB"/>
              </w:rPr>
            </w:pPr>
            <w:r w:rsidRPr="00C13F95">
              <w:rPr>
                <w:rFonts w:ascii="Arial" w:eastAsia="MS Mincho" w:hAnsi="Arial" w:cs="Arial"/>
                <w:spacing w:val="-1"/>
                <w:lang w:val="en-GB"/>
              </w:rPr>
              <w:tab/>
            </w:r>
            <w:r w:rsidRPr="00C13F95">
              <w:rPr>
                <w:rFonts w:ascii="Arial" w:eastAsia="MS Mincho" w:hAnsi="Arial" w:cs="Arial"/>
                <w:spacing w:val="-1"/>
                <w:u w:val="single"/>
                <w:lang w:val="en-GB"/>
              </w:rPr>
              <w:tab/>
              <w:t>1,736</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u w:val="single"/>
                <w:lang w:val="en-GB"/>
              </w:rPr>
            </w:pPr>
            <w:r w:rsidRPr="00C13F95">
              <w:rPr>
                <w:rFonts w:ascii="Arial" w:eastAsia="MS Mincho" w:hAnsi="Arial" w:cs="Arial"/>
                <w:spacing w:val="-1"/>
                <w:lang w:val="en-GB"/>
              </w:rPr>
              <w:tab/>
            </w:r>
            <w:r w:rsidRPr="00C13F95">
              <w:rPr>
                <w:rFonts w:ascii="Arial" w:eastAsia="MS Mincho" w:hAnsi="Arial" w:cs="Arial"/>
                <w:spacing w:val="-1"/>
                <w:u w:val="single"/>
                <w:lang w:val="en-GB"/>
              </w:rPr>
              <w:tab/>
              <w:t>1,787</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u w:val="single"/>
                <w:lang w:val="en-GB"/>
              </w:rPr>
            </w:pPr>
            <w:r w:rsidRPr="00C13F95">
              <w:rPr>
                <w:rFonts w:ascii="Arial" w:eastAsia="MS Mincho" w:hAnsi="Arial" w:cs="Arial"/>
                <w:spacing w:val="-1"/>
                <w:lang w:val="en-GB"/>
              </w:rPr>
              <w:tab/>
            </w:r>
            <w:r w:rsidRPr="00C13F95">
              <w:rPr>
                <w:rFonts w:ascii="Arial" w:eastAsia="MS Mincho" w:hAnsi="Arial" w:cs="Arial"/>
                <w:spacing w:val="-1"/>
                <w:u w:val="single"/>
                <w:lang w:val="en-GB"/>
              </w:rPr>
              <w:tab/>
              <w:t>1,884</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b/>
                <w:spacing w:val="-1"/>
                <w:lang w:val="en-GB"/>
              </w:rPr>
            </w:pPr>
            <w:r w:rsidRPr="00C13F95">
              <w:rPr>
                <w:rFonts w:ascii="Arial" w:eastAsia="MS Mincho" w:hAnsi="Arial" w:cs="Arial"/>
                <w:b/>
                <w:spacing w:val="-1"/>
                <w:lang w:val="en-GB"/>
              </w:rPr>
              <w:t>Total operating expenses</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u w:val="double"/>
                <w:lang w:val="en-GB"/>
              </w:rPr>
            </w:pPr>
            <w:r w:rsidRPr="00C13F95">
              <w:rPr>
                <w:rFonts w:ascii="Arial" w:eastAsia="MS Mincho" w:hAnsi="Arial" w:cs="Arial"/>
                <w:spacing w:val="-1"/>
                <w:lang w:val="en-GB"/>
              </w:rPr>
              <w:tab/>
            </w:r>
            <w:r w:rsidRPr="00C13F95">
              <w:rPr>
                <w:rFonts w:ascii="Arial" w:eastAsia="MS Mincho" w:hAnsi="Arial" w:cs="Arial"/>
                <w:spacing w:val="-1"/>
                <w:u w:val="double"/>
                <w:lang w:val="en-GB"/>
              </w:rPr>
              <w:tab/>
              <w:t>837,035</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u w:val="double"/>
                <w:lang w:val="en-GB"/>
              </w:rPr>
            </w:pPr>
            <w:r w:rsidRPr="00C13F95">
              <w:rPr>
                <w:rFonts w:ascii="Arial" w:eastAsia="MS Mincho" w:hAnsi="Arial" w:cs="Arial"/>
                <w:spacing w:val="-1"/>
                <w:lang w:val="en-GB"/>
              </w:rPr>
              <w:tab/>
            </w:r>
            <w:r w:rsidRPr="00C13F95">
              <w:rPr>
                <w:rFonts w:ascii="Arial" w:eastAsia="MS Mincho" w:hAnsi="Arial" w:cs="Arial"/>
                <w:spacing w:val="-1"/>
                <w:u w:val="double"/>
                <w:lang w:val="en-GB"/>
              </w:rPr>
              <w:tab/>
              <w:t>806,664</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u w:val="double"/>
                <w:lang w:val="en-GB"/>
              </w:rPr>
            </w:pPr>
            <w:r w:rsidRPr="00C13F95">
              <w:rPr>
                <w:rFonts w:ascii="Arial" w:eastAsia="MS Mincho" w:hAnsi="Arial" w:cs="Arial"/>
                <w:spacing w:val="-1"/>
                <w:lang w:val="en-GB"/>
              </w:rPr>
              <w:tab/>
            </w:r>
            <w:r w:rsidRPr="00C13F95">
              <w:rPr>
                <w:rFonts w:ascii="Arial" w:eastAsia="MS Mincho" w:hAnsi="Arial" w:cs="Arial"/>
                <w:spacing w:val="-1"/>
                <w:u w:val="double"/>
                <w:lang w:val="en-GB"/>
              </w:rPr>
              <w:tab/>
              <w:t>747,198</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Operating income</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72,037</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55,025</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92,174</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Interest expense</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u w:val="single"/>
                <w:lang w:val="en-GB"/>
              </w:rPr>
            </w:pPr>
            <w:r w:rsidRPr="00C13F95">
              <w:rPr>
                <w:rFonts w:ascii="Arial" w:eastAsia="MS Mincho" w:hAnsi="Arial" w:cs="Arial"/>
                <w:spacing w:val="-1"/>
                <w:lang w:val="en-GB"/>
              </w:rPr>
              <w:tab/>
            </w:r>
            <w:r w:rsidRPr="00C13F95">
              <w:rPr>
                <w:rFonts w:ascii="Arial" w:eastAsia="MS Mincho" w:hAnsi="Arial" w:cs="Arial"/>
                <w:spacing w:val="-1"/>
                <w:u w:val="single"/>
                <w:lang w:val="en-GB"/>
              </w:rPr>
              <w:tab/>
              <w:t>12,364</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u w:val="single"/>
                <w:lang w:val="en-GB"/>
              </w:rPr>
            </w:pPr>
            <w:r w:rsidRPr="00C13F95">
              <w:rPr>
                <w:rFonts w:ascii="Arial" w:eastAsia="MS Mincho" w:hAnsi="Arial" w:cs="Arial"/>
                <w:spacing w:val="-1"/>
                <w:lang w:val="en-GB"/>
              </w:rPr>
              <w:tab/>
            </w:r>
            <w:r w:rsidRPr="00C13F95">
              <w:rPr>
                <w:rFonts w:ascii="Arial" w:eastAsia="MS Mincho" w:hAnsi="Arial" w:cs="Arial"/>
                <w:spacing w:val="-1"/>
                <w:u w:val="single"/>
                <w:lang w:val="en-GB"/>
              </w:rPr>
              <w:tab/>
              <w:t>15,043</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u w:val="single"/>
                <w:lang w:val="en-GB"/>
              </w:rPr>
            </w:pPr>
            <w:r w:rsidRPr="00C13F95">
              <w:rPr>
                <w:rFonts w:ascii="Arial" w:eastAsia="MS Mincho" w:hAnsi="Arial" w:cs="Arial"/>
                <w:spacing w:val="-1"/>
                <w:lang w:val="en-GB"/>
              </w:rPr>
              <w:tab/>
            </w:r>
            <w:r w:rsidRPr="00C13F95">
              <w:rPr>
                <w:rFonts w:ascii="Arial" w:eastAsia="MS Mincho" w:hAnsi="Arial" w:cs="Arial"/>
                <w:spacing w:val="-1"/>
                <w:u w:val="single"/>
                <w:lang w:val="en-GB"/>
              </w:rPr>
              <w:tab/>
              <w:t>10,167</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Net earnings before taxes</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59,673</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39,982</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82,007</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r w:rsidRPr="00C13F95">
              <w:rPr>
                <w:rFonts w:ascii="Arial" w:eastAsia="MS Mincho" w:hAnsi="Arial" w:cs="Arial"/>
                <w:spacing w:val="-1"/>
                <w:lang w:val="en-GB"/>
              </w:rPr>
              <w:t>Income taxes</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u w:val="single"/>
                <w:lang w:val="en-GB"/>
              </w:rPr>
            </w:pPr>
            <w:r w:rsidRPr="00C13F95">
              <w:rPr>
                <w:rFonts w:ascii="Arial" w:eastAsia="MS Mincho" w:hAnsi="Arial" w:cs="Arial"/>
                <w:spacing w:val="-1"/>
                <w:lang w:val="en-GB"/>
              </w:rPr>
              <w:tab/>
            </w:r>
            <w:r w:rsidRPr="00C13F95">
              <w:rPr>
                <w:rFonts w:ascii="Arial" w:eastAsia="MS Mincho" w:hAnsi="Arial" w:cs="Arial"/>
                <w:spacing w:val="-1"/>
                <w:u w:val="single"/>
                <w:lang w:val="en-GB"/>
              </w:rPr>
              <w:tab/>
              <w:t>12,531</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u w:val="single"/>
                <w:lang w:val="en-GB"/>
              </w:rPr>
            </w:pPr>
            <w:r w:rsidRPr="00C13F95">
              <w:rPr>
                <w:rFonts w:ascii="Arial" w:eastAsia="MS Mincho" w:hAnsi="Arial" w:cs="Arial"/>
                <w:spacing w:val="-1"/>
                <w:lang w:val="en-GB"/>
              </w:rPr>
              <w:tab/>
            </w:r>
            <w:r w:rsidRPr="00C13F95">
              <w:rPr>
                <w:rFonts w:ascii="Arial" w:eastAsia="MS Mincho" w:hAnsi="Arial" w:cs="Arial"/>
                <w:spacing w:val="-1"/>
                <w:u w:val="single"/>
                <w:lang w:val="en-GB"/>
              </w:rPr>
              <w:tab/>
              <w:t>8,396</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u w:val="single"/>
                <w:lang w:val="en-GB"/>
              </w:rPr>
            </w:pPr>
            <w:r w:rsidRPr="00C13F95">
              <w:rPr>
                <w:rFonts w:ascii="Arial" w:eastAsia="MS Mincho" w:hAnsi="Arial" w:cs="Arial"/>
                <w:spacing w:val="-1"/>
                <w:lang w:val="en-GB"/>
              </w:rPr>
              <w:tab/>
            </w:r>
            <w:r w:rsidRPr="00C13F95">
              <w:rPr>
                <w:rFonts w:ascii="Arial" w:eastAsia="MS Mincho" w:hAnsi="Arial" w:cs="Arial"/>
                <w:spacing w:val="-1"/>
                <w:u w:val="single"/>
                <w:lang w:val="en-GB"/>
              </w:rPr>
              <w:tab/>
              <w:t>17,221</w:t>
            </w:r>
          </w:p>
        </w:tc>
      </w:tr>
      <w:tr w:rsidR="00D27BC7" w:rsidRPr="00C13F95" w:rsidTr="00D27BC7">
        <w:tc>
          <w:tcPr>
            <w:tcW w:w="3258" w:type="dxa"/>
          </w:tcPr>
          <w:p w:rsidR="00D27BC7" w:rsidRPr="00C13F95" w:rsidRDefault="00D27BC7" w:rsidP="00D27BC7">
            <w:pPr>
              <w:tabs>
                <w:tab w:val="left" w:pos="360"/>
              </w:tabs>
              <w:jc w:val="both"/>
              <w:rPr>
                <w:rFonts w:ascii="Arial" w:eastAsia="MS Mincho" w:hAnsi="Arial" w:cs="Arial"/>
                <w:spacing w:val="-1"/>
                <w:lang w:val="en-GB"/>
              </w:rPr>
            </w:pP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2160" w:type="dxa"/>
          </w:tcPr>
          <w:p w:rsidR="00D27BC7" w:rsidRPr="00C13F95" w:rsidRDefault="00D27BC7" w:rsidP="00D27BC7">
            <w:pPr>
              <w:tabs>
                <w:tab w:val="left" w:pos="252"/>
                <w:tab w:val="right" w:pos="1692"/>
              </w:tabs>
              <w:jc w:val="right"/>
              <w:rPr>
                <w:rFonts w:ascii="Arial" w:eastAsia="MS Mincho" w:hAnsi="Arial" w:cs="Arial"/>
                <w:spacing w:val="-1"/>
                <w:lang w:val="en-GB"/>
              </w:rPr>
            </w:pPr>
          </w:p>
        </w:tc>
        <w:tc>
          <w:tcPr>
            <w:tcW w:w="1998" w:type="dxa"/>
          </w:tcPr>
          <w:p w:rsidR="00D27BC7" w:rsidRPr="00C13F95" w:rsidRDefault="00D27BC7" w:rsidP="00D27BC7">
            <w:pPr>
              <w:tabs>
                <w:tab w:val="left" w:pos="252"/>
                <w:tab w:val="right" w:pos="1602"/>
              </w:tabs>
              <w:jc w:val="right"/>
              <w:rPr>
                <w:rFonts w:ascii="Arial" w:eastAsia="MS Mincho" w:hAnsi="Arial" w:cs="Arial"/>
                <w:spacing w:val="-1"/>
                <w:lang w:val="en-GB"/>
              </w:rPr>
            </w:pPr>
          </w:p>
        </w:tc>
      </w:tr>
      <w:tr w:rsidR="00D27BC7" w:rsidRPr="00C13F95" w:rsidTr="00D27BC7">
        <w:trPr>
          <w:trHeight w:val="192"/>
        </w:trPr>
        <w:tc>
          <w:tcPr>
            <w:tcW w:w="3258" w:type="dxa"/>
          </w:tcPr>
          <w:p w:rsidR="00D27BC7" w:rsidRPr="00C13F95" w:rsidRDefault="00D27BC7" w:rsidP="00D27BC7">
            <w:pPr>
              <w:tabs>
                <w:tab w:val="left" w:pos="360"/>
              </w:tabs>
              <w:jc w:val="both"/>
              <w:rPr>
                <w:rFonts w:ascii="Arial" w:eastAsia="MS Mincho" w:hAnsi="Arial" w:cs="Arial"/>
                <w:b/>
                <w:spacing w:val="-1"/>
                <w:lang w:val="en-GB"/>
              </w:rPr>
            </w:pPr>
            <w:r w:rsidRPr="00C13F95">
              <w:rPr>
                <w:rFonts w:ascii="Arial" w:eastAsia="MS Mincho" w:hAnsi="Arial" w:cs="Arial"/>
                <w:b/>
                <w:spacing w:val="-1"/>
                <w:lang w:val="en-GB"/>
              </w:rPr>
              <w:t>Net income after taxes</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u w:val="double"/>
                <w:lang w:val="en-GB"/>
              </w:rPr>
            </w:pPr>
            <w:r w:rsidRPr="00C13F95">
              <w:rPr>
                <w:rFonts w:ascii="Arial" w:eastAsia="MS Mincho" w:hAnsi="Arial" w:cs="Arial"/>
                <w:spacing w:val="-1"/>
                <w:lang w:val="en-GB"/>
              </w:rPr>
              <w:tab/>
            </w:r>
            <w:r w:rsidRPr="00C13F95">
              <w:rPr>
                <w:rFonts w:ascii="Arial" w:eastAsia="MS Mincho" w:hAnsi="Arial" w:cs="Arial"/>
                <w:spacing w:val="-1"/>
                <w:u w:val="double"/>
                <w:lang w:val="en-GB"/>
              </w:rPr>
              <w:t>$</w:t>
            </w:r>
            <w:r w:rsidRPr="00C13F95">
              <w:rPr>
                <w:rFonts w:ascii="Arial" w:eastAsia="MS Mincho" w:hAnsi="Arial" w:cs="Arial"/>
                <w:spacing w:val="-1"/>
                <w:u w:val="double"/>
                <w:lang w:val="en-GB"/>
              </w:rPr>
              <w:tab/>
              <w:t>47,142</w:t>
            </w:r>
          </w:p>
        </w:tc>
        <w:tc>
          <w:tcPr>
            <w:tcW w:w="2160" w:type="dxa"/>
          </w:tcPr>
          <w:p w:rsidR="00D27BC7" w:rsidRPr="00C13F95" w:rsidRDefault="00D27BC7" w:rsidP="00D27BC7">
            <w:pPr>
              <w:tabs>
                <w:tab w:val="left" w:pos="252"/>
                <w:tab w:val="right" w:pos="1692"/>
              </w:tabs>
              <w:jc w:val="right"/>
              <w:rPr>
                <w:rFonts w:ascii="Arial" w:eastAsia="MS Mincho" w:hAnsi="Arial" w:cs="Arial"/>
                <w:spacing w:val="-1"/>
                <w:u w:val="double"/>
                <w:lang w:val="en-GB"/>
              </w:rPr>
            </w:pPr>
            <w:r w:rsidRPr="00C13F95">
              <w:rPr>
                <w:rFonts w:ascii="Arial" w:eastAsia="MS Mincho" w:hAnsi="Arial" w:cs="Arial"/>
                <w:spacing w:val="-1"/>
                <w:lang w:val="en-GB"/>
              </w:rPr>
              <w:tab/>
            </w:r>
            <w:r w:rsidRPr="00C13F95">
              <w:rPr>
                <w:rFonts w:ascii="Arial" w:eastAsia="MS Mincho" w:hAnsi="Arial" w:cs="Arial"/>
                <w:spacing w:val="-1"/>
                <w:u w:val="double"/>
                <w:lang w:val="en-GB"/>
              </w:rPr>
              <w:t>$</w:t>
            </w:r>
            <w:r w:rsidRPr="00C13F95">
              <w:rPr>
                <w:rFonts w:ascii="Arial" w:eastAsia="MS Mincho" w:hAnsi="Arial" w:cs="Arial"/>
                <w:spacing w:val="-1"/>
                <w:u w:val="double"/>
                <w:lang w:val="en-GB"/>
              </w:rPr>
              <w:tab/>
              <w:t>31,586</w:t>
            </w:r>
          </w:p>
        </w:tc>
        <w:tc>
          <w:tcPr>
            <w:tcW w:w="1998" w:type="dxa"/>
          </w:tcPr>
          <w:p w:rsidR="00D27BC7" w:rsidRPr="00C13F95" w:rsidRDefault="00D27BC7" w:rsidP="00D27BC7">
            <w:pPr>
              <w:tabs>
                <w:tab w:val="left" w:pos="252"/>
                <w:tab w:val="right" w:pos="1602"/>
              </w:tabs>
              <w:jc w:val="right"/>
              <w:rPr>
                <w:rFonts w:ascii="Arial" w:eastAsia="MS Mincho" w:hAnsi="Arial" w:cs="Arial"/>
                <w:spacing w:val="-1"/>
                <w:u w:val="double"/>
                <w:lang w:val="en-GB"/>
              </w:rPr>
            </w:pPr>
            <w:r w:rsidRPr="00C13F95">
              <w:rPr>
                <w:rFonts w:ascii="Arial" w:eastAsia="MS Mincho" w:hAnsi="Arial" w:cs="Arial"/>
                <w:spacing w:val="-1"/>
                <w:lang w:val="en-GB"/>
              </w:rPr>
              <w:tab/>
            </w:r>
            <w:r w:rsidRPr="00C13F95">
              <w:rPr>
                <w:rFonts w:ascii="Arial" w:eastAsia="MS Mincho" w:hAnsi="Arial" w:cs="Arial"/>
                <w:spacing w:val="-1"/>
                <w:u w:val="double"/>
                <w:lang w:val="en-GB"/>
              </w:rPr>
              <w:t>$</w:t>
            </w:r>
            <w:r w:rsidRPr="00C13F95">
              <w:rPr>
                <w:rFonts w:ascii="Arial" w:eastAsia="MS Mincho" w:hAnsi="Arial" w:cs="Arial"/>
                <w:spacing w:val="-1"/>
                <w:u w:val="double"/>
                <w:lang w:val="en-GB"/>
              </w:rPr>
              <w:tab/>
              <w:t>64,786</w:t>
            </w:r>
          </w:p>
        </w:tc>
      </w:tr>
    </w:tbl>
    <w:p w:rsidR="00D27BC7" w:rsidRPr="00C2669C" w:rsidRDefault="00D27BC7" w:rsidP="00D27BC7">
      <w:pPr>
        <w:pStyle w:val="FootnoteText1"/>
        <w:rPr>
          <w:rFonts w:eastAsia="MS Mincho"/>
          <w:lang w:val="en-GB"/>
        </w:rPr>
      </w:pPr>
    </w:p>
    <w:p w:rsidR="00D27BC7" w:rsidRPr="00C2669C" w:rsidRDefault="00D27BC7" w:rsidP="00D27BC7">
      <w:pPr>
        <w:pStyle w:val="FootnoteText1"/>
        <w:rPr>
          <w:rFonts w:eastAsia="MS Mincho"/>
          <w:lang w:val="en-GB"/>
        </w:rPr>
      </w:pPr>
      <w:r w:rsidRPr="00C2669C">
        <w:rPr>
          <w:rFonts w:eastAsia="MS Mincho"/>
          <w:lang w:val="en-GB"/>
        </w:rPr>
        <w:t>Source: Company files.</w:t>
      </w:r>
    </w:p>
    <w:p w:rsidR="00D27BC7" w:rsidRPr="00C13F95" w:rsidRDefault="00D27BC7" w:rsidP="00D27BC7">
      <w:pPr>
        <w:pStyle w:val="BodyTextMain"/>
        <w:rPr>
          <w:lang w:val="en-GB"/>
        </w:rPr>
      </w:pPr>
    </w:p>
    <w:p w:rsidR="00D27BC7" w:rsidRPr="00C13F95" w:rsidRDefault="00D27BC7" w:rsidP="00D27BC7">
      <w:pPr>
        <w:pStyle w:val="BodyTextMain"/>
        <w:rPr>
          <w:lang w:val="en-GB"/>
        </w:rPr>
      </w:pPr>
    </w:p>
    <w:p w:rsidR="00D27BC7" w:rsidRPr="00C13F95" w:rsidRDefault="00D27BC7" w:rsidP="00D27BC7">
      <w:pPr>
        <w:pStyle w:val="BodyTextMain"/>
        <w:rPr>
          <w:lang w:val="en-GB"/>
        </w:rPr>
      </w:pPr>
    </w:p>
    <w:p w:rsidR="00D27BC7" w:rsidRPr="00C13F95" w:rsidRDefault="00D27BC7" w:rsidP="00D27BC7">
      <w:pPr>
        <w:pStyle w:val="Casehead1"/>
        <w:jc w:val="center"/>
        <w:rPr>
          <w:rFonts w:eastAsia="MS Mincho"/>
          <w:lang w:val="en-GB"/>
        </w:rPr>
      </w:pPr>
      <w:r w:rsidRPr="00C13F95">
        <w:rPr>
          <w:rFonts w:eastAsia="MS Mincho"/>
          <w:lang w:val="en-GB"/>
        </w:rPr>
        <w:t>EXHIBIT 2: THE ITALIAN BAKERY—STATEMENT OF RETAINED EARNINGS</w:t>
      </w:r>
    </w:p>
    <w:p w:rsidR="00D27BC7" w:rsidRPr="00C13F95" w:rsidRDefault="00D27BC7" w:rsidP="00D27BC7">
      <w:pPr>
        <w:pStyle w:val="Casehead1"/>
        <w:jc w:val="center"/>
        <w:rPr>
          <w:rFonts w:eastAsia="MS Mincho"/>
          <w:lang w:val="en-GB"/>
        </w:rPr>
      </w:pPr>
      <w:r w:rsidRPr="00C13F95">
        <w:rPr>
          <w:rFonts w:eastAsia="MS Mincho"/>
          <w:lang w:val="en-GB"/>
        </w:rPr>
        <w:t>(for years ending December 31)</w:t>
      </w:r>
    </w:p>
    <w:p w:rsidR="00D27BC7" w:rsidRPr="00C13F95" w:rsidRDefault="00D27BC7" w:rsidP="00D27BC7">
      <w:pPr>
        <w:pStyle w:val="BodyTextMain"/>
        <w:rPr>
          <w:rFonts w:eastAsia="MS Mincho"/>
          <w:lang w:val="en-GB"/>
        </w:rPr>
      </w:pPr>
    </w:p>
    <w:p w:rsidR="00D27BC7" w:rsidRPr="00C13F95" w:rsidRDefault="00D27BC7" w:rsidP="00D27BC7">
      <w:pPr>
        <w:pStyle w:val="BodyTextMain"/>
        <w:rPr>
          <w:rFonts w:eastAsia="MS Mincho"/>
          <w:lang w:val="en-GB"/>
        </w:rPr>
      </w:pPr>
    </w:p>
    <w:tbl>
      <w:tblPr>
        <w:tblW w:w="9670" w:type="dxa"/>
        <w:tblLook w:val="04A0" w:firstRow="1" w:lastRow="0" w:firstColumn="1" w:lastColumn="0" w:noHBand="0" w:noVBand="1"/>
      </w:tblPr>
      <w:tblGrid>
        <w:gridCol w:w="3348"/>
        <w:gridCol w:w="2160"/>
        <w:gridCol w:w="2160"/>
        <w:gridCol w:w="2002"/>
      </w:tblGrid>
      <w:tr w:rsidR="00D27BC7" w:rsidRPr="00C13F95" w:rsidTr="00CC0759">
        <w:tc>
          <w:tcPr>
            <w:tcW w:w="3348" w:type="dxa"/>
          </w:tcPr>
          <w:p w:rsidR="00D27BC7" w:rsidRPr="00C13F95" w:rsidRDefault="00D27BC7" w:rsidP="00D27BC7">
            <w:pPr>
              <w:jc w:val="center"/>
              <w:rPr>
                <w:rFonts w:ascii="Arial" w:eastAsia="MS Mincho" w:hAnsi="Arial" w:cs="Arial"/>
                <w:b/>
                <w:spacing w:val="-1"/>
                <w:lang w:val="en-GB"/>
              </w:rPr>
            </w:pPr>
          </w:p>
        </w:tc>
        <w:tc>
          <w:tcPr>
            <w:tcW w:w="2160" w:type="dxa"/>
          </w:tcPr>
          <w:p w:rsidR="00D27BC7" w:rsidRPr="00C13F95" w:rsidRDefault="00D27BC7" w:rsidP="00D27BC7">
            <w:pPr>
              <w:tabs>
                <w:tab w:val="left" w:pos="342"/>
                <w:tab w:val="right" w:pos="1602"/>
              </w:tabs>
              <w:jc w:val="center"/>
              <w:rPr>
                <w:rFonts w:ascii="Arial" w:eastAsia="MS Mincho" w:hAnsi="Arial" w:cs="Arial"/>
                <w:b/>
                <w:spacing w:val="-1"/>
                <w:lang w:val="en-GB"/>
              </w:rPr>
            </w:pPr>
            <w:bookmarkStart w:id="0" w:name="_GoBack"/>
            <w:r w:rsidRPr="00C13F95">
              <w:rPr>
                <w:rFonts w:ascii="Arial" w:eastAsia="MS Mincho" w:hAnsi="Arial" w:cs="Arial"/>
                <w:b/>
                <w:spacing w:val="-1"/>
                <w:lang w:val="en-GB"/>
              </w:rPr>
              <w:t>2014</w:t>
            </w:r>
            <w:bookmarkEnd w:id="0"/>
          </w:p>
        </w:tc>
        <w:tc>
          <w:tcPr>
            <w:tcW w:w="2160" w:type="dxa"/>
          </w:tcPr>
          <w:p w:rsidR="00D27BC7" w:rsidRPr="00C13F95" w:rsidRDefault="00D27BC7" w:rsidP="00D27BC7">
            <w:pPr>
              <w:tabs>
                <w:tab w:val="left" w:pos="342"/>
                <w:tab w:val="right" w:pos="1602"/>
              </w:tabs>
              <w:jc w:val="center"/>
              <w:rPr>
                <w:rFonts w:ascii="Arial" w:eastAsia="MS Mincho" w:hAnsi="Arial" w:cs="Arial"/>
                <w:b/>
                <w:spacing w:val="-1"/>
                <w:lang w:val="en-GB"/>
              </w:rPr>
            </w:pPr>
            <w:r w:rsidRPr="00C13F95">
              <w:rPr>
                <w:rFonts w:ascii="Arial" w:eastAsia="MS Mincho" w:hAnsi="Arial" w:cs="Arial"/>
                <w:b/>
                <w:spacing w:val="-1"/>
                <w:lang w:val="en-GB"/>
              </w:rPr>
              <w:t>2013</w:t>
            </w:r>
          </w:p>
        </w:tc>
        <w:tc>
          <w:tcPr>
            <w:tcW w:w="2002" w:type="dxa"/>
          </w:tcPr>
          <w:p w:rsidR="00D27BC7" w:rsidRPr="00C13F95" w:rsidRDefault="00D27BC7" w:rsidP="00D27BC7">
            <w:pPr>
              <w:tabs>
                <w:tab w:val="left" w:pos="342"/>
                <w:tab w:val="right" w:pos="1512"/>
              </w:tabs>
              <w:jc w:val="center"/>
              <w:rPr>
                <w:rFonts w:ascii="Arial" w:eastAsia="MS Mincho" w:hAnsi="Arial" w:cs="Arial"/>
                <w:b/>
                <w:spacing w:val="-1"/>
                <w:lang w:val="en-GB"/>
              </w:rPr>
            </w:pPr>
            <w:r w:rsidRPr="00C13F95">
              <w:rPr>
                <w:rFonts w:ascii="Arial" w:eastAsia="MS Mincho" w:hAnsi="Arial" w:cs="Arial"/>
                <w:b/>
                <w:spacing w:val="-1"/>
                <w:lang w:val="en-GB"/>
              </w:rPr>
              <w:t>2012</w:t>
            </w:r>
          </w:p>
        </w:tc>
      </w:tr>
      <w:tr w:rsidR="00AC6A50" w:rsidRPr="00AC6A50" w:rsidTr="00CC0759">
        <w:trPr>
          <w:trHeight w:val="20"/>
        </w:trPr>
        <w:tc>
          <w:tcPr>
            <w:tcW w:w="3348" w:type="dxa"/>
          </w:tcPr>
          <w:p w:rsidR="00AC6A50" w:rsidRPr="00AC6A50" w:rsidRDefault="00AC6A50" w:rsidP="00D27BC7">
            <w:pPr>
              <w:jc w:val="center"/>
              <w:rPr>
                <w:rFonts w:ascii="Arial" w:eastAsia="MS Mincho" w:hAnsi="Arial" w:cs="Arial"/>
                <w:b/>
                <w:spacing w:val="-1"/>
                <w:sz w:val="16"/>
                <w:szCs w:val="16"/>
                <w:lang w:val="en-GB"/>
              </w:rPr>
            </w:pPr>
          </w:p>
        </w:tc>
        <w:tc>
          <w:tcPr>
            <w:tcW w:w="2160" w:type="dxa"/>
          </w:tcPr>
          <w:p w:rsidR="00AC6A50" w:rsidRPr="00AC6A50" w:rsidRDefault="00AC6A50" w:rsidP="00D27BC7">
            <w:pPr>
              <w:tabs>
                <w:tab w:val="left" w:pos="342"/>
                <w:tab w:val="right" w:pos="1602"/>
              </w:tabs>
              <w:jc w:val="center"/>
              <w:rPr>
                <w:rFonts w:ascii="Arial" w:eastAsia="MS Mincho" w:hAnsi="Arial" w:cs="Arial"/>
                <w:b/>
                <w:spacing w:val="-1"/>
                <w:sz w:val="16"/>
                <w:szCs w:val="16"/>
                <w:lang w:val="en-GB"/>
              </w:rPr>
            </w:pPr>
          </w:p>
        </w:tc>
        <w:tc>
          <w:tcPr>
            <w:tcW w:w="2160" w:type="dxa"/>
          </w:tcPr>
          <w:p w:rsidR="00AC6A50" w:rsidRPr="00AC6A50" w:rsidRDefault="00AC6A50" w:rsidP="00D27BC7">
            <w:pPr>
              <w:tabs>
                <w:tab w:val="left" w:pos="342"/>
                <w:tab w:val="right" w:pos="1602"/>
              </w:tabs>
              <w:jc w:val="center"/>
              <w:rPr>
                <w:rFonts w:ascii="Arial" w:eastAsia="MS Mincho" w:hAnsi="Arial" w:cs="Arial"/>
                <w:b/>
                <w:spacing w:val="-1"/>
                <w:sz w:val="16"/>
                <w:szCs w:val="16"/>
                <w:lang w:val="en-GB"/>
              </w:rPr>
            </w:pPr>
          </w:p>
        </w:tc>
        <w:tc>
          <w:tcPr>
            <w:tcW w:w="2002" w:type="dxa"/>
          </w:tcPr>
          <w:p w:rsidR="00AC6A50" w:rsidRPr="00AC6A50" w:rsidRDefault="00AC6A50" w:rsidP="00D27BC7">
            <w:pPr>
              <w:tabs>
                <w:tab w:val="left" w:pos="342"/>
                <w:tab w:val="right" w:pos="1512"/>
              </w:tabs>
              <w:jc w:val="center"/>
              <w:rPr>
                <w:rFonts w:ascii="Arial" w:eastAsia="MS Mincho" w:hAnsi="Arial" w:cs="Arial"/>
                <w:b/>
                <w:spacing w:val="-1"/>
                <w:sz w:val="16"/>
                <w:szCs w:val="16"/>
                <w:lang w:val="en-GB"/>
              </w:rPr>
            </w:pPr>
          </w:p>
        </w:tc>
      </w:tr>
      <w:tr w:rsidR="00D27BC7" w:rsidRPr="00C13F95" w:rsidTr="00CC0759">
        <w:tc>
          <w:tcPr>
            <w:tcW w:w="3348" w:type="dxa"/>
          </w:tcPr>
          <w:p w:rsidR="00D27BC7" w:rsidRPr="00C13F95" w:rsidRDefault="00D27BC7" w:rsidP="00D27BC7">
            <w:pPr>
              <w:jc w:val="both"/>
              <w:rPr>
                <w:rFonts w:ascii="Arial" w:eastAsia="MS Mincho" w:hAnsi="Arial" w:cs="Arial"/>
                <w:spacing w:val="-1"/>
                <w:lang w:val="en-GB"/>
              </w:rPr>
            </w:pPr>
            <w:r w:rsidRPr="00C13F95">
              <w:rPr>
                <w:rFonts w:ascii="Arial" w:eastAsia="MS Mincho" w:hAnsi="Arial" w:cs="Arial"/>
                <w:spacing w:val="-1"/>
                <w:lang w:val="en-GB"/>
              </w:rPr>
              <w:t>Beginning retained earnings</w:t>
            </w:r>
          </w:p>
        </w:tc>
        <w:tc>
          <w:tcPr>
            <w:tcW w:w="2160" w:type="dxa"/>
          </w:tcPr>
          <w:p w:rsidR="00D27BC7" w:rsidRPr="00C13F95" w:rsidRDefault="00D27BC7" w:rsidP="00D27BC7">
            <w:pPr>
              <w:tabs>
                <w:tab w:val="left" w:pos="342"/>
                <w:tab w:val="right" w:pos="1602"/>
              </w:tabs>
              <w:jc w:val="right"/>
              <w:rPr>
                <w:rFonts w:ascii="Arial" w:eastAsia="MS Mincho" w:hAnsi="Arial" w:cs="Arial"/>
                <w:spacing w:val="-1"/>
                <w:lang w:val="en-GB"/>
              </w:rPr>
            </w:pPr>
            <w:r w:rsidRPr="00C13F95">
              <w:rPr>
                <w:rFonts w:ascii="Arial" w:eastAsia="MS Mincho" w:hAnsi="Arial" w:cs="Arial"/>
                <w:spacing w:val="-1"/>
                <w:lang w:val="en-GB"/>
              </w:rPr>
              <w:tab/>
              <w:t>$</w:t>
            </w:r>
            <w:r w:rsidRPr="00C13F95">
              <w:rPr>
                <w:rFonts w:ascii="Arial" w:eastAsia="MS Mincho" w:hAnsi="Arial" w:cs="Arial"/>
                <w:spacing w:val="-1"/>
                <w:lang w:val="en-GB"/>
              </w:rPr>
              <w:tab/>
              <w:t>62,453</w:t>
            </w:r>
          </w:p>
        </w:tc>
        <w:tc>
          <w:tcPr>
            <w:tcW w:w="2160" w:type="dxa"/>
          </w:tcPr>
          <w:p w:rsidR="00D27BC7" w:rsidRPr="00C13F95" w:rsidRDefault="00D27BC7" w:rsidP="00D27BC7">
            <w:pPr>
              <w:tabs>
                <w:tab w:val="left" w:pos="342"/>
                <w:tab w:val="right" w:pos="1602"/>
              </w:tabs>
              <w:jc w:val="right"/>
              <w:rPr>
                <w:rFonts w:ascii="Arial" w:eastAsia="MS Mincho" w:hAnsi="Arial" w:cs="Arial"/>
                <w:spacing w:val="-1"/>
                <w:lang w:val="en-GB"/>
              </w:rPr>
            </w:pPr>
            <w:r w:rsidRPr="00C13F95">
              <w:rPr>
                <w:rFonts w:ascii="Arial" w:eastAsia="MS Mincho" w:hAnsi="Arial" w:cs="Arial"/>
                <w:spacing w:val="-1"/>
                <w:lang w:val="en-GB"/>
              </w:rPr>
              <w:tab/>
              <w:t>$</w:t>
            </w:r>
            <w:r w:rsidRPr="00C13F95">
              <w:rPr>
                <w:rFonts w:ascii="Arial" w:eastAsia="MS Mincho" w:hAnsi="Arial" w:cs="Arial"/>
                <w:spacing w:val="-1"/>
                <w:lang w:val="en-GB"/>
              </w:rPr>
              <w:tab/>
              <w:t>55,867</w:t>
            </w:r>
          </w:p>
        </w:tc>
        <w:tc>
          <w:tcPr>
            <w:tcW w:w="2002" w:type="dxa"/>
          </w:tcPr>
          <w:p w:rsidR="00D27BC7" w:rsidRPr="00C13F95" w:rsidRDefault="00D27BC7" w:rsidP="00D27BC7">
            <w:pPr>
              <w:tabs>
                <w:tab w:val="left" w:pos="342"/>
                <w:tab w:val="right" w:pos="1512"/>
              </w:tabs>
              <w:jc w:val="right"/>
              <w:rPr>
                <w:rFonts w:ascii="Arial" w:eastAsia="MS Mincho" w:hAnsi="Arial" w:cs="Arial"/>
                <w:spacing w:val="-1"/>
                <w:lang w:val="en-GB"/>
              </w:rPr>
            </w:pPr>
            <w:r w:rsidRPr="00C13F95">
              <w:rPr>
                <w:rFonts w:ascii="Arial" w:eastAsia="MS Mincho" w:hAnsi="Arial" w:cs="Arial"/>
                <w:spacing w:val="-1"/>
                <w:lang w:val="en-GB"/>
              </w:rPr>
              <w:tab/>
              <w:t>$</w:t>
            </w:r>
            <w:r w:rsidRPr="00C13F95">
              <w:rPr>
                <w:rFonts w:ascii="Arial" w:eastAsia="MS Mincho" w:hAnsi="Arial" w:cs="Arial"/>
                <w:spacing w:val="-1"/>
                <w:lang w:val="en-GB"/>
              </w:rPr>
              <w:tab/>
              <w:t>26,082</w:t>
            </w:r>
          </w:p>
        </w:tc>
      </w:tr>
      <w:tr w:rsidR="00D27BC7" w:rsidRPr="00C13F95" w:rsidTr="00CC0759">
        <w:tc>
          <w:tcPr>
            <w:tcW w:w="3348" w:type="dxa"/>
          </w:tcPr>
          <w:p w:rsidR="00D27BC7" w:rsidRPr="00C13F95" w:rsidRDefault="00D27BC7" w:rsidP="00D27BC7">
            <w:pPr>
              <w:tabs>
                <w:tab w:val="left" w:pos="270"/>
              </w:tabs>
              <w:jc w:val="both"/>
              <w:rPr>
                <w:rFonts w:ascii="Arial" w:eastAsia="MS Mincho" w:hAnsi="Arial" w:cs="Arial"/>
                <w:spacing w:val="-1"/>
                <w:lang w:val="en-GB"/>
              </w:rPr>
            </w:pPr>
            <w:r w:rsidRPr="00C13F95">
              <w:rPr>
                <w:rFonts w:ascii="Arial" w:eastAsia="MS Mincho" w:hAnsi="Arial" w:cs="Arial"/>
                <w:spacing w:val="-1"/>
                <w:lang w:val="en-GB"/>
              </w:rPr>
              <w:tab/>
              <w:t>(Add) Net income</w:t>
            </w:r>
          </w:p>
        </w:tc>
        <w:tc>
          <w:tcPr>
            <w:tcW w:w="2160" w:type="dxa"/>
          </w:tcPr>
          <w:p w:rsidR="00D27BC7" w:rsidRPr="00C13F95" w:rsidRDefault="00D27BC7" w:rsidP="00D27BC7">
            <w:pPr>
              <w:tabs>
                <w:tab w:val="left" w:pos="342"/>
                <w:tab w:val="right" w:pos="160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47,142</w:t>
            </w:r>
          </w:p>
        </w:tc>
        <w:tc>
          <w:tcPr>
            <w:tcW w:w="2160" w:type="dxa"/>
          </w:tcPr>
          <w:p w:rsidR="00D27BC7" w:rsidRPr="00C13F95" w:rsidRDefault="00D27BC7" w:rsidP="00D27BC7">
            <w:pPr>
              <w:tabs>
                <w:tab w:val="left" w:pos="342"/>
                <w:tab w:val="right" w:pos="160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31,586</w:t>
            </w:r>
          </w:p>
        </w:tc>
        <w:tc>
          <w:tcPr>
            <w:tcW w:w="2002" w:type="dxa"/>
          </w:tcPr>
          <w:p w:rsidR="00D27BC7" w:rsidRPr="00C13F95" w:rsidRDefault="00D27BC7" w:rsidP="00D27BC7">
            <w:pPr>
              <w:tabs>
                <w:tab w:val="left" w:pos="342"/>
                <w:tab w:val="right" w:pos="1512"/>
              </w:tabs>
              <w:jc w:val="right"/>
              <w:rPr>
                <w:rFonts w:ascii="Arial" w:eastAsia="MS Mincho" w:hAnsi="Arial" w:cs="Arial"/>
                <w:spacing w:val="-1"/>
                <w:lang w:val="en-GB"/>
              </w:rPr>
            </w:pPr>
            <w:r w:rsidRPr="00C13F95">
              <w:rPr>
                <w:rFonts w:ascii="Arial" w:eastAsia="MS Mincho" w:hAnsi="Arial" w:cs="Arial"/>
                <w:spacing w:val="-1"/>
                <w:lang w:val="en-GB"/>
              </w:rPr>
              <w:tab/>
            </w:r>
            <w:r w:rsidRPr="00C13F95">
              <w:rPr>
                <w:rFonts w:ascii="Arial" w:eastAsia="MS Mincho" w:hAnsi="Arial" w:cs="Arial"/>
                <w:spacing w:val="-1"/>
                <w:lang w:val="en-GB"/>
              </w:rPr>
              <w:tab/>
              <w:t>64,785</w:t>
            </w:r>
          </w:p>
        </w:tc>
      </w:tr>
      <w:tr w:rsidR="00D27BC7" w:rsidRPr="00C13F95" w:rsidTr="00CC0759">
        <w:tc>
          <w:tcPr>
            <w:tcW w:w="3348" w:type="dxa"/>
          </w:tcPr>
          <w:p w:rsidR="00D27BC7" w:rsidRPr="00C13F95" w:rsidRDefault="00D27BC7" w:rsidP="00D27BC7">
            <w:pPr>
              <w:tabs>
                <w:tab w:val="left" w:pos="270"/>
              </w:tabs>
              <w:jc w:val="both"/>
              <w:rPr>
                <w:rFonts w:ascii="Arial" w:eastAsia="MS Mincho" w:hAnsi="Arial" w:cs="Arial"/>
                <w:spacing w:val="-1"/>
                <w:lang w:val="en-GB"/>
              </w:rPr>
            </w:pPr>
            <w:r w:rsidRPr="00C13F95">
              <w:rPr>
                <w:rFonts w:ascii="Arial" w:eastAsia="MS Mincho" w:hAnsi="Arial" w:cs="Arial"/>
                <w:spacing w:val="-1"/>
                <w:lang w:val="en-GB"/>
              </w:rPr>
              <w:tab/>
              <w:t>(Less) Dividends</w:t>
            </w:r>
          </w:p>
        </w:tc>
        <w:tc>
          <w:tcPr>
            <w:tcW w:w="2160" w:type="dxa"/>
          </w:tcPr>
          <w:p w:rsidR="00D27BC7" w:rsidRPr="00C13F95" w:rsidRDefault="00D27BC7" w:rsidP="00D27BC7">
            <w:pPr>
              <w:tabs>
                <w:tab w:val="left" w:pos="342"/>
                <w:tab w:val="right" w:pos="1696"/>
              </w:tabs>
              <w:jc w:val="right"/>
              <w:rPr>
                <w:rFonts w:ascii="Arial" w:eastAsia="MS Mincho" w:hAnsi="Arial" w:cs="Arial"/>
                <w:spacing w:val="-1"/>
                <w:u w:val="single"/>
                <w:lang w:val="en-GB"/>
              </w:rPr>
            </w:pPr>
            <w:r w:rsidRPr="00C13F95">
              <w:rPr>
                <w:rFonts w:ascii="Arial" w:eastAsia="MS Mincho" w:hAnsi="Arial" w:cs="Arial"/>
                <w:spacing w:val="-1"/>
                <w:lang w:val="en-GB"/>
              </w:rPr>
              <w:tab/>
            </w:r>
            <w:r w:rsidRPr="00C13F95">
              <w:rPr>
                <w:rFonts w:ascii="Arial" w:eastAsia="MS Mincho" w:hAnsi="Arial" w:cs="Arial"/>
                <w:spacing w:val="-1"/>
                <w:u w:val="single"/>
                <w:lang w:val="en-GB"/>
              </w:rPr>
              <w:tab/>
              <w:t>(35,000)</w:t>
            </w:r>
          </w:p>
        </w:tc>
        <w:tc>
          <w:tcPr>
            <w:tcW w:w="2160" w:type="dxa"/>
          </w:tcPr>
          <w:p w:rsidR="00D27BC7" w:rsidRPr="00C13F95" w:rsidRDefault="00D27BC7" w:rsidP="00D27BC7">
            <w:pPr>
              <w:tabs>
                <w:tab w:val="left" w:pos="342"/>
                <w:tab w:val="right" w:pos="1644"/>
              </w:tabs>
              <w:jc w:val="right"/>
              <w:rPr>
                <w:rFonts w:ascii="Arial" w:eastAsia="MS Mincho" w:hAnsi="Arial" w:cs="Arial"/>
                <w:spacing w:val="-1"/>
                <w:u w:val="single"/>
                <w:lang w:val="en-GB"/>
              </w:rPr>
            </w:pPr>
            <w:r w:rsidRPr="00C13F95">
              <w:rPr>
                <w:rFonts w:ascii="Arial" w:eastAsia="MS Mincho" w:hAnsi="Arial" w:cs="Arial"/>
                <w:spacing w:val="-1"/>
                <w:lang w:val="en-GB"/>
              </w:rPr>
              <w:tab/>
            </w:r>
            <w:r w:rsidRPr="00C13F95">
              <w:rPr>
                <w:rFonts w:ascii="Arial" w:eastAsia="MS Mincho" w:hAnsi="Arial" w:cs="Arial"/>
                <w:spacing w:val="-1"/>
                <w:u w:val="single"/>
                <w:lang w:val="en-GB"/>
              </w:rPr>
              <w:tab/>
              <w:t>(25,000)</w:t>
            </w:r>
          </w:p>
        </w:tc>
        <w:tc>
          <w:tcPr>
            <w:tcW w:w="2002" w:type="dxa"/>
          </w:tcPr>
          <w:p w:rsidR="00D27BC7" w:rsidRPr="00C13F95" w:rsidRDefault="00D27BC7" w:rsidP="00D27BC7">
            <w:pPr>
              <w:tabs>
                <w:tab w:val="left" w:pos="342"/>
                <w:tab w:val="right" w:pos="1587"/>
              </w:tabs>
              <w:jc w:val="right"/>
              <w:rPr>
                <w:rFonts w:ascii="Arial" w:eastAsia="MS Mincho" w:hAnsi="Arial" w:cs="Arial"/>
                <w:spacing w:val="-1"/>
                <w:u w:val="single"/>
                <w:lang w:val="en-GB"/>
              </w:rPr>
            </w:pPr>
            <w:r w:rsidRPr="00C13F95">
              <w:rPr>
                <w:rFonts w:ascii="Arial" w:eastAsia="MS Mincho" w:hAnsi="Arial" w:cs="Arial"/>
                <w:spacing w:val="-1"/>
                <w:lang w:val="en-GB"/>
              </w:rPr>
              <w:tab/>
            </w:r>
            <w:r w:rsidRPr="00C13F95">
              <w:rPr>
                <w:rFonts w:ascii="Arial" w:eastAsia="MS Mincho" w:hAnsi="Arial" w:cs="Arial"/>
                <w:spacing w:val="-1"/>
                <w:u w:val="single"/>
                <w:lang w:val="en-GB"/>
              </w:rPr>
              <w:tab/>
              <w:t>(35,000)</w:t>
            </w:r>
          </w:p>
        </w:tc>
      </w:tr>
      <w:tr w:rsidR="00D27BC7" w:rsidRPr="00C13F95" w:rsidTr="00CC0759">
        <w:tc>
          <w:tcPr>
            <w:tcW w:w="3348" w:type="dxa"/>
          </w:tcPr>
          <w:p w:rsidR="00D27BC7" w:rsidRPr="00C13F95" w:rsidRDefault="00D27BC7" w:rsidP="00D27BC7">
            <w:pPr>
              <w:jc w:val="both"/>
              <w:rPr>
                <w:rFonts w:ascii="Arial" w:eastAsia="MS Mincho" w:hAnsi="Arial" w:cs="Arial"/>
                <w:spacing w:val="-1"/>
                <w:lang w:val="en-GB"/>
              </w:rPr>
            </w:pPr>
            <w:r w:rsidRPr="00C13F95">
              <w:rPr>
                <w:rFonts w:ascii="Arial" w:eastAsia="MS Mincho" w:hAnsi="Arial" w:cs="Arial"/>
                <w:spacing w:val="-1"/>
                <w:lang w:val="en-GB"/>
              </w:rPr>
              <w:t>Ending retained earnings</w:t>
            </w:r>
          </w:p>
        </w:tc>
        <w:tc>
          <w:tcPr>
            <w:tcW w:w="2160" w:type="dxa"/>
          </w:tcPr>
          <w:p w:rsidR="00D27BC7" w:rsidRPr="00C13F95" w:rsidRDefault="00D27BC7" w:rsidP="00D27BC7">
            <w:pPr>
              <w:tabs>
                <w:tab w:val="left" w:pos="342"/>
                <w:tab w:val="right" w:pos="1602"/>
              </w:tabs>
              <w:jc w:val="right"/>
              <w:rPr>
                <w:rFonts w:ascii="Arial" w:eastAsia="MS Mincho" w:hAnsi="Arial" w:cs="Arial"/>
                <w:spacing w:val="-1"/>
                <w:u w:val="double"/>
                <w:lang w:val="en-GB"/>
              </w:rPr>
            </w:pPr>
            <w:r w:rsidRPr="00C13F95">
              <w:rPr>
                <w:rFonts w:ascii="Arial" w:eastAsia="MS Mincho" w:hAnsi="Arial" w:cs="Arial"/>
                <w:spacing w:val="-1"/>
                <w:lang w:val="en-GB"/>
              </w:rPr>
              <w:tab/>
            </w:r>
            <w:r w:rsidRPr="00C13F95">
              <w:rPr>
                <w:rFonts w:ascii="Arial" w:eastAsia="MS Mincho" w:hAnsi="Arial" w:cs="Arial"/>
                <w:spacing w:val="-1"/>
                <w:u w:val="double"/>
                <w:lang w:val="en-GB"/>
              </w:rPr>
              <w:t>$</w:t>
            </w:r>
            <w:r w:rsidRPr="00C13F95">
              <w:rPr>
                <w:rFonts w:ascii="Arial" w:eastAsia="MS Mincho" w:hAnsi="Arial" w:cs="Arial"/>
                <w:spacing w:val="-1"/>
                <w:u w:val="double"/>
                <w:lang w:val="en-GB"/>
              </w:rPr>
              <w:tab/>
              <w:t>74,595</w:t>
            </w:r>
          </w:p>
        </w:tc>
        <w:tc>
          <w:tcPr>
            <w:tcW w:w="2160" w:type="dxa"/>
          </w:tcPr>
          <w:p w:rsidR="00D27BC7" w:rsidRPr="00C13F95" w:rsidRDefault="00D27BC7" w:rsidP="00D27BC7">
            <w:pPr>
              <w:tabs>
                <w:tab w:val="left" w:pos="342"/>
                <w:tab w:val="right" w:pos="1602"/>
              </w:tabs>
              <w:jc w:val="right"/>
              <w:rPr>
                <w:rFonts w:ascii="Arial" w:eastAsia="MS Mincho" w:hAnsi="Arial" w:cs="Arial"/>
                <w:spacing w:val="-1"/>
                <w:u w:val="double"/>
                <w:lang w:val="en-GB"/>
              </w:rPr>
            </w:pPr>
            <w:r w:rsidRPr="00C13F95">
              <w:rPr>
                <w:rFonts w:ascii="Arial" w:eastAsia="MS Mincho" w:hAnsi="Arial" w:cs="Arial"/>
                <w:spacing w:val="-1"/>
                <w:lang w:val="en-GB"/>
              </w:rPr>
              <w:tab/>
            </w:r>
            <w:r w:rsidRPr="00C13F95">
              <w:rPr>
                <w:rFonts w:ascii="Arial" w:eastAsia="MS Mincho" w:hAnsi="Arial" w:cs="Arial"/>
                <w:spacing w:val="-1"/>
                <w:u w:val="double"/>
                <w:lang w:val="en-GB"/>
              </w:rPr>
              <w:t>$</w:t>
            </w:r>
            <w:r w:rsidRPr="00C13F95">
              <w:rPr>
                <w:rFonts w:ascii="Arial" w:eastAsia="MS Mincho" w:hAnsi="Arial" w:cs="Arial"/>
                <w:spacing w:val="-1"/>
                <w:u w:val="double"/>
                <w:lang w:val="en-GB"/>
              </w:rPr>
              <w:tab/>
              <w:t>62,453</w:t>
            </w:r>
          </w:p>
        </w:tc>
        <w:tc>
          <w:tcPr>
            <w:tcW w:w="2002" w:type="dxa"/>
          </w:tcPr>
          <w:p w:rsidR="00D27BC7" w:rsidRPr="00C13F95" w:rsidRDefault="00D27BC7" w:rsidP="00D27BC7">
            <w:pPr>
              <w:tabs>
                <w:tab w:val="left" w:pos="342"/>
                <w:tab w:val="right" w:pos="1512"/>
              </w:tabs>
              <w:jc w:val="right"/>
              <w:rPr>
                <w:rFonts w:ascii="Arial" w:eastAsia="MS Mincho" w:hAnsi="Arial" w:cs="Arial"/>
                <w:spacing w:val="-1"/>
                <w:u w:val="double"/>
                <w:lang w:val="en-GB"/>
              </w:rPr>
            </w:pPr>
            <w:r w:rsidRPr="00C13F95">
              <w:rPr>
                <w:rFonts w:ascii="Arial" w:eastAsia="MS Mincho" w:hAnsi="Arial" w:cs="Arial"/>
                <w:spacing w:val="-1"/>
                <w:lang w:val="en-GB"/>
              </w:rPr>
              <w:tab/>
            </w:r>
            <w:r w:rsidRPr="00C13F95">
              <w:rPr>
                <w:rFonts w:ascii="Arial" w:eastAsia="MS Mincho" w:hAnsi="Arial" w:cs="Arial"/>
                <w:spacing w:val="-1"/>
                <w:u w:val="double"/>
                <w:lang w:val="en-GB"/>
              </w:rPr>
              <w:t>$</w:t>
            </w:r>
            <w:r w:rsidRPr="00C13F95">
              <w:rPr>
                <w:rFonts w:ascii="Arial" w:eastAsia="MS Mincho" w:hAnsi="Arial" w:cs="Arial"/>
                <w:spacing w:val="-1"/>
                <w:u w:val="double"/>
                <w:lang w:val="en-GB"/>
              </w:rPr>
              <w:tab/>
              <w:t>55,867</w:t>
            </w:r>
          </w:p>
        </w:tc>
      </w:tr>
    </w:tbl>
    <w:p w:rsidR="00D27BC7" w:rsidRPr="00C2669C" w:rsidRDefault="00D27BC7" w:rsidP="00D27BC7">
      <w:pPr>
        <w:pStyle w:val="FootnoteText1"/>
        <w:rPr>
          <w:rFonts w:eastAsia="MS Mincho"/>
          <w:lang w:val="en-GB"/>
        </w:rPr>
      </w:pPr>
    </w:p>
    <w:p w:rsidR="00D27BC7" w:rsidRPr="00C2669C" w:rsidRDefault="00D27BC7" w:rsidP="00D27BC7">
      <w:pPr>
        <w:pStyle w:val="FootnoteText1"/>
        <w:rPr>
          <w:rFonts w:eastAsia="MS Mincho"/>
          <w:lang w:val="en-GB"/>
        </w:rPr>
      </w:pPr>
      <w:r w:rsidRPr="00C2669C">
        <w:rPr>
          <w:rFonts w:eastAsia="MS Mincho"/>
          <w:lang w:val="en-GB"/>
        </w:rPr>
        <w:t>Source: Company files.</w:t>
      </w:r>
    </w:p>
    <w:p w:rsidR="00D27BC7" w:rsidRPr="00C13F95" w:rsidRDefault="00D27BC7" w:rsidP="00D27BC7">
      <w:pPr>
        <w:rPr>
          <w:rFonts w:ascii="Arial" w:eastAsia="MS Mincho" w:hAnsi="Arial"/>
          <w:b/>
          <w:caps/>
          <w:sz w:val="12"/>
          <w:szCs w:val="12"/>
          <w:lang w:val="en-GB"/>
        </w:rPr>
      </w:pPr>
      <w:r w:rsidRPr="00C13F95">
        <w:rPr>
          <w:rFonts w:ascii="Arial" w:eastAsia="MS Mincho" w:hAnsi="Arial"/>
          <w:b/>
          <w:caps/>
          <w:lang w:val="en-GB"/>
        </w:rPr>
        <w:br w:type="page"/>
      </w:r>
    </w:p>
    <w:p w:rsidR="00D27BC7" w:rsidRPr="00C13F95" w:rsidRDefault="00D27BC7" w:rsidP="00D27BC7">
      <w:pPr>
        <w:pStyle w:val="Casehead1"/>
        <w:jc w:val="center"/>
        <w:rPr>
          <w:rFonts w:eastAsia="MS Mincho"/>
          <w:lang w:val="en-GB"/>
        </w:rPr>
      </w:pPr>
      <w:r w:rsidRPr="00C13F95">
        <w:rPr>
          <w:rFonts w:eastAsia="MS Mincho"/>
          <w:lang w:val="en-GB"/>
        </w:rPr>
        <w:lastRenderedPageBreak/>
        <w:t>EXHIBIT 3: THE ITALIAN BAKERY—BALANCE SHEETS</w:t>
      </w:r>
    </w:p>
    <w:p w:rsidR="00D27BC7" w:rsidRPr="00C13F95" w:rsidRDefault="00D27BC7" w:rsidP="00D27BC7">
      <w:pPr>
        <w:pStyle w:val="Casehead1"/>
        <w:jc w:val="center"/>
        <w:rPr>
          <w:rFonts w:eastAsia="MS Mincho"/>
          <w:lang w:val="en-GB"/>
        </w:rPr>
      </w:pPr>
      <w:r w:rsidRPr="00C13F95">
        <w:rPr>
          <w:rFonts w:eastAsia="MS Mincho"/>
          <w:lang w:val="en-GB"/>
        </w:rPr>
        <w:t>(as at December 31)</w:t>
      </w:r>
    </w:p>
    <w:p w:rsidR="00D27BC7" w:rsidRPr="00C13F95" w:rsidRDefault="00D27BC7" w:rsidP="00D27BC7">
      <w:pPr>
        <w:pStyle w:val="BodyTextMain"/>
        <w:rPr>
          <w:rFonts w:eastAsia="MS Mincho"/>
          <w:lang w:val="en-GB"/>
        </w:rPr>
      </w:pPr>
    </w:p>
    <w:tbl>
      <w:tblPr>
        <w:tblW w:w="9640" w:type="dxa"/>
        <w:jc w:val="center"/>
        <w:tblLook w:val="04A0" w:firstRow="1" w:lastRow="0" w:firstColumn="1" w:lastColumn="0" w:noHBand="0" w:noVBand="1"/>
      </w:tblPr>
      <w:tblGrid>
        <w:gridCol w:w="3940"/>
        <w:gridCol w:w="400"/>
        <w:gridCol w:w="1500"/>
        <w:gridCol w:w="400"/>
        <w:gridCol w:w="1500"/>
        <w:gridCol w:w="400"/>
        <w:gridCol w:w="1500"/>
      </w:tblGrid>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
                <w:bCs/>
                <w:color w:val="000000"/>
                <w:lang w:val="en-GB"/>
              </w:rPr>
            </w:pPr>
            <w:r w:rsidRPr="00C13F95">
              <w:rPr>
                <w:rFonts w:ascii="Arial" w:hAnsi="Arial" w:cs="Arial"/>
                <w:b/>
                <w:bCs/>
                <w:color w:val="000000"/>
                <w:lang w:val="en-GB"/>
              </w:rPr>
              <w:t>ASSETS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b/>
                <w:bCs/>
                <w:color w:val="000000"/>
                <w:lang w:val="en-GB"/>
              </w:rPr>
            </w:pPr>
          </w:p>
        </w:tc>
        <w:tc>
          <w:tcPr>
            <w:tcW w:w="1500" w:type="dxa"/>
            <w:tcBorders>
              <w:top w:val="nil"/>
              <w:left w:val="nil"/>
              <w:right w:val="nil"/>
            </w:tcBorders>
            <w:shd w:val="clear" w:color="auto" w:fill="auto"/>
            <w:noWrap/>
            <w:vAlign w:val="bottom"/>
            <w:hideMark/>
          </w:tcPr>
          <w:p w:rsidR="00D27BC7" w:rsidRPr="00C13F95" w:rsidRDefault="00D27BC7" w:rsidP="00C2669C">
            <w:pPr>
              <w:tabs>
                <w:tab w:val="left" w:pos="102"/>
                <w:tab w:val="right" w:pos="1168"/>
              </w:tabs>
              <w:jc w:val="center"/>
              <w:rPr>
                <w:rFonts w:ascii="Arial" w:hAnsi="Arial" w:cs="Arial"/>
                <w:b/>
                <w:color w:val="000000"/>
                <w:lang w:val="en-GB"/>
              </w:rPr>
            </w:pPr>
            <w:r w:rsidRPr="00C13F95">
              <w:rPr>
                <w:rFonts w:ascii="Arial" w:hAnsi="Arial" w:cs="Arial"/>
                <w:b/>
                <w:color w:val="000000"/>
                <w:lang w:val="en-GB"/>
              </w:rPr>
              <w:t>2014</w:t>
            </w:r>
          </w:p>
        </w:tc>
        <w:tc>
          <w:tcPr>
            <w:tcW w:w="400" w:type="dxa"/>
            <w:tcBorders>
              <w:top w:val="nil"/>
              <w:left w:val="nil"/>
              <w:right w:val="nil"/>
            </w:tcBorders>
            <w:shd w:val="clear" w:color="auto" w:fill="auto"/>
            <w:noWrap/>
            <w:vAlign w:val="bottom"/>
            <w:hideMark/>
          </w:tcPr>
          <w:p w:rsidR="00D27BC7" w:rsidRPr="00C13F95" w:rsidRDefault="00D27BC7" w:rsidP="00C2669C">
            <w:pPr>
              <w:jc w:val="center"/>
              <w:rPr>
                <w:rFonts w:ascii="Arial" w:hAnsi="Arial" w:cs="Arial"/>
                <w:color w:val="000000"/>
                <w:lang w:val="en-GB"/>
              </w:rPr>
            </w:pPr>
          </w:p>
        </w:tc>
        <w:tc>
          <w:tcPr>
            <w:tcW w:w="1500" w:type="dxa"/>
            <w:tcBorders>
              <w:top w:val="nil"/>
              <w:left w:val="nil"/>
              <w:right w:val="nil"/>
            </w:tcBorders>
            <w:shd w:val="clear" w:color="auto" w:fill="auto"/>
            <w:noWrap/>
            <w:vAlign w:val="bottom"/>
            <w:hideMark/>
          </w:tcPr>
          <w:p w:rsidR="00D27BC7" w:rsidRPr="00C13F95" w:rsidRDefault="00D27BC7" w:rsidP="00C2669C">
            <w:pPr>
              <w:tabs>
                <w:tab w:val="left" w:pos="182"/>
                <w:tab w:val="right" w:pos="1172"/>
              </w:tabs>
              <w:jc w:val="center"/>
              <w:rPr>
                <w:rFonts w:ascii="Arial" w:hAnsi="Arial" w:cs="Arial"/>
                <w:b/>
                <w:color w:val="000000"/>
                <w:lang w:val="en-GB"/>
              </w:rPr>
            </w:pPr>
            <w:r w:rsidRPr="00C13F95">
              <w:rPr>
                <w:rFonts w:ascii="Arial" w:hAnsi="Arial" w:cs="Arial"/>
                <w:b/>
                <w:color w:val="000000"/>
                <w:lang w:val="en-GB"/>
              </w:rPr>
              <w:t>2013</w:t>
            </w:r>
          </w:p>
        </w:tc>
        <w:tc>
          <w:tcPr>
            <w:tcW w:w="400" w:type="dxa"/>
            <w:tcBorders>
              <w:top w:val="nil"/>
              <w:left w:val="nil"/>
              <w:right w:val="nil"/>
            </w:tcBorders>
            <w:shd w:val="clear" w:color="auto" w:fill="auto"/>
            <w:noWrap/>
            <w:vAlign w:val="bottom"/>
            <w:hideMark/>
          </w:tcPr>
          <w:p w:rsidR="00D27BC7" w:rsidRPr="00C13F95" w:rsidRDefault="00D27BC7" w:rsidP="00C2669C">
            <w:pPr>
              <w:jc w:val="center"/>
              <w:rPr>
                <w:rFonts w:ascii="Arial" w:hAnsi="Arial" w:cs="Arial"/>
                <w:color w:val="000000"/>
                <w:lang w:val="en-GB"/>
              </w:rPr>
            </w:pPr>
          </w:p>
        </w:tc>
        <w:tc>
          <w:tcPr>
            <w:tcW w:w="1500" w:type="dxa"/>
            <w:tcBorders>
              <w:top w:val="nil"/>
              <w:left w:val="nil"/>
              <w:right w:val="nil"/>
            </w:tcBorders>
            <w:shd w:val="clear" w:color="auto" w:fill="auto"/>
            <w:noWrap/>
            <w:vAlign w:val="bottom"/>
            <w:hideMark/>
          </w:tcPr>
          <w:p w:rsidR="00D27BC7" w:rsidRPr="00C13F95" w:rsidRDefault="00D27BC7" w:rsidP="00C2669C">
            <w:pPr>
              <w:tabs>
                <w:tab w:val="left" w:pos="172"/>
                <w:tab w:val="right" w:pos="1162"/>
              </w:tabs>
              <w:jc w:val="center"/>
              <w:rPr>
                <w:rFonts w:ascii="Arial" w:hAnsi="Arial" w:cs="Arial"/>
                <w:b/>
                <w:color w:val="000000"/>
                <w:lang w:val="en-GB"/>
              </w:rPr>
            </w:pPr>
            <w:r w:rsidRPr="00C13F95">
              <w:rPr>
                <w:rFonts w:ascii="Arial" w:hAnsi="Arial" w:cs="Arial"/>
                <w:b/>
                <w:color w:val="000000"/>
                <w:lang w:val="en-GB"/>
              </w:rPr>
              <w:t>2012</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Cs/>
                <w:color w:val="000000"/>
                <w:lang w:val="en-GB"/>
              </w:rPr>
            </w:pPr>
            <w:r w:rsidRPr="00C13F95">
              <w:rPr>
                <w:rFonts w:ascii="Arial" w:hAnsi="Arial" w:cs="Arial"/>
                <w:bCs/>
                <w:color w:val="000000"/>
                <w:lang w:val="en-GB"/>
              </w:rPr>
              <w:t>Current assets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b/>
                <w:bCs/>
                <w:color w:val="000000"/>
                <w:lang w:val="en-GB"/>
              </w:rPr>
            </w:pPr>
          </w:p>
        </w:tc>
        <w:tc>
          <w:tcPr>
            <w:tcW w:w="1500" w:type="dxa"/>
            <w:tcBorders>
              <w:left w:val="nil"/>
              <w:bottom w:val="nil"/>
              <w:right w:val="nil"/>
            </w:tcBorders>
            <w:shd w:val="clear" w:color="auto" w:fill="auto"/>
            <w:noWrap/>
            <w:vAlign w:val="bottom"/>
            <w:hideMark/>
          </w:tcPr>
          <w:p w:rsidR="00D27BC7" w:rsidRPr="00C13F95" w:rsidRDefault="00D27BC7" w:rsidP="00D27BC7">
            <w:pPr>
              <w:tabs>
                <w:tab w:val="left" w:pos="102"/>
                <w:tab w:val="right" w:pos="1168"/>
              </w:tabs>
              <w:rPr>
                <w:rFonts w:ascii="Arial" w:hAnsi="Arial" w:cs="Arial"/>
                <w:color w:val="000000"/>
                <w:lang w:val="en-GB"/>
              </w:rPr>
            </w:pPr>
          </w:p>
        </w:tc>
        <w:tc>
          <w:tcPr>
            <w:tcW w:w="400" w:type="dxa"/>
            <w:tcBorders>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left w:val="nil"/>
              <w:bottom w:val="nil"/>
              <w:right w:val="nil"/>
            </w:tcBorders>
            <w:shd w:val="clear" w:color="auto" w:fill="auto"/>
            <w:noWrap/>
            <w:vAlign w:val="bottom"/>
            <w:hideMark/>
          </w:tcPr>
          <w:p w:rsidR="00D27BC7" w:rsidRPr="00C13F95" w:rsidRDefault="00D27BC7" w:rsidP="00D27BC7">
            <w:pPr>
              <w:tabs>
                <w:tab w:val="left" w:pos="182"/>
                <w:tab w:val="right" w:pos="1172"/>
              </w:tabs>
              <w:rPr>
                <w:rFonts w:ascii="Arial" w:hAnsi="Arial" w:cs="Arial"/>
                <w:color w:val="000000"/>
                <w:lang w:val="en-GB"/>
              </w:rPr>
            </w:pPr>
          </w:p>
        </w:tc>
        <w:tc>
          <w:tcPr>
            <w:tcW w:w="400" w:type="dxa"/>
            <w:tcBorders>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left w:val="nil"/>
              <w:bottom w:val="nil"/>
              <w:right w:val="nil"/>
            </w:tcBorders>
            <w:shd w:val="clear" w:color="auto" w:fill="auto"/>
            <w:noWrap/>
            <w:vAlign w:val="bottom"/>
            <w:hideMark/>
          </w:tcPr>
          <w:p w:rsidR="00D27BC7" w:rsidRPr="00C13F95" w:rsidRDefault="00D27BC7" w:rsidP="00D27BC7">
            <w:pPr>
              <w:tabs>
                <w:tab w:val="left" w:pos="172"/>
                <w:tab w:val="right" w:pos="1162"/>
              </w:tabs>
              <w:rPr>
                <w:rFonts w:ascii="Arial" w:hAnsi="Arial" w:cs="Arial"/>
                <w:color w:val="000000"/>
                <w:lang w:val="en-GB"/>
              </w:rPr>
            </w:pP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Cash</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t>$</w:t>
            </w:r>
            <w:r w:rsidRPr="00C13F95">
              <w:rPr>
                <w:rFonts w:ascii="Arial" w:hAnsi="Arial" w:cs="Arial"/>
                <w:color w:val="000000"/>
                <w:lang w:val="en-GB"/>
              </w:rPr>
              <w:tab/>
              <w:t>5,096</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t>$</w:t>
            </w:r>
            <w:r w:rsidRPr="00C13F95">
              <w:rPr>
                <w:rFonts w:ascii="Arial" w:hAnsi="Arial" w:cs="Arial"/>
                <w:color w:val="000000"/>
                <w:lang w:val="en-GB"/>
              </w:rPr>
              <w:tab/>
              <w:t>5,029</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t>$</w:t>
            </w:r>
            <w:r w:rsidRPr="00C13F95">
              <w:rPr>
                <w:rFonts w:ascii="Arial" w:hAnsi="Arial" w:cs="Arial"/>
                <w:color w:val="000000"/>
                <w:lang w:val="en-GB"/>
              </w:rPr>
              <w:tab/>
              <w:t>4,536</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Marketable securities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1,765</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1,321</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1,098</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Accounts receivable</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94,207</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92,525</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80,879</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Inventory</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8,614</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7,974</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4,756</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Cs/>
                <w:color w:val="000000"/>
                <w:lang w:val="en-GB"/>
              </w:rPr>
            </w:pPr>
            <w:r w:rsidRPr="00C13F95">
              <w:rPr>
                <w:rFonts w:ascii="Arial" w:hAnsi="Arial" w:cs="Arial"/>
                <w:bCs/>
                <w:color w:val="000000"/>
                <w:lang w:val="en-GB"/>
              </w:rPr>
              <w:t>Total current assets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bCs/>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109,682</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106,849</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91,269</w:t>
            </w:r>
          </w:p>
        </w:tc>
      </w:tr>
      <w:tr w:rsidR="00D27BC7" w:rsidRPr="00D27BC7" w:rsidTr="00D27BC7">
        <w:trPr>
          <w:trHeight w:val="20"/>
          <w:jc w:val="center"/>
        </w:trPr>
        <w:tc>
          <w:tcPr>
            <w:tcW w:w="3940" w:type="dxa"/>
            <w:tcBorders>
              <w:top w:val="nil"/>
              <w:left w:val="nil"/>
              <w:bottom w:val="nil"/>
              <w:right w:val="nil"/>
            </w:tcBorders>
            <w:shd w:val="clear" w:color="auto" w:fill="auto"/>
            <w:noWrap/>
            <w:vAlign w:val="bottom"/>
            <w:hideMark/>
          </w:tcPr>
          <w:p w:rsidR="00D27BC7" w:rsidRPr="00D27BC7" w:rsidRDefault="00D27BC7" w:rsidP="00D27BC7">
            <w:pPr>
              <w:tabs>
                <w:tab w:val="left" w:pos="302"/>
              </w:tabs>
              <w:rPr>
                <w:rFonts w:ascii="Arial" w:hAnsi="Arial" w:cs="Arial"/>
                <w:b/>
                <w:bCs/>
                <w:color w:val="000000"/>
                <w:sz w:val="16"/>
                <w:szCs w:val="16"/>
                <w:lang w:val="en-GB"/>
              </w:rPr>
            </w:pPr>
          </w:p>
        </w:tc>
        <w:tc>
          <w:tcPr>
            <w:tcW w:w="400" w:type="dxa"/>
            <w:tcBorders>
              <w:top w:val="nil"/>
              <w:left w:val="nil"/>
              <w:bottom w:val="nil"/>
              <w:right w:val="nil"/>
            </w:tcBorders>
            <w:shd w:val="clear" w:color="auto" w:fill="auto"/>
            <w:noWrap/>
            <w:vAlign w:val="bottom"/>
            <w:hideMark/>
          </w:tcPr>
          <w:p w:rsidR="00D27BC7" w:rsidRPr="00D27BC7" w:rsidRDefault="00D27BC7" w:rsidP="00D27BC7">
            <w:pPr>
              <w:rPr>
                <w:rFonts w:ascii="Arial" w:hAnsi="Arial" w:cs="Arial"/>
                <w:b/>
                <w:bCs/>
                <w:color w:val="000000"/>
                <w:sz w:val="16"/>
                <w:szCs w:val="16"/>
                <w:lang w:val="en-GB"/>
              </w:rPr>
            </w:pPr>
          </w:p>
        </w:tc>
        <w:tc>
          <w:tcPr>
            <w:tcW w:w="1500" w:type="dxa"/>
            <w:tcBorders>
              <w:top w:val="nil"/>
              <w:left w:val="nil"/>
              <w:bottom w:val="nil"/>
              <w:right w:val="nil"/>
            </w:tcBorders>
            <w:shd w:val="clear" w:color="auto" w:fill="auto"/>
            <w:noWrap/>
            <w:vAlign w:val="bottom"/>
            <w:hideMark/>
          </w:tcPr>
          <w:p w:rsidR="00D27BC7" w:rsidRPr="00D27BC7" w:rsidRDefault="00D27BC7" w:rsidP="00D27BC7">
            <w:pPr>
              <w:tabs>
                <w:tab w:val="left" w:pos="102"/>
                <w:tab w:val="right" w:pos="1168"/>
              </w:tabs>
              <w:jc w:val="right"/>
              <w:rPr>
                <w:rFonts w:ascii="Arial" w:hAnsi="Arial" w:cs="Arial"/>
                <w:color w:val="000000"/>
                <w:sz w:val="16"/>
                <w:szCs w:val="16"/>
                <w:lang w:val="en-GB"/>
              </w:rPr>
            </w:pPr>
          </w:p>
        </w:tc>
        <w:tc>
          <w:tcPr>
            <w:tcW w:w="400" w:type="dxa"/>
            <w:tcBorders>
              <w:top w:val="nil"/>
              <w:left w:val="nil"/>
              <w:bottom w:val="nil"/>
              <w:right w:val="nil"/>
            </w:tcBorders>
            <w:shd w:val="clear" w:color="auto" w:fill="auto"/>
            <w:noWrap/>
            <w:vAlign w:val="bottom"/>
            <w:hideMark/>
          </w:tcPr>
          <w:p w:rsidR="00D27BC7" w:rsidRPr="00D27BC7" w:rsidRDefault="00D27BC7" w:rsidP="00D27BC7">
            <w:pPr>
              <w:jc w:val="right"/>
              <w:rPr>
                <w:rFonts w:ascii="Arial" w:hAnsi="Arial" w:cs="Arial"/>
                <w:color w:val="000000"/>
                <w:sz w:val="16"/>
                <w:szCs w:val="16"/>
                <w:lang w:val="en-GB"/>
              </w:rPr>
            </w:pPr>
          </w:p>
        </w:tc>
        <w:tc>
          <w:tcPr>
            <w:tcW w:w="1500" w:type="dxa"/>
            <w:tcBorders>
              <w:top w:val="nil"/>
              <w:left w:val="nil"/>
              <w:bottom w:val="nil"/>
              <w:right w:val="nil"/>
            </w:tcBorders>
            <w:shd w:val="clear" w:color="auto" w:fill="auto"/>
            <w:noWrap/>
            <w:vAlign w:val="bottom"/>
            <w:hideMark/>
          </w:tcPr>
          <w:p w:rsidR="00D27BC7" w:rsidRPr="00D27BC7" w:rsidRDefault="00D27BC7" w:rsidP="00D27BC7">
            <w:pPr>
              <w:tabs>
                <w:tab w:val="left" w:pos="182"/>
                <w:tab w:val="right" w:pos="1172"/>
              </w:tabs>
              <w:jc w:val="right"/>
              <w:rPr>
                <w:rFonts w:ascii="Arial" w:hAnsi="Arial" w:cs="Arial"/>
                <w:color w:val="000000"/>
                <w:sz w:val="16"/>
                <w:szCs w:val="16"/>
                <w:lang w:val="en-GB"/>
              </w:rPr>
            </w:pPr>
          </w:p>
        </w:tc>
        <w:tc>
          <w:tcPr>
            <w:tcW w:w="400" w:type="dxa"/>
            <w:tcBorders>
              <w:top w:val="nil"/>
              <w:left w:val="nil"/>
              <w:bottom w:val="nil"/>
              <w:right w:val="nil"/>
            </w:tcBorders>
            <w:shd w:val="clear" w:color="auto" w:fill="auto"/>
            <w:noWrap/>
            <w:vAlign w:val="bottom"/>
            <w:hideMark/>
          </w:tcPr>
          <w:p w:rsidR="00D27BC7" w:rsidRPr="00D27BC7" w:rsidRDefault="00D27BC7" w:rsidP="00D27BC7">
            <w:pPr>
              <w:jc w:val="right"/>
              <w:rPr>
                <w:rFonts w:ascii="Arial" w:hAnsi="Arial" w:cs="Arial"/>
                <w:color w:val="000000"/>
                <w:sz w:val="16"/>
                <w:szCs w:val="16"/>
                <w:lang w:val="en-GB"/>
              </w:rPr>
            </w:pPr>
          </w:p>
        </w:tc>
        <w:tc>
          <w:tcPr>
            <w:tcW w:w="1500" w:type="dxa"/>
            <w:tcBorders>
              <w:top w:val="nil"/>
              <w:left w:val="nil"/>
              <w:bottom w:val="nil"/>
              <w:right w:val="nil"/>
            </w:tcBorders>
            <w:shd w:val="clear" w:color="auto" w:fill="auto"/>
            <w:noWrap/>
            <w:vAlign w:val="bottom"/>
            <w:hideMark/>
          </w:tcPr>
          <w:p w:rsidR="00D27BC7" w:rsidRPr="00D27BC7" w:rsidRDefault="00D27BC7" w:rsidP="00D27BC7">
            <w:pPr>
              <w:tabs>
                <w:tab w:val="left" w:pos="172"/>
                <w:tab w:val="right" w:pos="1162"/>
              </w:tabs>
              <w:jc w:val="right"/>
              <w:rPr>
                <w:rFonts w:ascii="Arial" w:hAnsi="Arial" w:cs="Arial"/>
                <w:color w:val="000000"/>
                <w:sz w:val="16"/>
                <w:szCs w:val="16"/>
                <w:lang w:val="en-GB"/>
              </w:rPr>
            </w:pP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Cs/>
                <w:color w:val="000000"/>
                <w:lang w:val="en-GB"/>
              </w:rPr>
            </w:pPr>
            <w:r w:rsidRPr="00C13F95">
              <w:rPr>
                <w:rFonts w:ascii="Arial" w:hAnsi="Arial" w:cs="Arial"/>
                <w:bCs/>
                <w:color w:val="000000"/>
                <w:lang w:val="en-GB"/>
              </w:rPr>
              <w:t>Fixed Assets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bCs/>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Building, cost</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b/>
                <w:bCs/>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250,000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250,000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250,000</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Trucks, cost</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b/>
                <w:bCs/>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79,500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79,500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79,500</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Equipment, cost</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148,576</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148,576</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123,450</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Furniture and fixtures, cost</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27,586</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27,586</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19,450</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Cs/>
                <w:color w:val="000000"/>
                <w:lang w:val="en-GB"/>
              </w:rPr>
            </w:pPr>
            <w:r w:rsidRPr="00C13F95">
              <w:rPr>
                <w:rFonts w:ascii="Arial" w:hAnsi="Arial" w:cs="Arial"/>
                <w:bCs/>
                <w:color w:val="000000"/>
                <w:lang w:val="en-GB"/>
              </w:rPr>
              <w:t>Total cost</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505,662</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505,662</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472,400</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Less: Accumulated amortization</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366,117</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345,792</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325,467</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Cs/>
                <w:color w:val="000000"/>
                <w:lang w:val="en-GB"/>
              </w:rPr>
            </w:pPr>
            <w:r w:rsidRPr="00C13F95">
              <w:rPr>
                <w:rFonts w:ascii="Arial" w:hAnsi="Arial" w:cs="Arial"/>
                <w:bCs/>
                <w:color w:val="000000"/>
                <w:lang w:val="en-GB"/>
              </w:rPr>
              <w:t>Total fixed assets, net</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single" w:sz="4" w:space="0" w:color="auto"/>
              <w:left w:val="nil"/>
              <w:bottom w:val="single" w:sz="4" w:space="0" w:color="auto"/>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139,545</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single" w:sz="4" w:space="0" w:color="auto"/>
              <w:left w:val="nil"/>
              <w:bottom w:val="single" w:sz="4" w:space="0" w:color="auto"/>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159,870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single" w:sz="4" w:space="0" w:color="auto"/>
              <w:left w:val="nil"/>
              <w:bottom w:val="single" w:sz="4" w:space="0" w:color="auto"/>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146,933</w:t>
            </w:r>
          </w:p>
        </w:tc>
      </w:tr>
      <w:tr w:rsidR="00D27BC7" w:rsidRPr="00C13F95" w:rsidTr="00D27BC7">
        <w:trPr>
          <w:trHeight w:val="2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single" w:sz="4" w:space="0" w:color="auto"/>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single" w:sz="4" w:space="0" w:color="auto"/>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single" w:sz="4" w:space="0" w:color="auto"/>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p>
        </w:tc>
      </w:tr>
      <w:tr w:rsidR="00D27BC7" w:rsidRPr="00C13F95" w:rsidTr="00D27BC7">
        <w:trPr>
          <w:trHeight w:val="32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
                <w:bCs/>
                <w:color w:val="000000"/>
                <w:lang w:val="en-GB"/>
              </w:rPr>
            </w:pPr>
            <w:r w:rsidRPr="00C13F95">
              <w:rPr>
                <w:rFonts w:ascii="Arial" w:hAnsi="Arial" w:cs="Arial"/>
                <w:b/>
                <w:bCs/>
                <w:color w:val="000000"/>
                <w:lang w:val="en-GB"/>
              </w:rPr>
              <w:t>Total Assets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double" w:sz="6" w:space="0" w:color="auto"/>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t>$</w:t>
            </w:r>
            <w:r w:rsidRPr="00C13F95">
              <w:rPr>
                <w:rFonts w:ascii="Arial" w:hAnsi="Arial" w:cs="Arial"/>
                <w:color w:val="000000"/>
                <w:lang w:val="en-GB"/>
              </w:rPr>
              <w:tab/>
              <w:t>249,227</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double" w:sz="6" w:space="0" w:color="auto"/>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t>$</w:t>
            </w:r>
            <w:r w:rsidRPr="00C13F95">
              <w:rPr>
                <w:rFonts w:ascii="Arial" w:hAnsi="Arial" w:cs="Arial"/>
                <w:color w:val="000000"/>
                <w:lang w:val="en-GB"/>
              </w:rPr>
              <w:tab/>
              <w:t>266,719</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double" w:sz="6" w:space="0" w:color="auto"/>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t>$</w:t>
            </w:r>
            <w:r w:rsidRPr="00C13F95">
              <w:rPr>
                <w:rFonts w:ascii="Arial" w:hAnsi="Arial" w:cs="Arial"/>
                <w:color w:val="000000"/>
                <w:lang w:val="en-GB"/>
              </w:rPr>
              <w:tab/>
              <w:t>238,202</w:t>
            </w:r>
          </w:p>
        </w:tc>
      </w:tr>
      <w:tr w:rsidR="00D27BC7" w:rsidRPr="00D27BC7" w:rsidTr="00D27BC7">
        <w:trPr>
          <w:trHeight w:val="20"/>
          <w:jc w:val="center"/>
        </w:trPr>
        <w:tc>
          <w:tcPr>
            <w:tcW w:w="3940" w:type="dxa"/>
            <w:tcBorders>
              <w:top w:val="nil"/>
              <w:left w:val="nil"/>
              <w:bottom w:val="nil"/>
              <w:right w:val="nil"/>
            </w:tcBorders>
            <w:shd w:val="clear" w:color="auto" w:fill="auto"/>
            <w:noWrap/>
            <w:vAlign w:val="bottom"/>
            <w:hideMark/>
          </w:tcPr>
          <w:p w:rsidR="00D27BC7" w:rsidRPr="00D27BC7" w:rsidRDefault="00D27BC7" w:rsidP="00D27BC7">
            <w:pPr>
              <w:tabs>
                <w:tab w:val="left" w:pos="302"/>
              </w:tabs>
              <w:rPr>
                <w:rFonts w:ascii="Arial" w:hAnsi="Arial" w:cs="Arial"/>
                <w:color w:val="000000"/>
                <w:sz w:val="16"/>
                <w:szCs w:val="16"/>
                <w:lang w:val="en-GB"/>
              </w:rPr>
            </w:pPr>
          </w:p>
        </w:tc>
        <w:tc>
          <w:tcPr>
            <w:tcW w:w="400" w:type="dxa"/>
            <w:tcBorders>
              <w:top w:val="nil"/>
              <w:left w:val="nil"/>
              <w:bottom w:val="nil"/>
              <w:right w:val="nil"/>
            </w:tcBorders>
            <w:shd w:val="clear" w:color="auto" w:fill="auto"/>
            <w:noWrap/>
            <w:vAlign w:val="bottom"/>
            <w:hideMark/>
          </w:tcPr>
          <w:p w:rsidR="00D27BC7" w:rsidRPr="00D27BC7" w:rsidRDefault="00D27BC7" w:rsidP="00D27BC7">
            <w:pPr>
              <w:rPr>
                <w:rFonts w:ascii="Arial" w:hAnsi="Arial" w:cs="Arial"/>
                <w:color w:val="000000"/>
                <w:sz w:val="16"/>
                <w:szCs w:val="16"/>
                <w:lang w:val="en-GB"/>
              </w:rPr>
            </w:pPr>
          </w:p>
        </w:tc>
        <w:tc>
          <w:tcPr>
            <w:tcW w:w="1500" w:type="dxa"/>
            <w:tcBorders>
              <w:top w:val="nil"/>
              <w:left w:val="nil"/>
              <w:bottom w:val="nil"/>
              <w:right w:val="nil"/>
            </w:tcBorders>
            <w:shd w:val="clear" w:color="auto" w:fill="auto"/>
            <w:noWrap/>
            <w:vAlign w:val="bottom"/>
            <w:hideMark/>
          </w:tcPr>
          <w:p w:rsidR="00D27BC7" w:rsidRPr="00D27BC7" w:rsidRDefault="00D27BC7" w:rsidP="00D27BC7">
            <w:pPr>
              <w:tabs>
                <w:tab w:val="left" w:pos="102"/>
                <w:tab w:val="right" w:pos="1168"/>
              </w:tabs>
              <w:jc w:val="right"/>
              <w:rPr>
                <w:rFonts w:ascii="Arial" w:hAnsi="Arial" w:cs="Arial"/>
                <w:color w:val="000000"/>
                <w:sz w:val="16"/>
                <w:szCs w:val="16"/>
                <w:lang w:val="en-GB"/>
              </w:rPr>
            </w:pPr>
          </w:p>
        </w:tc>
        <w:tc>
          <w:tcPr>
            <w:tcW w:w="400" w:type="dxa"/>
            <w:tcBorders>
              <w:top w:val="nil"/>
              <w:left w:val="nil"/>
              <w:bottom w:val="nil"/>
              <w:right w:val="nil"/>
            </w:tcBorders>
            <w:shd w:val="clear" w:color="auto" w:fill="auto"/>
            <w:noWrap/>
            <w:vAlign w:val="bottom"/>
            <w:hideMark/>
          </w:tcPr>
          <w:p w:rsidR="00D27BC7" w:rsidRPr="00D27BC7" w:rsidRDefault="00D27BC7" w:rsidP="00D27BC7">
            <w:pPr>
              <w:jc w:val="right"/>
              <w:rPr>
                <w:rFonts w:ascii="Arial" w:hAnsi="Arial" w:cs="Arial"/>
                <w:color w:val="000000"/>
                <w:sz w:val="16"/>
                <w:szCs w:val="16"/>
                <w:lang w:val="en-GB"/>
              </w:rPr>
            </w:pPr>
          </w:p>
        </w:tc>
        <w:tc>
          <w:tcPr>
            <w:tcW w:w="1500" w:type="dxa"/>
            <w:tcBorders>
              <w:top w:val="nil"/>
              <w:left w:val="nil"/>
              <w:bottom w:val="nil"/>
              <w:right w:val="nil"/>
            </w:tcBorders>
            <w:shd w:val="clear" w:color="auto" w:fill="auto"/>
            <w:noWrap/>
            <w:vAlign w:val="bottom"/>
            <w:hideMark/>
          </w:tcPr>
          <w:p w:rsidR="00D27BC7" w:rsidRPr="00D27BC7" w:rsidRDefault="00D27BC7" w:rsidP="00D27BC7">
            <w:pPr>
              <w:tabs>
                <w:tab w:val="left" w:pos="182"/>
                <w:tab w:val="right" w:pos="1172"/>
              </w:tabs>
              <w:jc w:val="right"/>
              <w:rPr>
                <w:rFonts w:ascii="Arial" w:hAnsi="Arial" w:cs="Arial"/>
                <w:color w:val="000000"/>
                <w:sz w:val="16"/>
                <w:szCs w:val="16"/>
                <w:lang w:val="en-GB"/>
              </w:rPr>
            </w:pPr>
          </w:p>
        </w:tc>
        <w:tc>
          <w:tcPr>
            <w:tcW w:w="400" w:type="dxa"/>
            <w:tcBorders>
              <w:top w:val="nil"/>
              <w:left w:val="nil"/>
              <w:bottom w:val="nil"/>
              <w:right w:val="nil"/>
            </w:tcBorders>
            <w:shd w:val="clear" w:color="auto" w:fill="auto"/>
            <w:noWrap/>
            <w:vAlign w:val="bottom"/>
            <w:hideMark/>
          </w:tcPr>
          <w:p w:rsidR="00D27BC7" w:rsidRPr="00D27BC7" w:rsidRDefault="00D27BC7" w:rsidP="00D27BC7">
            <w:pPr>
              <w:jc w:val="right"/>
              <w:rPr>
                <w:rFonts w:ascii="Arial" w:hAnsi="Arial" w:cs="Arial"/>
                <w:color w:val="000000"/>
                <w:sz w:val="16"/>
                <w:szCs w:val="16"/>
                <w:lang w:val="en-GB"/>
              </w:rPr>
            </w:pPr>
          </w:p>
        </w:tc>
        <w:tc>
          <w:tcPr>
            <w:tcW w:w="1500" w:type="dxa"/>
            <w:tcBorders>
              <w:top w:val="nil"/>
              <w:left w:val="nil"/>
              <w:bottom w:val="nil"/>
              <w:right w:val="nil"/>
            </w:tcBorders>
            <w:shd w:val="clear" w:color="auto" w:fill="auto"/>
            <w:noWrap/>
            <w:vAlign w:val="bottom"/>
            <w:hideMark/>
          </w:tcPr>
          <w:p w:rsidR="00D27BC7" w:rsidRPr="00D27BC7" w:rsidRDefault="00D27BC7" w:rsidP="00D27BC7">
            <w:pPr>
              <w:tabs>
                <w:tab w:val="left" w:pos="172"/>
                <w:tab w:val="right" w:pos="1162"/>
              </w:tabs>
              <w:jc w:val="right"/>
              <w:rPr>
                <w:rFonts w:ascii="Arial" w:hAnsi="Arial" w:cs="Arial"/>
                <w:color w:val="000000"/>
                <w:sz w:val="16"/>
                <w:szCs w:val="16"/>
                <w:lang w:val="en-GB"/>
              </w:rPr>
            </w:pP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
                <w:bCs/>
                <w:color w:val="000000"/>
                <w:lang w:val="en-GB"/>
              </w:rPr>
            </w:pPr>
            <w:r w:rsidRPr="00C13F95">
              <w:rPr>
                <w:rFonts w:ascii="Arial" w:hAnsi="Arial" w:cs="Arial"/>
                <w:b/>
                <w:bCs/>
                <w:color w:val="000000"/>
                <w:lang w:val="en-GB"/>
              </w:rPr>
              <w:t>LIABILITIES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Cs/>
                <w:color w:val="000000"/>
                <w:lang w:val="en-GB"/>
              </w:rPr>
            </w:pPr>
            <w:r w:rsidRPr="00C13F95">
              <w:rPr>
                <w:rFonts w:ascii="Arial" w:hAnsi="Arial" w:cs="Arial"/>
                <w:bCs/>
                <w:color w:val="000000"/>
                <w:lang w:val="en-GB"/>
              </w:rPr>
              <w:t>Current liabilities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Bank line of credit (limit $50,000)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t>$</w:t>
            </w:r>
            <w:r w:rsidRPr="00C13F95">
              <w:rPr>
                <w:rFonts w:ascii="Arial" w:hAnsi="Arial" w:cs="Arial"/>
                <w:color w:val="000000"/>
                <w:lang w:val="en-GB"/>
              </w:rPr>
              <w:tab/>
              <w:t>38,074</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t>$</w:t>
            </w:r>
            <w:r w:rsidRPr="00C13F95">
              <w:rPr>
                <w:rFonts w:ascii="Arial" w:hAnsi="Arial" w:cs="Arial"/>
                <w:color w:val="000000"/>
                <w:lang w:val="en-GB"/>
              </w:rPr>
              <w:tab/>
              <w:t>41,490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t>$</w:t>
            </w:r>
            <w:r w:rsidRPr="00C13F95">
              <w:rPr>
                <w:rFonts w:ascii="Arial" w:hAnsi="Arial" w:cs="Arial"/>
                <w:color w:val="000000"/>
                <w:lang w:val="en-GB"/>
              </w:rPr>
              <w:tab/>
              <w:t>22,955</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Accounts payable</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27,308</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30,272</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16,880</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B334AD">
            <w:pPr>
              <w:tabs>
                <w:tab w:val="left" w:pos="302"/>
              </w:tabs>
              <w:rPr>
                <w:rFonts w:ascii="Arial" w:hAnsi="Arial" w:cs="Arial"/>
                <w:color w:val="000000"/>
                <w:lang w:val="en-GB"/>
              </w:rPr>
            </w:pPr>
            <w:r w:rsidRPr="00C13F95">
              <w:rPr>
                <w:rFonts w:ascii="Arial" w:hAnsi="Arial" w:cs="Arial"/>
                <w:color w:val="000000"/>
                <w:lang w:val="en-GB"/>
              </w:rPr>
              <w:tab/>
              <w:t xml:space="preserve">Current portion of </w:t>
            </w:r>
            <w:r w:rsidR="00B334AD">
              <w:rPr>
                <w:rFonts w:ascii="Arial" w:hAnsi="Arial" w:cs="Arial"/>
                <w:color w:val="000000"/>
                <w:lang w:val="en-GB"/>
              </w:rPr>
              <w:t>long-term</w:t>
            </w:r>
            <w:r w:rsidRPr="00C13F95">
              <w:rPr>
                <w:rFonts w:ascii="Arial" w:hAnsi="Arial" w:cs="Arial"/>
                <w:color w:val="000000"/>
                <w:lang w:val="en-GB"/>
              </w:rPr>
              <w:t xml:space="preserve"> debt</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12,000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12,000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12,000</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Cs/>
                <w:color w:val="000000"/>
                <w:lang w:val="en-GB"/>
              </w:rPr>
            </w:pPr>
            <w:r w:rsidRPr="00C13F95">
              <w:rPr>
                <w:rFonts w:ascii="Arial" w:hAnsi="Arial" w:cs="Arial"/>
                <w:bCs/>
                <w:color w:val="000000"/>
                <w:lang w:val="en-GB"/>
              </w:rPr>
              <w:t>Total current liabilities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77,382</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83,762</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51,835</w:t>
            </w:r>
          </w:p>
        </w:tc>
      </w:tr>
      <w:tr w:rsidR="00D27BC7" w:rsidRPr="00C13F95" w:rsidTr="00D27BC7">
        <w:trPr>
          <w:trHeight w:val="20"/>
          <w:jc w:val="center"/>
        </w:trPr>
        <w:tc>
          <w:tcPr>
            <w:tcW w:w="3940" w:type="dxa"/>
            <w:tcBorders>
              <w:top w:val="nil"/>
              <w:left w:val="nil"/>
              <w:bottom w:val="nil"/>
              <w:right w:val="nil"/>
            </w:tcBorders>
            <w:shd w:val="clear" w:color="auto" w:fill="auto"/>
            <w:noWrap/>
            <w:vAlign w:val="bottom"/>
          </w:tcPr>
          <w:p w:rsidR="00D27BC7" w:rsidRPr="00C13F95" w:rsidRDefault="00D27BC7" w:rsidP="00D27BC7">
            <w:pPr>
              <w:tabs>
                <w:tab w:val="left" w:pos="302"/>
              </w:tabs>
              <w:rPr>
                <w:rFonts w:ascii="Arial" w:hAnsi="Arial" w:cs="Arial"/>
                <w:b/>
                <w:bCs/>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color w:val="000000"/>
                <w:lang w:val="en-GB"/>
              </w:rPr>
            </w:pPr>
          </w:p>
        </w:tc>
        <w:tc>
          <w:tcPr>
            <w:tcW w:w="1500" w:type="dxa"/>
            <w:tcBorders>
              <w:top w:val="nil"/>
              <w:left w:val="nil"/>
              <w:bottom w:val="nil"/>
              <w:right w:val="nil"/>
            </w:tcBorders>
            <w:shd w:val="clear" w:color="auto" w:fill="auto"/>
            <w:noWrap/>
            <w:vAlign w:val="bottom"/>
          </w:tcPr>
          <w:p w:rsidR="00D27BC7" w:rsidRPr="00C13F95" w:rsidRDefault="00D27BC7" w:rsidP="00D27BC7">
            <w:pPr>
              <w:tabs>
                <w:tab w:val="left" w:pos="102"/>
                <w:tab w:val="right" w:pos="1168"/>
              </w:tabs>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tcPr>
          <w:p w:rsidR="00D27BC7" w:rsidRPr="00C13F95" w:rsidRDefault="00D27BC7" w:rsidP="00D27BC7">
            <w:pPr>
              <w:tabs>
                <w:tab w:val="left" w:pos="182"/>
                <w:tab w:val="right" w:pos="1172"/>
              </w:tabs>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tcPr>
          <w:p w:rsidR="00D27BC7" w:rsidRPr="00C13F95" w:rsidRDefault="00D27BC7" w:rsidP="00D27BC7">
            <w:pPr>
              <w:tabs>
                <w:tab w:val="left" w:pos="172"/>
                <w:tab w:val="right" w:pos="1162"/>
              </w:tabs>
              <w:jc w:val="right"/>
              <w:rPr>
                <w:rFonts w:ascii="Arial" w:hAnsi="Arial" w:cs="Arial"/>
                <w:color w:val="000000"/>
                <w:lang w:val="en-GB"/>
              </w:rPr>
            </w:pP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Cs/>
                <w:color w:val="000000"/>
                <w:lang w:val="en-GB"/>
              </w:rPr>
            </w:pPr>
            <w:r w:rsidRPr="00C13F95">
              <w:rPr>
                <w:rFonts w:ascii="Arial" w:hAnsi="Arial" w:cs="Arial"/>
                <w:bCs/>
                <w:color w:val="000000"/>
                <w:lang w:val="en-GB"/>
              </w:rPr>
              <w:t>Long-term liabilities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Bank loan</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36,000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48,000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60,000</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Shareholder loan</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26,250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37,504</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35,500</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Cs/>
                <w:color w:val="000000"/>
                <w:lang w:val="en-GB"/>
              </w:rPr>
            </w:pPr>
            <w:r w:rsidRPr="00C13F95">
              <w:rPr>
                <w:rFonts w:ascii="Arial" w:hAnsi="Arial" w:cs="Arial"/>
                <w:bCs/>
                <w:color w:val="000000"/>
                <w:lang w:val="en-GB"/>
              </w:rPr>
              <w:t>Total long-term liabilities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single" w:sz="4" w:space="0" w:color="auto"/>
              <w:left w:val="nil"/>
              <w:bottom w:val="single" w:sz="4" w:space="0" w:color="auto"/>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62,250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single" w:sz="4" w:space="0" w:color="auto"/>
              <w:left w:val="nil"/>
              <w:bottom w:val="single" w:sz="4" w:space="0" w:color="auto"/>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85,504</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single" w:sz="4" w:space="0" w:color="auto"/>
              <w:left w:val="nil"/>
              <w:bottom w:val="single" w:sz="4" w:space="0" w:color="auto"/>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95,500</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
                <w:bCs/>
                <w:lang w:val="en-GB"/>
              </w:rPr>
            </w:pPr>
            <w:r w:rsidRPr="00C13F95">
              <w:rPr>
                <w:rFonts w:ascii="Arial" w:hAnsi="Arial" w:cs="Arial"/>
                <w:b/>
                <w:bCs/>
                <w:lang w:val="en-GB"/>
              </w:rPr>
              <w:t>Total Liabilities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t>$</w:t>
            </w:r>
            <w:r w:rsidRPr="00C13F95">
              <w:rPr>
                <w:rFonts w:ascii="Arial" w:hAnsi="Arial" w:cs="Arial"/>
                <w:color w:val="000000"/>
                <w:lang w:val="en-GB"/>
              </w:rPr>
              <w:tab/>
              <w:t>139,632</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t>$</w:t>
            </w:r>
            <w:r w:rsidRPr="00C13F95">
              <w:rPr>
                <w:rFonts w:ascii="Arial" w:hAnsi="Arial" w:cs="Arial"/>
                <w:color w:val="000000"/>
                <w:lang w:val="en-GB"/>
              </w:rPr>
              <w:tab/>
              <w:t>169,266</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t>$</w:t>
            </w:r>
            <w:r w:rsidRPr="00C13F95">
              <w:rPr>
                <w:rFonts w:ascii="Arial" w:hAnsi="Arial" w:cs="Arial"/>
                <w:color w:val="000000"/>
                <w:lang w:val="en-GB"/>
              </w:rPr>
              <w:tab/>
              <w:t>147,335</w:t>
            </w:r>
          </w:p>
        </w:tc>
      </w:tr>
      <w:tr w:rsidR="00D27BC7" w:rsidRPr="00D27BC7" w:rsidTr="00D27BC7">
        <w:trPr>
          <w:trHeight w:val="20"/>
          <w:jc w:val="center"/>
        </w:trPr>
        <w:tc>
          <w:tcPr>
            <w:tcW w:w="3940" w:type="dxa"/>
            <w:tcBorders>
              <w:top w:val="nil"/>
              <w:left w:val="nil"/>
              <w:bottom w:val="nil"/>
              <w:right w:val="nil"/>
            </w:tcBorders>
            <w:shd w:val="clear" w:color="auto" w:fill="auto"/>
            <w:noWrap/>
            <w:vAlign w:val="bottom"/>
            <w:hideMark/>
          </w:tcPr>
          <w:p w:rsidR="00D27BC7" w:rsidRPr="00D27BC7" w:rsidRDefault="00D27BC7" w:rsidP="00D27BC7">
            <w:pPr>
              <w:tabs>
                <w:tab w:val="left" w:pos="302"/>
              </w:tabs>
              <w:rPr>
                <w:rFonts w:ascii="Arial" w:hAnsi="Arial" w:cs="Arial"/>
                <w:b/>
                <w:bCs/>
                <w:sz w:val="16"/>
                <w:szCs w:val="16"/>
                <w:lang w:val="en-GB"/>
              </w:rPr>
            </w:pPr>
          </w:p>
        </w:tc>
        <w:tc>
          <w:tcPr>
            <w:tcW w:w="400" w:type="dxa"/>
            <w:tcBorders>
              <w:top w:val="nil"/>
              <w:left w:val="nil"/>
              <w:bottom w:val="nil"/>
              <w:right w:val="nil"/>
            </w:tcBorders>
            <w:shd w:val="clear" w:color="auto" w:fill="auto"/>
            <w:noWrap/>
            <w:vAlign w:val="bottom"/>
            <w:hideMark/>
          </w:tcPr>
          <w:p w:rsidR="00D27BC7" w:rsidRPr="00D27BC7" w:rsidRDefault="00D27BC7" w:rsidP="00D27BC7">
            <w:pPr>
              <w:rPr>
                <w:rFonts w:ascii="Arial" w:hAnsi="Arial" w:cs="Arial"/>
                <w:color w:val="000000"/>
                <w:sz w:val="16"/>
                <w:szCs w:val="16"/>
                <w:lang w:val="en-GB"/>
              </w:rPr>
            </w:pPr>
          </w:p>
        </w:tc>
        <w:tc>
          <w:tcPr>
            <w:tcW w:w="1500" w:type="dxa"/>
            <w:tcBorders>
              <w:left w:val="nil"/>
              <w:bottom w:val="nil"/>
              <w:right w:val="nil"/>
            </w:tcBorders>
            <w:shd w:val="clear" w:color="auto" w:fill="auto"/>
            <w:noWrap/>
            <w:vAlign w:val="bottom"/>
            <w:hideMark/>
          </w:tcPr>
          <w:p w:rsidR="00D27BC7" w:rsidRPr="00D27BC7" w:rsidRDefault="00D27BC7" w:rsidP="00D27BC7">
            <w:pPr>
              <w:tabs>
                <w:tab w:val="left" w:pos="102"/>
                <w:tab w:val="right" w:pos="1168"/>
              </w:tabs>
              <w:jc w:val="right"/>
              <w:rPr>
                <w:rFonts w:ascii="Arial" w:hAnsi="Arial" w:cs="Arial"/>
                <w:color w:val="000000"/>
                <w:sz w:val="16"/>
                <w:szCs w:val="16"/>
                <w:lang w:val="en-GB"/>
              </w:rPr>
            </w:pPr>
          </w:p>
        </w:tc>
        <w:tc>
          <w:tcPr>
            <w:tcW w:w="400" w:type="dxa"/>
            <w:tcBorders>
              <w:top w:val="nil"/>
              <w:left w:val="nil"/>
              <w:bottom w:val="nil"/>
              <w:right w:val="nil"/>
            </w:tcBorders>
            <w:shd w:val="clear" w:color="auto" w:fill="auto"/>
            <w:noWrap/>
            <w:vAlign w:val="bottom"/>
            <w:hideMark/>
          </w:tcPr>
          <w:p w:rsidR="00D27BC7" w:rsidRPr="00D27BC7" w:rsidRDefault="00D27BC7" w:rsidP="00D27BC7">
            <w:pPr>
              <w:jc w:val="right"/>
              <w:rPr>
                <w:rFonts w:ascii="Arial" w:hAnsi="Arial" w:cs="Arial"/>
                <w:color w:val="000000"/>
                <w:sz w:val="16"/>
                <w:szCs w:val="16"/>
                <w:lang w:val="en-GB"/>
              </w:rPr>
            </w:pPr>
          </w:p>
        </w:tc>
        <w:tc>
          <w:tcPr>
            <w:tcW w:w="1500" w:type="dxa"/>
            <w:tcBorders>
              <w:left w:val="nil"/>
              <w:bottom w:val="nil"/>
              <w:right w:val="nil"/>
            </w:tcBorders>
            <w:shd w:val="clear" w:color="auto" w:fill="auto"/>
            <w:noWrap/>
            <w:vAlign w:val="bottom"/>
            <w:hideMark/>
          </w:tcPr>
          <w:p w:rsidR="00D27BC7" w:rsidRPr="00D27BC7" w:rsidRDefault="00D27BC7" w:rsidP="00D27BC7">
            <w:pPr>
              <w:tabs>
                <w:tab w:val="left" w:pos="182"/>
                <w:tab w:val="right" w:pos="1172"/>
              </w:tabs>
              <w:jc w:val="right"/>
              <w:rPr>
                <w:rFonts w:ascii="Arial" w:hAnsi="Arial" w:cs="Arial"/>
                <w:color w:val="000000"/>
                <w:sz w:val="16"/>
                <w:szCs w:val="16"/>
                <w:lang w:val="en-GB"/>
              </w:rPr>
            </w:pPr>
          </w:p>
        </w:tc>
        <w:tc>
          <w:tcPr>
            <w:tcW w:w="400" w:type="dxa"/>
            <w:tcBorders>
              <w:top w:val="nil"/>
              <w:left w:val="nil"/>
              <w:bottom w:val="nil"/>
              <w:right w:val="nil"/>
            </w:tcBorders>
            <w:shd w:val="clear" w:color="auto" w:fill="auto"/>
            <w:noWrap/>
            <w:vAlign w:val="bottom"/>
            <w:hideMark/>
          </w:tcPr>
          <w:p w:rsidR="00D27BC7" w:rsidRPr="00D27BC7" w:rsidRDefault="00D27BC7" w:rsidP="00D27BC7">
            <w:pPr>
              <w:jc w:val="right"/>
              <w:rPr>
                <w:rFonts w:ascii="Arial" w:hAnsi="Arial" w:cs="Arial"/>
                <w:color w:val="000000"/>
                <w:sz w:val="16"/>
                <w:szCs w:val="16"/>
                <w:lang w:val="en-GB"/>
              </w:rPr>
            </w:pPr>
          </w:p>
        </w:tc>
        <w:tc>
          <w:tcPr>
            <w:tcW w:w="1500" w:type="dxa"/>
            <w:tcBorders>
              <w:left w:val="nil"/>
              <w:bottom w:val="nil"/>
              <w:right w:val="nil"/>
            </w:tcBorders>
            <w:shd w:val="clear" w:color="auto" w:fill="auto"/>
            <w:noWrap/>
            <w:vAlign w:val="bottom"/>
            <w:hideMark/>
          </w:tcPr>
          <w:p w:rsidR="00D27BC7" w:rsidRPr="00D27BC7" w:rsidRDefault="00D27BC7" w:rsidP="00D27BC7">
            <w:pPr>
              <w:tabs>
                <w:tab w:val="left" w:pos="172"/>
                <w:tab w:val="right" w:pos="1162"/>
              </w:tabs>
              <w:jc w:val="right"/>
              <w:rPr>
                <w:rFonts w:ascii="Arial" w:hAnsi="Arial" w:cs="Arial"/>
                <w:color w:val="000000"/>
                <w:sz w:val="16"/>
                <w:szCs w:val="16"/>
                <w:lang w:val="en-GB"/>
              </w:rPr>
            </w:pP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
                <w:bCs/>
                <w:lang w:val="en-GB"/>
              </w:rPr>
            </w:pPr>
            <w:r w:rsidRPr="00C13F95">
              <w:rPr>
                <w:rFonts w:ascii="Arial" w:hAnsi="Arial" w:cs="Arial"/>
                <w:b/>
                <w:bCs/>
                <w:lang w:val="en-GB"/>
              </w:rPr>
              <w:t>EQUITY</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
                <w:bCs/>
                <w:lang w:val="en-GB"/>
              </w:rPr>
            </w:pPr>
            <w:r w:rsidRPr="00C13F95">
              <w:rPr>
                <w:rFonts w:ascii="Arial" w:hAnsi="Arial" w:cs="Arial"/>
                <w:b/>
                <w:bCs/>
                <w:lang w:val="en-GB"/>
              </w:rPr>
              <w:tab/>
            </w:r>
            <w:r w:rsidRPr="00C13F95">
              <w:rPr>
                <w:rFonts w:ascii="Arial" w:hAnsi="Arial" w:cs="Arial"/>
                <w:lang w:val="en-GB"/>
              </w:rPr>
              <w:t>Common stock</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35,000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35,000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nil"/>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35,000</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lang w:val="en-GB"/>
              </w:rPr>
            </w:pPr>
            <w:r w:rsidRPr="00C13F95">
              <w:rPr>
                <w:rFonts w:ascii="Arial" w:hAnsi="Arial" w:cs="Arial"/>
                <w:lang w:val="en-GB"/>
              </w:rPr>
              <w:tab/>
              <w:t>Retained earnings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74,595</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62,453</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single" w:sz="4" w:space="0" w:color="auto"/>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55,867</w:t>
            </w:r>
          </w:p>
        </w:tc>
      </w:tr>
      <w:tr w:rsidR="00D27BC7" w:rsidRPr="00C13F95" w:rsidTr="00D27BC7">
        <w:trPr>
          <w:trHeight w:val="300"/>
          <w:jc w:val="center"/>
        </w:trPr>
        <w:tc>
          <w:tcPr>
            <w:tcW w:w="3940" w:type="dxa"/>
            <w:tcBorders>
              <w:top w:val="nil"/>
              <w:left w:val="nil"/>
              <w:bottom w:val="nil"/>
              <w:right w:val="nil"/>
            </w:tcBorders>
            <w:shd w:val="clear" w:color="auto" w:fill="auto"/>
            <w:noWrap/>
            <w:vAlign w:val="bottom"/>
            <w:hideMark/>
          </w:tcPr>
          <w:p w:rsidR="00D27BC7" w:rsidRPr="00B26E5C" w:rsidRDefault="00D27BC7" w:rsidP="00D27BC7">
            <w:pPr>
              <w:tabs>
                <w:tab w:val="left" w:pos="302"/>
              </w:tabs>
              <w:rPr>
                <w:rFonts w:ascii="Arial" w:hAnsi="Arial" w:cs="Arial"/>
                <w:b/>
                <w:bCs/>
                <w:lang w:val="en-GB"/>
              </w:rPr>
            </w:pPr>
            <w:r w:rsidRPr="00B26E5C">
              <w:rPr>
                <w:rFonts w:ascii="Arial" w:hAnsi="Arial" w:cs="Arial"/>
                <w:b/>
                <w:bCs/>
                <w:lang w:val="en-GB"/>
              </w:rPr>
              <w:t>Total Equity</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single" w:sz="4" w:space="0" w:color="auto"/>
              <w:left w:val="nil"/>
              <w:bottom w:val="single" w:sz="4" w:space="0" w:color="auto"/>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109,595</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single" w:sz="4" w:space="0" w:color="auto"/>
              <w:left w:val="nil"/>
              <w:bottom w:val="single" w:sz="4" w:space="0" w:color="auto"/>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97,453</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single" w:sz="4" w:space="0" w:color="auto"/>
              <w:left w:val="nil"/>
              <w:bottom w:val="single" w:sz="4" w:space="0" w:color="auto"/>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r>
            <w:r w:rsidRPr="00C13F95">
              <w:rPr>
                <w:rFonts w:ascii="Arial" w:hAnsi="Arial" w:cs="Arial"/>
                <w:color w:val="000000"/>
                <w:lang w:val="en-GB"/>
              </w:rPr>
              <w:tab/>
              <w:t>90,867</w:t>
            </w:r>
          </w:p>
        </w:tc>
      </w:tr>
      <w:tr w:rsidR="00D27BC7" w:rsidRPr="00D27BC7" w:rsidTr="00D27BC7">
        <w:trPr>
          <w:trHeight w:val="20"/>
          <w:jc w:val="center"/>
        </w:trPr>
        <w:tc>
          <w:tcPr>
            <w:tcW w:w="3940" w:type="dxa"/>
            <w:tcBorders>
              <w:top w:val="nil"/>
              <w:left w:val="nil"/>
              <w:bottom w:val="nil"/>
              <w:right w:val="nil"/>
            </w:tcBorders>
            <w:shd w:val="clear" w:color="auto" w:fill="auto"/>
            <w:noWrap/>
            <w:vAlign w:val="bottom"/>
            <w:hideMark/>
          </w:tcPr>
          <w:p w:rsidR="00D27BC7" w:rsidRPr="00D27BC7" w:rsidRDefault="00D27BC7" w:rsidP="00D27BC7">
            <w:pPr>
              <w:tabs>
                <w:tab w:val="left" w:pos="302"/>
              </w:tabs>
              <w:rPr>
                <w:rFonts w:ascii="Arial" w:hAnsi="Arial" w:cs="Arial"/>
                <w:b/>
                <w:bCs/>
                <w:sz w:val="16"/>
                <w:szCs w:val="16"/>
                <w:lang w:val="en-GB"/>
              </w:rPr>
            </w:pPr>
          </w:p>
        </w:tc>
        <w:tc>
          <w:tcPr>
            <w:tcW w:w="400" w:type="dxa"/>
            <w:tcBorders>
              <w:top w:val="nil"/>
              <w:left w:val="nil"/>
              <w:bottom w:val="nil"/>
              <w:right w:val="nil"/>
            </w:tcBorders>
            <w:shd w:val="clear" w:color="auto" w:fill="auto"/>
            <w:noWrap/>
            <w:vAlign w:val="bottom"/>
            <w:hideMark/>
          </w:tcPr>
          <w:p w:rsidR="00D27BC7" w:rsidRPr="00D27BC7" w:rsidRDefault="00D27BC7" w:rsidP="00D27BC7">
            <w:pPr>
              <w:rPr>
                <w:rFonts w:ascii="Arial" w:hAnsi="Arial" w:cs="Arial"/>
                <w:color w:val="000000"/>
                <w:sz w:val="16"/>
                <w:szCs w:val="16"/>
                <w:lang w:val="en-GB"/>
              </w:rPr>
            </w:pPr>
          </w:p>
        </w:tc>
        <w:tc>
          <w:tcPr>
            <w:tcW w:w="1500" w:type="dxa"/>
            <w:tcBorders>
              <w:top w:val="single" w:sz="4" w:space="0" w:color="auto"/>
              <w:left w:val="nil"/>
              <w:bottom w:val="nil"/>
              <w:right w:val="nil"/>
            </w:tcBorders>
            <w:shd w:val="clear" w:color="auto" w:fill="auto"/>
            <w:noWrap/>
            <w:vAlign w:val="bottom"/>
            <w:hideMark/>
          </w:tcPr>
          <w:p w:rsidR="00D27BC7" w:rsidRPr="00D27BC7" w:rsidRDefault="00D27BC7" w:rsidP="00D27BC7">
            <w:pPr>
              <w:tabs>
                <w:tab w:val="left" w:pos="102"/>
                <w:tab w:val="right" w:pos="1168"/>
              </w:tabs>
              <w:jc w:val="right"/>
              <w:rPr>
                <w:rFonts w:ascii="Arial" w:hAnsi="Arial" w:cs="Arial"/>
                <w:color w:val="000000"/>
                <w:sz w:val="16"/>
                <w:szCs w:val="16"/>
                <w:lang w:val="en-GB"/>
              </w:rPr>
            </w:pPr>
          </w:p>
        </w:tc>
        <w:tc>
          <w:tcPr>
            <w:tcW w:w="400" w:type="dxa"/>
            <w:tcBorders>
              <w:top w:val="nil"/>
              <w:left w:val="nil"/>
              <w:bottom w:val="nil"/>
              <w:right w:val="nil"/>
            </w:tcBorders>
            <w:shd w:val="clear" w:color="auto" w:fill="auto"/>
            <w:noWrap/>
            <w:vAlign w:val="bottom"/>
            <w:hideMark/>
          </w:tcPr>
          <w:p w:rsidR="00D27BC7" w:rsidRPr="00D27BC7" w:rsidRDefault="00D27BC7" w:rsidP="00D27BC7">
            <w:pPr>
              <w:jc w:val="right"/>
              <w:rPr>
                <w:rFonts w:ascii="Arial" w:hAnsi="Arial" w:cs="Arial"/>
                <w:color w:val="000000"/>
                <w:sz w:val="16"/>
                <w:szCs w:val="16"/>
                <w:lang w:val="en-GB"/>
              </w:rPr>
            </w:pPr>
          </w:p>
        </w:tc>
        <w:tc>
          <w:tcPr>
            <w:tcW w:w="1500" w:type="dxa"/>
            <w:tcBorders>
              <w:top w:val="single" w:sz="4" w:space="0" w:color="auto"/>
              <w:left w:val="nil"/>
              <w:bottom w:val="nil"/>
              <w:right w:val="nil"/>
            </w:tcBorders>
            <w:shd w:val="clear" w:color="auto" w:fill="auto"/>
            <w:noWrap/>
            <w:vAlign w:val="bottom"/>
            <w:hideMark/>
          </w:tcPr>
          <w:p w:rsidR="00D27BC7" w:rsidRPr="00D27BC7" w:rsidRDefault="00D27BC7" w:rsidP="00D27BC7">
            <w:pPr>
              <w:tabs>
                <w:tab w:val="left" w:pos="182"/>
                <w:tab w:val="right" w:pos="1172"/>
              </w:tabs>
              <w:jc w:val="right"/>
              <w:rPr>
                <w:rFonts w:ascii="Arial" w:hAnsi="Arial" w:cs="Arial"/>
                <w:color w:val="000000"/>
                <w:sz w:val="16"/>
                <w:szCs w:val="16"/>
                <w:lang w:val="en-GB"/>
              </w:rPr>
            </w:pPr>
          </w:p>
        </w:tc>
        <w:tc>
          <w:tcPr>
            <w:tcW w:w="400" w:type="dxa"/>
            <w:tcBorders>
              <w:top w:val="nil"/>
              <w:left w:val="nil"/>
              <w:bottom w:val="nil"/>
              <w:right w:val="nil"/>
            </w:tcBorders>
            <w:shd w:val="clear" w:color="auto" w:fill="auto"/>
            <w:noWrap/>
            <w:vAlign w:val="bottom"/>
            <w:hideMark/>
          </w:tcPr>
          <w:p w:rsidR="00D27BC7" w:rsidRPr="00D27BC7" w:rsidRDefault="00D27BC7" w:rsidP="00D27BC7">
            <w:pPr>
              <w:jc w:val="right"/>
              <w:rPr>
                <w:rFonts w:ascii="Arial" w:hAnsi="Arial" w:cs="Arial"/>
                <w:color w:val="000000"/>
                <w:sz w:val="16"/>
                <w:szCs w:val="16"/>
                <w:lang w:val="en-GB"/>
              </w:rPr>
            </w:pPr>
          </w:p>
        </w:tc>
        <w:tc>
          <w:tcPr>
            <w:tcW w:w="1500" w:type="dxa"/>
            <w:tcBorders>
              <w:top w:val="single" w:sz="4" w:space="0" w:color="auto"/>
              <w:left w:val="nil"/>
              <w:bottom w:val="nil"/>
              <w:right w:val="nil"/>
            </w:tcBorders>
            <w:shd w:val="clear" w:color="auto" w:fill="auto"/>
            <w:noWrap/>
            <w:vAlign w:val="bottom"/>
            <w:hideMark/>
          </w:tcPr>
          <w:p w:rsidR="00D27BC7" w:rsidRPr="00D27BC7" w:rsidRDefault="00D27BC7" w:rsidP="00D27BC7">
            <w:pPr>
              <w:tabs>
                <w:tab w:val="left" w:pos="172"/>
                <w:tab w:val="right" w:pos="1162"/>
              </w:tabs>
              <w:jc w:val="right"/>
              <w:rPr>
                <w:rFonts w:ascii="Arial" w:hAnsi="Arial" w:cs="Arial"/>
                <w:color w:val="000000"/>
                <w:sz w:val="16"/>
                <w:szCs w:val="16"/>
                <w:lang w:val="en-GB"/>
              </w:rPr>
            </w:pPr>
          </w:p>
        </w:tc>
      </w:tr>
      <w:tr w:rsidR="00D27BC7" w:rsidRPr="00C13F95" w:rsidTr="00D27BC7">
        <w:trPr>
          <w:trHeight w:val="320"/>
          <w:jc w:val="center"/>
        </w:trPr>
        <w:tc>
          <w:tcPr>
            <w:tcW w:w="394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
                <w:bCs/>
                <w:lang w:val="en-GB"/>
              </w:rPr>
            </w:pPr>
            <w:r w:rsidRPr="00C13F95">
              <w:rPr>
                <w:rFonts w:ascii="Arial" w:hAnsi="Arial" w:cs="Arial"/>
                <w:b/>
                <w:bCs/>
                <w:lang w:val="en-GB"/>
              </w:rPr>
              <w:t>TOTAL LIABILITIES AND EQUITY</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500" w:type="dxa"/>
            <w:tcBorders>
              <w:top w:val="nil"/>
              <w:left w:val="nil"/>
              <w:bottom w:val="double" w:sz="6" w:space="0" w:color="auto"/>
              <w:right w:val="nil"/>
            </w:tcBorders>
            <w:shd w:val="clear" w:color="auto" w:fill="auto"/>
            <w:noWrap/>
            <w:vAlign w:val="bottom"/>
            <w:hideMark/>
          </w:tcPr>
          <w:p w:rsidR="00D27BC7" w:rsidRPr="00C13F95" w:rsidRDefault="00D27BC7" w:rsidP="00D27BC7">
            <w:pPr>
              <w:tabs>
                <w:tab w:val="left" w:pos="102"/>
                <w:tab w:val="right" w:pos="1168"/>
              </w:tabs>
              <w:jc w:val="right"/>
              <w:rPr>
                <w:rFonts w:ascii="Arial" w:hAnsi="Arial" w:cs="Arial"/>
                <w:color w:val="000000"/>
                <w:lang w:val="en-GB"/>
              </w:rPr>
            </w:pPr>
            <w:r w:rsidRPr="00C13F95">
              <w:rPr>
                <w:rFonts w:ascii="Arial" w:hAnsi="Arial" w:cs="Arial"/>
                <w:color w:val="000000"/>
                <w:lang w:val="en-GB"/>
              </w:rPr>
              <w:tab/>
              <w:t>$</w:t>
            </w:r>
            <w:r w:rsidRPr="00C13F95">
              <w:rPr>
                <w:rFonts w:ascii="Arial" w:hAnsi="Arial" w:cs="Arial"/>
                <w:color w:val="000000"/>
                <w:lang w:val="en-GB"/>
              </w:rPr>
              <w:tab/>
              <w:t>249,227</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double" w:sz="6" w:space="0" w:color="auto"/>
              <w:right w:val="nil"/>
            </w:tcBorders>
            <w:shd w:val="clear" w:color="auto" w:fill="auto"/>
            <w:noWrap/>
            <w:vAlign w:val="bottom"/>
            <w:hideMark/>
          </w:tcPr>
          <w:p w:rsidR="00D27BC7" w:rsidRPr="00C13F95" w:rsidRDefault="00D27BC7" w:rsidP="00D27BC7">
            <w:pPr>
              <w:tabs>
                <w:tab w:val="left" w:pos="182"/>
                <w:tab w:val="right" w:pos="1172"/>
              </w:tabs>
              <w:jc w:val="right"/>
              <w:rPr>
                <w:rFonts w:ascii="Arial" w:hAnsi="Arial" w:cs="Arial"/>
                <w:color w:val="000000"/>
                <w:lang w:val="en-GB"/>
              </w:rPr>
            </w:pPr>
            <w:r w:rsidRPr="00C13F95">
              <w:rPr>
                <w:rFonts w:ascii="Arial" w:hAnsi="Arial" w:cs="Arial"/>
                <w:color w:val="000000"/>
                <w:lang w:val="en-GB"/>
              </w:rPr>
              <w:tab/>
              <w:t>$</w:t>
            </w:r>
            <w:r w:rsidRPr="00C13F95">
              <w:rPr>
                <w:rFonts w:ascii="Arial" w:hAnsi="Arial" w:cs="Arial"/>
                <w:color w:val="000000"/>
                <w:lang w:val="en-GB"/>
              </w:rPr>
              <w:tab/>
              <w:t>266,719</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500" w:type="dxa"/>
            <w:tcBorders>
              <w:top w:val="nil"/>
              <w:left w:val="nil"/>
              <w:bottom w:val="double" w:sz="6" w:space="0" w:color="auto"/>
              <w:right w:val="nil"/>
            </w:tcBorders>
            <w:shd w:val="clear" w:color="auto" w:fill="auto"/>
            <w:noWrap/>
            <w:vAlign w:val="bottom"/>
            <w:hideMark/>
          </w:tcPr>
          <w:p w:rsidR="00D27BC7" w:rsidRPr="00C13F95" w:rsidRDefault="00D27BC7" w:rsidP="00D27BC7">
            <w:pPr>
              <w:tabs>
                <w:tab w:val="left" w:pos="172"/>
                <w:tab w:val="right" w:pos="1162"/>
              </w:tabs>
              <w:jc w:val="right"/>
              <w:rPr>
                <w:rFonts w:ascii="Arial" w:hAnsi="Arial" w:cs="Arial"/>
                <w:color w:val="000000"/>
                <w:lang w:val="en-GB"/>
              </w:rPr>
            </w:pPr>
            <w:r w:rsidRPr="00C13F95">
              <w:rPr>
                <w:rFonts w:ascii="Arial" w:hAnsi="Arial" w:cs="Arial"/>
                <w:color w:val="000000"/>
                <w:lang w:val="en-GB"/>
              </w:rPr>
              <w:tab/>
              <w:t>$</w:t>
            </w:r>
            <w:r w:rsidRPr="00C13F95">
              <w:rPr>
                <w:rFonts w:ascii="Arial" w:hAnsi="Arial" w:cs="Arial"/>
                <w:color w:val="000000"/>
                <w:lang w:val="en-GB"/>
              </w:rPr>
              <w:tab/>
              <w:t>238,202</w:t>
            </w:r>
          </w:p>
        </w:tc>
      </w:tr>
    </w:tbl>
    <w:p w:rsidR="00D27BC7" w:rsidRPr="00C2669C" w:rsidRDefault="00D27BC7" w:rsidP="00D27BC7">
      <w:pPr>
        <w:pStyle w:val="FootnoteText1"/>
        <w:rPr>
          <w:rFonts w:eastAsia="MS Mincho"/>
          <w:lang w:val="en-GB"/>
        </w:rPr>
      </w:pPr>
    </w:p>
    <w:p w:rsidR="00D27BC7" w:rsidRPr="00C2669C" w:rsidRDefault="00D27BC7" w:rsidP="00D27BC7">
      <w:pPr>
        <w:pStyle w:val="FootnoteText1"/>
        <w:rPr>
          <w:rFonts w:eastAsia="MS Mincho"/>
          <w:lang w:val="en-GB"/>
        </w:rPr>
      </w:pPr>
      <w:r w:rsidRPr="00C2669C">
        <w:rPr>
          <w:rFonts w:eastAsia="MS Mincho"/>
          <w:lang w:val="en-GB"/>
        </w:rPr>
        <w:t>Source: Company files</w:t>
      </w:r>
    </w:p>
    <w:p w:rsidR="00D27BC7" w:rsidRDefault="00D27BC7">
      <w:pPr>
        <w:spacing w:after="200" w:line="276" w:lineRule="auto"/>
        <w:rPr>
          <w:rFonts w:ascii="Arial" w:eastAsia="MS Mincho" w:hAnsi="Arial" w:cs="Arial"/>
          <w:iCs/>
          <w:sz w:val="17"/>
          <w:szCs w:val="17"/>
          <w:lang w:val="en-GB"/>
        </w:rPr>
      </w:pPr>
      <w:r>
        <w:rPr>
          <w:rFonts w:eastAsia="MS Mincho"/>
          <w:i/>
          <w:lang w:val="en-GB"/>
        </w:rPr>
        <w:br w:type="page"/>
      </w:r>
    </w:p>
    <w:p w:rsidR="00D27BC7" w:rsidRPr="00C13F95" w:rsidRDefault="00D27BC7" w:rsidP="00D27BC7">
      <w:pPr>
        <w:pStyle w:val="Casehead1"/>
        <w:jc w:val="center"/>
        <w:rPr>
          <w:rFonts w:eastAsia="MS Mincho"/>
          <w:lang w:val="en-GB"/>
        </w:rPr>
      </w:pPr>
      <w:r w:rsidRPr="00C13F95">
        <w:rPr>
          <w:rFonts w:eastAsia="MS Mincho"/>
          <w:lang w:val="en-GB"/>
        </w:rPr>
        <w:lastRenderedPageBreak/>
        <w:t>EXHIBIT 4: THE ITALIAN BAKERY—FINANCIAL RATIOS</w:t>
      </w:r>
    </w:p>
    <w:p w:rsidR="00D27BC7" w:rsidRPr="00C13F95" w:rsidRDefault="00D27BC7" w:rsidP="00D27BC7">
      <w:pPr>
        <w:pStyle w:val="BodyTextMain"/>
        <w:rPr>
          <w:rFonts w:eastAsia="MS Mincho"/>
          <w:lang w:val="en-GB"/>
        </w:rPr>
      </w:pPr>
    </w:p>
    <w:tbl>
      <w:tblPr>
        <w:tblW w:w="8020" w:type="dxa"/>
        <w:jc w:val="center"/>
        <w:tblLook w:val="04A0" w:firstRow="1" w:lastRow="0" w:firstColumn="1" w:lastColumn="0" w:noHBand="0" w:noVBand="1"/>
      </w:tblPr>
      <w:tblGrid>
        <w:gridCol w:w="2920"/>
        <w:gridCol w:w="400"/>
        <w:gridCol w:w="1300"/>
        <w:gridCol w:w="400"/>
        <w:gridCol w:w="1300"/>
        <w:gridCol w:w="400"/>
        <w:gridCol w:w="1300"/>
      </w:tblGrid>
      <w:tr w:rsidR="00D27BC7" w:rsidRPr="00C13F95" w:rsidTr="00D27BC7">
        <w:trPr>
          <w:trHeight w:val="320"/>
          <w:jc w:val="center"/>
        </w:trPr>
        <w:tc>
          <w:tcPr>
            <w:tcW w:w="2920" w:type="dxa"/>
            <w:tcBorders>
              <w:top w:val="nil"/>
              <w:left w:val="nil"/>
              <w:bottom w:val="nil"/>
              <w:right w:val="nil"/>
            </w:tcBorders>
            <w:shd w:val="clear" w:color="auto" w:fill="auto"/>
            <w:noWrap/>
            <w:vAlign w:val="bottom"/>
          </w:tcPr>
          <w:p w:rsidR="00D27BC7" w:rsidRPr="00C13F95" w:rsidRDefault="00D27BC7" w:rsidP="00D27BC7">
            <w:pPr>
              <w:tabs>
                <w:tab w:val="left" w:pos="302"/>
              </w:tabs>
              <w:rPr>
                <w:rFonts w:ascii="Arial" w:hAnsi="Arial" w:cs="Arial"/>
                <w:b/>
                <w:bCs/>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color w:val="000000"/>
                <w:lang w:val="en-GB"/>
              </w:rPr>
            </w:pPr>
          </w:p>
        </w:tc>
        <w:tc>
          <w:tcPr>
            <w:tcW w:w="1300" w:type="dxa"/>
            <w:tcBorders>
              <w:top w:val="nil"/>
              <w:left w:val="nil"/>
              <w:right w:val="nil"/>
            </w:tcBorders>
            <w:shd w:val="clear" w:color="auto" w:fill="auto"/>
            <w:noWrap/>
            <w:vAlign w:val="bottom"/>
          </w:tcPr>
          <w:p w:rsidR="00D27BC7" w:rsidRPr="00C13F95" w:rsidRDefault="00D27BC7" w:rsidP="00D27BC7">
            <w:pPr>
              <w:jc w:val="center"/>
              <w:rPr>
                <w:rFonts w:ascii="Arial" w:hAnsi="Arial" w:cs="Arial"/>
                <w:b/>
                <w:bCs/>
                <w:color w:val="000000"/>
                <w:lang w:val="en-GB"/>
              </w:rPr>
            </w:pPr>
            <w:r w:rsidRPr="00C13F95">
              <w:rPr>
                <w:rFonts w:ascii="Arial" w:hAnsi="Arial" w:cs="Arial"/>
                <w:b/>
                <w:bCs/>
                <w:color w:val="000000"/>
                <w:lang w:val="en-GB"/>
              </w:rPr>
              <w:t>2014</w:t>
            </w:r>
          </w:p>
        </w:tc>
        <w:tc>
          <w:tcPr>
            <w:tcW w:w="400" w:type="dxa"/>
            <w:tcBorders>
              <w:top w:val="nil"/>
              <w:left w:val="nil"/>
              <w:right w:val="nil"/>
            </w:tcBorders>
            <w:shd w:val="clear" w:color="auto" w:fill="auto"/>
            <w:noWrap/>
            <w:vAlign w:val="bottom"/>
          </w:tcPr>
          <w:p w:rsidR="00D27BC7" w:rsidRPr="00C13F95" w:rsidRDefault="00D27BC7" w:rsidP="00D27BC7">
            <w:pPr>
              <w:jc w:val="center"/>
              <w:rPr>
                <w:rFonts w:ascii="Arial" w:hAnsi="Arial" w:cs="Arial"/>
                <w:b/>
                <w:bCs/>
                <w:color w:val="000000"/>
                <w:u w:val="single"/>
                <w:lang w:val="en-GB"/>
              </w:rPr>
            </w:pPr>
          </w:p>
        </w:tc>
        <w:tc>
          <w:tcPr>
            <w:tcW w:w="1300" w:type="dxa"/>
            <w:tcBorders>
              <w:top w:val="nil"/>
              <w:left w:val="nil"/>
              <w:right w:val="nil"/>
            </w:tcBorders>
            <w:shd w:val="clear" w:color="auto" w:fill="auto"/>
            <w:noWrap/>
            <w:vAlign w:val="bottom"/>
          </w:tcPr>
          <w:p w:rsidR="00D27BC7" w:rsidRPr="00C13F95" w:rsidRDefault="00D27BC7" w:rsidP="00D27BC7">
            <w:pPr>
              <w:jc w:val="center"/>
              <w:rPr>
                <w:rFonts w:ascii="Arial" w:hAnsi="Arial" w:cs="Arial"/>
                <w:b/>
                <w:bCs/>
                <w:color w:val="000000"/>
                <w:lang w:val="en-GB"/>
              </w:rPr>
            </w:pPr>
            <w:r w:rsidRPr="00C13F95">
              <w:rPr>
                <w:rFonts w:ascii="Arial" w:hAnsi="Arial" w:cs="Arial"/>
                <w:b/>
                <w:bCs/>
                <w:color w:val="000000"/>
                <w:lang w:val="en-GB"/>
              </w:rPr>
              <w:t>2013</w:t>
            </w:r>
          </w:p>
        </w:tc>
        <w:tc>
          <w:tcPr>
            <w:tcW w:w="400" w:type="dxa"/>
            <w:tcBorders>
              <w:top w:val="nil"/>
              <w:left w:val="nil"/>
              <w:bottom w:val="nil"/>
              <w:right w:val="nil"/>
            </w:tcBorders>
            <w:shd w:val="clear" w:color="auto" w:fill="auto"/>
            <w:noWrap/>
            <w:vAlign w:val="bottom"/>
          </w:tcPr>
          <w:p w:rsidR="00D27BC7" w:rsidRPr="00C13F95" w:rsidRDefault="00D27BC7" w:rsidP="00D27BC7">
            <w:pPr>
              <w:jc w:val="center"/>
              <w:rPr>
                <w:rFonts w:ascii="Arial" w:hAnsi="Arial" w:cs="Arial"/>
                <w:b/>
                <w:bCs/>
                <w:color w:val="000000"/>
                <w:u w:val="single"/>
                <w:lang w:val="en-GB"/>
              </w:rPr>
            </w:pPr>
          </w:p>
        </w:tc>
        <w:tc>
          <w:tcPr>
            <w:tcW w:w="1300" w:type="dxa"/>
            <w:tcBorders>
              <w:top w:val="nil"/>
              <w:left w:val="nil"/>
              <w:right w:val="nil"/>
            </w:tcBorders>
            <w:shd w:val="clear" w:color="auto" w:fill="auto"/>
            <w:noWrap/>
            <w:vAlign w:val="bottom"/>
          </w:tcPr>
          <w:p w:rsidR="00D27BC7" w:rsidRPr="00C13F95" w:rsidRDefault="00D27BC7" w:rsidP="00D27BC7">
            <w:pPr>
              <w:jc w:val="center"/>
              <w:rPr>
                <w:rFonts w:ascii="Arial" w:hAnsi="Arial" w:cs="Arial"/>
                <w:b/>
                <w:bCs/>
                <w:color w:val="000000"/>
                <w:lang w:val="en-GB"/>
              </w:rPr>
            </w:pPr>
            <w:r w:rsidRPr="00C13F95">
              <w:rPr>
                <w:rFonts w:ascii="Arial" w:hAnsi="Arial" w:cs="Arial"/>
                <w:b/>
                <w:bCs/>
                <w:color w:val="000000"/>
                <w:lang w:val="en-GB"/>
              </w:rPr>
              <w:t>2012</w:t>
            </w:r>
          </w:p>
        </w:tc>
      </w:tr>
      <w:tr w:rsidR="00D27BC7" w:rsidRPr="00C13F95" w:rsidTr="00D27BC7">
        <w:trPr>
          <w:trHeight w:val="32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
                <w:bCs/>
                <w:color w:val="000000"/>
                <w:lang w:val="en-GB"/>
              </w:rPr>
            </w:pPr>
            <w:r w:rsidRPr="00C13F95">
              <w:rPr>
                <w:rFonts w:ascii="Arial" w:hAnsi="Arial" w:cs="Arial"/>
                <w:b/>
                <w:bCs/>
                <w:color w:val="000000"/>
                <w:lang w:val="en-GB"/>
              </w:rPr>
              <w:t>PROFITABILITY</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left w:val="nil"/>
              <w:right w:val="nil"/>
            </w:tcBorders>
            <w:shd w:val="clear" w:color="auto" w:fill="auto"/>
            <w:noWrap/>
            <w:vAlign w:val="bottom"/>
            <w:hideMark/>
          </w:tcPr>
          <w:p w:rsidR="00D27BC7" w:rsidRPr="00C13F95" w:rsidRDefault="00D27BC7" w:rsidP="00D27BC7">
            <w:pPr>
              <w:jc w:val="center"/>
              <w:rPr>
                <w:rFonts w:ascii="Arial" w:hAnsi="Arial" w:cs="Arial"/>
                <w:b/>
                <w:bCs/>
                <w:color w:val="000000"/>
                <w:lang w:val="en-GB"/>
              </w:rPr>
            </w:pPr>
          </w:p>
        </w:tc>
        <w:tc>
          <w:tcPr>
            <w:tcW w:w="400" w:type="dxa"/>
            <w:tcBorders>
              <w:top w:val="nil"/>
              <w:left w:val="nil"/>
              <w:right w:val="nil"/>
            </w:tcBorders>
            <w:shd w:val="clear" w:color="auto" w:fill="auto"/>
            <w:noWrap/>
            <w:vAlign w:val="bottom"/>
            <w:hideMark/>
          </w:tcPr>
          <w:p w:rsidR="00D27BC7" w:rsidRPr="00C13F95" w:rsidRDefault="00D27BC7" w:rsidP="00D27BC7">
            <w:pPr>
              <w:jc w:val="center"/>
              <w:rPr>
                <w:rFonts w:ascii="Arial" w:hAnsi="Arial" w:cs="Arial"/>
                <w:b/>
                <w:bCs/>
                <w:color w:val="000000"/>
                <w:u w:val="single"/>
                <w:lang w:val="en-GB"/>
              </w:rPr>
            </w:pPr>
          </w:p>
        </w:tc>
        <w:tc>
          <w:tcPr>
            <w:tcW w:w="1300" w:type="dxa"/>
            <w:tcBorders>
              <w:left w:val="nil"/>
              <w:right w:val="nil"/>
            </w:tcBorders>
            <w:shd w:val="clear" w:color="auto" w:fill="auto"/>
            <w:noWrap/>
            <w:vAlign w:val="bottom"/>
            <w:hideMark/>
          </w:tcPr>
          <w:p w:rsidR="00D27BC7" w:rsidRPr="00C13F95" w:rsidRDefault="00D27BC7" w:rsidP="00D27BC7">
            <w:pPr>
              <w:jc w:val="center"/>
              <w:rPr>
                <w:rFonts w:ascii="Arial" w:hAnsi="Arial" w:cs="Arial"/>
                <w:b/>
                <w:bCs/>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b/>
                <w:bCs/>
                <w:color w:val="000000"/>
                <w:u w:val="single"/>
                <w:lang w:val="en-GB"/>
              </w:rPr>
            </w:pPr>
          </w:p>
        </w:tc>
        <w:tc>
          <w:tcPr>
            <w:tcW w:w="1300" w:type="dxa"/>
            <w:tcBorders>
              <w:left w:val="nil"/>
              <w:right w:val="nil"/>
            </w:tcBorders>
            <w:shd w:val="clear" w:color="auto" w:fill="auto"/>
            <w:noWrap/>
            <w:vAlign w:val="bottom"/>
            <w:hideMark/>
          </w:tcPr>
          <w:p w:rsidR="00D27BC7" w:rsidRPr="00C13F95" w:rsidRDefault="00D27BC7" w:rsidP="00D27BC7">
            <w:pPr>
              <w:jc w:val="center"/>
              <w:rPr>
                <w:rFonts w:ascii="Arial" w:hAnsi="Arial" w:cs="Arial"/>
                <w:b/>
                <w:bCs/>
                <w:color w:val="000000"/>
                <w:lang w:val="en-GB"/>
              </w:rPr>
            </w:pP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Total sales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100.0%</w:t>
            </w:r>
          </w:p>
        </w:tc>
        <w:tc>
          <w:tcPr>
            <w:tcW w:w="400" w:type="dxa"/>
            <w:tcBorders>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100.0%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100.0%</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Cost of goods sold</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15.4%</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15.8%</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14.7%</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Gross profit</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84.6%</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84.2%</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85.3%</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tcPr>
          <w:p w:rsidR="00D27BC7" w:rsidRPr="00C13F95" w:rsidRDefault="00D27BC7" w:rsidP="00D27BC7">
            <w:pPr>
              <w:tabs>
                <w:tab w:val="left" w:pos="302"/>
              </w:tabs>
              <w:rPr>
                <w:rFonts w:ascii="Arial" w:hAnsi="Arial" w:cs="Arial"/>
                <w:b/>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color w:val="000000"/>
                <w:lang w:val="en-GB"/>
              </w:rPr>
            </w:pP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b/>
                <w:color w:val="000000"/>
                <w:lang w:val="en-GB"/>
              </w:rPr>
            </w:pPr>
            <w:r w:rsidRPr="00C13F95">
              <w:rPr>
                <w:rFonts w:ascii="Arial" w:hAnsi="Arial" w:cs="Arial"/>
                <w:b/>
                <w:color w:val="000000"/>
                <w:lang w:val="en-GB"/>
              </w:rPr>
              <w:t>Operating expenses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Administrative expenses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2.2%</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2.9%</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2.9%</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Amortization</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1.9%</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2.0%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2.0%</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Management salary</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7.0%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7.3%</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6.1%</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Wages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54.4%</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53.7%</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52.3%</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Utilities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7.5%</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7.9%</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7.7%</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Advertising</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1.1%</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1.0%</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Insurance</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1.9%</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2.0%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2.0%</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Telephone and Internet</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0.7%</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0.7%</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0.7%</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Fuel</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0.5%</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0.5%</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0.5%</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Repairs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0.6%</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0.6%</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0.6%</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Miscellaneous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0.2%</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0.2%</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0.2%</w:t>
            </w:r>
          </w:p>
        </w:tc>
      </w:tr>
      <w:tr w:rsidR="00D27BC7" w:rsidRPr="00C13F95" w:rsidTr="00D27BC7">
        <w:trPr>
          <w:trHeight w:val="321"/>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Total operating expenses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single" w:sz="4" w:space="0" w:color="auto"/>
              <w:left w:val="nil"/>
              <w:bottom w:val="sing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77.9%</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single" w:sz="4" w:space="0" w:color="auto"/>
              <w:left w:val="nil"/>
              <w:bottom w:val="sing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78.8%</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single" w:sz="4" w:space="0" w:color="auto"/>
              <w:left w:val="nil"/>
              <w:bottom w:val="sing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75.9%</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tcPr>
          <w:p w:rsidR="00D27BC7" w:rsidRPr="00C13F95" w:rsidRDefault="00D27BC7" w:rsidP="00D27BC7">
            <w:pPr>
              <w:tabs>
                <w:tab w:val="left" w:pos="302"/>
              </w:tabs>
              <w:rPr>
                <w:rFonts w:ascii="Arial" w:hAnsi="Arial" w:cs="Arial"/>
                <w:b/>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color w:val="000000"/>
                <w:lang w:val="en-GB"/>
              </w:rPr>
            </w:pPr>
          </w:p>
        </w:tc>
        <w:tc>
          <w:tcPr>
            <w:tcW w:w="1300" w:type="dxa"/>
            <w:tcBorders>
              <w:top w:val="single" w:sz="4" w:space="0" w:color="auto"/>
              <w:left w:val="nil"/>
              <w:bottom w:val="nil"/>
              <w:right w:val="nil"/>
            </w:tcBorders>
            <w:shd w:val="clear" w:color="auto" w:fill="auto"/>
            <w:noWrap/>
            <w:vAlign w:val="bottom"/>
          </w:tcPr>
          <w:p w:rsidR="00D27BC7" w:rsidRPr="00C13F95" w:rsidRDefault="00D27BC7" w:rsidP="00D27BC7">
            <w:pPr>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color w:val="000000"/>
                <w:lang w:val="en-GB"/>
              </w:rPr>
            </w:pPr>
          </w:p>
        </w:tc>
        <w:tc>
          <w:tcPr>
            <w:tcW w:w="1300" w:type="dxa"/>
            <w:tcBorders>
              <w:top w:val="single" w:sz="4" w:space="0" w:color="auto"/>
              <w:left w:val="nil"/>
              <w:bottom w:val="nil"/>
              <w:right w:val="nil"/>
            </w:tcBorders>
            <w:shd w:val="clear" w:color="auto" w:fill="auto"/>
            <w:noWrap/>
            <w:vAlign w:val="bottom"/>
          </w:tcPr>
          <w:p w:rsidR="00D27BC7" w:rsidRPr="00C13F95" w:rsidRDefault="00D27BC7" w:rsidP="00D27BC7">
            <w:pPr>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color w:val="000000"/>
                <w:lang w:val="en-GB"/>
              </w:rPr>
            </w:pPr>
          </w:p>
        </w:tc>
        <w:tc>
          <w:tcPr>
            <w:tcW w:w="1300" w:type="dxa"/>
            <w:tcBorders>
              <w:top w:val="single" w:sz="4" w:space="0" w:color="auto"/>
              <w:left w:val="nil"/>
              <w:bottom w:val="nil"/>
              <w:right w:val="nil"/>
            </w:tcBorders>
            <w:shd w:val="clear" w:color="auto" w:fill="auto"/>
            <w:noWrap/>
            <w:vAlign w:val="bottom"/>
          </w:tcPr>
          <w:p w:rsidR="00D27BC7" w:rsidRPr="00C13F95" w:rsidRDefault="00D27BC7" w:rsidP="00D27BC7">
            <w:pPr>
              <w:jc w:val="right"/>
              <w:rPr>
                <w:rFonts w:ascii="Arial" w:hAnsi="Arial" w:cs="Arial"/>
                <w:color w:val="000000"/>
                <w:lang w:val="en-GB"/>
              </w:rPr>
            </w:pP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Operating income</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6.7%</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5.4%</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9.4%</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ab/>
              <w:t>Interest expense</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1.2%</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1.5%</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1.0%</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Net earnings before taxes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5.6%</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3.9%</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8.3%</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Income taxes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1.2%</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0.8%</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sing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1.8%</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Net income after taxes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single" w:sz="4" w:space="0" w:color="auto"/>
              <w:left w:val="nil"/>
              <w:bottom w:val="doub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4.4%</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single" w:sz="4" w:space="0" w:color="auto"/>
              <w:left w:val="nil"/>
              <w:bottom w:val="doub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3.1%</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single" w:sz="4" w:space="0" w:color="auto"/>
              <w:left w:val="nil"/>
              <w:bottom w:val="double" w:sz="4" w:space="0" w:color="auto"/>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6.6%</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tcPr>
          <w:p w:rsidR="00D27BC7" w:rsidRPr="00C13F95" w:rsidRDefault="00D27BC7" w:rsidP="00D27BC7">
            <w:pPr>
              <w:tabs>
                <w:tab w:val="left" w:pos="302"/>
              </w:tabs>
              <w:rPr>
                <w:rFonts w:ascii="Arial" w:hAnsi="Arial" w:cs="Arial"/>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color w:val="000000"/>
                <w:lang w:val="en-GB"/>
              </w:rPr>
            </w:pPr>
          </w:p>
        </w:tc>
        <w:tc>
          <w:tcPr>
            <w:tcW w:w="1300" w:type="dxa"/>
            <w:tcBorders>
              <w:top w:val="double" w:sz="4" w:space="0" w:color="auto"/>
              <w:left w:val="nil"/>
              <w:bottom w:val="nil"/>
              <w:right w:val="nil"/>
            </w:tcBorders>
            <w:shd w:val="clear" w:color="auto" w:fill="auto"/>
            <w:noWrap/>
            <w:vAlign w:val="bottom"/>
          </w:tcPr>
          <w:p w:rsidR="00D27BC7" w:rsidRPr="00C13F95" w:rsidRDefault="00D27BC7" w:rsidP="00D27BC7">
            <w:pPr>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color w:val="000000"/>
                <w:lang w:val="en-GB"/>
              </w:rPr>
            </w:pPr>
          </w:p>
        </w:tc>
        <w:tc>
          <w:tcPr>
            <w:tcW w:w="1300" w:type="dxa"/>
            <w:tcBorders>
              <w:top w:val="double" w:sz="4" w:space="0" w:color="auto"/>
              <w:left w:val="nil"/>
              <w:bottom w:val="nil"/>
              <w:right w:val="nil"/>
            </w:tcBorders>
            <w:shd w:val="clear" w:color="auto" w:fill="auto"/>
            <w:noWrap/>
            <w:vAlign w:val="bottom"/>
          </w:tcPr>
          <w:p w:rsidR="00D27BC7" w:rsidRPr="00C13F95" w:rsidRDefault="00D27BC7" w:rsidP="00D27BC7">
            <w:pPr>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color w:val="000000"/>
                <w:lang w:val="en-GB"/>
              </w:rPr>
            </w:pPr>
          </w:p>
        </w:tc>
        <w:tc>
          <w:tcPr>
            <w:tcW w:w="1300" w:type="dxa"/>
            <w:tcBorders>
              <w:top w:val="double" w:sz="4" w:space="0" w:color="auto"/>
              <w:left w:val="nil"/>
              <w:bottom w:val="nil"/>
              <w:right w:val="nil"/>
            </w:tcBorders>
            <w:shd w:val="clear" w:color="auto" w:fill="auto"/>
            <w:noWrap/>
            <w:vAlign w:val="bottom"/>
          </w:tcPr>
          <w:p w:rsidR="00D27BC7" w:rsidRPr="00C13F95" w:rsidRDefault="00D27BC7" w:rsidP="00D27BC7">
            <w:pPr>
              <w:jc w:val="right"/>
              <w:rPr>
                <w:rFonts w:ascii="Arial" w:hAnsi="Arial" w:cs="Arial"/>
                <w:color w:val="000000"/>
                <w:lang w:val="en-GB"/>
              </w:rPr>
            </w:pP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tabs>
                <w:tab w:val="left" w:pos="302"/>
              </w:tabs>
              <w:rPr>
                <w:rFonts w:ascii="Arial" w:hAnsi="Arial" w:cs="Arial"/>
                <w:color w:val="000000"/>
                <w:lang w:val="en-GB"/>
              </w:rPr>
            </w:pPr>
            <w:r w:rsidRPr="00C13F95">
              <w:rPr>
                <w:rFonts w:ascii="Arial" w:hAnsi="Arial" w:cs="Arial"/>
                <w:color w:val="000000"/>
                <w:lang w:val="en-GB"/>
              </w:rPr>
              <w:t>Return on average equity</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45.5%</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33.5%</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71.3%</w:t>
            </w:r>
          </w:p>
        </w:tc>
      </w:tr>
    </w:tbl>
    <w:p w:rsidR="00D27BC7" w:rsidRDefault="00D27BC7" w:rsidP="00D27BC7">
      <w:pPr>
        <w:pStyle w:val="BodyTextMain"/>
        <w:rPr>
          <w:rFonts w:eastAsia="MS Mincho"/>
          <w:lang w:val="en-GB"/>
        </w:rPr>
      </w:pPr>
    </w:p>
    <w:p w:rsidR="00D27BC7" w:rsidRDefault="00D27BC7">
      <w:pPr>
        <w:spacing w:after="200" w:line="276" w:lineRule="auto"/>
        <w:rPr>
          <w:rFonts w:eastAsia="MS Mincho"/>
          <w:sz w:val="22"/>
          <w:szCs w:val="22"/>
          <w:lang w:val="en-GB"/>
        </w:rPr>
      </w:pPr>
      <w:r>
        <w:rPr>
          <w:rFonts w:eastAsia="MS Mincho"/>
          <w:lang w:val="en-GB"/>
        </w:rPr>
        <w:br w:type="page"/>
      </w:r>
    </w:p>
    <w:p w:rsidR="00D27BC7" w:rsidRPr="00C13F95" w:rsidRDefault="00D27BC7" w:rsidP="00D27BC7">
      <w:pPr>
        <w:pStyle w:val="Casehead1"/>
        <w:jc w:val="center"/>
        <w:rPr>
          <w:rFonts w:eastAsia="MS Mincho"/>
          <w:lang w:val="en-GB"/>
        </w:rPr>
      </w:pPr>
      <w:r w:rsidRPr="00C13F95">
        <w:rPr>
          <w:rFonts w:eastAsia="MS Mincho"/>
          <w:lang w:val="en-GB"/>
        </w:rPr>
        <w:lastRenderedPageBreak/>
        <w:t>EXHIBIT 4 (CONTINUED)</w:t>
      </w:r>
    </w:p>
    <w:p w:rsidR="00D27BC7" w:rsidRPr="00C13F95" w:rsidRDefault="00D27BC7" w:rsidP="00D27BC7">
      <w:pPr>
        <w:pStyle w:val="BodyTextMain"/>
        <w:rPr>
          <w:rFonts w:eastAsia="MS Mincho"/>
          <w:lang w:val="en-GB"/>
        </w:rPr>
      </w:pPr>
    </w:p>
    <w:tbl>
      <w:tblPr>
        <w:tblW w:w="8020" w:type="dxa"/>
        <w:jc w:val="center"/>
        <w:tblLook w:val="04A0" w:firstRow="1" w:lastRow="0" w:firstColumn="1" w:lastColumn="0" w:noHBand="0" w:noVBand="1"/>
      </w:tblPr>
      <w:tblGrid>
        <w:gridCol w:w="2920"/>
        <w:gridCol w:w="400"/>
        <w:gridCol w:w="1300"/>
        <w:gridCol w:w="400"/>
        <w:gridCol w:w="1300"/>
        <w:gridCol w:w="400"/>
        <w:gridCol w:w="1300"/>
      </w:tblGrid>
      <w:tr w:rsidR="00D27BC7" w:rsidRPr="00C13F95" w:rsidTr="00D27BC7">
        <w:trPr>
          <w:trHeight w:val="300"/>
          <w:jc w:val="center"/>
        </w:trPr>
        <w:tc>
          <w:tcPr>
            <w:tcW w:w="292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b/>
                <w:bCs/>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color w:val="000000"/>
                <w:lang w:val="en-GB"/>
              </w:rPr>
            </w:pPr>
          </w:p>
        </w:tc>
        <w:tc>
          <w:tcPr>
            <w:tcW w:w="1300" w:type="dxa"/>
            <w:tcBorders>
              <w:top w:val="nil"/>
              <w:left w:val="nil"/>
              <w:right w:val="nil"/>
            </w:tcBorders>
            <w:shd w:val="clear" w:color="auto" w:fill="auto"/>
            <w:noWrap/>
            <w:vAlign w:val="bottom"/>
          </w:tcPr>
          <w:p w:rsidR="00D27BC7" w:rsidRPr="00C13F95" w:rsidRDefault="00D27BC7" w:rsidP="00D27BC7">
            <w:pPr>
              <w:jc w:val="center"/>
              <w:rPr>
                <w:rFonts w:ascii="Arial" w:hAnsi="Arial" w:cs="Arial"/>
                <w:b/>
                <w:bCs/>
                <w:color w:val="000000"/>
                <w:lang w:val="en-GB"/>
              </w:rPr>
            </w:pPr>
            <w:r w:rsidRPr="00C13F95">
              <w:rPr>
                <w:rFonts w:ascii="Arial" w:hAnsi="Arial" w:cs="Arial"/>
                <w:b/>
                <w:bCs/>
                <w:color w:val="000000"/>
                <w:lang w:val="en-GB"/>
              </w:rPr>
              <w:t>2014</w:t>
            </w:r>
          </w:p>
        </w:tc>
        <w:tc>
          <w:tcPr>
            <w:tcW w:w="400" w:type="dxa"/>
            <w:tcBorders>
              <w:top w:val="nil"/>
              <w:left w:val="nil"/>
              <w:bottom w:val="nil"/>
              <w:right w:val="nil"/>
            </w:tcBorders>
            <w:shd w:val="clear" w:color="auto" w:fill="auto"/>
            <w:noWrap/>
            <w:vAlign w:val="bottom"/>
          </w:tcPr>
          <w:p w:rsidR="00D27BC7" w:rsidRPr="00C13F95" w:rsidRDefault="00D27BC7" w:rsidP="00D27BC7">
            <w:pPr>
              <w:jc w:val="center"/>
              <w:rPr>
                <w:rFonts w:ascii="Arial" w:hAnsi="Arial" w:cs="Arial"/>
                <w:color w:val="000000"/>
                <w:lang w:val="en-GB"/>
              </w:rPr>
            </w:pPr>
          </w:p>
        </w:tc>
        <w:tc>
          <w:tcPr>
            <w:tcW w:w="1300" w:type="dxa"/>
            <w:tcBorders>
              <w:top w:val="nil"/>
              <w:left w:val="nil"/>
              <w:right w:val="nil"/>
            </w:tcBorders>
            <w:shd w:val="clear" w:color="auto" w:fill="auto"/>
            <w:noWrap/>
            <w:vAlign w:val="bottom"/>
          </w:tcPr>
          <w:p w:rsidR="00D27BC7" w:rsidRPr="00C13F95" w:rsidRDefault="00D27BC7" w:rsidP="00D27BC7">
            <w:pPr>
              <w:jc w:val="center"/>
              <w:rPr>
                <w:rFonts w:ascii="Arial" w:hAnsi="Arial" w:cs="Arial"/>
                <w:b/>
                <w:bCs/>
                <w:color w:val="000000"/>
                <w:lang w:val="en-GB"/>
              </w:rPr>
            </w:pPr>
            <w:r w:rsidRPr="00C13F95">
              <w:rPr>
                <w:rFonts w:ascii="Arial" w:hAnsi="Arial" w:cs="Arial"/>
                <w:b/>
                <w:bCs/>
                <w:color w:val="000000"/>
                <w:lang w:val="en-GB"/>
              </w:rPr>
              <w:t>2013</w:t>
            </w:r>
          </w:p>
        </w:tc>
        <w:tc>
          <w:tcPr>
            <w:tcW w:w="400" w:type="dxa"/>
            <w:tcBorders>
              <w:top w:val="nil"/>
              <w:left w:val="nil"/>
              <w:bottom w:val="nil"/>
              <w:right w:val="nil"/>
            </w:tcBorders>
            <w:shd w:val="clear" w:color="auto" w:fill="auto"/>
            <w:noWrap/>
            <w:vAlign w:val="bottom"/>
          </w:tcPr>
          <w:p w:rsidR="00D27BC7" w:rsidRPr="00C13F95" w:rsidRDefault="00D27BC7" w:rsidP="00D27BC7">
            <w:pPr>
              <w:jc w:val="center"/>
              <w:rPr>
                <w:rFonts w:ascii="Arial" w:hAnsi="Arial" w:cs="Arial"/>
                <w:color w:val="000000"/>
                <w:lang w:val="en-GB"/>
              </w:rPr>
            </w:pPr>
          </w:p>
        </w:tc>
        <w:tc>
          <w:tcPr>
            <w:tcW w:w="1300" w:type="dxa"/>
            <w:tcBorders>
              <w:top w:val="nil"/>
              <w:left w:val="nil"/>
              <w:right w:val="nil"/>
            </w:tcBorders>
            <w:shd w:val="clear" w:color="auto" w:fill="auto"/>
            <w:noWrap/>
            <w:vAlign w:val="bottom"/>
          </w:tcPr>
          <w:p w:rsidR="00D27BC7" w:rsidRPr="00C13F95" w:rsidRDefault="00D27BC7" w:rsidP="00D27BC7">
            <w:pPr>
              <w:jc w:val="center"/>
              <w:rPr>
                <w:rFonts w:ascii="Arial" w:hAnsi="Arial" w:cs="Arial"/>
                <w:b/>
                <w:bCs/>
                <w:color w:val="000000"/>
                <w:lang w:val="en-GB"/>
              </w:rPr>
            </w:pPr>
            <w:r w:rsidRPr="00C13F95">
              <w:rPr>
                <w:rFonts w:ascii="Arial" w:hAnsi="Arial" w:cs="Arial"/>
                <w:b/>
                <w:bCs/>
                <w:color w:val="000000"/>
                <w:lang w:val="en-GB"/>
              </w:rPr>
              <w:t>2012</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b/>
                <w:bCs/>
                <w:color w:val="000000"/>
                <w:lang w:val="en-GB"/>
              </w:rPr>
            </w:pPr>
            <w:r w:rsidRPr="00C13F95">
              <w:rPr>
                <w:rFonts w:ascii="Arial" w:hAnsi="Arial" w:cs="Arial"/>
                <w:b/>
                <w:bCs/>
                <w:color w:val="000000"/>
                <w:lang w:val="en-GB"/>
              </w:rPr>
              <w:t>LIQUIDITY</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r w:rsidRPr="00C13F95">
              <w:rPr>
                <w:rFonts w:ascii="Arial" w:hAnsi="Arial" w:cs="Arial"/>
                <w:color w:val="000000"/>
                <w:lang w:val="en-GB"/>
              </w:rPr>
              <w:t>Current ratio</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1.42:1.00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1.28:1.00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1.76:1.00</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r w:rsidRPr="00C13F95">
              <w:rPr>
                <w:rFonts w:ascii="Arial" w:hAnsi="Arial" w:cs="Arial"/>
                <w:color w:val="000000"/>
                <w:lang w:val="en-GB"/>
              </w:rPr>
              <w:t>Acid test</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1.31:1.00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1.18:1.00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1.67:1.00</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r w:rsidRPr="00C13F95">
              <w:rPr>
                <w:rFonts w:ascii="Arial" w:hAnsi="Arial" w:cs="Arial"/>
                <w:color w:val="000000"/>
                <w:lang w:val="en-GB"/>
              </w:rPr>
              <w:t>Working capital</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32,300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23,087</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right"/>
              <w:rPr>
                <w:rFonts w:ascii="Arial" w:hAnsi="Arial" w:cs="Arial"/>
                <w:color w:val="000000"/>
                <w:lang w:val="en-GB"/>
              </w:rPr>
            </w:pPr>
            <w:r w:rsidRPr="00C13F95">
              <w:rPr>
                <w:rFonts w:ascii="Arial" w:hAnsi="Arial" w:cs="Arial"/>
                <w:color w:val="000000"/>
                <w:lang w:val="en-GB"/>
              </w:rPr>
              <w:t>39,434</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b/>
                <w:bCs/>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tcPr>
          <w:p w:rsidR="00D27BC7" w:rsidRPr="00C13F95" w:rsidRDefault="00D27BC7" w:rsidP="00D27BC7">
            <w:pPr>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tcPr>
          <w:p w:rsidR="00D27BC7" w:rsidRPr="00C13F95" w:rsidRDefault="00D27BC7" w:rsidP="00D27BC7">
            <w:pPr>
              <w:jc w:val="right"/>
              <w:rPr>
                <w:rFonts w:ascii="Arial" w:hAnsi="Arial" w:cs="Arial"/>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jc w:val="right"/>
              <w:rPr>
                <w:rFonts w:ascii="Arial" w:hAnsi="Arial" w:cs="Arial"/>
                <w:color w:val="000000"/>
                <w:lang w:val="en-GB"/>
              </w:rPr>
            </w:pPr>
          </w:p>
        </w:tc>
        <w:tc>
          <w:tcPr>
            <w:tcW w:w="1300" w:type="dxa"/>
            <w:tcBorders>
              <w:top w:val="nil"/>
              <w:left w:val="nil"/>
              <w:bottom w:val="nil"/>
              <w:right w:val="nil"/>
            </w:tcBorders>
            <w:shd w:val="clear" w:color="auto" w:fill="auto"/>
            <w:noWrap/>
            <w:vAlign w:val="bottom"/>
          </w:tcPr>
          <w:p w:rsidR="00D27BC7" w:rsidRPr="00C13F95" w:rsidRDefault="00D27BC7" w:rsidP="00D27BC7">
            <w:pPr>
              <w:jc w:val="right"/>
              <w:rPr>
                <w:rFonts w:ascii="Arial" w:hAnsi="Arial" w:cs="Arial"/>
                <w:color w:val="000000"/>
                <w:lang w:val="en-GB"/>
              </w:rPr>
            </w:pP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b/>
                <w:bCs/>
                <w:color w:val="000000"/>
                <w:lang w:val="en-GB"/>
              </w:rPr>
            </w:pPr>
            <w:r w:rsidRPr="00C13F95">
              <w:rPr>
                <w:rFonts w:ascii="Arial" w:hAnsi="Arial" w:cs="Arial"/>
                <w:b/>
                <w:bCs/>
                <w:color w:val="000000"/>
                <w:lang w:val="en-GB"/>
              </w:rPr>
              <w:t>EFFICIENCY</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r w:rsidRPr="00C13F95">
              <w:rPr>
                <w:rFonts w:ascii="Arial" w:hAnsi="Arial" w:cs="Arial"/>
                <w:color w:val="000000"/>
                <w:lang w:val="en-GB"/>
              </w:rPr>
              <w:t>Age of accounts receivable</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32 days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33 days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30 days</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r w:rsidRPr="00C13F95">
              <w:rPr>
                <w:rFonts w:ascii="Arial" w:hAnsi="Arial" w:cs="Arial"/>
                <w:color w:val="000000"/>
                <w:lang w:val="en-GB"/>
              </w:rPr>
              <w:t>Age of inventory</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19 days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18 days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12 days</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r w:rsidRPr="00C13F95">
              <w:rPr>
                <w:rFonts w:ascii="Arial" w:hAnsi="Arial" w:cs="Arial"/>
                <w:color w:val="000000"/>
                <w:lang w:val="en-GB"/>
              </w:rPr>
              <w:t>Age of payables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60 days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67 days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40 days</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b/>
                <w:bCs/>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tcPr>
          <w:p w:rsidR="00D27BC7" w:rsidRPr="00C13F95" w:rsidRDefault="00D27BC7" w:rsidP="00D27BC7">
            <w:pPr>
              <w:jc w:val="center"/>
              <w:rPr>
                <w:rFonts w:ascii="Arial" w:hAnsi="Arial" w:cs="Arial"/>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tcPr>
          <w:p w:rsidR="00D27BC7" w:rsidRPr="00C13F95" w:rsidRDefault="00D27BC7" w:rsidP="00D27BC7">
            <w:pPr>
              <w:jc w:val="center"/>
              <w:rPr>
                <w:rFonts w:ascii="Arial" w:hAnsi="Arial" w:cs="Arial"/>
                <w:color w:val="000000"/>
                <w:lang w:val="en-GB"/>
              </w:rPr>
            </w:pPr>
          </w:p>
        </w:tc>
        <w:tc>
          <w:tcPr>
            <w:tcW w:w="400" w:type="dxa"/>
            <w:tcBorders>
              <w:top w:val="nil"/>
              <w:left w:val="nil"/>
              <w:bottom w:val="nil"/>
              <w:right w:val="nil"/>
            </w:tcBorders>
            <w:shd w:val="clear" w:color="auto" w:fill="auto"/>
            <w:noWrap/>
            <w:vAlign w:val="bottom"/>
          </w:tcPr>
          <w:p w:rsidR="00D27BC7" w:rsidRPr="00C13F95" w:rsidRDefault="00D27BC7" w:rsidP="00D27BC7">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tcPr>
          <w:p w:rsidR="00D27BC7" w:rsidRPr="00C13F95" w:rsidRDefault="00D27BC7" w:rsidP="00D27BC7">
            <w:pPr>
              <w:jc w:val="center"/>
              <w:rPr>
                <w:rFonts w:ascii="Arial" w:hAnsi="Arial" w:cs="Arial"/>
                <w:color w:val="000000"/>
                <w:lang w:val="en-GB"/>
              </w:rPr>
            </w:pP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b/>
                <w:bCs/>
                <w:color w:val="000000"/>
                <w:lang w:val="en-GB"/>
              </w:rPr>
            </w:pPr>
            <w:r w:rsidRPr="00C13F95">
              <w:rPr>
                <w:rFonts w:ascii="Arial" w:hAnsi="Arial" w:cs="Arial"/>
                <w:b/>
                <w:bCs/>
                <w:color w:val="000000"/>
                <w:lang w:val="en-GB"/>
              </w:rPr>
              <w:t>STABILITY</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r w:rsidRPr="00C13F95">
              <w:rPr>
                <w:rFonts w:ascii="Arial" w:hAnsi="Arial" w:cs="Arial"/>
                <w:color w:val="000000"/>
                <w:lang w:val="en-GB"/>
              </w:rPr>
              <w:t xml:space="preserve">Net worth to </w:t>
            </w:r>
            <w:r>
              <w:rPr>
                <w:rFonts w:ascii="Arial" w:hAnsi="Arial" w:cs="Arial"/>
                <w:color w:val="000000"/>
                <w:lang w:val="en-GB"/>
              </w:rPr>
              <w:t>t</w:t>
            </w:r>
            <w:r w:rsidRPr="00C13F95">
              <w:rPr>
                <w:rFonts w:ascii="Arial" w:hAnsi="Arial" w:cs="Arial"/>
                <w:color w:val="000000"/>
                <w:lang w:val="en-GB"/>
              </w:rPr>
              <w:t>otal assets</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44.0%</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36.5%</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38.1%</w:t>
            </w:r>
          </w:p>
        </w:tc>
      </w:tr>
      <w:tr w:rsidR="00D27BC7" w:rsidRPr="00C13F95" w:rsidTr="00D27BC7">
        <w:trPr>
          <w:trHeight w:val="300"/>
          <w:jc w:val="center"/>
        </w:trPr>
        <w:tc>
          <w:tcPr>
            <w:tcW w:w="292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r w:rsidRPr="00C13F95">
              <w:rPr>
                <w:rFonts w:ascii="Arial" w:hAnsi="Arial" w:cs="Arial"/>
                <w:color w:val="000000"/>
                <w:lang w:val="en-GB"/>
              </w:rPr>
              <w:t>Interest coverage</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300" w:type="dxa"/>
            <w:tcBorders>
              <w:top w:val="nil"/>
              <w:left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5.83 ×</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1300" w:type="dxa"/>
            <w:tcBorders>
              <w:top w:val="nil"/>
              <w:left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3.66 ×</w:t>
            </w:r>
          </w:p>
        </w:tc>
        <w:tc>
          <w:tcPr>
            <w:tcW w:w="4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p>
        </w:tc>
        <w:tc>
          <w:tcPr>
            <w:tcW w:w="130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9.07 ×</w:t>
            </w:r>
          </w:p>
        </w:tc>
      </w:tr>
    </w:tbl>
    <w:p w:rsidR="00D27BC7" w:rsidRPr="00C13F95" w:rsidRDefault="00D27BC7" w:rsidP="00D27BC7">
      <w:pPr>
        <w:rPr>
          <w:lang w:val="en-GB"/>
        </w:rPr>
      </w:pPr>
    </w:p>
    <w:tbl>
      <w:tblPr>
        <w:tblW w:w="7920" w:type="dxa"/>
        <w:jc w:val="center"/>
        <w:tblInd w:w="630" w:type="dxa"/>
        <w:tblLook w:val="04A0" w:firstRow="1" w:lastRow="0" w:firstColumn="1" w:lastColumn="0" w:noHBand="0" w:noVBand="1"/>
      </w:tblPr>
      <w:tblGrid>
        <w:gridCol w:w="3330"/>
        <w:gridCol w:w="450"/>
        <w:gridCol w:w="1710"/>
        <w:gridCol w:w="360"/>
        <w:gridCol w:w="1710"/>
        <w:gridCol w:w="360"/>
      </w:tblGrid>
      <w:tr w:rsidR="00D27BC7" w:rsidRPr="00C13F95" w:rsidTr="00D27BC7">
        <w:trPr>
          <w:trHeight w:val="320"/>
          <w:jc w:val="center"/>
        </w:trPr>
        <w:tc>
          <w:tcPr>
            <w:tcW w:w="333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b/>
                <w:bCs/>
                <w:color w:val="000000"/>
                <w:lang w:val="en-GB"/>
              </w:rPr>
            </w:pPr>
            <w:r w:rsidRPr="00C13F95">
              <w:rPr>
                <w:rFonts w:ascii="Arial" w:hAnsi="Arial" w:cs="Arial"/>
                <w:b/>
                <w:bCs/>
                <w:color w:val="000000"/>
                <w:lang w:val="en-GB"/>
              </w:rPr>
              <w:t>GROWTH</w:t>
            </w:r>
          </w:p>
        </w:tc>
        <w:tc>
          <w:tcPr>
            <w:tcW w:w="45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710" w:type="dxa"/>
            <w:tcBorders>
              <w:top w:val="nil"/>
              <w:left w:val="nil"/>
              <w:right w:val="nil"/>
            </w:tcBorders>
            <w:shd w:val="clear" w:color="auto" w:fill="auto"/>
            <w:noWrap/>
            <w:vAlign w:val="bottom"/>
            <w:hideMark/>
          </w:tcPr>
          <w:p w:rsidR="00D27BC7" w:rsidRPr="00C13F95" w:rsidRDefault="00D27BC7" w:rsidP="00D27BC7">
            <w:pPr>
              <w:jc w:val="center"/>
              <w:rPr>
                <w:rFonts w:ascii="Arial" w:hAnsi="Arial" w:cs="Arial"/>
                <w:b/>
                <w:bCs/>
                <w:color w:val="000000"/>
                <w:lang w:val="en-GB"/>
              </w:rPr>
            </w:pPr>
            <w:r w:rsidRPr="00C13F95">
              <w:rPr>
                <w:rFonts w:ascii="Arial" w:hAnsi="Arial" w:cs="Arial"/>
                <w:b/>
                <w:bCs/>
                <w:color w:val="000000"/>
                <w:lang w:val="en-GB"/>
              </w:rPr>
              <w:t>2013–2014</w:t>
            </w:r>
          </w:p>
        </w:tc>
        <w:tc>
          <w:tcPr>
            <w:tcW w:w="36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710" w:type="dxa"/>
            <w:tcBorders>
              <w:top w:val="nil"/>
              <w:left w:val="nil"/>
              <w:right w:val="nil"/>
            </w:tcBorders>
            <w:shd w:val="clear" w:color="auto" w:fill="auto"/>
            <w:noWrap/>
            <w:vAlign w:val="bottom"/>
            <w:hideMark/>
          </w:tcPr>
          <w:p w:rsidR="00D27BC7" w:rsidRPr="00C13F95" w:rsidRDefault="00D27BC7" w:rsidP="00D27BC7">
            <w:pPr>
              <w:jc w:val="center"/>
              <w:rPr>
                <w:rFonts w:ascii="Arial" w:hAnsi="Arial" w:cs="Arial"/>
                <w:b/>
                <w:bCs/>
                <w:color w:val="000000"/>
                <w:lang w:val="en-GB"/>
              </w:rPr>
            </w:pPr>
            <w:r w:rsidRPr="00C13F95">
              <w:rPr>
                <w:rFonts w:ascii="Arial" w:hAnsi="Arial" w:cs="Arial"/>
                <w:b/>
                <w:bCs/>
                <w:color w:val="000000"/>
                <w:lang w:val="en-GB"/>
              </w:rPr>
              <w:t>2012–2013</w:t>
            </w:r>
          </w:p>
        </w:tc>
        <w:tc>
          <w:tcPr>
            <w:tcW w:w="36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r>
      <w:tr w:rsidR="00D27BC7" w:rsidRPr="00C13F95" w:rsidTr="00D27BC7">
        <w:trPr>
          <w:trHeight w:val="300"/>
          <w:jc w:val="center"/>
        </w:trPr>
        <w:tc>
          <w:tcPr>
            <w:tcW w:w="333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r w:rsidRPr="00C13F95">
              <w:rPr>
                <w:rFonts w:ascii="Arial" w:hAnsi="Arial" w:cs="Arial"/>
                <w:color w:val="000000"/>
                <w:lang w:val="en-GB"/>
              </w:rPr>
              <w:t>Sales</w:t>
            </w:r>
          </w:p>
        </w:tc>
        <w:tc>
          <w:tcPr>
            <w:tcW w:w="45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710" w:type="dxa"/>
            <w:tcBorders>
              <w:left w:val="nil"/>
              <w:bottom w:val="nil"/>
              <w:right w:val="nil"/>
            </w:tcBorders>
            <w:shd w:val="clear" w:color="auto" w:fill="auto"/>
            <w:noWrap/>
            <w:vAlign w:val="bottom"/>
            <w:hideMark/>
          </w:tcPr>
          <w:p w:rsidR="00D27BC7" w:rsidRPr="00C13F95" w:rsidRDefault="00B334AD" w:rsidP="00D27BC7">
            <w:pPr>
              <w:jc w:val="center"/>
              <w:rPr>
                <w:rFonts w:ascii="Arial" w:hAnsi="Arial" w:cs="Arial"/>
                <w:color w:val="000000"/>
                <w:lang w:val="en-GB"/>
              </w:rPr>
            </w:pPr>
            <w:r>
              <w:rPr>
                <w:rFonts w:ascii="Arial" w:hAnsi="Arial" w:cs="Arial"/>
                <w:color w:val="000000"/>
                <w:lang w:val="en-GB"/>
              </w:rPr>
              <w:t xml:space="preserve">  </w:t>
            </w:r>
            <w:r w:rsidR="00D27BC7" w:rsidRPr="00C13F95">
              <w:rPr>
                <w:rFonts w:ascii="Arial" w:hAnsi="Arial" w:cs="Arial"/>
                <w:color w:val="000000"/>
                <w:lang w:val="en-GB"/>
              </w:rPr>
              <w:t>5.0%</w:t>
            </w:r>
          </w:p>
        </w:tc>
        <w:tc>
          <w:tcPr>
            <w:tcW w:w="36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710" w:type="dxa"/>
            <w:tcBorders>
              <w:left w:val="nil"/>
              <w:bottom w:val="nil"/>
              <w:right w:val="nil"/>
            </w:tcBorders>
            <w:shd w:val="clear" w:color="auto" w:fill="auto"/>
            <w:noWrap/>
            <w:vAlign w:val="bottom"/>
            <w:hideMark/>
          </w:tcPr>
          <w:p w:rsidR="00D27BC7" w:rsidRPr="00C13F95" w:rsidRDefault="00B334AD" w:rsidP="00D27BC7">
            <w:pPr>
              <w:jc w:val="center"/>
              <w:rPr>
                <w:rFonts w:ascii="Arial" w:hAnsi="Arial" w:cs="Arial"/>
                <w:color w:val="000000"/>
                <w:lang w:val="en-GB"/>
              </w:rPr>
            </w:pPr>
            <w:r>
              <w:rPr>
                <w:rFonts w:ascii="Arial" w:hAnsi="Arial" w:cs="Arial"/>
                <w:color w:val="000000"/>
                <w:lang w:val="en-GB"/>
              </w:rPr>
              <w:t xml:space="preserve">   </w:t>
            </w:r>
            <w:r w:rsidR="00D27BC7" w:rsidRPr="00C13F95">
              <w:rPr>
                <w:rFonts w:ascii="Arial" w:hAnsi="Arial" w:cs="Arial"/>
                <w:color w:val="000000"/>
                <w:lang w:val="en-GB"/>
              </w:rPr>
              <w:t>4.0%</w:t>
            </w:r>
          </w:p>
        </w:tc>
        <w:tc>
          <w:tcPr>
            <w:tcW w:w="36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r>
      <w:tr w:rsidR="00D27BC7" w:rsidRPr="00C13F95" w:rsidTr="00D27BC7">
        <w:trPr>
          <w:trHeight w:val="300"/>
          <w:jc w:val="center"/>
        </w:trPr>
        <w:tc>
          <w:tcPr>
            <w:tcW w:w="333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r w:rsidRPr="00C13F95">
              <w:rPr>
                <w:rFonts w:ascii="Arial" w:hAnsi="Arial" w:cs="Arial"/>
                <w:color w:val="000000"/>
                <w:lang w:val="en-GB"/>
              </w:rPr>
              <w:t>Net income</w:t>
            </w:r>
          </w:p>
        </w:tc>
        <w:tc>
          <w:tcPr>
            <w:tcW w:w="45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71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49.2%</w:t>
            </w:r>
          </w:p>
        </w:tc>
        <w:tc>
          <w:tcPr>
            <w:tcW w:w="36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71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−51.2%</w:t>
            </w:r>
          </w:p>
        </w:tc>
        <w:tc>
          <w:tcPr>
            <w:tcW w:w="36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r>
      <w:tr w:rsidR="00D27BC7" w:rsidRPr="00C13F95" w:rsidTr="00D27BC7">
        <w:trPr>
          <w:trHeight w:val="300"/>
          <w:jc w:val="center"/>
        </w:trPr>
        <w:tc>
          <w:tcPr>
            <w:tcW w:w="333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r w:rsidRPr="00C13F95">
              <w:rPr>
                <w:rFonts w:ascii="Arial" w:hAnsi="Arial" w:cs="Arial"/>
                <w:color w:val="000000"/>
                <w:lang w:val="en-GB"/>
              </w:rPr>
              <w:t>Total assets</w:t>
            </w:r>
          </w:p>
        </w:tc>
        <w:tc>
          <w:tcPr>
            <w:tcW w:w="45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71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−6.6%</w:t>
            </w:r>
          </w:p>
        </w:tc>
        <w:tc>
          <w:tcPr>
            <w:tcW w:w="36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710" w:type="dxa"/>
            <w:tcBorders>
              <w:top w:val="nil"/>
              <w:left w:val="nil"/>
              <w:bottom w:val="nil"/>
              <w:right w:val="nil"/>
            </w:tcBorders>
            <w:shd w:val="clear" w:color="auto" w:fill="auto"/>
            <w:noWrap/>
            <w:vAlign w:val="bottom"/>
            <w:hideMark/>
          </w:tcPr>
          <w:p w:rsidR="00D27BC7" w:rsidRPr="00C13F95" w:rsidRDefault="00034043" w:rsidP="00D27BC7">
            <w:pPr>
              <w:jc w:val="center"/>
              <w:rPr>
                <w:rFonts w:ascii="Arial" w:hAnsi="Arial" w:cs="Arial"/>
                <w:color w:val="000000"/>
                <w:lang w:val="en-GB"/>
              </w:rPr>
            </w:pPr>
            <w:r>
              <w:rPr>
                <w:rFonts w:ascii="Arial" w:hAnsi="Arial" w:cs="Arial"/>
                <w:color w:val="000000"/>
                <w:lang w:val="en-GB"/>
              </w:rPr>
              <w:t xml:space="preserve"> </w:t>
            </w:r>
            <w:r w:rsidR="00D27BC7" w:rsidRPr="00C13F95">
              <w:rPr>
                <w:rFonts w:ascii="Arial" w:hAnsi="Arial" w:cs="Arial"/>
                <w:color w:val="000000"/>
                <w:lang w:val="en-GB"/>
              </w:rPr>
              <w:t>12.0%</w:t>
            </w:r>
          </w:p>
        </w:tc>
        <w:tc>
          <w:tcPr>
            <w:tcW w:w="36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r>
      <w:tr w:rsidR="00D27BC7" w:rsidRPr="00C13F95" w:rsidTr="00D27BC7">
        <w:trPr>
          <w:trHeight w:val="300"/>
          <w:jc w:val="center"/>
        </w:trPr>
        <w:tc>
          <w:tcPr>
            <w:tcW w:w="333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r w:rsidRPr="00C13F95">
              <w:rPr>
                <w:rFonts w:ascii="Arial" w:hAnsi="Arial" w:cs="Arial"/>
                <w:color w:val="000000"/>
                <w:lang w:val="en-GB"/>
              </w:rPr>
              <w:t>Equity</w:t>
            </w:r>
          </w:p>
        </w:tc>
        <w:tc>
          <w:tcPr>
            <w:tcW w:w="45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710" w:type="dxa"/>
            <w:tcBorders>
              <w:top w:val="nil"/>
              <w:left w:val="nil"/>
              <w:bottom w:val="nil"/>
              <w:right w:val="nil"/>
            </w:tcBorders>
            <w:shd w:val="clear" w:color="auto" w:fill="auto"/>
            <w:noWrap/>
            <w:vAlign w:val="bottom"/>
            <w:hideMark/>
          </w:tcPr>
          <w:p w:rsidR="00D27BC7" w:rsidRPr="00C13F95" w:rsidRDefault="00D27BC7" w:rsidP="00D27BC7">
            <w:pPr>
              <w:jc w:val="center"/>
              <w:rPr>
                <w:rFonts w:ascii="Arial" w:hAnsi="Arial" w:cs="Arial"/>
                <w:color w:val="000000"/>
                <w:lang w:val="en-GB"/>
              </w:rPr>
            </w:pPr>
            <w:r w:rsidRPr="00C13F95">
              <w:rPr>
                <w:rFonts w:ascii="Arial" w:hAnsi="Arial" w:cs="Arial"/>
                <w:color w:val="000000"/>
                <w:lang w:val="en-GB"/>
              </w:rPr>
              <w:t>12.5%</w:t>
            </w:r>
          </w:p>
        </w:tc>
        <w:tc>
          <w:tcPr>
            <w:tcW w:w="36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c>
          <w:tcPr>
            <w:tcW w:w="1710" w:type="dxa"/>
            <w:tcBorders>
              <w:top w:val="nil"/>
              <w:left w:val="nil"/>
              <w:bottom w:val="nil"/>
              <w:right w:val="nil"/>
            </w:tcBorders>
            <w:shd w:val="clear" w:color="auto" w:fill="auto"/>
            <w:noWrap/>
            <w:vAlign w:val="bottom"/>
            <w:hideMark/>
          </w:tcPr>
          <w:p w:rsidR="00D27BC7" w:rsidRPr="00C13F95" w:rsidRDefault="00B334AD" w:rsidP="00D27BC7">
            <w:pPr>
              <w:jc w:val="center"/>
              <w:rPr>
                <w:rFonts w:ascii="Arial" w:hAnsi="Arial" w:cs="Arial"/>
                <w:color w:val="000000"/>
                <w:lang w:val="en-GB"/>
              </w:rPr>
            </w:pPr>
            <w:r>
              <w:rPr>
                <w:rFonts w:ascii="Arial" w:hAnsi="Arial" w:cs="Arial"/>
                <w:color w:val="000000"/>
                <w:lang w:val="en-GB"/>
              </w:rPr>
              <w:t xml:space="preserve">   </w:t>
            </w:r>
            <w:r w:rsidR="00D27BC7" w:rsidRPr="00C13F95">
              <w:rPr>
                <w:rFonts w:ascii="Arial" w:hAnsi="Arial" w:cs="Arial"/>
                <w:color w:val="000000"/>
                <w:lang w:val="en-GB"/>
              </w:rPr>
              <w:t>7.2%</w:t>
            </w:r>
          </w:p>
        </w:tc>
        <w:tc>
          <w:tcPr>
            <w:tcW w:w="360" w:type="dxa"/>
            <w:tcBorders>
              <w:top w:val="nil"/>
              <w:left w:val="nil"/>
              <w:bottom w:val="nil"/>
              <w:right w:val="nil"/>
            </w:tcBorders>
            <w:shd w:val="clear" w:color="auto" w:fill="auto"/>
            <w:noWrap/>
            <w:vAlign w:val="bottom"/>
            <w:hideMark/>
          </w:tcPr>
          <w:p w:rsidR="00D27BC7" w:rsidRPr="00C13F95" w:rsidRDefault="00D27BC7" w:rsidP="00D27BC7">
            <w:pPr>
              <w:rPr>
                <w:rFonts w:ascii="Arial" w:hAnsi="Arial" w:cs="Arial"/>
                <w:color w:val="000000"/>
                <w:lang w:val="en-GB"/>
              </w:rPr>
            </w:pPr>
          </w:p>
        </w:tc>
      </w:tr>
    </w:tbl>
    <w:p w:rsidR="00D27BC7" w:rsidRPr="00C2669C" w:rsidRDefault="00D27BC7" w:rsidP="00D27BC7">
      <w:pPr>
        <w:pStyle w:val="FootnoteText1"/>
        <w:rPr>
          <w:rFonts w:eastAsia="MS Mincho"/>
          <w:lang w:val="en-GB"/>
        </w:rPr>
      </w:pPr>
    </w:p>
    <w:p w:rsidR="00D27BC7" w:rsidRPr="00C2669C" w:rsidRDefault="00D27BC7" w:rsidP="00D27BC7">
      <w:pPr>
        <w:pStyle w:val="FootnoteText1"/>
        <w:rPr>
          <w:rFonts w:eastAsia="MS Mincho"/>
          <w:lang w:val="en-GB"/>
        </w:rPr>
      </w:pPr>
      <w:r w:rsidRPr="00C2669C">
        <w:rPr>
          <w:rFonts w:eastAsia="MS Mincho"/>
          <w:lang w:val="en-GB"/>
        </w:rPr>
        <w:t>Source: Company files.</w:t>
      </w:r>
    </w:p>
    <w:p w:rsidR="00D27BC7" w:rsidRPr="00C13F95" w:rsidRDefault="00D27BC7" w:rsidP="00D27BC7">
      <w:pPr>
        <w:pStyle w:val="BodyTextMain"/>
        <w:rPr>
          <w:lang w:val="en-GB"/>
        </w:rPr>
      </w:pPr>
    </w:p>
    <w:p w:rsidR="00D27BC7" w:rsidRPr="00C13F95" w:rsidRDefault="00D27BC7" w:rsidP="00D27BC7">
      <w:pPr>
        <w:pStyle w:val="BodyTextMain"/>
        <w:rPr>
          <w:lang w:val="en-GB"/>
        </w:rPr>
      </w:pPr>
    </w:p>
    <w:p w:rsidR="00465348" w:rsidRPr="009C2666" w:rsidRDefault="00465348" w:rsidP="00D27BC7">
      <w:pPr>
        <w:pStyle w:val="BodyTextMain"/>
      </w:pPr>
    </w:p>
    <w:sectPr w:rsidR="00465348" w:rsidRPr="009C2666"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65B" w:rsidRDefault="00A6365B" w:rsidP="00D75295">
      <w:r>
        <w:separator/>
      </w:r>
    </w:p>
  </w:endnote>
  <w:endnote w:type="continuationSeparator" w:id="0">
    <w:p w:rsidR="00A6365B" w:rsidRDefault="00A6365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65B" w:rsidRDefault="00A6365B" w:rsidP="00D75295">
      <w:r>
        <w:separator/>
      </w:r>
    </w:p>
  </w:footnote>
  <w:footnote w:type="continuationSeparator" w:id="0">
    <w:p w:rsidR="00A6365B" w:rsidRDefault="00A6365B" w:rsidP="00D75295">
      <w:r>
        <w:continuationSeparator/>
      </w:r>
    </w:p>
  </w:footnote>
  <w:footnote w:id="1">
    <w:p w:rsidR="00A6365B" w:rsidRPr="001A15A2" w:rsidRDefault="00A6365B" w:rsidP="00D27BC7">
      <w:pPr>
        <w:pStyle w:val="FootnoteText1"/>
      </w:pPr>
      <w:r w:rsidRPr="00B26E5C">
        <w:rPr>
          <w:rStyle w:val="FootnoteReference"/>
        </w:rPr>
        <w:footnoteRef/>
      </w:r>
      <w:r w:rsidRPr="002B288C">
        <w:t xml:space="preserve"> </w:t>
      </w:r>
      <w:r w:rsidRPr="00F62D6F">
        <w:t xml:space="preserve">Agriculture and </w:t>
      </w:r>
      <w:proofErr w:type="spellStart"/>
      <w:r w:rsidRPr="00F62D6F">
        <w:t>Agri</w:t>
      </w:r>
      <w:proofErr w:type="spellEnd"/>
      <w:r w:rsidRPr="00F62D6F">
        <w:t>-Food Canada, “Consumer Trends: Bakery Products in Canada</w:t>
      </w:r>
      <w:r>
        <w:t>, January 2013,</w:t>
      </w:r>
      <w:r w:rsidRPr="00F62D6F">
        <w:t xml:space="preserve">” Government of Canada, </w:t>
      </w:r>
      <w:r>
        <w:t>April 2, 2014</w:t>
      </w:r>
      <w:r w:rsidRPr="00F62D6F">
        <w:t xml:space="preserve">, accessed August 6, 2015, </w:t>
      </w:r>
      <w:r w:rsidRPr="005F6C36">
        <w:t>www.agr.gc.ca/eng/industry-markets-and-trade/statistics-and-market-information/by-region/canada/consumer-trends-bakery-products-in-canada/?id=1410083148462</w:t>
      </w:r>
      <w:r>
        <w:t>.</w:t>
      </w:r>
    </w:p>
  </w:footnote>
  <w:footnote w:id="2">
    <w:p w:rsidR="00A6365B" w:rsidRPr="00265732" w:rsidRDefault="00A6365B" w:rsidP="00D27BC7">
      <w:pPr>
        <w:pStyle w:val="FootnoteText1"/>
      </w:pPr>
      <w:r w:rsidRPr="00265732">
        <w:rPr>
          <w:rStyle w:val="FootnoteReference"/>
        </w:rPr>
        <w:footnoteRef/>
      </w:r>
      <w:r w:rsidRPr="00B26E5C">
        <w:rPr>
          <w:vertAlign w:val="superscript"/>
        </w:rPr>
        <w:t xml:space="preserve"> </w:t>
      </w:r>
      <w:r w:rsidRPr="00B26E5C">
        <w:t xml:space="preserve">All currency amounts are in </w:t>
      </w:r>
      <w:r>
        <w:t>Canadian dollars</w:t>
      </w:r>
      <w:r w:rsidRPr="00B26E5C">
        <w:t xml:space="preserve"> unless specified otherwise.</w:t>
      </w:r>
    </w:p>
  </w:footnote>
  <w:footnote w:id="3">
    <w:p w:rsidR="00A6365B" w:rsidRPr="001A15A2" w:rsidRDefault="00A6365B" w:rsidP="00D27BC7">
      <w:pPr>
        <w:pStyle w:val="FootnoteText1"/>
      </w:pPr>
      <w:r w:rsidRPr="00000F56">
        <w:rPr>
          <w:rStyle w:val="FootnoteReference"/>
        </w:rPr>
        <w:footnoteRef/>
      </w:r>
      <w:r w:rsidRPr="00B26E5C">
        <w:rPr>
          <w:vertAlign w:val="superscript"/>
        </w:rPr>
        <w:t xml:space="preserve"> </w:t>
      </w:r>
      <w:r w:rsidRPr="001A15A2">
        <w:t xml:space="preserve">London Economic Development Corporation, </w:t>
      </w:r>
      <w:r w:rsidRPr="00B26E5C">
        <w:rPr>
          <w:i/>
        </w:rPr>
        <w:t>Concierge: Your-Self Serve Guide to London, Canada</w:t>
      </w:r>
      <w:r w:rsidRPr="001A15A2">
        <w:t xml:space="preserve">, </w:t>
      </w:r>
      <w:r>
        <w:t xml:space="preserve">Slide Presentation, </w:t>
      </w:r>
      <w:r w:rsidRPr="001A15A2">
        <w:t xml:space="preserve">accessed May 8, 2016, </w:t>
      </w:r>
      <w:r w:rsidRPr="00CB3489">
        <w:t>www.ledc.com/assets/pdf/slide-decks/LEDC_Concierge_09-07-2016.pdf</w:t>
      </w:r>
      <w:r w:rsidRPr="001A15A2">
        <w:t xml:space="preserve">; “Food Processing,” London Economic Development Corporation, accessed August 4, 2015, </w:t>
      </w:r>
      <w:r w:rsidRPr="005F6C36">
        <w:t>www.ledc.com/food-processing</w:t>
      </w:r>
      <w:r>
        <w:t>.</w:t>
      </w:r>
    </w:p>
  </w:footnote>
  <w:footnote w:id="4">
    <w:p w:rsidR="00A6365B" w:rsidRPr="001A15A2" w:rsidRDefault="00A6365B" w:rsidP="00D27BC7">
      <w:pPr>
        <w:pStyle w:val="FootnoteText1"/>
      </w:pPr>
      <w:r w:rsidRPr="00000F56">
        <w:rPr>
          <w:rStyle w:val="FootnoteReference"/>
        </w:rPr>
        <w:footnoteRef/>
      </w:r>
      <w:r w:rsidRPr="00B26E5C">
        <w:rPr>
          <w:vertAlign w:val="superscript"/>
        </w:rPr>
        <w:t xml:space="preserve"> </w:t>
      </w:r>
      <w:r w:rsidRPr="001A15A2">
        <w:t xml:space="preserve">Some of the information in this section was obtained and adapted from Trina </w:t>
      </w:r>
      <w:proofErr w:type="spellStart"/>
      <w:r w:rsidRPr="001A15A2">
        <w:t>Ruthes</w:t>
      </w:r>
      <w:proofErr w:type="spellEnd"/>
      <w:r>
        <w:t>,</w:t>
      </w:r>
      <w:r w:rsidRPr="001A15A2">
        <w:t xml:space="preserve"> </w:t>
      </w:r>
      <w:r w:rsidRPr="00A6365B">
        <w:rPr>
          <w:i/>
        </w:rPr>
        <w:t>The Italian Bakery: The Sweet Decision</w:t>
      </w:r>
      <w:r>
        <w:t>,</w:t>
      </w:r>
      <w:r w:rsidRPr="001A15A2">
        <w:t xml:space="preserve"> </w:t>
      </w:r>
      <w:r>
        <w:t>B</w:t>
      </w:r>
      <w:r w:rsidRPr="001A15A2">
        <w:t xml:space="preserve">usiness </w:t>
      </w:r>
      <w:r>
        <w:t>C</w:t>
      </w:r>
      <w:r w:rsidRPr="001A15A2">
        <w:t>ase</w:t>
      </w:r>
      <w:r>
        <w:t xml:space="preserve"> (London, ON: Ivey Publishing, 2016). </w:t>
      </w:r>
      <w:proofErr w:type="gramStart"/>
      <w:r>
        <w:t>Available from Ivey Publishing, product no. 9B16N013.</w:t>
      </w:r>
      <w:proofErr w:type="gramEnd"/>
    </w:p>
  </w:footnote>
  <w:footnote w:id="5">
    <w:p w:rsidR="00A6365B" w:rsidRPr="004B2DB5" w:rsidRDefault="00A6365B" w:rsidP="00D27BC7">
      <w:pPr>
        <w:pStyle w:val="FootnoteText1"/>
      </w:pPr>
      <w:r w:rsidRPr="00D922E6">
        <w:rPr>
          <w:rStyle w:val="FootnoteReference"/>
        </w:rPr>
        <w:footnoteRef/>
      </w:r>
      <w:r w:rsidRPr="00D922E6">
        <w:t xml:space="preserve"> </w:t>
      </w:r>
      <w:r>
        <w:t>A proofer (or dough retarder) wa</w:t>
      </w:r>
      <w:r w:rsidRPr="004B2DB5">
        <w:t>s a refrigerator used to control yeast fermentation.</w:t>
      </w:r>
    </w:p>
  </w:footnote>
  <w:footnote w:id="6">
    <w:p w:rsidR="00A6365B" w:rsidRPr="004B2DB5" w:rsidRDefault="00A6365B" w:rsidP="00D27BC7">
      <w:pPr>
        <w:pStyle w:val="FootnoteText1"/>
      </w:pPr>
      <w:r w:rsidRPr="00B26E5C">
        <w:rPr>
          <w:rStyle w:val="FootnoteReference"/>
        </w:rPr>
        <w:footnoteRef/>
      </w:r>
      <w:r w:rsidRPr="002B288C">
        <w:t xml:space="preserve"> </w:t>
      </w:r>
      <w:r w:rsidRPr="004B2DB5">
        <w:t>The Bakery had switched suppliers in 2013 due to easier access to better ingredients.</w:t>
      </w:r>
    </w:p>
  </w:footnote>
  <w:footnote w:id="7">
    <w:p w:rsidR="00A6365B" w:rsidRPr="004B2DB5" w:rsidRDefault="00A6365B" w:rsidP="00D27BC7">
      <w:pPr>
        <w:pStyle w:val="FootnoteText1"/>
      </w:pPr>
      <w:r w:rsidRPr="00B26E5C">
        <w:rPr>
          <w:rStyle w:val="FootnoteReference"/>
        </w:rPr>
        <w:footnoteRef/>
      </w:r>
      <w:r w:rsidRPr="004B2DB5">
        <w:t xml:space="preserve"> As of June 1, 2014, minimum wage in Ontario was $11.00 per hour.</w:t>
      </w:r>
      <w:r>
        <w:t xml:space="preserve"> Wage rates included all employee benefits.</w:t>
      </w:r>
    </w:p>
  </w:footnote>
  <w:footnote w:id="8">
    <w:p w:rsidR="00A6365B" w:rsidRPr="001A15A2" w:rsidRDefault="00A6365B" w:rsidP="00D27BC7">
      <w:pPr>
        <w:pStyle w:val="FootnoteText1"/>
      </w:pPr>
      <w:r w:rsidRPr="00B26E5C">
        <w:rPr>
          <w:rStyle w:val="FootnoteReference"/>
        </w:rPr>
        <w:footnoteRef/>
      </w:r>
      <w:r w:rsidRPr="008F2769">
        <w:t xml:space="preserve"> </w:t>
      </w:r>
      <w:proofErr w:type="gramStart"/>
      <w:r w:rsidRPr="001A15A2">
        <w:t xml:space="preserve">Agriculture and </w:t>
      </w:r>
      <w:proofErr w:type="spellStart"/>
      <w:r w:rsidRPr="001A15A2">
        <w:t>Agri</w:t>
      </w:r>
      <w:proofErr w:type="spellEnd"/>
      <w:r w:rsidRPr="001A15A2">
        <w:t xml:space="preserve">-Food Canada, </w:t>
      </w:r>
      <w:r>
        <w:t>op. cit.</w:t>
      </w:r>
      <w:proofErr w:type="gramEnd"/>
      <w:r w:rsidRPr="001A15A2">
        <w:t xml:space="preserve"> </w:t>
      </w:r>
    </w:p>
  </w:footnote>
  <w:footnote w:id="9">
    <w:p w:rsidR="00A6365B" w:rsidRPr="001A15A2" w:rsidRDefault="00A6365B" w:rsidP="00D27BC7">
      <w:pPr>
        <w:pStyle w:val="FootnoteText1"/>
      </w:pPr>
      <w:r w:rsidRPr="00B26E5C">
        <w:rPr>
          <w:rStyle w:val="FootnoteReference"/>
        </w:rPr>
        <w:footnoteRef/>
      </w:r>
      <w:r w:rsidRPr="008F2769">
        <w:t xml:space="preserve"> </w:t>
      </w:r>
      <w:r w:rsidRPr="001A15A2">
        <w:t xml:space="preserve">George Weston Limited, </w:t>
      </w:r>
      <w:r w:rsidRPr="00B26E5C">
        <w:rPr>
          <w:i/>
        </w:rPr>
        <w:t>2014 Annual Report</w:t>
      </w:r>
      <w:r w:rsidRPr="001A15A2">
        <w:t xml:space="preserve">, </w:t>
      </w:r>
      <w:r>
        <w:t xml:space="preserve">2015, </w:t>
      </w:r>
      <w:r w:rsidRPr="001A15A2">
        <w:t xml:space="preserve">accessed June 30, 2016, </w:t>
      </w:r>
      <w:r w:rsidRPr="005F6C36">
        <w:t>www.weston.ca/en/pdf_en/gwl_2014ar_en.pdf</w:t>
      </w:r>
      <w:r w:rsidRPr="001A15A2">
        <w:t>;</w:t>
      </w:r>
      <w:r>
        <w:t xml:space="preserve"> </w:t>
      </w:r>
      <w:r w:rsidRPr="001A15A2">
        <w:t>Weston Foods</w:t>
      </w:r>
      <w:r>
        <w:t>,</w:t>
      </w:r>
      <w:r w:rsidRPr="001A15A2">
        <w:t xml:space="preserve"> accessed June 30, 2016</w:t>
      </w:r>
      <w:r>
        <w:t>,</w:t>
      </w:r>
      <w:r w:rsidRPr="001A15A2">
        <w:t xml:space="preserve"> </w:t>
      </w:r>
      <w:r w:rsidRPr="005F6C36">
        <w:t>www.westonfoods.ca</w:t>
      </w:r>
      <w:r>
        <w:t>.</w:t>
      </w:r>
    </w:p>
  </w:footnote>
  <w:footnote w:id="10">
    <w:p w:rsidR="00A6365B" w:rsidRPr="008C5059" w:rsidRDefault="00A6365B" w:rsidP="00D27BC7">
      <w:pPr>
        <w:pStyle w:val="FootnoteText1"/>
      </w:pPr>
      <w:r w:rsidRPr="001A15A2">
        <w:rPr>
          <w:rStyle w:val="FootnoteReference"/>
        </w:rPr>
        <w:footnoteRef/>
      </w:r>
      <w:r w:rsidRPr="008C5059">
        <w:t xml:space="preserve"> The prime interest rate was </w:t>
      </w:r>
      <w:r>
        <w:t>3</w:t>
      </w:r>
      <w:r w:rsidRPr="008C5059">
        <w:t xml:space="preserve"> per cent.</w:t>
      </w:r>
    </w:p>
  </w:footnote>
  <w:footnote w:id="11">
    <w:p w:rsidR="00A6365B" w:rsidRPr="008C5059" w:rsidRDefault="00A6365B" w:rsidP="00D27BC7">
      <w:pPr>
        <w:pStyle w:val="FootnoteText1"/>
        <w:rPr>
          <w:lang w:val="en-CA"/>
        </w:rPr>
      </w:pPr>
      <w:r w:rsidRPr="001A15A2">
        <w:rPr>
          <w:rStyle w:val="FootnoteReference"/>
        </w:rPr>
        <w:footnoteRef/>
      </w:r>
      <w:r w:rsidRPr="008C5059">
        <w:t xml:space="preserve"> Gluten-free diet</w:t>
      </w:r>
      <w:r>
        <w:t>s</w:t>
      </w:r>
      <w:r w:rsidRPr="008C5059">
        <w:t xml:space="preserve"> excluded </w:t>
      </w:r>
      <w:r>
        <w:t xml:space="preserve">the </w:t>
      </w:r>
      <w:r w:rsidRPr="008C5059">
        <w:t>gluten normally found in grains such as wheat, barley, and rye. This diet was used to treat individuals with celiac disease</w:t>
      </w:r>
      <w:r>
        <w:t>, which</w:t>
      </w:r>
      <w:r w:rsidRPr="008C5059">
        <w:t xml:space="preserve"> causes difficulty digesting food</w:t>
      </w:r>
      <w:r>
        <w:t>s</w:t>
      </w:r>
      <w:r w:rsidRPr="008C5059">
        <w:t xml:space="preserve"> </w:t>
      </w:r>
      <w:r>
        <w:t>that</w:t>
      </w:r>
      <w:r w:rsidRPr="008C5059">
        <w:t xml:space="preserve"> contain gluten. </w:t>
      </w:r>
    </w:p>
  </w:footnote>
  <w:footnote w:id="12">
    <w:p w:rsidR="00A6365B" w:rsidRPr="004172ED" w:rsidRDefault="00A6365B" w:rsidP="00D27BC7">
      <w:pPr>
        <w:pStyle w:val="FootnoteText1"/>
        <w:rPr>
          <w:lang w:val="en-CA"/>
        </w:rPr>
      </w:pPr>
      <w:r w:rsidRPr="001A15A2">
        <w:rPr>
          <w:rStyle w:val="FootnoteReference"/>
        </w:rPr>
        <w:footnoteRef/>
      </w:r>
      <w:r w:rsidRPr="004172ED">
        <w:t xml:space="preserve"> The interest rate on this loan would be prime plus </w:t>
      </w:r>
      <w:r>
        <w:t>1</w:t>
      </w:r>
      <w:r w:rsidRPr="004172ED">
        <w:t xml:space="preserve"> per cent.</w:t>
      </w:r>
    </w:p>
  </w:footnote>
  <w:footnote w:id="13">
    <w:p w:rsidR="00A6365B" w:rsidRPr="00DA1BFE" w:rsidRDefault="00A6365B" w:rsidP="00D27BC7">
      <w:pPr>
        <w:pStyle w:val="FootnoteText1"/>
        <w:rPr>
          <w:lang w:val="en-CA"/>
        </w:rPr>
      </w:pPr>
      <w:r w:rsidRPr="001A15A2">
        <w:rPr>
          <w:rStyle w:val="FootnoteReference"/>
        </w:rPr>
        <w:footnoteRef/>
      </w:r>
      <w:r w:rsidRPr="004172ED">
        <w:t xml:space="preserve"> Covent Garden Market</w:t>
      </w:r>
      <w:r>
        <w:t xml:space="preserve"> Corporation</w:t>
      </w:r>
      <w:r w:rsidRPr="004172ED">
        <w:t xml:space="preserve">, </w:t>
      </w:r>
      <w:r w:rsidRPr="00B26E5C">
        <w:rPr>
          <w:i/>
        </w:rPr>
        <w:t>Vendor’s Handbook: Outdoor Farmer’s Market</w:t>
      </w:r>
      <w:r w:rsidRPr="004172ED">
        <w:t xml:space="preserve">, Revised Version, January 2016, accessed June 29, 2016, </w:t>
      </w:r>
      <w:r w:rsidRPr="005F6C36">
        <w:t>www.coventmarket.com/wp-content/uploads/2013/03/Vendors-Handbook-20161.pdf</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5B" w:rsidRPr="00C92CC4" w:rsidRDefault="00A6365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C0759">
      <w:rPr>
        <w:rFonts w:ascii="Arial" w:hAnsi="Arial"/>
        <w:b/>
        <w:noProof/>
      </w:rPr>
      <w:t>9</w:t>
    </w:r>
    <w:r>
      <w:rPr>
        <w:rFonts w:ascii="Arial" w:hAnsi="Arial"/>
        <w:b/>
      </w:rPr>
      <w:fldChar w:fldCharType="end"/>
    </w:r>
    <w:r>
      <w:rPr>
        <w:rFonts w:ascii="Arial" w:hAnsi="Arial"/>
        <w:b/>
      </w:rPr>
      <w:tab/>
      <w:t>9B17M075</w:t>
    </w:r>
  </w:p>
  <w:p w:rsidR="00A6365B" w:rsidRDefault="00A6365B" w:rsidP="00D13667">
    <w:pPr>
      <w:pStyle w:val="Header"/>
      <w:tabs>
        <w:tab w:val="clear" w:pos="4680"/>
      </w:tabs>
      <w:rPr>
        <w:sz w:val="18"/>
        <w:szCs w:val="18"/>
      </w:rPr>
    </w:pPr>
  </w:p>
  <w:p w:rsidR="00A6365B" w:rsidRPr="00C92CC4" w:rsidRDefault="00A6365B"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834D75A"/>
    <w:lvl w:ilvl="0">
      <w:start w:val="1"/>
      <w:numFmt w:val="decimal"/>
      <w:lvlText w:val="%1."/>
      <w:lvlJc w:val="left"/>
      <w:pPr>
        <w:tabs>
          <w:tab w:val="num" w:pos="1800"/>
        </w:tabs>
        <w:ind w:left="1800" w:hanging="360"/>
      </w:pPr>
    </w:lvl>
  </w:abstractNum>
  <w:abstractNum w:abstractNumId="1">
    <w:nsid w:val="FFFFFF7D"/>
    <w:multiLevelType w:val="singleLevel"/>
    <w:tmpl w:val="79BC9482"/>
    <w:lvl w:ilvl="0">
      <w:start w:val="1"/>
      <w:numFmt w:val="decimal"/>
      <w:lvlText w:val="%1."/>
      <w:lvlJc w:val="left"/>
      <w:pPr>
        <w:tabs>
          <w:tab w:val="num" w:pos="1440"/>
        </w:tabs>
        <w:ind w:left="1440" w:hanging="360"/>
      </w:pPr>
    </w:lvl>
  </w:abstractNum>
  <w:abstractNum w:abstractNumId="2">
    <w:nsid w:val="FFFFFF7E"/>
    <w:multiLevelType w:val="singleLevel"/>
    <w:tmpl w:val="365A8568"/>
    <w:lvl w:ilvl="0">
      <w:start w:val="1"/>
      <w:numFmt w:val="decimal"/>
      <w:lvlText w:val="%1."/>
      <w:lvlJc w:val="left"/>
      <w:pPr>
        <w:tabs>
          <w:tab w:val="num" w:pos="1080"/>
        </w:tabs>
        <w:ind w:left="1080" w:hanging="360"/>
      </w:pPr>
    </w:lvl>
  </w:abstractNum>
  <w:abstractNum w:abstractNumId="3">
    <w:nsid w:val="FFFFFF7F"/>
    <w:multiLevelType w:val="singleLevel"/>
    <w:tmpl w:val="0D46A71A"/>
    <w:lvl w:ilvl="0">
      <w:start w:val="1"/>
      <w:numFmt w:val="decimal"/>
      <w:lvlText w:val="%1."/>
      <w:lvlJc w:val="left"/>
      <w:pPr>
        <w:tabs>
          <w:tab w:val="num" w:pos="720"/>
        </w:tabs>
        <w:ind w:left="720" w:hanging="360"/>
      </w:pPr>
    </w:lvl>
  </w:abstractNum>
  <w:abstractNum w:abstractNumId="4">
    <w:nsid w:val="FFFFFF80"/>
    <w:multiLevelType w:val="singleLevel"/>
    <w:tmpl w:val="FB3E039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85AF19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72418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2C2F34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1340036"/>
    <w:lvl w:ilvl="0">
      <w:start w:val="1"/>
      <w:numFmt w:val="decimal"/>
      <w:lvlText w:val="%1."/>
      <w:lvlJc w:val="left"/>
      <w:pPr>
        <w:tabs>
          <w:tab w:val="num" w:pos="360"/>
        </w:tabs>
        <w:ind w:left="360" w:hanging="360"/>
      </w:pPr>
    </w:lvl>
  </w:abstractNum>
  <w:abstractNum w:abstractNumId="9">
    <w:nsid w:val="FFFFFF89"/>
    <w:multiLevelType w:val="singleLevel"/>
    <w:tmpl w:val="01B86B8C"/>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4043"/>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17E22"/>
    <w:rsid w:val="00A559DB"/>
    <w:rsid w:val="00A569EA"/>
    <w:rsid w:val="00A6365B"/>
    <w:rsid w:val="00AC6A50"/>
    <w:rsid w:val="00AF35FC"/>
    <w:rsid w:val="00AF5556"/>
    <w:rsid w:val="00B03639"/>
    <w:rsid w:val="00B0652A"/>
    <w:rsid w:val="00B334AD"/>
    <w:rsid w:val="00B40937"/>
    <w:rsid w:val="00B423EF"/>
    <w:rsid w:val="00B453DE"/>
    <w:rsid w:val="00B72597"/>
    <w:rsid w:val="00B901F9"/>
    <w:rsid w:val="00BD6EFB"/>
    <w:rsid w:val="00C1584D"/>
    <w:rsid w:val="00C15BE2"/>
    <w:rsid w:val="00C2669C"/>
    <w:rsid w:val="00C3447F"/>
    <w:rsid w:val="00C67102"/>
    <w:rsid w:val="00C81491"/>
    <w:rsid w:val="00C81676"/>
    <w:rsid w:val="00C85C5D"/>
    <w:rsid w:val="00C92CC4"/>
    <w:rsid w:val="00CA0AFB"/>
    <w:rsid w:val="00CA2CE1"/>
    <w:rsid w:val="00CA3976"/>
    <w:rsid w:val="00CA50E3"/>
    <w:rsid w:val="00CA757B"/>
    <w:rsid w:val="00CC0759"/>
    <w:rsid w:val="00CC1787"/>
    <w:rsid w:val="00CC182C"/>
    <w:rsid w:val="00CD0824"/>
    <w:rsid w:val="00CD2908"/>
    <w:rsid w:val="00D03A82"/>
    <w:rsid w:val="00D13667"/>
    <w:rsid w:val="00D15344"/>
    <w:rsid w:val="00D23F57"/>
    <w:rsid w:val="00D27BC7"/>
    <w:rsid w:val="00D31BEC"/>
    <w:rsid w:val="00D63150"/>
    <w:rsid w:val="00D636BA"/>
    <w:rsid w:val="00D64A32"/>
    <w:rsid w:val="00D64EFC"/>
    <w:rsid w:val="00D75295"/>
    <w:rsid w:val="00D76CE9"/>
    <w:rsid w:val="00D97F12"/>
    <w:rsid w:val="00DA6095"/>
    <w:rsid w:val="00DB42E7"/>
    <w:rsid w:val="00DE01A6"/>
    <w:rsid w:val="00DE7A98"/>
    <w:rsid w:val="00DF32C2"/>
    <w:rsid w:val="00E015AD"/>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D27BC7"/>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D27BC7"/>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9E92D-3EC4-4B1E-B1EA-DB327366F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4413</Words>
  <Characters>25158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8</cp:revision>
  <cp:lastPrinted>2015-03-04T20:34:00Z</cp:lastPrinted>
  <dcterms:created xsi:type="dcterms:W3CDTF">2017-05-16T19:02:00Z</dcterms:created>
  <dcterms:modified xsi:type="dcterms:W3CDTF">2017-06-08T13:51:00Z</dcterms:modified>
</cp:coreProperties>
</file>