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ABF7B" w14:textId="77777777" w:rsidR="00856D9F" w:rsidRPr="00A267BE" w:rsidRDefault="00AB518B" w:rsidP="008467D5">
      <w:pPr>
        <w:pBdr>
          <w:bottom w:val="single" w:sz="18" w:space="1" w:color="auto"/>
        </w:pBdr>
        <w:tabs>
          <w:tab w:val="left" w:pos="-1440"/>
          <w:tab w:val="left" w:pos="-720"/>
          <w:tab w:val="left" w:pos="1"/>
        </w:tabs>
        <w:jc w:val="both"/>
        <w:rPr>
          <w:rFonts w:ascii="Arial" w:hAnsi="Arial"/>
          <w:b/>
          <w:sz w:val="24"/>
          <w:lang w:val="en-GB"/>
        </w:rPr>
      </w:pPr>
      <w:r w:rsidRPr="00AB518B">
        <w:rPr>
          <w:rFonts w:ascii="Arial" w:hAnsi="Arial"/>
          <w:b/>
          <w:noProof/>
          <w:sz w:val="24"/>
        </w:rPr>
        <w:drawing>
          <wp:inline distT="0" distB="0" distL="0" distR="0" wp14:anchorId="21FDF993" wp14:editId="275C38CC">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1D0A2D5" w14:textId="4C22EC33" w:rsidR="00D75295" w:rsidRPr="00A267BE" w:rsidRDefault="004F518B" w:rsidP="00F105B7">
      <w:pPr>
        <w:pStyle w:val="ProductNumber"/>
        <w:rPr>
          <w:lang w:val="en-GB"/>
        </w:rPr>
      </w:pPr>
      <w:r>
        <w:rPr>
          <w:lang w:val="en-GB"/>
        </w:rPr>
        <w:t>9B17M085</w:t>
      </w:r>
    </w:p>
    <w:p w14:paraId="7C03945A" w14:textId="77777777" w:rsidR="00D75295" w:rsidRPr="00A267BE" w:rsidRDefault="00D75295" w:rsidP="00D75295">
      <w:pPr>
        <w:jc w:val="right"/>
        <w:rPr>
          <w:rFonts w:ascii="Arial" w:hAnsi="Arial"/>
          <w:b/>
          <w:sz w:val="28"/>
          <w:szCs w:val="28"/>
          <w:lang w:val="en-GB"/>
        </w:rPr>
      </w:pPr>
    </w:p>
    <w:p w14:paraId="305F2BC5" w14:textId="77777777" w:rsidR="00866F6D" w:rsidRPr="00A267BE" w:rsidRDefault="00866F6D" w:rsidP="00D75295">
      <w:pPr>
        <w:jc w:val="right"/>
        <w:rPr>
          <w:rFonts w:ascii="Arial" w:hAnsi="Arial"/>
          <w:b/>
          <w:sz w:val="28"/>
          <w:szCs w:val="28"/>
          <w:lang w:val="en-GB"/>
        </w:rPr>
      </w:pPr>
    </w:p>
    <w:p w14:paraId="4E1EEDC5" w14:textId="77777777" w:rsidR="00013360" w:rsidRPr="00A267BE" w:rsidRDefault="00AC6AE5" w:rsidP="00013360">
      <w:pPr>
        <w:pStyle w:val="CaseTitle"/>
        <w:spacing w:after="0" w:line="240" w:lineRule="auto"/>
        <w:rPr>
          <w:lang w:val="en-GB"/>
        </w:rPr>
      </w:pPr>
      <w:r w:rsidRPr="00A267BE">
        <w:rPr>
          <w:lang w:val="en-GB"/>
        </w:rPr>
        <w:t>managing a severe crisis: pharmacorp in ukraine</w:t>
      </w:r>
    </w:p>
    <w:p w14:paraId="13948A2B" w14:textId="77777777" w:rsidR="00013360" w:rsidRPr="00A267BE" w:rsidRDefault="00013360" w:rsidP="00013360">
      <w:pPr>
        <w:pStyle w:val="CaseTitle"/>
        <w:spacing w:after="0" w:line="240" w:lineRule="auto"/>
        <w:rPr>
          <w:sz w:val="20"/>
          <w:szCs w:val="20"/>
          <w:lang w:val="en-GB"/>
        </w:rPr>
      </w:pPr>
    </w:p>
    <w:p w14:paraId="448540CE" w14:textId="77777777" w:rsidR="00CA3976" w:rsidRPr="00A267BE" w:rsidRDefault="00CA3976" w:rsidP="00013360">
      <w:pPr>
        <w:pStyle w:val="CaseTitle"/>
        <w:spacing w:after="0" w:line="240" w:lineRule="auto"/>
        <w:rPr>
          <w:sz w:val="20"/>
          <w:szCs w:val="20"/>
          <w:lang w:val="en-GB"/>
        </w:rPr>
      </w:pPr>
    </w:p>
    <w:p w14:paraId="4713E69E" w14:textId="77777777" w:rsidR="00013360" w:rsidRPr="00A267BE" w:rsidRDefault="00013360" w:rsidP="00013360">
      <w:pPr>
        <w:pStyle w:val="CaseTitle"/>
        <w:spacing w:after="0" w:line="240" w:lineRule="auto"/>
        <w:rPr>
          <w:sz w:val="20"/>
          <w:szCs w:val="20"/>
          <w:lang w:val="en-GB"/>
        </w:rPr>
      </w:pPr>
    </w:p>
    <w:p w14:paraId="618315AF" w14:textId="77777777" w:rsidR="00013360" w:rsidRPr="00A267BE" w:rsidRDefault="00AC6AE5" w:rsidP="00104567">
      <w:pPr>
        <w:pStyle w:val="StyleCopyrightStatementAfter0ptBottomSinglesolidline1"/>
        <w:rPr>
          <w:lang w:val="en-GB"/>
        </w:rPr>
      </w:pPr>
      <w:r w:rsidRPr="00A267BE">
        <w:rPr>
          <w:lang w:val="en-GB"/>
        </w:rPr>
        <w:t>Professor Phillip C. Nell, Renate Kratochvil, and Patricia Klopf</w:t>
      </w:r>
      <w:r w:rsidR="007E5921" w:rsidRPr="00A267BE">
        <w:rPr>
          <w:lang w:val="en-GB"/>
        </w:rPr>
        <w:t xml:space="preserve"> wrote this case sol</w:t>
      </w:r>
      <w:r w:rsidR="00D75295" w:rsidRPr="00A267BE">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CE3D60D" w14:textId="77777777" w:rsidR="00013360" w:rsidRPr="00A267BE" w:rsidRDefault="00013360" w:rsidP="00104567">
      <w:pPr>
        <w:pStyle w:val="StyleCopyrightStatementAfter0ptBottomSinglesolidline1"/>
        <w:rPr>
          <w:lang w:val="en-GB"/>
        </w:rPr>
      </w:pPr>
    </w:p>
    <w:p w14:paraId="4B97BE1D" w14:textId="77777777" w:rsidR="00AB518B" w:rsidRPr="00E23AB7" w:rsidRDefault="00AB518B" w:rsidP="00A608B8">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7652F16" w14:textId="77777777" w:rsidR="00AB518B" w:rsidRPr="00E23AB7" w:rsidRDefault="00AB518B" w:rsidP="00A608B8">
      <w:pPr>
        <w:tabs>
          <w:tab w:val="right" w:pos="9360"/>
        </w:tabs>
        <w:autoSpaceDE w:val="0"/>
        <w:autoSpaceDN w:val="0"/>
        <w:adjustRightInd w:val="0"/>
        <w:jc w:val="both"/>
        <w:textAlignment w:val="center"/>
        <w:rPr>
          <w:rFonts w:ascii="Arial" w:hAnsi="Arial"/>
          <w:i/>
          <w:iCs/>
          <w:color w:val="000000"/>
          <w:sz w:val="16"/>
        </w:rPr>
      </w:pPr>
    </w:p>
    <w:p w14:paraId="1FCC1C96" w14:textId="49302911" w:rsidR="003B7EF2" w:rsidRPr="00A267BE" w:rsidRDefault="00AB518B" w:rsidP="003B7EF2">
      <w:pPr>
        <w:pStyle w:val="StyleStyleCopyrightStatementAfter0ptBottomSinglesolid"/>
        <w:rPr>
          <w:lang w:val="en-GB"/>
        </w:rPr>
      </w:pPr>
      <w:r w:rsidRPr="00A608B8">
        <w:rPr>
          <w:rFonts w:cstheme="minorBidi"/>
        </w:rPr>
        <w:t>Copyright © 201</w:t>
      </w:r>
      <w:r>
        <w:rPr>
          <w:rFonts w:cstheme="minorBidi"/>
        </w:rPr>
        <w:t>7</w:t>
      </w:r>
      <w:r w:rsidRPr="00A608B8">
        <w:rPr>
          <w:rFonts w:cstheme="minorBidi"/>
        </w:rPr>
        <w:t>, Richard Ivey School of Business Foundation</w:t>
      </w:r>
      <w:r w:rsidR="003B7EF2" w:rsidRPr="00A267BE">
        <w:rPr>
          <w:lang w:val="en-GB"/>
        </w:rPr>
        <w:tab/>
        <w:t xml:space="preserve">Version: </w:t>
      </w:r>
      <w:r w:rsidR="00361C8E" w:rsidRPr="00A267BE">
        <w:rPr>
          <w:lang w:val="en-GB"/>
        </w:rPr>
        <w:t>201</w:t>
      </w:r>
      <w:r w:rsidR="007F51FC" w:rsidRPr="00A267BE">
        <w:rPr>
          <w:lang w:val="en-GB"/>
        </w:rPr>
        <w:t>7</w:t>
      </w:r>
      <w:r w:rsidR="00361C8E" w:rsidRPr="00A267BE">
        <w:rPr>
          <w:lang w:val="en-GB"/>
        </w:rPr>
        <w:t>-</w:t>
      </w:r>
      <w:r w:rsidR="00AC6AE5" w:rsidRPr="00A267BE">
        <w:rPr>
          <w:lang w:val="en-GB"/>
        </w:rPr>
        <w:t>0</w:t>
      </w:r>
      <w:r w:rsidR="004F518B">
        <w:rPr>
          <w:lang w:val="en-GB"/>
        </w:rPr>
        <w:t>6</w:t>
      </w:r>
      <w:r w:rsidR="00AC6AE5" w:rsidRPr="00A267BE">
        <w:rPr>
          <w:lang w:val="en-GB"/>
        </w:rPr>
        <w:t>-</w:t>
      </w:r>
      <w:r w:rsidR="004F518B">
        <w:rPr>
          <w:lang w:val="en-GB"/>
        </w:rPr>
        <w:t>0</w:t>
      </w:r>
      <w:r w:rsidR="00601354">
        <w:rPr>
          <w:lang w:val="en-GB"/>
        </w:rPr>
        <w:t>5</w:t>
      </w:r>
    </w:p>
    <w:p w14:paraId="747165CE" w14:textId="77777777" w:rsidR="003B7EF2" w:rsidRPr="00A267BE" w:rsidRDefault="003B7EF2" w:rsidP="00104567">
      <w:pPr>
        <w:pStyle w:val="StyleCopyrightStatementAfter0ptBottomSinglesolidline1"/>
        <w:rPr>
          <w:rFonts w:ascii="Times New Roman" w:hAnsi="Times New Roman"/>
          <w:sz w:val="20"/>
          <w:lang w:val="en-GB"/>
        </w:rPr>
      </w:pPr>
    </w:p>
    <w:p w14:paraId="3D5B7C55" w14:textId="77777777" w:rsidR="003B7EF2" w:rsidRPr="00A267BE" w:rsidRDefault="003B7EF2" w:rsidP="006B7F7A">
      <w:pPr>
        <w:pStyle w:val="BodyTextMain"/>
        <w:rPr>
          <w:lang w:val="en-GB"/>
        </w:rPr>
      </w:pPr>
    </w:p>
    <w:p w14:paraId="5E56769E" w14:textId="5DE7BDF6" w:rsidR="008A273C" w:rsidRDefault="00AC6AE5" w:rsidP="00AC6AE5">
      <w:pPr>
        <w:pStyle w:val="BodyTextMain"/>
        <w:rPr>
          <w:lang w:val="en-GB"/>
        </w:rPr>
      </w:pPr>
      <w:r w:rsidRPr="00A267BE">
        <w:rPr>
          <w:lang w:val="en-GB"/>
        </w:rPr>
        <w:t>It was a freezing cold morning in snow-covered Kiev</w:t>
      </w:r>
      <w:r w:rsidR="004952A9">
        <w:rPr>
          <w:lang w:val="en-GB"/>
        </w:rPr>
        <w:t xml:space="preserve"> on January 2, 2015</w:t>
      </w:r>
      <w:r w:rsidRPr="00A267BE">
        <w:rPr>
          <w:lang w:val="en-GB"/>
        </w:rPr>
        <w:t xml:space="preserve">. The weather fit the sentiments of Federica Santos, country head of </w:t>
      </w:r>
      <w:r w:rsidR="00A267BE">
        <w:rPr>
          <w:lang w:val="en-GB"/>
        </w:rPr>
        <w:t xml:space="preserve">PharmaCorp Ukraine, </w:t>
      </w:r>
      <w:r w:rsidRPr="00A267BE">
        <w:rPr>
          <w:lang w:val="en-GB"/>
        </w:rPr>
        <w:t>a global pharmaceutical company’s local unit in Ukraine. “Sales down by 40</w:t>
      </w:r>
      <w:r w:rsidR="00A267BE">
        <w:rPr>
          <w:lang w:val="en-GB"/>
        </w:rPr>
        <w:t xml:space="preserve"> per cent</w:t>
      </w:r>
      <w:r w:rsidRPr="00A267BE">
        <w:rPr>
          <w:lang w:val="en-GB"/>
        </w:rPr>
        <w:t xml:space="preserve"> and 25</w:t>
      </w:r>
      <w:r w:rsidR="00A267BE">
        <w:rPr>
          <w:lang w:val="en-GB"/>
        </w:rPr>
        <w:t xml:space="preserve"> per cent</w:t>
      </w:r>
      <w:r w:rsidRPr="00A267BE">
        <w:rPr>
          <w:lang w:val="en-GB"/>
        </w:rPr>
        <w:t xml:space="preserve"> loss of market share</w:t>
      </w:r>
      <w:r w:rsidR="005B7A6D">
        <w:rPr>
          <w:lang w:val="en-GB"/>
        </w:rPr>
        <w:t>.</w:t>
      </w:r>
      <w:r w:rsidRPr="00A267BE">
        <w:rPr>
          <w:lang w:val="en-GB"/>
        </w:rPr>
        <w:t xml:space="preserve"> </w:t>
      </w:r>
      <w:r w:rsidR="00A267BE">
        <w:rPr>
          <w:lang w:val="en-GB"/>
        </w:rPr>
        <w:t>. . .</w:t>
      </w:r>
      <w:r w:rsidR="00634884">
        <w:rPr>
          <w:lang w:val="en-GB"/>
        </w:rPr>
        <w:t xml:space="preserve"> </w:t>
      </w:r>
      <w:r w:rsidRPr="00A267BE">
        <w:rPr>
          <w:lang w:val="en-GB"/>
        </w:rPr>
        <w:t>that is the worst performance ever</w:t>
      </w:r>
      <w:r w:rsidR="00A267BE">
        <w:rPr>
          <w:lang w:val="en-GB"/>
        </w:rPr>
        <w:t>,</w:t>
      </w:r>
      <w:r w:rsidRPr="00A267BE">
        <w:rPr>
          <w:lang w:val="en-GB"/>
        </w:rPr>
        <w:t xml:space="preserve">” </w:t>
      </w:r>
      <w:r w:rsidR="00A267BE">
        <w:rPr>
          <w:lang w:val="en-GB"/>
        </w:rPr>
        <w:t>Santos</w:t>
      </w:r>
      <w:r w:rsidR="00A267BE" w:rsidRPr="00A267BE">
        <w:rPr>
          <w:lang w:val="en-GB"/>
        </w:rPr>
        <w:t xml:space="preserve"> </w:t>
      </w:r>
      <w:r w:rsidRPr="00A267BE">
        <w:rPr>
          <w:lang w:val="en-GB"/>
        </w:rPr>
        <w:t xml:space="preserve">sighed, while scanning the latest figures of her firm. “When will the war stop?” </w:t>
      </w:r>
    </w:p>
    <w:p w14:paraId="36116AA2" w14:textId="77777777" w:rsidR="008A273C" w:rsidRDefault="008A273C" w:rsidP="00AC6AE5">
      <w:pPr>
        <w:pStyle w:val="BodyTextMain"/>
        <w:rPr>
          <w:lang w:val="en-GB"/>
        </w:rPr>
      </w:pPr>
    </w:p>
    <w:p w14:paraId="55349D85" w14:textId="689FD663" w:rsidR="00AC6AE5" w:rsidRPr="00A267BE" w:rsidRDefault="00FB15E0" w:rsidP="00AC6AE5">
      <w:pPr>
        <w:pStyle w:val="BodyTextMain"/>
        <w:rPr>
          <w:lang w:val="en-GB"/>
        </w:rPr>
      </w:pPr>
      <w:r w:rsidRPr="00A267BE">
        <w:rPr>
          <w:lang w:val="en-GB"/>
        </w:rPr>
        <w:t>Santos</w:t>
      </w:r>
      <w:r w:rsidR="00AC6AE5" w:rsidRPr="00A267BE">
        <w:rPr>
          <w:lang w:val="en-GB"/>
        </w:rPr>
        <w:t xml:space="preserve"> was suddenly interrupted by her phone ringing. It was the Ukrainian Secretary of State for Health telling her that </w:t>
      </w:r>
      <w:r w:rsidR="00A267BE">
        <w:rPr>
          <w:lang w:val="en-GB"/>
        </w:rPr>
        <w:t>it</w:t>
      </w:r>
      <w:r w:rsidR="00A267BE" w:rsidRPr="00A267BE">
        <w:rPr>
          <w:lang w:val="en-GB"/>
        </w:rPr>
        <w:t xml:space="preserve"> </w:t>
      </w:r>
      <w:r w:rsidR="00AC6AE5" w:rsidRPr="00A267BE">
        <w:rPr>
          <w:lang w:val="en-GB"/>
        </w:rPr>
        <w:t>would not renew PharmaCorp</w:t>
      </w:r>
      <w:r w:rsidR="00407E4D">
        <w:rPr>
          <w:lang w:val="en-GB"/>
        </w:rPr>
        <w:t xml:space="preserve"> Ukraine</w:t>
      </w:r>
      <w:r w:rsidR="00AC6AE5" w:rsidRPr="00A267BE">
        <w:rPr>
          <w:lang w:val="en-GB"/>
        </w:rPr>
        <w:t>’s licen</w:t>
      </w:r>
      <w:r w:rsidR="00A267BE">
        <w:rPr>
          <w:lang w:val="en-GB"/>
        </w:rPr>
        <w:t>c</w:t>
      </w:r>
      <w:r w:rsidR="00AC6AE5" w:rsidRPr="00A267BE">
        <w:rPr>
          <w:lang w:val="en-GB"/>
        </w:rPr>
        <w:t>e to participate in public tenders. “That’s really bad news</w:t>
      </w:r>
      <w:r w:rsidR="00A267BE">
        <w:rPr>
          <w:lang w:val="en-GB"/>
        </w:rPr>
        <w:t>,</w:t>
      </w:r>
      <w:r w:rsidR="00AC6AE5" w:rsidRPr="00A267BE">
        <w:rPr>
          <w:lang w:val="en-GB"/>
        </w:rPr>
        <w:t xml:space="preserve">” she thought. “Being excluded from public tenders will </w:t>
      </w:r>
      <w:r w:rsidR="00FB3289">
        <w:rPr>
          <w:lang w:val="en-GB"/>
        </w:rPr>
        <w:t>cause</w:t>
      </w:r>
      <w:r w:rsidR="00AC6AE5" w:rsidRPr="00A267BE">
        <w:rPr>
          <w:lang w:val="en-GB"/>
        </w:rPr>
        <w:t xml:space="preserve"> a </w:t>
      </w:r>
      <w:r w:rsidR="00FB3289">
        <w:rPr>
          <w:lang w:val="en-GB"/>
        </w:rPr>
        <w:t xml:space="preserve">10 per cent </w:t>
      </w:r>
      <w:r w:rsidR="00AC6AE5" w:rsidRPr="00A267BE">
        <w:rPr>
          <w:lang w:val="en-GB"/>
        </w:rPr>
        <w:t>slump in sales</w:t>
      </w:r>
      <w:r w:rsidR="00FB3289">
        <w:rPr>
          <w:lang w:val="en-GB"/>
        </w:rPr>
        <w:t>.</w:t>
      </w:r>
      <w:r w:rsidR="00AC6AE5" w:rsidRPr="00A267BE">
        <w:rPr>
          <w:lang w:val="en-GB"/>
        </w:rPr>
        <w:t>”</w:t>
      </w:r>
    </w:p>
    <w:p w14:paraId="5E8BDAE5" w14:textId="77777777" w:rsidR="00AC6AE5" w:rsidRPr="00A267BE" w:rsidRDefault="00AC6AE5" w:rsidP="00AC6AE5">
      <w:pPr>
        <w:pStyle w:val="BodyTextMain"/>
        <w:rPr>
          <w:lang w:val="en-GB"/>
        </w:rPr>
      </w:pPr>
    </w:p>
    <w:p w14:paraId="36596C64" w14:textId="160B7624" w:rsidR="00AC6AE5" w:rsidRPr="00A267BE" w:rsidRDefault="00AC6AE5" w:rsidP="00AC6AE5">
      <w:pPr>
        <w:pStyle w:val="BodyTextMain"/>
        <w:rPr>
          <w:lang w:val="en-GB"/>
        </w:rPr>
      </w:pPr>
      <w:r w:rsidRPr="00A267BE">
        <w:rPr>
          <w:lang w:val="en-GB"/>
        </w:rPr>
        <w:t xml:space="preserve">After all </w:t>
      </w:r>
      <w:r w:rsidR="00FB3289">
        <w:rPr>
          <w:lang w:val="en-GB"/>
        </w:rPr>
        <w:t>Santos</w:t>
      </w:r>
      <w:r w:rsidRPr="00A267BE">
        <w:rPr>
          <w:lang w:val="en-GB"/>
        </w:rPr>
        <w:t xml:space="preserve"> had experienced during the </w:t>
      </w:r>
      <w:r w:rsidR="00A267BE">
        <w:rPr>
          <w:lang w:val="en-GB"/>
        </w:rPr>
        <w:t>p</w:t>
      </w:r>
      <w:r w:rsidR="00A267BE" w:rsidRPr="00A267BE">
        <w:rPr>
          <w:lang w:val="en-GB"/>
        </w:rPr>
        <w:t xml:space="preserve">ast </w:t>
      </w:r>
      <w:r w:rsidRPr="00A267BE">
        <w:rPr>
          <w:lang w:val="en-GB"/>
        </w:rPr>
        <w:t xml:space="preserve">few months in crisis-ridden Ukraine, this kind of message </w:t>
      </w:r>
      <w:r w:rsidR="00A267BE">
        <w:rPr>
          <w:lang w:val="en-GB"/>
        </w:rPr>
        <w:t>no longer</w:t>
      </w:r>
      <w:r w:rsidRPr="00A267BE">
        <w:rPr>
          <w:lang w:val="en-GB"/>
        </w:rPr>
        <w:t xml:space="preserve"> surprise</w:t>
      </w:r>
      <w:r w:rsidR="00A267BE">
        <w:rPr>
          <w:lang w:val="en-GB"/>
        </w:rPr>
        <w:t>d</w:t>
      </w:r>
      <w:r w:rsidRPr="00A267BE">
        <w:rPr>
          <w:lang w:val="en-GB"/>
        </w:rPr>
        <w:t xml:space="preserve"> her. </w:t>
      </w:r>
      <w:r w:rsidR="00A267BE">
        <w:rPr>
          <w:lang w:val="en-GB"/>
        </w:rPr>
        <w:t>S</w:t>
      </w:r>
      <w:r w:rsidR="00FB3289">
        <w:rPr>
          <w:lang w:val="en-GB"/>
        </w:rPr>
        <w:t>he</w:t>
      </w:r>
      <w:r w:rsidR="00A267BE" w:rsidRPr="00A267BE">
        <w:rPr>
          <w:lang w:val="en-GB"/>
        </w:rPr>
        <w:t xml:space="preserve"> </w:t>
      </w:r>
      <w:r w:rsidR="00FB3289">
        <w:rPr>
          <w:lang w:val="en-GB"/>
        </w:rPr>
        <w:t xml:space="preserve">had </w:t>
      </w:r>
      <w:r w:rsidRPr="00A267BE">
        <w:rPr>
          <w:lang w:val="en-GB"/>
        </w:rPr>
        <w:t>always kn</w:t>
      </w:r>
      <w:r w:rsidR="00FB3289">
        <w:rPr>
          <w:lang w:val="en-GB"/>
        </w:rPr>
        <w:t>own</w:t>
      </w:r>
      <w:r w:rsidRPr="00A267BE">
        <w:rPr>
          <w:lang w:val="en-GB"/>
        </w:rPr>
        <w:t xml:space="preserve"> </w:t>
      </w:r>
      <w:r w:rsidR="008A273C">
        <w:rPr>
          <w:lang w:val="en-GB"/>
        </w:rPr>
        <w:t xml:space="preserve">it would be a tough task to </w:t>
      </w:r>
      <w:r w:rsidRPr="00A267BE">
        <w:rPr>
          <w:lang w:val="en-GB"/>
        </w:rPr>
        <w:t xml:space="preserve">steer PharmaCorp Ukraine through the ongoing political and economic </w:t>
      </w:r>
      <w:r w:rsidR="00A267BE" w:rsidRPr="00A267BE">
        <w:rPr>
          <w:lang w:val="en-GB"/>
        </w:rPr>
        <w:t>cris</w:t>
      </w:r>
      <w:r w:rsidR="00A267BE">
        <w:rPr>
          <w:lang w:val="en-GB"/>
        </w:rPr>
        <w:t>e</w:t>
      </w:r>
      <w:r w:rsidR="00A267BE" w:rsidRPr="00A267BE">
        <w:rPr>
          <w:lang w:val="en-GB"/>
        </w:rPr>
        <w:t>s</w:t>
      </w:r>
      <w:r w:rsidRPr="00A267BE">
        <w:rPr>
          <w:lang w:val="en-GB"/>
        </w:rPr>
        <w:t>. Still, she felt stuck and frustrated. So far, she had not found a way to avoid further damages and boost sales</w:t>
      </w:r>
      <w:r w:rsidR="00AB61A3">
        <w:rPr>
          <w:lang w:val="en-GB"/>
        </w:rPr>
        <w:t>.</w:t>
      </w:r>
      <w:r w:rsidRPr="00A267BE">
        <w:rPr>
          <w:lang w:val="en-GB"/>
        </w:rPr>
        <w:t xml:space="preserve"> Now, with the annual meeting with the </w:t>
      </w:r>
      <w:r w:rsidR="004E2B20">
        <w:rPr>
          <w:lang w:val="en-GB"/>
        </w:rPr>
        <w:t>r</w:t>
      </w:r>
      <w:r w:rsidRPr="00A267BE">
        <w:rPr>
          <w:lang w:val="en-GB"/>
        </w:rPr>
        <w:t xml:space="preserve">egional </w:t>
      </w:r>
      <w:r w:rsidR="004E2B20">
        <w:rPr>
          <w:lang w:val="en-GB"/>
        </w:rPr>
        <w:t>h</w:t>
      </w:r>
      <w:r w:rsidRPr="00A267BE">
        <w:rPr>
          <w:lang w:val="en-GB"/>
        </w:rPr>
        <w:t xml:space="preserve">eadquarters (RHQ) fast approaching, she was under even more pressure. During this meeting at the end of January, </w:t>
      </w:r>
      <w:r w:rsidR="00A267BE">
        <w:rPr>
          <w:lang w:val="en-GB"/>
        </w:rPr>
        <w:t>Santos</w:t>
      </w:r>
      <w:r w:rsidR="00A267BE" w:rsidRPr="00A267BE">
        <w:rPr>
          <w:lang w:val="en-GB"/>
        </w:rPr>
        <w:t xml:space="preserve"> </w:t>
      </w:r>
      <w:r w:rsidRPr="00A267BE">
        <w:rPr>
          <w:lang w:val="en-GB"/>
        </w:rPr>
        <w:t xml:space="preserve">would </w:t>
      </w:r>
      <w:r w:rsidR="00A267BE">
        <w:rPr>
          <w:lang w:val="en-GB"/>
        </w:rPr>
        <w:t>need</w:t>
      </w:r>
      <w:r w:rsidR="00A267BE" w:rsidRPr="00A267BE">
        <w:rPr>
          <w:lang w:val="en-GB"/>
        </w:rPr>
        <w:t xml:space="preserve"> </w:t>
      </w:r>
      <w:r w:rsidRPr="00A267BE">
        <w:rPr>
          <w:lang w:val="en-GB"/>
        </w:rPr>
        <w:t xml:space="preserve">to present her ideas for strategic moves to revive sales </w:t>
      </w:r>
      <w:r w:rsidR="008A273C">
        <w:rPr>
          <w:lang w:val="en-GB"/>
        </w:rPr>
        <w:t>at</w:t>
      </w:r>
      <w:r w:rsidR="008A273C" w:rsidRPr="00A267BE">
        <w:rPr>
          <w:lang w:val="en-GB"/>
        </w:rPr>
        <w:t xml:space="preserve"> </w:t>
      </w:r>
      <w:r w:rsidRPr="00A267BE">
        <w:rPr>
          <w:lang w:val="en-GB"/>
        </w:rPr>
        <w:t>PharmaCorp Ukraine.</w:t>
      </w:r>
    </w:p>
    <w:p w14:paraId="1FA01312" w14:textId="77777777" w:rsidR="00AC6AE5" w:rsidRPr="00A267BE" w:rsidRDefault="00AC6AE5" w:rsidP="00AC6AE5">
      <w:pPr>
        <w:pStyle w:val="BodyTextMain"/>
        <w:rPr>
          <w:lang w:val="en-GB"/>
        </w:rPr>
      </w:pPr>
    </w:p>
    <w:p w14:paraId="5B084BBD" w14:textId="77777777" w:rsidR="00AC6AE5" w:rsidRPr="00A267BE" w:rsidRDefault="00AC6AE5" w:rsidP="00AC6AE5">
      <w:pPr>
        <w:pStyle w:val="BodyTextMain"/>
        <w:rPr>
          <w:lang w:val="en-GB"/>
        </w:rPr>
      </w:pPr>
    </w:p>
    <w:p w14:paraId="684E8652" w14:textId="77777777" w:rsidR="00AC6AE5" w:rsidRPr="00A267BE" w:rsidRDefault="00AC6AE5" w:rsidP="00AC6AE5">
      <w:pPr>
        <w:pStyle w:val="Casehead1"/>
        <w:rPr>
          <w:lang w:val="en-GB"/>
        </w:rPr>
      </w:pPr>
      <w:r w:rsidRPr="00A267BE">
        <w:rPr>
          <w:lang w:val="en-GB"/>
        </w:rPr>
        <w:t>PharmaCorp</w:t>
      </w:r>
    </w:p>
    <w:p w14:paraId="2783F0E0" w14:textId="77777777" w:rsidR="00AC6AE5" w:rsidRPr="00A267BE" w:rsidRDefault="00AC6AE5" w:rsidP="00AC6AE5">
      <w:pPr>
        <w:pStyle w:val="Casehead1"/>
        <w:rPr>
          <w:lang w:val="en-GB"/>
        </w:rPr>
      </w:pPr>
    </w:p>
    <w:p w14:paraId="0BBC893C" w14:textId="32947B0D" w:rsidR="00AC6AE5" w:rsidRPr="00A267BE" w:rsidRDefault="00AC6AE5" w:rsidP="00AC6AE5">
      <w:pPr>
        <w:pStyle w:val="BodyTextMain"/>
        <w:rPr>
          <w:lang w:val="en-GB"/>
        </w:rPr>
      </w:pPr>
      <w:r w:rsidRPr="00A267BE">
        <w:rPr>
          <w:lang w:val="en-GB"/>
        </w:rPr>
        <w:t xml:space="preserve">PharmaCorp was incorporated in 1896 and had its </w:t>
      </w:r>
      <w:r w:rsidR="00A267BE">
        <w:rPr>
          <w:lang w:val="en-GB"/>
        </w:rPr>
        <w:t>c</w:t>
      </w:r>
      <w:r w:rsidRPr="00A267BE">
        <w:rPr>
          <w:lang w:val="en-GB"/>
        </w:rPr>
        <w:t xml:space="preserve">orporate </w:t>
      </w:r>
      <w:r w:rsidR="00A267BE">
        <w:rPr>
          <w:lang w:val="en-GB"/>
        </w:rPr>
        <w:t>h</w:t>
      </w:r>
      <w:r w:rsidRPr="00A267BE">
        <w:rPr>
          <w:lang w:val="en-GB"/>
        </w:rPr>
        <w:t>eadquarters (</w:t>
      </w:r>
      <w:r w:rsidR="008515A2">
        <w:rPr>
          <w:lang w:val="en-GB"/>
        </w:rPr>
        <w:t>C</w:t>
      </w:r>
      <w:r w:rsidRPr="00A267BE">
        <w:rPr>
          <w:lang w:val="en-GB"/>
        </w:rPr>
        <w:t>HQ) in Munich</w:t>
      </w:r>
      <w:r w:rsidR="00A267BE">
        <w:rPr>
          <w:lang w:val="en-GB"/>
        </w:rPr>
        <w:t>,</w:t>
      </w:r>
      <w:r w:rsidRPr="00A267BE">
        <w:rPr>
          <w:lang w:val="en-GB"/>
        </w:rPr>
        <w:t xml:space="preserve"> Germany. In 2014, it employed </w:t>
      </w:r>
      <w:r w:rsidR="00A267BE">
        <w:rPr>
          <w:lang w:val="en-GB"/>
        </w:rPr>
        <w:t>a</w:t>
      </w:r>
      <w:r w:rsidR="00127D6E">
        <w:rPr>
          <w:lang w:val="en-GB"/>
        </w:rPr>
        <w:t>bout</w:t>
      </w:r>
      <w:r w:rsidR="00A267BE" w:rsidRPr="00A267BE">
        <w:rPr>
          <w:lang w:val="en-GB"/>
        </w:rPr>
        <w:t xml:space="preserve"> </w:t>
      </w:r>
      <w:r w:rsidRPr="00A267BE">
        <w:rPr>
          <w:lang w:val="en-GB"/>
        </w:rPr>
        <w:t xml:space="preserve">54,000 people worldwide and generated </w:t>
      </w:r>
      <w:r w:rsidR="00A267BE">
        <w:rPr>
          <w:lang w:val="en-GB"/>
        </w:rPr>
        <w:t>€</w:t>
      </w:r>
      <w:r w:rsidRPr="00A267BE">
        <w:rPr>
          <w:lang w:val="en-GB"/>
        </w:rPr>
        <w:t>20 b</w:t>
      </w:r>
      <w:r w:rsidR="00A267BE">
        <w:rPr>
          <w:lang w:val="en-GB"/>
        </w:rPr>
        <w:t>illio</w:t>
      </w:r>
      <w:r w:rsidRPr="00A267BE">
        <w:rPr>
          <w:lang w:val="en-GB"/>
        </w:rPr>
        <w:t>n</w:t>
      </w:r>
      <w:r w:rsidR="008A273C">
        <w:rPr>
          <w:rStyle w:val="FootnoteReference"/>
          <w:lang w:val="en-GB"/>
        </w:rPr>
        <w:footnoteReference w:id="1"/>
      </w:r>
      <w:r w:rsidRPr="00A267BE">
        <w:rPr>
          <w:lang w:val="en-GB"/>
        </w:rPr>
        <w:t xml:space="preserve"> </w:t>
      </w:r>
      <w:r w:rsidR="00A267BE">
        <w:rPr>
          <w:lang w:val="en-GB"/>
        </w:rPr>
        <w:t>in</w:t>
      </w:r>
      <w:r w:rsidR="00A267BE" w:rsidRPr="00A267BE">
        <w:rPr>
          <w:lang w:val="en-GB"/>
        </w:rPr>
        <w:t xml:space="preserve"> </w:t>
      </w:r>
      <w:r w:rsidRPr="00A267BE">
        <w:rPr>
          <w:lang w:val="en-GB"/>
        </w:rPr>
        <w:t>sales. Its portfolio covered more than 40 drugs in human-, animal-, and bio-pharmaceuticals.</w:t>
      </w:r>
    </w:p>
    <w:p w14:paraId="5AE97DB0" w14:textId="77777777" w:rsidR="00AC6AE5" w:rsidRPr="00A267BE" w:rsidRDefault="00AC6AE5" w:rsidP="00AC6AE5">
      <w:pPr>
        <w:pStyle w:val="BodyTextMain"/>
        <w:rPr>
          <w:lang w:val="en-GB"/>
        </w:rPr>
      </w:pPr>
    </w:p>
    <w:p w14:paraId="4A87C04C" w14:textId="77777777" w:rsidR="00AC6AE5" w:rsidRPr="00A267BE" w:rsidRDefault="00AC6AE5" w:rsidP="00AC6AE5">
      <w:pPr>
        <w:pStyle w:val="BodyTextMain"/>
        <w:rPr>
          <w:lang w:val="en-GB"/>
        </w:rPr>
      </w:pPr>
      <w:r w:rsidRPr="00A267BE">
        <w:rPr>
          <w:lang w:val="en-GB"/>
        </w:rPr>
        <w:t>As one of the leading global pharmaceutical companies, PharmaCorp ranked second</w:t>
      </w:r>
      <w:r w:rsidR="00A267BE">
        <w:rPr>
          <w:lang w:val="en-GB"/>
        </w:rPr>
        <w:t>, in 2014,</w:t>
      </w:r>
      <w:r w:rsidRPr="00A267BE">
        <w:rPr>
          <w:lang w:val="en-GB"/>
        </w:rPr>
        <w:t xml:space="preserve"> in terms of the percentage of its total revenue spent on research and development (R&amp;D). It </w:t>
      </w:r>
      <w:r w:rsidR="00A267BE">
        <w:rPr>
          <w:lang w:val="en-GB"/>
        </w:rPr>
        <w:t>conducted</w:t>
      </w:r>
      <w:r w:rsidR="00A267BE" w:rsidRPr="00A267BE">
        <w:rPr>
          <w:lang w:val="en-GB"/>
        </w:rPr>
        <w:t xml:space="preserve"> </w:t>
      </w:r>
      <w:r w:rsidRPr="00A267BE">
        <w:rPr>
          <w:lang w:val="en-GB"/>
        </w:rPr>
        <w:t>R&amp;D in Germany, Austria, France, Japan, and the U</w:t>
      </w:r>
      <w:r w:rsidR="00A267BE">
        <w:rPr>
          <w:lang w:val="en-GB"/>
        </w:rPr>
        <w:t xml:space="preserve">nited </w:t>
      </w:r>
      <w:r w:rsidRPr="00A267BE">
        <w:rPr>
          <w:lang w:val="en-GB"/>
        </w:rPr>
        <w:t>S</w:t>
      </w:r>
      <w:r w:rsidR="00A267BE">
        <w:rPr>
          <w:lang w:val="en-GB"/>
        </w:rPr>
        <w:t>tates</w:t>
      </w:r>
      <w:r w:rsidRPr="00A267BE">
        <w:rPr>
          <w:lang w:val="en-GB"/>
        </w:rPr>
        <w:t xml:space="preserve">, had production in more than </w:t>
      </w:r>
      <w:r w:rsidR="00A267BE">
        <w:rPr>
          <w:lang w:val="en-GB"/>
        </w:rPr>
        <w:t>11</w:t>
      </w:r>
      <w:r w:rsidR="00A267BE" w:rsidRPr="00A267BE">
        <w:rPr>
          <w:lang w:val="en-GB"/>
        </w:rPr>
        <w:t xml:space="preserve"> </w:t>
      </w:r>
      <w:r w:rsidRPr="00A267BE">
        <w:rPr>
          <w:lang w:val="en-GB"/>
        </w:rPr>
        <w:t>countries, and operations in more than 150 countries.</w:t>
      </w:r>
    </w:p>
    <w:p w14:paraId="54E90B02" w14:textId="77777777" w:rsidR="00AC6AE5" w:rsidRPr="00A267BE" w:rsidRDefault="00AC6AE5" w:rsidP="00AC6AE5">
      <w:pPr>
        <w:pStyle w:val="BodyTextMain"/>
        <w:rPr>
          <w:lang w:val="en-GB"/>
        </w:rPr>
      </w:pPr>
    </w:p>
    <w:p w14:paraId="0B583F0B" w14:textId="3970B48A" w:rsidR="00AC6AE5" w:rsidRPr="00A267BE" w:rsidRDefault="00AC6AE5" w:rsidP="00AC6AE5">
      <w:pPr>
        <w:pStyle w:val="BodyTextMain"/>
        <w:rPr>
          <w:lang w:val="en-GB"/>
        </w:rPr>
      </w:pPr>
      <w:r w:rsidRPr="00A267BE">
        <w:rPr>
          <w:lang w:val="en-GB"/>
        </w:rPr>
        <w:lastRenderedPageBreak/>
        <w:t xml:space="preserve">In 1991, PharmaCorp started its operations in Ukraine, and since then </w:t>
      </w:r>
      <w:r w:rsidR="00A267BE">
        <w:rPr>
          <w:lang w:val="en-GB"/>
        </w:rPr>
        <w:t xml:space="preserve">had </w:t>
      </w:r>
      <w:r w:rsidRPr="00A267BE">
        <w:rPr>
          <w:lang w:val="en-GB"/>
        </w:rPr>
        <w:t xml:space="preserve">been a premium brand, recognized in the market for its high-quality drugs. </w:t>
      </w:r>
      <w:r w:rsidR="004B1AA4">
        <w:rPr>
          <w:lang w:val="en-GB"/>
        </w:rPr>
        <w:t>O</w:t>
      </w:r>
      <w:r w:rsidRPr="00A267BE">
        <w:rPr>
          <w:lang w:val="en-GB"/>
        </w:rPr>
        <w:t xml:space="preserve">wing to the economic development of Ukraine and </w:t>
      </w:r>
      <w:r w:rsidR="003075D4">
        <w:rPr>
          <w:lang w:val="en-GB"/>
        </w:rPr>
        <w:t xml:space="preserve">Ukrainian </w:t>
      </w:r>
      <w:r w:rsidRPr="00A267BE">
        <w:rPr>
          <w:lang w:val="en-GB"/>
        </w:rPr>
        <w:t>patients’ demand patterns, PharmaCorp’s product portfolio was relatively small in Ukraine</w:t>
      </w:r>
      <w:r w:rsidR="00637329">
        <w:rPr>
          <w:lang w:val="en-GB"/>
        </w:rPr>
        <w:t xml:space="preserve"> and</w:t>
      </w:r>
      <w:r w:rsidR="004B1AA4">
        <w:rPr>
          <w:lang w:val="en-GB"/>
        </w:rPr>
        <w:t xml:space="preserve"> contained mainly long-established, well-proven drugs.</w:t>
      </w:r>
    </w:p>
    <w:p w14:paraId="53775160" w14:textId="77777777" w:rsidR="004B1AA4" w:rsidRDefault="004B1AA4" w:rsidP="00AC6AE5">
      <w:pPr>
        <w:pStyle w:val="BodyTextMain"/>
        <w:rPr>
          <w:lang w:val="en-GB"/>
        </w:rPr>
      </w:pPr>
    </w:p>
    <w:p w14:paraId="2379BB8D" w14:textId="33CAF39E" w:rsidR="00AC6AE5" w:rsidRPr="00A267BE" w:rsidRDefault="00AC6AE5" w:rsidP="00AC6AE5">
      <w:pPr>
        <w:pStyle w:val="BodyTextMain"/>
        <w:rPr>
          <w:lang w:val="en-GB"/>
        </w:rPr>
      </w:pPr>
      <w:r w:rsidRPr="00A267BE">
        <w:rPr>
          <w:lang w:val="en-GB"/>
        </w:rPr>
        <w:t>PharmaCorp Ukraine was founded as an operating unit (see Exhibit 1)</w:t>
      </w:r>
      <w:r w:rsidR="00A267BE">
        <w:rPr>
          <w:lang w:val="en-GB"/>
        </w:rPr>
        <w:t>,</w:t>
      </w:r>
      <w:r w:rsidRPr="00A267BE">
        <w:rPr>
          <w:lang w:val="en-GB"/>
        </w:rPr>
        <w:t xml:space="preserve"> </w:t>
      </w:r>
      <w:r w:rsidR="00A267BE">
        <w:rPr>
          <w:lang w:val="en-GB"/>
        </w:rPr>
        <w:t>which</w:t>
      </w:r>
      <w:r w:rsidR="00A267BE" w:rsidRPr="00A267BE">
        <w:rPr>
          <w:lang w:val="en-GB"/>
        </w:rPr>
        <w:t xml:space="preserve"> </w:t>
      </w:r>
      <w:r w:rsidRPr="00A267BE">
        <w:rPr>
          <w:lang w:val="en-GB"/>
        </w:rPr>
        <w:t>mean</w:t>
      </w:r>
      <w:r w:rsidR="00A267BE">
        <w:rPr>
          <w:lang w:val="en-GB"/>
        </w:rPr>
        <w:t>t</w:t>
      </w:r>
      <w:r w:rsidRPr="00A267BE">
        <w:rPr>
          <w:lang w:val="en-GB"/>
        </w:rPr>
        <w:t xml:space="preserve"> that the office in Ukraine was an extension of PharmaCorp’s </w:t>
      </w:r>
      <w:r w:rsidR="00A267BE">
        <w:rPr>
          <w:lang w:val="en-GB"/>
        </w:rPr>
        <w:t>RHQ</w:t>
      </w:r>
      <w:r w:rsidRPr="00A267BE">
        <w:rPr>
          <w:lang w:val="en-GB"/>
        </w:rPr>
        <w:t xml:space="preserve"> in </w:t>
      </w:r>
      <w:r w:rsidR="00AC39A0">
        <w:rPr>
          <w:lang w:val="en-GB"/>
        </w:rPr>
        <w:t>Milan</w:t>
      </w:r>
      <w:r w:rsidR="003075D4">
        <w:rPr>
          <w:lang w:val="en-GB"/>
        </w:rPr>
        <w:t xml:space="preserve">, </w:t>
      </w:r>
      <w:r w:rsidR="00AC39A0">
        <w:rPr>
          <w:lang w:val="en-GB"/>
        </w:rPr>
        <w:t>Italy</w:t>
      </w:r>
      <w:r w:rsidRPr="00A267BE">
        <w:rPr>
          <w:lang w:val="en-GB"/>
        </w:rPr>
        <w:t xml:space="preserve">, </w:t>
      </w:r>
      <w:r w:rsidR="003075D4">
        <w:rPr>
          <w:lang w:val="en-GB"/>
        </w:rPr>
        <w:t xml:space="preserve">and </w:t>
      </w:r>
      <w:r w:rsidR="00A267BE" w:rsidRPr="00A267BE">
        <w:rPr>
          <w:lang w:val="en-GB"/>
        </w:rPr>
        <w:t>conduct</w:t>
      </w:r>
      <w:r w:rsidR="00A267BE">
        <w:rPr>
          <w:lang w:val="en-GB"/>
        </w:rPr>
        <w:t>ed</w:t>
      </w:r>
      <w:r w:rsidR="00A267BE" w:rsidRPr="00A267BE">
        <w:rPr>
          <w:lang w:val="en-GB"/>
        </w:rPr>
        <w:t xml:space="preserve"> </w:t>
      </w:r>
      <w:r w:rsidRPr="00A267BE">
        <w:rPr>
          <w:lang w:val="en-GB"/>
        </w:rPr>
        <w:t xml:space="preserve">local sales activities, in comparison </w:t>
      </w:r>
      <w:r w:rsidR="00A267BE">
        <w:rPr>
          <w:lang w:val="en-GB"/>
        </w:rPr>
        <w:t>with</w:t>
      </w:r>
      <w:r w:rsidR="00A267BE" w:rsidRPr="00A267BE">
        <w:rPr>
          <w:lang w:val="en-GB"/>
        </w:rPr>
        <w:t xml:space="preserve"> </w:t>
      </w:r>
      <w:r w:rsidRPr="00A267BE">
        <w:rPr>
          <w:lang w:val="en-GB"/>
        </w:rPr>
        <w:t xml:space="preserve">a </w:t>
      </w:r>
      <w:r w:rsidR="007D13D5" w:rsidRPr="007E7610">
        <w:rPr>
          <w:lang w:val="en-GB"/>
        </w:rPr>
        <w:t>full-fledged</w:t>
      </w:r>
      <w:r w:rsidRPr="007E7610">
        <w:rPr>
          <w:lang w:val="en-GB"/>
        </w:rPr>
        <w:t xml:space="preserve"> subsidiary</w:t>
      </w:r>
      <w:r w:rsidRPr="00A267BE">
        <w:rPr>
          <w:lang w:val="en-GB"/>
        </w:rPr>
        <w:t xml:space="preserve"> that </w:t>
      </w:r>
      <w:r w:rsidR="00A267BE">
        <w:rPr>
          <w:lang w:val="en-GB"/>
        </w:rPr>
        <w:t>was</w:t>
      </w:r>
      <w:r w:rsidR="00A267BE" w:rsidRPr="00A267BE">
        <w:rPr>
          <w:lang w:val="en-GB"/>
        </w:rPr>
        <w:t xml:space="preserve"> </w:t>
      </w:r>
      <w:r w:rsidRPr="00A267BE">
        <w:rPr>
          <w:lang w:val="en-GB"/>
        </w:rPr>
        <w:t>relatively independent. The RHQ issued all documents (e.g.</w:t>
      </w:r>
      <w:r w:rsidR="00A267BE">
        <w:rPr>
          <w:lang w:val="en-GB"/>
        </w:rPr>
        <w:t>,</w:t>
      </w:r>
      <w:r w:rsidRPr="00A267BE">
        <w:rPr>
          <w:lang w:val="en-GB"/>
        </w:rPr>
        <w:t xml:space="preserve"> working contracts, legal documents, and invoices) and was liable for the </w:t>
      </w:r>
      <w:r w:rsidR="007B2168">
        <w:rPr>
          <w:lang w:val="en-GB"/>
        </w:rPr>
        <w:t xml:space="preserve">PharmaCorp </w:t>
      </w:r>
      <w:r w:rsidRPr="00A267BE">
        <w:rPr>
          <w:lang w:val="en-GB"/>
        </w:rPr>
        <w:t>transactions in Ukraine. PharmaCorp Ukraine was responsible for local operational tasks, whereas most of the tasks related to strategic decision-making were located at the RHQ, to which PharmaCorp Ukraine reported.</w:t>
      </w:r>
    </w:p>
    <w:p w14:paraId="101CC460" w14:textId="77777777" w:rsidR="00AC6AE5" w:rsidRPr="00A267BE" w:rsidRDefault="00AC6AE5" w:rsidP="00AC6AE5">
      <w:pPr>
        <w:pStyle w:val="BodyTextMain"/>
        <w:rPr>
          <w:lang w:val="en-GB"/>
        </w:rPr>
      </w:pPr>
    </w:p>
    <w:p w14:paraId="3AA65A89" w14:textId="5C215425" w:rsidR="00AC6AE5" w:rsidRPr="00A267BE" w:rsidRDefault="00AC6AE5" w:rsidP="00AC6AE5">
      <w:pPr>
        <w:pStyle w:val="BodyTextMain"/>
        <w:rPr>
          <w:lang w:val="en-GB"/>
        </w:rPr>
      </w:pPr>
      <w:r w:rsidRPr="00A267BE">
        <w:rPr>
          <w:lang w:val="en-GB"/>
        </w:rPr>
        <w:t xml:space="preserve">The RHQ was responsible for 30 affiliates in Central and Eastern European </w:t>
      </w:r>
      <w:r w:rsidR="00030D4A" w:rsidRPr="00A267BE">
        <w:rPr>
          <w:lang w:val="en-GB"/>
        </w:rPr>
        <w:t>(CEE)</w:t>
      </w:r>
      <w:r w:rsidR="00030D4A">
        <w:rPr>
          <w:lang w:val="en-GB"/>
        </w:rPr>
        <w:t xml:space="preserve"> </w:t>
      </w:r>
      <w:r w:rsidRPr="00A267BE">
        <w:rPr>
          <w:lang w:val="en-GB"/>
        </w:rPr>
        <w:t xml:space="preserve">countries, as well as five Central Asian countries. In its intermediary position between the </w:t>
      </w:r>
      <w:r w:rsidR="008515A2">
        <w:rPr>
          <w:lang w:val="en-GB"/>
        </w:rPr>
        <w:t>C</w:t>
      </w:r>
      <w:r w:rsidRPr="00A267BE">
        <w:rPr>
          <w:lang w:val="en-GB"/>
        </w:rPr>
        <w:t xml:space="preserve">HQ in Germany and the 35 affiliates, the RHQ had a bridging function: It reported to the corporate </w:t>
      </w:r>
      <w:r w:rsidR="008515A2">
        <w:rPr>
          <w:lang w:val="en-GB"/>
        </w:rPr>
        <w:t>C</w:t>
      </w:r>
      <w:r w:rsidRPr="00A267BE">
        <w:rPr>
          <w:lang w:val="en-GB"/>
        </w:rPr>
        <w:t xml:space="preserve">HQ in Germany, and communicated the targets set by the </w:t>
      </w:r>
      <w:r w:rsidR="008515A2">
        <w:rPr>
          <w:lang w:val="en-GB"/>
        </w:rPr>
        <w:t>C</w:t>
      </w:r>
      <w:r w:rsidRPr="00A267BE">
        <w:rPr>
          <w:lang w:val="en-GB"/>
        </w:rPr>
        <w:t xml:space="preserve">HQ to its own regional affiliates. </w:t>
      </w:r>
      <w:r w:rsidR="00030D4A">
        <w:rPr>
          <w:lang w:val="en-GB"/>
        </w:rPr>
        <w:t>In doing so,</w:t>
      </w:r>
      <w:r w:rsidR="00030D4A" w:rsidRPr="00A267BE">
        <w:rPr>
          <w:lang w:val="en-GB"/>
        </w:rPr>
        <w:t xml:space="preserve"> </w:t>
      </w:r>
      <w:r w:rsidRPr="00A267BE">
        <w:rPr>
          <w:lang w:val="en-GB"/>
        </w:rPr>
        <w:t xml:space="preserve">the RHQ aligned the corporate </w:t>
      </w:r>
      <w:r w:rsidR="00030D4A">
        <w:rPr>
          <w:lang w:val="en-GB"/>
        </w:rPr>
        <w:t xml:space="preserve">strategy </w:t>
      </w:r>
      <w:r w:rsidRPr="00A267BE">
        <w:rPr>
          <w:lang w:val="en-GB"/>
        </w:rPr>
        <w:t>with the regional strategy and acted on regional opportunities. It also undertook intra-regional c</w:t>
      </w:r>
      <w:r w:rsidR="00D00A9D" w:rsidRPr="00B6132C">
        <w:rPr>
          <w:lang w:val="en-GB"/>
        </w:rPr>
        <w:t>oo</w:t>
      </w:r>
      <w:r w:rsidRPr="00A267BE">
        <w:rPr>
          <w:lang w:val="en-GB"/>
        </w:rPr>
        <w:t xml:space="preserve">rdination and control activities. </w:t>
      </w:r>
      <w:r w:rsidR="00030D4A">
        <w:rPr>
          <w:lang w:val="en-GB"/>
        </w:rPr>
        <w:t>I</w:t>
      </w:r>
      <w:r w:rsidR="00030D4A" w:rsidRPr="00A267BE">
        <w:rPr>
          <w:lang w:val="en-GB"/>
        </w:rPr>
        <w:t>ntense c</w:t>
      </w:r>
      <w:r w:rsidR="00D00A9D" w:rsidRPr="00B6132C">
        <w:rPr>
          <w:lang w:val="en-GB"/>
        </w:rPr>
        <w:t>o-o</w:t>
      </w:r>
      <w:r w:rsidR="00030D4A" w:rsidRPr="00A267BE">
        <w:rPr>
          <w:lang w:val="en-GB"/>
        </w:rPr>
        <w:t>peration between the RHQ and the Ukrainian operating unit</w:t>
      </w:r>
      <w:r w:rsidR="00030D4A">
        <w:rPr>
          <w:lang w:val="en-GB"/>
        </w:rPr>
        <w:t xml:space="preserve"> was encouraged </w:t>
      </w:r>
      <w:r w:rsidR="003075D4">
        <w:rPr>
          <w:lang w:val="en-GB"/>
        </w:rPr>
        <w:t>after</w:t>
      </w:r>
      <w:r w:rsidR="00030D4A">
        <w:rPr>
          <w:lang w:val="en-GB"/>
        </w:rPr>
        <w:t xml:space="preserve"> t</w:t>
      </w:r>
      <w:r w:rsidRPr="00A267BE">
        <w:rPr>
          <w:lang w:val="en-GB"/>
        </w:rPr>
        <w:t xml:space="preserve">he onset of the </w:t>
      </w:r>
      <w:r w:rsidR="003075D4" w:rsidRPr="00A267BE">
        <w:rPr>
          <w:lang w:val="en-GB"/>
        </w:rPr>
        <w:t>Ukrain</w:t>
      </w:r>
      <w:r w:rsidR="003075D4">
        <w:rPr>
          <w:lang w:val="en-GB"/>
        </w:rPr>
        <w:t>ian</w:t>
      </w:r>
      <w:r w:rsidR="003075D4" w:rsidRPr="00A267BE">
        <w:rPr>
          <w:lang w:val="en-GB"/>
        </w:rPr>
        <w:t xml:space="preserve"> </w:t>
      </w:r>
      <w:r w:rsidRPr="00A267BE">
        <w:rPr>
          <w:lang w:val="en-GB"/>
        </w:rPr>
        <w:t>crisis in late 2013</w:t>
      </w:r>
      <w:r w:rsidR="00030D4A">
        <w:rPr>
          <w:lang w:val="en-GB"/>
        </w:rPr>
        <w:t>,</w:t>
      </w:r>
      <w:r w:rsidRPr="00A267BE">
        <w:rPr>
          <w:lang w:val="en-GB"/>
        </w:rPr>
        <w:t xml:space="preserve"> </w:t>
      </w:r>
      <w:r w:rsidR="00030D4A">
        <w:rPr>
          <w:lang w:val="en-GB"/>
        </w:rPr>
        <w:t xml:space="preserve">which </w:t>
      </w:r>
      <w:r w:rsidRPr="00A267BE">
        <w:rPr>
          <w:lang w:val="en-GB"/>
        </w:rPr>
        <w:t xml:space="preserve">was marked by riots and </w:t>
      </w:r>
      <w:r w:rsidR="00030D4A">
        <w:rPr>
          <w:lang w:val="en-GB"/>
        </w:rPr>
        <w:t xml:space="preserve">the </w:t>
      </w:r>
      <w:r w:rsidRPr="00A267BE">
        <w:rPr>
          <w:lang w:val="en-GB"/>
        </w:rPr>
        <w:t>escalation of protests in Kiev (known as “</w:t>
      </w:r>
      <w:r w:rsidR="00D00A9D" w:rsidRPr="00B6132C">
        <w:rPr>
          <w:lang w:val="en-GB"/>
        </w:rPr>
        <w:t>Maidan</w:t>
      </w:r>
      <w:r w:rsidRPr="00A267BE">
        <w:rPr>
          <w:lang w:val="en-GB"/>
        </w:rPr>
        <w:t>”) and the Crimea</w:t>
      </w:r>
      <w:r w:rsidR="00045E20">
        <w:rPr>
          <w:lang w:val="en-GB"/>
        </w:rPr>
        <w:t>n crisis</w:t>
      </w:r>
      <w:r w:rsidRPr="00A267BE">
        <w:rPr>
          <w:lang w:val="en-GB"/>
        </w:rPr>
        <w:t xml:space="preserve"> in early 2014 (followed by war in parts of Eastern Ukraine). The crisis pushed both the RHQ and the operating unit in Ukraine beyond their usual work practices and patterns.</w:t>
      </w:r>
    </w:p>
    <w:p w14:paraId="1AEC146F" w14:textId="77777777" w:rsidR="00AC6AE5" w:rsidRPr="00A267BE" w:rsidRDefault="00AC6AE5" w:rsidP="00AC6AE5">
      <w:pPr>
        <w:pStyle w:val="BodyTextMain"/>
        <w:rPr>
          <w:lang w:val="en-GB"/>
        </w:rPr>
      </w:pPr>
    </w:p>
    <w:p w14:paraId="6DD8B7EB" w14:textId="77777777" w:rsidR="00AC6AE5" w:rsidRPr="00A267BE" w:rsidRDefault="00AC6AE5" w:rsidP="00AC6AE5">
      <w:pPr>
        <w:pStyle w:val="BodyTextMain"/>
        <w:rPr>
          <w:lang w:val="en-GB"/>
        </w:rPr>
      </w:pPr>
    </w:p>
    <w:p w14:paraId="2E14AB28" w14:textId="77777777" w:rsidR="00AC6AE5" w:rsidRPr="00A267BE" w:rsidRDefault="00AC6AE5" w:rsidP="00AC6AE5">
      <w:pPr>
        <w:pStyle w:val="Casehead1"/>
        <w:rPr>
          <w:lang w:val="en-GB"/>
        </w:rPr>
      </w:pPr>
      <w:r w:rsidRPr="00A267BE">
        <w:rPr>
          <w:lang w:val="en-GB"/>
        </w:rPr>
        <w:t>A New Manager Arrives</w:t>
      </w:r>
    </w:p>
    <w:p w14:paraId="69F6EFE0" w14:textId="77777777" w:rsidR="00AC6AE5" w:rsidRPr="00A267BE" w:rsidRDefault="00AC6AE5" w:rsidP="00AC6AE5">
      <w:pPr>
        <w:pStyle w:val="Casehead1"/>
        <w:rPr>
          <w:lang w:val="en-GB"/>
        </w:rPr>
      </w:pPr>
    </w:p>
    <w:p w14:paraId="415D561E" w14:textId="3182E235" w:rsidR="00AC6AE5" w:rsidRPr="00A267BE" w:rsidRDefault="00D00A9D" w:rsidP="00AC6AE5">
      <w:pPr>
        <w:pStyle w:val="BodyTextMain"/>
        <w:rPr>
          <w:lang w:val="en-GB"/>
        </w:rPr>
      </w:pPr>
      <w:r w:rsidRPr="00B6132C">
        <w:rPr>
          <w:lang w:val="en-GB"/>
        </w:rPr>
        <w:t xml:space="preserve">As of </w:t>
      </w:r>
      <w:r w:rsidR="007D13D5" w:rsidRPr="00045E20">
        <w:rPr>
          <w:lang w:val="en-GB"/>
        </w:rPr>
        <w:t>August 1, 2014</w:t>
      </w:r>
      <w:r w:rsidRPr="00B6132C">
        <w:rPr>
          <w:lang w:val="en-GB"/>
        </w:rPr>
        <w:t>,</w:t>
      </w:r>
      <w:r w:rsidR="00AC6AE5" w:rsidRPr="00A267BE">
        <w:rPr>
          <w:lang w:val="en-GB"/>
        </w:rPr>
        <w:t xml:space="preserve"> </w:t>
      </w:r>
      <w:r w:rsidR="002B5A4B">
        <w:rPr>
          <w:lang w:val="en-GB"/>
        </w:rPr>
        <w:t>Barbara Haas, the head of the RHQ</w:t>
      </w:r>
      <w:r w:rsidR="007B2168">
        <w:rPr>
          <w:lang w:val="en-GB"/>
        </w:rPr>
        <w:t xml:space="preserve"> in </w:t>
      </w:r>
      <w:r w:rsidR="00AC39A0">
        <w:rPr>
          <w:lang w:val="en-GB"/>
        </w:rPr>
        <w:t>Milan</w:t>
      </w:r>
      <w:r w:rsidR="002B5A4B">
        <w:rPr>
          <w:lang w:val="en-GB"/>
        </w:rPr>
        <w:t>, faced</w:t>
      </w:r>
      <w:r w:rsidR="00AC6AE5" w:rsidRPr="00A267BE">
        <w:rPr>
          <w:lang w:val="en-GB"/>
        </w:rPr>
        <w:t xml:space="preserve"> major challenges in Ukraine, </w:t>
      </w:r>
      <w:r w:rsidR="002B5A4B">
        <w:rPr>
          <w:lang w:val="en-GB"/>
        </w:rPr>
        <w:t xml:space="preserve">which led her </w:t>
      </w:r>
      <w:r w:rsidR="00AC6AE5" w:rsidRPr="00A267BE">
        <w:rPr>
          <w:lang w:val="en-GB"/>
        </w:rPr>
        <w:t xml:space="preserve">to assign a new country head for the operations in Ukraine. </w:t>
      </w:r>
      <w:r w:rsidR="002B5A4B">
        <w:rPr>
          <w:lang w:val="en-GB"/>
        </w:rPr>
        <w:t>H</w:t>
      </w:r>
      <w:r w:rsidR="002B5A4B" w:rsidRPr="00A267BE">
        <w:rPr>
          <w:lang w:val="en-GB"/>
        </w:rPr>
        <w:t>a</w:t>
      </w:r>
      <w:r w:rsidR="002B5A4B">
        <w:rPr>
          <w:lang w:val="en-GB"/>
        </w:rPr>
        <w:t>as</w:t>
      </w:r>
      <w:r w:rsidR="002B5A4B" w:rsidRPr="00A267BE">
        <w:rPr>
          <w:lang w:val="en-GB"/>
        </w:rPr>
        <w:t xml:space="preserve"> </w:t>
      </w:r>
      <w:r w:rsidR="00AC6AE5" w:rsidRPr="00A267BE">
        <w:rPr>
          <w:lang w:val="en-GB"/>
        </w:rPr>
        <w:t xml:space="preserve">felt that </w:t>
      </w:r>
      <w:r w:rsidR="004B1AA4">
        <w:rPr>
          <w:lang w:val="en-GB"/>
        </w:rPr>
        <w:t xml:space="preserve">Federica </w:t>
      </w:r>
      <w:r w:rsidR="002B5A4B">
        <w:rPr>
          <w:lang w:val="en-GB"/>
        </w:rPr>
        <w:t>Santos</w:t>
      </w:r>
      <w:r w:rsidR="002B5A4B" w:rsidRPr="00A267BE">
        <w:rPr>
          <w:lang w:val="en-GB"/>
        </w:rPr>
        <w:t xml:space="preserve"> </w:t>
      </w:r>
      <w:r w:rsidR="00AC6AE5" w:rsidRPr="00A267BE">
        <w:rPr>
          <w:lang w:val="en-GB"/>
        </w:rPr>
        <w:t>was the right person for the job</w:t>
      </w:r>
      <w:r w:rsidR="001B51A5">
        <w:rPr>
          <w:lang w:val="en-GB"/>
        </w:rPr>
        <w:t>.</w:t>
      </w:r>
      <w:r w:rsidR="00AC6AE5" w:rsidRPr="00A267BE">
        <w:rPr>
          <w:lang w:val="en-GB"/>
        </w:rPr>
        <w:t xml:space="preserve"> </w:t>
      </w:r>
      <w:r w:rsidR="001B51A5">
        <w:rPr>
          <w:lang w:val="en-GB"/>
        </w:rPr>
        <w:t>E</w:t>
      </w:r>
      <w:r w:rsidR="00AC6AE5" w:rsidRPr="00A267BE">
        <w:rPr>
          <w:lang w:val="en-GB"/>
        </w:rPr>
        <w:t xml:space="preserve">ven though she was fluent in </w:t>
      </w:r>
      <w:r w:rsidR="007B2168" w:rsidRPr="00A267BE">
        <w:rPr>
          <w:lang w:val="en-GB"/>
        </w:rPr>
        <w:t xml:space="preserve">neither </w:t>
      </w:r>
      <w:r w:rsidR="00AC6AE5" w:rsidRPr="00A267BE">
        <w:rPr>
          <w:lang w:val="en-GB"/>
        </w:rPr>
        <w:t>Ukrainian nor Russian</w:t>
      </w:r>
      <w:r w:rsidR="001B51A5">
        <w:rPr>
          <w:lang w:val="en-GB"/>
        </w:rPr>
        <w:t>,</w:t>
      </w:r>
      <w:r w:rsidR="00AC6AE5" w:rsidRPr="00A267BE">
        <w:rPr>
          <w:lang w:val="en-GB"/>
        </w:rPr>
        <w:t xml:space="preserve"> </w:t>
      </w:r>
      <w:r w:rsidR="002B5A4B">
        <w:rPr>
          <w:lang w:val="en-GB"/>
        </w:rPr>
        <w:t>Santos</w:t>
      </w:r>
      <w:r w:rsidR="002B5A4B" w:rsidRPr="00A267BE">
        <w:rPr>
          <w:lang w:val="en-GB"/>
        </w:rPr>
        <w:t xml:space="preserve"> </w:t>
      </w:r>
      <w:r w:rsidR="00AC6AE5" w:rsidRPr="00A267BE">
        <w:rPr>
          <w:lang w:val="en-GB"/>
        </w:rPr>
        <w:t xml:space="preserve">had proven her ability to handle difficult markets. </w:t>
      </w:r>
      <w:r w:rsidR="002B5A4B">
        <w:rPr>
          <w:lang w:val="en-GB"/>
        </w:rPr>
        <w:t>For example, Santos had</w:t>
      </w:r>
      <w:r w:rsidR="002B5A4B" w:rsidRPr="00A267BE">
        <w:rPr>
          <w:lang w:val="en-GB"/>
        </w:rPr>
        <w:t xml:space="preserve"> </w:t>
      </w:r>
      <w:r w:rsidR="00AC6AE5" w:rsidRPr="00A267BE">
        <w:rPr>
          <w:lang w:val="en-GB"/>
        </w:rPr>
        <w:t xml:space="preserve">started working for the RHQ after graduation </w:t>
      </w:r>
      <w:r w:rsidR="002B5A4B">
        <w:rPr>
          <w:lang w:val="en-GB"/>
        </w:rPr>
        <w:t>and</w:t>
      </w:r>
      <w:r w:rsidR="001B51A5">
        <w:rPr>
          <w:lang w:val="en-GB"/>
        </w:rPr>
        <w:t>,</w:t>
      </w:r>
      <w:r w:rsidR="002B5A4B">
        <w:rPr>
          <w:lang w:val="en-GB"/>
        </w:rPr>
        <w:t xml:space="preserve"> </w:t>
      </w:r>
      <w:r w:rsidR="00AC6AE5" w:rsidRPr="00A267BE">
        <w:rPr>
          <w:lang w:val="en-GB"/>
        </w:rPr>
        <w:t>soon</w:t>
      </w:r>
      <w:r w:rsidR="002B5A4B">
        <w:rPr>
          <w:lang w:val="en-GB"/>
        </w:rPr>
        <w:t xml:space="preserve"> after</w:t>
      </w:r>
      <w:r w:rsidR="001B51A5">
        <w:rPr>
          <w:lang w:val="en-GB"/>
        </w:rPr>
        <w:t>,</w:t>
      </w:r>
      <w:r w:rsidR="002B5A4B">
        <w:rPr>
          <w:lang w:val="en-GB"/>
        </w:rPr>
        <w:t xml:space="preserve"> was</w:t>
      </w:r>
      <w:r w:rsidR="00AC6AE5" w:rsidRPr="00A267BE">
        <w:rPr>
          <w:lang w:val="en-GB"/>
        </w:rPr>
        <w:t xml:space="preserve"> given the chance to establish PharmaCorp’s subsidiary in Croatia after the war in the 1990s. Later, she assumed responsibility for the whole Balkan region. When </w:t>
      </w:r>
      <w:r w:rsidR="002B5A4B">
        <w:rPr>
          <w:lang w:val="en-GB"/>
        </w:rPr>
        <w:t>Haas</w:t>
      </w:r>
      <w:r w:rsidR="002B5A4B" w:rsidRPr="00A267BE">
        <w:rPr>
          <w:lang w:val="en-GB"/>
        </w:rPr>
        <w:t xml:space="preserve"> </w:t>
      </w:r>
      <w:r w:rsidR="00AC6AE5" w:rsidRPr="00A267BE">
        <w:rPr>
          <w:lang w:val="en-GB"/>
        </w:rPr>
        <w:t xml:space="preserve">offered </w:t>
      </w:r>
      <w:r w:rsidR="002B5A4B">
        <w:rPr>
          <w:lang w:val="en-GB"/>
        </w:rPr>
        <w:t>Santos</w:t>
      </w:r>
      <w:r w:rsidR="002B5A4B" w:rsidRPr="00A267BE">
        <w:rPr>
          <w:lang w:val="en-GB"/>
        </w:rPr>
        <w:t xml:space="preserve"> </w:t>
      </w:r>
      <w:r w:rsidR="00AC6AE5" w:rsidRPr="00A267BE">
        <w:rPr>
          <w:lang w:val="en-GB"/>
        </w:rPr>
        <w:t xml:space="preserve">the chance to head the Ukrainian unit, </w:t>
      </w:r>
      <w:r w:rsidR="007B2168">
        <w:rPr>
          <w:lang w:val="en-GB"/>
        </w:rPr>
        <w:t>Santos</w:t>
      </w:r>
      <w:r w:rsidR="007B2168" w:rsidRPr="00A267BE">
        <w:rPr>
          <w:lang w:val="en-GB"/>
        </w:rPr>
        <w:t xml:space="preserve"> </w:t>
      </w:r>
      <w:r w:rsidR="00AC6AE5" w:rsidRPr="00A267BE">
        <w:rPr>
          <w:lang w:val="en-GB"/>
        </w:rPr>
        <w:t>enthusiastically agreed.</w:t>
      </w:r>
    </w:p>
    <w:p w14:paraId="34BD8C66" w14:textId="77777777" w:rsidR="00AC6AE5" w:rsidRPr="00A267BE" w:rsidRDefault="00AC6AE5" w:rsidP="00AC6AE5">
      <w:pPr>
        <w:pStyle w:val="BodyTextMain"/>
        <w:rPr>
          <w:lang w:val="en-GB"/>
        </w:rPr>
      </w:pPr>
    </w:p>
    <w:p w14:paraId="66BFF42D" w14:textId="77777777" w:rsidR="00AC6AE5" w:rsidRPr="00A267BE" w:rsidRDefault="00AC6AE5" w:rsidP="00AC6AE5">
      <w:pPr>
        <w:pStyle w:val="BodyTextMain"/>
        <w:rPr>
          <w:lang w:val="en-GB"/>
        </w:rPr>
      </w:pPr>
    </w:p>
    <w:p w14:paraId="6D075B5B" w14:textId="77777777" w:rsidR="00AC6AE5" w:rsidRPr="00A267BE" w:rsidRDefault="00AC6AE5" w:rsidP="00AC6AE5">
      <w:pPr>
        <w:pStyle w:val="Casehead1"/>
        <w:rPr>
          <w:lang w:val="en-GB"/>
        </w:rPr>
      </w:pPr>
      <w:r w:rsidRPr="00A267BE">
        <w:rPr>
          <w:lang w:val="en-GB"/>
        </w:rPr>
        <w:t>Briefing by the RHQ</w:t>
      </w:r>
    </w:p>
    <w:p w14:paraId="4E48994F" w14:textId="77777777" w:rsidR="00AC6AE5" w:rsidRPr="00A267BE" w:rsidRDefault="00AC6AE5" w:rsidP="00AC6AE5">
      <w:pPr>
        <w:pStyle w:val="Casehead1"/>
        <w:rPr>
          <w:lang w:val="en-GB"/>
        </w:rPr>
      </w:pPr>
    </w:p>
    <w:p w14:paraId="522E513A" w14:textId="052CD297" w:rsidR="00AC6AE5" w:rsidRPr="00A267BE" w:rsidRDefault="00AC6AE5" w:rsidP="00AC6AE5">
      <w:pPr>
        <w:pStyle w:val="BodyTextMain"/>
        <w:rPr>
          <w:lang w:val="en-GB"/>
        </w:rPr>
      </w:pPr>
      <w:r w:rsidRPr="00A267BE">
        <w:rPr>
          <w:lang w:val="en-GB"/>
        </w:rPr>
        <w:t>“We entered the Ukrainian market in 1991 and we always made profits,</w:t>
      </w:r>
      <w:r w:rsidR="002B5A4B">
        <w:rPr>
          <w:lang w:val="en-GB"/>
        </w:rPr>
        <w:t>”</w:t>
      </w:r>
      <w:r w:rsidRPr="00A267BE">
        <w:rPr>
          <w:lang w:val="en-GB"/>
        </w:rPr>
        <w:t xml:space="preserve"> </w:t>
      </w:r>
      <w:r w:rsidR="002B5A4B">
        <w:rPr>
          <w:lang w:val="en-GB"/>
        </w:rPr>
        <w:t>said Haas, as she</w:t>
      </w:r>
      <w:r w:rsidR="002B5A4B" w:rsidRPr="00A267BE">
        <w:rPr>
          <w:lang w:val="en-GB"/>
        </w:rPr>
        <w:t xml:space="preserve"> </w:t>
      </w:r>
      <w:r w:rsidRPr="00A267BE">
        <w:rPr>
          <w:lang w:val="en-GB"/>
        </w:rPr>
        <w:t xml:space="preserve">briefed </w:t>
      </w:r>
      <w:r w:rsidR="002B5A4B">
        <w:rPr>
          <w:lang w:val="en-GB"/>
        </w:rPr>
        <w:t>Santos</w:t>
      </w:r>
      <w:r w:rsidR="002B5A4B" w:rsidRPr="00A267BE">
        <w:rPr>
          <w:lang w:val="en-GB"/>
        </w:rPr>
        <w:t xml:space="preserve"> </w:t>
      </w:r>
      <w:r w:rsidRPr="00A267BE">
        <w:rPr>
          <w:lang w:val="en-GB"/>
        </w:rPr>
        <w:t xml:space="preserve">on the situation in Ukraine. The local unit’s function </w:t>
      </w:r>
      <w:r w:rsidR="002B5A4B">
        <w:rPr>
          <w:lang w:val="en-GB"/>
        </w:rPr>
        <w:t>wa</w:t>
      </w:r>
      <w:r w:rsidR="002B5A4B" w:rsidRPr="00A267BE">
        <w:rPr>
          <w:lang w:val="en-GB"/>
        </w:rPr>
        <w:t xml:space="preserve">s </w:t>
      </w:r>
      <w:r w:rsidRPr="00A267BE">
        <w:rPr>
          <w:lang w:val="en-GB"/>
        </w:rPr>
        <w:t xml:space="preserve">to manage marketing and sales activities. “And we always encourage our units to come up with initiatives. The RHQ might support them financially, as well as with experience gained in other markets.” </w:t>
      </w:r>
      <w:r w:rsidR="002B5A4B">
        <w:rPr>
          <w:lang w:val="en-GB"/>
        </w:rPr>
        <w:t>Santos</w:t>
      </w:r>
      <w:r w:rsidR="002B5A4B" w:rsidRPr="00A267BE">
        <w:rPr>
          <w:lang w:val="en-GB"/>
        </w:rPr>
        <w:t xml:space="preserve"> </w:t>
      </w:r>
      <w:r w:rsidRPr="00A267BE">
        <w:rPr>
          <w:lang w:val="en-GB"/>
        </w:rPr>
        <w:t xml:space="preserve">knew </w:t>
      </w:r>
      <w:r w:rsidR="002B5A4B">
        <w:rPr>
          <w:lang w:val="en-GB"/>
        </w:rPr>
        <w:t xml:space="preserve">the </w:t>
      </w:r>
      <w:r w:rsidRPr="00A267BE">
        <w:rPr>
          <w:lang w:val="en-GB"/>
        </w:rPr>
        <w:t>autonomy of the local units was restricted</w:t>
      </w:r>
      <w:r w:rsidR="002B5A4B">
        <w:rPr>
          <w:lang w:val="en-GB"/>
        </w:rPr>
        <w:t>,</w:t>
      </w:r>
      <w:r w:rsidRPr="00A267BE">
        <w:rPr>
          <w:lang w:val="en-GB"/>
        </w:rPr>
        <w:t xml:space="preserve"> </w:t>
      </w:r>
      <w:r w:rsidR="002B5A4B">
        <w:rPr>
          <w:lang w:val="en-GB"/>
        </w:rPr>
        <w:t>meaning that</w:t>
      </w:r>
      <w:r w:rsidR="002B5A4B" w:rsidRPr="00A267BE">
        <w:rPr>
          <w:lang w:val="en-GB"/>
        </w:rPr>
        <w:t xml:space="preserve"> </w:t>
      </w:r>
      <w:r w:rsidRPr="00A267BE">
        <w:rPr>
          <w:lang w:val="en-GB"/>
        </w:rPr>
        <w:t xml:space="preserve">constant communication with the RHQ </w:t>
      </w:r>
      <w:r w:rsidR="002B5A4B">
        <w:rPr>
          <w:lang w:val="en-GB"/>
        </w:rPr>
        <w:t xml:space="preserve">was </w:t>
      </w:r>
      <w:r w:rsidRPr="00A267BE">
        <w:rPr>
          <w:lang w:val="en-GB"/>
        </w:rPr>
        <w:t>necessary.</w:t>
      </w:r>
    </w:p>
    <w:p w14:paraId="55EEFCA1" w14:textId="77777777" w:rsidR="00AC6AE5" w:rsidRPr="00A267BE" w:rsidRDefault="00AC6AE5" w:rsidP="00AC6AE5">
      <w:pPr>
        <w:pStyle w:val="BodyTextMain"/>
        <w:rPr>
          <w:lang w:val="en-GB"/>
        </w:rPr>
      </w:pPr>
    </w:p>
    <w:p w14:paraId="4C5E8F2B" w14:textId="77777777" w:rsidR="00AC6AE5" w:rsidRPr="00A267BE" w:rsidRDefault="00AC6AE5" w:rsidP="00AC6AE5">
      <w:pPr>
        <w:pStyle w:val="BodyTextMain"/>
        <w:rPr>
          <w:lang w:val="en-GB"/>
        </w:rPr>
      </w:pPr>
      <w:r w:rsidRPr="00A267BE">
        <w:rPr>
          <w:lang w:val="en-GB"/>
        </w:rPr>
        <w:t xml:space="preserve">So far, Ukrainian </w:t>
      </w:r>
      <w:r w:rsidR="007D13D5" w:rsidRPr="001B51A5">
        <w:rPr>
          <w:lang w:val="en-GB"/>
        </w:rPr>
        <w:t>health-care</w:t>
      </w:r>
      <w:r w:rsidRPr="00A267BE">
        <w:rPr>
          <w:lang w:val="en-GB"/>
        </w:rPr>
        <w:t xml:space="preserve"> professionals and patients</w:t>
      </w:r>
      <w:r w:rsidR="002B5A4B">
        <w:rPr>
          <w:lang w:val="en-GB"/>
        </w:rPr>
        <w:t xml:space="preserve"> had appreciated PharmaCorp’s high-quality drugs</w:t>
      </w:r>
      <w:r w:rsidRPr="00A267BE">
        <w:rPr>
          <w:lang w:val="en-GB"/>
        </w:rPr>
        <w:t xml:space="preserve">. Therefore, although PharmaCorp faced severe competition in Ukraine, it </w:t>
      </w:r>
      <w:r w:rsidR="002F05CE">
        <w:rPr>
          <w:lang w:val="en-GB"/>
        </w:rPr>
        <w:t xml:space="preserve">had </w:t>
      </w:r>
      <w:r w:rsidRPr="00A267BE">
        <w:rPr>
          <w:lang w:val="en-GB"/>
        </w:rPr>
        <w:t xml:space="preserve">steadily gained market share. </w:t>
      </w:r>
      <w:r w:rsidR="002B5A4B">
        <w:rPr>
          <w:lang w:val="en-GB"/>
        </w:rPr>
        <w:t>In</w:t>
      </w:r>
      <w:r w:rsidRPr="00A267BE">
        <w:rPr>
          <w:lang w:val="en-GB"/>
        </w:rPr>
        <w:t xml:space="preserve"> fact, the unit managed to outperform other PharmaCorp units in the CEE region in terms of sales and profitability. Even </w:t>
      </w:r>
      <w:r w:rsidR="002F05CE">
        <w:rPr>
          <w:lang w:val="en-GB"/>
        </w:rPr>
        <w:t xml:space="preserve">in 2008, </w:t>
      </w:r>
      <w:r w:rsidRPr="00A267BE">
        <w:rPr>
          <w:lang w:val="en-GB"/>
        </w:rPr>
        <w:t xml:space="preserve">when the economic downturn </w:t>
      </w:r>
      <w:r w:rsidR="002F05CE">
        <w:rPr>
          <w:lang w:val="en-GB"/>
        </w:rPr>
        <w:t xml:space="preserve">had </w:t>
      </w:r>
      <w:r w:rsidRPr="00A267BE">
        <w:rPr>
          <w:lang w:val="en-GB"/>
        </w:rPr>
        <w:t xml:space="preserve">severely hit businesses in Ukraine, PharmaCorp managed to meet </w:t>
      </w:r>
      <w:r w:rsidR="002B5A4B">
        <w:rPr>
          <w:lang w:val="en-GB"/>
        </w:rPr>
        <w:t xml:space="preserve">its </w:t>
      </w:r>
      <w:r w:rsidRPr="00A267BE">
        <w:rPr>
          <w:lang w:val="en-GB"/>
        </w:rPr>
        <w:t>internal targets.</w:t>
      </w:r>
    </w:p>
    <w:p w14:paraId="62A746ED" w14:textId="77777777" w:rsidR="00AC6AE5" w:rsidRPr="00A267BE" w:rsidRDefault="00AC6AE5" w:rsidP="00AC6AE5">
      <w:pPr>
        <w:pStyle w:val="BodyTextMain"/>
        <w:rPr>
          <w:lang w:val="en-GB"/>
        </w:rPr>
      </w:pPr>
    </w:p>
    <w:p w14:paraId="4658D7ED" w14:textId="472F12FC" w:rsidR="00AC6AE5" w:rsidRPr="00A267BE" w:rsidRDefault="00AC6AE5" w:rsidP="00AC6AE5">
      <w:pPr>
        <w:pStyle w:val="BodyTextMain"/>
        <w:rPr>
          <w:lang w:val="en-GB"/>
        </w:rPr>
      </w:pPr>
      <w:r w:rsidRPr="00A267BE">
        <w:rPr>
          <w:lang w:val="en-GB"/>
        </w:rPr>
        <w:lastRenderedPageBreak/>
        <w:t xml:space="preserve">This </w:t>
      </w:r>
      <w:r w:rsidR="002B5A4B">
        <w:rPr>
          <w:lang w:val="en-GB"/>
        </w:rPr>
        <w:t>time</w:t>
      </w:r>
      <w:r w:rsidRPr="00A267BE">
        <w:rPr>
          <w:lang w:val="en-GB"/>
        </w:rPr>
        <w:t xml:space="preserve">, however, </w:t>
      </w:r>
      <w:r w:rsidR="002B5A4B">
        <w:rPr>
          <w:lang w:val="en-GB"/>
        </w:rPr>
        <w:t xml:space="preserve">the crisis </w:t>
      </w:r>
      <w:r w:rsidRPr="00A267BE">
        <w:rPr>
          <w:lang w:val="en-GB"/>
        </w:rPr>
        <w:t>was different. PharmaCorp Ukraine was going through the most difficult time since its establishment: All of a sudden</w:t>
      </w:r>
      <w:r w:rsidR="00BD4FED">
        <w:rPr>
          <w:lang w:val="en-GB"/>
        </w:rPr>
        <w:t>,</w:t>
      </w:r>
      <w:r w:rsidRPr="00A267BE">
        <w:rPr>
          <w:lang w:val="en-GB"/>
        </w:rPr>
        <w:t xml:space="preserve"> </w:t>
      </w:r>
      <w:r w:rsidR="00BD4FED">
        <w:rPr>
          <w:lang w:val="en-GB"/>
        </w:rPr>
        <w:t>the company</w:t>
      </w:r>
      <w:r w:rsidRPr="00A267BE">
        <w:rPr>
          <w:lang w:val="en-GB"/>
        </w:rPr>
        <w:t xml:space="preserve"> was in the red. Furthermore, PharmaCorp Ukraine’s responsibility for Crimea (a local region with a population of approximately 2.3 million) had been shifted to the Russian subsidiary, and due to war</w:t>
      </w:r>
      <w:r w:rsidR="002B5A4B">
        <w:rPr>
          <w:lang w:val="en-GB"/>
        </w:rPr>
        <w:t>,</w:t>
      </w:r>
      <w:r w:rsidRPr="00A267BE">
        <w:rPr>
          <w:lang w:val="en-GB"/>
        </w:rPr>
        <w:t xml:space="preserve"> some regions in Eastern Ukraine were cut off from supply. “We are losing ground in Ukraine</w:t>
      </w:r>
      <w:r w:rsidR="002B5A4B">
        <w:rPr>
          <w:lang w:val="en-GB"/>
        </w:rPr>
        <w:t>,</w:t>
      </w:r>
      <w:r w:rsidRPr="00A267BE">
        <w:rPr>
          <w:lang w:val="en-GB"/>
        </w:rPr>
        <w:t xml:space="preserve">” </w:t>
      </w:r>
      <w:r w:rsidR="002B5A4B">
        <w:rPr>
          <w:lang w:val="en-GB"/>
        </w:rPr>
        <w:t>Haas</w:t>
      </w:r>
      <w:r w:rsidR="002B5A4B" w:rsidRPr="00A267BE">
        <w:rPr>
          <w:lang w:val="en-GB"/>
        </w:rPr>
        <w:t xml:space="preserve"> </w:t>
      </w:r>
      <w:r w:rsidRPr="00A267BE">
        <w:rPr>
          <w:lang w:val="en-GB"/>
        </w:rPr>
        <w:t xml:space="preserve">emphasized. “Our performance in the market is devastating. And it is highly irritating that most of our global peers in the Ukraine are suffering from a slump in sales </w:t>
      </w:r>
      <w:r w:rsidR="00BD4FED">
        <w:rPr>
          <w:lang w:val="en-GB"/>
        </w:rPr>
        <w:t>of</w:t>
      </w:r>
      <w:r w:rsidRPr="00A267BE">
        <w:rPr>
          <w:lang w:val="en-GB"/>
        </w:rPr>
        <w:t xml:space="preserve"> only 10</w:t>
      </w:r>
      <w:r w:rsidR="00FB15E0">
        <w:rPr>
          <w:lang w:val="en-GB"/>
        </w:rPr>
        <w:t xml:space="preserve"> to </w:t>
      </w:r>
      <w:r w:rsidRPr="00A267BE">
        <w:rPr>
          <w:lang w:val="en-GB"/>
        </w:rPr>
        <w:t>15</w:t>
      </w:r>
      <w:r w:rsidR="002B5A4B">
        <w:rPr>
          <w:lang w:val="en-GB"/>
        </w:rPr>
        <w:t xml:space="preserve"> per cent</w:t>
      </w:r>
      <w:r w:rsidRPr="00A267BE">
        <w:rPr>
          <w:lang w:val="en-GB"/>
        </w:rPr>
        <w:t>. Imagine, some local competitors have even increased their sales.”</w:t>
      </w:r>
    </w:p>
    <w:p w14:paraId="5960732A" w14:textId="77777777" w:rsidR="00AC6AE5" w:rsidRPr="00A267BE" w:rsidRDefault="00AC6AE5" w:rsidP="00AC6AE5">
      <w:pPr>
        <w:pStyle w:val="BodyTextMain"/>
        <w:rPr>
          <w:lang w:val="en-GB"/>
        </w:rPr>
      </w:pPr>
    </w:p>
    <w:p w14:paraId="642F0AD1" w14:textId="1934683E" w:rsidR="00AC6AE5" w:rsidRPr="00A267BE" w:rsidRDefault="002B5A4B" w:rsidP="00AC6AE5">
      <w:pPr>
        <w:pStyle w:val="BodyTextMain"/>
        <w:rPr>
          <w:lang w:val="en-GB"/>
        </w:rPr>
      </w:pPr>
      <w:r>
        <w:rPr>
          <w:lang w:val="en-GB"/>
        </w:rPr>
        <w:t>Haas</w:t>
      </w:r>
      <w:r w:rsidRPr="00A267BE">
        <w:rPr>
          <w:lang w:val="en-GB"/>
        </w:rPr>
        <w:t xml:space="preserve"> </w:t>
      </w:r>
      <w:r w:rsidR="00AC6AE5" w:rsidRPr="00A267BE">
        <w:rPr>
          <w:lang w:val="en-GB"/>
        </w:rPr>
        <w:t xml:space="preserve">also informed </w:t>
      </w:r>
      <w:r>
        <w:rPr>
          <w:lang w:val="en-GB"/>
        </w:rPr>
        <w:t>Santos</w:t>
      </w:r>
      <w:r w:rsidRPr="00A267BE">
        <w:rPr>
          <w:lang w:val="en-GB"/>
        </w:rPr>
        <w:t xml:space="preserve"> </w:t>
      </w:r>
      <w:r w:rsidR="00AC6AE5" w:rsidRPr="00A267BE">
        <w:rPr>
          <w:lang w:val="en-GB"/>
        </w:rPr>
        <w:t xml:space="preserve">that PharmaCorp Ukraine’s local management team had recently made a request for </w:t>
      </w:r>
      <w:r>
        <w:rPr>
          <w:lang w:val="en-GB"/>
        </w:rPr>
        <w:t xml:space="preserve">an </w:t>
      </w:r>
      <w:r w:rsidRPr="00A267BE">
        <w:rPr>
          <w:lang w:val="en-GB"/>
        </w:rPr>
        <w:t>adjust</w:t>
      </w:r>
      <w:r>
        <w:rPr>
          <w:lang w:val="en-GB"/>
        </w:rPr>
        <w:t>ment to the</w:t>
      </w:r>
      <w:r w:rsidRPr="00A267BE">
        <w:rPr>
          <w:lang w:val="en-GB"/>
        </w:rPr>
        <w:t xml:space="preserve"> </w:t>
      </w:r>
      <w:r w:rsidR="00AC6AE5" w:rsidRPr="00A267BE">
        <w:rPr>
          <w:lang w:val="en-GB"/>
        </w:rPr>
        <w:t xml:space="preserve">internal targets for Ukraine and for more local decision-making autonomy. However, the RHQ did not see </w:t>
      </w:r>
      <w:r w:rsidR="00E91867">
        <w:rPr>
          <w:lang w:val="en-GB"/>
        </w:rPr>
        <w:t>any</w:t>
      </w:r>
      <w:r w:rsidR="00E91867" w:rsidRPr="00A267BE">
        <w:rPr>
          <w:lang w:val="en-GB"/>
        </w:rPr>
        <w:t xml:space="preserve"> </w:t>
      </w:r>
      <w:r w:rsidR="00E91867">
        <w:rPr>
          <w:lang w:val="en-GB"/>
        </w:rPr>
        <w:t>need</w:t>
      </w:r>
      <w:r w:rsidR="00E91867" w:rsidRPr="00A267BE">
        <w:rPr>
          <w:lang w:val="en-GB"/>
        </w:rPr>
        <w:t xml:space="preserve"> </w:t>
      </w:r>
      <w:r w:rsidR="00AC6AE5" w:rsidRPr="00A267BE">
        <w:rPr>
          <w:lang w:val="en-GB"/>
        </w:rPr>
        <w:t xml:space="preserve">to change </w:t>
      </w:r>
      <w:r w:rsidR="002F05CE">
        <w:rPr>
          <w:lang w:val="en-GB"/>
        </w:rPr>
        <w:t xml:space="preserve">the </w:t>
      </w:r>
      <w:r w:rsidR="00AC6AE5" w:rsidRPr="00A267BE">
        <w:rPr>
          <w:lang w:val="en-GB"/>
        </w:rPr>
        <w:t xml:space="preserve">internal targets (see Exhibit 2), which </w:t>
      </w:r>
      <w:r w:rsidR="00E91867">
        <w:rPr>
          <w:lang w:val="en-GB"/>
        </w:rPr>
        <w:t>we</w:t>
      </w:r>
      <w:r w:rsidR="00E91867" w:rsidRPr="00A267BE">
        <w:rPr>
          <w:lang w:val="en-GB"/>
        </w:rPr>
        <w:t xml:space="preserve">re </w:t>
      </w:r>
      <w:r w:rsidR="00AC6AE5" w:rsidRPr="00A267BE">
        <w:rPr>
          <w:lang w:val="en-GB"/>
        </w:rPr>
        <w:t xml:space="preserve">identical across all RHQ affiliates. The RHQ was convinced that Ukraine would </w:t>
      </w:r>
      <w:r w:rsidR="00E91867">
        <w:rPr>
          <w:lang w:val="en-GB"/>
        </w:rPr>
        <w:t xml:space="preserve">again </w:t>
      </w:r>
      <w:r w:rsidR="00AC6AE5" w:rsidRPr="00A267BE">
        <w:rPr>
          <w:lang w:val="en-GB"/>
        </w:rPr>
        <w:t xml:space="preserve">be an attractive market once the crisis was over. </w:t>
      </w:r>
      <w:r w:rsidR="00BD4FED">
        <w:rPr>
          <w:lang w:val="en-GB"/>
        </w:rPr>
        <w:t>RHQ</w:t>
      </w:r>
      <w:r w:rsidR="00AC6AE5" w:rsidRPr="00A267BE">
        <w:rPr>
          <w:lang w:val="en-GB"/>
        </w:rPr>
        <w:t xml:space="preserve"> did not expect profitability to continue </w:t>
      </w:r>
      <w:r w:rsidR="00E91867">
        <w:rPr>
          <w:lang w:val="en-GB"/>
        </w:rPr>
        <w:t>to decrease</w:t>
      </w:r>
      <w:r w:rsidR="00E91867" w:rsidRPr="00A267BE">
        <w:rPr>
          <w:lang w:val="en-GB"/>
        </w:rPr>
        <w:t xml:space="preserve"> </w:t>
      </w:r>
      <w:r w:rsidR="00AC6AE5" w:rsidRPr="00A267BE">
        <w:rPr>
          <w:lang w:val="en-GB"/>
        </w:rPr>
        <w:t xml:space="preserve">in the medium and long run, and </w:t>
      </w:r>
      <w:r w:rsidR="00BD4FED">
        <w:rPr>
          <w:lang w:val="en-GB"/>
        </w:rPr>
        <w:t xml:space="preserve">it </w:t>
      </w:r>
      <w:r w:rsidR="00AC6AE5" w:rsidRPr="00A267BE">
        <w:rPr>
          <w:lang w:val="en-GB"/>
        </w:rPr>
        <w:t xml:space="preserve">predicted </w:t>
      </w:r>
      <w:r w:rsidR="00E91867">
        <w:rPr>
          <w:lang w:val="en-GB"/>
        </w:rPr>
        <w:t xml:space="preserve">that </w:t>
      </w:r>
      <w:r w:rsidR="00AC6AE5" w:rsidRPr="00A267BE">
        <w:rPr>
          <w:lang w:val="en-GB"/>
        </w:rPr>
        <w:t xml:space="preserve">sales </w:t>
      </w:r>
      <w:r w:rsidR="00E91867">
        <w:rPr>
          <w:lang w:val="en-GB"/>
        </w:rPr>
        <w:t>would soon</w:t>
      </w:r>
      <w:r w:rsidR="00E91867" w:rsidRPr="00A267BE">
        <w:rPr>
          <w:lang w:val="en-GB"/>
        </w:rPr>
        <w:t xml:space="preserve"> </w:t>
      </w:r>
      <w:r w:rsidR="00AC6AE5" w:rsidRPr="00A267BE">
        <w:rPr>
          <w:lang w:val="en-GB"/>
        </w:rPr>
        <w:t xml:space="preserve">return to </w:t>
      </w:r>
      <w:r w:rsidR="00E91867">
        <w:rPr>
          <w:lang w:val="en-GB"/>
        </w:rPr>
        <w:t xml:space="preserve">their </w:t>
      </w:r>
      <w:r w:rsidR="00AC6AE5" w:rsidRPr="00A267BE">
        <w:rPr>
          <w:lang w:val="en-GB"/>
        </w:rPr>
        <w:t>pre-crisis levels (referring to the growth rate</w:t>
      </w:r>
      <w:r w:rsidR="00E91867">
        <w:rPr>
          <w:lang w:val="en-GB"/>
        </w:rPr>
        <w:t xml:space="preserve"> of the gross domestic product</w:t>
      </w:r>
      <w:r w:rsidR="00AC6AE5" w:rsidRPr="00A267BE">
        <w:rPr>
          <w:lang w:val="en-GB"/>
        </w:rPr>
        <w:t>: 5.2</w:t>
      </w:r>
      <w:r w:rsidR="00E91867">
        <w:rPr>
          <w:lang w:val="en-GB"/>
        </w:rPr>
        <w:t xml:space="preserve"> per cent in 2011</w:t>
      </w:r>
      <w:r w:rsidR="00AC6AE5" w:rsidRPr="00A267BE">
        <w:rPr>
          <w:lang w:val="en-GB"/>
        </w:rPr>
        <w:t xml:space="preserve"> </w:t>
      </w:r>
      <w:r w:rsidR="00E91867">
        <w:rPr>
          <w:lang w:val="en-GB"/>
        </w:rPr>
        <w:t>and –</w:t>
      </w:r>
      <w:r w:rsidR="00AC6AE5" w:rsidRPr="00A267BE">
        <w:rPr>
          <w:lang w:val="en-GB"/>
        </w:rPr>
        <w:t>6.8</w:t>
      </w:r>
      <w:r w:rsidR="00E91867">
        <w:rPr>
          <w:lang w:val="en-GB"/>
        </w:rPr>
        <w:t xml:space="preserve"> per cent in 2014;</w:t>
      </w:r>
      <w:r w:rsidR="00AC6AE5" w:rsidRPr="00A267BE">
        <w:rPr>
          <w:lang w:val="en-GB"/>
        </w:rPr>
        <w:t xml:space="preserve"> see Exhibit 3).</w:t>
      </w:r>
    </w:p>
    <w:p w14:paraId="7BBED7BA" w14:textId="77777777" w:rsidR="00AC6AE5" w:rsidRPr="00A267BE" w:rsidRDefault="00AC6AE5" w:rsidP="00AC6AE5">
      <w:pPr>
        <w:pStyle w:val="BodyTextMain"/>
        <w:rPr>
          <w:lang w:val="en-GB"/>
        </w:rPr>
      </w:pPr>
    </w:p>
    <w:p w14:paraId="6366F8AC" w14:textId="77777777" w:rsidR="00AC6AE5" w:rsidRPr="00A267BE" w:rsidRDefault="005F2990" w:rsidP="00AC6AE5">
      <w:pPr>
        <w:pStyle w:val="BodyTextMain"/>
        <w:rPr>
          <w:lang w:val="en-GB"/>
        </w:rPr>
      </w:pPr>
      <w:r>
        <w:rPr>
          <w:lang w:val="en-GB"/>
        </w:rPr>
        <w:t>Santos</w:t>
      </w:r>
      <w:r w:rsidRPr="00A267BE">
        <w:rPr>
          <w:lang w:val="en-GB"/>
        </w:rPr>
        <w:t xml:space="preserve"> </w:t>
      </w:r>
      <w:r w:rsidR="00AC6AE5" w:rsidRPr="00A267BE">
        <w:rPr>
          <w:lang w:val="en-GB"/>
        </w:rPr>
        <w:t xml:space="preserve">was well acquainted with PharmaCorp’s procedures and standardized processes. She was also aware of the </w:t>
      </w:r>
      <w:r>
        <w:rPr>
          <w:lang w:val="en-GB"/>
        </w:rPr>
        <w:t>multinational corporation</w:t>
      </w:r>
      <w:r w:rsidRPr="00A267BE">
        <w:rPr>
          <w:lang w:val="en-GB"/>
        </w:rPr>
        <w:t xml:space="preserve">’s </w:t>
      </w:r>
      <w:r w:rsidR="00AC6AE5" w:rsidRPr="00A267BE">
        <w:rPr>
          <w:lang w:val="en-GB"/>
        </w:rPr>
        <w:t xml:space="preserve">preference </w:t>
      </w:r>
      <w:r w:rsidRPr="00A267BE">
        <w:rPr>
          <w:lang w:val="en-GB"/>
        </w:rPr>
        <w:t xml:space="preserve">to </w:t>
      </w:r>
      <w:r w:rsidR="00AC6AE5" w:rsidRPr="00A267BE">
        <w:rPr>
          <w:lang w:val="en-GB"/>
        </w:rPr>
        <w:t>act in accordance with the global strategy</w:t>
      </w:r>
      <w:r w:rsidR="006E316C">
        <w:rPr>
          <w:lang w:val="en-GB"/>
        </w:rPr>
        <w:t xml:space="preserve"> in order to maintain the established global reputation</w:t>
      </w:r>
      <w:r w:rsidR="00AC6AE5" w:rsidRPr="00A267BE">
        <w:rPr>
          <w:lang w:val="en-GB"/>
        </w:rPr>
        <w:t xml:space="preserve">. Legal or any other issues in one single market </w:t>
      </w:r>
      <w:r w:rsidRPr="00A267BE">
        <w:rPr>
          <w:lang w:val="en-GB"/>
        </w:rPr>
        <w:t>c</w:t>
      </w:r>
      <w:r>
        <w:rPr>
          <w:lang w:val="en-GB"/>
        </w:rPr>
        <w:t>ould</w:t>
      </w:r>
      <w:r w:rsidRPr="00A267BE">
        <w:rPr>
          <w:lang w:val="en-GB"/>
        </w:rPr>
        <w:t xml:space="preserve"> </w:t>
      </w:r>
      <w:r w:rsidR="00AC6AE5" w:rsidRPr="00A267BE">
        <w:rPr>
          <w:lang w:val="en-GB"/>
        </w:rPr>
        <w:t>quickly spill over and cause damage to PharmaCorp as a whole. She also knew that</w:t>
      </w:r>
      <w:r w:rsidR="00700A99">
        <w:rPr>
          <w:lang w:val="en-GB"/>
        </w:rPr>
        <w:t>,</w:t>
      </w:r>
      <w:r w:rsidR="00AC6AE5" w:rsidRPr="00A267BE">
        <w:rPr>
          <w:lang w:val="en-GB"/>
        </w:rPr>
        <w:t xml:space="preserve"> at the very same moment, other PharmaCorp operations were </w:t>
      </w:r>
      <w:r>
        <w:rPr>
          <w:lang w:val="en-GB"/>
        </w:rPr>
        <w:t xml:space="preserve">also </w:t>
      </w:r>
      <w:r w:rsidR="00AC6AE5" w:rsidRPr="00A267BE">
        <w:rPr>
          <w:lang w:val="en-GB"/>
        </w:rPr>
        <w:t xml:space="preserve">struggling with major challenges </w:t>
      </w:r>
      <w:r>
        <w:rPr>
          <w:lang w:val="en-GB"/>
        </w:rPr>
        <w:t>resulti</w:t>
      </w:r>
      <w:r w:rsidRPr="00A267BE">
        <w:rPr>
          <w:lang w:val="en-GB"/>
        </w:rPr>
        <w:t xml:space="preserve">ng </w:t>
      </w:r>
      <w:r w:rsidR="00AC6AE5" w:rsidRPr="00A267BE">
        <w:rPr>
          <w:lang w:val="en-GB"/>
        </w:rPr>
        <w:t>from unstable environments, economic or political crises, and turbulences.</w:t>
      </w:r>
    </w:p>
    <w:p w14:paraId="005ED34D" w14:textId="77777777" w:rsidR="00AC6AE5" w:rsidRPr="00A267BE" w:rsidRDefault="00AC6AE5" w:rsidP="00AC6AE5">
      <w:pPr>
        <w:pStyle w:val="BodyTextMain"/>
        <w:rPr>
          <w:lang w:val="en-GB"/>
        </w:rPr>
      </w:pPr>
    </w:p>
    <w:p w14:paraId="50DCEB44" w14:textId="77777777" w:rsidR="00AC6AE5" w:rsidRPr="00A267BE" w:rsidRDefault="00AC6AE5" w:rsidP="00AC6AE5">
      <w:pPr>
        <w:pStyle w:val="BodyTextMain"/>
        <w:rPr>
          <w:lang w:val="en-GB"/>
        </w:rPr>
      </w:pPr>
    </w:p>
    <w:p w14:paraId="463A75AF" w14:textId="77777777" w:rsidR="00AC6AE5" w:rsidRPr="00A267BE" w:rsidRDefault="00AC6AE5" w:rsidP="00AC6AE5">
      <w:pPr>
        <w:pStyle w:val="Casehead1"/>
        <w:rPr>
          <w:lang w:val="en-GB"/>
        </w:rPr>
      </w:pPr>
      <w:r w:rsidRPr="00A267BE">
        <w:rPr>
          <w:lang w:val="en-GB"/>
        </w:rPr>
        <w:t>First Impressions: Assessing PharmaCorp Ukraine’s Situation</w:t>
      </w:r>
    </w:p>
    <w:p w14:paraId="4BC1849A" w14:textId="77777777" w:rsidR="00AC6AE5" w:rsidRPr="00A267BE" w:rsidRDefault="00AC6AE5" w:rsidP="00AC6AE5">
      <w:pPr>
        <w:pStyle w:val="Casehead1"/>
        <w:rPr>
          <w:lang w:val="en-GB"/>
        </w:rPr>
      </w:pPr>
    </w:p>
    <w:p w14:paraId="5A08F377" w14:textId="77777777" w:rsidR="00AC6AE5" w:rsidRPr="00A267BE" w:rsidRDefault="00723977" w:rsidP="00AC6AE5">
      <w:pPr>
        <w:pStyle w:val="BodyTextMain"/>
        <w:rPr>
          <w:lang w:val="en-GB"/>
        </w:rPr>
      </w:pPr>
      <w:r>
        <w:rPr>
          <w:lang w:val="en-GB"/>
        </w:rPr>
        <w:t xml:space="preserve">On </w:t>
      </w:r>
      <w:r w:rsidR="00AC6AE5" w:rsidRPr="00A267BE">
        <w:rPr>
          <w:lang w:val="en-GB"/>
        </w:rPr>
        <w:t>September 2</w:t>
      </w:r>
      <w:r w:rsidR="00F77C5D">
        <w:rPr>
          <w:lang w:val="en-GB"/>
        </w:rPr>
        <w:t>1</w:t>
      </w:r>
      <w:r w:rsidR="00AC6AE5" w:rsidRPr="00A267BE">
        <w:rPr>
          <w:lang w:val="en-GB"/>
        </w:rPr>
        <w:t>, 2014</w:t>
      </w:r>
      <w:r>
        <w:rPr>
          <w:lang w:val="en-GB"/>
        </w:rPr>
        <w:t>,</w:t>
      </w:r>
      <w:r w:rsidR="00AC6AE5" w:rsidRPr="00A267BE">
        <w:rPr>
          <w:lang w:val="en-GB"/>
        </w:rPr>
        <w:t xml:space="preserve"> </w:t>
      </w:r>
      <w:r>
        <w:rPr>
          <w:lang w:val="en-GB"/>
        </w:rPr>
        <w:t xml:space="preserve">as </w:t>
      </w:r>
      <w:r w:rsidR="005F2990">
        <w:rPr>
          <w:lang w:val="en-GB"/>
        </w:rPr>
        <w:t>Santos</w:t>
      </w:r>
      <w:r w:rsidR="005F2990" w:rsidRPr="00A267BE">
        <w:rPr>
          <w:lang w:val="en-GB"/>
        </w:rPr>
        <w:t xml:space="preserve"> </w:t>
      </w:r>
      <w:r w:rsidR="00AC6AE5" w:rsidRPr="00A267BE">
        <w:rPr>
          <w:lang w:val="en-GB"/>
        </w:rPr>
        <w:t>entered the modern building where PharmaCorp Ukraine had its offices, someone called across the entrance hall</w:t>
      </w:r>
      <w:r w:rsidR="005F2990">
        <w:rPr>
          <w:lang w:val="en-GB"/>
        </w:rPr>
        <w:t>,</w:t>
      </w:r>
      <w:r w:rsidR="00AC6AE5" w:rsidRPr="00A267BE">
        <w:rPr>
          <w:lang w:val="en-GB"/>
        </w:rPr>
        <w:t xml:space="preserve"> “Wow</w:t>
      </w:r>
      <w:r w:rsidR="005F2990">
        <w:rPr>
          <w:lang w:val="en-GB"/>
        </w:rPr>
        <w:t>—</w:t>
      </w:r>
      <w:r w:rsidR="00AC6AE5" w:rsidRPr="00A267BE">
        <w:rPr>
          <w:lang w:val="en-GB"/>
        </w:rPr>
        <w:t xml:space="preserve">now the currency is up to 16.5.” (This value </w:t>
      </w:r>
      <w:r w:rsidR="005F2990" w:rsidRPr="00A267BE">
        <w:rPr>
          <w:lang w:val="en-GB"/>
        </w:rPr>
        <w:t>refer</w:t>
      </w:r>
      <w:r w:rsidR="005F2990">
        <w:rPr>
          <w:lang w:val="en-GB"/>
        </w:rPr>
        <w:t>red</w:t>
      </w:r>
      <w:r w:rsidR="005F2990" w:rsidRPr="00A267BE">
        <w:rPr>
          <w:lang w:val="en-GB"/>
        </w:rPr>
        <w:t xml:space="preserve"> </w:t>
      </w:r>
      <w:r w:rsidR="00AC6AE5" w:rsidRPr="00A267BE">
        <w:rPr>
          <w:lang w:val="en-GB"/>
        </w:rPr>
        <w:t xml:space="preserve">to the exchange rate </w:t>
      </w:r>
      <w:r w:rsidR="005F2990">
        <w:rPr>
          <w:lang w:val="en-GB"/>
        </w:rPr>
        <w:t>between the</w:t>
      </w:r>
      <w:r w:rsidR="005F2990" w:rsidRPr="00A267BE">
        <w:rPr>
          <w:lang w:val="en-GB"/>
        </w:rPr>
        <w:t xml:space="preserve"> </w:t>
      </w:r>
      <w:r w:rsidR="005F2990">
        <w:rPr>
          <w:lang w:val="en-GB"/>
        </w:rPr>
        <w:t>e</w:t>
      </w:r>
      <w:r w:rsidR="00AC6AE5" w:rsidRPr="00A267BE">
        <w:rPr>
          <w:lang w:val="en-GB"/>
        </w:rPr>
        <w:t xml:space="preserve">uro </w:t>
      </w:r>
      <w:r w:rsidR="005F2990">
        <w:rPr>
          <w:lang w:val="en-GB"/>
        </w:rPr>
        <w:t>and the Ukraine</w:t>
      </w:r>
      <w:r w:rsidR="00AC6AE5" w:rsidRPr="00A267BE">
        <w:rPr>
          <w:lang w:val="en-GB"/>
        </w:rPr>
        <w:t xml:space="preserve"> </w:t>
      </w:r>
      <w:r w:rsidR="005F2990">
        <w:rPr>
          <w:lang w:val="en-GB"/>
        </w:rPr>
        <w:t>h</w:t>
      </w:r>
      <w:r w:rsidR="00AC6AE5" w:rsidRPr="00A267BE">
        <w:rPr>
          <w:lang w:val="en-GB"/>
        </w:rPr>
        <w:t>ryvnia</w:t>
      </w:r>
      <w:r w:rsidR="002C0AEC">
        <w:rPr>
          <w:lang w:val="en-GB"/>
        </w:rPr>
        <w:t xml:space="preserve"> </w:t>
      </w:r>
      <w:r w:rsidR="00306CD7">
        <w:rPr>
          <w:lang w:val="en-GB"/>
        </w:rPr>
        <w:t>(</w:t>
      </w:r>
      <w:r w:rsidR="00306CD7" w:rsidRPr="00306CD7">
        <w:rPr>
          <w:color w:val="000000"/>
          <w:sz w:val="21"/>
          <w:szCs w:val="21"/>
        </w:rPr>
        <w:t>₴</w:t>
      </w:r>
      <w:r w:rsidR="00306CD7">
        <w:rPr>
          <w:color w:val="000000"/>
          <w:sz w:val="21"/>
          <w:szCs w:val="21"/>
        </w:rPr>
        <w:t>)</w:t>
      </w:r>
      <w:r w:rsidR="00AC6AE5" w:rsidRPr="00A267BE">
        <w:rPr>
          <w:lang w:val="en-GB"/>
        </w:rPr>
        <w:t>).</w:t>
      </w:r>
      <w:r>
        <w:rPr>
          <w:rStyle w:val="FootnoteReference"/>
          <w:lang w:val="en-GB"/>
        </w:rPr>
        <w:footnoteReference w:id="2"/>
      </w:r>
      <w:r w:rsidR="00AC6AE5" w:rsidRPr="00A267BE">
        <w:rPr>
          <w:lang w:val="en-GB"/>
        </w:rPr>
        <w:t xml:space="preserve"> The atmosphere </w:t>
      </w:r>
      <w:r w:rsidR="005F2990">
        <w:rPr>
          <w:lang w:val="en-GB"/>
        </w:rPr>
        <w:t>in the building</w:t>
      </w:r>
      <w:r w:rsidR="005F2990" w:rsidRPr="00A267BE">
        <w:rPr>
          <w:lang w:val="en-GB"/>
        </w:rPr>
        <w:t xml:space="preserve"> </w:t>
      </w:r>
      <w:r w:rsidR="00AC6AE5" w:rsidRPr="00A267BE">
        <w:rPr>
          <w:lang w:val="en-GB"/>
        </w:rPr>
        <w:t>was extremely chaotic</w:t>
      </w:r>
      <w:r w:rsidR="005F2990">
        <w:rPr>
          <w:lang w:val="en-GB"/>
        </w:rPr>
        <w:t>,</w:t>
      </w:r>
      <w:r w:rsidR="00AC6AE5" w:rsidRPr="00A267BE">
        <w:rPr>
          <w:lang w:val="en-GB"/>
        </w:rPr>
        <w:t xml:space="preserve"> and it took </w:t>
      </w:r>
      <w:r w:rsidR="005F2990">
        <w:rPr>
          <w:lang w:val="en-GB"/>
        </w:rPr>
        <w:t>Santos</w:t>
      </w:r>
      <w:r w:rsidR="005F2990" w:rsidRPr="00A267BE">
        <w:rPr>
          <w:lang w:val="en-GB"/>
        </w:rPr>
        <w:t xml:space="preserve"> </w:t>
      </w:r>
      <w:r w:rsidR="00AC6AE5" w:rsidRPr="00A267BE">
        <w:rPr>
          <w:lang w:val="en-GB"/>
        </w:rPr>
        <w:t xml:space="preserve">a while to make her way to the elevators. She squeezed into one of them and learned that international exchange markets had started to </w:t>
      </w:r>
      <w:r w:rsidR="005F2990">
        <w:rPr>
          <w:lang w:val="en-GB"/>
        </w:rPr>
        <w:t>fluctuate</w:t>
      </w:r>
      <w:r w:rsidR="00AC6AE5" w:rsidRPr="00A267BE">
        <w:rPr>
          <w:lang w:val="en-GB"/>
        </w:rPr>
        <w:t xml:space="preserve"> </w:t>
      </w:r>
      <w:r w:rsidR="008C31C8">
        <w:rPr>
          <w:lang w:val="en-GB"/>
        </w:rPr>
        <w:t>wild</w:t>
      </w:r>
      <w:r w:rsidR="005F2990">
        <w:rPr>
          <w:lang w:val="en-GB"/>
        </w:rPr>
        <w:t>ly</w:t>
      </w:r>
      <w:r w:rsidR="00AC6AE5" w:rsidRPr="00A267BE">
        <w:rPr>
          <w:lang w:val="en-GB"/>
        </w:rPr>
        <w:t xml:space="preserve"> after that day’s morning break </w:t>
      </w:r>
      <w:r w:rsidR="005F2990">
        <w:rPr>
          <w:lang w:val="en-GB"/>
        </w:rPr>
        <w:t>in</w:t>
      </w:r>
      <w:r w:rsidR="005F2990" w:rsidRPr="00A267BE">
        <w:rPr>
          <w:lang w:val="en-GB"/>
        </w:rPr>
        <w:t xml:space="preserve"> </w:t>
      </w:r>
      <w:r w:rsidR="00AC6AE5" w:rsidRPr="00A267BE">
        <w:rPr>
          <w:lang w:val="en-GB"/>
        </w:rPr>
        <w:t xml:space="preserve">the ceasefire in Luhansk. </w:t>
      </w:r>
      <w:r w:rsidR="005F2990">
        <w:rPr>
          <w:lang w:val="en-GB"/>
        </w:rPr>
        <w:t>Al</w:t>
      </w:r>
      <w:r w:rsidR="00AC6AE5" w:rsidRPr="00A267BE">
        <w:rPr>
          <w:lang w:val="en-GB"/>
        </w:rPr>
        <w:t xml:space="preserve">though she was aware of those turbulences, </w:t>
      </w:r>
      <w:r w:rsidR="008C31C8">
        <w:rPr>
          <w:lang w:val="en-GB"/>
        </w:rPr>
        <w:t xml:space="preserve">when she exited the elevator, </w:t>
      </w:r>
      <w:r w:rsidR="005F2990">
        <w:rPr>
          <w:lang w:val="en-GB"/>
        </w:rPr>
        <w:t>Santos</w:t>
      </w:r>
      <w:r w:rsidR="005F2990" w:rsidRPr="00A267BE">
        <w:rPr>
          <w:lang w:val="en-GB"/>
        </w:rPr>
        <w:t xml:space="preserve"> </w:t>
      </w:r>
      <w:r w:rsidR="00AC6AE5" w:rsidRPr="00A267BE">
        <w:rPr>
          <w:lang w:val="en-GB"/>
        </w:rPr>
        <w:t xml:space="preserve">was stunned to hear that the exchange rate </w:t>
      </w:r>
      <w:r w:rsidR="005F2990" w:rsidRPr="00A267BE">
        <w:rPr>
          <w:lang w:val="en-GB"/>
        </w:rPr>
        <w:t>ha</w:t>
      </w:r>
      <w:r w:rsidR="005F2990">
        <w:rPr>
          <w:lang w:val="en-GB"/>
        </w:rPr>
        <w:t>d</w:t>
      </w:r>
      <w:r w:rsidR="005F2990" w:rsidRPr="00A267BE">
        <w:rPr>
          <w:lang w:val="en-GB"/>
        </w:rPr>
        <w:t xml:space="preserve"> </w:t>
      </w:r>
      <w:r w:rsidR="00AC6AE5" w:rsidRPr="00A267BE">
        <w:rPr>
          <w:lang w:val="en-GB"/>
        </w:rPr>
        <w:t xml:space="preserve">risen to </w:t>
      </w:r>
      <w:r w:rsidR="00BF5D03">
        <w:rPr>
          <w:lang w:val="en-GB"/>
        </w:rPr>
        <w:t>€</w:t>
      </w:r>
      <w:r w:rsidR="00AC6AE5" w:rsidRPr="00A267BE">
        <w:rPr>
          <w:lang w:val="en-GB"/>
        </w:rPr>
        <w:t xml:space="preserve">17.4 </w:t>
      </w:r>
      <w:r w:rsidR="00BF5D03">
        <w:rPr>
          <w:lang w:val="en-GB"/>
        </w:rPr>
        <w:t>per hryvnia</w:t>
      </w:r>
      <w:r w:rsidR="00AC6AE5" w:rsidRPr="00A267BE">
        <w:rPr>
          <w:lang w:val="en-GB"/>
        </w:rPr>
        <w:t xml:space="preserve">, </w:t>
      </w:r>
      <w:r w:rsidR="00BF5D03">
        <w:rPr>
          <w:lang w:val="en-GB"/>
        </w:rPr>
        <w:t>up from</w:t>
      </w:r>
      <w:r w:rsidR="00AC6AE5" w:rsidRPr="00A267BE">
        <w:rPr>
          <w:lang w:val="en-GB"/>
        </w:rPr>
        <w:t xml:space="preserve"> 15.8 when they had started from the ground floor. She immediately started to check her smartphone for updates.</w:t>
      </w:r>
    </w:p>
    <w:p w14:paraId="24710F2C" w14:textId="77777777" w:rsidR="00AC6AE5" w:rsidRPr="00A267BE" w:rsidRDefault="00AC6AE5" w:rsidP="00AC6AE5">
      <w:pPr>
        <w:pStyle w:val="BodyTextMain"/>
        <w:rPr>
          <w:lang w:val="en-GB"/>
        </w:rPr>
      </w:pPr>
    </w:p>
    <w:p w14:paraId="205FD6E4" w14:textId="1DFB395B" w:rsidR="00AC6AE5" w:rsidRPr="00A267BE" w:rsidRDefault="00AC6AE5" w:rsidP="00AC6AE5">
      <w:pPr>
        <w:pStyle w:val="BodyTextMain"/>
        <w:rPr>
          <w:lang w:val="en-GB"/>
        </w:rPr>
      </w:pPr>
      <w:r w:rsidRPr="00A267BE">
        <w:rPr>
          <w:lang w:val="en-GB"/>
        </w:rPr>
        <w:t xml:space="preserve">During the </w:t>
      </w:r>
      <w:r w:rsidR="00BF5D03">
        <w:rPr>
          <w:lang w:val="en-GB"/>
        </w:rPr>
        <w:t>p</w:t>
      </w:r>
      <w:r w:rsidR="00BF5D03" w:rsidRPr="00A267BE">
        <w:rPr>
          <w:lang w:val="en-GB"/>
        </w:rPr>
        <w:t xml:space="preserve">ast </w:t>
      </w:r>
      <w:r w:rsidRPr="00A267BE">
        <w:rPr>
          <w:lang w:val="en-GB"/>
        </w:rPr>
        <w:t xml:space="preserve">30 minutes, </w:t>
      </w:r>
      <w:r w:rsidR="002C0AEC">
        <w:rPr>
          <w:lang w:val="en-GB"/>
        </w:rPr>
        <w:t>Santos’s</w:t>
      </w:r>
      <w:r w:rsidR="00BF5D03">
        <w:rPr>
          <w:lang w:val="en-GB"/>
        </w:rPr>
        <w:t xml:space="preserve"> inbox</w:t>
      </w:r>
      <w:r w:rsidR="00BF5D03" w:rsidRPr="00A267BE">
        <w:rPr>
          <w:lang w:val="en-GB"/>
        </w:rPr>
        <w:t xml:space="preserve"> </w:t>
      </w:r>
      <w:r w:rsidRPr="00A267BE">
        <w:rPr>
          <w:lang w:val="en-GB"/>
        </w:rPr>
        <w:t>had been flooded with messages about the latest happenings in Ukraine</w:t>
      </w:r>
      <w:r w:rsidR="008C31C8">
        <w:rPr>
          <w:lang w:val="en-GB"/>
        </w:rPr>
        <w:t>—</w:t>
      </w:r>
      <w:r w:rsidRPr="00A267BE">
        <w:rPr>
          <w:lang w:val="en-GB"/>
        </w:rPr>
        <w:t>and at PharmaCorp Ukraine. While scanning the subject lines, she read: “Massive bombings again</w:t>
      </w:r>
      <w:r w:rsidR="00BF5D03">
        <w:rPr>
          <w:lang w:val="en-GB"/>
        </w:rPr>
        <w:t>,</w:t>
      </w:r>
      <w:r w:rsidRPr="00A267BE">
        <w:rPr>
          <w:lang w:val="en-GB"/>
        </w:rPr>
        <w:t>” “Two distributors vanished in Eastern Ukraine</w:t>
      </w:r>
      <w:r w:rsidR="00BF5D03">
        <w:rPr>
          <w:lang w:val="en-GB"/>
        </w:rPr>
        <w:t>,</w:t>
      </w:r>
      <w:r w:rsidRPr="00A267BE">
        <w:rPr>
          <w:lang w:val="en-GB"/>
        </w:rPr>
        <w:t>” “Head of the Law Department resigned</w:t>
      </w:r>
      <w:r w:rsidR="00BF5D03">
        <w:rPr>
          <w:lang w:val="en-GB"/>
        </w:rPr>
        <w:t>,</w:t>
      </w:r>
      <w:r w:rsidR="00306CD7">
        <w:rPr>
          <w:lang w:val="en-GB"/>
        </w:rPr>
        <w:t>” “Inflation up at 15 per cent</w:t>
      </w:r>
      <w:r w:rsidR="00BF5D03">
        <w:rPr>
          <w:lang w:val="en-GB"/>
        </w:rPr>
        <w:t>,</w:t>
      </w:r>
      <w:r w:rsidRPr="00A267BE">
        <w:rPr>
          <w:lang w:val="en-GB"/>
        </w:rPr>
        <w:t xml:space="preserve">” “Today’s price of Silovma </w:t>
      </w:r>
      <w:r w:rsidR="00306CD7" w:rsidRPr="00306CD7">
        <w:t>₴</w:t>
      </w:r>
      <w:r w:rsidRPr="00A267BE">
        <w:rPr>
          <w:lang w:val="en-GB"/>
        </w:rPr>
        <w:t>295 (+</w:t>
      </w:r>
      <w:r w:rsidR="00893910">
        <w:rPr>
          <w:lang w:val="en-GB"/>
        </w:rPr>
        <w:t xml:space="preserve"> </w:t>
      </w:r>
      <w:r w:rsidRPr="00A267BE">
        <w:rPr>
          <w:lang w:val="en-GB"/>
        </w:rPr>
        <w:t>50</w:t>
      </w:r>
      <w:r w:rsidR="00306CD7">
        <w:rPr>
          <w:lang w:val="en-GB"/>
        </w:rPr>
        <w:t xml:space="preserve"> per cent</w:t>
      </w:r>
      <w:r w:rsidRPr="00A267BE">
        <w:rPr>
          <w:lang w:val="en-GB"/>
        </w:rPr>
        <w:t xml:space="preserve"> of last week’s level)</w:t>
      </w:r>
      <w:r w:rsidR="00BF5D03">
        <w:rPr>
          <w:lang w:val="en-GB"/>
        </w:rPr>
        <w:t>,</w:t>
      </w:r>
      <w:r w:rsidRPr="00A267BE">
        <w:rPr>
          <w:lang w:val="en-GB"/>
        </w:rPr>
        <w:t xml:space="preserve">” </w:t>
      </w:r>
      <w:r w:rsidR="00BF5D03">
        <w:rPr>
          <w:lang w:val="en-GB"/>
        </w:rPr>
        <w:t xml:space="preserve">and </w:t>
      </w:r>
      <w:r w:rsidRPr="00A267BE">
        <w:rPr>
          <w:lang w:val="en-GB"/>
        </w:rPr>
        <w:t xml:space="preserve">“New </w:t>
      </w:r>
      <w:r w:rsidR="00670569">
        <w:rPr>
          <w:lang w:val="en-GB"/>
        </w:rPr>
        <w:t>h</w:t>
      </w:r>
      <w:r w:rsidRPr="00A267BE">
        <w:rPr>
          <w:lang w:val="en-GB"/>
        </w:rPr>
        <w:t xml:space="preserve">ealth </w:t>
      </w:r>
      <w:r w:rsidR="00670569">
        <w:rPr>
          <w:lang w:val="en-GB"/>
        </w:rPr>
        <w:t>m</w:t>
      </w:r>
      <w:r w:rsidRPr="00A267BE">
        <w:rPr>
          <w:lang w:val="en-GB"/>
        </w:rPr>
        <w:t>inister assigned</w:t>
      </w:r>
      <w:r w:rsidR="009E6B1C">
        <w:rPr>
          <w:lang w:val="en-GB"/>
        </w:rPr>
        <w:t>.</w:t>
      </w:r>
      <w:r w:rsidRPr="00A267BE">
        <w:rPr>
          <w:lang w:val="en-GB"/>
        </w:rPr>
        <w:t xml:space="preserve">” </w:t>
      </w:r>
      <w:r w:rsidR="00BF5D03">
        <w:rPr>
          <w:lang w:val="en-GB"/>
        </w:rPr>
        <w:t>Santos</w:t>
      </w:r>
      <w:r w:rsidR="00BF5D03" w:rsidRPr="00A267BE">
        <w:rPr>
          <w:lang w:val="en-GB"/>
        </w:rPr>
        <w:t xml:space="preserve"> </w:t>
      </w:r>
      <w:r w:rsidRPr="00A267BE">
        <w:rPr>
          <w:lang w:val="en-GB"/>
        </w:rPr>
        <w:t xml:space="preserve">was overwhelmed by this news and eager to learn about </w:t>
      </w:r>
      <w:r w:rsidR="00BF5D03">
        <w:rPr>
          <w:lang w:val="en-GB"/>
        </w:rPr>
        <w:t xml:space="preserve">the sentiments of </w:t>
      </w:r>
      <w:r w:rsidRPr="00A267BE">
        <w:rPr>
          <w:lang w:val="en-GB"/>
        </w:rPr>
        <w:t xml:space="preserve">her local management team in </w:t>
      </w:r>
      <w:r w:rsidR="002C0AEC">
        <w:rPr>
          <w:lang w:val="en-GB"/>
        </w:rPr>
        <w:t>its</w:t>
      </w:r>
      <w:r w:rsidRPr="00A267BE">
        <w:rPr>
          <w:lang w:val="en-GB"/>
        </w:rPr>
        <w:t xml:space="preserve"> first meeting.</w:t>
      </w:r>
    </w:p>
    <w:p w14:paraId="17C39C62" w14:textId="77777777" w:rsidR="00AC6AE5" w:rsidRPr="00A267BE" w:rsidRDefault="00AC6AE5" w:rsidP="00AC6AE5">
      <w:pPr>
        <w:pStyle w:val="BodyTextMain"/>
        <w:rPr>
          <w:lang w:val="en-GB"/>
        </w:rPr>
      </w:pPr>
    </w:p>
    <w:p w14:paraId="46530DE1" w14:textId="77777777" w:rsidR="00AC6AE5" w:rsidRPr="00A267BE" w:rsidRDefault="00AC6AE5" w:rsidP="00AC6AE5">
      <w:pPr>
        <w:pStyle w:val="BodyTextMain"/>
        <w:rPr>
          <w:lang w:val="en-GB"/>
        </w:rPr>
      </w:pPr>
      <w:r w:rsidRPr="00A267BE">
        <w:rPr>
          <w:lang w:val="en-GB"/>
        </w:rPr>
        <w:t xml:space="preserve">Unfortunately, this meeting turned out to be chaotic: Everybody was talking at the same time, providing different opinions and solutions to the topics </w:t>
      </w:r>
      <w:r w:rsidR="00BF5D03">
        <w:rPr>
          <w:lang w:val="en-GB"/>
        </w:rPr>
        <w:t>Santos</w:t>
      </w:r>
      <w:r w:rsidR="00BF5D03" w:rsidRPr="00A267BE">
        <w:rPr>
          <w:lang w:val="en-GB"/>
        </w:rPr>
        <w:t xml:space="preserve"> </w:t>
      </w:r>
      <w:r w:rsidRPr="00A267BE">
        <w:rPr>
          <w:lang w:val="en-GB"/>
        </w:rPr>
        <w:t xml:space="preserve">had addressed, while constantly checking </w:t>
      </w:r>
      <w:r w:rsidR="008C31C8">
        <w:rPr>
          <w:lang w:val="en-GB"/>
        </w:rPr>
        <w:t xml:space="preserve">their </w:t>
      </w:r>
      <w:r w:rsidRPr="00A267BE">
        <w:rPr>
          <w:lang w:val="en-GB"/>
        </w:rPr>
        <w:t xml:space="preserve">phones for messages or answering calls. It dawned on </w:t>
      </w:r>
      <w:r w:rsidR="00BF5D03">
        <w:rPr>
          <w:lang w:val="en-GB"/>
        </w:rPr>
        <w:t>Santos</w:t>
      </w:r>
      <w:r w:rsidR="00BF5D03" w:rsidRPr="00A267BE">
        <w:rPr>
          <w:lang w:val="en-GB"/>
        </w:rPr>
        <w:t xml:space="preserve"> </w:t>
      </w:r>
      <w:r w:rsidRPr="00A267BE">
        <w:rPr>
          <w:lang w:val="en-GB"/>
        </w:rPr>
        <w:t xml:space="preserve">that finding a </w:t>
      </w:r>
      <w:r w:rsidR="00BF5D03">
        <w:rPr>
          <w:lang w:val="en-GB"/>
        </w:rPr>
        <w:t>solution to</w:t>
      </w:r>
      <w:r w:rsidRPr="00A267BE">
        <w:rPr>
          <w:lang w:val="en-GB"/>
        </w:rPr>
        <w:t xml:space="preserve"> PharmaCorp’s struggles </w:t>
      </w:r>
      <w:r w:rsidR="002A545C">
        <w:rPr>
          <w:lang w:val="en-GB"/>
        </w:rPr>
        <w:t>amid the turmoil in</w:t>
      </w:r>
      <w:r w:rsidRPr="00A267BE">
        <w:rPr>
          <w:lang w:val="en-GB"/>
        </w:rPr>
        <w:t xml:space="preserve"> Ukraine was </w:t>
      </w:r>
      <w:r w:rsidR="00BF5D03">
        <w:rPr>
          <w:lang w:val="en-GB"/>
        </w:rPr>
        <w:t>now only a remote possibility</w:t>
      </w:r>
      <w:r w:rsidRPr="00A267BE">
        <w:rPr>
          <w:lang w:val="en-GB"/>
        </w:rPr>
        <w:t>.</w:t>
      </w:r>
    </w:p>
    <w:p w14:paraId="7B484601" w14:textId="77777777" w:rsidR="00AC6AE5" w:rsidRPr="00A267BE" w:rsidRDefault="00AC6AE5" w:rsidP="00AC6AE5">
      <w:pPr>
        <w:pStyle w:val="BodyTextMain"/>
        <w:rPr>
          <w:lang w:val="en-GB"/>
        </w:rPr>
      </w:pPr>
    </w:p>
    <w:p w14:paraId="1EB28954" w14:textId="21C55165" w:rsidR="00AC6AE5" w:rsidRPr="00A267BE" w:rsidRDefault="00AC6AE5" w:rsidP="00AC6AE5">
      <w:pPr>
        <w:pStyle w:val="BodyTextMain"/>
        <w:rPr>
          <w:lang w:val="en-GB"/>
        </w:rPr>
      </w:pPr>
      <w:r w:rsidRPr="00A267BE">
        <w:rPr>
          <w:lang w:val="en-GB"/>
        </w:rPr>
        <w:lastRenderedPageBreak/>
        <w:t xml:space="preserve">During her first weeks in Kiev, </w:t>
      </w:r>
      <w:r w:rsidR="00BF5D03">
        <w:rPr>
          <w:lang w:val="en-GB"/>
        </w:rPr>
        <w:t>Santos</w:t>
      </w:r>
      <w:r w:rsidR="00BF5D03" w:rsidRPr="00A267BE">
        <w:rPr>
          <w:lang w:val="en-GB"/>
        </w:rPr>
        <w:t xml:space="preserve"> </w:t>
      </w:r>
      <w:r w:rsidRPr="00A267BE">
        <w:rPr>
          <w:lang w:val="en-GB"/>
        </w:rPr>
        <w:t xml:space="preserve">had met </w:t>
      </w:r>
      <w:r w:rsidR="00BF5D03">
        <w:rPr>
          <w:lang w:val="en-GB"/>
        </w:rPr>
        <w:t>with numerous</w:t>
      </w:r>
      <w:r w:rsidRPr="00A267BE">
        <w:rPr>
          <w:lang w:val="en-GB"/>
        </w:rPr>
        <w:t xml:space="preserve"> people</w:t>
      </w:r>
      <w:r w:rsidR="00BF5D03">
        <w:rPr>
          <w:lang w:val="en-GB"/>
        </w:rPr>
        <w:t>,</w:t>
      </w:r>
      <w:r w:rsidRPr="00A267BE">
        <w:rPr>
          <w:lang w:val="en-GB"/>
        </w:rPr>
        <w:t xml:space="preserve"> from employees to business partners, to get an idea of all the problems the crisis had brought about.</w:t>
      </w:r>
    </w:p>
    <w:p w14:paraId="424B23D2" w14:textId="77777777" w:rsidR="00AC6AE5" w:rsidRPr="00A267BE" w:rsidRDefault="00AC6AE5" w:rsidP="00AC6AE5">
      <w:pPr>
        <w:pStyle w:val="BodyTextMain"/>
        <w:rPr>
          <w:lang w:val="en-GB"/>
        </w:rPr>
      </w:pPr>
    </w:p>
    <w:p w14:paraId="57AA13FE" w14:textId="39007403" w:rsidR="00605678" w:rsidRDefault="00AC6AE5" w:rsidP="00AC6AE5">
      <w:pPr>
        <w:pStyle w:val="BodyTextMain"/>
        <w:rPr>
          <w:lang w:val="en-GB"/>
        </w:rPr>
      </w:pPr>
      <w:r w:rsidRPr="00A267BE">
        <w:rPr>
          <w:lang w:val="en-GB"/>
        </w:rPr>
        <w:t xml:space="preserve">Since the onset of the crisis, </w:t>
      </w:r>
      <w:r w:rsidR="00BF5D03" w:rsidRPr="00A267BE">
        <w:rPr>
          <w:lang w:val="en-GB"/>
        </w:rPr>
        <w:t>health</w:t>
      </w:r>
      <w:r w:rsidR="00BF5D03">
        <w:rPr>
          <w:lang w:val="en-GB"/>
        </w:rPr>
        <w:t>-</w:t>
      </w:r>
      <w:r w:rsidR="00BF5D03" w:rsidRPr="00A267BE">
        <w:rPr>
          <w:lang w:val="en-GB"/>
        </w:rPr>
        <w:t>care professionals</w:t>
      </w:r>
      <w:r w:rsidR="00BF5D03">
        <w:rPr>
          <w:lang w:val="en-GB"/>
        </w:rPr>
        <w:t>, including doctors, head</w:t>
      </w:r>
      <w:r w:rsidR="002C0AEC">
        <w:rPr>
          <w:lang w:val="en-GB"/>
        </w:rPr>
        <w:t>s</w:t>
      </w:r>
      <w:r w:rsidR="00BF5D03">
        <w:rPr>
          <w:lang w:val="en-GB"/>
        </w:rPr>
        <w:t xml:space="preserve"> of the medical centres</w:t>
      </w:r>
      <w:r w:rsidR="00A11A0F">
        <w:rPr>
          <w:lang w:val="en-GB"/>
        </w:rPr>
        <w:t>,</w:t>
      </w:r>
      <w:r w:rsidR="00BF5D03">
        <w:rPr>
          <w:lang w:val="en-GB"/>
        </w:rPr>
        <w:t xml:space="preserve"> and pharmacists, had decreased </w:t>
      </w:r>
      <w:r w:rsidRPr="00A267BE">
        <w:rPr>
          <w:lang w:val="en-GB"/>
        </w:rPr>
        <w:t xml:space="preserve">the amount of PharmaCorp drugs being prescribed. </w:t>
      </w:r>
      <w:r w:rsidR="00605678">
        <w:rPr>
          <w:lang w:val="en-GB"/>
        </w:rPr>
        <w:t>In a meeting with the product manager, Santos was told</w:t>
      </w:r>
      <w:r w:rsidR="002C0AEC">
        <w:rPr>
          <w:lang w:val="en-GB"/>
        </w:rPr>
        <w:t>,</w:t>
      </w:r>
    </w:p>
    <w:p w14:paraId="32CDD5E9" w14:textId="77777777" w:rsidR="00605678" w:rsidRDefault="00605678" w:rsidP="00AC6AE5">
      <w:pPr>
        <w:pStyle w:val="BodyTextMain"/>
        <w:rPr>
          <w:lang w:val="en-GB"/>
        </w:rPr>
      </w:pPr>
    </w:p>
    <w:p w14:paraId="1D940EEF" w14:textId="77777777" w:rsidR="00AC6AE5" w:rsidRPr="00A267BE" w:rsidRDefault="00AC6AE5" w:rsidP="00605678">
      <w:pPr>
        <w:pStyle w:val="BodyTextMain"/>
        <w:ind w:left="567"/>
        <w:rPr>
          <w:lang w:val="en-GB"/>
        </w:rPr>
      </w:pPr>
      <w:r w:rsidRPr="00A267BE">
        <w:rPr>
          <w:lang w:val="en-GB"/>
        </w:rPr>
        <w:t>Our best seller</w:t>
      </w:r>
      <w:r w:rsidR="00605678">
        <w:rPr>
          <w:lang w:val="en-GB"/>
        </w:rPr>
        <w:t>,</w:t>
      </w:r>
      <w:r w:rsidRPr="00A267BE">
        <w:rPr>
          <w:lang w:val="en-GB"/>
        </w:rPr>
        <w:t xml:space="preserve"> Silovma</w:t>
      </w:r>
      <w:r w:rsidR="00605678">
        <w:rPr>
          <w:lang w:val="en-GB"/>
        </w:rPr>
        <w:t>,</w:t>
      </w:r>
      <w:r w:rsidRPr="00A267BE">
        <w:rPr>
          <w:lang w:val="en-GB"/>
        </w:rPr>
        <w:t xml:space="preserve"> accounts for 20</w:t>
      </w:r>
      <w:r w:rsidR="00605678">
        <w:rPr>
          <w:lang w:val="en-GB"/>
        </w:rPr>
        <w:t xml:space="preserve"> per cent</w:t>
      </w:r>
      <w:r w:rsidRPr="00A267BE">
        <w:rPr>
          <w:lang w:val="en-GB"/>
        </w:rPr>
        <w:t xml:space="preserve"> of total sales and was available for </w:t>
      </w:r>
      <w:r w:rsidR="00306CD7" w:rsidRPr="00306CD7">
        <w:t>₴</w:t>
      </w:r>
      <w:r w:rsidRPr="00A267BE">
        <w:rPr>
          <w:lang w:val="en-GB"/>
        </w:rPr>
        <w:t xml:space="preserve">100 before the crisis. Now, purchasing power has dropped dramatically and Silovma has become a kind of luxury drug. Depending on the currency rate, the price was between </w:t>
      </w:r>
      <w:r w:rsidR="00306CD7" w:rsidRPr="00306CD7">
        <w:t>₴</w:t>
      </w:r>
      <w:r w:rsidRPr="00A267BE">
        <w:rPr>
          <w:lang w:val="en-GB"/>
        </w:rPr>
        <w:t xml:space="preserve">180 and 250. One pharmacist stressed this in an amusing way, talking about </w:t>
      </w:r>
      <w:r w:rsidR="00893910">
        <w:rPr>
          <w:lang w:val="en-GB"/>
        </w:rPr>
        <w:t>“</w:t>
      </w:r>
      <w:r w:rsidRPr="00A267BE">
        <w:rPr>
          <w:lang w:val="en-GB"/>
        </w:rPr>
        <w:t>Coco Silovma</w:t>
      </w:r>
      <w:r w:rsidR="00893910">
        <w:rPr>
          <w:lang w:val="en-GB"/>
        </w:rPr>
        <w:t>.</w:t>
      </w:r>
      <w:r w:rsidRPr="00A267BE">
        <w:rPr>
          <w:lang w:val="en-GB"/>
        </w:rPr>
        <w:t xml:space="preserve">” </w:t>
      </w:r>
    </w:p>
    <w:p w14:paraId="540D9EA5" w14:textId="77777777" w:rsidR="00AC6AE5" w:rsidRPr="00A267BE" w:rsidRDefault="00AC6AE5" w:rsidP="00AC6AE5">
      <w:pPr>
        <w:pStyle w:val="BodyTextMain"/>
        <w:rPr>
          <w:lang w:val="en-GB"/>
        </w:rPr>
      </w:pPr>
    </w:p>
    <w:p w14:paraId="298C0625" w14:textId="77777777" w:rsidR="00AC6AE5" w:rsidRPr="00A267BE" w:rsidRDefault="00AC6AE5" w:rsidP="00AC6AE5">
      <w:pPr>
        <w:pStyle w:val="BodyTextMain"/>
        <w:rPr>
          <w:lang w:val="en-GB"/>
        </w:rPr>
      </w:pPr>
      <w:r w:rsidRPr="00A267BE">
        <w:rPr>
          <w:lang w:val="en-GB"/>
        </w:rPr>
        <w:t xml:space="preserve">Salespeople were concerned about the future of their jobs. </w:t>
      </w:r>
      <w:r w:rsidR="00893910">
        <w:rPr>
          <w:lang w:val="en-GB"/>
        </w:rPr>
        <w:t>T</w:t>
      </w:r>
      <w:r w:rsidRPr="00A267BE">
        <w:rPr>
          <w:lang w:val="en-GB"/>
        </w:rPr>
        <w:t xml:space="preserve">hose working in Eastern Ukraine were afraid of being attacked because of pro-Russians’ hatred for people </w:t>
      </w:r>
      <w:r w:rsidR="00893910">
        <w:rPr>
          <w:lang w:val="en-GB"/>
        </w:rPr>
        <w:t>who had</w:t>
      </w:r>
      <w:r w:rsidR="00893910" w:rsidRPr="00A267BE">
        <w:rPr>
          <w:lang w:val="en-GB"/>
        </w:rPr>
        <w:t xml:space="preserve"> </w:t>
      </w:r>
      <w:r w:rsidRPr="00A267BE">
        <w:rPr>
          <w:lang w:val="en-GB"/>
        </w:rPr>
        <w:t xml:space="preserve">Kiev </w:t>
      </w:r>
      <w:r w:rsidR="002A545C">
        <w:rPr>
          <w:lang w:val="en-GB"/>
        </w:rPr>
        <w:t>licence</w:t>
      </w:r>
      <w:r w:rsidR="002A545C" w:rsidRPr="00A267BE">
        <w:rPr>
          <w:lang w:val="en-GB"/>
        </w:rPr>
        <w:t xml:space="preserve"> </w:t>
      </w:r>
      <w:r w:rsidRPr="00A267BE">
        <w:rPr>
          <w:lang w:val="en-GB"/>
        </w:rPr>
        <w:t>plates on their cars. These fears were aggravated after some distribut</w:t>
      </w:r>
      <w:r w:rsidR="002A545C">
        <w:rPr>
          <w:lang w:val="en-GB"/>
        </w:rPr>
        <w:t>o</w:t>
      </w:r>
      <w:r w:rsidRPr="00A267BE">
        <w:rPr>
          <w:lang w:val="en-GB"/>
        </w:rPr>
        <w:t>rs of PharmaCorp’s drugs in the Eastern region of Ukraine had disappeared without a trace.</w:t>
      </w:r>
    </w:p>
    <w:p w14:paraId="7BD489FC" w14:textId="77777777" w:rsidR="00AC6AE5" w:rsidRPr="00A267BE" w:rsidRDefault="00AC6AE5" w:rsidP="00AC6AE5">
      <w:pPr>
        <w:pStyle w:val="BodyTextMain"/>
        <w:rPr>
          <w:lang w:val="en-GB"/>
        </w:rPr>
      </w:pPr>
    </w:p>
    <w:p w14:paraId="23BE92DE" w14:textId="616F7845" w:rsidR="00AC6AE5" w:rsidRPr="00A267BE" w:rsidRDefault="00AC6AE5" w:rsidP="00AC6AE5">
      <w:pPr>
        <w:pStyle w:val="BodyTextMain"/>
        <w:rPr>
          <w:lang w:val="en-GB"/>
        </w:rPr>
      </w:pPr>
      <w:r w:rsidRPr="00A267BE">
        <w:rPr>
          <w:lang w:val="en-GB"/>
        </w:rPr>
        <w:t xml:space="preserve">During her first week in Kiev, </w:t>
      </w:r>
      <w:r w:rsidR="00893910">
        <w:rPr>
          <w:lang w:val="en-GB"/>
        </w:rPr>
        <w:t>Santos</w:t>
      </w:r>
      <w:r w:rsidR="00893910" w:rsidRPr="00A267BE">
        <w:rPr>
          <w:lang w:val="en-GB"/>
        </w:rPr>
        <w:t xml:space="preserve"> </w:t>
      </w:r>
      <w:r w:rsidRPr="00A267BE">
        <w:rPr>
          <w:lang w:val="en-GB"/>
        </w:rPr>
        <w:t>had an odd experience. She went to a pharmacy to buy a pack of vitamin pills and was surprised when she was asked</w:t>
      </w:r>
      <w:r w:rsidR="00893910">
        <w:rPr>
          <w:lang w:val="en-GB"/>
        </w:rPr>
        <w:t>,</w:t>
      </w:r>
      <w:r w:rsidRPr="00A267BE">
        <w:rPr>
          <w:lang w:val="en-GB"/>
        </w:rPr>
        <w:t xml:space="preserve"> “How many blisters do you need?”</w:t>
      </w:r>
      <w:r w:rsidR="006D5952">
        <w:rPr>
          <w:rStyle w:val="FootnoteReference"/>
          <w:lang w:val="en-GB"/>
        </w:rPr>
        <w:footnoteReference w:id="3"/>
      </w:r>
      <w:r w:rsidRPr="00A267BE">
        <w:rPr>
          <w:lang w:val="en-GB"/>
        </w:rPr>
        <w:t xml:space="preserve"> Answering that she wanted to buy a full pack, the pharmacist explained that pharmacies had started to sell single blisters on their own initiative in </w:t>
      </w:r>
      <w:r w:rsidR="006D5952">
        <w:rPr>
          <w:lang w:val="en-GB"/>
        </w:rPr>
        <w:t>an effort</w:t>
      </w:r>
      <w:r w:rsidR="006D5952" w:rsidRPr="00A267BE">
        <w:rPr>
          <w:lang w:val="en-GB"/>
        </w:rPr>
        <w:t xml:space="preserve"> </w:t>
      </w:r>
      <w:r w:rsidRPr="00A267BE">
        <w:rPr>
          <w:lang w:val="en-GB"/>
        </w:rPr>
        <w:t>to accommodate local demands.</w:t>
      </w:r>
    </w:p>
    <w:p w14:paraId="61150E1C" w14:textId="77777777" w:rsidR="00AC6AE5" w:rsidRPr="00A267BE" w:rsidRDefault="00AC6AE5" w:rsidP="00AC6AE5">
      <w:pPr>
        <w:pStyle w:val="BodyTextMain"/>
        <w:rPr>
          <w:lang w:val="en-GB"/>
        </w:rPr>
      </w:pPr>
    </w:p>
    <w:p w14:paraId="7FCB429A" w14:textId="3B3A7707" w:rsidR="00AC6AE5" w:rsidRPr="00A267BE" w:rsidRDefault="006D5952" w:rsidP="00AC6AE5">
      <w:pPr>
        <w:pStyle w:val="BodyTextMain"/>
        <w:rPr>
          <w:lang w:val="en-GB"/>
        </w:rPr>
      </w:pPr>
      <w:r>
        <w:rPr>
          <w:lang w:val="en-GB"/>
        </w:rPr>
        <w:t>Santos</w:t>
      </w:r>
      <w:r w:rsidRPr="00A267BE">
        <w:rPr>
          <w:lang w:val="en-GB"/>
        </w:rPr>
        <w:t xml:space="preserve"> </w:t>
      </w:r>
      <w:r w:rsidR="00AC6AE5" w:rsidRPr="00A267BE">
        <w:rPr>
          <w:lang w:val="en-GB"/>
        </w:rPr>
        <w:t xml:space="preserve">also learned that the sharp devaluation of the Ukrainian </w:t>
      </w:r>
      <w:r>
        <w:rPr>
          <w:lang w:val="en-GB"/>
        </w:rPr>
        <w:t>h</w:t>
      </w:r>
      <w:r w:rsidR="00AC6AE5" w:rsidRPr="00A267BE">
        <w:rPr>
          <w:lang w:val="en-GB"/>
        </w:rPr>
        <w:t xml:space="preserve">ryvnia against the </w:t>
      </w:r>
      <w:r>
        <w:rPr>
          <w:lang w:val="en-GB"/>
        </w:rPr>
        <w:t>e</w:t>
      </w:r>
      <w:r w:rsidR="00AC6AE5" w:rsidRPr="00A267BE">
        <w:rPr>
          <w:lang w:val="en-GB"/>
        </w:rPr>
        <w:t xml:space="preserve">uro (see Exhibit 4) had </w:t>
      </w:r>
      <w:r>
        <w:rPr>
          <w:lang w:val="en-GB"/>
        </w:rPr>
        <w:t xml:space="preserve">led to </w:t>
      </w:r>
      <w:r w:rsidR="00AC6AE5" w:rsidRPr="00A267BE">
        <w:rPr>
          <w:lang w:val="en-GB"/>
        </w:rPr>
        <w:t xml:space="preserve">severe consequences for </w:t>
      </w:r>
      <w:r w:rsidR="002A545C">
        <w:rPr>
          <w:lang w:val="en-GB"/>
        </w:rPr>
        <w:t>PharmaCorp</w:t>
      </w:r>
      <w:r w:rsidR="002A545C" w:rsidRPr="00A267BE">
        <w:rPr>
          <w:lang w:val="en-GB"/>
        </w:rPr>
        <w:t xml:space="preserve"> </w:t>
      </w:r>
      <w:r w:rsidR="00AC6AE5" w:rsidRPr="00A267BE">
        <w:rPr>
          <w:lang w:val="en-GB"/>
        </w:rPr>
        <w:t>Ukrain</w:t>
      </w:r>
      <w:r w:rsidR="002A545C">
        <w:rPr>
          <w:lang w:val="en-GB"/>
        </w:rPr>
        <w:t>e</w:t>
      </w:r>
      <w:r w:rsidR="00AC6AE5" w:rsidRPr="00A267BE">
        <w:rPr>
          <w:lang w:val="en-GB"/>
        </w:rPr>
        <w:t xml:space="preserve">, which imported its products from the RHQ </w:t>
      </w:r>
      <w:r>
        <w:rPr>
          <w:lang w:val="en-GB"/>
        </w:rPr>
        <w:t>in</w:t>
      </w:r>
      <w:r w:rsidRPr="00A267BE">
        <w:rPr>
          <w:lang w:val="en-GB"/>
        </w:rPr>
        <w:t xml:space="preserve"> </w:t>
      </w:r>
      <w:r w:rsidR="00AC6AE5" w:rsidRPr="00A267BE">
        <w:rPr>
          <w:lang w:val="en-GB"/>
        </w:rPr>
        <w:t xml:space="preserve">prices </w:t>
      </w:r>
      <w:r>
        <w:rPr>
          <w:lang w:val="en-GB"/>
        </w:rPr>
        <w:t xml:space="preserve">that </w:t>
      </w:r>
      <w:r w:rsidR="00AC6AE5" w:rsidRPr="00A267BE">
        <w:rPr>
          <w:lang w:val="en-GB"/>
        </w:rPr>
        <w:t xml:space="preserve">were </w:t>
      </w:r>
      <w:r w:rsidR="009E6B1C">
        <w:rPr>
          <w:lang w:val="en-GB"/>
        </w:rPr>
        <w:t>denominated</w:t>
      </w:r>
      <w:r w:rsidR="009E6B1C" w:rsidRPr="00A267BE">
        <w:rPr>
          <w:lang w:val="en-GB"/>
        </w:rPr>
        <w:t xml:space="preserve"> </w:t>
      </w:r>
      <w:r w:rsidR="00AC6AE5" w:rsidRPr="00A267BE">
        <w:rPr>
          <w:lang w:val="en-GB"/>
        </w:rPr>
        <w:t xml:space="preserve">in </w:t>
      </w:r>
      <w:r>
        <w:rPr>
          <w:lang w:val="en-GB"/>
        </w:rPr>
        <w:t>the e</w:t>
      </w:r>
      <w:r w:rsidR="00AC6AE5" w:rsidRPr="00A267BE">
        <w:rPr>
          <w:lang w:val="en-GB"/>
        </w:rPr>
        <w:t xml:space="preserve">uro. The devaluation of the </w:t>
      </w:r>
      <w:r>
        <w:rPr>
          <w:lang w:val="en-GB"/>
        </w:rPr>
        <w:t>h</w:t>
      </w:r>
      <w:r w:rsidR="00AC6AE5" w:rsidRPr="00A267BE">
        <w:rPr>
          <w:lang w:val="en-GB"/>
        </w:rPr>
        <w:t>ryvnia</w:t>
      </w:r>
      <w:r w:rsidR="00C26180">
        <w:rPr>
          <w:lang w:val="en-GB"/>
        </w:rPr>
        <w:t>, combined with</w:t>
      </w:r>
      <w:r w:rsidR="00AC6AE5" w:rsidRPr="00A267BE">
        <w:rPr>
          <w:lang w:val="en-GB"/>
        </w:rPr>
        <w:t xml:space="preserve"> increasing inflation</w:t>
      </w:r>
      <w:r w:rsidR="00C26180">
        <w:rPr>
          <w:lang w:val="en-GB"/>
        </w:rPr>
        <w:t>,</w:t>
      </w:r>
      <w:r w:rsidR="00AC6AE5" w:rsidRPr="00A267BE">
        <w:rPr>
          <w:lang w:val="en-GB"/>
        </w:rPr>
        <w:t xml:space="preserve"> had led to decreases in </w:t>
      </w:r>
      <w:r>
        <w:rPr>
          <w:lang w:val="en-GB"/>
        </w:rPr>
        <w:t>local consumers’</w:t>
      </w:r>
      <w:r w:rsidRPr="00A267BE">
        <w:rPr>
          <w:lang w:val="en-GB"/>
        </w:rPr>
        <w:t xml:space="preserve"> </w:t>
      </w:r>
      <w:r w:rsidR="00AC6AE5" w:rsidRPr="00A267BE">
        <w:rPr>
          <w:lang w:val="en-GB"/>
        </w:rPr>
        <w:t xml:space="preserve">purchasing power, </w:t>
      </w:r>
      <w:r>
        <w:rPr>
          <w:lang w:val="en-GB"/>
        </w:rPr>
        <w:t>which</w:t>
      </w:r>
      <w:r w:rsidRPr="00A267BE">
        <w:rPr>
          <w:lang w:val="en-GB"/>
        </w:rPr>
        <w:t xml:space="preserve"> </w:t>
      </w:r>
      <w:r w:rsidR="00AC6AE5" w:rsidRPr="00A267BE">
        <w:rPr>
          <w:lang w:val="en-GB"/>
        </w:rPr>
        <w:t>made it more difficult for them to afford PharmaCorp’s drugs. The situation had been further aggravated because of rising unemployment, more careful spending behavio</w:t>
      </w:r>
      <w:r>
        <w:rPr>
          <w:lang w:val="en-GB"/>
        </w:rPr>
        <w:t>u</w:t>
      </w:r>
      <w:r w:rsidR="00AC6AE5" w:rsidRPr="00A267BE">
        <w:rPr>
          <w:lang w:val="en-GB"/>
        </w:rPr>
        <w:t>r</w:t>
      </w:r>
      <w:r w:rsidR="009E6B1C">
        <w:rPr>
          <w:lang w:val="en-GB"/>
        </w:rPr>
        <w:t>s</w:t>
      </w:r>
      <w:r w:rsidR="00AC6AE5" w:rsidRPr="00A267BE">
        <w:rPr>
          <w:lang w:val="en-GB"/>
        </w:rPr>
        <w:t xml:space="preserve">, </w:t>
      </w:r>
      <w:r>
        <w:rPr>
          <w:lang w:val="en-GB"/>
        </w:rPr>
        <w:t>and</w:t>
      </w:r>
      <w:r w:rsidR="00AC6AE5" w:rsidRPr="00A267BE">
        <w:rPr>
          <w:lang w:val="en-GB"/>
        </w:rPr>
        <w:t xml:space="preserve"> a new value-added tax of </w:t>
      </w:r>
      <w:r>
        <w:rPr>
          <w:lang w:val="en-GB"/>
        </w:rPr>
        <w:t>7</w:t>
      </w:r>
      <w:r w:rsidRPr="00A267BE">
        <w:rPr>
          <w:lang w:val="en-GB"/>
        </w:rPr>
        <w:t xml:space="preserve"> </w:t>
      </w:r>
      <w:r w:rsidR="00AC6AE5" w:rsidRPr="00A267BE">
        <w:rPr>
          <w:lang w:val="en-GB"/>
        </w:rPr>
        <w:t>per</w:t>
      </w:r>
      <w:r>
        <w:rPr>
          <w:lang w:val="en-GB"/>
        </w:rPr>
        <w:t xml:space="preserve"> </w:t>
      </w:r>
      <w:r w:rsidR="00AC6AE5" w:rsidRPr="00A267BE">
        <w:rPr>
          <w:lang w:val="en-GB"/>
        </w:rPr>
        <w:t xml:space="preserve">cent on drugs. </w:t>
      </w:r>
      <w:r>
        <w:rPr>
          <w:lang w:val="en-GB"/>
        </w:rPr>
        <w:t>In addition</w:t>
      </w:r>
      <w:r w:rsidR="00AC6AE5" w:rsidRPr="00A267BE">
        <w:rPr>
          <w:lang w:val="en-GB"/>
        </w:rPr>
        <w:t xml:space="preserve">, </w:t>
      </w:r>
      <w:r w:rsidRPr="00A267BE">
        <w:rPr>
          <w:lang w:val="en-GB"/>
        </w:rPr>
        <w:t xml:space="preserve">PharmaCorp Ukraine </w:t>
      </w:r>
      <w:r>
        <w:rPr>
          <w:lang w:val="en-GB"/>
        </w:rPr>
        <w:t xml:space="preserve">incurred </w:t>
      </w:r>
      <w:r w:rsidR="00AC6AE5" w:rsidRPr="00A267BE">
        <w:rPr>
          <w:lang w:val="en-GB"/>
        </w:rPr>
        <w:t xml:space="preserve">a duty of </w:t>
      </w:r>
      <w:r>
        <w:rPr>
          <w:lang w:val="en-GB"/>
        </w:rPr>
        <w:t>5</w:t>
      </w:r>
      <w:r w:rsidRPr="00A267BE">
        <w:rPr>
          <w:lang w:val="en-GB"/>
        </w:rPr>
        <w:t xml:space="preserve"> </w:t>
      </w:r>
      <w:r w:rsidR="00AC6AE5" w:rsidRPr="00A267BE">
        <w:rPr>
          <w:lang w:val="en-GB"/>
        </w:rPr>
        <w:t>per</w:t>
      </w:r>
      <w:r>
        <w:rPr>
          <w:lang w:val="en-GB"/>
        </w:rPr>
        <w:t xml:space="preserve"> </w:t>
      </w:r>
      <w:r w:rsidR="00AC6AE5" w:rsidRPr="00A267BE">
        <w:rPr>
          <w:lang w:val="en-GB"/>
        </w:rPr>
        <w:t xml:space="preserve">cent on import. In sum, </w:t>
      </w:r>
      <w:r w:rsidR="00437781">
        <w:rPr>
          <w:lang w:val="en-GB"/>
        </w:rPr>
        <w:t xml:space="preserve">it was </w:t>
      </w:r>
      <w:r w:rsidR="00AC6AE5" w:rsidRPr="00A267BE">
        <w:rPr>
          <w:lang w:val="en-GB"/>
        </w:rPr>
        <w:t xml:space="preserve">not only patients </w:t>
      </w:r>
      <w:r w:rsidR="007E454C">
        <w:rPr>
          <w:lang w:val="en-GB"/>
        </w:rPr>
        <w:t>who</w:t>
      </w:r>
      <w:r w:rsidR="00437781">
        <w:rPr>
          <w:lang w:val="en-GB"/>
        </w:rPr>
        <w:t xml:space="preserve"> </w:t>
      </w:r>
      <w:r w:rsidR="00AC6AE5" w:rsidRPr="00A267BE">
        <w:rPr>
          <w:lang w:val="en-GB"/>
        </w:rPr>
        <w:t xml:space="preserve">were struggling to afford </w:t>
      </w:r>
      <w:r w:rsidR="00437781">
        <w:rPr>
          <w:lang w:val="en-GB"/>
        </w:rPr>
        <w:t>to pay for</w:t>
      </w:r>
      <w:r w:rsidR="00437781" w:rsidRPr="00A267BE">
        <w:rPr>
          <w:lang w:val="en-GB"/>
        </w:rPr>
        <w:t xml:space="preserve"> </w:t>
      </w:r>
      <w:r w:rsidR="00AC6AE5" w:rsidRPr="00A267BE">
        <w:rPr>
          <w:lang w:val="en-GB"/>
        </w:rPr>
        <w:t xml:space="preserve">drugs; wholesalers were </w:t>
      </w:r>
      <w:r w:rsidR="00437781">
        <w:rPr>
          <w:lang w:val="en-GB"/>
        </w:rPr>
        <w:t xml:space="preserve">also </w:t>
      </w:r>
      <w:r w:rsidR="00AC6AE5" w:rsidRPr="00A267BE">
        <w:rPr>
          <w:lang w:val="en-GB"/>
        </w:rPr>
        <w:t>struggling to pay.</w:t>
      </w:r>
    </w:p>
    <w:p w14:paraId="33C70682" w14:textId="77777777" w:rsidR="00AC6AE5" w:rsidRPr="00A267BE" w:rsidRDefault="00AC6AE5" w:rsidP="00AC6AE5">
      <w:pPr>
        <w:pStyle w:val="BodyTextMain"/>
        <w:rPr>
          <w:lang w:val="en-GB"/>
        </w:rPr>
      </w:pPr>
    </w:p>
    <w:p w14:paraId="755166BD" w14:textId="77777777" w:rsidR="00AC6AE5" w:rsidRPr="00A267BE" w:rsidRDefault="00AC6AE5" w:rsidP="00AC6AE5">
      <w:pPr>
        <w:pStyle w:val="BodyTextMain"/>
        <w:rPr>
          <w:lang w:val="en-GB"/>
        </w:rPr>
      </w:pPr>
      <w:r w:rsidRPr="00A267BE">
        <w:rPr>
          <w:lang w:val="en-GB"/>
        </w:rPr>
        <w:t xml:space="preserve">One wholesaler stated, “I can’t afford </w:t>
      </w:r>
      <w:r w:rsidR="006032A9">
        <w:rPr>
          <w:lang w:val="en-GB"/>
        </w:rPr>
        <w:t xml:space="preserve">to </w:t>
      </w:r>
      <w:r w:rsidRPr="00A267BE">
        <w:rPr>
          <w:lang w:val="en-GB"/>
        </w:rPr>
        <w:t>transfer money to you unless I have collected money from my customers, the pharmacists</w:t>
      </w:r>
      <w:r w:rsidR="00437781">
        <w:rPr>
          <w:lang w:val="en-GB"/>
        </w:rPr>
        <w:t>.</w:t>
      </w:r>
      <w:r w:rsidRPr="00A267BE">
        <w:rPr>
          <w:lang w:val="en-GB"/>
        </w:rPr>
        <w:t xml:space="preserve">” </w:t>
      </w:r>
      <w:r w:rsidR="00437781">
        <w:rPr>
          <w:lang w:val="en-GB"/>
        </w:rPr>
        <w:t>Santos</w:t>
      </w:r>
      <w:r w:rsidR="00437781" w:rsidRPr="00A267BE">
        <w:rPr>
          <w:lang w:val="en-GB"/>
        </w:rPr>
        <w:t xml:space="preserve"> </w:t>
      </w:r>
      <w:r w:rsidRPr="00A267BE">
        <w:rPr>
          <w:lang w:val="en-GB"/>
        </w:rPr>
        <w:t xml:space="preserve">also heard that banks did not concede liquidity to their clients and granted loans only rarely. </w:t>
      </w:r>
      <w:r w:rsidR="00437781">
        <w:rPr>
          <w:lang w:val="en-GB"/>
        </w:rPr>
        <w:t>In</w:t>
      </w:r>
      <w:r w:rsidRPr="00A267BE">
        <w:rPr>
          <w:lang w:val="en-GB"/>
        </w:rPr>
        <w:t xml:space="preserve"> response, some firms had started to modify their terms of payment in favo</w:t>
      </w:r>
      <w:r w:rsidR="00437781">
        <w:rPr>
          <w:lang w:val="en-GB"/>
        </w:rPr>
        <w:t>u</w:t>
      </w:r>
      <w:r w:rsidRPr="00A267BE">
        <w:rPr>
          <w:lang w:val="en-GB"/>
        </w:rPr>
        <w:t xml:space="preserve">r of wholesalers, for example, </w:t>
      </w:r>
      <w:r w:rsidR="00437781">
        <w:rPr>
          <w:lang w:val="en-GB"/>
        </w:rPr>
        <w:t xml:space="preserve">by </w:t>
      </w:r>
      <w:r w:rsidRPr="00A267BE">
        <w:rPr>
          <w:lang w:val="en-GB"/>
        </w:rPr>
        <w:t xml:space="preserve">extending dates of payment. If </w:t>
      </w:r>
      <w:r w:rsidR="00437781">
        <w:rPr>
          <w:lang w:val="en-GB"/>
        </w:rPr>
        <w:t>Santos</w:t>
      </w:r>
      <w:r w:rsidR="00437781" w:rsidRPr="00A267BE">
        <w:rPr>
          <w:lang w:val="en-GB"/>
        </w:rPr>
        <w:t xml:space="preserve"> </w:t>
      </w:r>
      <w:r w:rsidRPr="00A267BE">
        <w:rPr>
          <w:lang w:val="en-GB"/>
        </w:rPr>
        <w:t xml:space="preserve">wanted to change </w:t>
      </w:r>
      <w:r w:rsidR="00437781">
        <w:rPr>
          <w:lang w:val="en-GB"/>
        </w:rPr>
        <w:t xml:space="preserve">the </w:t>
      </w:r>
      <w:r w:rsidRPr="00A267BE">
        <w:rPr>
          <w:lang w:val="en-GB"/>
        </w:rPr>
        <w:t>terms, she would need the RHQ</w:t>
      </w:r>
      <w:r w:rsidR="00437781">
        <w:rPr>
          <w:lang w:val="en-GB"/>
        </w:rPr>
        <w:t>’s</w:t>
      </w:r>
      <w:r w:rsidRPr="00A267BE">
        <w:rPr>
          <w:lang w:val="en-GB"/>
        </w:rPr>
        <w:t xml:space="preserve"> agree</w:t>
      </w:r>
      <w:r w:rsidR="00437781">
        <w:rPr>
          <w:lang w:val="en-GB"/>
        </w:rPr>
        <w:t>ment</w:t>
      </w:r>
      <w:r w:rsidRPr="00A267BE">
        <w:rPr>
          <w:lang w:val="en-GB"/>
        </w:rPr>
        <w:t>.</w:t>
      </w:r>
    </w:p>
    <w:p w14:paraId="4EDF65BB" w14:textId="77777777" w:rsidR="00AC6AE5" w:rsidRPr="00A267BE" w:rsidRDefault="00AC6AE5" w:rsidP="00AC6AE5">
      <w:pPr>
        <w:pStyle w:val="BodyTextMain"/>
        <w:rPr>
          <w:lang w:val="en-GB"/>
        </w:rPr>
      </w:pPr>
    </w:p>
    <w:p w14:paraId="6CBE253E" w14:textId="4D5F7161" w:rsidR="00AC6AE5" w:rsidRPr="00A267BE" w:rsidRDefault="00437781" w:rsidP="00AC6AE5">
      <w:pPr>
        <w:pStyle w:val="BodyTextMain"/>
        <w:rPr>
          <w:lang w:val="en-GB"/>
        </w:rPr>
      </w:pPr>
      <w:r>
        <w:rPr>
          <w:lang w:val="en-GB"/>
        </w:rPr>
        <w:t>Santos</w:t>
      </w:r>
      <w:r w:rsidRPr="00A267BE">
        <w:rPr>
          <w:lang w:val="en-GB"/>
        </w:rPr>
        <w:t xml:space="preserve"> </w:t>
      </w:r>
      <w:r w:rsidR="00495ACB">
        <w:rPr>
          <w:lang w:val="en-GB"/>
        </w:rPr>
        <w:t xml:space="preserve">was bothered by </w:t>
      </w:r>
      <w:r w:rsidR="00CA4EB1">
        <w:rPr>
          <w:lang w:val="en-GB"/>
        </w:rPr>
        <w:t>some additional issues</w:t>
      </w:r>
      <w:r w:rsidR="00495ACB">
        <w:rPr>
          <w:lang w:val="en-GB"/>
        </w:rPr>
        <w:t>, including</w:t>
      </w:r>
      <w:r w:rsidRPr="00A267BE">
        <w:rPr>
          <w:lang w:val="en-GB"/>
        </w:rPr>
        <w:t xml:space="preserve"> </w:t>
      </w:r>
      <w:r w:rsidR="00AC6AE5" w:rsidRPr="00A267BE">
        <w:rPr>
          <w:lang w:val="en-GB"/>
        </w:rPr>
        <w:t xml:space="preserve">corruption, </w:t>
      </w:r>
      <w:r>
        <w:rPr>
          <w:lang w:val="en-GB"/>
        </w:rPr>
        <w:t xml:space="preserve">and </w:t>
      </w:r>
      <w:r w:rsidR="00AC6AE5" w:rsidRPr="00A267BE">
        <w:rPr>
          <w:lang w:val="en-GB"/>
        </w:rPr>
        <w:t xml:space="preserve">laws and regulations </w:t>
      </w:r>
      <w:r>
        <w:rPr>
          <w:lang w:val="en-GB"/>
        </w:rPr>
        <w:t xml:space="preserve">that </w:t>
      </w:r>
      <w:r w:rsidR="006032A9">
        <w:rPr>
          <w:lang w:val="en-GB"/>
        </w:rPr>
        <w:t>continual</w:t>
      </w:r>
      <w:r>
        <w:rPr>
          <w:lang w:val="en-GB"/>
        </w:rPr>
        <w:t xml:space="preserve">ly </w:t>
      </w:r>
      <w:r w:rsidR="00AC6AE5" w:rsidRPr="00A267BE">
        <w:rPr>
          <w:lang w:val="en-GB"/>
        </w:rPr>
        <w:t>chang</w:t>
      </w:r>
      <w:r w:rsidR="006032A9">
        <w:rPr>
          <w:lang w:val="en-GB"/>
        </w:rPr>
        <w:t>ed</w:t>
      </w:r>
      <w:r w:rsidR="00AC6AE5" w:rsidRPr="00A267BE">
        <w:rPr>
          <w:lang w:val="en-GB"/>
        </w:rPr>
        <w:t xml:space="preserve">. Since the political situation </w:t>
      </w:r>
      <w:r w:rsidRPr="00A267BE">
        <w:rPr>
          <w:lang w:val="en-GB"/>
        </w:rPr>
        <w:t>ha</w:t>
      </w:r>
      <w:r>
        <w:rPr>
          <w:lang w:val="en-GB"/>
        </w:rPr>
        <w:t>d</w:t>
      </w:r>
      <w:r w:rsidRPr="00A267BE">
        <w:rPr>
          <w:lang w:val="en-GB"/>
        </w:rPr>
        <w:t xml:space="preserve"> </w:t>
      </w:r>
      <w:r w:rsidR="00AC6AE5" w:rsidRPr="00A267BE">
        <w:rPr>
          <w:lang w:val="en-GB"/>
        </w:rPr>
        <w:t xml:space="preserve">been unstable, </w:t>
      </w:r>
      <w:r>
        <w:rPr>
          <w:lang w:val="en-GB"/>
        </w:rPr>
        <w:t>several</w:t>
      </w:r>
      <w:r w:rsidR="00AC6AE5" w:rsidRPr="00A267BE">
        <w:rPr>
          <w:lang w:val="en-GB"/>
        </w:rPr>
        <w:t xml:space="preserve"> different people had held</w:t>
      </w:r>
      <w:r w:rsidR="006032A9">
        <w:rPr>
          <w:lang w:val="en-GB"/>
        </w:rPr>
        <w:t>—</w:t>
      </w:r>
      <w:r w:rsidR="00AC6AE5" w:rsidRPr="00A267BE">
        <w:rPr>
          <w:lang w:val="en-GB"/>
        </w:rPr>
        <w:t xml:space="preserve">and </w:t>
      </w:r>
      <w:r>
        <w:rPr>
          <w:lang w:val="en-GB"/>
        </w:rPr>
        <w:t>subsequently</w:t>
      </w:r>
      <w:r w:rsidRPr="00A267BE">
        <w:rPr>
          <w:lang w:val="en-GB"/>
        </w:rPr>
        <w:t xml:space="preserve"> </w:t>
      </w:r>
      <w:r w:rsidR="00AC6AE5" w:rsidRPr="00A267BE">
        <w:rPr>
          <w:lang w:val="en-GB"/>
        </w:rPr>
        <w:t>been removed from</w:t>
      </w:r>
      <w:r w:rsidR="006032A9">
        <w:rPr>
          <w:lang w:val="en-GB"/>
        </w:rPr>
        <w:t>—</w:t>
      </w:r>
      <w:r w:rsidR="00AC6AE5" w:rsidRPr="00A267BE">
        <w:rPr>
          <w:lang w:val="en-GB"/>
        </w:rPr>
        <w:t xml:space="preserve">the very same public office at short intervals. </w:t>
      </w:r>
      <w:r>
        <w:rPr>
          <w:lang w:val="en-GB"/>
        </w:rPr>
        <w:t>Public offices were characterized by a</w:t>
      </w:r>
      <w:r w:rsidR="00AC6AE5" w:rsidRPr="00A267BE">
        <w:rPr>
          <w:lang w:val="en-GB"/>
        </w:rPr>
        <w:t xml:space="preserve"> generally high fluctuation. </w:t>
      </w:r>
      <w:r>
        <w:rPr>
          <w:lang w:val="en-GB"/>
        </w:rPr>
        <w:t xml:space="preserve">For example, </w:t>
      </w:r>
      <w:r w:rsidRPr="00A267BE">
        <w:rPr>
          <w:lang w:val="en-GB"/>
        </w:rPr>
        <w:t>between November 2013 and September 2014</w:t>
      </w:r>
      <w:r>
        <w:rPr>
          <w:lang w:val="en-GB"/>
        </w:rPr>
        <w:t xml:space="preserve">, </w:t>
      </w:r>
      <w:r w:rsidR="006032A9">
        <w:rPr>
          <w:lang w:val="en-GB"/>
        </w:rPr>
        <w:t xml:space="preserve">three different people had held </w:t>
      </w:r>
      <w:r>
        <w:rPr>
          <w:lang w:val="en-GB"/>
        </w:rPr>
        <w:t>t</w:t>
      </w:r>
      <w:r w:rsidR="00AC6AE5" w:rsidRPr="00A267BE">
        <w:rPr>
          <w:lang w:val="en-GB"/>
        </w:rPr>
        <w:t xml:space="preserve">he position of </w:t>
      </w:r>
      <w:r w:rsidR="00405FCB">
        <w:rPr>
          <w:lang w:val="en-GB"/>
        </w:rPr>
        <w:t>h</w:t>
      </w:r>
      <w:r w:rsidR="00AC6AE5" w:rsidRPr="00A267BE">
        <w:rPr>
          <w:lang w:val="en-GB"/>
        </w:rPr>
        <w:t xml:space="preserve">ealth </w:t>
      </w:r>
      <w:r w:rsidR="00405FCB">
        <w:rPr>
          <w:lang w:val="en-GB"/>
        </w:rPr>
        <w:t>m</w:t>
      </w:r>
      <w:r w:rsidR="00AC6AE5" w:rsidRPr="00A267BE">
        <w:rPr>
          <w:lang w:val="en-GB"/>
        </w:rPr>
        <w:t xml:space="preserve">inister. Each </w:t>
      </w:r>
      <w:r w:rsidR="00CB00AD">
        <w:rPr>
          <w:lang w:val="en-GB"/>
        </w:rPr>
        <w:t xml:space="preserve">one </w:t>
      </w:r>
      <w:r w:rsidR="00AC6AE5" w:rsidRPr="00A267BE">
        <w:rPr>
          <w:lang w:val="en-GB"/>
        </w:rPr>
        <w:t xml:space="preserve">had </w:t>
      </w:r>
      <w:r>
        <w:rPr>
          <w:lang w:val="en-GB"/>
        </w:rPr>
        <w:t xml:space="preserve">a </w:t>
      </w:r>
      <w:r w:rsidR="00AC6AE5" w:rsidRPr="00A267BE">
        <w:rPr>
          <w:lang w:val="en-GB"/>
        </w:rPr>
        <w:t>different idea about how to organize the health</w:t>
      </w:r>
      <w:r>
        <w:rPr>
          <w:lang w:val="en-GB"/>
        </w:rPr>
        <w:t>-</w:t>
      </w:r>
      <w:r w:rsidR="00AC6AE5" w:rsidRPr="00A267BE">
        <w:rPr>
          <w:lang w:val="en-GB"/>
        </w:rPr>
        <w:t xml:space="preserve">care system, and </w:t>
      </w:r>
      <w:r>
        <w:rPr>
          <w:lang w:val="en-GB"/>
        </w:rPr>
        <w:t xml:space="preserve">therefore each </w:t>
      </w:r>
      <w:r w:rsidR="00CB00AD">
        <w:rPr>
          <w:lang w:val="en-GB"/>
        </w:rPr>
        <w:t xml:space="preserve">one </w:t>
      </w:r>
      <w:r w:rsidR="006032A9">
        <w:rPr>
          <w:lang w:val="en-GB"/>
        </w:rPr>
        <w:t xml:space="preserve">had </w:t>
      </w:r>
      <w:r>
        <w:rPr>
          <w:lang w:val="en-GB"/>
        </w:rPr>
        <w:t>initiated</w:t>
      </w:r>
      <w:r w:rsidR="00AC6AE5" w:rsidRPr="00A267BE">
        <w:rPr>
          <w:lang w:val="en-GB"/>
        </w:rPr>
        <w:t xml:space="preserve"> new rules concerning manufacturing standards, price regulations and registrations, drug authorization, advertising restrictions, and much more.</w:t>
      </w:r>
      <w:r w:rsidR="00E244D2">
        <w:rPr>
          <w:lang w:val="en-GB"/>
        </w:rPr>
        <w:t xml:space="preserve"> </w:t>
      </w:r>
      <w:r w:rsidR="00AC6AE5" w:rsidRPr="00A267BE">
        <w:rPr>
          <w:lang w:val="en-GB"/>
        </w:rPr>
        <w:t>To counter these issues, the local unit of PharmaCorp introduced some minor initiatives. To revitalize operations, for example, it granted more and higher discounts. Yet, profits continued to fall.</w:t>
      </w:r>
    </w:p>
    <w:p w14:paraId="55A7BCD9" w14:textId="77777777" w:rsidR="00AC6AE5" w:rsidRPr="00A267BE" w:rsidRDefault="00AC6AE5" w:rsidP="00AC6AE5">
      <w:pPr>
        <w:pStyle w:val="BodyTextMain"/>
        <w:rPr>
          <w:lang w:val="en-GB"/>
        </w:rPr>
      </w:pPr>
    </w:p>
    <w:p w14:paraId="1F04BE74" w14:textId="376FFC5B" w:rsidR="00AC6AE5" w:rsidRDefault="00AC6AE5" w:rsidP="00AC6AE5">
      <w:pPr>
        <w:pStyle w:val="BodyTextMain"/>
        <w:rPr>
          <w:lang w:val="en-GB"/>
        </w:rPr>
      </w:pPr>
      <w:r w:rsidRPr="00A267BE">
        <w:rPr>
          <w:lang w:val="en-GB"/>
        </w:rPr>
        <w:lastRenderedPageBreak/>
        <w:t xml:space="preserve">One sales manager, who had been with PharmaCorp Ukraine for more than </w:t>
      </w:r>
      <w:r w:rsidR="00437781">
        <w:rPr>
          <w:lang w:val="en-GB"/>
        </w:rPr>
        <w:t>10</w:t>
      </w:r>
      <w:r w:rsidR="00437781" w:rsidRPr="00A267BE">
        <w:rPr>
          <w:lang w:val="en-GB"/>
        </w:rPr>
        <w:t xml:space="preserve"> </w:t>
      </w:r>
      <w:r w:rsidRPr="00A267BE">
        <w:rPr>
          <w:lang w:val="en-GB"/>
        </w:rPr>
        <w:t>years, expressed her concerns about the structure of the global organization, which hampered local decision-making. The operating unit in Ukraine lacked flexibility and autonomy. Only recently</w:t>
      </w:r>
      <w:r w:rsidR="00CB00AD">
        <w:rPr>
          <w:lang w:val="en-GB"/>
        </w:rPr>
        <w:t>,</w:t>
      </w:r>
      <w:r w:rsidRPr="00A267BE">
        <w:rPr>
          <w:lang w:val="en-GB"/>
        </w:rPr>
        <w:t xml:space="preserve"> she had to talk to </w:t>
      </w:r>
      <w:r w:rsidR="00437781">
        <w:rPr>
          <w:lang w:val="en-GB"/>
        </w:rPr>
        <w:t xml:space="preserve">several </w:t>
      </w:r>
      <w:r w:rsidRPr="00A267BE">
        <w:rPr>
          <w:lang w:val="en-GB"/>
        </w:rPr>
        <w:t xml:space="preserve">people in </w:t>
      </w:r>
      <w:r w:rsidR="00AC39A0">
        <w:rPr>
          <w:lang w:val="en-GB"/>
        </w:rPr>
        <w:t>Milan</w:t>
      </w:r>
      <w:r w:rsidRPr="00A267BE">
        <w:rPr>
          <w:lang w:val="en-GB"/>
        </w:rPr>
        <w:t xml:space="preserve">, </w:t>
      </w:r>
      <w:r w:rsidR="00AC39A0">
        <w:rPr>
          <w:lang w:val="en-GB"/>
        </w:rPr>
        <w:t>Italy</w:t>
      </w:r>
      <w:r w:rsidR="00437781">
        <w:rPr>
          <w:lang w:val="en-GB"/>
        </w:rPr>
        <w:t xml:space="preserve">, </w:t>
      </w:r>
      <w:r w:rsidRPr="00A267BE">
        <w:rPr>
          <w:lang w:val="en-GB"/>
        </w:rPr>
        <w:t xml:space="preserve">just to get approval for granting a higher discount to a long-time customer. Furthermore, she had to wait for two weeks to get a signature from the RHQ </w:t>
      </w:r>
      <w:r w:rsidR="00F77C5D">
        <w:rPr>
          <w:lang w:val="en-GB"/>
        </w:rPr>
        <w:t>so she could</w:t>
      </w:r>
      <w:r w:rsidR="00F77C5D" w:rsidRPr="00A267BE">
        <w:rPr>
          <w:lang w:val="en-GB"/>
        </w:rPr>
        <w:t xml:space="preserve"> </w:t>
      </w:r>
      <w:r w:rsidRPr="00A267BE">
        <w:rPr>
          <w:lang w:val="en-GB"/>
        </w:rPr>
        <w:t>hire new drug distribut</w:t>
      </w:r>
      <w:r w:rsidR="00437781">
        <w:rPr>
          <w:lang w:val="en-GB"/>
        </w:rPr>
        <w:t>o</w:t>
      </w:r>
      <w:r w:rsidRPr="00A267BE">
        <w:rPr>
          <w:lang w:val="en-GB"/>
        </w:rPr>
        <w:t>rs.</w:t>
      </w:r>
    </w:p>
    <w:p w14:paraId="140B3804" w14:textId="77777777" w:rsidR="00AC6AE5" w:rsidRPr="00A267BE" w:rsidRDefault="00AC6AE5" w:rsidP="00AC6AE5">
      <w:pPr>
        <w:pStyle w:val="BodyTextMain"/>
        <w:rPr>
          <w:lang w:val="en-GB"/>
        </w:rPr>
      </w:pPr>
    </w:p>
    <w:p w14:paraId="0D70BD0F" w14:textId="1FEE3259" w:rsidR="00AC6AE5" w:rsidRPr="00A267BE" w:rsidRDefault="00D16C18" w:rsidP="00AC6AE5">
      <w:pPr>
        <w:pStyle w:val="BodyTextMain"/>
        <w:rPr>
          <w:lang w:val="en-GB"/>
        </w:rPr>
      </w:pPr>
      <w:r>
        <w:rPr>
          <w:lang w:val="en-GB"/>
        </w:rPr>
        <w:t>Santos</w:t>
      </w:r>
      <w:r w:rsidRPr="00A267BE">
        <w:rPr>
          <w:lang w:val="en-GB"/>
        </w:rPr>
        <w:t xml:space="preserve"> </w:t>
      </w:r>
      <w:r w:rsidR="00AC6AE5" w:rsidRPr="00A267BE">
        <w:rPr>
          <w:lang w:val="en-GB"/>
        </w:rPr>
        <w:t xml:space="preserve">also worried about her unit’s expenditures. For example, she had </w:t>
      </w:r>
      <w:r>
        <w:rPr>
          <w:lang w:val="en-GB"/>
        </w:rPr>
        <w:t>learned</w:t>
      </w:r>
      <w:r w:rsidR="00AC6AE5" w:rsidRPr="00A267BE">
        <w:rPr>
          <w:lang w:val="en-GB"/>
        </w:rPr>
        <w:t xml:space="preserve"> that the rent for PharmaCorp’s office space in Kiev accounted for a high share of total fixed costs</w:t>
      </w:r>
      <w:r w:rsidR="00CB00AD">
        <w:rPr>
          <w:lang w:val="en-GB"/>
        </w:rPr>
        <w:t>; she also discovered</w:t>
      </w:r>
      <w:r w:rsidR="00E244D2">
        <w:rPr>
          <w:lang w:val="en-GB"/>
        </w:rPr>
        <w:t xml:space="preserve"> </w:t>
      </w:r>
      <w:r>
        <w:rPr>
          <w:lang w:val="en-GB"/>
        </w:rPr>
        <w:t xml:space="preserve">that </w:t>
      </w:r>
      <w:r w:rsidR="00AC6AE5" w:rsidRPr="00A267BE">
        <w:rPr>
          <w:lang w:val="en-GB"/>
        </w:rPr>
        <w:t xml:space="preserve">the operating unit’s number of employees was relatively high compared </w:t>
      </w:r>
      <w:r>
        <w:rPr>
          <w:lang w:val="en-GB"/>
        </w:rPr>
        <w:t>with</w:t>
      </w:r>
      <w:r w:rsidRPr="00A267BE">
        <w:rPr>
          <w:lang w:val="en-GB"/>
        </w:rPr>
        <w:t xml:space="preserve"> </w:t>
      </w:r>
      <w:r w:rsidR="00AC6AE5" w:rsidRPr="00A267BE">
        <w:rPr>
          <w:lang w:val="en-GB"/>
        </w:rPr>
        <w:t xml:space="preserve">its profits and </w:t>
      </w:r>
      <w:r>
        <w:rPr>
          <w:lang w:val="en-GB"/>
        </w:rPr>
        <w:t xml:space="preserve">that </w:t>
      </w:r>
      <w:r w:rsidR="00AC6AE5" w:rsidRPr="00A267BE">
        <w:rPr>
          <w:lang w:val="en-GB"/>
        </w:rPr>
        <w:t xml:space="preserve">spending on internal training was much higher than the RHQ average. </w:t>
      </w:r>
      <w:r>
        <w:rPr>
          <w:lang w:val="en-GB"/>
        </w:rPr>
        <w:t>She</w:t>
      </w:r>
      <w:r w:rsidRPr="00A267BE">
        <w:rPr>
          <w:lang w:val="en-GB"/>
        </w:rPr>
        <w:t xml:space="preserve"> </w:t>
      </w:r>
      <w:r w:rsidR="00AC6AE5" w:rsidRPr="00A267BE">
        <w:rPr>
          <w:lang w:val="en-GB"/>
        </w:rPr>
        <w:t xml:space="preserve">was particularly surprised </w:t>
      </w:r>
      <w:r>
        <w:rPr>
          <w:lang w:val="en-GB"/>
        </w:rPr>
        <w:t>a</w:t>
      </w:r>
      <w:r w:rsidR="00B25962">
        <w:rPr>
          <w:lang w:val="en-GB"/>
        </w:rPr>
        <w:t>bou</w:t>
      </w:r>
      <w:r>
        <w:rPr>
          <w:lang w:val="en-GB"/>
        </w:rPr>
        <w:t>t</w:t>
      </w:r>
      <w:r w:rsidRPr="00A267BE">
        <w:rPr>
          <w:lang w:val="en-GB"/>
        </w:rPr>
        <w:t xml:space="preserve"> </w:t>
      </w:r>
      <w:r w:rsidR="00AC6AE5" w:rsidRPr="00A267BE">
        <w:rPr>
          <w:lang w:val="en-GB"/>
        </w:rPr>
        <w:t>the high number of internal training</w:t>
      </w:r>
      <w:r>
        <w:rPr>
          <w:lang w:val="en-GB"/>
        </w:rPr>
        <w:t xml:space="preserve"> sessions</w:t>
      </w:r>
      <w:r w:rsidR="00AC6AE5" w:rsidRPr="00A267BE">
        <w:rPr>
          <w:lang w:val="en-GB"/>
        </w:rPr>
        <w:t xml:space="preserve">. </w:t>
      </w:r>
      <w:r w:rsidR="00CB00AD">
        <w:rPr>
          <w:lang w:val="en-GB"/>
        </w:rPr>
        <w:t>Santos</w:t>
      </w:r>
      <w:r w:rsidR="00AC6AE5" w:rsidRPr="00A267BE">
        <w:rPr>
          <w:lang w:val="en-GB"/>
        </w:rPr>
        <w:t xml:space="preserve"> understood that the daily workload of her employees had risen due to the crisis</w:t>
      </w:r>
      <w:r>
        <w:rPr>
          <w:lang w:val="en-GB"/>
        </w:rPr>
        <w:t>,</w:t>
      </w:r>
      <w:r w:rsidR="00AC6AE5" w:rsidRPr="00A267BE">
        <w:rPr>
          <w:lang w:val="en-GB"/>
        </w:rPr>
        <w:t xml:space="preserve"> </w:t>
      </w:r>
      <w:r>
        <w:rPr>
          <w:lang w:val="en-GB"/>
        </w:rPr>
        <w:t>s</w:t>
      </w:r>
      <w:r w:rsidR="00AC6AE5" w:rsidRPr="00A267BE">
        <w:rPr>
          <w:lang w:val="en-GB"/>
        </w:rPr>
        <w:t>o she asked herself, “Why additionally strain them with internal training</w:t>
      </w:r>
      <w:r>
        <w:rPr>
          <w:lang w:val="en-GB"/>
        </w:rPr>
        <w:t xml:space="preserve"> sessions</w:t>
      </w:r>
      <w:r w:rsidR="00AC6AE5" w:rsidRPr="00A267BE">
        <w:rPr>
          <w:lang w:val="en-GB"/>
        </w:rPr>
        <w:t>?”</w:t>
      </w:r>
    </w:p>
    <w:p w14:paraId="3911A67E" w14:textId="77777777" w:rsidR="00AC6AE5" w:rsidRPr="00A267BE" w:rsidRDefault="00AC6AE5" w:rsidP="00AC6AE5">
      <w:pPr>
        <w:pStyle w:val="BodyTextMain"/>
        <w:rPr>
          <w:lang w:val="en-GB"/>
        </w:rPr>
      </w:pPr>
    </w:p>
    <w:p w14:paraId="752CF288" w14:textId="77777777" w:rsidR="00AC6AE5" w:rsidRPr="00A267BE" w:rsidRDefault="00AC6AE5" w:rsidP="00AC6AE5">
      <w:pPr>
        <w:pStyle w:val="BodyTextMain"/>
        <w:rPr>
          <w:lang w:val="en-GB"/>
        </w:rPr>
      </w:pPr>
    </w:p>
    <w:p w14:paraId="5861458A" w14:textId="0F0859CB" w:rsidR="00AC6AE5" w:rsidRPr="00A267BE" w:rsidRDefault="00D00A9D" w:rsidP="00AC6AE5">
      <w:pPr>
        <w:pStyle w:val="Casehead1"/>
        <w:rPr>
          <w:lang w:val="en-GB"/>
        </w:rPr>
      </w:pPr>
      <w:r w:rsidRPr="00AC23C3">
        <w:rPr>
          <w:lang w:val="en-GB"/>
        </w:rPr>
        <w:t>What</w:t>
      </w:r>
      <w:r w:rsidR="00AC23C3" w:rsidRPr="00AC23C3">
        <w:rPr>
          <w:lang w:val="en-GB"/>
        </w:rPr>
        <w:t xml:space="preserve"> wa</w:t>
      </w:r>
      <w:r w:rsidRPr="00AC23C3">
        <w:rPr>
          <w:lang w:val="en-GB"/>
        </w:rPr>
        <w:t>s Next?</w:t>
      </w:r>
    </w:p>
    <w:p w14:paraId="26B59BF9" w14:textId="77777777" w:rsidR="00AC6AE5" w:rsidRPr="00A267BE" w:rsidRDefault="00AC6AE5" w:rsidP="00AC6AE5">
      <w:pPr>
        <w:pStyle w:val="Casehead1"/>
        <w:rPr>
          <w:lang w:val="en-GB"/>
        </w:rPr>
      </w:pPr>
    </w:p>
    <w:p w14:paraId="3C634893" w14:textId="4D89D92D" w:rsidR="00AC6AE5" w:rsidRPr="00A267BE" w:rsidRDefault="00AC6AE5" w:rsidP="00AC6AE5">
      <w:pPr>
        <w:pStyle w:val="BodyTextMain"/>
        <w:rPr>
          <w:lang w:val="en-GB"/>
        </w:rPr>
      </w:pPr>
      <w:r w:rsidRPr="00A267BE">
        <w:rPr>
          <w:lang w:val="en-GB"/>
        </w:rPr>
        <w:t xml:space="preserve">Facing the upcoming annual meeting with the RHQ at the end the month, </w:t>
      </w:r>
      <w:r w:rsidR="00D16C18">
        <w:rPr>
          <w:lang w:val="en-GB"/>
        </w:rPr>
        <w:t>Santos</w:t>
      </w:r>
      <w:r w:rsidR="00D16C18" w:rsidRPr="00A267BE">
        <w:rPr>
          <w:lang w:val="en-GB"/>
        </w:rPr>
        <w:t xml:space="preserve"> </w:t>
      </w:r>
      <w:r w:rsidR="00D16C18">
        <w:rPr>
          <w:lang w:val="en-GB"/>
        </w:rPr>
        <w:t>needed</w:t>
      </w:r>
      <w:r w:rsidR="00D16C18" w:rsidRPr="00A267BE">
        <w:rPr>
          <w:lang w:val="en-GB"/>
        </w:rPr>
        <w:t xml:space="preserve"> </w:t>
      </w:r>
      <w:r w:rsidRPr="00A267BE">
        <w:rPr>
          <w:lang w:val="en-GB"/>
        </w:rPr>
        <w:t xml:space="preserve">to develop ideas for further strategic moves. </w:t>
      </w:r>
      <w:r w:rsidR="00D16C18">
        <w:rPr>
          <w:lang w:val="en-GB"/>
        </w:rPr>
        <w:t>S</w:t>
      </w:r>
      <w:r w:rsidRPr="00A267BE">
        <w:rPr>
          <w:lang w:val="en-GB"/>
        </w:rPr>
        <w:t xml:space="preserve">he </w:t>
      </w:r>
      <w:r w:rsidR="00D16C18">
        <w:rPr>
          <w:lang w:val="en-GB"/>
        </w:rPr>
        <w:t xml:space="preserve">therefore </w:t>
      </w:r>
      <w:r w:rsidRPr="00A267BE">
        <w:rPr>
          <w:lang w:val="en-GB"/>
        </w:rPr>
        <w:t xml:space="preserve">found herself in a tight position: She </w:t>
      </w:r>
      <w:r w:rsidR="00D16C18">
        <w:rPr>
          <w:lang w:val="en-GB"/>
        </w:rPr>
        <w:t>needed</w:t>
      </w:r>
      <w:r w:rsidR="00D16C18" w:rsidRPr="00A267BE">
        <w:rPr>
          <w:lang w:val="en-GB"/>
        </w:rPr>
        <w:t xml:space="preserve"> </w:t>
      </w:r>
      <w:r w:rsidRPr="00A267BE">
        <w:rPr>
          <w:lang w:val="en-GB"/>
        </w:rPr>
        <w:t xml:space="preserve">to find an approach that responded to local challenges </w:t>
      </w:r>
      <w:r w:rsidR="00D16C18">
        <w:rPr>
          <w:lang w:val="en-GB"/>
        </w:rPr>
        <w:t xml:space="preserve">while also </w:t>
      </w:r>
      <w:r w:rsidR="00D16C18" w:rsidRPr="00A267BE">
        <w:rPr>
          <w:lang w:val="en-GB"/>
        </w:rPr>
        <w:t>conformi</w:t>
      </w:r>
      <w:r w:rsidR="00D16C18">
        <w:rPr>
          <w:lang w:val="en-GB"/>
        </w:rPr>
        <w:t>ng</w:t>
      </w:r>
      <w:r w:rsidR="00D16C18" w:rsidRPr="00A267BE">
        <w:rPr>
          <w:lang w:val="en-GB"/>
        </w:rPr>
        <w:t xml:space="preserve"> </w:t>
      </w:r>
      <w:r w:rsidRPr="00A267BE">
        <w:rPr>
          <w:lang w:val="en-GB"/>
        </w:rPr>
        <w:t xml:space="preserve">with PharmaCorp’s global strategy. </w:t>
      </w:r>
      <w:r w:rsidR="00D16C18">
        <w:rPr>
          <w:lang w:val="en-GB"/>
        </w:rPr>
        <w:t>Identifying such an approach</w:t>
      </w:r>
      <w:r w:rsidR="00D16C18" w:rsidRPr="00A267BE">
        <w:rPr>
          <w:lang w:val="en-GB"/>
        </w:rPr>
        <w:t xml:space="preserve"> </w:t>
      </w:r>
      <w:r w:rsidRPr="00A267BE">
        <w:rPr>
          <w:lang w:val="en-GB"/>
        </w:rPr>
        <w:t xml:space="preserve">was tricky in itself. Yet, </w:t>
      </w:r>
      <w:r w:rsidR="00D16C18">
        <w:rPr>
          <w:lang w:val="en-GB"/>
        </w:rPr>
        <w:t>Santos</w:t>
      </w:r>
      <w:r w:rsidR="00D16C18" w:rsidRPr="00A267BE">
        <w:rPr>
          <w:lang w:val="en-GB"/>
        </w:rPr>
        <w:t xml:space="preserve"> </w:t>
      </w:r>
      <w:r w:rsidRPr="00A267BE">
        <w:rPr>
          <w:lang w:val="en-GB"/>
        </w:rPr>
        <w:t>and her employees were continuously busy responding to local events, encouraging short-term thinking rather than focusing on the development of medium</w:t>
      </w:r>
      <w:r w:rsidR="00D16C18">
        <w:rPr>
          <w:lang w:val="en-GB"/>
        </w:rPr>
        <w:t>-</w:t>
      </w:r>
      <w:r w:rsidRPr="00A267BE">
        <w:rPr>
          <w:lang w:val="en-GB"/>
        </w:rPr>
        <w:t xml:space="preserve"> or long</w:t>
      </w:r>
      <w:r w:rsidR="00D16C18">
        <w:rPr>
          <w:lang w:val="en-GB"/>
        </w:rPr>
        <w:t>-</w:t>
      </w:r>
      <w:r w:rsidRPr="00A267BE">
        <w:rPr>
          <w:lang w:val="en-GB"/>
        </w:rPr>
        <w:t xml:space="preserve">term solutions. </w:t>
      </w:r>
      <w:r w:rsidR="00D16C18">
        <w:rPr>
          <w:lang w:val="en-GB"/>
        </w:rPr>
        <w:t xml:space="preserve">She had thought of some solutions </w:t>
      </w:r>
      <w:r w:rsidRPr="00A267BE">
        <w:rPr>
          <w:lang w:val="en-GB"/>
        </w:rPr>
        <w:t xml:space="preserve">already, but she had </w:t>
      </w:r>
      <w:r w:rsidR="00D16C18">
        <w:rPr>
          <w:lang w:val="en-GB"/>
        </w:rPr>
        <w:t xml:space="preserve">thus far </w:t>
      </w:r>
      <w:r w:rsidRPr="00A267BE">
        <w:rPr>
          <w:lang w:val="en-GB"/>
        </w:rPr>
        <w:t>not deliberated all the</w:t>
      </w:r>
      <w:r w:rsidR="00C41C5F">
        <w:rPr>
          <w:lang w:val="en-GB"/>
        </w:rPr>
        <w:t>ir</w:t>
      </w:r>
      <w:r w:rsidRPr="00A267BE">
        <w:rPr>
          <w:lang w:val="en-GB"/>
        </w:rPr>
        <w:t xml:space="preserve"> pros and cons. One of the first major decisions </w:t>
      </w:r>
      <w:r w:rsidR="00D16C18">
        <w:rPr>
          <w:lang w:val="en-GB"/>
        </w:rPr>
        <w:t>Santos</w:t>
      </w:r>
      <w:r w:rsidR="00D16C18" w:rsidRPr="00A267BE">
        <w:rPr>
          <w:lang w:val="en-GB"/>
        </w:rPr>
        <w:t xml:space="preserve"> </w:t>
      </w:r>
      <w:r w:rsidR="00D16C18">
        <w:rPr>
          <w:lang w:val="en-GB"/>
        </w:rPr>
        <w:t>neede</w:t>
      </w:r>
      <w:r w:rsidR="00D16C18" w:rsidRPr="00A267BE">
        <w:rPr>
          <w:lang w:val="en-GB"/>
        </w:rPr>
        <w:t xml:space="preserve">d </w:t>
      </w:r>
      <w:r w:rsidRPr="00A267BE">
        <w:rPr>
          <w:lang w:val="en-GB"/>
        </w:rPr>
        <w:t xml:space="preserve">to make was whether </w:t>
      </w:r>
      <w:r w:rsidR="00D16C18">
        <w:rPr>
          <w:lang w:val="en-GB"/>
        </w:rPr>
        <w:t>PharmaCorp Ukraine should</w:t>
      </w:r>
      <w:r w:rsidRPr="00A267BE">
        <w:rPr>
          <w:lang w:val="en-GB"/>
        </w:rPr>
        <w:t xml:space="preserve"> stay in the market, or, </w:t>
      </w:r>
      <w:r w:rsidR="00D16C18">
        <w:rPr>
          <w:lang w:val="en-GB"/>
        </w:rPr>
        <w:t>because</w:t>
      </w:r>
      <w:r w:rsidR="00D16C18" w:rsidRPr="00A267BE">
        <w:rPr>
          <w:lang w:val="en-GB"/>
        </w:rPr>
        <w:t xml:space="preserve"> </w:t>
      </w:r>
      <w:r w:rsidRPr="00A267BE">
        <w:rPr>
          <w:lang w:val="en-GB"/>
        </w:rPr>
        <w:t xml:space="preserve">the situation in Ukraine had worsened recently, she </w:t>
      </w:r>
      <w:r w:rsidR="00D16C18">
        <w:rPr>
          <w:lang w:val="en-GB"/>
        </w:rPr>
        <w:t>should</w:t>
      </w:r>
      <w:r w:rsidR="00D16C18" w:rsidRPr="00A267BE">
        <w:rPr>
          <w:lang w:val="en-GB"/>
        </w:rPr>
        <w:t xml:space="preserve"> </w:t>
      </w:r>
      <w:r w:rsidRPr="00A267BE">
        <w:rPr>
          <w:lang w:val="en-GB"/>
        </w:rPr>
        <w:t xml:space="preserve">recommend to the RHQ </w:t>
      </w:r>
      <w:r w:rsidR="00D16C18">
        <w:rPr>
          <w:lang w:val="en-GB"/>
        </w:rPr>
        <w:t xml:space="preserve">that the organization </w:t>
      </w:r>
      <w:r w:rsidRPr="00A267BE">
        <w:rPr>
          <w:lang w:val="en-GB"/>
        </w:rPr>
        <w:t>exit the market.</w:t>
      </w:r>
    </w:p>
    <w:p w14:paraId="47E407BE" w14:textId="77777777" w:rsidR="00AC6AE5" w:rsidRPr="00A267BE" w:rsidRDefault="00AC6AE5" w:rsidP="00AC6AE5">
      <w:pPr>
        <w:pStyle w:val="BodyTextMain"/>
        <w:rPr>
          <w:lang w:val="en-GB"/>
        </w:rPr>
      </w:pPr>
      <w:r w:rsidRPr="00A267BE">
        <w:rPr>
          <w:lang w:val="en-GB"/>
        </w:rPr>
        <w:br w:type="page"/>
      </w:r>
    </w:p>
    <w:p w14:paraId="1209E3C9" w14:textId="77777777" w:rsidR="00AC6AE5" w:rsidRPr="006B0197" w:rsidRDefault="00AC6AE5" w:rsidP="00AC6AE5">
      <w:pPr>
        <w:pStyle w:val="Casehead1"/>
        <w:jc w:val="center"/>
        <w:rPr>
          <w:color w:val="000000" w:themeColor="text1"/>
          <w:lang w:val="en-GB"/>
        </w:rPr>
      </w:pPr>
      <w:r w:rsidRPr="00A267BE">
        <w:rPr>
          <w:lang w:val="en-GB"/>
        </w:rPr>
        <w:lastRenderedPageBreak/>
        <w:t>EXHIBIT 1: FLOW OF PRODUCTS AND PAYMENTS BETWEEN PHARMACORP, HEALTH</w:t>
      </w:r>
      <w:r w:rsidR="00D16C18">
        <w:rPr>
          <w:lang w:val="en-GB"/>
        </w:rPr>
        <w:t>-</w:t>
      </w:r>
      <w:r w:rsidRPr="00A267BE">
        <w:rPr>
          <w:lang w:val="en-GB"/>
        </w:rPr>
        <w:t>CARE PROFESSIONALS, AND WHOLESALERS</w:t>
      </w:r>
    </w:p>
    <w:p w14:paraId="20744EBE" w14:textId="77777777" w:rsidR="006B0197" w:rsidRPr="006B0197" w:rsidRDefault="006B0197" w:rsidP="00AC6AE5">
      <w:pPr>
        <w:pStyle w:val="Casehead1"/>
        <w:jc w:val="center"/>
        <w:rPr>
          <w:color w:val="000000" w:themeColor="text1"/>
          <w:lang w:val="en-GB"/>
        </w:rPr>
      </w:pPr>
    </w:p>
    <w:p w14:paraId="28FD95C2" w14:textId="77777777" w:rsidR="00AC6AE5" w:rsidRPr="00A267BE" w:rsidRDefault="006B0197" w:rsidP="00AC6AE5">
      <w:pPr>
        <w:pStyle w:val="BodyTextMain"/>
        <w:rPr>
          <w:lang w:val="en-GB"/>
        </w:rPr>
      </w:pPr>
      <w:r>
        <w:rPr>
          <w:noProof/>
        </w:rPr>
        <w:drawing>
          <wp:inline distT="0" distB="0" distL="0" distR="0" wp14:anchorId="17FBAD06" wp14:editId="5DB66341">
            <wp:extent cx="5432735" cy="4162425"/>
            <wp:effectExtent l="0" t="0" r="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grayscl/>
                      <a:extLst>
                        <a:ext uri="{BEBA8EAE-BF5A-486C-A8C5-ECC9F3942E4B}">
                          <a14:imgProps xmlns:a14="http://schemas.microsoft.com/office/drawing/2010/main">
                            <a14:imgLayer r:embed="rId12">
                              <a14:imgEffect>
                                <a14:brightnessContrast bright="-20000" contrast="26000"/>
                              </a14:imgEffect>
                            </a14:imgLayer>
                          </a14:imgProps>
                        </a:ext>
                        <a:ext uri="{28A0092B-C50C-407E-A947-70E740481C1C}">
                          <a14:useLocalDpi xmlns:a14="http://schemas.microsoft.com/office/drawing/2010/main" val="0"/>
                        </a:ext>
                      </a:extLst>
                    </a:blip>
                    <a:srcRect r="2782"/>
                    <a:stretch/>
                  </pic:blipFill>
                  <pic:spPr bwMode="auto">
                    <a:xfrm>
                      <a:off x="0" y="0"/>
                      <a:ext cx="5439287" cy="4167445"/>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2366F8F0" w14:textId="77777777" w:rsidR="00306CD7" w:rsidRPr="00AB518B" w:rsidRDefault="00306CD7" w:rsidP="00AC6AE5">
      <w:pPr>
        <w:pStyle w:val="Footnote"/>
        <w:rPr>
          <w:sz w:val="11"/>
          <w:lang w:val="en-GB"/>
        </w:rPr>
      </w:pPr>
    </w:p>
    <w:p w14:paraId="4068D146" w14:textId="77777777" w:rsidR="00D16C18" w:rsidRDefault="00D16C18" w:rsidP="00AC6AE5">
      <w:pPr>
        <w:pStyle w:val="Footnote"/>
        <w:rPr>
          <w:lang w:val="en-GB"/>
        </w:rPr>
      </w:pPr>
      <w:r>
        <w:rPr>
          <w:lang w:val="en-GB"/>
        </w:rPr>
        <w:t xml:space="preserve">Note: RHQ = </w:t>
      </w:r>
      <w:r w:rsidR="00F32744">
        <w:rPr>
          <w:lang w:val="en-GB"/>
        </w:rPr>
        <w:t>r</w:t>
      </w:r>
      <w:r>
        <w:rPr>
          <w:lang w:val="en-GB"/>
        </w:rPr>
        <w:t xml:space="preserve">egional </w:t>
      </w:r>
      <w:r w:rsidR="00F32744">
        <w:rPr>
          <w:lang w:val="en-GB"/>
        </w:rPr>
        <w:t>h</w:t>
      </w:r>
      <w:r>
        <w:rPr>
          <w:lang w:val="en-GB"/>
        </w:rPr>
        <w:t>eadquarters; R&amp;D = research and development; EUR = euro; UAH = Ukrainian hryvnia</w:t>
      </w:r>
    </w:p>
    <w:p w14:paraId="10314C37" w14:textId="77777777" w:rsidR="00AC6AE5" w:rsidRPr="00A267BE" w:rsidRDefault="00AC6AE5" w:rsidP="00AC6AE5">
      <w:pPr>
        <w:pStyle w:val="Footnote"/>
        <w:rPr>
          <w:lang w:val="en-GB"/>
        </w:rPr>
      </w:pPr>
      <w:r w:rsidRPr="00A267BE">
        <w:rPr>
          <w:lang w:val="en-GB"/>
        </w:rPr>
        <w:t xml:space="preserve">Source: </w:t>
      </w:r>
      <w:r w:rsidR="00306CD7">
        <w:rPr>
          <w:lang w:val="en-GB"/>
        </w:rPr>
        <w:t xml:space="preserve">Created by the authors. </w:t>
      </w:r>
    </w:p>
    <w:p w14:paraId="4E458F07" w14:textId="77777777" w:rsidR="00AC6AE5" w:rsidRPr="00A267BE" w:rsidRDefault="00AC6AE5" w:rsidP="00AC6AE5">
      <w:pPr>
        <w:pStyle w:val="BodyTextMain"/>
        <w:rPr>
          <w:lang w:val="en-GB"/>
        </w:rPr>
      </w:pPr>
    </w:p>
    <w:p w14:paraId="5D8CF075" w14:textId="77777777" w:rsidR="00AC6AE5" w:rsidRPr="00A267BE" w:rsidRDefault="00AC6AE5" w:rsidP="00AC6AE5">
      <w:pPr>
        <w:pStyle w:val="BodyTextMain"/>
        <w:rPr>
          <w:lang w:val="en-GB"/>
        </w:rPr>
      </w:pPr>
    </w:p>
    <w:p w14:paraId="02F1AE72" w14:textId="31694D7F" w:rsidR="00AC6AE5" w:rsidRPr="00A267BE" w:rsidRDefault="00AC6AE5" w:rsidP="00AC6AE5">
      <w:pPr>
        <w:pStyle w:val="Casehead1"/>
        <w:jc w:val="center"/>
        <w:rPr>
          <w:lang w:val="en-GB"/>
        </w:rPr>
      </w:pPr>
      <w:r w:rsidRPr="00A267BE">
        <w:rPr>
          <w:lang w:val="en-GB"/>
        </w:rPr>
        <w:t>EXHIBIT 2: PHARMACORP UKRAINE INTERNAL DATA AND FORECASTS</w:t>
      </w:r>
      <w:r w:rsidR="00210874">
        <w:rPr>
          <w:lang w:val="en-GB"/>
        </w:rPr>
        <w:t>,</w:t>
      </w:r>
      <w:r w:rsidRPr="00A267BE">
        <w:rPr>
          <w:lang w:val="en-GB"/>
        </w:rPr>
        <w:t xml:space="preserve"> </w:t>
      </w:r>
      <w:r w:rsidR="00210874">
        <w:rPr>
          <w:lang w:val="en-GB"/>
        </w:rPr>
        <w:t xml:space="preserve">as of the </w:t>
      </w:r>
      <w:r w:rsidRPr="00A267BE">
        <w:rPr>
          <w:lang w:val="en-GB"/>
        </w:rPr>
        <w:t>END OF 2014</w:t>
      </w:r>
      <w:r w:rsidR="00F32744">
        <w:rPr>
          <w:lang w:val="en-GB"/>
        </w:rPr>
        <w:t xml:space="preserve"> </w:t>
      </w:r>
      <w:r w:rsidRPr="00A267BE">
        <w:rPr>
          <w:lang w:val="en-GB"/>
        </w:rPr>
        <w:t>(in T</w:t>
      </w:r>
      <w:r w:rsidR="00210874">
        <w:rPr>
          <w:lang w:val="en-GB"/>
        </w:rPr>
        <w:t xml:space="preserve">housands of </w:t>
      </w:r>
      <w:r w:rsidRPr="00A267BE">
        <w:rPr>
          <w:lang w:val="en-GB"/>
        </w:rPr>
        <w:t>EUR</w:t>
      </w:r>
      <w:r w:rsidR="00210874">
        <w:rPr>
          <w:lang w:val="en-GB"/>
        </w:rPr>
        <w:t>os</w:t>
      </w:r>
      <w:r w:rsidRPr="00A267BE">
        <w:rPr>
          <w:lang w:val="en-GB"/>
        </w:rPr>
        <w:t>)</w:t>
      </w:r>
    </w:p>
    <w:p w14:paraId="0CBDFB26" w14:textId="77777777" w:rsidR="00AC6AE5" w:rsidRPr="00A267BE" w:rsidRDefault="00AC6AE5" w:rsidP="000C30BD">
      <w:pPr>
        <w:pStyle w:val="Casehead1"/>
        <w:rPr>
          <w:lang w:val="en-GB"/>
        </w:rPr>
      </w:pPr>
    </w:p>
    <w:tbl>
      <w:tblPr>
        <w:tblW w:w="8384" w:type="dxa"/>
        <w:jc w:val="center"/>
        <w:tblLayout w:type="fixed"/>
        <w:tblLook w:val="04A0" w:firstRow="1" w:lastRow="0" w:firstColumn="1" w:lastColumn="0" w:noHBand="0" w:noVBand="1"/>
      </w:tblPr>
      <w:tblGrid>
        <w:gridCol w:w="2299"/>
        <w:gridCol w:w="1014"/>
        <w:gridCol w:w="1014"/>
        <w:gridCol w:w="1014"/>
        <w:gridCol w:w="8"/>
        <w:gridCol w:w="1006"/>
        <w:gridCol w:w="1014"/>
        <w:gridCol w:w="1015"/>
      </w:tblGrid>
      <w:tr w:rsidR="00AC6AE5" w:rsidRPr="00A267BE" w14:paraId="0CC1ED61" w14:textId="77777777" w:rsidTr="000C30BD">
        <w:trPr>
          <w:trHeight w:val="283"/>
          <w:jc w:val="center"/>
        </w:trPr>
        <w:tc>
          <w:tcPr>
            <w:tcW w:w="2299" w:type="dxa"/>
            <w:tcBorders>
              <w:top w:val="single" w:sz="2" w:space="0" w:color="auto"/>
              <w:left w:val="single" w:sz="2" w:space="0" w:color="auto"/>
              <w:bottom w:val="nil"/>
            </w:tcBorders>
            <w:shd w:val="clear" w:color="auto" w:fill="auto"/>
            <w:noWrap/>
            <w:vAlign w:val="bottom"/>
            <w:hideMark/>
          </w:tcPr>
          <w:p w14:paraId="6F5888F7" w14:textId="77777777" w:rsidR="00AC6AE5" w:rsidRPr="00A267BE" w:rsidRDefault="00AC6AE5" w:rsidP="00030D4A">
            <w:pPr>
              <w:rPr>
                <w:rFonts w:ascii="Arial" w:hAnsi="Arial" w:cs="Arial"/>
                <w:sz w:val="18"/>
                <w:szCs w:val="18"/>
                <w:lang w:val="en-GB"/>
              </w:rPr>
            </w:pPr>
            <w:r w:rsidRPr="00A267BE">
              <w:rPr>
                <w:rFonts w:ascii="Arial" w:hAnsi="Arial" w:cs="Arial"/>
                <w:sz w:val="18"/>
                <w:szCs w:val="18"/>
                <w:lang w:val="en-GB"/>
              </w:rPr>
              <w:t> </w:t>
            </w:r>
          </w:p>
        </w:tc>
        <w:tc>
          <w:tcPr>
            <w:tcW w:w="3050" w:type="dxa"/>
            <w:gridSpan w:val="4"/>
            <w:tcBorders>
              <w:top w:val="single" w:sz="2" w:space="0" w:color="auto"/>
              <w:right w:val="single" w:sz="2" w:space="0" w:color="auto"/>
            </w:tcBorders>
            <w:shd w:val="clear" w:color="auto" w:fill="auto"/>
            <w:noWrap/>
            <w:vAlign w:val="bottom"/>
          </w:tcPr>
          <w:p w14:paraId="328B6A5A" w14:textId="77777777" w:rsidR="00AC6AE5" w:rsidRPr="00A267BE" w:rsidRDefault="00AC6AE5" w:rsidP="00210874">
            <w:pPr>
              <w:jc w:val="center"/>
              <w:rPr>
                <w:rFonts w:ascii="Arial" w:hAnsi="Arial" w:cs="Arial"/>
                <w:b/>
                <w:sz w:val="18"/>
                <w:szCs w:val="18"/>
                <w:lang w:val="en-GB"/>
              </w:rPr>
            </w:pPr>
            <w:r w:rsidRPr="00A267BE">
              <w:rPr>
                <w:rFonts w:ascii="Arial" w:hAnsi="Arial" w:cs="Arial"/>
                <w:sz w:val="18"/>
                <w:szCs w:val="18"/>
                <w:lang w:val="en-GB"/>
              </w:rPr>
              <w:t xml:space="preserve">Actual </w:t>
            </w:r>
            <w:r w:rsidR="00210874">
              <w:rPr>
                <w:rFonts w:ascii="Arial" w:hAnsi="Arial" w:cs="Arial"/>
                <w:sz w:val="18"/>
                <w:szCs w:val="18"/>
                <w:lang w:val="en-GB"/>
              </w:rPr>
              <w:t>D</w:t>
            </w:r>
            <w:r w:rsidRPr="00A267BE">
              <w:rPr>
                <w:rFonts w:ascii="Arial" w:hAnsi="Arial" w:cs="Arial"/>
                <w:sz w:val="18"/>
                <w:szCs w:val="18"/>
                <w:lang w:val="en-GB"/>
              </w:rPr>
              <w:t>ata</w:t>
            </w:r>
          </w:p>
        </w:tc>
        <w:tc>
          <w:tcPr>
            <w:tcW w:w="3035" w:type="dxa"/>
            <w:gridSpan w:val="3"/>
            <w:tcBorders>
              <w:top w:val="single" w:sz="2" w:space="0" w:color="auto"/>
              <w:left w:val="single" w:sz="2" w:space="0" w:color="auto"/>
              <w:bottom w:val="nil"/>
              <w:right w:val="single" w:sz="2" w:space="0" w:color="auto"/>
            </w:tcBorders>
            <w:shd w:val="clear" w:color="auto" w:fill="auto"/>
            <w:noWrap/>
            <w:vAlign w:val="bottom"/>
          </w:tcPr>
          <w:p w14:paraId="297BC85A" w14:textId="77777777" w:rsidR="00AC6AE5" w:rsidRPr="00A267BE" w:rsidRDefault="00AC6AE5" w:rsidP="00030D4A">
            <w:pPr>
              <w:jc w:val="center"/>
              <w:rPr>
                <w:rFonts w:ascii="Arial" w:hAnsi="Arial" w:cs="Arial"/>
                <w:b/>
                <w:bCs/>
                <w:iCs/>
                <w:sz w:val="18"/>
                <w:szCs w:val="18"/>
                <w:lang w:val="en-GB"/>
              </w:rPr>
            </w:pPr>
            <w:r w:rsidRPr="00A267BE">
              <w:rPr>
                <w:rFonts w:ascii="Arial" w:hAnsi="Arial" w:cs="Arial"/>
                <w:sz w:val="18"/>
                <w:szCs w:val="18"/>
                <w:lang w:val="en-GB"/>
              </w:rPr>
              <w:t>Forecast</w:t>
            </w:r>
            <w:r w:rsidR="009E6B1C">
              <w:rPr>
                <w:rFonts w:ascii="Arial" w:hAnsi="Arial" w:cs="Arial"/>
                <w:sz w:val="18"/>
                <w:szCs w:val="18"/>
                <w:lang w:val="en-GB"/>
              </w:rPr>
              <w:t xml:space="preserve"> Data</w:t>
            </w:r>
          </w:p>
        </w:tc>
      </w:tr>
      <w:tr w:rsidR="00AC6AE5" w:rsidRPr="00A267BE" w14:paraId="60DB0F21" w14:textId="77777777" w:rsidTr="000C30BD">
        <w:trPr>
          <w:trHeight w:val="198"/>
          <w:jc w:val="center"/>
        </w:trPr>
        <w:tc>
          <w:tcPr>
            <w:tcW w:w="2299" w:type="dxa"/>
            <w:tcBorders>
              <w:left w:val="single" w:sz="2" w:space="0" w:color="auto"/>
              <w:bottom w:val="single" w:sz="2" w:space="0" w:color="auto"/>
            </w:tcBorders>
            <w:shd w:val="clear" w:color="auto" w:fill="auto"/>
            <w:noWrap/>
            <w:vAlign w:val="bottom"/>
          </w:tcPr>
          <w:p w14:paraId="06BC5D10" w14:textId="77777777" w:rsidR="00AC6AE5" w:rsidRPr="00A267BE" w:rsidRDefault="00AC6AE5" w:rsidP="00030D4A">
            <w:pPr>
              <w:rPr>
                <w:rFonts w:ascii="Arial" w:hAnsi="Arial" w:cs="Arial"/>
                <w:sz w:val="18"/>
                <w:szCs w:val="18"/>
                <w:lang w:val="en-GB"/>
              </w:rPr>
            </w:pPr>
          </w:p>
        </w:tc>
        <w:tc>
          <w:tcPr>
            <w:tcW w:w="1014" w:type="dxa"/>
            <w:tcBorders>
              <w:bottom w:val="single" w:sz="2" w:space="0" w:color="auto"/>
            </w:tcBorders>
            <w:shd w:val="clear" w:color="auto" w:fill="auto"/>
            <w:noWrap/>
            <w:vAlign w:val="bottom"/>
          </w:tcPr>
          <w:p w14:paraId="034AD27B" w14:textId="77777777" w:rsidR="00AC6AE5" w:rsidRPr="00A267BE" w:rsidRDefault="00AC6AE5" w:rsidP="00030D4A">
            <w:pPr>
              <w:jc w:val="center"/>
              <w:rPr>
                <w:rFonts w:ascii="Arial" w:hAnsi="Arial" w:cs="Arial"/>
                <w:b/>
                <w:bCs/>
                <w:sz w:val="18"/>
                <w:szCs w:val="18"/>
                <w:lang w:val="en-GB"/>
              </w:rPr>
            </w:pPr>
            <w:r w:rsidRPr="00A267BE">
              <w:rPr>
                <w:rFonts w:ascii="Arial" w:hAnsi="Arial" w:cs="Arial"/>
                <w:b/>
                <w:bCs/>
                <w:sz w:val="18"/>
                <w:szCs w:val="18"/>
                <w:lang w:val="en-GB"/>
              </w:rPr>
              <w:t>2012</w:t>
            </w:r>
          </w:p>
        </w:tc>
        <w:tc>
          <w:tcPr>
            <w:tcW w:w="1014" w:type="dxa"/>
            <w:tcBorders>
              <w:bottom w:val="single" w:sz="2" w:space="0" w:color="auto"/>
            </w:tcBorders>
            <w:shd w:val="clear" w:color="auto" w:fill="auto"/>
            <w:noWrap/>
            <w:vAlign w:val="bottom"/>
          </w:tcPr>
          <w:p w14:paraId="68797DD7" w14:textId="77777777" w:rsidR="00AC6AE5" w:rsidRPr="00A267BE" w:rsidRDefault="00AC6AE5" w:rsidP="00030D4A">
            <w:pPr>
              <w:jc w:val="center"/>
              <w:rPr>
                <w:rFonts w:ascii="Arial" w:hAnsi="Arial" w:cs="Arial"/>
                <w:b/>
                <w:bCs/>
                <w:sz w:val="18"/>
                <w:szCs w:val="18"/>
                <w:lang w:val="en-GB"/>
              </w:rPr>
            </w:pPr>
            <w:r w:rsidRPr="00A267BE">
              <w:rPr>
                <w:rFonts w:ascii="Arial" w:hAnsi="Arial" w:cs="Arial"/>
                <w:b/>
                <w:bCs/>
                <w:sz w:val="18"/>
                <w:szCs w:val="18"/>
                <w:lang w:val="en-GB"/>
              </w:rPr>
              <w:t>2013</w:t>
            </w:r>
          </w:p>
        </w:tc>
        <w:tc>
          <w:tcPr>
            <w:tcW w:w="1014" w:type="dxa"/>
            <w:tcBorders>
              <w:bottom w:val="single" w:sz="2" w:space="0" w:color="auto"/>
              <w:right w:val="single" w:sz="2" w:space="0" w:color="auto"/>
            </w:tcBorders>
            <w:shd w:val="clear" w:color="auto" w:fill="auto"/>
            <w:noWrap/>
            <w:vAlign w:val="bottom"/>
          </w:tcPr>
          <w:p w14:paraId="17DD940D" w14:textId="77777777" w:rsidR="00AC6AE5" w:rsidRPr="00A267BE" w:rsidRDefault="00AC6AE5" w:rsidP="00030D4A">
            <w:pPr>
              <w:jc w:val="center"/>
              <w:rPr>
                <w:rFonts w:ascii="Arial" w:hAnsi="Arial" w:cs="Arial"/>
                <w:b/>
                <w:sz w:val="18"/>
                <w:szCs w:val="18"/>
                <w:lang w:val="en-GB"/>
              </w:rPr>
            </w:pPr>
            <w:r w:rsidRPr="00A267BE">
              <w:rPr>
                <w:rFonts w:ascii="Arial" w:hAnsi="Arial" w:cs="Arial"/>
                <w:b/>
                <w:sz w:val="18"/>
                <w:szCs w:val="18"/>
                <w:lang w:val="en-GB"/>
              </w:rPr>
              <w:t>2014</w:t>
            </w:r>
          </w:p>
        </w:tc>
        <w:tc>
          <w:tcPr>
            <w:tcW w:w="1014" w:type="dxa"/>
            <w:gridSpan w:val="2"/>
            <w:tcBorders>
              <w:left w:val="single" w:sz="2" w:space="0" w:color="auto"/>
              <w:bottom w:val="single" w:sz="2" w:space="0" w:color="auto"/>
            </w:tcBorders>
            <w:shd w:val="clear" w:color="auto" w:fill="auto"/>
            <w:noWrap/>
            <w:vAlign w:val="bottom"/>
          </w:tcPr>
          <w:p w14:paraId="2A857344" w14:textId="77777777" w:rsidR="00AC6AE5" w:rsidRPr="00A267BE" w:rsidRDefault="00AC6AE5" w:rsidP="00030D4A">
            <w:pPr>
              <w:jc w:val="center"/>
              <w:rPr>
                <w:rFonts w:ascii="Arial" w:hAnsi="Arial" w:cs="Arial"/>
                <w:b/>
                <w:bCs/>
                <w:iCs/>
                <w:sz w:val="18"/>
                <w:szCs w:val="18"/>
                <w:lang w:val="en-GB"/>
              </w:rPr>
            </w:pPr>
            <w:r w:rsidRPr="00A267BE">
              <w:rPr>
                <w:rFonts w:ascii="Arial" w:hAnsi="Arial" w:cs="Arial"/>
                <w:b/>
                <w:bCs/>
                <w:iCs/>
                <w:sz w:val="18"/>
                <w:szCs w:val="18"/>
                <w:lang w:val="en-GB"/>
              </w:rPr>
              <w:t>2015</w:t>
            </w:r>
          </w:p>
        </w:tc>
        <w:tc>
          <w:tcPr>
            <w:tcW w:w="1014" w:type="dxa"/>
            <w:tcBorders>
              <w:bottom w:val="single" w:sz="2" w:space="0" w:color="auto"/>
            </w:tcBorders>
            <w:shd w:val="clear" w:color="auto" w:fill="auto"/>
            <w:noWrap/>
            <w:vAlign w:val="bottom"/>
          </w:tcPr>
          <w:p w14:paraId="5CA3C88D" w14:textId="77777777" w:rsidR="00AC6AE5" w:rsidRPr="00A267BE" w:rsidRDefault="00AC6AE5" w:rsidP="00030D4A">
            <w:pPr>
              <w:jc w:val="center"/>
              <w:rPr>
                <w:rFonts w:ascii="Arial" w:hAnsi="Arial" w:cs="Arial"/>
                <w:b/>
                <w:bCs/>
                <w:iCs/>
                <w:sz w:val="18"/>
                <w:szCs w:val="18"/>
                <w:lang w:val="en-GB"/>
              </w:rPr>
            </w:pPr>
            <w:r w:rsidRPr="00A267BE">
              <w:rPr>
                <w:rFonts w:ascii="Arial" w:hAnsi="Arial" w:cs="Arial"/>
                <w:b/>
                <w:bCs/>
                <w:iCs/>
                <w:sz w:val="18"/>
                <w:szCs w:val="18"/>
                <w:lang w:val="en-GB"/>
              </w:rPr>
              <w:t>2016</w:t>
            </w:r>
          </w:p>
        </w:tc>
        <w:tc>
          <w:tcPr>
            <w:tcW w:w="1015" w:type="dxa"/>
            <w:tcBorders>
              <w:bottom w:val="single" w:sz="2" w:space="0" w:color="auto"/>
              <w:right w:val="single" w:sz="2" w:space="0" w:color="auto"/>
            </w:tcBorders>
            <w:shd w:val="clear" w:color="auto" w:fill="auto"/>
            <w:noWrap/>
            <w:vAlign w:val="bottom"/>
          </w:tcPr>
          <w:p w14:paraId="1251A2B1" w14:textId="77777777" w:rsidR="00AC6AE5" w:rsidRPr="00A267BE" w:rsidRDefault="00AC6AE5" w:rsidP="00030D4A">
            <w:pPr>
              <w:jc w:val="center"/>
              <w:rPr>
                <w:rFonts w:ascii="Arial" w:hAnsi="Arial" w:cs="Arial"/>
                <w:b/>
                <w:bCs/>
                <w:iCs/>
                <w:sz w:val="18"/>
                <w:szCs w:val="18"/>
                <w:lang w:val="en-GB"/>
              </w:rPr>
            </w:pPr>
            <w:r w:rsidRPr="00A267BE">
              <w:rPr>
                <w:rFonts w:ascii="Arial" w:hAnsi="Arial" w:cs="Arial"/>
                <w:b/>
                <w:bCs/>
                <w:iCs/>
                <w:sz w:val="18"/>
                <w:szCs w:val="18"/>
                <w:lang w:val="en-GB"/>
              </w:rPr>
              <w:t>2017</w:t>
            </w:r>
          </w:p>
        </w:tc>
      </w:tr>
      <w:tr w:rsidR="00AC6AE5" w:rsidRPr="00A267BE" w14:paraId="4331751D" w14:textId="77777777" w:rsidTr="000C30BD">
        <w:trPr>
          <w:trHeight w:val="283"/>
          <w:jc w:val="center"/>
        </w:trPr>
        <w:tc>
          <w:tcPr>
            <w:tcW w:w="2299" w:type="dxa"/>
            <w:tcBorders>
              <w:top w:val="single" w:sz="2" w:space="0" w:color="auto"/>
              <w:left w:val="single" w:sz="4" w:space="0" w:color="auto"/>
              <w:bottom w:val="nil"/>
              <w:right w:val="nil"/>
            </w:tcBorders>
            <w:shd w:val="clear" w:color="auto" w:fill="auto"/>
            <w:noWrap/>
            <w:vAlign w:val="center"/>
            <w:hideMark/>
          </w:tcPr>
          <w:p w14:paraId="4EE052FC" w14:textId="77777777" w:rsidR="00AC6AE5" w:rsidRPr="00A267BE" w:rsidRDefault="00AC6AE5" w:rsidP="00030D4A">
            <w:pPr>
              <w:rPr>
                <w:rFonts w:ascii="Arial" w:hAnsi="Arial" w:cs="Arial"/>
                <w:b/>
                <w:bCs/>
                <w:sz w:val="18"/>
                <w:szCs w:val="18"/>
                <w:lang w:val="en-GB"/>
              </w:rPr>
            </w:pPr>
            <w:r w:rsidRPr="00A267BE">
              <w:rPr>
                <w:rFonts w:ascii="Arial" w:hAnsi="Arial" w:cs="Arial"/>
                <w:b/>
                <w:bCs/>
                <w:sz w:val="18"/>
                <w:szCs w:val="18"/>
                <w:lang w:val="en-GB"/>
              </w:rPr>
              <w:t>Sales PharmaCorp</w:t>
            </w:r>
          </w:p>
        </w:tc>
        <w:tc>
          <w:tcPr>
            <w:tcW w:w="1014" w:type="dxa"/>
            <w:tcBorders>
              <w:top w:val="single" w:sz="2" w:space="0" w:color="auto"/>
              <w:left w:val="nil"/>
              <w:bottom w:val="nil"/>
              <w:right w:val="nil"/>
            </w:tcBorders>
            <w:shd w:val="clear" w:color="auto" w:fill="auto"/>
            <w:noWrap/>
            <w:vAlign w:val="center"/>
            <w:hideMark/>
          </w:tcPr>
          <w:p w14:paraId="0EDC59E7"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 </w:t>
            </w:r>
          </w:p>
        </w:tc>
        <w:tc>
          <w:tcPr>
            <w:tcW w:w="1014" w:type="dxa"/>
            <w:tcBorders>
              <w:top w:val="single" w:sz="2" w:space="0" w:color="auto"/>
              <w:left w:val="nil"/>
              <w:bottom w:val="nil"/>
            </w:tcBorders>
            <w:shd w:val="clear" w:color="auto" w:fill="auto"/>
            <w:noWrap/>
            <w:vAlign w:val="center"/>
            <w:hideMark/>
          </w:tcPr>
          <w:p w14:paraId="3671A9EB"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 </w:t>
            </w:r>
          </w:p>
        </w:tc>
        <w:tc>
          <w:tcPr>
            <w:tcW w:w="1014" w:type="dxa"/>
            <w:tcBorders>
              <w:top w:val="single" w:sz="2" w:space="0" w:color="auto"/>
              <w:left w:val="nil"/>
              <w:bottom w:val="nil"/>
              <w:right w:val="single" w:sz="4" w:space="0" w:color="auto"/>
            </w:tcBorders>
            <w:shd w:val="clear" w:color="auto" w:fill="auto"/>
            <w:noWrap/>
            <w:vAlign w:val="center"/>
            <w:hideMark/>
          </w:tcPr>
          <w:p w14:paraId="41905C49"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 </w:t>
            </w:r>
          </w:p>
        </w:tc>
        <w:tc>
          <w:tcPr>
            <w:tcW w:w="1014" w:type="dxa"/>
            <w:gridSpan w:val="2"/>
            <w:tcBorders>
              <w:top w:val="single" w:sz="2" w:space="0" w:color="auto"/>
              <w:left w:val="nil"/>
              <w:bottom w:val="nil"/>
              <w:right w:val="nil"/>
            </w:tcBorders>
            <w:shd w:val="clear" w:color="auto" w:fill="auto"/>
            <w:noWrap/>
            <w:vAlign w:val="center"/>
            <w:hideMark/>
          </w:tcPr>
          <w:p w14:paraId="5A313409"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 </w:t>
            </w:r>
          </w:p>
        </w:tc>
        <w:tc>
          <w:tcPr>
            <w:tcW w:w="1014" w:type="dxa"/>
            <w:tcBorders>
              <w:top w:val="single" w:sz="2" w:space="0" w:color="auto"/>
              <w:left w:val="nil"/>
              <w:bottom w:val="nil"/>
              <w:right w:val="nil"/>
            </w:tcBorders>
            <w:shd w:val="clear" w:color="auto" w:fill="auto"/>
            <w:noWrap/>
            <w:vAlign w:val="center"/>
            <w:hideMark/>
          </w:tcPr>
          <w:p w14:paraId="2CA61D1B"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 </w:t>
            </w:r>
          </w:p>
        </w:tc>
        <w:tc>
          <w:tcPr>
            <w:tcW w:w="1015" w:type="dxa"/>
            <w:tcBorders>
              <w:top w:val="single" w:sz="2" w:space="0" w:color="auto"/>
              <w:left w:val="nil"/>
              <w:bottom w:val="nil"/>
              <w:right w:val="single" w:sz="4" w:space="0" w:color="auto"/>
            </w:tcBorders>
            <w:shd w:val="clear" w:color="auto" w:fill="auto"/>
            <w:noWrap/>
            <w:vAlign w:val="center"/>
            <w:hideMark/>
          </w:tcPr>
          <w:p w14:paraId="7BB7547F"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 </w:t>
            </w:r>
          </w:p>
        </w:tc>
      </w:tr>
      <w:tr w:rsidR="00AC6AE5" w:rsidRPr="00A267BE" w14:paraId="1C6DD6D0" w14:textId="77777777" w:rsidTr="000C30BD">
        <w:trPr>
          <w:trHeight w:val="283"/>
          <w:jc w:val="center"/>
        </w:trPr>
        <w:tc>
          <w:tcPr>
            <w:tcW w:w="2299" w:type="dxa"/>
            <w:tcBorders>
              <w:top w:val="nil"/>
              <w:left w:val="single" w:sz="4" w:space="0" w:color="auto"/>
              <w:bottom w:val="nil"/>
              <w:right w:val="nil"/>
            </w:tcBorders>
            <w:shd w:val="clear" w:color="auto" w:fill="auto"/>
            <w:noWrap/>
            <w:vAlign w:val="center"/>
            <w:hideMark/>
          </w:tcPr>
          <w:p w14:paraId="5B669F71" w14:textId="77777777" w:rsidR="00AC6AE5" w:rsidRPr="00A267BE" w:rsidRDefault="00AC6AE5" w:rsidP="00030D4A">
            <w:pPr>
              <w:rPr>
                <w:rFonts w:ascii="Arial" w:hAnsi="Arial" w:cs="Arial"/>
                <w:sz w:val="18"/>
                <w:szCs w:val="18"/>
                <w:lang w:val="en-GB"/>
              </w:rPr>
            </w:pPr>
            <w:r w:rsidRPr="00A267BE">
              <w:rPr>
                <w:rFonts w:ascii="Arial" w:hAnsi="Arial" w:cs="Arial"/>
                <w:sz w:val="18"/>
                <w:szCs w:val="18"/>
                <w:lang w:val="en-GB"/>
              </w:rPr>
              <w:t xml:space="preserve">PharmaCorp Ukraine </w:t>
            </w:r>
          </w:p>
        </w:tc>
        <w:tc>
          <w:tcPr>
            <w:tcW w:w="1014" w:type="dxa"/>
            <w:tcBorders>
              <w:top w:val="nil"/>
              <w:left w:val="nil"/>
              <w:bottom w:val="nil"/>
              <w:right w:val="nil"/>
            </w:tcBorders>
            <w:shd w:val="clear" w:color="auto" w:fill="auto"/>
            <w:noWrap/>
            <w:vAlign w:val="center"/>
            <w:hideMark/>
          </w:tcPr>
          <w:p w14:paraId="0AFF9DF3"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130,882</w:t>
            </w:r>
          </w:p>
        </w:tc>
        <w:tc>
          <w:tcPr>
            <w:tcW w:w="1014" w:type="dxa"/>
            <w:tcBorders>
              <w:top w:val="nil"/>
              <w:left w:val="nil"/>
              <w:bottom w:val="nil"/>
            </w:tcBorders>
            <w:shd w:val="clear" w:color="auto" w:fill="auto"/>
            <w:noWrap/>
            <w:vAlign w:val="center"/>
            <w:hideMark/>
          </w:tcPr>
          <w:p w14:paraId="0B5B3C56"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158,469</w:t>
            </w:r>
          </w:p>
        </w:tc>
        <w:tc>
          <w:tcPr>
            <w:tcW w:w="1014" w:type="dxa"/>
            <w:tcBorders>
              <w:top w:val="nil"/>
              <w:left w:val="nil"/>
              <w:bottom w:val="nil"/>
              <w:right w:val="single" w:sz="4" w:space="0" w:color="auto"/>
            </w:tcBorders>
            <w:shd w:val="clear" w:color="auto" w:fill="auto"/>
            <w:noWrap/>
            <w:vAlign w:val="center"/>
            <w:hideMark/>
          </w:tcPr>
          <w:p w14:paraId="4626668A"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94,127</w:t>
            </w:r>
          </w:p>
        </w:tc>
        <w:tc>
          <w:tcPr>
            <w:tcW w:w="1014" w:type="dxa"/>
            <w:gridSpan w:val="2"/>
            <w:tcBorders>
              <w:top w:val="nil"/>
              <w:left w:val="nil"/>
              <w:bottom w:val="nil"/>
              <w:right w:val="nil"/>
            </w:tcBorders>
            <w:shd w:val="clear" w:color="auto" w:fill="auto"/>
            <w:noWrap/>
            <w:vAlign w:val="center"/>
            <w:hideMark/>
          </w:tcPr>
          <w:p w14:paraId="4A3897EB" w14:textId="77777777" w:rsidR="00AC6AE5" w:rsidRPr="00A267BE" w:rsidRDefault="00AC6AE5" w:rsidP="00030D4A">
            <w:pPr>
              <w:jc w:val="right"/>
              <w:rPr>
                <w:rFonts w:ascii="Arial" w:hAnsi="Arial" w:cs="Arial"/>
                <w:iCs/>
                <w:sz w:val="18"/>
                <w:szCs w:val="18"/>
                <w:lang w:val="en-GB"/>
              </w:rPr>
            </w:pPr>
            <w:r w:rsidRPr="00A267BE">
              <w:rPr>
                <w:rFonts w:ascii="Arial" w:hAnsi="Arial" w:cs="Arial"/>
                <w:iCs/>
                <w:sz w:val="18"/>
                <w:szCs w:val="18"/>
                <w:lang w:val="en-GB"/>
              </w:rPr>
              <w:t>85,000</w:t>
            </w:r>
          </w:p>
        </w:tc>
        <w:tc>
          <w:tcPr>
            <w:tcW w:w="1014" w:type="dxa"/>
            <w:tcBorders>
              <w:top w:val="nil"/>
              <w:left w:val="nil"/>
              <w:bottom w:val="nil"/>
              <w:right w:val="nil"/>
            </w:tcBorders>
            <w:shd w:val="clear" w:color="auto" w:fill="auto"/>
            <w:noWrap/>
            <w:vAlign w:val="center"/>
            <w:hideMark/>
          </w:tcPr>
          <w:p w14:paraId="7828FFC3" w14:textId="77777777" w:rsidR="00AC6AE5" w:rsidRPr="00A267BE" w:rsidRDefault="00AC6AE5" w:rsidP="00030D4A">
            <w:pPr>
              <w:jc w:val="right"/>
              <w:rPr>
                <w:rFonts w:ascii="Arial" w:hAnsi="Arial" w:cs="Arial"/>
                <w:iCs/>
                <w:sz w:val="18"/>
                <w:szCs w:val="18"/>
                <w:lang w:val="en-GB"/>
              </w:rPr>
            </w:pPr>
            <w:r w:rsidRPr="00A267BE">
              <w:rPr>
                <w:rFonts w:ascii="Arial" w:hAnsi="Arial" w:cs="Arial"/>
                <w:iCs/>
                <w:sz w:val="18"/>
                <w:szCs w:val="18"/>
                <w:lang w:val="en-GB"/>
              </w:rPr>
              <w:t>90,000</w:t>
            </w:r>
          </w:p>
        </w:tc>
        <w:tc>
          <w:tcPr>
            <w:tcW w:w="1015" w:type="dxa"/>
            <w:tcBorders>
              <w:top w:val="nil"/>
              <w:left w:val="nil"/>
              <w:bottom w:val="nil"/>
              <w:right w:val="single" w:sz="4" w:space="0" w:color="auto"/>
            </w:tcBorders>
            <w:shd w:val="clear" w:color="auto" w:fill="auto"/>
            <w:noWrap/>
            <w:vAlign w:val="center"/>
            <w:hideMark/>
          </w:tcPr>
          <w:p w14:paraId="57E8E389" w14:textId="77777777" w:rsidR="00AC6AE5" w:rsidRPr="00A267BE" w:rsidRDefault="00AC6AE5" w:rsidP="00030D4A">
            <w:pPr>
              <w:jc w:val="right"/>
              <w:rPr>
                <w:rFonts w:ascii="Arial" w:hAnsi="Arial" w:cs="Arial"/>
                <w:iCs/>
                <w:sz w:val="18"/>
                <w:szCs w:val="18"/>
                <w:lang w:val="en-GB"/>
              </w:rPr>
            </w:pPr>
            <w:r w:rsidRPr="00A267BE">
              <w:rPr>
                <w:rFonts w:ascii="Arial" w:hAnsi="Arial" w:cs="Arial"/>
                <w:iCs/>
                <w:sz w:val="18"/>
                <w:szCs w:val="18"/>
                <w:lang w:val="en-GB"/>
              </w:rPr>
              <w:t>100,000</w:t>
            </w:r>
          </w:p>
        </w:tc>
      </w:tr>
      <w:tr w:rsidR="00AC6AE5" w:rsidRPr="00A267BE" w14:paraId="676A1363" w14:textId="77777777" w:rsidTr="000C30BD">
        <w:trPr>
          <w:trHeight w:val="283"/>
          <w:jc w:val="center"/>
        </w:trPr>
        <w:tc>
          <w:tcPr>
            <w:tcW w:w="2299" w:type="dxa"/>
            <w:tcBorders>
              <w:top w:val="nil"/>
              <w:left w:val="single" w:sz="4" w:space="0" w:color="auto"/>
              <w:bottom w:val="single" w:sz="4" w:space="0" w:color="auto"/>
              <w:right w:val="nil"/>
            </w:tcBorders>
            <w:shd w:val="clear" w:color="auto" w:fill="auto"/>
            <w:noWrap/>
            <w:vAlign w:val="center"/>
            <w:hideMark/>
          </w:tcPr>
          <w:p w14:paraId="3CD6AD73" w14:textId="77777777" w:rsidR="00AC6AE5" w:rsidRPr="00A267BE" w:rsidRDefault="00AC6AE5" w:rsidP="00030D4A">
            <w:pPr>
              <w:rPr>
                <w:rFonts w:ascii="Arial" w:hAnsi="Arial" w:cs="Arial"/>
                <w:i/>
                <w:sz w:val="18"/>
                <w:szCs w:val="18"/>
                <w:lang w:val="en-GB"/>
              </w:rPr>
            </w:pPr>
            <w:r w:rsidRPr="00A267BE">
              <w:rPr>
                <w:rFonts w:ascii="Arial" w:hAnsi="Arial" w:cs="Arial"/>
                <w:i/>
                <w:sz w:val="18"/>
                <w:szCs w:val="18"/>
                <w:lang w:val="en-GB"/>
              </w:rPr>
              <w:t>Target RHQ</w:t>
            </w:r>
          </w:p>
        </w:tc>
        <w:tc>
          <w:tcPr>
            <w:tcW w:w="1014" w:type="dxa"/>
            <w:tcBorders>
              <w:top w:val="nil"/>
              <w:left w:val="nil"/>
              <w:bottom w:val="single" w:sz="4" w:space="0" w:color="auto"/>
              <w:right w:val="nil"/>
            </w:tcBorders>
            <w:shd w:val="clear" w:color="auto" w:fill="auto"/>
            <w:noWrap/>
            <w:vAlign w:val="center"/>
            <w:hideMark/>
          </w:tcPr>
          <w:p w14:paraId="12C8DDFC"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130,000</w:t>
            </w:r>
          </w:p>
        </w:tc>
        <w:tc>
          <w:tcPr>
            <w:tcW w:w="1014" w:type="dxa"/>
            <w:tcBorders>
              <w:top w:val="nil"/>
              <w:left w:val="nil"/>
              <w:bottom w:val="single" w:sz="4" w:space="0" w:color="auto"/>
            </w:tcBorders>
            <w:shd w:val="clear" w:color="auto" w:fill="auto"/>
            <w:noWrap/>
            <w:vAlign w:val="center"/>
            <w:hideMark/>
          </w:tcPr>
          <w:p w14:paraId="3EF8D1C8"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146,000</w:t>
            </w:r>
          </w:p>
        </w:tc>
        <w:tc>
          <w:tcPr>
            <w:tcW w:w="1014" w:type="dxa"/>
            <w:tcBorders>
              <w:top w:val="nil"/>
              <w:left w:val="nil"/>
              <w:bottom w:val="single" w:sz="4" w:space="0" w:color="auto"/>
              <w:right w:val="single" w:sz="4" w:space="0" w:color="auto"/>
            </w:tcBorders>
            <w:shd w:val="clear" w:color="auto" w:fill="auto"/>
            <w:noWrap/>
            <w:vAlign w:val="center"/>
            <w:hideMark/>
          </w:tcPr>
          <w:p w14:paraId="6A94B933"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187,200</w:t>
            </w:r>
          </w:p>
        </w:tc>
        <w:tc>
          <w:tcPr>
            <w:tcW w:w="1014" w:type="dxa"/>
            <w:gridSpan w:val="2"/>
            <w:tcBorders>
              <w:top w:val="nil"/>
              <w:left w:val="nil"/>
              <w:bottom w:val="single" w:sz="4" w:space="0" w:color="auto"/>
              <w:right w:val="nil"/>
            </w:tcBorders>
            <w:shd w:val="clear" w:color="auto" w:fill="auto"/>
            <w:noWrap/>
            <w:vAlign w:val="center"/>
            <w:hideMark/>
          </w:tcPr>
          <w:p w14:paraId="6691C7AB" w14:textId="77777777" w:rsidR="00AC6AE5" w:rsidRPr="00A267BE" w:rsidRDefault="00AC6AE5" w:rsidP="00030D4A">
            <w:pPr>
              <w:jc w:val="right"/>
              <w:rPr>
                <w:rFonts w:ascii="Arial" w:hAnsi="Arial" w:cs="Arial"/>
                <w:i/>
                <w:iCs/>
                <w:sz w:val="18"/>
                <w:szCs w:val="18"/>
                <w:lang w:val="en-GB"/>
              </w:rPr>
            </w:pPr>
            <w:r w:rsidRPr="00A267BE">
              <w:rPr>
                <w:rFonts w:ascii="Arial" w:hAnsi="Arial" w:cs="Arial"/>
                <w:i/>
                <w:iCs/>
                <w:sz w:val="18"/>
                <w:szCs w:val="18"/>
                <w:lang w:val="en-GB"/>
              </w:rPr>
              <w:t>110,000</w:t>
            </w:r>
          </w:p>
        </w:tc>
        <w:tc>
          <w:tcPr>
            <w:tcW w:w="1014" w:type="dxa"/>
            <w:tcBorders>
              <w:top w:val="nil"/>
              <w:left w:val="nil"/>
              <w:bottom w:val="single" w:sz="4" w:space="0" w:color="auto"/>
              <w:right w:val="nil"/>
            </w:tcBorders>
            <w:shd w:val="clear" w:color="auto" w:fill="auto"/>
            <w:noWrap/>
            <w:vAlign w:val="center"/>
            <w:hideMark/>
          </w:tcPr>
          <w:p w14:paraId="01A5EBC7" w14:textId="77777777" w:rsidR="00AC6AE5" w:rsidRPr="00A267BE" w:rsidRDefault="00AC6AE5" w:rsidP="00030D4A">
            <w:pPr>
              <w:jc w:val="right"/>
              <w:rPr>
                <w:rFonts w:ascii="Arial" w:hAnsi="Arial" w:cs="Arial"/>
                <w:i/>
                <w:iCs/>
                <w:sz w:val="18"/>
                <w:szCs w:val="18"/>
                <w:lang w:val="en-GB"/>
              </w:rPr>
            </w:pPr>
            <w:r w:rsidRPr="00A267BE">
              <w:rPr>
                <w:rFonts w:ascii="Arial" w:hAnsi="Arial" w:cs="Arial"/>
                <w:i/>
                <w:iCs/>
                <w:sz w:val="18"/>
                <w:szCs w:val="18"/>
                <w:lang w:val="en-GB"/>
              </w:rPr>
              <w:t>120,000</w:t>
            </w:r>
          </w:p>
        </w:tc>
        <w:tc>
          <w:tcPr>
            <w:tcW w:w="1015" w:type="dxa"/>
            <w:tcBorders>
              <w:top w:val="nil"/>
              <w:left w:val="nil"/>
              <w:bottom w:val="single" w:sz="4" w:space="0" w:color="auto"/>
              <w:right w:val="single" w:sz="4" w:space="0" w:color="auto"/>
            </w:tcBorders>
            <w:shd w:val="clear" w:color="auto" w:fill="auto"/>
            <w:noWrap/>
            <w:vAlign w:val="center"/>
            <w:hideMark/>
          </w:tcPr>
          <w:p w14:paraId="5552E00C" w14:textId="77777777" w:rsidR="00AC6AE5" w:rsidRPr="00A267BE" w:rsidRDefault="00AC6AE5" w:rsidP="00030D4A">
            <w:pPr>
              <w:jc w:val="right"/>
              <w:rPr>
                <w:rFonts w:ascii="Arial" w:hAnsi="Arial" w:cs="Arial"/>
                <w:i/>
                <w:iCs/>
                <w:sz w:val="18"/>
                <w:szCs w:val="18"/>
                <w:lang w:val="en-GB"/>
              </w:rPr>
            </w:pPr>
            <w:r w:rsidRPr="00A267BE">
              <w:rPr>
                <w:rFonts w:ascii="Arial" w:hAnsi="Arial" w:cs="Arial"/>
                <w:i/>
                <w:iCs/>
                <w:sz w:val="18"/>
                <w:szCs w:val="18"/>
                <w:lang w:val="en-GB"/>
              </w:rPr>
              <w:t>130,000</w:t>
            </w:r>
          </w:p>
        </w:tc>
      </w:tr>
      <w:tr w:rsidR="00AC6AE5" w:rsidRPr="00A267BE" w14:paraId="6EB78DF6" w14:textId="77777777" w:rsidTr="000C30BD">
        <w:trPr>
          <w:trHeight w:val="283"/>
          <w:jc w:val="center"/>
        </w:trPr>
        <w:tc>
          <w:tcPr>
            <w:tcW w:w="2299" w:type="dxa"/>
            <w:tcBorders>
              <w:top w:val="nil"/>
              <w:left w:val="single" w:sz="4" w:space="0" w:color="auto"/>
              <w:bottom w:val="nil"/>
              <w:right w:val="nil"/>
            </w:tcBorders>
            <w:shd w:val="clear" w:color="auto" w:fill="auto"/>
            <w:noWrap/>
            <w:vAlign w:val="center"/>
            <w:hideMark/>
          </w:tcPr>
          <w:p w14:paraId="6B7698E6" w14:textId="77777777" w:rsidR="00AC6AE5" w:rsidRPr="00A267BE" w:rsidRDefault="00AC6AE5" w:rsidP="00030D4A">
            <w:pPr>
              <w:rPr>
                <w:rFonts w:ascii="Arial" w:hAnsi="Arial" w:cs="Arial"/>
                <w:b/>
                <w:bCs/>
                <w:sz w:val="18"/>
                <w:szCs w:val="18"/>
                <w:lang w:val="en-GB"/>
              </w:rPr>
            </w:pPr>
            <w:r w:rsidRPr="00A267BE">
              <w:rPr>
                <w:rFonts w:ascii="Arial" w:hAnsi="Arial" w:cs="Arial"/>
                <w:b/>
                <w:bCs/>
                <w:sz w:val="18"/>
                <w:szCs w:val="18"/>
                <w:lang w:val="en-GB"/>
              </w:rPr>
              <w:t>Market Share [%]</w:t>
            </w:r>
          </w:p>
        </w:tc>
        <w:tc>
          <w:tcPr>
            <w:tcW w:w="1014" w:type="dxa"/>
            <w:tcBorders>
              <w:top w:val="nil"/>
              <w:left w:val="nil"/>
              <w:bottom w:val="nil"/>
              <w:right w:val="nil"/>
            </w:tcBorders>
            <w:shd w:val="clear" w:color="auto" w:fill="auto"/>
            <w:noWrap/>
            <w:vAlign w:val="center"/>
            <w:hideMark/>
          </w:tcPr>
          <w:p w14:paraId="3FD4AAE3" w14:textId="77777777" w:rsidR="00AC6AE5" w:rsidRPr="00A267BE" w:rsidRDefault="00AC6AE5" w:rsidP="00030D4A">
            <w:pPr>
              <w:jc w:val="right"/>
              <w:rPr>
                <w:rFonts w:ascii="Arial" w:hAnsi="Arial" w:cs="Arial"/>
                <w:b/>
                <w:bCs/>
                <w:sz w:val="18"/>
                <w:szCs w:val="18"/>
                <w:lang w:val="en-GB"/>
              </w:rPr>
            </w:pPr>
            <w:r w:rsidRPr="00A267BE">
              <w:rPr>
                <w:rFonts w:ascii="Arial" w:hAnsi="Arial" w:cs="Arial"/>
                <w:b/>
                <w:bCs/>
                <w:sz w:val="18"/>
                <w:szCs w:val="18"/>
                <w:lang w:val="en-GB"/>
              </w:rPr>
              <w:t> </w:t>
            </w:r>
          </w:p>
        </w:tc>
        <w:tc>
          <w:tcPr>
            <w:tcW w:w="1014" w:type="dxa"/>
            <w:tcBorders>
              <w:top w:val="single" w:sz="4" w:space="0" w:color="auto"/>
              <w:left w:val="nil"/>
              <w:bottom w:val="nil"/>
            </w:tcBorders>
            <w:shd w:val="clear" w:color="auto" w:fill="auto"/>
            <w:noWrap/>
            <w:vAlign w:val="center"/>
            <w:hideMark/>
          </w:tcPr>
          <w:p w14:paraId="5CAC9FB4" w14:textId="77777777" w:rsidR="00AC6AE5" w:rsidRPr="00A267BE" w:rsidRDefault="00AC6AE5" w:rsidP="00030D4A">
            <w:pPr>
              <w:jc w:val="right"/>
              <w:rPr>
                <w:rFonts w:ascii="Arial" w:hAnsi="Arial" w:cs="Arial"/>
                <w:b/>
                <w:bCs/>
                <w:sz w:val="18"/>
                <w:szCs w:val="18"/>
                <w:lang w:val="en-GB"/>
              </w:rPr>
            </w:pPr>
            <w:r w:rsidRPr="00A267BE">
              <w:rPr>
                <w:rFonts w:ascii="Arial" w:hAnsi="Arial" w:cs="Arial"/>
                <w:b/>
                <w:bCs/>
                <w:sz w:val="18"/>
                <w:szCs w:val="18"/>
                <w:lang w:val="en-GB"/>
              </w:rPr>
              <w:t> </w:t>
            </w:r>
          </w:p>
        </w:tc>
        <w:tc>
          <w:tcPr>
            <w:tcW w:w="1014" w:type="dxa"/>
            <w:tcBorders>
              <w:top w:val="nil"/>
              <w:left w:val="nil"/>
              <w:bottom w:val="nil"/>
              <w:right w:val="nil"/>
            </w:tcBorders>
            <w:shd w:val="clear" w:color="auto" w:fill="auto"/>
            <w:noWrap/>
            <w:vAlign w:val="center"/>
            <w:hideMark/>
          </w:tcPr>
          <w:p w14:paraId="6577A30A" w14:textId="77777777" w:rsidR="00AC6AE5" w:rsidRPr="00A267BE" w:rsidRDefault="00AC6AE5" w:rsidP="00030D4A">
            <w:pPr>
              <w:jc w:val="right"/>
              <w:rPr>
                <w:rFonts w:ascii="Arial" w:hAnsi="Arial" w:cs="Arial"/>
                <w:b/>
                <w:bCs/>
                <w:sz w:val="18"/>
                <w:szCs w:val="18"/>
                <w:lang w:val="en-GB"/>
              </w:rPr>
            </w:pPr>
            <w:r w:rsidRPr="00A267BE">
              <w:rPr>
                <w:rFonts w:ascii="Arial" w:hAnsi="Arial" w:cs="Arial"/>
                <w:b/>
                <w:bCs/>
                <w:sz w:val="18"/>
                <w:szCs w:val="18"/>
                <w:lang w:val="en-GB"/>
              </w:rPr>
              <w:t> </w:t>
            </w:r>
          </w:p>
        </w:tc>
        <w:tc>
          <w:tcPr>
            <w:tcW w:w="1014" w:type="dxa"/>
            <w:gridSpan w:val="2"/>
            <w:tcBorders>
              <w:top w:val="nil"/>
              <w:left w:val="single" w:sz="4" w:space="0" w:color="auto"/>
              <w:bottom w:val="nil"/>
              <w:right w:val="nil"/>
            </w:tcBorders>
            <w:shd w:val="clear" w:color="auto" w:fill="auto"/>
            <w:noWrap/>
            <w:vAlign w:val="center"/>
            <w:hideMark/>
          </w:tcPr>
          <w:p w14:paraId="39B6B0FE" w14:textId="77777777" w:rsidR="00AC6AE5" w:rsidRPr="00A267BE" w:rsidRDefault="00AC6AE5" w:rsidP="00030D4A">
            <w:pPr>
              <w:jc w:val="right"/>
              <w:rPr>
                <w:rFonts w:ascii="Arial" w:hAnsi="Arial" w:cs="Arial"/>
                <w:b/>
                <w:bCs/>
                <w:i/>
                <w:iCs/>
                <w:sz w:val="18"/>
                <w:szCs w:val="18"/>
                <w:lang w:val="en-GB"/>
              </w:rPr>
            </w:pPr>
            <w:r w:rsidRPr="00A267BE">
              <w:rPr>
                <w:rFonts w:ascii="Arial" w:hAnsi="Arial" w:cs="Arial"/>
                <w:b/>
                <w:bCs/>
                <w:i/>
                <w:iCs/>
                <w:sz w:val="18"/>
                <w:szCs w:val="18"/>
                <w:lang w:val="en-GB"/>
              </w:rPr>
              <w:t> </w:t>
            </w:r>
          </w:p>
        </w:tc>
        <w:tc>
          <w:tcPr>
            <w:tcW w:w="1014" w:type="dxa"/>
            <w:tcBorders>
              <w:top w:val="nil"/>
              <w:left w:val="nil"/>
              <w:bottom w:val="nil"/>
              <w:right w:val="nil"/>
            </w:tcBorders>
            <w:shd w:val="clear" w:color="auto" w:fill="auto"/>
            <w:noWrap/>
            <w:vAlign w:val="center"/>
            <w:hideMark/>
          </w:tcPr>
          <w:p w14:paraId="30B0CB81" w14:textId="77777777" w:rsidR="00AC6AE5" w:rsidRPr="00A267BE" w:rsidRDefault="00AC6AE5" w:rsidP="00030D4A">
            <w:pPr>
              <w:jc w:val="right"/>
              <w:rPr>
                <w:rFonts w:ascii="Arial" w:hAnsi="Arial" w:cs="Arial"/>
                <w:b/>
                <w:bCs/>
                <w:i/>
                <w:iCs/>
                <w:sz w:val="18"/>
                <w:szCs w:val="18"/>
                <w:lang w:val="en-GB"/>
              </w:rPr>
            </w:pPr>
            <w:r w:rsidRPr="00A267BE">
              <w:rPr>
                <w:rFonts w:ascii="Arial" w:hAnsi="Arial" w:cs="Arial"/>
                <w:b/>
                <w:bCs/>
                <w:i/>
                <w:iCs/>
                <w:sz w:val="18"/>
                <w:szCs w:val="18"/>
                <w:lang w:val="en-GB"/>
              </w:rPr>
              <w:t> </w:t>
            </w:r>
          </w:p>
        </w:tc>
        <w:tc>
          <w:tcPr>
            <w:tcW w:w="1015" w:type="dxa"/>
            <w:tcBorders>
              <w:top w:val="nil"/>
              <w:left w:val="nil"/>
              <w:bottom w:val="nil"/>
              <w:right w:val="single" w:sz="4" w:space="0" w:color="auto"/>
            </w:tcBorders>
            <w:shd w:val="clear" w:color="auto" w:fill="auto"/>
            <w:noWrap/>
            <w:vAlign w:val="center"/>
            <w:hideMark/>
          </w:tcPr>
          <w:p w14:paraId="097BD56E" w14:textId="77777777" w:rsidR="00AC6AE5" w:rsidRPr="00A267BE" w:rsidRDefault="00AC6AE5" w:rsidP="00030D4A">
            <w:pPr>
              <w:jc w:val="right"/>
              <w:rPr>
                <w:rFonts w:ascii="Arial" w:hAnsi="Arial" w:cs="Arial"/>
                <w:b/>
                <w:bCs/>
                <w:i/>
                <w:iCs/>
                <w:sz w:val="18"/>
                <w:szCs w:val="18"/>
                <w:lang w:val="en-GB"/>
              </w:rPr>
            </w:pPr>
            <w:r w:rsidRPr="00A267BE">
              <w:rPr>
                <w:rFonts w:ascii="Arial" w:hAnsi="Arial" w:cs="Arial"/>
                <w:b/>
                <w:bCs/>
                <w:i/>
                <w:iCs/>
                <w:sz w:val="18"/>
                <w:szCs w:val="18"/>
                <w:lang w:val="en-GB"/>
              </w:rPr>
              <w:t> </w:t>
            </w:r>
          </w:p>
        </w:tc>
      </w:tr>
      <w:tr w:rsidR="00AC6AE5" w:rsidRPr="00A267BE" w14:paraId="0F691B90" w14:textId="77777777" w:rsidTr="000C30BD">
        <w:trPr>
          <w:trHeight w:val="283"/>
          <w:jc w:val="center"/>
        </w:trPr>
        <w:tc>
          <w:tcPr>
            <w:tcW w:w="2299" w:type="dxa"/>
            <w:tcBorders>
              <w:top w:val="nil"/>
              <w:left w:val="single" w:sz="4" w:space="0" w:color="auto"/>
              <w:bottom w:val="nil"/>
              <w:right w:val="nil"/>
            </w:tcBorders>
            <w:shd w:val="clear" w:color="auto" w:fill="auto"/>
            <w:noWrap/>
            <w:vAlign w:val="center"/>
            <w:hideMark/>
          </w:tcPr>
          <w:p w14:paraId="12CE0EA1" w14:textId="77777777" w:rsidR="00AC6AE5" w:rsidRPr="00A267BE" w:rsidRDefault="00AC6AE5" w:rsidP="00030D4A">
            <w:pPr>
              <w:rPr>
                <w:rFonts w:ascii="Arial" w:hAnsi="Arial" w:cs="Arial"/>
                <w:sz w:val="18"/>
                <w:szCs w:val="18"/>
                <w:lang w:val="en-GB"/>
              </w:rPr>
            </w:pPr>
            <w:r w:rsidRPr="00A267BE">
              <w:rPr>
                <w:rFonts w:ascii="Arial" w:hAnsi="Arial" w:cs="Arial"/>
                <w:sz w:val="18"/>
                <w:szCs w:val="18"/>
                <w:lang w:val="en-GB"/>
              </w:rPr>
              <w:t xml:space="preserve">PharmaCorp Ukraine </w:t>
            </w:r>
          </w:p>
        </w:tc>
        <w:tc>
          <w:tcPr>
            <w:tcW w:w="1014" w:type="dxa"/>
            <w:tcBorders>
              <w:top w:val="nil"/>
              <w:left w:val="nil"/>
              <w:bottom w:val="nil"/>
              <w:right w:val="nil"/>
            </w:tcBorders>
            <w:shd w:val="clear" w:color="auto" w:fill="auto"/>
            <w:noWrap/>
            <w:vAlign w:val="center"/>
            <w:hideMark/>
          </w:tcPr>
          <w:p w14:paraId="0613FE80"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1.9</w:t>
            </w:r>
          </w:p>
        </w:tc>
        <w:tc>
          <w:tcPr>
            <w:tcW w:w="1014" w:type="dxa"/>
            <w:tcBorders>
              <w:top w:val="nil"/>
              <w:left w:val="nil"/>
              <w:bottom w:val="nil"/>
            </w:tcBorders>
            <w:shd w:val="clear" w:color="auto" w:fill="auto"/>
            <w:noWrap/>
            <w:vAlign w:val="center"/>
            <w:hideMark/>
          </w:tcPr>
          <w:p w14:paraId="481716F8"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1.9</w:t>
            </w:r>
          </w:p>
        </w:tc>
        <w:tc>
          <w:tcPr>
            <w:tcW w:w="1014" w:type="dxa"/>
            <w:tcBorders>
              <w:top w:val="nil"/>
              <w:left w:val="nil"/>
              <w:bottom w:val="nil"/>
              <w:right w:val="nil"/>
            </w:tcBorders>
            <w:shd w:val="clear" w:color="auto" w:fill="auto"/>
            <w:noWrap/>
            <w:vAlign w:val="center"/>
            <w:hideMark/>
          </w:tcPr>
          <w:p w14:paraId="38D8F0DA"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1.4</w:t>
            </w:r>
          </w:p>
        </w:tc>
        <w:tc>
          <w:tcPr>
            <w:tcW w:w="1014" w:type="dxa"/>
            <w:gridSpan w:val="2"/>
            <w:tcBorders>
              <w:top w:val="nil"/>
              <w:left w:val="single" w:sz="4" w:space="0" w:color="auto"/>
              <w:bottom w:val="nil"/>
              <w:right w:val="nil"/>
            </w:tcBorders>
            <w:shd w:val="clear" w:color="auto" w:fill="auto"/>
            <w:noWrap/>
            <w:vAlign w:val="center"/>
            <w:hideMark/>
          </w:tcPr>
          <w:p w14:paraId="759C9CFB" w14:textId="77777777" w:rsidR="00AC6AE5" w:rsidRPr="00A267BE" w:rsidRDefault="00AC6AE5" w:rsidP="00030D4A">
            <w:pPr>
              <w:jc w:val="right"/>
              <w:rPr>
                <w:rFonts w:ascii="Arial" w:hAnsi="Arial" w:cs="Arial"/>
                <w:iCs/>
                <w:sz w:val="18"/>
                <w:szCs w:val="18"/>
                <w:lang w:val="en-GB"/>
              </w:rPr>
            </w:pPr>
            <w:r w:rsidRPr="00A267BE">
              <w:rPr>
                <w:rFonts w:ascii="Arial" w:hAnsi="Arial" w:cs="Arial"/>
                <w:iCs/>
                <w:sz w:val="18"/>
                <w:szCs w:val="18"/>
                <w:lang w:val="en-GB"/>
              </w:rPr>
              <w:t>1.2</w:t>
            </w:r>
          </w:p>
        </w:tc>
        <w:tc>
          <w:tcPr>
            <w:tcW w:w="1014" w:type="dxa"/>
            <w:tcBorders>
              <w:top w:val="nil"/>
              <w:left w:val="nil"/>
              <w:bottom w:val="nil"/>
              <w:right w:val="nil"/>
            </w:tcBorders>
            <w:shd w:val="clear" w:color="auto" w:fill="auto"/>
            <w:noWrap/>
            <w:vAlign w:val="center"/>
            <w:hideMark/>
          </w:tcPr>
          <w:p w14:paraId="143F3575" w14:textId="77777777" w:rsidR="00AC6AE5" w:rsidRPr="00A267BE" w:rsidRDefault="00AC6AE5" w:rsidP="00030D4A">
            <w:pPr>
              <w:jc w:val="right"/>
              <w:rPr>
                <w:rFonts w:ascii="Arial" w:hAnsi="Arial" w:cs="Arial"/>
                <w:iCs/>
                <w:sz w:val="18"/>
                <w:szCs w:val="18"/>
                <w:lang w:val="en-GB"/>
              </w:rPr>
            </w:pPr>
            <w:r w:rsidRPr="00A267BE">
              <w:rPr>
                <w:rFonts w:ascii="Arial" w:hAnsi="Arial" w:cs="Arial"/>
                <w:iCs/>
                <w:sz w:val="18"/>
                <w:szCs w:val="18"/>
                <w:lang w:val="en-GB"/>
              </w:rPr>
              <w:t>1.3</w:t>
            </w:r>
          </w:p>
        </w:tc>
        <w:tc>
          <w:tcPr>
            <w:tcW w:w="1015" w:type="dxa"/>
            <w:tcBorders>
              <w:top w:val="nil"/>
              <w:left w:val="nil"/>
              <w:bottom w:val="nil"/>
              <w:right w:val="single" w:sz="4" w:space="0" w:color="auto"/>
            </w:tcBorders>
            <w:shd w:val="clear" w:color="auto" w:fill="auto"/>
            <w:noWrap/>
            <w:vAlign w:val="center"/>
            <w:hideMark/>
          </w:tcPr>
          <w:p w14:paraId="57F28F1C" w14:textId="77777777" w:rsidR="00AC6AE5" w:rsidRPr="00A267BE" w:rsidRDefault="00AC6AE5" w:rsidP="00030D4A">
            <w:pPr>
              <w:jc w:val="right"/>
              <w:rPr>
                <w:rFonts w:ascii="Arial" w:hAnsi="Arial" w:cs="Arial"/>
                <w:iCs/>
                <w:sz w:val="18"/>
                <w:szCs w:val="18"/>
                <w:lang w:val="en-GB"/>
              </w:rPr>
            </w:pPr>
            <w:r w:rsidRPr="00A267BE">
              <w:rPr>
                <w:rFonts w:ascii="Arial" w:hAnsi="Arial" w:cs="Arial"/>
                <w:iCs/>
                <w:sz w:val="18"/>
                <w:szCs w:val="18"/>
                <w:lang w:val="en-GB"/>
              </w:rPr>
              <w:t>1.4</w:t>
            </w:r>
          </w:p>
        </w:tc>
      </w:tr>
      <w:tr w:rsidR="00AC6AE5" w:rsidRPr="00A267BE" w14:paraId="6BD1182C" w14:textId="77777777" w:rsidTr="000C30BD">
        <w:trPr>
          <w:trHeight w:val="283"/>
          <w:jc w:val="center"/>
        </w:trPr>
        <w:tc>
          <w:tcPr>
            <w:tcW w:w="2299" w:type="dxa"/>
            <w:tcBorders>
              <w:top w:val="nil"/>
              <w:left w:val="single" w:sz="4" w:space="0" w:color="auto"/>
              <w:bottom w:val="single" w:sz="4" w:space="0" w:color="auto"/>
              <w:right w:val="nil"/>
            </w:tcBorders>
            <w:shd w:val="clear" w:color="auto" w:fill="auto"/>
            <w:noWrap/>
            <w:vAlign w:val="center"/>
            <w:hideMark/>
          </w:tcPr>
          <w:p w14:paraId="4E53167D" w14:textId="77777777" w:rsidR="00AC6AE5" w:rsidRPr="00A267BE" w:rsidRDefault="00AC6AE5" w:rsidP="00030D4A">
            <w:pPr>
              <w:rPr>
                <w:rFonts w:ascii="Arial" w:hAnsi="Arial" w:cs="Arial"/>
                <w:i/>
                <w:sz w:val="18"/>
                <w:szCs w:val="18"/>
                <w:lang w:val="en-GB"/>
              </w:rPr>
            </w:pPr>
            <w:r w:rsidRPr="00A267BE">
              <w:rPr>
                <w:rFonts w:ascii="Arial" w:hAnsi="Arial" w:cs="Arial"/>
                <w:i/>
                <w:sz w:val="18"/>
                <w:szCs w:val="18"/>
                <w:lang w:val="en-GB"/>
              </w:rPr>
              <w:t>Target RHQ</w:t>
            </w:r>
          </w:p>
        </w:tc>
        <w:tc>
          <w:tcPr>
            <w:tcW w:w="1014" w:type="dxa"/>
            <w:tcBorders>
              <w:top w:val="nil"/>
              <w:left w:val="nil"/>
              <w:bottom w:val="single" w:sz="4" w:space="0" w:color="auto"/>
              <w:right w:val="nil"/>
            </w:tcBorders>
            <w:shd w:val="clear" w:color="auto" w:fill="auto"/>
            <w:noWrap/>
            <w:vAlign w:val="center"/>
            <w:hideMark/>
          </w:tcPr>
          <w:p w14:paraId="64929592"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1.8</w:t>
            </w:r>
          </w:p>
        </w:tc>
        <w:tc>
          <w:tcPr>
            <w:tcW w:w="1014" w:type="dxa"/>
            <w:tcBorders>
              <w:top w:val="nil"/>
              <w:left w:val="nil"/>
              <w:bottom w:val="single" w:sz="4" w:space="0" w:color="auto"/>
            </w:tcBorders>
            <w:shd w:val="clear" w:color="auto" w:fill="auto"/>
            <w:noWrap/>
            <w:vAlign w:val="center"/>
            <w:hideMark/>
          </w:tcPr>
          <w:p w14:paraId="6680EBE9"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1.9</w:t>
            </w:r>
          </w:p>
        </w:tc>
        <w:tc>
          <w:tcPr>
            <w:tcW w:w="1014" w:type="dxa"/>
            <w:tcBorders>
              <w:top w:val="nil"/>
              <w:left w:val="nil"/>
              <w:bottom w:val="single" w:sz="4" w:space="0" w:color="auto"/>
              <w:right w:val="nil"/>
            </w:tcBorders>
            <w:shd w:val="clear" w:color="auto" w:fill="auto"/>
            <w:noWrap/>
            <w:vAlign w:val="center"/>
            <w:hideMark/>
          </w:tcPr>
          <w:p w14:paraId="7AE73CBB"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2.0</w:t>
            </w:r>
          </w:p>
        </w:tc>
        <w:tc>
          <w:tcPr>
            <w:tcW w:w="1014" w:type="dxa"/>
            <w:gridSpan w:val="2"/>
            <w:tcBorders>
              <w:top w:val="nil"/>
              <w:left w:val="single" w:sz="4" w:space="0" w:color="auto"/>
              <w:bottom w:val="single" w:sz="4" w:space="0" w:color="auto"/>
              <w:right w:val="nil"/>
            </w:tcBorders>
            <w:shd w:val="clear" w:color="auto" w:fill="auto"/>
            <w:noWrap/>
            <w:vAlign w:val="center"/>
            <w:hideMark/>
          </w:tcPr>
          <w:p w14:paraId="1411D224" w14:textId="77777777" w:rsidR="00AC6AE5" w:rsidRPr="00A267BE" w:rsidRDefault="00AC6AE5" w:rsidP="00030D4A">
            <w:pPr>
              <w:jc w:val="right"/>
              <w:rPr>
                <w:rFonts w:ascii="Arial" w:hAnsi="Arial" w:cs="Arial"/>
                <w:i/>
                <w:iCs/>
                <w:sz w:val="18"/>
                <w:szCs w:val="18"/>
                <w:lang w:val="en-GB"/>
              </w:rPr>
            </w:pPr>
            <w:r w:rsidRPr="00A267BE">
              <w:rPr>
                <w:rFonts w:ascii="Arial" w:hAnsi="Arial" w:cs="Arial"/>
                <w:i/>
                <w:iCs/>
                <w:sz w:val="18"/>
                <w:szCs w:val="18"/>
                <w:lang w:val="en-GB"/>
              </w:rPr>
              <w:t>1.7</w:t>
            </w:r>
          </w:p>
        </w:tc>
        <w:tc>
          <w:tcPr>
            <w:tcW w:w="1014" w:type="dxa"/>
            <w:tcBorders>
              <w:top w:val="nil"/>
              <w:left w:val="nil"/>
              <w:bottom w:val="single" w:sz="4" w:space="0" w:color="auto"/>
              <w:right w:val="nil"/>
            </w:tcBorders>
            <w:shd w:val="clear" w:color="auto" w:fill="auto"/>
            <w:noWrap/>
            <w:vAlign w:val="center"/>
            <w:hideMark/>
          </w:tcPr>
          <w:p w14:paraId="0AB75A77" w14:textId="77777777" w:rsidR="00AC6AE5" w:rsidRPr="00A267BE" w:rsidRDefault="00AC6AE5" w:rsidP="00030D4A">
            <w:pPr>
              <w:jc w:val="right"/>
              <w:rPr>
                <w:rFonts w:ascii="Arial" w:hAnsi="Arial" w:cs="Arial"/>
                <w:i/>
                <w:iCs/>
                <w:sz w:val="18"/>
                <w:szCs w:val="18"/>
                <w:lang w:val="en-GB"/>
              </w:rPr>
            </w:pPr>
            <w:r w:rsidRPr="00A267BE">
              <w:rPr>
                <w:rFonts w:ascii="Arial" w:hAnsi="Arial" w:cs="Arial"/>
                <w:i/>
                <w:iCs/>
                <w:sz w:val="18"/>
                <w:szCs w:val="18"/>
                <w:lang w:val="en-GB"/>
              </w:rPr>
              <w:t>1.8</w:t>
            </w:r>
          </w:p>
        </w:tc>
        <w:tc>
          <w:tcPr>
            <w:tcW w:w="1015" w:type="dxa"/>
            <w:tcBorders>
              <w:top w:val="nil"/>
              <w:left w:val="nil"/>
              <w:bottom w:val="single" w:sz="4" w:space="0" w:color="auto"/>
              <w:right w:val="single" w:sz="4" w:space="0" w:color="auto"/>
            </w:tcBorders>
            <w:shd w:val="clear" w:color="auto" w:fill="auto"/>
            <w:noWrap/>
            <w:vAlign w:val="center"/>
            <w:hideMark/>
          </w:tcPr>
          <w:p w14:paraId="3716413A" w14:textId="77777777" w:rsidR="00AC6AE5" w:rsidRPr="00A267BE" w:rsidRDefault="00AC6AE5" w:rsidP="00030D4A">
            <w:pPr>
              <w:jc w:val="right"/>
              <w:rPr>
                <w:rFonts w:ascii="Arial" w:hAnsi="Arial" w:cs="Arial"/>
                <w:i/>
                <w:iCs/>
                <w:sz w:val="18"/>
                <w:szCs w:val="18"/>
                <w:lang w:val="en-GB"/>
              </w:rPr>
            </w:pPr>
            <w:r w:rsidRPr="00A267BE">
              <w:rPr>
                <w:rFonts w:ascii="Arial" w:hAnsi="Arial" w:cs="Arial"/>
                <w:i/>
                <w:iCs/>
                <w:sz w:val="18"/>
                <w:szCs w:val="18"/>
                <w:lang w:val="en-GB"/>
              </w:rPr>
              <w:t>2.0</w:t>
            </w:r>
          </w:p>
        </w:tc>
      </w:tr>
      <w:tr w:rsidR="00AC6AE5" w:rsidRPr="00A267BE" w14:paraId="545A449E" w14:textId="77777777" w:rsidTr="000C30BD">
        <w:trPr>
          <w:trHeight w:val="283"/>
          <w:jc w:val="center"/>
        </w:trPr>
        <w:tc>
          <w:tcPr>
            <w:tcW w:w="2299" w:type="dxa"/>
            <w:tcBorders>
              <w:top w:val="nil"/>
              <w:left w:val="single" w:sz="4" w:space="0" w:color="auto"/>
              <w:bottom w:val="nil"/>
              <w:right w:val="nil"/>
            </w:tcBorders>
            <w:shd w:val="clear" w:color="auto" w:fill="auto"/>
            <w:noWrap/>
            <w:vAlign w:val="center"/>
            <w:hideMark/>
          </w:tcPr>
          <w:p w14:paraId="4F994279" w14:textId="77777777" w:rsidR="00AC6AE5" w:rsidRPr="00A267BE" w:rsidRDefault="00AC6AE5" w:rsidP="009E6B1C">
            <w:pPr>
              <w:rPr>
                <w:rFonts w:ascii="Arial" w:hAnsi="Arial" w:cs="Arial"/>
                <w:b/>
                <w:bCs/>
                <w:sz w:val="18"/>
                <w:szCs w:val="18"/>
                <w:lang w:val="en-GB"/>
              </w:rPr>
            </w:pPr>
            <w:r w:rsidRPr="00A267BE">
              <w:rPr>
                <w:rFonts w:ascii="Arial" w:hAnsi="Arial" w:cs="Arial"/>
                <w:b/>
                <w:bCs/>
                <w:sz w:val="18"/>
                <w:szCs w:val="18"/>
                <w:lang w:val="en-GB"/>
              </w:rPr>
              <w:t xml:space="preserve">Profit/Loss </w:t>
            </w:r>
            <w:r w:rsidR="009E6B1C">
              <w:rPr>
                <w:rFonts w:ascii="Arial" w:hAnsi="Arial" w:cs="Arial"/>
                <w:b/>
                <w:bCs/>
                <w:sz w:val="18"/>
                <w:szCs w:val="18"/>
                <w:lang w:val="en-GB"/>
              </w:rPr>
              <w:t>N</w:t>
            </w:r>
            <w:r w:rsidRPr="00A267BE">
              <w:rPr>
                <w:rFonts w:ascii="Arial" w:hAnsi="Arial" w:cs="Arial"/>
                <w:b/>
                <w:bCs/>
                <w:sz w:val="18"/>
                <w:szCs w:val="18"/>
                <w:lang w:val="en-GB"/>
              </w:rPr>
              <w:t xml:space="preserve">et </w:t>
            </w:r>
            <w:r w:rsidR="009E6B1C">
              <w:rPr>
                <w:rFonts w:ascii="Arial" w:hAnsi="Arial" w:cs="Arial"/>
                <w:b/>
                <w:bCs/>
                <w:sz w:val="18"/>
                <w:szCs w:val="18"/>
                <w:lang w:val="en-GB"/>
              </w:rPr>
              <w:t>I</w:t>
            </w:r>
            <w:r w:rsidRPr="00A267BE">
              <w:rPr>
                <w:rFonts w:ascii="Arial" w:hAnsi="Arial" w:cs="Arial"/>
                <w:b/>
                <w:bCs/>
                <w:sz w:val="18"/>
                <w:szCs w:val="18"/>
                <w:lang w:val="en-GB"/>
              </w:rPr>
              <w:t>ncome</w:t>
            </w:r>
          </w:p>
        </w:tc>
        <w:tc>
          <w:tcPr>
            <w:tcW w:w="1014" w:type="dxa"/>
            <w:tcBorders>
              <w:top w:val="nil"/>
              <w:left w:val="nil"/>
              <w:bottom w:val="nil"/>
              <w:right w:val="nil"/>
            </w:tcBorders>
            <w:shd w:val="clear" w:color="auto" w:fill="auto"/>
            <w:noWrap/>
            <w:vAlign w:val="center"/>
            <w:hideMark/>
          </w:tcPr>
          <w:p w14:paraId="45980AC7"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 </w:t>
            </w:r>
          </w:p>
        </w:tc>
        <w:tc>
          <w:tcPr>
            <w:tcW w:w="1014" w:type="dxa"/>
            <w:tcBorders>
              <w:top w:val="single" w:sz="4" w:space="0" w:color="auto"/>
              <w:left w:val="nil"/>
              <w:bottom w:val="nil"/>
            </w:tcBorders>
            <w:shd w:val="clear" w:color="auto" w:fill="auto"/>
            <w:noWrap/>
            <w:vAlign w:val="center"/>
            <w:hideMark/>
          </w:tcPr>
          <w:p w14:paraId="74E24091"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 </w:t>
            </w:r>
          </w:p>
        </w:tc>
        <w:tc>
          <w:tcPr>
            <w:tcW w:w="1014" w:type="dxa"/>
            <w:tcBorders>
              <w:top w:val="nil"/>
              <w:left w:val="nil"/>
              <w:bottom w:val="nil"/>
              <w:right w:val="nil"/>
            </w:tcBorders>
            <w:shd w:val="clear" w:color="auto" w:fill="auto"/>
            <w:noWrap/>
            <w:vAlign w:val="center"/>
            <w:hideMark/>
          </w:tcPr>
          <w:p w14:paraId="26D3F76F"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 </w:t>
            </w:r>
          </w:p>
        </w:tc>
        <w:tc>
          <w:tcPr>
            <w:tcW w:w="1014" w:type="dxa"/>
            <w:gridSpan w:val="2"/>
            <w:tcBorders>
              <w:top w:val="nil"/>
              <w:left w:val="single" w:sz="4" w:space="0" w:color="auto"/>
              <w:bottom w:val="nil"/>
              <w:right w:val="nil"/>
            </w:tcBorders>
            <w:shd w:val="clear" w:color="auto" w:fill="auto"/>
            <w:noWrap/>
            <w:vAlign w:val="center"/>
            <w:hideMark/>
          </w:tcPr>
          <w:p w14:paraId="2CC8216F" w14:textId="77777777" w:rsidR="00AC6AE5" w:rsidRPr="00A267BE" w:rsidRDefault="00AC6AE5" w:rsidP="00030D4A">
            <w:pPr>
              <w:jc w:val="right"/>
              <w:rPr>
                <w:rFonts w:ascii="Arial" w:hAnsi="Arial" w:cs="Arial"/>
                <w:b/>
                <w:bCs/>
                <w:i/>
                <w:iCs/>
                <w:sz w:val="18"/>
                <w:szCs w:val="18"/>
                <w:lang w:val="en-GB"/>
              </w:rPr>
            </w:pPr>
            <w:r w:rsidRPr="00A267BE">
              <w:rPr>
                <w:rFonts w:ascii="Arial" w:hAnsi="Arial" w:cs="Arial"/>
                <w:b/>
                <w:bCs/>
                <w:i/>
                <w:iCs/>
                <w:sz w:val="18"/>
                <w:szCs w:val="18"/>
                <w:lang w:val="en-GB"/>
              </w:rPr>
              <w:t> </w:t>
            </w:r>
          </w:p>
        </w:tc>
        <w:tc>
          <w:tcPr>
            <w:tcW w:w="1014" w:type="dxa"/>
            <w:tcBorders>
              <w:top w:val="nil"/>
              <w:left w:val="nil"/>
              <w:bottom w:val="nil"/>
              <w:right w:val="nil"/>
            </w:tcBorders>
            <w:shd w:val="clear" w:color="auto" w:fill="auto"/>
            <w:noWrap/>
            <w:vAlign w:val="center"/>
            <w:hideMark/>
          </w:tcPr>
          <w:p w14:paraId="14B77D70" w14:textId="77777777" w:rsidR="00AC6AE5" w:rsidRPr="00A267BE" w:rsidRDefault="00AC6AE5" w:rsidP="00030D4A">
            <w:pPr>
              <w:jc w:val="right"/>
              <w:rPr>
                <w:rFonts w:ascii="Arial" w:hAnsi="Arial" w:cs="Arial"/>
                <w:b/>
                <w:bCs/>
                <w:i/>
                <w:iCs/>
                <w:sz w:val="18"/>
                <w:szCs w:val="18"/>
                <w:lang w:val="en-GB"/>
              </w:rPr>
            </w:pPr>
            <w:r w:rsidRPr="00A267BE">
              <w:rPr>
                <w:rFonts w:ascii="Arial" w:hAnsi="Arial" w:cs="Arial"/>
                <w:b/>
                <w:bCs/>
                <w:i/>
                <w:iCs/>
                <w:sz w:val="18"/>
                <w:szCs w:val="18"/>
                <w:lang w:val="en-GB"/>
              </w:rPr>
              <w:t> </w:t>
            </w:r>
          </w:p>
        </w:tc>
        <w:tc>
          <w:tcPr>
            <w:tcW w:w="1015" w:type="dxa"/>
            <w:tcBorders>
              <w:top w:val="nil"/>
              <w:left w:val="nil"/>
              <w:bottom w:val="nil"/>
              <w:right w:val="single" w:sz="4" w:space="0" w:color="auto"/>
            </w:tcBorders>
            <w:shd w:val="clear" w:color="auto" w:fill="auto"/>
            <w:noWrap/>
            <w:vAlign w:val="center"/>
            <w:hideMark/>
          </w:tcPr>
          <w:p w14:paraId="5E53EA8E" w14:textId="77777777" w:rsidR="00AC6AE5" w:rsidRPr="00A267BE" w:rsidRDefault="00AC6AE5" w:rsidP="00030D4A">
            <w:pPr>
              <w:jc w:val="right"/>
              <w:rPr>
                <w:rFonts w:ascii="Arial" w:hAnsi="Arial" w:cs="Arial"/>
                <w:b/>
                <w:bCs/>
                <w:i/>
                <w:iCs/>
                <w:sz w:val="18"/>
                <w:szCs w:val="18"/>
                <w:lang w:val="en-GB"/>
              </w:rPr>
            </w:pPr>
            <w:r w:rsidRPr="00A267BE">
              <w:rPr>
                <w:rFonts w:ascii="Arial" w:hAnsi="Arial" w:cs="Arial"/>
                <w:b/>
                <w:bCs/>
                <w:i/>
                <w:iCs/>
                <w:sz w:val="18"/>
                <w:szCs w:val="18"/>
                <w:lang w:val="en-GB"/>
              </w:rPr>
              <w:t> </w:t>
            </w:r>
          </w:p>
        </w:tc>
      </w:tr>
      <w:tr w:rsidR="00AC6AE5" w:rsidRPr="00A267BE" w14:paraId="3F32D3FC" w14:textId="77777777" w:rsidTr="000C30BD">
        <w:trPr>
          <w:trHeight w:val="283"/>
          <w:jc w:val="center"/>
        </w:trPr>
        <w:tc>
          <w:tcPr>
            <w:tcW w:w="2299" w:type="dxa"/>
            <w:tcBorders>
              <w:top w:val="nil"/>
              <w:left w:val="single" w:sz="4" w:space="0" w:color="auto"/>
              <w:bottom w:val="nil"/>
              <w:right w:val="nil"/>
            </w:tcBorders>
            <w:shd w:val="clear" w:color="auto" w:fill="auto"/>
            <w:noWrap/>
            <w:vAlign w:val="center"/>
            <w:hideMark/>
          </w:tcPr>
          <w:p w14:paraId="260744FB" w14:textId="77777777" w:rsidR="00AC6AE5" w:rsidRPr="00A267BE" w:rsidRDefault="00AC6AE5" w:rsidP="00030D4A">
            <w:pPr>
              <w:rPr>
                <w:rFonts w:ascii="Arial" w:hAnsi="Arial" w:cs="Arial"/>
                <w:sz w:val="18"/>
                <w:szCs w:val="18"/>
                <w:lang w:val="en-GB"/>
              </w:rPr>
            </w:pPr>
            <w:r w:rsidRPr="00A267BE">
              <w:rPr>
                <w:rFonts w:ascii="Arial" w:hAnsi="Arial" w:cs="Arial"/>
                <w:sz w:val="18"/>
                <w:szCs w:val="18"/>
                <w:lang w:val="en-GB"/>
              </w:rPr>
              <w:t xml:space="preserve">PharmaCorp Ukraine </w:t>
            </w:r>
          </w:p>
        </w:tc>
        <w:tc>
          <w:tcPr>
            <w:tcW w:w="1014" w:type="dxa"/>
            <w:tcBorders>
              <w:top w:val="nil"/>
              <w:left w:val="nil"/>
              <w:bottom w:val="nil"/>
              <w:right w:val="nil"/>
            </w:tcBorders>
            <w:shd w:val="clear" w:color="auto" w:fill="auto"/>
            <w:noWrap/>
            <w:vAlign w:val="center"/>
            <w:hideMark/>
          </w:tcPr>
          <w:p w14:paraId="7FEE1404"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20,620</w:t>
            </w:r>
          </w:p>
        </w:tc>
        <w:tc>
          <w:tcPr>
            <w:tcW w:w="1014" w:type="dxa"/>
            <w:tcBorders>
              <w:top w:val="nil"/>
              <w:left w:val="nil"/>
            </w:tcBorders>
            <w:shd w:val="clear" w:color="auto" w:fill="auto"/>
            <w:noWrap/>
            <w:vAlign w:val="center"/>
            <w:hideMark/>
          </w:tcPr>
          <w:p w14:paraId="6B82DE8D" w14:textId="77777777" w:rsidR="00AC6AE5" w:rsidRPr="00A267BE" w:rsidRDefault="00AC6AE5" w:rsidP="00030D4A">
            <w:pPr>
              <w:jc w:val="right"/>
              <w:rPr>
                <w:rFonts w:ascii="Arial" w:hAnsi="Arial" w:cs="Arial"/>
                <w:sz w:val="18"/>
                <w:szCs w:val="18"/>
                <w:lang w:val="en-GB"/>
              </w:rPr>
            </w:pPr>
            <w:r w:rsidRPr="00A267BE">
              <w:rPr>
                <w:rFonts w:ascii="Arial" w:hAnsi="Arial" w:cs="Arial"/>
                <w:sz w:val="18"/>
                <w:szCs w:val="18"/>
                <w:lang w:val="en-GB"/>
              </w:rPr>
              <w:t>26,346</w:t>
            </w:r>
          </w:p>
        </w:tc>
        <w:tc>
          <w:tcPr>
            <w:tcW w:w="1014" w:type="dxa"/>
            <w:tcBorders>
              <w:top w:val="nil"/>
              <w:left w:val="nil"/>
              <w:bottom w:val="nil"/>
              <w:right w:val="nil"/>
            </w:tcBorders>
            <w:shd w:val="clear" w:color="auto" w:fill="auto"/>
            <w:noWrap/>
            <w:vAlign w:val="center"/>
            <w:hideMark/>
          </w:tcPr>
          <w:p w14:paraId="16A0C63B" w14:textId="77777777" w:rsidR="00AC6AE5" w:rsidRPr="00A267BE" w:rsidRDefault="00210874" w:rsidP="00030D4A">
            <w:pPr>
              <w:jc w:val="right"/>
              <w:rPr>
                <w:rFonts w:ascii="Arial" w:hAnsi="Arial" w:cs="Arial"/>
                <w:sz w:val="18"/>
                <w:szCs w:val="18"/>
                <w:lang w:val="en-GB"/>
              </w:rPr>
            </w:pPr>
            <w:r>
              <w:rPr>
                <w:rFonts w:ascii="Arial" w:hAnsi="Arial" w:cs="Arial"/>
                <w:sz w:val="18"/>
                <w:szCs w:val="18"/>
                <w:lang w:val="en-GB"/>
              </w:rPr>
              <w:t>–</w:t>
            </w:r>
            <w:r w:rsidR="00AC6AE5" w:rsidRPr="00A267BE">
              <w:rPr>
                <w:rFonts w:ascii="Arial" w:hAnsi="Arial" w:cs="Arial"/>
                <w:sz w:val="18"/>
                <w:szCs w:val="18"/>
                <w:lang w:val="en-GB"/>
              </w:rPr>
              <w:t>4,459</w:t>
            </w:r>
          </w:p>
        </w:tc>
        <w:tc>
          <w:tcPr>
            <w:tcW w:w="1014" w:type="dxa"/>
            <w:gridSpan w:val="2"/>
            <w:tcBorders>
              <w:top w:val="nil"/>
              <w:left w:val="single" w:sz="4" w:space="0" w:color="auto"/>
              <w:bottom w:val="nil"/>
              <w:right w:val="nil"/>
            </w:tcBorders>
            <w:shd w:val="clear" w:color="auto" w:fill="auto"/>
            <w:noWrap/>
            <w:vAlign w:val="center"/>
            <w:hideMark/>
          </w:tcPr>
          <w:p w14:paraId="30E1746A" w14:textId="77777777" w:rsidR="00AC6AE5" w:rsidRPr="00A267BE" w:rsidRDefault="00210874" w:rsidP="00030D4A">
            <w:pPr>
              <w:jc w:val="right"/>
              <w:rPr>
                <w:rFonts w:ascii="Arial" w:hAnsi="Arial" w:cs="Arial"/>
                <w:i/>
                <w:iCs/>
                <w:sz w:val="18"/>
                <w:szCs w:val="18"/>
                <w:lang w:val="en-GB"/>
              </w:rPr>
            </w:pPr>
            <w:r>
              <w:rPr>
                <w:rFonts w:ascii="Arial" w:hAnsi="Arial" w:cs="Arial"/>
                <w:i/>
                <w:iCs/>
                <w:sz w:val="18"/>
                <w:szCs w:val="18"/>
                <w:lang w:val="en-GB"/>
              </w:rPr>
              <w:t>–</w:t>
            </w:r>
            <w:r w:rsidR="00AC6AE5" w:rsidRPr="00A267BE">
              <w:rPr>
                <w:rFonts w:ascii="Arial" w:hAnsi="Arial" w:cs="Arial"/>
                <w:i/>
                <w:iCs/>
                <w:sz w:val="18"/>
                <w:szCs w:val="18"/>
                <w:lang w:val="en-GB"/>
              </w:rPr>
              <w:t>5,000</w:t>
            </w:r>
          </w:p>
        </w:tc>
        <w:tc>
          <w:tcPr>
            <w:tcW w:w="1014" w:type="dxa"/>
            <w:tcBorders>
              <w:top w:val="nil"/>
              <w:left w:val="nil"/>
              <w:bottom w:val="nil"/>
              <w:right w:val="nil"/>
            </w:tcBorders>
            <w:shd w:val="clear" w:color="auto" w:fill="auto"/>
            <w:noWrap/>
            <w:vAlign w:val="center"/>
            <w:hideMark/>
          </w:tcPr>
          <w:p w14:paraId="543BDC13" w14:textId="77777777" w:rsidR="00AC6AE5" w:rsidRPr="00A267BE" w:rsidRDefault="00AC6AE5" w:rsidP="00030D4A">
            <w:pPr>
              <w:jc w:val="right"/>
              <w:rPr>
                <w:rFonts w:ascii="Arial" w:hAnsi="Arial" w:cs="Arial"/>
                <w:i/>
                <w:iCs/>
                <w:sz w:val="18"/>
                <w:szCs w:val="18"/>
                <w:lang w:val="en-GB"/>
              </w:rPr>
            </w:pPr>
            <w:r w:rsidRPr="00A267BE">
              <w:rPr>
                <w:rFonts w:ascii="Arial" w:hAnsi="Arial" w:cs="Arial"/>
                <w:i/>
                <w:iCs/>
                <w:sz w:val="18"/>
                <w:szCs w:val="18"/>
                <w:lang w:val="en-GB"/>
              </w:rPr>
              <w:t>0</w:t>
            </w:r>
          </w:p>
        </w:tc>
        <w:tc>
          <w:tcPr>
            <w:tcW w:w="1015" w:type="dxa"/>
            <w:tcBorders>
              <w:top w:val="nil"/>
              <w:left w:val="nil"/>
              <w:bottom w:val="nil"/>
              <w:right w:val="single" w:sz="4" w:space="0" w:color="auto"/>
            </w:tcBorders>
            <w:shd w:val="clear" w:color="auto" w:fill="auto"/>
            <w:noWrap/>
            <w:vAlign w:val="center"/>
            <w:hideMark/>
          </w:tcPr>
          <w:p w14:paraId="1776AF61" w14:textId="77777777" w:rsidR="00AC6AE5" w:rsidRPr="00A267BE" w:rsidRDefault="00AC6AE5" w:rsidP="00030D4A">
            <w:pPr>
              <w:jc w:val="right"/>
              <w:rPr>
                <w:rFonts w:ascii="Arial" w:hAnsi="Arial" w:cs="Arial"/>
                <w:i/>
                <w:iCs/>
                <w:sz w:val="18"/>
                <w:szCs w:val="18"/>
                <w:lang w:val="en-GB"/>
              </w:rPr>
            </w:pPr>
            <w:r w:rsidRPr="00A267BE">
              <w:rPr>
                <w:rFonts w:ascii="Arial" w:hAnsi="Arial" w:cs="Arial"/>
                <w:i/>
                <w:iCs/>
                <w:sz w:val="18"/>
                <w:szCs w:val="18"/>
                <w:lang w:val="en-GB"/>
              </w:rPr>
              <w:t>0</w:t>
            </w:r>
          </w:p>
        </w:tc>
      </w:tr>
      <w:tr w:rsidR="00AC6AE5" w:rsidRPr="00A267BE" w14:paraId="5895B8BB" w14:textId="77777777" w:rsidTr="000C30BD">
        <w:trPr>
          <w:trHeight w:val="283"/>
          <w:jc w:val="center"/>
        </w:trPr>
        <w:tc>
          <w:tcPr>
            <w:tcW w:w="2299" w:type="dxa"/>
            <w:tcBorders>
              <w:top w:val="nil"/>
              <w:left w:val="single" w:sz="4" w:space="0" w:color="auto"/>
              <w:bottom w:val="single" w:sz="4" w:space="0" w:color="auto"/>
              <w:right w:val="nil"/>
            </w:tcBorders>
            <w:shd w:val="clear" w:color="auto" w:fill="auto"/>
            <w:noWrap/>
            <w:vAlign w:val="center"/>
            <w:hideMark/>
          </w:tcPr>
          <w:p w14:paraId="1BFB49C9" w14:textId="77777777" w:rsidR="00AC6AE5" w:rsidRPr="00A267BE" w:rsidRDefault="00AC6AE5" w:rsidP="00030D4A">
            <w:pPr>
              <w:rPr>
                <w:rFonts w:ascii="Arial" w:hAnsi="Arial" w:cs="Arial"/>
                <w:i/>
                <w:sz w:val="18"/>
                <w:szCs w:val="18"/>
                <w:lang w:val="en-GB"/>
              </w:rPr>
            </w:pPr>
            <w:r w:rsidRPr="00A267BE">
              <w:rPr>
                <w:rFonts w:ascii="Arial" w:hAnsi="Arial" w:cs="Arial"/>
                <w:i/>
                <w:sz w:val="18"/>
                <w:szCs w:val="18"/>
                <w:lang w:val="en-GB"/>
              </w:rPr>
              <w:t>Target RHQ</w:t>
            </w:r>
          </w:p>
        </w:tc>
        <w:tc>
          <w:tcPr>
            <w:tcW w:w="1014" w:type="dxa"/>
            <w:tcBorders>
              <w:top w:val="nil"/>
              <w:left w:val="nil"/>
              <w:bottom w:val="single" w:sz="4" w:space="0" w:color="auto"/>
              <w:right w:val="nil"/>
            </w:tcBorders>
            <w:shd w:val="clear" w:color="auto" w:fill="auto"/>
            <w:noWrap/>
            <w:vAlign w:val="center"/>
            <w:hideMark/>
          </w:tcPr>
          <w:p w14:paraId="124A5254"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20,000</w:t>
            </w:r>
          </w:p>
        </w:tc>
        <w:tc>
          <w:tcPr>
            <w:tcW w:w="1014" w:type="dxa"/>
            <w:tcBorders>
              <w:top w:val="nil"/>
              <w:left w:val="nil"/>
              <w:bottom w:val="single" w:sz="4" w:space="0" w:color="auto"/>
            </w:tcBorders>
            <w:shd w:val="clear" w:color="auto" w:fill="auto"/>
            <w:noWrap/>
            <w:vAlign w:val="center"/>
            <w:hideMark/>
          </w:tcPr>
          <w:p w14:paraId="48451DBB"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25,000</w:t>
            </w:r>
          </w:p>
        </w:tc>
        <w:tc>
          <w:tcPr>
            <w:tcW w:w="1014" w:type="dxa"/>
            <w:tcBorders>
              <w:top w:val="nil"/>
              <w:left w:val="nil"/>
              <w:bottom w:val="single" w:sz="4" w:space="0" w:color="auto"/>
              <w:right w:val="nil"/>
            </w:tcBorders>
            <w:shd w:val="clear" w:color="auto" w:fill="auto"/>
            <w:noWrap/>
            <w:vAlign w:val="center"/>
            <w:hideMark/>
          </w:tcPr>
          <w:p w14:paraId="1E927823" w14:textId="77777777" w:rsidR="00AC6AE5" w:rsidRPr="00A267BE" w:rsidRDefault="00AC6AE5" w:rsidP="00030D4A">
            <w:pPr>
              <w:jc w:val="right"/>
              <w:rPr>
                <w:rFonts w:ascii="Arial" w:hAnsi="Arial" w:cs="Arial"/>
                <w:i/>
                <w:sz w:val="18"/>
                <w:szCs w:val="18"/>
                <w:lang w:val="en-GB"/>
              </w:rPr>
            </w:pPr>
            <w:r w:rsidRPr="00A267BE">
              <w:rPr>
                <w:rFonts w:ascii="Arial" w:hAnsi="Arial" w:cs="Arial"/>
                <w:i/>
                <w:sz w:val="18"/>
                <w:szCs w:val="18"/>
                <w:lang w:val="en-GB"/>
              </w:rPr>
              <w:t>26,000</w:t>
            </w:r>
          </w:p>
        </w:tc>
        <w:tc>
          <w:tcPr>
            <w:tcW w:w="1014" w:type="dxa"/>
            <w:gridSpan w:val="2"/>
            <w:tcBorders>
              <w:top w:val="nil"/>
              <w:left w:val="single" w:sz="4" w:space="0" w:color="auto"/>
              <w:bottom w:val="single" w:sz="4" w:space="0" w:color="auto"/>
              <w:right w:val="nil"/>
            </w:tcBorders>
            <w:shd w:val="clear" w:color="auto" w:fill="auto"/>
            <w:noWrap/>
            <w:vAlign w:val="center"/>
            <w:hideMark/>
          </w:tcPr>
          <w:p w14:paraId="74178B16" w14:textId="77777777" w:rsidR="00AC6AE5" w:rsidRPr="00A267BE" w:rsidRDefault="00AC6AE5" w:rsidP="00030D4A">
            <w:pPr>
              <w:jc w:val="right"/>
              <w:rPr>
                <w:rFonts w:ascii="Arial" w:hAnsi="Arial" w:cs="Arial"/>
                <w:i/>
                <w:iCs/>
                <w:sz w:val="18"/>
                <w:szCs w:val="18"/>
                <w:lang w:val="en-GB"/>
              </w:rPr>
            </w:pPr>
            <w:r w:rsidRPr="00A267BE">
              <w:rPr>
                <w:rFonts w:ascii="Arial" w:hAnsi="Arial" w:cs="Arial"/>
                <w:i/>
                <w:iCs/>
                <w:sz w:val="18"/>
                <w:szCs w:val="18"/>
                <w:lang w:val="en-GB"/>
              </w:rPr>
              <w:t>0</w:t>
            </w:r>
          </w:p>
        </w:tc>
        <w:tc>
          <w:tcPr>
            <w:tcW w:w="1014" w:type="dxa"/>
            <w:tcBorders>
              <w:top w:val="nil"/>
              <w:left w:val="nil"/>
              <w:bottom w:val="single" w:sz="4" w:space="0" w:color="auto"/>
              <w:right w:val="nil"/>
            </w:tcBorders>
            <w:shd w:val="clear" w:color="auto" w:fill="auto"/>
            <w:noWrap/>
            <w:vAlign w:val="center"/>
            <w:hideMark/>
          </w:tcPr>
          <w:p w14:paraId="463FC9EC" w14:textId="77777777" w:rsidR="00AC6AE5" w:rsidRPr="00A267BE" w:rsidRDefault="00AC6AE5" w:rsidP="00030D4A">
            <w:pPr>
              <w:jc w:val="right"/>
              <w:rPr>
                <w:rFonts w:ascii="Arial" w:hAnsi="Arial" w:cs="Arial"/>
                <w:i/>
                <w:iCs/>
                <w:sz w:val="18"/>
                <w:szCs w:val="18"/>
                <w:lang w:val="en-GB"/>
              </w:rPr>
            </w:pPr>
            <w:r w:rsidRPr="00A267BE">
              <w:rPr>
                <w:rFonts w:ascii="Arial" w:hAnsi="Arial" w:cs="Arial"/>
                <w:i/>
                <w:iCs/>
                <w:sz w:val="18"/>
                <w:szCs w:val="18"/>
                <w:lang w:val="en-GB"/>
              </w:rPr>
              <w:t>9,000</w:t>
            </w:r>
          </w:p>
        </w:tc>
        <w:tc>
          <w:tcPr>
            <w:tcW w:w="1015" w:type="dxa"/>
            <w:tcBorders>
              <w:top w:val="nil"/>
              <w:left w:val="nil"/>
              <w:bottom w:val="single" w:sz="4" w:space="0" w:color="auto"/>
              <w:right w:val="single" w:sz="4" w:space="0" w:color="auto"/>
            </w:tcBorders>
            <w:shd w:val="clear" w:color="auto" w:fill="auto"/>
            <w:noWrap/>
            <w:vAlign w:val="center"/>
            <w:hideMark/>
          </w:tcPr>
          <w:p w14:paraId="18323130" w14:textId="77777777" w:rsidR="00AC6AE5" w:rsidRPr="00A267BE" w:rsidRDefault="00AC6AE5" w:rsidP="00030D4A">
            <w:pPr>
              <w:jc w:val="right"/>
              <w:rPr>
                <w:rFonts w:ascii="Arial" w:hAnsi="Arial" w:cs="Arial"/>
                <w:i/>
                <w:iCs/>
                <w:sz w:val="18"/>
                <w:szCs w:val="18"/>
                <w:lang w:val="en-GB"/>
              </w:rPr>
            </w:pPr>
            <w:r w:rsidRPr="00A267BE">
              <w:rPr>
                <w:rFonts w:ascii="Arial" w:hAnsi="Arial" w:cs="Arial"/>
                <w:i/>
                <w:iCs/>
                <w:sz w:val="18"/>
                <w:szCs w:val="18"/>
                <w:lang w:val="en-GB"/>
              </w:rPr>
              <w:t>15,000</w:t>
            </w:r>
          </w:p>
        </w:tc>
      </w:tr>
    </w:tbl>
    <w:p w14:paraId="02DCC3EA" w14:textId="77777777" w:rsidR="00AC6AE5" w:rsidRPr="00AB518B" w:rsidRDefault="00AC6AE5" w:rsidP="00AC6AE5">
      <w:pPr>
        <w:pStyle w:val="BodyTextMain"/>
        <w:rPr>
          <w:sz w:val="16"/>
          <w:lang w:val="en-GB"/>
        </w:rPr>
      </w:pPr>
    </w:p>
    <w:p w14:paraId="6A54A3A6" w14:textId="77777777" w:rsidR="00210874" w:rsidRDefault="00210874" w:rsidP="00AC6AE5">
      <w:pPr>
        <w:pStyle w:val="Footnote"/>
        <w:rPr>
          <w:lang w:val="en-GB"/>
        </w:rPr>
      </w:pPr>
      <w:r>
        <w:rPr>
          <w:lang w:val="en-GB"/>
        </w:rPr>
        <w:t>No</w:t>
      </w:r>
      <w:r w:rsidR="009E6B1C">
        <w:rPr>
          <w:lang w:val="en-GB"/>
        </w:rPr>
        <w:t xml:space="preserve">te: RHQ = </w:t>
      </w:r>
      <w:r w:rsidR="00F32744">
        <w:rPr>
          <w:lang w:val="en-GB"/>
        </w:rPr>
        <w:t>r</w:t>
      </w:r>
      <w:r w:rsidR="009E6B1C">
        <w:rPr>
          <w:lang w:val="en-GB"/>
        </w:rPr>
        <w:t xml:space="preserve">egional </w:t>
      </w:r>
      <w:r w:rsidR="00F32744">
        <w:rPr>
          <w:lang w:val="en-GB"/>
        </w:rPr>
        <w:t>h</w:t>
      </w:r>
      <w:r w:rsidR="009E6B1C">
        <w:rPr>
          <w:lang w:val="en-GB"/>
        </w:rPr>
        <w:t>eadquarters</w:t>
      </w:r>
    </w:p>
    <w:p w14:paraId="4C1707A0" w14:textId="77777777" w:rsidR="00AC6AE5" w:rsidRPr="00A267BE" w:rsidRDefault="00AC6AE5" w:rsidP="00306CD7">
      <w:pPr>
        <w:pStyle w:val="Footnote"/>
        <w:rPr>
          <w:lang w:val="en-GB"/>
        </w:rPr>
      </w:pPr>
      <w:r w:rsidRPr="00A267BE">
        <w:rPr>
          <w:lang w:val="en-GB"/>
        </w:rPr>
        <w:t>Source: Authors’ estimates.</w:t>
      </w:r>
      <w:r w:rsidRPr="00A267BE">
        <w:rPr>
          <w:lang w:val="en-GB"/>
        </w:rPr>
        <w:br w:type="page"/>
      </w:r>
    </w:p>
    <w:p w14:paraId="2A8C5A52" w14:textId="77777777" w:rsidR="00AC6AE5" w:rsidRPr="00A267BE" w:rsidRDefault="00AC6AE5" w:rsidP="000C30BD">
      <w:pPr>
        <w:pStyle w:val="Casehead1"/>
        <w:jc w:val="center"/>
        <w:rPr>
          <w:lang w:val="en-GB"/>
        </w:rPr>
      </w:pPr>
      <w:r w:rsidRPr="00A267BE">
        <w:rPr>
          <w:lang w:val="en-GB"/>
        </w:rPr>
        <w:lastRenderedPageBreak/>
        <w:t>EXHIBIT 3: UKRAINE ECONOMIC DEVELOPMENT</w:t>
      </w:r>
      <w:r w:rsidR="00C70DBE">
        <w:rPr>
          <w:lang w:val="en-GB"/>
        </w:rPr>
        <w:t xml:space="preserve"> </w:t>
      </w:r>
      <w:r w:rsidRPr="00A267BE">
        <w:rPr>
          <w:lang w:val="en-GB"/>
        </w:rPr>
        <w:t>Overview</w:t>
      </w:r>
      <w:r w:rsidR="00C70DBE">
        <w:rPr>
          <w:lang w:val="en-GB"/>
        </w:rPr>
        <w:t>,</w:t>
      </w:r>
      <w:r w:rsidRPr="00A267BE">
        <w:rPr>
          <w:lang w:val="en-GB"/>
        </w:rPr>
        <w:t xml:space="preserve"> 2010</w:t>
      </w:r>
      <w:r w:rsidR="00C70DBE">
        <w:rPr>
          <w:lang w:val="en-GB"/>
        </w:rPr>
        <w:t>–</w:t>
      </w:r>
      <w:r w:rsidRPr="00A267BE">
        <w:rPr>
          <w:lang w:val="en-GB"/>
        </w:rPr>
        <w:t>2015</w:t>
      </w:r>
    </w:p>
    <w:p w14:paraId="6571C36B" w14:textId="77777777" w:rsidR="000C30BD" w:rsidRPr="00A267BE" w:rsidRDefault="000C30BD" w:rsidP="000C30BD">
      <w:pPr>
        <w:pStyle w:val="Casehead1"/>
        <w:jc w:val="center"/>
        <w:rPr>
          <w:lang w:val="en-GB"/>
        </w:rPr>
      </w:pPr>
    </w:p>
    <w:tbl>
      <w:tblPr>
        <w:tblW w:w="8734" w:type="dxa"/>
        <w:jc w:val="center"/>
        <w:tblLayout w:type="fixed"/>
        <w:tblLook w:val="04A0" w:firstRow="1" w:lastRow="0" w:firstColumn="1" w:lastColumn="0" w:noHBand="0" w:noVBand="1"/>
      </w:tblPr>
      <w:tblGrid>
        <w:gridCol w:w="3039"/>
        <w:gridCol w:w="949"/>
        <w:gridCol w:w="949"/>
        <w:gridCol w:w="949"/>
        <w:gridCol w:w="949"/>
        <w:gridCol w:w="949"/>
        <w:gridCol w:w="950"/>
      </w:tblGrid>
      <w:tr w:rsidR="00AC6AE5" w:rsidRPr="00A267BE" w14:paraId="6AACD5CE" w14:textId="77777777" w:rsidTr="00F32744">
        <w:trPr>
          <w:trHeight w:val="283"/>
          <w:jc w:val="center"/>
        </w:trPr>
        <w:tc>
          <w:tcPr>
            <w:tcW w:w="3039" w:type="dxa"/>
            <w:tcBorders>
              <w:top w:val="single" w:sz="4" w:space="0" w:color="auto"/>
              <w:left w:val="single" w:sz="4" w:space="0" w:color="auto"/>
              <w:bottom w:val="single" w:sz="4" w:space="0" w:color="auto"/>
            </w:tcBorders>
            <w:shd w:val="clear" w:color="auto" w:fill="auto"/>
            <w:noWrap/>
            <w:vAlign w:val="center"/>
            <w:hideMark/>
          </w:tcPr>
          <w:p w14:paraId="5862D296" w14:textId="77777777" w:rsidR="00AC6AE5" w:rsidRPr="00A267BE" w:rsidRDefault="00AC6AE5" w:rsidP="00030D4A">
            <w:pPr>
              <w:jc w:val="center"/>
              <w:rPr>
                <w:rFonts w:ascii="Arial" w:hAnsi="Arial" w:cs="Arial"/>
                <w:b/>
                <w:sz w:val="18"/>
                <w:szCs w:val="18"/>
                <w:lang w:val="en-GB"/>
              </w:rPr>
            </w:pPr>
          </w:p>
        </w:tc>
        <w:tc>
          <w:tcPr>
            <w:tcW w:w="949" w:type="dxa"/>
            <w:tcBorders>
              <w:top w:val="single" w:sz="4" w:space="0" w:color="auto"/>
              <w:bottom w:val="single" w:sz="4" w:space="0" w:color="auto"/>
            </w:tcBorders>
            <w:shd w:val="clear" w:color="auto" w:fill="auto"/>
            <w:noWrap/>
            <w:vAlign w:val="center"/>
            <w:hideMark/>
          </w:tcPr>
          <w:p w14:paraId="6235A1DA" w14:textId="77777777" w:rsidR="00AC6AE5" w:rsidRPr="00A267BE" w:rsidRDefault="00AC6AE5" w:rsidP="00C031FF">
            <w:pPr>
              <w:jc w:val="right"/>
              <w:rPr>
                <w:rFonts w:ascii="Arial" w:hAnsi="Arial" w:cs="Arial"/>
                <w:b/>
                <w:sz w:val="18"/>
                <w:szCs w:val="18"/>
                <w:lang w:val="en-GB"/>
              </w:rPr>
            </w:pPr>
            <w:r w:rsidRPr="00A267BE">
              <w:rPr>
                <w:rFonts w:ascii="Arial" w:hAnsi="Arial" w:cs="Arial"/>
                <w:b/>
                <w:sz w:val="18"/>
                <w:szCs w:val="18"/>
                <w:lang w:val="en-GB"/>
              </w:rPr>
              <w:t>2010</w:t>
            </w:r>
          </w:p>
        </w:tc>
        <w:tc>
          <w:tcPr>
            <w:tcW w:w="949" w:type="dxa"/>
            <w:tcBorders>
              <w:top w:val="single" w:sz="4" w:space="0" w:color="auto"/>
              <w:bottom w:val="single" w:sz="4" w:space="0" w:color="auto"/>
            </w:tcBorders>
            <w:shd w:val="clear" w:color="auto" w:fill="auto"/>
            <w:noWrap/>
            <w:vAlign w:val="center"/>
            <w:hideMark/>
          </w:tcPr>
          <w:p w14:paraId="3E8F0E79" w14:textId="77777777" w:rsidR="00AC6AE5" w:rsidRPr="00A267BE" w:rsidRDefault="00AC6AE5" w:rsidP="00C031FF">
            <w:pPr>
              <w:jc w:val="right"/>
              <w:rPr>
                <w:rFonts w:ascii="Arial" w:hAnsi="Arial" w:cs="Arial"/>
                <w:b/>
                <w:sz w:val="18"/>
                <w:szCs w:val="18"/>
                <w:lang w:val="en-GB"/>
              </w:rPr>
            </w:pPr>
            <w:r w:rsidRPr="00A267BE">
              <w:rPr>
                <w:rFonts w:ascii="Arial" w:hAnsi="Arial" w:cs="Arial"/>
                <w:b/>
                <w:sz w:val="18"/>
                <w:szCs w:val="18"/>
                <w:lang w:val="en-GB"/>
              </w:rPr>
              <w:t>2011</w:t>
            </w:r>
          </w:p>
        </w:tc>
        <w:tc>
          <w:tcPr>
            <w:tcW w:w="949" w:type="dxa"/>
            <w:tcBorders>
              <w:top w:val="single" w:sz="4" w:space="0" w:color="auto"/>
              <w:bottom w:val="single" w:sz="4" w:space="0" w:color="auto"/>
            </w:tcBorders>
            <w:shd w:val="clear" w:color="auto" w:fill="auto"/>
            <w:noWrap/>
            <w:vAlign w:val="center"/>
            <w:hideMark/>
          </w:tcPr>
          <w:p w14:paraId="112B0F7A" w14:textId="77777777" w:rsidR="00AC6AE5" w:rsidRPr="00A267BE" w:rsidRDefault="00AC6AE5" w:rsidP="00C031FF">
            <w:pPr>
              <w:jc w:val="right"/>
              <w:rPr>
                <w:rFonts w:ascii="Arial" w:hAnsi="Arial" w:cs="Arial"/>
                <w:b/>
                <w:sz w:val="18"/>
                <w:szCs w:val="18"/>
                <w:lang w:val="en-GB"/>
              </w:rPr>
            </w:pPr>
            <w:r w:rsidRPr="00A267BE">
              <w:rPr>
                <w:rFonts w:ascii="Arial" w:hAnsi="Arial" w:cs="Arial"/>
                <w:b/>
                <w:sz w:val="18"/>
                <w:szCs w:val="18"/>
                <w:lang w:val="en-GB"/>
              </w:rPr>
              <w:t>2012</w:t>
            </w:r>
          </w:p>
        </w:tc>
        <w:tc>
          <w:tcPr>
            <w:tcW w:w="949" w:type="dxa"/>
            <w:tcBorders>
              <w:top w:val="single" w:sz="4" w:space="0" w:color="auto"/>
              <w:bottom w:val="single" w:sz="4" w:space="0" w:color="auto"/>
            </w:tcBorders>
            <w:shd w:val="clear" w:color="auto" w:fill="auto"/>
            <w:noWrap/>
            <w:vAlign w:val="center"/>
            <w:hideMark/>
          </w:tcPr>
          <w:p w14:paraId="3BFD74CA" w14:textId="77777777" w:rsidR="00AC6AE5" w:rsidRPr="00A267BE" w:rsidRDefault="00AC6AE5" w:rsidP="00C031FF">
            <w:pPr>
              <w:jc w:val="right"/>
              <w:rPr>
                <w:rFonts w:ascii="Arial" w:hAnsi="Arial" w:cs="Arial"/>
                <w:b/>
                <w:sz w:val="18"/>
                <w:szCs w:val="18"/>
                <w:lang w:val="en-GB"/>
              </w:rPr>
            </w:pPr>
            <w:r w:rsidRPr="00A267BE">
              <w:rPr>
                <w:rFonts w:ascii="Arial" w:hAnsi="Arial" w:cs="Arial"/>
                <w:b/>
                <w:sz w:val="18"/>
                <w:szCs w:val="18"/>
                <w:lang w:val="en-GB"/>
              </w:rPr>
              <w:t>2013</w:t>
            </w:r>
          </w:p>
        </w:tc>
        <w:tc>
          <w:tcPr>
            <w:tcW w:w="949" w:type="dxa"/>
            <w:tcBorders>
              <w:top w:val="single" w:sz="4" w:space="0" w:color="auto"/>
              <w:bottom w:val="single" w:sz="4" w:space="0" w:color="auto"/>
            </w:tcBorders>
            <w:shd w:val="clear" w:color="auto" w:fill="auto"/>
            <w:noWrap/>
            <w:vAlign w:val="center"/>
            <w:hideMark/>
          </w:tcPr>
          <w:p w14:paraId="05764F70" w14:textId="77777777" w:rsidR="00AC6AE5" w:rsidRPr="00A267BE" w:rsidRDefault="00AC6AE5" w:rsidP="00C031FF">
            <w:pPr>
              <w:jc w:val="right"/>
              <w:rPr>
                <w:rFonts w:ascii="Arial" w:hAnsi="Arial" w:cs="Arial"/>
                <w:b/>
                <w:sz w:val="18"/>
                <w:szCs w:val="18"/>
                <w:lang w:val="en-GB"/>
              </w:rPr>
            </w:pPr>
            <w:r w:rsidRPr="00A267BE">
              <w:rPr>
                <w:rFonts w:ascii="Arial" w:hAnsi="Arial" w:cs="Arial"/>
                <w:b/>
                <w:sz w:val="18"/>
                <w:szCs w:val="18"/>
                <w:lang w:val="en-GB"/>
              </w:rPr>
              <w:t>2014</w:t>
            </w:r>
          </w:p>
        </w:tc>
        <w:tc>
          <w:tcPr>
            <w:tcW w:w="950" w:type="dxa"/>
            <w:tcBorders>
              <w:top w:val="single" w:sz="4" w:space="0" w:color="auto"/>
              <w:bottom w:val="single" w:sz="4" w:space="0" w:color="auto"/>
              <w:right w:val="single" w:sz="4" w:space="0" w:color="auto"/>
            </w:tcBorders>
            <w:shd w:val="clear" w:color="auto" w:fill="auto"/>
            <w:vAlign w:val="center"/>
          </w:tcPr>
          <w:p w14:paraId="26D23E4D" w14:textId="77777777" w:rsidR="00AC6AE5" w:rsidRPr="00A267BE" w:rsidRDefault="00AC6AE5" w:rsidP="00C031FF">
            <w:pPr>
              <w:jc w:val="right"/>
              <w:rPr>
                <w:rFonts w:ascii="Arial" w:hAnsi="Arial" w:cs="Arial"/>
                <w:b/>
                <w:sz w:val="18"/>
                <w:szCs w:val="18"/>
                <w:lang w:val="en-GB"/>
              </w:rPr>
            </w:pPr>
            <w:r w:rsidRPr="00A267BE">
              <w:rPr>
                <w:rFonts w:ascii="Arial" w:hAnsi="Arial" w:cs="Arial"/>
                <w:b/>
                <w:sz w:val="18"/>
                <w:szCs w:val="18"/>
                <w:lang w:val="en-GB"/>
              </w:rPr>
              <w:t>2015*</w:t>
            </w:r>
          </w:p>
        </w:tc>
      </w:tr>
      <w:tr w:rsidR="00AC6AE5" w:rsidRPr="00A267BE" w14:paraId="7DF01C83" w14:textId="77777777" w:rsidTr="00F32744">
        <w:trPr>
          <w:trHeight w:val="283"/>
          <w:jc w:val="center"/>
        </w:trPr>
        <w:tc>
          <w:tcPr>
            <w:tcW w:w="3039" w:type="dxa"/>
            <w:tcBorders>
              <w:top w:val="single" w:sz="4" w:space="0" w:color="auto"/>
              <w:left w:val="single" w:sz="4" w:space="0" w:color="auto"/>
            </w:tcBorders>
            <w:shd w:val="clear" w:color="auto" w:fill="auto"/>
            <w:vAlign w:val="center"/>
            <w:hideMark/>
          </w:tcPr>
          <w:p w14:paraId="039324C5" w14:textId="77777777" w:rsidR="00AC6AE5" w:rsidRPr="00A267BE" w:rsidRDefault="00AC6AE5" w:rsidP="00C70DBE">
            <w:pPr>
              <w:rPr>
                <w:rFonts w:ascii="Arial" w:hAnsi="Arial" w:cs="Arial"/>
                <w:sz w:val="18"/>
                <w:szCs w:val="18"/>
                <w:lang w:val="en-GB"/>
              </w:rPr>
            </w:pPr>
            <w:r w:rsidRPr="00A267BE">
              <w:rPr>
                <w:rFonts w:ascii="Arial" w:hAnsi="Arial" w:cs="Arial"/>
                <w:sz w:val="18"/>
                <w:szCs w:val="18"/>
                <w:lang w:val="en-GB"/>
              </w:rPr>
              <w:t xml:space="preserve">Population </w:t>
            </w:r>
            <w:r w:rsidR="00C70DBE">
              <w:rPr>
                <w:rFonts w:ascii="Arial" w:hAnsi="Arial" w:cs="Arial"/>
                <w:sz w:val="18"/>
                <w:szCs w:val="18"/>
                <w:lang w:val="en-GB"/>
              </w:rPr>
              <w:t xml:space="preserve">(in </w:t>
            </w:r>
            <w:r w:rsidRPr="00A267BE">
              <w:rPr>
                <w:rFonts w:ascii="Arial" w:hAnsi="Arial" w:cs="Arial"/>
                <w:sz w:val="18"/>
                <w:szCs w:val="18"/>
                <w:lang w:val="en-GB"/>
              </w:rPr>
              <w:t>million</w:t>
            </w:r>
            <w:r w:rsidR="00C70DBE">
              <w:rPr>
                <w:rFonts w:ascii="Arial" w:hAnsi="Arial" w:cs="Arial"/>
                <w:sz w:val="18"/>
                <w:szCs w:val="18"/>
                <w:lang w:val="en-GB"/>
              </w:rPr>
              <w:t>s)</w:t>
            </w:r>
            <w:r w:rsidRPr="00A267BE">
              <w:rPr>
                <w:rFonts w:ascii="Arial" w:hAnsi="Arial" w:cs="Arial"/>
                <w:sz w:val="18"/>
                <w:szCs w:val="18"/>
                <w:lang w:val="en-GB"/>
              </w:rPr>
              <w:t xml:space="preserve"> </w:t>
            </w:r>
          </w:p>
        </w:tc>
        <w:tc>
          <w:tcPr>
            <w:tcW w:w="949" w:type="dxa"/>
            <w:tcBorders>
              <w:top w:val="single" w:sz="4" w:space="0" w:color="auto"/>
            </w:tcBorders>
            <w:shd w:val="clear" w:color="auto" w:fill="auto"/>
            <w:noWrap/>
            <w:vAlign w:val="center"/>
            <w:hideMark/>
          </w:tcPr>
          <w:p w14:paraId="3EF64061"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45.6</w:t>
            </w:r>
          </w:p>
        </w:tc>
        <w:tc>
          <w:tcPr>
            <w:tcW w:w="949" w:type="dxa"/>
            <w:tcBorders>
              <w:top w:val="single" w:sz="4" w:space="0" w:color="auto"/>
            </w:tcBorders>
            <w:shd w:val="clear" w:color="auto" w:fill="auto"/>
            <w:noWrap/>
            <w:vAlign w:val="center"/>
            <w:hideMark/>
          </w:tcPr>
          <w:p w14:paraId="0810A687"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45.5</w:t>
            </w:r>
          </w:p>
        </w:tc>
        <w:tc>
          <w:tcPr>
            <w:tcW w:w="949" w:type="dxa"/>
            <w:tcBorders>
              <w:top w:val="single" w:sz="4" w:space="0" w:color="auto"/>
            </w:tcBorders>
            <w:shd w:val="clear" w:color="auto" w:fill="auto"/>
            <w:noWrap/>
            <w:vAlign w:val="center"/>
            <w:hideMark/>
          </w:tcPr>
          <w:p w14:paraId="01D141FE"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45.4</w:t>
            </w:r>
          </w:p>
        </w:tc>
        <w:tc>
          <w:tcPr>
            <w:tcW w:w="949" w:type="dxa"/>
            <w:tcBorders>
              <w:top w:val="single" w:sz="4" w:space="0" w:color="auto"/>
            </w:tcBorders>
            <w:shd w:val="clear" w:color="auto" w:fill="auto"/>
            <w:noWrap/>
            <w:vAlign w:val="center"/>
            <w:hideMark/>
          </w:tcPr>
          <w:p w14:paraId="53DD628C"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42.9</w:t>
            </w:r>
          </w:p>
        </w:tc>
        <w:tc>
          <w:tcPr>
            <w:tcW w:w="949" w:type="dxa"/>
            <w:tcBorders>
              <w:top w:val="single" w:sz="4" w:space="0" w:color="auto"/>
            </w:tcBorders>
            <w:shd w:val="clear" w:color="auto" w:fill="auto"/>
            <w:noWrap/>
            <w:vAlign w:val="center"/>
            <w:hideMark/>
          </w:tcPr>
          <w:p w14:paraId="6F1A7451"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45.3</w:t>
            </w:r>
          </w:p>
        </w:tc>
        <w:tc>
          <w:tcPr>
            <w:tcW w:w="950" w:type="dxa"/>
            <w:tcBorders>
              <w:top w:val="single" w:sz="4" w:space="0" w:color="auto"/>
              <w:right w:val="single" w:sz="4" w:space="0" w:color="auto"/>
            </w:tcBorders>
            <w:shd w:val="clear" w:color="auto" w:fill="auto"/>
            <w:vAlign w:val="center"/>
          </w:tcPr>
          <w:p w14:paraId="64ED4800"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45.2*</w:t>
            </w:r>
          </w:p>
        </w:tc>
      </w:tr>
      <w:tr w:rsidR="00AC6AE5" w:rsidRPr="00A267BE" w14:paraId="76A0485C" w14:textId="77777777" w:rsidTr="00F32744">
        <w:trPr>
          <w:trHeight w:val="283"/>
          <w:jc w:val="center"/>
        </w:trPr>
        <w:tc>
          <w:tcPr>
            <w:tcW w:w="3039" w:type="dxa"/>
            <w:tcBorders>
              <w:left w:val="single" w:sz="4" w:space="0" w:color="auto"/>
            </w:tcBorders>
            <w:shd w:val="clear" w:color="auto" w:fill="auto"/>
            <w:vAlign w:val="center"/>
            <w:hideMark/>
          </w:tcPr>
          <w:p w14:paraId="7F82B8BC" w14:textId="77777777" w:rsidR="00AC6AE5" w:rsidRPr="00A267BE" w:rsidRDefault="00AC6AE5" w:rsidP="00C70DBE">
            <w:pPr>
              <w:rPr>
                <w:rFonts w:ascii="Arial" w:hAnsi="Arial" w:cs="Arial"/>
                <w:sz w:val="18"/>
                <w:szCs w:val="18"/>
                <w:lang w:val="en-GB"/>
              </w:rPr>
            </w:pPr>
            <w:r w:rsidRPr="00A267BE">
              <w:rPr>
                <w:rFonts w:ascii="Arial" w:hAnsi="Arial" w:cs="Arial"/>
                <w:sz w:val="18"/>
                <w:szCs w:val="18"/>
                <w:lang w:val="en-GB"/>
              </w:rPr>
              <w:t xml:space="preserve">GDP growth rate in % </w:t>
            </w:r>
            <w:r w:rsidR="00C70DBE">
              <w:rPr>
                <w:rFonts w:ascii="Arial" w:hAnsi="Arial" w:cs="Arial"/>
                <w:sz w:val="18"/>
                <w:szCs w:val="18"/>
                <w:lang w:val="en-GB"/>
              </w:rPr>
              <w:t xml:space="preserve">(in </w:t>
            </w:r>
            <w:r w:rsidRPr="00A267BE">
              <w:rPr>
                <w:rFonts w:ascii="Arial" w:hAnsi="Arial" w:cs="Arial"/>
                <w:sz w:val="18"/>
                <w:szCs w:val="18"/>
                <w:lang w:val="en-GB"/>
              </w:rPr>
              <w:t>US</w:t>
            </w:r>
            <w:r w:rsidR="00C70DBE">
              <w:rPr>
                <w:rFonts w:ascii="Arial" w:hAnsi="Arial" w:cs="Arial"/>
                <w:sz w:val="18"/>
                <w:szCs w:val="18"/>
                <w:lang w:val="en-GB"/>
              </w:rPr>
              <w:t>$)</w:t>
            </w:r>
          </w:p>
        </w:tc>
        <w:tc>
          <w:tcPr>
            <w:tcW w:w="949" w:type="dxa"/>
            <w:shd w:val="clear" w:color="auto" w:fill="auto"/>
            <w:noWrap/>
            <w:vAlign w:val="center"/>
            <w:hideMark/>
          </w:tcPr>
          <w:p w14:paraId="54F5FAE8"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4.2</w:t>
            </w:r>
          </w:p>
        </w:tc>
        <w:tc>
          <w:tcPr>
            <w:tcW w:w="949" w:type="dxa"/>
            <w:shd w:val="clear" w:color="auto" w:fill="auto"/>
            <w:noWrap/>
            <w:vAlign w:val="center"/>
            <w:hideMark/>
          </w:tcPr>
          <w:p w14:paraId="7BA784CC"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5.2</w:t>
            </w:r>
          </w:p>
        </w:tc>
        <w:tc>
          <w:tcPr>
            <w:tcW w:w="949" w:type="dxa"/>
            <w:shd w:val="clear" w:color="auto" w:fill="auto"/>
            <w:noWrap/>
            <w:vAlign w:val="center"/>
            <w:hideMark/>
          </w:tcPr>
          <w:p w14:paraId="649E833D"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0.2</w:t>
            </w:r>
          </w:p>
        </w:tc>
        <w:tc>
          <w:tcPr>
            <w:tcW w:w="949" w:type="dxa"/>
            <w:shd w:val="clear" w:color="auto" w:fill="auto"/>
            <w:noWrap/>
            <w:vAlign w:val="center"/>
            <w:hideMark/>
          </w:tcPr>
          <w:p w14:paraId="301DA230"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0.0</w:t>
            </w:r>
          </w:p>
        </w:tc>
        <w:tc>
          <w:tcPr>
            <w:tcW w:w="949" w:type="dxa"/>
            <w:shd w:val="clear" w:color="auto" w:fill="auto"/>
            <w:noWrap/>
            <w:vAlign w:val="center"/>
            <w:hideMark/>
          </w:tcPr>
          <w:p w14:paraId="7BE3DBE8" w14:textId="77777777" w:rsidR="00AC6AE5" w:rsidRPr="00A267BE" w:rsidRDefault="00E91867" w:rsidP="00C031FF">
            <w:pPr>
              <w:ind w:right="5"/>
              <w:jc w:val="right"/>
              <w:rPr>
                <w:rFonts w:ascii="Arial" w:hAnsi="Arial" w:cs="Arial"/>
                <w:sz w:val="18"/>
                <w:szCs w:val="18"/>
                <w:lang w:val="en-GB"/>
              </w:rPr>
            </w:pPr>
            <w:r>
              <w:rPr>
                <w:rFonts w:ascii="Arial" w:hAnsi="Arial" w:cs="Arial"/>
                <w:sz w:val="18"/>
                <w:szCs w:val="18"/>
                <w:lang w:val="en-GB"/>
              </w:rPr>
              <w:t>–</w:t>
            </w:r>
            <w:r w:rsidR="00AC6AE5" w:rsidRPr="00A267BE">
              <w:rPr>
                <w:rFonts w:ascii="Arial" w:hAnsi="Arial" w:cs="Arial"/>
                <w:sz w:val="18"/>
                <w:szCs w:val="18"/>
                <w:lang w:val="en-GB"/>
              </w:rPr>
              <w:t>6.8</w:t>
            </w:r>
          </w:p>
        </w:tc>
        <w:tc>
          <w:tcPr>
            <w:tcW w:w="950" w:type="dxa"/>
            <w:tcBorders>
              <w:right w:val="single" w:sz="4" w:space="0" w:color="auto"/>
            </w:tcBorders>
            <w:shd w:val="clear" w:color="auto" w:fill="auto"/>
            <w:vAlign w:val="center"/>
          </w:tcPr>
          <w:p w14:paraId="6F7856A1" w14:textId="77777777" w:rsidR="00AC6AE5" w:rsidRPr="00A267BE" w:rsidRDefault="00E91867" w:rsidP="00C031FF">
            <w:pPr>
              <w:ind w:right="5"/>
              <w:jc w:val="right"/>
              <w:rPr>
                <w:rFonts w:ascii="Arial" w:hAnsi="Arial" w:cs="Arial"/>
                <w:sz w:val="18"/>
                <w:szCs w:val="18"/>
                <w:lang w:val="en-GB"/>
              </w:rPr>
            </w:pPr>
            <w:r>
              <w:rPr>
                <w:rFonts w:ascii="Arial" w:hAnsi="Arial" w:cs="Arial"/>
                <w:sz w:val="18"/>
                <w:szCs w:val="18"/>
                <w:lang w:val="en-GB"/>
              </w:rPr>
              <w:t>–</w:t>
            </w:r>
            <w:r w:rsidR="00AC6AE5" w:rsidRPr="00A267BE">
              <w:rPr>
                <w:rFonts w:ascii="Arial" w:hAnsi="Arial" w:cs="Arial"/>
                <w:sz w:val="18"/>
                <w:szCs w:val="18"/>
                <w:lang w:val="en-GB"/>
              </w:rPr>
              <w:t>7.5*</w:t>
            </w:r>
          </w:p>
        </w:tc>
      </w:tr>
      <w:tr w:rsidR="00AC6AE5" w:rsidRPr="00A267BE" w14:paraId="67E3C124" w14:textId="77777777" w:rsidTr="00F32744">
        <w:trPr>
          <w:trHeight w:val="283"/>
          <w:jc w:val="center"/>
        </w:trPr>
        <w:tc>
          <w:tcPr>
            <w:tcW w:w="3039" w:type="dxa"/>
            <w:tcBorders>
              <w:left w:val="single" w:sz="4" w:space="0" w:color="auto"/>
            </w:tcBorders>
            <w:shd w:val="clear" w:color="auto" w:fill="auto"/>
            <w:vAlign w:val="center"/>
            <w:hideMark/>
          </w:tcPr>
          <w:p w14:paraId="7E04E495" w14:textId="77777777" w:rsidR="00AC6AE5" w:rsidRPr="00A267BE" w:rsidRDefault="00AC6AE5" w:rsidP="00C70DBE">
            <w:pPr>
              <w:rPr>
                <w:rFonts w:ascii="Arial" w:hAnsi="Arial" w:cs="Arial"/>
                <w:sz w:val="18"/>
                <w:szCs w:val="18"/>
                <w:lang w:val="en-GB"/>
              </w:rPr>
            </w:pPr>
            <w:r w:rsidRPr="00A267BE">
              <w:rPr>
                <w:rFonts w:ascii="Arial" w:hAnsi="Arial" w:cs="Arial"/>
                <w:sz w:val="18"/>
                <w:szCs w:val="18"/>
                <w:lang w:val="en-GB"/>
              </w:rPr>
              <w:t xml:space="preserve">GDP per head </w:t>
            </w:r>
            <w:r w:rsidR="00C70DBE">
              <w:rPr>
                <w:rFonts w:ascii="Arial" w:hAnsi="Arial" w:cs="Arial"/>
                <w:sz w:val="18"/>
                <w:szCs w:val="18"/>
                <w:lang w:val="en-GB"/>
              </w:rPr>
              <w:t xml:space="preserve">(in </w:t>
            </w:r>
            <w:r w:rsidRPr="00A267BE">
              <w:rPr>
                <w:rFonts w:ascii="Arial" w:hAnsi="Arial" w:cs="Arial"/>
                <w:sz w:val="18"/>
                <w:szCs w:val="18"/>
                <w:lang w:val="en-GB"/>
              </w:rPr>
              <w:t>US</w:t>
            </w:r>
            <w:r w:rsidR="00C70DBE">
              <w:rPr>
                <w:rFonts w:ascii="Arial" w:hAnsi="Arial" w:cs="Arial"/>
                <w:sz w:val="18"/>
                <w:szCs w:val="18"/>
                <w:lang w:val="en-GB"/>
              </w:rPr>
              <w:t>$)</w:t>
            </w:r>
          </w:p>
        </w:tc>
        <w:tc>
          <w:tcPr>
            <w:tcW w:w="949" w:type="dxa"/>
            <w:shd w:val="clear" w:color="auto" w:fill="auto"/>
            <w:noWrap/>
            <w:vAlign w:val="center"/>
            <w:hideMark/>
          </w:tcPr>
          <w:p w14:paraId="1CC22F60"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2,983</w:t>
            </w:r>
          </w:p>
        </w:tc>
        <w:tc>
          <w:tcPr>
            <w:tcW w:w="949" w:type="dxa"/>
            <w:shd w:val="clear" w:color="auto" w:fill="auto"/>
            <w:noWrap/>
            <w:vAlign w:val="center"/>
            <w:hideMark/>
          </w:tcPr>
          <w:p w14:paraId="60A04A78"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3,590</w:t>
            </w:r>
          </w:p>
        </w:tc>
        <w:tc>
          <w:tcPr>
            <w:tcW w:w="949" w:type="dxa"/>
            <w:shd w:val="clear" w:color="auto" w:fill="auto"/>
            <w:noWrap/>
            <w:vAlign w:val="center"/>
            <w:hideMark/>
          </w:tcPr>
          <w:p w14:paraId="0055BA36"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3,883</w:t>
            </w:r>
          </w:p>
        </w:tc>
        <w:tc>
          <w:tcPr>
            <w:tcW w:w="949" w:type="dxa"/>
            <w:shd w:val="clear" w:color="auto" w:fill="auto"/>
            <w:noWrap/>
            <w:vAlign w:val="center"/>
            <w:hideMark/>
          </w:tcPr>
          <w:p w14:paraId="73D54A35"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4,435</w:t>
            </w:r>
          </w:p>
        </w:tc>
        <w:tc>
          <w:tcPr>
            <w:tcW w:w="949" w:type="dxa"/>
            <w:shd w:val="clear" w:color="auto" w:fill="auto"/>
            <w:noWrap/>
            <w:vAlign w:val="center"/>
            <w:hideMark/>
          </w:tcPr>
          <w:p w14:paraId="588CD3FB"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3,051</w:t>
            </w:r>
          </w:p>
        </w:tc>
        <w:tc>
          <w:tcPr>
            <w:tcW w:w="950" w:type="dxa"/>
            <w:tcBorders>
              <w:right w:val="single" w:sz="4" w:space="0" w:color="auto"/>
            </w:tcBorders>
            <w:shd w:val="clear" w:color="auto" w:fill="auto"/>
            <w:vAlign w:val="center"/>
          </w:tcPr>
          <w:p w14:paraId="2DAD2EA8"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2,109*</w:t>
            </w:r>
          </w:p>
        </w:tc>
      </w:tr>
      <w:tr w:rsidR="00AC6AE5" w:rsidRPr="00A267BE" w14:paraId="711D4909" w14:textId="77777777" w:rsidTr="00F32744">
        <w:trPr>
          <w:trHeight w:val="283"/>
          <w:jc w:val="center"/>
        </w:trPr>
        <w:tc>
          <w:tcPr>
            <w:tcW w:w="3039" w:type="dxa"/>
            <w:tcBorders>
              <w:left w:val="single" w:sz="4" w:space="0" w:color="auto"/>
            </w:tcBorders>
            <w:shd w:val="clear" w:color="auto" w:fill="auto"/>
            <w:vAlign w:val="center"/>
            <w:hideMark/>
          </w:tcPr>
          <w:p w14:paraId="27756150" w14:textId="77777777" w:rsidR="00AC6AE5" w:rsidRPr="00A267BE" w:rsidRDefault="00AC6AE5" w:rsidP="00C70DBE">
            <w:pPr>
              <w:rPr>
                <w:rFonts w:ascii="Arial" w:hAnsi="Arial" w:cs="Arial"/>
                <w:sz w:val="18"/>
                <w:szCs w:val="18"/>
                <w:lang w:val="en-GB"/>
              </w:rPr>
            </w:pPr>
            <w:r w:rsidRPr="00A267BE">
              <w:rPr>
                <w:rFonts w:ascii="Arial" w:hAnsi="Arial" w:cs="Arial"/>
                <w:sz w:val="18"/>
                <w:szCs w:val="18"/>
                <w:lang w:val="en-GB"/>
              </w:rPr>
              <w:t xml:space="preserve">Inflation rate </w:t>
            </w:r>
            <w:r w:rsidR="00C70DBE">
              <w:rPr>
                <w:rFonts w:ascii="Arial" w:hAnsi="Arial" w:cs="Arial"/>
                <w:sz w:val="18"/>
                <w:szCs w:val="18"/>
                <w:lang w:val="en-GB"/>
              </w:rPr>
              <w:t>(</w:t>
            </w:r>
            <w:r w:rsidRPr="00A267BE">
              <w:rPr>
                <w:rFonts w:ascii="Arial" w:hAnsi="Arial" w:cs="Arial"/>
                <w:sz w:val="18"/>
                <w:szCs w:val="18"/>
                <w:lang w:val="en-GB"/>
              </w:rPr>
              <w:t>%</w:t>
            </w:r>
            <w:r w:rsidR="00C70DBE">
              <w:rPr>
                <w:rFonts w:ascii="Arial" w:hAnsi="Arial" w:cs="Arial"/>
                <w:sz w:val="18"/>
                <w:szCs w:val="18"/>
                <w:lang w:val="en-GB"/>
              </w:rPr>
              <w:t>)</w:t>
            </w:r>
            <w:r w:rsidRPr="00A267BE">
              <w:rPr>
                <w:rFonts w:ascii="Arial" w:hAnsi="Arial" w:cs="Arial"/>
                <w:sz w:val="18"/>
                <w:szCs w:val="18"/>
                <w:lang w:val="en-GB"/>
              </w:rPr>
              <w:t xml:space="preserve"> </w:t>
            </w:r>
          </w:p>
        </w:tc>
        <w:tc>
          <w:tcPr>
            <w:tcW w:w="949" w:type="dxa"/>
            <w:shd w:val="clear" w:color="auto" w:fill="auto"/>
            <w:noWrap/>
            <w:vAlign w:val="center"/>
            <w:hideMark/>
          </w:tcPr>
          <w:p w14:paraId="5D230EBB"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9.4</w:t>
            </w:r>
          </w:p>
        </w:tc>
        <w:tc>
          <w:tcPr>
            <w:tcW w:w="949" w:type="dxa"/>
            <w:shd w:val="clear" w:color="auto" w:fill="auto"/>
            <w:noWrap/>
            <w:vAlign w:val="center"/>
            <w:hideMark/>
          </w:tcPr>
          <w:p w14:paraId="24F8FF84"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8.0</w:t>
            </w:r>
          </w:p>
        </w:tc>
        <w:tc>
          <w:tcPr>
            <w:tcW w:w="949" w:type="dxa"/>
            <w:shd w:val="clear" w:color="auto" w:fill="auto"/>
            <w:noWrap/>
            <w:vAlign w:val="center"/>
            <w:hideMark/>
          </w:tcPr>
          <w:p w14:paraId="7F6F2DC9"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0.6</w:t>
            </w:r>
          </w:p>
        </w:tc>
        <w:tc>
          <w:tcPr>
            <w:tcW w:w="949" w:type="dxa"/>
            <w:shd w:val="clear" w:color="auto" w:fill="auto"/>
            <w:noWrap/>
            <w:vAlign w:val="center"/>
            <w:hideMark/>
          </w:tcPr>
          <w:p w14:paraId="673C791E"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-0.3</w:t>
            </w:r>
          </w:p>
        </w:tc>
        <w:tc>
          <w:tcPr>
            <w:tcW w:w="949" w:type="dxa"/>
            <w:shd w:val="clear" w:color="auto" w:fill="auto"/>
            <w:noWrap/>
            <w:vAlign w:val="center"/>
            <w:hideMark/>
          </w:tcPr>
          <w:p w14:paraId="15FF72E8"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12.1</w:t>
            </w:r>
          </w:p>
        </w:tc>
        <w:tc>
          <w:tcPr>
            <w:tcW w:w="950" w:type="dxa"/>
            <w:tcBorders>
              <w:right w:val="single" w:sz="4" w:space="0" w:color="auto"/>
            </w:tcBorders>
            <w:shd w:val="clear" w:color="auto" w:fill="auto"/>
            <w:vAlign w:val="center"/>
          </w:tcPr>
          <w:p w14:paraId="03E7DD31"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50.0*</w:t>
            </w:r>
          </w:p>
        </w:tc>
      </w:tr>
      <w:tr w:rsidR="00AC6AE5" w:rsidRPr="00A267BE" w14:paraId="7D1ACD24" w14:textId="77777777" w:rsidTr="00F32744">
        <w:trPr>
          <w:trHeight w:val="283"/>
          <w:jc w:val="center"/>
        </w:trPr>
        <w:tc>
          <w:tcPr>
            <w:tcW w:w="3039" w:type="dxa"/>
            <w:tcBorders>
              <w:left w:val="single" w:sz="4" w:space="0" w:color="auto"/>
            </w:tcBorders>
            <w:shd w:val="clear" w:color="auto" w:fill="auto"/>
            <w:vAlign w:val="center"/>
            <w:hideMark/>
          </w:tcPr>
          <w:p w14:paraId="0B87CCDE" w14:textId="77777777" w:rsidR="00AC6AE5" w:rsidRPr="00A267BE" w:rsidRDefault="00AC6AE5" w:rsidP="00C70DBE">
            <w:pPr>
              <w:rPr>
                <w:rFonts w:ascii="Arial" w:hAnsi="Arial" w:cs="Arial"/>
                <w:sz w:val="18"/>
                <w:szCs w:val="18"/>
                <w:lang w:val="en-GB"/>
              </w:rPr>
            </w:pPr>
            <w:r w:rsidRPr="00A267BE">
              <w:rPr>
                <w:rFonts w:ascii="Arial" w:hAnsi="Arial" w:cs="Arial"/>
                <w:sz w:val="18"/>
                <w:szCs w:val="18"/>
                <w:lang w:val="en-GB"/>
              </w:rPr>
              <w:t xml:space="preserve">Public debt </w:t>
            </w:r>
            <w:r w:rsidR="00C70DBE">
              <w:rPr>
                <w:rFonts w:ascii="Arial" w:hAnsi="Arial" w:cs="Arial"/>
                <w:sz w:val="18"/>
                <w:szCs w:val="18"/>
                <w:lang w:val="en-GB"/>
              </w:rPr>
              <w:t>(</w:t>
            </w:r>
            <w:r w:rsidRPr="00A267BE">
              <w:rPr>
                <w:rFonts w:ascii="Arial" w:hAnsi="Arial" w:cs="Arial"/>
                <w:sz w:val="18"/>
                <w:szCs w:val="18"/>
                <w:lang w:val="en-GB"/>
              </w:rPr>
              <w:t>% of GDP</w:t>
            </w:r>
            <w:r w:rsidR="00C70DBE">
              <w:rPr>
                <w:rFonts w:ascii="Arial" w:hAnsi="Arial" w:cs="Arial"/>
                <w:sz w:val="18"/>
                <w:szCs w:val="18"/>
                <w:lang w:val="en-GB"/>
              </w:rPr>
              <w:t>)</w:t>
            </w:r>
          </w:p>
        </w:tc>
        <w:tc>
          <w:tcPr>
            <w:tcW w:w="949" w:type="dxa"/>
            <w:shd w:val="clear" w:color="auto" w:fill="auto"/>
            <w:noWrap/>
            <w:vAlign w:val="center"/>
            <w:hideMark/>
          </w:tcPr>
          <w:p w14:paraId="73CB1805"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40.1</w:t>
            </w:r>
          </w:p>
        </w:tc>
        <w:tc>
          <w:tcPr>
            <w:tcW w:w="949" w:type="dxa"/>
            <w:shd w:val="clear" w:color="auto" w:fill="auto"/>
            <w:noWrap/>
            <w:vAlign w:val="center"/>
            <w:hideMark/>
          </w:tcPr>
          <w:p w14:paraId="51655A92"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36.9</w:t>
            </w:r>
          </w:p>
        </w:tc>
        <w:tc>
          <w:tcPr>
            <w:tcW w:w="949" w:type="dxa"/>
            <w:shd w:val="clear" w:color="auto" w:fill="auto"/>
            <w:noWrap/>
            <w:vAlign w:val="center"/>
            <w:hideMark/>
          </w:tcPr>
          <w:p w14:paraId="38507C77"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37.5</w:t>
            </w:r>
          </w:p>
        </w:tc>
        <w:tc>
          <w:tcPr>
            <w:tcW w:w="949" w:type="dxa"/>
            <w:shd w:val="clear" w:color="auto" w:fill="auto"/>
            <w:noWrap/>
            <w:vAlign w:val="center"/>
            <w:hideMark/>
          </w:tcPr>
          <w:p w14:paraId="02C3AA84"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40.7</w:t>
            </w:r>
          </w:p>
        </w:tc>
        <w:tc>
          <w:tcPr>
            <w:tcW w:w="949" w:type="dxa"/>
            <w:shd w:val="clear" w:color="auto" w:fill="auto"/>
            <w:noWrap/>
            <w:vAlign w:val="center"/>
            <w:hideMark/>
          </w:tcPr>
          <w:p w14:paraId="27712FCB"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71.2</w:t>
            </w:r>
          </w:p>
        </w:tc>
        <w:tc>
          <w:tcPr>
            <w:tcW w:w="950" w:type="dxa"/>
            <w:tcBorders>
              <w:right w:val="single" w:sz="4" w:space="0" w:color="auto"/>
            </w:tcBorders>
            <w:shd w:val="clear" w:color="auto" w:fill="auto"/>
            <w:vAlign w:val="center"/>
          </w:tcPr>
          <w:p w14:paraId="3C434E2C"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94.4*</w:t>
            </w:r>
          </w:p>
        </w:tc>
      </w:tr>
      <w:tr w:rsidR="00AC6AE5" w:rsidRPr="00A267BE" w14:paraId="533CC7B4" w14:textId="77777777" w:rsidTr="00F32744">
        <w:trPr>
          <w:trHeight w:val="283"/>
          <w:jc w:val="center"/>
        </w:trPr>
        <w:tc>
          <w:tcPr>
            <w:tcW w:w="3039" w:type="dxa"/>
            <w:tcBorders>
              <w:left w:val="single" w:sz="4" w:space="0" w:color="auto"/>
              <w:bottom w:val="single" w:sz="4" w:space="0" w:color="auto"/>
            </w:tcBorders>
            <w:shd w:val="clear" w:color="auto" w:fill="auto"/>
            <w:vAlign w:val="center"/>
            <w:hideMark/>
          </w:tcPr>
          <w:p w14:paraId="083CD225" w14:textId="77777777" w:rsidR="00AC6AE5" w:rsidRPr="00A267BE" w:rsidRDefault="00AC6AE5" w:rsidP="00C70DBE">
            <w:pPr>
              <w:rPr>
                <w:rFonts w:ascii="Arial" w:hAnsi="Arial" w:cs="Arial"/>
                <w:sz w:val="18"/>
                <w:szCs w:val="18"/>
                <w:lang w:val="en-GB"/>
              </w:rPr>
            </w:pPr>
            <w:r w:rsidRPr="00A267BE">
              <w:rPr>
                <w:rFonts w:ascii="Arial" w:hAnsi="Arial" w:cs="Arial"/>
                <w:sz w:val="18"/>
                <w:szCs w:val="18"/>
                <w:lang w:val="en-GB"/>
              </w:rPr>
              <w:t xml:space="preserve">Unemployment </w:t>
            </w:r>
            <w:r w:rsidR="00C70DBE">
              <w:rPr>
                <w:rFonts w:ascii="Arial" w:hAnsi="Arial" w:cs="Arial"/>
                <w:sz w:val="18"/>
                <w:szCs w:val="18"/>
                <w:lang w:val="en-GB"/>
              </w:rPr>
              <w:t>(</w:t>
            </w:r>
            <w:r w:rsidRPr="00A267BE">
              <w:rPr>
                <w:rFonts w:ascii="Arial" w:hAnsi="Arial" w:cs="Arial"/>
                <w:sz w:val="18"/>
                <w:szCs w:val="18"/>
                <w:lang w:val="en-GB"/>
              </w:rPr>
              <w:t>% of labo</w:t>
            </w:r>
            <w:r w:rsidR="00C70DBE">
              <w:rPr>
                <w:rFonts w:ascii="Arial" w:hAnsi="Arial" w:cs="Arial"/>
                <w:sz w:val="18"/>
                <w:szCs w:val="18"/>
                <w:lang w:val="en-GB"/>
              </w:rPr>
              <w:t>u</w:t>
            </w:r>
            <w:r w:rsidRPr="00A267BE">
              <w:rPr>
                <w:rFonts w:ascii="Arial" w:hAnsi="Arial" w:cs="Arial"/>
                <w:sz w:val="18"/>
                <w:szCs w:val="18"/>
                <w:lang w:val="en-GB"/>
              </w:rPr>
              <w:t>r force</w:t>
            </w:r>
            <w:r w:rsidR="00C70DBE">
              <w:rPr>
                <w:rFonts w:ascii="Arial" w:hAnsi="Arial" w:cs="Arial"/>
                <w:sz w:val="18"/>
                <w:szCs w:val="18"/>
                <w:lang w:val="en-GB"/>
              </w:rPr>
              <w:t>)</w:t>
            </w:r>
            <w:r w:rsidRPr="00A267BE">
              <w:rPr>
                <w:rFonts w:ascii="Arial" w:hAnsi="Arial" w:cs="Arial"/>
                <w:sz w:val="18"/>
                <w:szCs w:val="18"/>
                <w:lang w:val="en-GB"/>
              </w:rPr>
              <w:t xml:space="preserve"> </w:t>
            </w:r>
          </w:p>
        </w:tc>
        <w:tc>
          <w:tcPr>
            <w:tcW w:w="949" w:type="dxa"/>
            <w:tcBorders>
              <w:bottom w:val="single" w:sz="4" w:space="0" w:color="auto"/>
            </w:tcBorders>
            <w:shd w:val="clear" w:color="auto" w:fill="auto"/>
            <w:noWrap/>
            <w:vAlign w:val="center"/>
            <w:hideMark/>
          </w:tcPr>
          <w:p w14:paraId="205696DB"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8.1</w:t>
            </w:r>
          </w:p>
        </w:tc>
        <w:tc>
          <w:tcPr>
            <w:tcW w:w="949" w:type="dxa"/>
            <w:tcBorders>
              <w:bottom w:val="single" w:sz="4" w:space="0" w:color="auto"/>
            </w:tcBorders>
            <w:shd w:val="clear" w:color="auto" w:fill="auto"/>
            <w:noWrap/>
            <w:vAlign w:val="center"/>
            <w:hideMark/>
          </w:tcPr>
          <w:p w14:paraId="34E618FD"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7.9</w:t>
            </w:r>
          </w:p>
        </w:tc>
        <w:tc>
          <w:tcPr>
            <w:tcW w:w="949" w:type="dxa"/>
            <w:tcBorders>
              <w:bottom w:val="single" w:sz="4" w:space="0" w:color="auto"/>
            </w:tcBorders>
            <w:shd w:val="clear" w:color="auto" w:fill="auto"/>
            <w:noWrap/>
            <w:vAlign w:val="center"/>
            <w:hideMark/>
          </w:tcPr>
          <w:p w14:paraId="7A597C0C"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7.5</w:t>
            </w:r>
          </w:p>
        </w:tc>
        <w:tc>
          <w:tcPr>
            <w:tcW w:w="949" w:type="dxa"/>
            <w:tcBorders>
              <w:bottom w:val="single" w:sz="4" w:space="0" w:color="auto"/>
            </w:tcBorders>
            <w:shd w:val="clear" w:color="auto" w:fill="auto"/>
            <w:noWrap/>
            <w:vAlign w:val="center"/>
            <w:hideMark/>
          </w:tcPr>
          <w:p w14:paraId="55F8C5E7"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7.3</w:t>
            </w:r>
          </w:p>
        </w:tc>
        <w:tc>
          <w:tcPr>
            <w:tcW w:w="949" w:type="dxa"/>
            <w:tcBorders>
              <w:bottom w:val="single" w:sz="4" w:space="0" w:color="auto"/>
            </w:tcBorders>
            <w:shd w:val="clear" w:color="auto" w:fill="auto"/>
            <w:noWrap/>
            <w:vAlign w:val="center"/>
            <w:hideMark/>
          </w:tcPr>
          <w:p w14:paraId="43CD1E56"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9.3</w:t>
            </w:r>
          </w:p>
        </w:tc>
        <w:tc>
          <w:tcPr>
            <w:tcW w:w="950" w:type="dxa"/>
            <w:tcBorders>
              <w:bottom w:val="single" w:sz="4" w:space="0" w:color="auto"/>
              <w:right w:val="single" w:sz="4" w:space="0" w:color="auto"/>
            </w:tcBorders>
            <w:shd w:val="clear" w:color="auto" w:fill="auto"/>
            <w:vAlign w:val="center"/>
          </w:tcPr>
          <w:p w14:paraId="2F11A6E7" w14:textId="77777777" w:rsidR="00AC6AE5" w:rsidRPr="00A267BE" w:rsidRDefault="00AC6AE5" w:rsidP="00C031FF">
            <w:pPr>
              <w:ind w:right="5"/>
              <w:jc w:val="right"/>
              <w:rPr>
                <w:rFonts w:ascii="Arial" w:hAnsi="Arial" w:cs="Arial"/>
                <w:sz w:val="18"/>
                <w:szCs w:val="18"/>
                <w:lang w:val="en-GB"/>
              </w:rPr>
            </w:pPr>
            <w:r w:rsidRPr="00A267BE">
              <w:rPr>
                <w:rFonts w:ascii="Arial" w:hAnsi="Arial" w:cs="Arial"/>
                <w:sz w:val="18"/>
                <w:szCs w:val="18"/>
                <w:lang w:val="en-GB"/>
              </w:rPr>
              <w:t>11.5*</w:t>
            </w:r>
          </w:p>
        </w:tc>
      </w:tr>
    </w:tbl>
    <w:p w14:paraId="5DC631C9" w14:textId="77777777" w:rsidR="006D325D" w:rsidRPr="00A267BE" w:rsidRDefault="006D325D" w:rsidP="006D325D">
      <w:pPr>
        <w:pStyle w:val="BodyTextMain"/>
        <w:rPr>
          <w:lang w:val="en-GB"/>
        </w:rPr>
      </w:pPr>
    </w:p>
    <w:p w14:paraId="1770CD5B" w14:textId="77777777" w:rsidR="006D325D" w:rsidRPr="00A267BE" w:rsidRDefault="00C70DBE" w:rsidP="006D325D">
      <w:pPr>
        <w:pStyle w:val="Footnote"/>
        <w:rPr>
          <w:lang w:val="en-GB"/>
        </w:rPr>
      </w:pPr>
      <w:r>
        <w:rPr>
          <w:lang w:val="en-GB"/>
        </w:rPr>
        <w:t xml:space="preserve">Note: </w:t>
      </w:r>
      <w:r w:rsidR="006D325D" w:rsidRPr="00A267BE">
        <w:rPr>
          <w:lang w:val="en-GB"/>
        </w:rPr>
        <w:t xml:space="preserve">* </w:t>
      </w:r>
      <w:r>
        <w:rPr>
          <w:lang w:val="en-GB"/>
        </w:rPr>
        <w:t>= f</w:t>
      </w:r>
      <w:r w:rsidR="006D325D" w:rsidRPr="00A267BE">
        <w:rPr>
          <w:lang w:val="en-GB"/>
        </w:rPr>
        <w:t>orecast</w:t>
      </w:r>
      <w:r>
        <w:rPr>
          <w:lang w:val="en-GB"/>
        </w:rPr>
        <w:t xml:space="preserve"> figures; GDP = gross domestic product</w:t>
      </w:r>
    </w:p>
    <w:p w14:paraId="5D82CDA9" w14:textId="77777777" w:rsidR="00FA6525" w:rsidRPr="00A267BE" w:rsidRDefault="00AC6AE5" w:rsidP="00FA6525">
      <w:pPr>
        <w:pStyle w:val="Footnote"/>
        <w:rPr>
          <w:lang w:val="en-GB"/>
        </w:rPr>
      </w:pPr>
      <w:r w:rsidRPr="00306CD7">
        <w:rPr>
          <w:lang w:val="en-GB"/>
        </w:rPr>
        <w:t xml:space="preserve">Source: </w:t>
      </w:r>
      <w:r w:rsidR="00FA6525" w:rsidRPr="00306CD7">
        <w:rPr>
          <w:lang w:val="en-GB"/>
        </w:rPr>
        <w:t xml:space="preserve">National Bank </w:t>
      </w:r>
      <w:r w:rsidR="00005EC8" w:rsidRPr="00306CD7">
        <w:rPr>
          <w:lang w:val="en-GB"/>
        </w:rPr>
        <w:t xml:space="preserve">of </w:t>
      </w:r>
      <w:r w:rsidR="00FA6525" w:rsidRPr="00306CD7">
        <w:rPr>
          <w:lang w:val="en-GB"/>
        </w:rPr>
        <w:t xml:space="preserve">Ukraine, “Official Exchange Rate of Hryvnia against Foreign Currencies,” </w:t>
      </w:r>
      <w:r w:rsidR="00005EC8" w:rsidRPr="00306CD7">
        <w:rPr>
          <w:lang w:val="en-GB"/>
        </w:rPr>
        <w:t xml:space="preserve">2016, accessed </w:t>
      </w:r>
      <w:r w:rsidR="007C3FAB" w:rsidRPr="00306CD7">
        <w:rPr>
          <w:lang w:val="en-GB"/>
        </w:rPr>
        <w:t>December 15, 2016</w:t>
      </w:r>
      <w:r w:rsidR="00005EC8" w:rsidRPr="00306CD7">
        <w:rPr>
          <w:lang w:val="en-GB"/>
        </w:rPr>
        <w:t xml:space="preserve">, </w:t>
      </w:r>
      <w:r w:rsidR="00FA6525" w:rsidRPr="00306CD7">
        <w:rPr>
          <w:lang w:val="en-GB"/>
        </w:rPr>
        <w:t>https://www.bank.gov.ua/control/en/curmetal/detail/currency?period=daily; I</w:t>
      </w:r>
      <w:r w:rsidR="00005EC8" w:rsidRPr="00306CD7">
        <w:rPr>
          <w:lang w:val="en-GB"/>
        </w:rPr>
        <w:t xml:space="preserve">nternational </w:t>
      </w:r>
      <w:r w:rsidR="00FA6525" w:rsidRPr="00306CD7">
        <w:rPr>
          <w:lang w:val="en-GB"/>
        </w:rPr>
        <w:t>M</w:t>
      </w:r>
      <w:r w:rsidR="00005EC8" w:rsidRPr="00306CD7">
        <w:rPr>
          <w:lang w:val="en-GB"/>
        </w:rPr>
        <w:t xml:space="preserve">onetary </w:t>
      </w:r>
      <w:r w:rsidR="00FA6525" w:rsidRPr="00306CD7">
        <w:rPr>
          <w:lang w:val="en-GB"/>
        </w:rPr>
        <w:t>F</w:t>
      </w:r>
      <w:r w:rsidR="00005EC8" w:rsidRPr="00306CD7">
        <w:rPr>
          <w:lang w:val="en-GB"/>
        </w:rPr>
        <w:t>und</w:t>
      </w:r>
      <w:r w:rsidR="00FA6525" w:rsidRPr="00306CD7">
        <w:rPr>
          <w:lang w:val="en-GB"/>
        </w:rPr>
        <w:t xml:space="preserve">, “IMF Data,” </w:t>
      </w:r>
      <w:r w:rsidR="00005EC8" w:rsidRPr="00306CD7">
        <w:rPr>
          <w:lang w:val="en-GB"/>
        </w:rPr>
        <w:t xml:space="preserve">2016, accessed </w:t>
      </w:r>
      <w:r w:rsidR="007C3FAB" w:rsidRPr="00306CD7">
        <w:rPr>
          <w:lang w:val="en-GB"/>
        </w:rPr>
        <w:t>December 15, 2016</w:t>
      </w:r>
      <w:r w:rsidR="00005EC8" w:rsidRPr="00306CD7">
        <w:rPr>
          <w:lang w:val="en-GB"/>
        </w:rPr>
        <w:t xml:space="preserve">, </w:t>
      </w:r>
      <w:r w:rsidR="00FA6525" w:rsidRPr="00306CD7">
        <w:rPr>
          <w:lang w:val="en-GB"/>
        </w:rPr>
        <w:t xml:space="preserve">www.imf.org/en/data; World Bank, “World Bank Open Data,” </w:t>
      </w:r>
      <w:r w:rsidR="00005EC8" w:rsidRPr="00306CD7">
        <w:rPr>
          <w:lang w:val="en-GB"/>
        </w:rPr>
        <w:t xml:space="preserve">2016, accessed </w:t>
      </w:r>
      <w:r w:rsidR="007C3FAB" w:rsidRPr="00306CD7">
        <w:rPr>
          <w:lang w:val="en-GB"/>
        </w:rPr>
        <w:t>December 15, 2016</w:t>
      </w:r>
      <w:r w:rsidR="00005EC8" w:rsidRPr="00306CD7">
        <w:rPr>
          <w:lang w:val="en-GB"/>
        </w:rPr>
        <w:t xml:space="preserve">, </w:t>
      </w:r>
      <w:hyperlink r:id="rId13" w:history="1">
        <w:r w:rsidR="00FA6525" w:rsidRPr="00306CD7">
          <w:rPr>
            <w:lang w:val="en-GB"/>
          </w:rPr>
          <w:t>http://data.worldbank.org/</w:t>
        </w:r>
      </w:hyperlink>
      <w:r w:rsidR="00FA6525" w:rsidRPr="00306CD7">
        <w:rPr>
          <w:lang w:val="en-GB"/>
        </w:rPr>
        <w:t>.</w:t>
      </w:r>
    </w:p>
    <w:p w14:paraId="7E18AFAC" w14:textId="77777777" w:rsidR="006D325D" w:rsidRPr="00A267BE" w:rsidRDefault="006D325D" w:rsidP="006D325D">
      <w:pPr>
        <w:pStyle w:val="Footnote"/>
        <w:rPr>
          <w:sz w:val="20"/>
          <w:szCs w:val="14"/>
          <w:lang w:val="en-GB"/>
        </w:rPr>
      </w:pPr>
    </w:p>
    <w:p w14:paraId="14184D2D" w14:textId="77777777" w:rsidR="00FA6525" w:rsidRPr="00A267BE" w:rsidRDefault="00FA6525" w:rsidP="006D325D">
      <w:pPr>
        <w:pStyle w:val="Footnote"/>
        <w:rPr>
          <w:lang w:val="en-GB"/>
        </w:rPr>
      </w:pPr>
    </w:p>
    <w:p w14:paraId="03557C36" w14:textId="77777777" w:rsidR="00AC6AE5" w:rsidRPr="00A267BE" w:rsidRDefault="00AC6AE5" w:rsidP="00AC6AE5">
      <w:pPr>
        <w:jc w:val="center"/>
        <w:rPr>
          <w:rFonts w:ascii="Arial" w:hAnsi="Arial" w:cs="Arial"/>
          <w:b/>
          <w:lang w:val="en-GB"/>
        </w:rPr>
      </w:pPr>
      <w:r w:rsidRPr="00A267BE">
        <w:rPr>
          <w:noProof/>
        </w:rPr>
        <w:drawing>
          <wp:anchor distT="0" distB="0" distL="114300" distR="114300" simplePos="0" relativeHeight="251659264" behindDoc="1" locked="0" layoutInCell="1" allowOverlap="1" wp14:anchorId="2B4E3B20" wp14:editId="733F094C">
            <wp:simplePos x="0" y="0"/>
            <wp:positionH relativeFrom="column">
              <wp:posOffset>893445</wp:posOffset>
            </wp:positionH>
            <wp:positionV relativeFrom="paragraph">
              <wp:posOffset>173990</wp:posOffset>
            </wp:positionV>
            <wp:extent cx="4156710" cy="2184400"/>
            <wp:effectExtent l="0" t="0" r="0" b="0"/>
            <wp:wrapTight wrapText="bothSides">
              <wp:wrapPolygon edited="0">
                <wp:start x="1683" y="565"/>
                <wp:lineTo x="1683" y="1319"/>
                <wp:lineTo x="4356" y="3956"/>
                <wp:lineTo x="2178" y="4144"/>
                <wp:lineTo x="2079" y="4709"/>
                <wp:lineTo x="3366" y="6970"/>
                <wp:lineTo x="2079" y="7912"/>
                <wp:lineTo x="2277" y="8665"/>
                <wp:lineTo x="8018" y="9984"/>
                <wp:lineTo x="1881" y="11302"/>
                <wp:lineTo x="1881" y="12056"/>
                <wp:lineTo x="8018" y="12998"/>
                <wp:lineTo x="1485" y="14881"/>
                <wp:lineTo x="1485" y="15635"/>
                <wp:lineTo x="693" y="16200"/>
                <wp:lineTo x="594" y="18837"/>
                <wp:lineTo x="1782" y="19026"/>
                <wp:lineTo x="2871" y="20344"/>
                <wp:lineTo x="2970" y="20721"/>
                <wp:lineTo x="18214" y="20721"/>
                <wp:lineTo x="21085" y="19214"/>
                <wp:lineTo x="21184" y="9042"/>
                <wp:lineTo x="19204" y="7723"/>
                <wp:lineTo x="16532" y="6970"/>
                <wp:lineTo x="19699" y="5086"/>
                <wp:lineTo x="19798" y="4144"/>
                <wp:lineTo x="17621" y="3956"/>
                <wp:lineTo x="19798" y="1319"/>
                <wp:lineTo x="19798" y="565"/>
                <wp:lineTo x="1683" y="565"/>
              </wp:wrapPolygon>
            </wp:wrapTight>
            <wp:docPr id="125" name="Diagramm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Pr="00A267BE">
        <w:rPr>
          <w:rFonts w:ascii="Arial" w:hAnsi="Arial" w:cs="Arial"/>
          <w:b/>
          <w:lang w:val="en-GB"/>
        </w:rPr>
        <w:t xml:space="preserve">GDP and </w:t>
      </w:r>
      <w:r w:rsidR="00005EC8">
        <w:rPr>
          <w:rFonts w:ascii="Arial" w:hAnsi="Arial" w:cs="Arial"/>
          <w:b/>
          <w:lang w:val="en-GB"/>
        </w:rPr>
        <w:t>C</w:t>
      </w:r>
      <w:r w:rsidRPr="00A267BE">
        <w:rPr>
          <w:rFonts w:ascii="Arial" w:hAnsi="Arial" w:cs="Arial"/>
          <w:b/>
          <w:lang w:val="en-GB"/>
        </w:rPr>
        <w:t xml:space="preserve">onsumer </w:t>
      </w:r>
      <w:r w:rsidR="00005EC8">
        <w:rPr>
          <w:rFonts w:ascii="Arial" w:hAnsi="Arial" w:cs="Arial"/>
          <w:b/>
          <w:lang w:val="en-GB"/>
        </w:rPr>
        <w:t>P</w:t>
      </w:r>
      <w:r w:rsidRPr="00A267BE">
        <w:rPr>
          <w:rFonts w:ascii="Arial" w:hAnsi="Arial" w:cs="Arial"/>
          <w:b/>
          <w:lang w:val="en-GB"/>
        </w:rPr>
        <w:t xml:space="preserve">rices, % </w:t>
      </w:r>
      <w:r w:rsidR="00005EC8">
        <w:rPr>
          <w:rFonts w:ascii="Arial" w:hAnsi="Arial" w:cs="Arial"/>
          <w:b/>
          <w:lang w:val="en-GB"/>
        </w:rPr>
        <w:t>C</w:t>
      </w:r>
      <w:r w:rsidRPr="00A267BE">
        <w:rPr>
          <w:rFonts w:ascii="Arial" w:hAnsi="Arial" w:cs="Arial"/>
          <w:b/>
          <w:lang w:val="en-GB"/>
        </w:rPr>
        <w:t>hange</w:t>
      </w:r>
      <w:r w:rsidR="00005EC8">
        <w:rPr>
          <w:rFonts w:ascii="Arial" w:hAnsi="Arial" w:cs="Arial"/>
          <w:b/>
          <w:lang w:val="en-GB"/>
        </w:rPr>
        <w:t>,</w:t>
      </w:r>
      <w:r w:rsidRPr="00A267BE">
        <w:rPr>
          <w:rFonts w:ascii="Arial" w:hAnsi="Arial" w:cs="Arial"/>
          <w:b/>
          <w:lang w:val="en-GB"/>
        </w:rPr>
        <w:t xml:space="preserve"> </w:t>
      </w:r>
      <w:r w:rsidR="00005EC8">
        <w:rPr>
          <w:rFonts w:ascii="Arial" w:hAnsi="Arial" w:cs="Arial"/>
          <w:b/>
          <w:lang w:val="en-GB"/>
        </w:rPr>
        <w:t>C</w:t>
      </w:r>
      <w:r w:rsidRPr="00A267BE">
        <w:rPr>
          <w:rFonts w:ascii="Arial" w:hAnsi="Arial" w:cs="Arial"/>
          <w:b/>
          <w:lang w:val="en-GB"/>
        </w:rPr>
        <w:t xml:space="preserve">ompared </w:t>
      </w:r>
      <w:r w:rsidR="00005EC8">
        <w:rPr>
          <w:rFonts w:ascii="Arial" w:hAnsi="Arial" w:cs="Arial"/>
          <w:b/>
          <w:lang w:val="en-GB"/>
        </w:rPr>
        <w:t>with</w:t>
      </w:r>
      <w:r w:rsidR="00005EC8" w:rsidRPr="00A267BE">
        <w:rPr>
          <w:rFonts w:ascii="Arial" w:hAnsi="Arial" w:cs="Arial"/>
          <w:b/>
          <w:lang w:val="en-GB"/>
        </w:rPr>
        <w:t xml:space="preserve"> </w:t>
      </w:r>
      <w:r w:rsidRPr="00A267BE">
        <w:rPr>
          <w:rFonts w:ascii="Arial" w:hAnsi="Arial" w:cs="Arial"/>
          <w:b/>
          <w:lang w:val="en-GB"/>
        </w:rPr>
        <w:t xml:space="preserve">a </w:t>
      </w:r>
      <w:r w:rsidR="00005EC8">
        <w:rPr>
          <w:rFonts w:ascii="Arial" w:hAnsi="Arial" w:cs="Arial"/>
          <w:b/>
          <w:lang w:val="en-GB"/>
        </w:rPr>
        <w:t>Y</w:t>
      </w:r>
      <w:r w:rsidRPr="00A267BE">
        <w:rPr>
          <w:rFonts w:ascii="Arial" w:hAnsi="Arial" w:cs="Arial"/>
          <w:b/>
          <w:lang w:val="en-GB"/>
        </w:rPr>
        <w:t xml:space="preserve">ear </w:t>
      </w:r>
      <w:r w:rsidR="00005EC8">
        <w:rPr>
          <w:rFonts w:ascii="Arial" w:hAnsi="Arial" w:cs="Arial"/>
          <w:b/>
          <w:lang w:val="en-GB"/>
        </w:rPr>
        <w:t>E</w:t>
      </w:r>
      <w:r w:rsidRPr="00A267BE">
        <w:rPr>
          <w:rFonts w:ascii="Arial" w:hAnsi="Arial" w:cs="Arial"/>
          <w:b/>
          <w:lang w:val="en-GB"/>
        </w:rPr>
        <w:t>arlier</w:t>
      </w:r>
      <w:r w:rsidR="00005EC8">
        <w:rPr>
          <w:rFonts w:ascii="Arial" w:hAnsi="Arial" w:cs="Arial"/>
          <w:b/>
          <w:lang w:val="en-GB"/>
        </w:rPr>
        <w:t>, 2006–2015</w:t>
      </w:r>
    </w:p>
    <w:p w14:paraId="018AD453" w14:textId="77777777" w:rsidR="00AC6AE5" w:rsidRPr="00A267BE" w:rsidRDefault="00AC6AE5" w:rsidP="00AC6AE5">
      <w:pPr>
        <w:pStyle w:val="1Level"/>
        <w:numPr>
          <w:ilvl w:val="0"/>
          <w:numId w:val="0"/>
        </w:numPr>
        <w:spacing w:line="276" w:lineRule="auto"/>
        <w:jc w:val="both"/>
        <w:rPr>
          <w:b/>
          <w:color w:val="auto"/>
          <w:sz w:val="18"/>
          <w:szCs w:val="14"/>
          <w:lang w:val="en-GB"/>
        </w:rPr>
      </w:pPr>
    </w:p>
    <w:p w14:paraId="46002A2D" w14:textId="77777777" w:rsidR="00AC6AE5" w:rsidRPr="00A267BE" w:rsidRDefault="00AC6AE5" w:rsidP="00AC6AE5">
      <w:pPr>
        <w:pStyle w:val="1Level"/>
        <w:numPr>
          <w:ilvl w:val="0"/>
          <w:numId w:val="0"/>
        </w:numPr>
        <w:spacing w:line="276" w:lineRule="auto"/>
        <w:jc w:val="both"/>
        <w:rPr>
          <w:b/>
          <w:color w:val="auto"/>
          <w:sz w:val="18"/>
          <w:szCs w:val="14"/>
          <w:lang w:val="en-GB"/>
        </w:rPr>
      </w:pPr>
    </w:p>
    <w:p w14:paraId="0F5ED8C4" w14:textId="77777777" w:rsidR="00AC6AE5" w:rsidRPr="00A267BE" w:rsidRDefault="00AC6AE5" w:rsidP="00AC6AE5">
      <w:pPr>
        <w:pStyle w:val="1Level"/>
        <w:numPr>
          <w:ilvl w:val="0"/>
          <w:numId w:val="0"/>
        </w:numPr>
        <w:spacing w:line="276" w:lineRule="auto"/>
        <w:jc w:val="both"/>
        <w:rPr>
          <w:b/>
          <w:color w:val="auto"/>
          <w:sz w:val="18"/>
          <w:szCs w:val="14"/>
          <w:lang w:val="en-GB"/>
        </w:rPr>
      </w:pPr>
    </w:p>
    <w:p w14:paraId="44AEA308" w14:textId="09143CE2" w:rsidR="00AC6AE5" w:rsidRPr="00A267BE" w:rsidRDefault="00246CFE" w:rsidP="00AC6AE5">
      <w:pPr>
        <w:pStyle w:val="1Level"/>
        <w:numPr>
          <w:ilvl w:val="0"/>
          <w:numId w:val="0"/>
        </w:numPr>
        <w:spacing w:line="276" w:lineRule="auto"/>
        <w:jc w:val="both"/>
        <w:rPr>
          <w:b/>
          <w:color w:val="auto"/>
          <w:sz w:val="18"/>
          <w:szCs w:val="14"/>
          <w:lang w:val="en-GB"/>
        </w:rPr>
      </w:pPr>
      <w:r>
        <w:rPr>
          <w:b/>
          <w:noProof/>
          <w:color w:val="auto"/>
          <w:sz w:val="18"/>
          <w:szCs w:val="14"/>
        </w:rPr>
        <mc:AlternateContent>
          <mc:Choice Requires="wps">
            <w:drawing>
              <wp:anchor distT="0" distB="0" distL="114300" distR="114300" simplePos="0" relativeHeight="251663360" behindDoc="0" locked="0" layoutInCell="1" allowOverlap="1" wp14:anchorId="54549E2C" wp14:editId="62343CFA">
                <wp:simplePos x="0" y="0"/>
                <wp:positionH relativeFrom="column">
                  <wp:posOffset>4829810</wp:posOffset>
                </wp:positionH>
                <wp:positionV relativeFrom="paragraph">
                  <wp:posOffset>25400</wp:posOffset>
                </wp:positionV>
                <wp:extent cx="45085" cy="287655"/>
                <wp:effectExtent l="0" t="0" r="0" b="0"/>
                <wp:wrapNone/>
                <wp:docPr id="127" name="Rechteck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28765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9828A" id="Rechteck 127" o:spid="_x0000_s1026" style="position:absolute;margin-left:380.3pt;margin-top:2pt;width:3.5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" fillcolor="black [3200]" stroked="f" strokeweight="2pt">
                <v:path arrowok="t"/>
              </v:rect>
            </w:pict>
          </mc:Fallback>
        </mc:AlternateContent>
      </w:r>
    </w:p>
    <w:p w14:paraId="7AB13CD9" w14:textId="77777777" w:rsidR="00AC6AE5" w:rsidRPr="00A267BE" w:rsidRDefault="00AC6AE5" w:rsidP="00AC6AE5">
      <w:pPr>
        <w:pStyle w:val="1Level"/>
        <w:numPr>
          <w:ilvl w:val="0"/>
          <w:numId w:val="0"/>
        </w:numPr>
        <w:spacing w:line="276" w:lineRule="auto"/>
        <w:jc w:val="both"/>
        <w:rPr>
          <w:b/>
          <w:color w:val="auto"/>
          <w:sz w:val="18"/>
          <w:szCs w:val="14"/>
          <w:lang w:val="en-GB"/>
        </w:rPr>
      </w:pPr>
    </w:p>
    <w:p w14:paraId="7C7853F4" w14:textId="77777777" w:rsidR="00AC6AE5" w:rsidRPr="00A267BE" w:rsidRDefault="00AC6AE5" w:rsidP="00AC6AE5">
      <w:pPr>
        <w:pStyle w:val="1Level"/>
        <w:numPr>
          <w:ilvl w:val="0"/>
          <w:numId w:val="0"/>
        </w:numPr>
        <w:spacing w:line="276" w:lineRule="auto"/>
        <w:jc w:val="both"/>
        <w:rPr>
          <w:b/>
          <w:color w:val="auto"/>
          <w:sz w:val="18"/>
          <w:szCs w:val="14"/>
          <w:lang w:val="en-GB"/>
        </w:rPr>
      </w:pPr>
    </w:p>
    <w:p w14:paraId="2F39B30D" w14:textId="77777777" w:rsidR="00AC6AE5" w:rsidRPr="00A267BE" w:rsidRDefault="00AC6AE5" w:rsidP="00AC6AE5">
      <w:pPr>
        <w:pStyle w:val="1Level"/>
        <w:numPr>
          <w:ilvl w:val="0"/>
          <w:numId w:val="0"/>
        </w:numPr>
        <w:spacing w:line="276" w:lineRule="auto"/>
        <w:jc w:val="both"/>
        <w:rPr>
          <w:b/>
          <w:color w:val="auto"/>
          <w:sz w:val="18"/>
          <w:szCs w:val="14"/>
          <w:lang w:val="en-GB"/>
        </w:rPr>
      </w:pPr>
    </w:p>
    <w:p w14:paraId="5396B37E" w14:textId="7DF92B16" w:rsidR="00AC6AE5" w:rsidRPr="00A267BE" w:rsidRDefault="00246CFE" w:rsidP="00AC6AE5">
      <w:pPr>
        <w:pStyle w:val="1Level"/>
        <w:numPr>
          <w:ilvl w:val="0"/>
          <w:numId w:val="0"/>
        </w:numPr>
        <w:spacing w:line="276" w:lineRule="auto"/>
        <w:jc w:val="both"/>
        <w:rPr>
          <w:b/>
          <w:color w:val="auto"/>
          <w:sz w:val="18"/>
          <w:szCs w:val="14"/>
          <w:lang w:val="en-GB"/>
        </w:rPr>
      </w:pPr>
      <w:r>
        <w:rPr>
          <w:noProof/>
        </w:rPr>
        <mc:AlternateContent>
          <mc:Choice Requires="wps">
            <w:drawing>
              <wp:anchor distT="0" distB="0" distL="114300" distR="114300" simplePos="0" relativeHeight="251662336" behindDoc="0" locked="0" layoutInCell="1" allowOverlap="1" wp14:anchorId="4D44D7AC" wp14:editId="1B2BE4E7">
                <wp:simplePos x="0" y="0"/>
                <wp:positionH relativeFrom="margin">
                  <wp:posOffset>983615</wp:posOffset>
                </wp:positionH>
                <wp:positionV relativeFrom="paragraph">
                  <wp:posOffset>83820</wp:posOffset>
                </wp:positionV>
                <wp:extent cx="238125" cy="82550"/>
                <wp:effectExtent l="4445" t="3810" r="0" b="0"/>
                <wp:wrapNone/>
                <wp:docPr id="9"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38125" cy="82550"/>
                        </a:xfrm>
                        <a:prstGeom prst="rect">
                          <a:avLst/>
                        </a:prstGeom>
                        <a:pattFill prst="dkUpDiag">
                          <a:fgClr>
                            <a:schemeClr val="tx1">
                              <a:lumMod val="100000"/>
                              <a:lumOff val="0"/>
                            </a:schemeClr>
                          </a:fgClr>
                          <a:bgClr>
                            <a:schemeClr val="bg1">
                              <a:lumMod val="100000"/>
                              <a:lumOff val="0"/>
                            </a:schemeClr>
                          </a:bgClr>
                        </a:pattFill>
                        <a:ln>
                          <a:noFill/>
                        </a:ln>
                        <a:extLst>
                          <a:ext uri="{91240B29-F687-4F45-9708-019B960494DF}">
                            <a14:hiddenLine xmlns:a14="http://schemas.microsoft.com/office/drawing/2010/main" w="25400">
                              <a:solidFill>
                                <a:srgbClr val="000000"/>
                              </a:solidFill>
                              <a:miter lim="800000"/>
                              <a:headEnd/>
                              <a:tailEnd/>
                            </a14:hiddenLine>
                          </a:ext>
                        </a:extLst>
                      </wps:spPr>
                      <wps:bodyPr rot="0" vert="mongolian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E45960A" id="Rechteck 1" o:spid="_x0000_s1026" style="position:absolute;margin-left:77.45pt;margin-top:6.6pt;width:18.75pt;height:6.5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" fillcolor="black [3213]" stroked="f" strokeweight="2pt">
                <v:fill r:id="rId16" o:title="" color2="white [3212]" type="pattern"/>
                <v:textbox style="layout-flow:vertical;mso-layout-flow-alt:top-to-bottom"/>
                <w10:wrap anchorx="margin"/>
              </v:rect>
            </w:pict>
          </mc:Fallback>
        </mc:AlternateContent>
      </w:r>
    </w:p>
    <w:p w14:paraId="5770C456" w14:textId="77777777" w:rsidR="00AC6AE5" w:rsidRPr="00A267BE" w:rsidRDefault="00AC6AE5" w:rsidP="00AC6AE5">
      <w:pPr>
        <w:pStyle w:val="1Level"/>
        <w:numPr>
          <w:ilvl w:val="0"/>
          <w:numId w:val="0"/>
        </w:numPr>
        <w:spacing w:line="276" w:lineRule="auto"/>
        <w:jc w:val="both"/>
        <w:rPr>
          <w:b/>
          <w:color w:val="auto"/>
          <w:sz w:val="18"/>
          <w:szCs w:val="14"/>
          <w:lang w:val="en-GB"/>
        </w:rPr>
      </w:pPr>
    </w:p>
    <w:p w14:paraId="1C28EFBC" w14:textId="77777777" w:rsidR="00AC6AE5" w:rsidRPr="00A267BE" w:rsidRDefault="00AC6AE5" w:rsidP="00AC6AE5">
      <w:pPr>
        <w:pStyle w:val="1Level"/>
        <w:numPr>
          <w:ilvl w:val="0"/>
          <w:numId w:val="0"/>
        </w:numPr>
        <w:spacing w:line="276" w:lineRule="auto"/>
        <w:jc w:val="both"/>
        <w:rPr>
          <w:b/>
          <w:color w:val="auto"/>
          <w:sz w:val="18"/>
          <w:szCs w:val="14"/>
          <w:lang w:val="en-GB"/>
        </w:rPr>
      </w:pPr>
    </w:p>
    <w:p w14:paraId="6981C6A0" w14:textId="77777777" w:rsidR="00AC6AE5" w:rsidRPr="00A267BE" w:rsidRDefault="00AC6AE5" w:rsidP="00AC6AE5">
      <w:pPr>
        <w:pStyle w:val="1Level"/>
        <w:numPr>
          <w:ilvl w:val="0"/>
          <w:numId w:val="0"/>
        </w:numPr>
        <w:spacing w:line="276" w:lineRule="auto"/>
        <w:jc w:val="both"/>
        <w:rPr>
          <w:b/>
          <w:color w:val="auto"/>
          <w:sz w:val="18"/>
          <w:szCs w:val="14"/>
          <w:lang w:val="en-GB"/>
        </w:rPr>
      </w:pPr>
    </w:p>
    <w:p w14:paraId="32ADE555" w14:textId="77777777" w:rsidR="006D325D" w:rsidRPr="00A267BE" w:rsidRDefault="006D325D" w:rsidP="00AC6AE5">
      <w:pPr>
        <w:pStyle w:val="BodyTextMain"/>
        <w:rPr>
          <w:lang w:val="en-GB"/>
        </w:rPr>
      </w:pPr>
    </w:p>
    <w:p w14:paraId="5443B55C" w14:textId="77777777" w:rsidR="00306CD7" w:rsidRDefault="00306CD7" w:rsidP="006D325D">
      <w:pPr>
        <w:pStyle w:val="Footnote"/>
        <w:rPr>
          <w:lang w:val="en-GB"/>
        </w:rPr>
      </w:pPr>
    </w:p>
    <w:p w14:paraId="44916F33" w14:textId="77777777" w:rsidR="00AC6AE5" w:rsidRPr="00A267BE" w:rsidRDefault="00AC6AE5" w:rsidP="006D325D">
      <w:pPr>
        <w:pStyle w:val="Footnote"/>
        <w:rPr>
          <w:lang w:val="en-GB"/>
        </w:rPr>
      </w:pPr>
      <w:r w:rsidRPr="00A267BE">
        <w:rPr>
          <w:lang w:val="en-GB"/>
        </w:rPr>
        <w:t xml:space="preserve">Source: </w:t>
      </w:r>
      <w:r w:rsidR="00FA6525" w:rsidRPr="00A267BE">
        <w:rPr>
          <w:lang w:val="en-GB"/>
        </w:rPr>
        <w:t>I</w:t>
      </w:r>
      <w:r w:rsidR="00005EC8">
        <w:rPr>
          <w:lang w:val="en-GB"/>
        </w:rPr>
        <w:t xml:space="preserve">nternational </w:t>
      </w:r>
      <w:r w:rsidR="00FA6525" w:rsidRPr="00A267BE">
        <w:rPr>
          <w:lang w:val="en-GB"/>
        </w:rPr>
        <w:t>M</w:t>
      </w:r>
      <w:r w:rsidR="00005EC8">
        <w:rPr>
          <w:lang w:val="en-GB"/>
        </w:rPr>
        <w:t xml:space="preserve">onetary </w:t>
      </w:r>
      <w:r w:rsidR="00FA6525" w:rsidRPr="00A267BE">
        <w:rPr>
          <w:lang w:val="en-GB"/>
        </w:rPr>
        <w:t>F</w:t>
      </w:r>
      <w:r w:rsidR="00005EC8">
        <w:rPr>
          <w:lang w:val="en-GB"/>
        </w:rPr>
        <w:t>und</w:t>
      </w:r>
      <w:r w:rsidR="00FA6525" w:rsidRPr="00A267BE">
        <w:rPr>
          <w:lang w:val="en-GB"/>
        </w:rPr>
        <w:t xml:space="preserve">, </w:t>
      </w:r>
      <w:r w:rsidR="00FA6525" w:rsidRPr="00306CD7">
        <w:rPr>
          <w:lang w:val="en-GB"/>
        </w:rPr>
        <w:t xml:space="preserve">“IMF Data,” </w:t>
      </w:r>
      <w:r w:rsidR="00005EC8" w:rsidRPr="00306CD7">
        <w:rPr>
          <w:lang w:val="en-GB"/>
        </w:rPr>
        <w:t xml:space="preserve">2016, accessed </w:t>
      </w:r>
      <w:r w:rsidR="007C3FAB" w:rsidRPr="00306CD7">
        <w:rPr>
          <w:lang w:val="en-GB"/>
        </w:rPr>
        <w:t>December 15, 2016</w:t>
      </w:r>
      <w:r w:rsidR="00005EC8" w:rsidRPr="00306CD7">
        <w:rPr>
          <w:lang w:val="en-GB"/>
        </w:rPr>
        <w:t xml:space="preserve">, </w:t>
      </w:r>
      <w:r w:rsidR="00FA6525" w:rsidRPr="00306CD7">
        <w:rPr>
          <w:lang w:val="en-GB"/>
        </w:rPr>
        <w:t xml:space="preserve">www.imf.org/en/data; World Bank, “World Bank Open Data,” </w:t>
      </w:r>
      <w:r w:rsidR="00005EC8" w:rsidRPr="00306CD7">
        <w:rPr>
          <w:lang w:val="en-GB"/>
        </w:rPr>
        <w:t xml:space="preserve">2016, accessed </w:t>
      </w:r>
      <w:r w:rsidR="007C3FAB" w:rsidRPr="00306CD7">
        <w:rPr>
          <w:lang w:val="en-GB"/>
        </w:rPr>
        <w:t>December 15, 2016</w:t>
      </w:r>
      <w:r w:rsidR="00005EC8" w:rsidRPr="00306CD7">
        <w:rPr>
          <w:lang w:val="en-GB"/>
        </w:rPr>
        <w:t xml:space="preserve">, </w:t>
      </w:r>
      <w:hyperlink r:id="rId17" w:history="1">
        <w:r w:rsidR="00FA6525" w:rsidRPr="00306CD7">
          <w:rPr>
            <w:lang w:val="en-GB"/>
          </w:rPr>
          <w:t>http://data.worldbank.org/</w:t>
        </w:r>
      </w:hyperlink>
      <w:r w:rsidRPr="00306CD7">
        <w:rPr>
          <w:lang w:val="en-GB"/>
        </w:rPr>
        <w:t>.</w:t>
      </w:r>
    </w:p>
    <w:p w14:paraId="1A63DD22" w14:textId="77777777" w:rsidR="00FA6525" w:rsidRPr="00A267BE" w:rsidRDefault="00FA6525">
      <w:pPr>
        <w:spacing w:after="200" w:line="276" w:lineRule="auto"/>
        <w:rPr>
          <w:rFonts w:ascii="Arial" w:hAnsi="Arial" w:cs="Arial"/>
          <w:b/>
          <w:caps/>
          <w:lang w:val="en-GB"/>
        </w:rPr>
      </w:pPr>
      <w:r w:rsidRPr="00A267BE">
        <w:rPr>
          <w:lang w:val="en-GB"/>
        </w:rPr>
        <w:br w:type="page"/>
      </w:r>
    </w:p>
    <w:p w14:paraId="04272085" w14:textId="77777777" w:rsidR="00AC6AE5" w:rsidRPr="00A267BE" w:rsidRDefault="00AC6AE5" w:rsidP="00FA6525">
      <w:pPr>
        <w:pStyle w:val="Casehead1"/>
        <w:jc w:val="center"/>
        <w:rPr>
          <w:lang w:val="en-GB"/>
        </w:rPr>
      </w:pPr>
      <w:r w:rsidRPr="00A267BE">
        <w:rPr>
          <w:lang w:val="en-GB"/>
        </w:rPr>
        <w:lastRenderedPageBreak/>
        <w:t xml:space="preserve">EXHIBIT 4: DAILY CHANGE AND ABSOLUTE CURRENCY EXCHANGE RATE </w:t>
      </w:r>
      <w:r w:rsidR="00005EC8">
        <w:rPr>
          <w:lang w:val="en-GB"/>
        </w:rPr>
        <w:t>for the</w:t>
      </w:r>
      <w:r w:rsidR="00005EC8" w:rsidRPr="00A267BE">
        <w:rPr>
          <w:lang w:val="en-GB"/>
        </w:rPr>
        <w:t xml:space="preserve"> </w:t>
      </w:r>
      <w:r w:rsidRPr="00A267BE">
        <w:rPr>
          <w:lang w:val="en-GB"/>
        </w:rPr>
        <w:t>EUR</w:t>
      </w:r>
      <w:r w:rsidR="00005EC8">
        <w:rPr>
          <w:lang w:val="en-GB"/>
        </w:rPr>
        <w:t>o</w:t>
      </w:r>
      <w:r w:rsidRPr="00A267BE">
        <w:rPr>
          <w:lang w:val="en-GB"/>
        </w:rPr>
        <w:t xml:space="preserve"> AND </w:t>
      </w:r>
      <w:r w:rsidR="00005EC8">
        <w:rPr>
          <w:lang w:val="en-GB"/>
        </w:rPr>
        <w:t xml:space="preserve">the </w:t>
      </w:r>
      <w:r w:rsidRPr="00A267BE">
        <w:rPr>
          <w:lang w:val="en-GB"/>
        </w:rPr>
        <w:t>U</w:t>
      </w:r>
      <w:r w:rsidR="00005EC8">
        <w:rPr>
          <w:lang w:val="en-GB"/>
        </w:rPr>
        <w:t xml:space="preserve">krainian </w:t>
      </w:r>
      <w:r w:rsidRPr="00A267BE">
        <w:rPr>
          <w:lang w:val="en-GB"/>
        </w:rPr>
        <w:t>H</w:t>
      </w:r>
      <w:r w:rsidR="00005EC8">
        <w:rPr>
          <w:lang w:val="en-GB"/>
        </w:rPr>
        <w:t>ryvnia, January 1, 2014–August 30, 2014</w:t>
      </w:r>
    </w:p>
    <w:p w14:paraId="6C174683" w14:textId="77777777" w:rsidR="00AC6AE5" w:rsidRPr="00A267BE" w:rsidRDefault="00AC6AE5" w:rsidP="00AC6AE5">
      <w:pPr>
        <w:jc w:val="center"/>
        <w:rPr>
          <w:lang w:val="en-GB"/>
        </w:rPr>
      </w:pPr>
      <w:r w:rsidRPr="00A267BE">
        <w:rPr>
          <w:rFonts w:ascii="Arial" w:hAnsi="Arial" w:cs="Arial"/>
          <w:b/>
          <w:noProof/>
        </w:rPr>
        <w:drawing>
          <wp:anchor distT="0" distB="0" distL="114300" distR="114300" simplePos="0" relativeHeight="251660288" behindDoc="0" locked="0" layoutInCell="1" allowOverlap="1" wp14:anchorId="6512CB95" wp14:editId="1D18F4C3">
            <wp:simplePos x="0" y="0"/>
            <wp:positionH relativeFrom="column">
              <wp:posOffset>259080</wp:posOffset>
            </wp:positionH>
            <wp:positionV relativeFrom="paragraph">
              <wp:posOffset>226060</wp:posOffset>
            </wp:positionV>
            <wp:extent cx="5425440" cy="2484120"/>
            <wp:effectExtent l="0" t="0" r="3810" b="0"/>
            <wp:wrapNone/>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53F8F245" w14:textId="77777777" w:rsidR="00AC6AE5" w:rsidRPr="00A267BE" w:rsidRDefault="00AC6AE5" w:rsidP="00AC6AE5">
      <w:pPr>
        <w:pStyle w:val="Appendix"/>
        <w:rPr>
          <w:rFonts w:ascii="Times New Roman" w:hAnsi="Times New Roman"/>
          <w:color w:val="auto"/>
          <w:lang w:val="en-GB"/>
        </w:rPr>
      </w:pPr>
    </w:p>
    <w:p w14:paraId="10732373" w14:textId="77777777" w:rsidR="00AC6AE5" w:rsidRPr="00A267BE" w:rsidRDefault="00AC6AE5" w:rsidP="00AC6AE5">
      <w:pPr>
        <w:pStyle w:val="Appendix"/>
        <w:rPr>
          <w:rFonts w:ascii="Times New Roman" w:hAnsi="Times New Roman"/>
          <w:color w:val="auto"/>
          <w:lang w:val="en-GB"/>
        </w:rPr>
      </w:pPr>
    </w:p>
    <w:p w14:paraId="2C23B936" w14:textId="77777777" w:rsidR="00AC6AE5" w:rsidRPr="00A267BE" w:rsidRDefault="00AC6AE5" w:rsidP="00AC6AE5">
      <w:pPr>
        <w:pStyle w:val="Appendix"/>
        <w:rPr>
          <w:rFonts w:ascii="Times New Roman" w:hAnsi="Times New Roman"/>
          <w:color w:val="auto"/>
          <w:lang w:val="en-GB"/>
        </w:rPr>
      </w:pPr>
    </w:p>
    <w:p w14:paraId="71851C90" w14:textId="77777777" w:rsidR="00AC6AE5" w:rsidRPr="00A267BE" w:rsidRDefault="00AC6AE5" w:rsidP="00AC6AE5">
      <w:pPr>
        <w:pStyle w:val="Appendix"/>
        <w:rPr>
          <w:rFonts w:ascii="Times New Roman" w:hAnsi="Times New Roman"/>
          <w:color w:val="auto"/>
          <w:lang w:val="en-GB"/>
        </w:rPr>
      </w:pPr>
    </w:p>
    <w:p w14:paraId="1AA5B940" w14:textId="77777777" w:rsidR="00AC6AE5" w:rsidRPr="00A267BE" w:rsidRDefault="00AC6AE5" w:rsidP="00AC6AE5">
      <w:pPr>
        <w:pStyle w:val="Appendix"/>
        <w:rPr>
          <w:rFonts w:ascii="Times New Roman" w:hAnsi="Times New Roman"/>
          <w:color w:val="auto"/>
          <w:lang w:val="en-GB"/>
        </w:rPr>
      </w:pPr>
    </w:p>
    <w:p w14:paraId="62C08651" w14:textId="77777777" w:rsidR="00AC6AE5" w:rsidRPr="00A267BE" w:rsidRDefault="00AC6AE5" w:rsidP="00AC6AE5">
      <w:pPr>
        <w:pStyle w:val="Appendix"/>
        <w:rPr>
          <w:rFonts w:ascii="Times New Roman" w:hAnsi="Times New Roman"/>
          <w:color w:val="auto"/>
          <w:lang w:val="en-GB"/>
        </w:rPr>
      </w:pPr>
    </w:p>
    <w:p w14:paraId="0EEDC8DD" w14:textId="77777777" w:rsidR="00AC6AE5" w:rsidRPr="00A267BE" w:rsidRDefault="00AC6AE5" w:rsidP="00AC6AE5">
      <w:pPr>
        <w:pStyle w:val="Appendix"/>
        <w:rPr>
          <w:rFonts w:ascii="Times New Roman" w:hAnsi="Times New Roman"/>
          <w:color w:val="auto"/>
          <w:lang w:val="en-GB"/>
        </w:rPr>
      </w:pPr>
    </w:p>
    <w:p w14:paraId="533F8E4A" w14:textId="77777777" w:rsidR="00AC6AE5" w:rsidRPr="00A267BE" w:rsidRDefault="00AC6AE5" w:rsidP="00AC6AE5">
      <w:pPr>
        <w:pStyle w:val="Appendix"/>
        <w:rPr>
          <w:rFonts w:ascii="Times New Roman" w:hAnsi="Times New Roman"/>
          <w:color w:val="auto"/>
          <w:lang w:val="en-GB"/>
        </w:rPr>
      </w:pPr>
    </w:p>
    <w:p w14:paraId="48429C14" w14:textId="77777777" w:rsidR="00AC6AE5" w:rsidRPr="00A267BE" w:rsidRDefault="00AC6AE5" w:rsidP="00AC6AE5">
      <w:pPr>
        <w:pStyle w:val="Appendix"/>
        <w:rPr>
          <w:rFonts w:ascii="Times New Roman" w:hAnsi="Times New Roman"/>
          <w:color w:val="auto"/>
          <w:lang w:val="en-GB"/>
        </w:rPr>
      </w:pPr>
    </w:p>
    <w:p w14:paraId="3E6A7405" w14:textId="77777777" w:rsidR="00AC6AE5" w:rsidRPr="00A267BE" w:rsidRDefault="00AC6AE5" w:rsidP="00AC6AE5">
      <w:pPr>
        <w:pStyle w:val="Appendix"/>
        <w:rPr>
          <w:rFonts w:ascii="Times New Roman" w:hAnsi="Times New Roman"/>
          <w:color w:val="auto"/>
          <w:lang w:val="en-GB"/>
        </w:rPr>
      </w:pPr>
    </w:p>
    <w:p w14:paraId="14F1CBF8" w14:textId="77777777" w:rsidR="00AC6AE5" w:rsidRPr="00A267BE" w:rsidRDefault="00AC6AE5" w:rsidP="00AC6AE5">
      <w:pPr>
        <w:pStyle w:val="Appendix"/>
        <w:rPr>
          <w:rFonts w:ascii="Times New Roman" w:hAnsi="Times New Roman"/>
          <w:color w:val="auto"/>
          <w:lang w:val="en-GB"/>
        </w:rPr>
      </w:pPr>
    </w:p>
    <w:p w14:paraId="1B2AAF01" w14:textId="4E6713A6" w:rsidR="00AC6AE5" w:rsidRPr="00A267BE" w:rsidRDefault="00246CFE" w:rsidP="00AC6AE5">
      <w:pPr>
        <w:pStyle w:val="Appendix"/>
        <w:rPr>
          <w:rFonts w:ascii="Times New Roman" w:hAnsi="Times New Roman"/>
          <w:color w:val="auto"/>
          <w:lang w:val="en-GB"/>
        </w:rPr>
      </w:pPr>
      <w:r>
        <w:rPr>
          <w:lang w:val="en-US" w:eastAsia="en-US"/>
        </w:rPr>
        <mc:AlternateContent>
          <mc:Choice Requires="wps">
            <w:drawing>
              <wp:anchor distT="0" distB="0" distL="114300" distR="114300" simplePos="0" relativeHeight="251672576" behindDoc="0" locked="0" layoutInCell="1" allowOverlap="1" wp14:anchorId="6172AA50" wp14:editId="7929A9E1">
                <wp:simplePos x="0" y="0"/>
                <wp:positionH relativeFrom="column">
                  <wp:posOffset>701040</wp:posOffset>
                </wp:positionH>
                <wp:positionV relativeFrom="paragraph">
                  <wp:posOffset>47625</wp:posOffset>
                </wp:positionV>
                <wp:extent cx="891540" cy="251460"/>
                <wp:effectExtent l="0" t="0" r="381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89A1A" w14:textId="77777777" w:rsidR="007C3FAB" w:rsidRPr="00306CD7" w:rsidRDefault="007C3FAB" w:rsidP="00306CD7">
                            <w:pPr>
                              <w:jc w:val="center"/>
                              <w:rPr>
                                <w:rFonts w:ascii="Arial" w:hAnsi="Arial" w:cs="Arial"/>
                                <w:sz w:val="18"/>
                                <w:szCs w:val="18"/>
                                <w:lang w:val="de-DE"/>
                              </w:rPr>
                            </w:pPr>
                            <w:r w:rsidRPr="007C3FAB">
                              <w:rPr>
                                <w:rFonts w:ascii="Arial" w:hAnsi="Arial" w:cs="Arial"/>
                                <w:sz w:val="18"/>
                                <w:szCs w:val="18"/>
                                <w:lang w:val="de-DE"/>
                              </w:rPr>
                              <w:t>Jan</w:t>
                            </w:r>
                            <w:r w:rsidRPr="00306CD7">
                              <w:rPr>
                                <w:rFonts w:ascii="Arial" w:hAnsi="Arial" w:cs="Arial"/>
                                <w:sz w:val="18"/>
                                <w:szCs w:val="18"/>
                                <w:lang w:val="de-DE"/>
                              </w:rPr>
                              <w:t xml:space="preserve"> 1, 2014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2AA50" id="_x0000_t202" coordsize="21600,21600" o:spt="202" path="m,l,21600r21600,l21600,xe">
                <v:stroke joinstyle="miter"/>
                <v:path gradientshapeok="t" o:connecttype="rect"/>
              </v:shapetype>
              <v:shape id="Textfeld 6" o:spid="_x0000_s1026" type="#_x0000_t202" style="position:absolute;left:0;text-align:left;margin-left:55.2pt;margin-top:3.75pt;width:70.2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" fillcolor="white [3201]" stroked="f" strokeweight=".5pt">
                <v:path arrowok="t"/>
                <v:textbox>
                  <w:txbxContent>
                    <w:p w14:paraId="74189A1A" w14:textId="77777777" w:rsidR="007C3FAB" w:rsidRPr="00306CD7" w:rsidRDefault="007C3FAB" w:rsidP="00306CD7">
                      <w:pPr>
                        <w:jc w:val="center"/>
                        <w:rPr>
                          <w:rFonts w:ascii="Arial" w:hAnsi="Arial" w:cs="Arial"/>
                          <w:sz w:val="18"/>
                          <w:szCs w:val="18"/>
                          <w:lang w:val="de-DE"/>
                        </w:rPr>
                      </w:pPr>
                      <w:r w:rsidRPr="007C3FAB">
                        <w:rPr>
                          <w:rFonts w:ascii="Arial" w:hAnsi="Arial" w:cs="Arial"/>
                          <w:sz w:val="18"/>
                          <w:szCs w:val="18"/>
                          <w:lang w:val="de-DE"/>
                        </w:rPr>
                        <w:t>Jan</w:t>
                      </w:r>
                      <w:r w:rsidRPr="00306CD7">
                        <w:rPr>
                          <w:rFonts w:ascii="Arial" w:hAnsi="Arial" w:cs="Arial"/>
                          <w:sz w:val="18"/>
                          <w:szCs w:val="18"/>
                          <w:lang w:val="de-DE"/>
                        </w:rPr>
                        <w:t xml:space="preserve"> 1, 2014</w:t>
                      </w:r>
                    </w:p>
                  </w:txbxContent>
                </v:textbox>
              </v:shape>
            </w:pict>
          </mc:Fallback>
        </mc:AlternateContent>
      </w:r>
      <w:r>
        <w:rPr>
          <w:lang w:val="en-US" w:eastAsia="en-US"/>
        </w:rPr>
        <mc:AlternateContent>
          <mc:Choice Requires="wps">
            <w:drawing>
              <wp:anchor distT="0" distB="0" distL="114300" distR="114300" simplePos="0" relativeHeight="251673600" behindDoc="0" locked="0" layoutInCell="1" allowOverlap="1" wp14:anchorId="06FCB83A" wp14:editId="1C0F9BE4">
                <wp:simplePos x="0" y="0"/>
                <wp:positionH relativeFrom="column">
                  <wp:posOffset>2560320</wp:posOffset>
                </wp:positionH>
                <wp:positionV relativeFrom="paragraph">
                  <wp:posOffset>47625</wp:posOffset>
                </wp:positionV>
                <wp:extent cx="891540" cy="251460"/>
                <wp:effectExtent l="0" t="0" r="3810" b="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AD65D" w14:textId="77777777" w:rsidR="007C3FAB" w:rsidRPr="00306CD7" w:rsidRDefault="007C3FAB" w:rsidP="00306CD7">
                            <w:pPr>
                              <w:jc w:val="center"/>
                              <w:rPr>
                                <w:rFonts w:ascii="Arial" w:hAnsi="Arial" w:cs="Arial"/>
                                <w:sz w:val="18"/>
                                <w:szCs w:val="18"/>
                                <w:lang w:val="de-DE"/>
                              </w:rPr>
                            </w:pPr>
                            <w:r>
                              <w:rPr>
                                <w:rFonts w:ascii="Arial" w:hAnsi="Arial" w:cs="Arial"/>
                                <w:sz w:val="18"/>
                                <w:szCs w:val="18"/>
                                <w:lang w:val="de-DE"/>
                              </w:rPr>
                              <w:t>May</w:t>
                            </w:r>
                            <w:r w:rsidRPr="00306CD7">
                              <w:rPr>
                                <w:rFonts w:ascii="Arial" w:hAnsi="Arial" w:cs="Arial"/>
                                <w:sz w:val="18"/>
                                <w:szCs w:val="18"/>
                                <w:lang w:val="de-DE"/>
                              </w:rPr>
                              <w:t xml:space="preserve"> </w:t>
                            </w:r>
                            <w:r>
                              <w:rPr>
                                <w:rFonts w:ascii="Arial" w:hAnsi="Arial" w:cs="Arial"/>
                                <w:sz w:val="18"/>
                                <w:szCs w:val="18"/>
                                <w:lang w:val="de-DE"/>
                              </w:rPr>
                              <w:t>7</w:t>
                            </w:r>
                            <w:r w:rsidRPr="00306CD7">
                              <w:rPr>
                                <w:rFonts w:ascii="Arial" w:hAnsi="Arial" w:cs="Arial"/>
                                <w:sz w:val="18"/>
                                <w:szCs w:val="18"/>
                                <w:lang w:val="de-DE"/>
                              </w:rPr>
                              <w:t>,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B83A" id="Textfeld 7" o:spid="_x0000_s1027" type="#_x0000_t202" style="position:absolute;left:0;text-align:left;margin-left:201.6pt;margin-top:3.75pt;width:70.2pt;height:1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" fillcolor="white [3201]" stroked="f" strokeweight=".5pt">
                <v:path arrowok="t"/>
                <v:textbox>
                  <w:txbxContent>
                    <w:p w14:paraId="287AD65D" w14:textId="77777777" w:rsidR="007C3FAB" w:rsidRPr="00306CD7" w:rsidRDefault="007C3FAB" w:rsidP="00306CD7">
                      <w:pPr>
                        <w:jc w:val="center"/>
                        <w:rPr>
                          <w:rFonts w:ascii="Arial" w:hAnsi="Arial" w:cs="Arial"/>
                          <w:sz w:val="18"/>
                          <w:szCs w:val="18"/>
                          <w:lang w:val="de-DE"/>
                        </w:rPr>
                      </w:pPr>
                      <w:r>
                        <w:rPr>
                          <w:rFonts w:ascii="Arial" w:hAnsi="Arial" w:cs="Arial"/>
                          <w:sz w:val="18"/>
                          <w:szCs w:val="18"/>
                          <w:lang w:val="de-DE"/>
                        </w:rPr>
                        <w:t>May</w:t>
                      </w:r>
                      <w:r w:rsidRPr="00306CD7">
                        <w:rPr>
                          <w:rFonts w:ascii="Arial" w:hAnsi="Arial" w:cs="Arial"/>
                          <w:sz w:val="18"/>
                          <w:szCs w:val="18"/>
                          <w:lang w:val="de-DE"/>
                        </w:rPr>
                        <w:t xml:space="preserve"> </w:t>
                      </w:r>
                      <w:r>
                        <w:rPr>
                          <w:rFonts w:ascii="Arial" w:hAnsi="Arial" w:cs="Arial"/>
                          <w:sz w:val="18"/>
                          <w:szCs w:val="18"/>
                          <w:lang w:val="de-DE"/>
                        </w:rPr>
                        <w:t>7</w:t>
                      </w:r>
                      <w:r w:rsidRPr="00306CD7">
                        <w:rPr>
                          <w:rFonts w:ascii="Arial" w:hAnsi="Arial" w:cs="Arial"/>
                          <w:sz w:val="18"/>
                          <w:szCs w:val="18"/>
                          <w:lang w:val="de-DE"/>
                        </w:rPr>
                        <w:t>, 2014</w:t>
                      </w:r>
                    </w:p>
                  </w:txbxContent>
                </v:textbox>
              </v:shape>
            </w:pict>
          </mc:Fallback>
        </mc:AlternateContent>
      </w:r>
      <w:r>
        <w:rPr>
          <w:lang w:val="en-US" w:eastAsia="en-US"/>
        </w:rPr>
        <mc:AlternateContent>
          <mc:Choice Requires="wps">
            <w:drawing>
              <wp:anchor distT="0" distB="0" distL="114300" distR="114300" simplePos="0" relativeHeight="251674624" behindDoc="0" locked="0" layoutInCell="1" allowOverlap="1" wp14:anchorId="28343189" wp14:editId="7B9A4D28">
                <wp:simplePos x="0" y="0"/>
                <wp:positionH relativeFrom="column">
                  <wp:posOffset>4564380</wp:posOffset>
                </wp:positionH>
                <wp:positionV relativeFrom="paragraph">
                  <wp:posOffset>47625</wp:posOffset>
                </wp:positionV>
                <wp:extent cx="891540" cy="251460"/>
                <wp:effectExtent l="0" t="0" r="381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BDD02" w14:textId="3A797974" w:rsidR="007C3FAB" w:rsidRPr="00306CD7" w:rsidRDefault="007C3FAB" w:rsidP="00306CD7">
                            <w:pPr>
                              <w:jc w:val="center"/>
                              <w:rPr>
                                <w:rFonts w:ascii="Arial" w:hAnsi="Arial" w:cs="Arial"/>
                                <w:sz w:val="18"/>
                                <w:szCs w:val="18"/>
                                <w:lang w:val="de-DE"/>
                              </w:rPr>
                            </w:pPr>
                            <w:r w:rsidRPr="007C3FAB">
                              <w:rPr>
                                <w:rFonts w:ascii="Arial" w:hAnsi="Arial" w:cs="Arial"/>
                                <w:sz w:val="18"/>
                                <w:szCs w:val="18"/>
                                <w:lang w:val="de-DE"/>
                              </w:rPr>
                              <w:t>Aug</w:t>
                            </w:r>
                            <w:r w:rsidRPr="00306CD7">
                              <w:rPr>
                                <w:rFonts w:ascii="Arial" w:hAnsi="Arial" w:cs="Arial"/>
                                <w:sz w:val="18"/>
                                <w:szCs w:val="18"/>
                                <w:lang w:val="de-DE"/>
                              </w:rPr>
                              <w:t xml:space="preserve"> </w:t>
                            </w:r>
                            <w:r>
                              <w:rPr>
                                <w:rFonts w:ascii="Arial" w:hAnsi="Arial" w:cs="Arial"/>
                                <w:sz w:val="18"/>
                                <w:szCs w:val="18"/>
                                <w:lang w:val="de-DE"/>
                              </w:rPr>
                              <w:t>4,</w:t>
                            </w:r>
                            <w:r w:rsidRPr="00306CD7">
                              <w:rPr>
                                <w:rFonts w:ascii="Arial" w:hAnsi="Arial" w:cs="Arial"/>
                                <w:sz w:val="18"/>
                                <w:szCs w:val="18"/>
                                <w:lang w:val="de-DE"/>
                              </w:rPr>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43189" id="_x0000_t202" coordsize="21600,21600" o:spt="202" path="m,l,21600r21600,l21600,xe">
                <v:stroke joinstyle="miter"/>
                <v:path gradientshapeok="t" o:connecttype="rect"/>
              </v:shapetype>
              <v:shape id="Textfeld 8" o:spid="_x0000_s1028" type="#_x0000_t202" style="position:absolute;left:0;text-align:left;margin-left:359.4pt;margin-top:3.75pt;width:70.2pt;height:1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" fillcolor="white [3201]" stroked="f" strokeweight=".5pt">
                <v:path arrowok="t"/>
                <v:textbox>
                  <w:txbxContent>
                    <w:p w14:paraId="0F9BDD02" w14:textId="3A797974" w:rsidR="007C3FAB" w:rsidRPr="00306CD7" w:rsidRDefault="007C3FAB" w:rsidP="00306CD7">
                      <w:pPr>
                        <w:jc w:val="center"/>
                        <w:rPr>
                          <w:rFonts w:ascii="Arial" w:hAnsi="Arial" w:cs="Arial"/>
                          <w:sz w:val="18"/>
                          <w:szCs w:val="18"/>
                          <w:lang w:val="de-DE"/>
                        </w:rPr>
                      </w:pPr>
                      <w:r w:rsidRPr="007C3FAB">
                        <w:rPr>
                          <w:rFonts w:ascii="Arial" w:hAnsi="Arial" w:cs="Arial"/>
                          <w:sz w:val="18"/>
                          <w:szCs w:val="18"/>
                          <w:lang w:val="de-DE"/>
                        </w:rPr>
                        <w:t>Aug</w:t>
                      </w:r>
                      <w:r w:rsidRPr="00306CD7">
                        <w:rPr>
                          <w:rFonts w:ascii="Arial" w:hAnsi="Arial" w:cs="Arial"/>
                          <w:sz w:val="18"/>
                          <w:szCs w:val="18"/>
                          <w:lang w:val="de-DE"/>
                        </w:rPr>
                        <w:t xml:space="preserve"> </w:t>
                      </w:r>
                      <w:r>
                        <w:rPr>
                          <w:rFonts w:ascii="Arial" w:hAnsi="Arial" w:cs="Arial"/>
                          <w:sz w:val="18"/>
                          <w:szCs w:val="18"/>
                          <w:lang w:val="de-DE"/>
                        </w:rPr>
                        <w:t>4,</w:t>
                      </w:r>
                      <w:r w:rsidRPr="00306CD7">
                        <w:rPr>
                          <w:rFonts w:ascii="Arial" w:hAnsi="Arial" w:cs="Arial"/>
                          <w:sz w:val="18"/>
                          <w:szCs w:val="18"/>
                          <w:lang w:val="de-DE"/>
                        </w:rPr>
                        <w:t xml:space="preserve"> 2014</w:t>
                      </w:r>
                    </w:p>
                  </w:txbxContent>
                </v:textbox>
              </v:shape>
            </w:pict>
          </mc:Fallback>
        </mc:AlternateContent>
      </w:r>
    </w:p>
    <w:p w14:paraId="4F887EE5" w14:textId="77777777" w:rsidR="00AC6AE5" w:rsidRPr="00A267BE" w:rsidRDefault="00AC6AE5" w:rsidP="00AC6AE5">
      <w:pPr>
        <w:jc w:val="center"/>
        <w:rPr>
          <w:b/>
          <w:sz w:val="18"/>
          <w:szCs w:val="18"/>
          <w:lang w:val="en-GB"/>
        </w:rPr>
      </w:pPr>
      <w:r w:rsidRPr="00A267BE">
        <w:rPr>
          <w:rFonts w:ascii="Arial" w:hAnsi="Arial" w:cs="Arial"/>
          <w:b/>
          <w:lang w:val="en-GB"/>
        </w:rPr>
        <w:t>01/09/2014 – 30/09/2014</w:t>
      </w:r>
    </w:p>
    <w:p w14:paraId="4279069C" w14:textId="77777777" w:rsidR="00AC6AE5" w:rsidRPr="00A267BE" w:rsidRDefault="00AC6AE5" w:rsidP="00AC6AE5">
      <w:pPr>
        <w:pStyle w:val="1Level"/>
        <w:numPr>
          <w:ilvl w:val="0"/>
          <w:numId w:val="0"/>
        </w:numPr>
        <w:spacing w:before="60" w:line="276" w:lineRule="auto"/>
        <w:jc w:val="both"/>
        <w:rPr>
          <w:color w:val="auto"/>
          <w:sz w:val="18"/>
          <w:szCs w:val="18"/>
          <w:lang w:val="en-GB"/>
        </w:rPr>
      </w:pPr>
    </w:p>
    <w:p w14:paraId="37FF6C55" w14:textId="77777777" w:rsidR="00005EC8" w:rsidRDefault="00005EC8" w:rsidP="00FA6525">
      <w:pPr>
        <w:pStyle w:val="Footnote"/>
        <w:rPr>
          <w:lang w:val="en-GB"/>
        </w:rPr>
      </w:pPr>
      <w:r>
        <w:rPr>
          <w:lang w:val="en-GB"/>
        </w:rPr>
        <w:t>Note: EUR = euro; UAH = Ukrainian hryvnia</w:t>
      </w:r>
    </w:p>
    <w:p w14:paraId="5CEBD4AA" w14:textId="13BFE3E4" w:rsidR="00AC6AE5" w:rsidRPr="00A267BE" w:rsidRDefault="00AC6AE5" w:rsidP="00FA6525">
      <w:pPr>
        <w:pStyle w:val="Footnote"/>
        <w:rPr>
          <w:lang w:val="en-GB"/>
        </w:rPr>
      </w:pPr>
      <w:r w:rsidRPr="00A267BE">
        <w:rPr>
          <w:lang w:val="en-GB"/>
        </w:rPr>
        <w:t xml:space="preserve">Source: </w:t>
      </w:r>
      <w:r w:rsidR="00FA6525" w:rsidRPr="00A267BE">
        <w:rPr>
          <w:lang w:val="en-GB"/>
        </w:rPr>
        <w:t xml:space="preserve">National Bank </w:t>
      </w:r>
      <w:r w:rsidR="00005EC8">
        <w:rPr>
          <w:lang w:val="en-GB"/>
        </w:rPr>
        <w:t xml:space="preserve">of </w:t>
      </w:r>
      <w:r w:rsidR="00FA6525" w:rsidRPr="00A267BE">
        <w:rPr>
          <w:lang w:val="en-GB"/>
        </w:rPr>
        <w:t xml:space="preserve">Ukraine, “Official Exchange Rate of Hryvnia against Foreign Currencies,” </w:t>
      </w:r>
      <w:r w:rsidR="00005EC8">
        <w:rPr>
          <w:lang w:val="en-GB"/>
        </w:rPr>
        <w:t xml:space="preserve">2016, accessed </w:t>
      </w:r>
      <w:r w:rsidR="007C3FAB">
        <w:rPr>
          <w:lang w:val="en-GB"/>
        </w:rPr>
        <w:t>December 15, 2016</w:t>
      </w:r>
      <w:r w:rsidR="00FA6525" w:rsidRPr="005828EE">
        <w:rPr>
          <w:lang w:val="en-GB"/>
        </w:rPr>
        <w:t>.</w:t>
      </w:r>
    </w:p>
    <w:p w14:paraId="5E4A6B27" w14:textId="77777777" w:rsidR="00AC6AE5" w:rsidRPr="00A267BE" w:rsidRDefault="00AC6AE5" w:rsidP="00AC6AE5">
      <w:pPr>
        <w:pStyle w:val="BodyTextMain"/>
        <w:rPr>
          <w:lang w:val="en-GB"/>
        </w:rPr>
      </w:pPr>
    </w:p>
    <w:p w14:paraId="67FD987F" w14:textId="77777777" w:rsidR="00FA6525" w:rsidRPr="00A267BE" w:rsidRDefault="00FA6525" w:rsidP="00AC6AE5">
      <w:pPr>
        <w:pStyle w:val="BodyTextMain"/>
        <w:rPr>
          <w:lang w:val="en-GB"/>
        </w:rPr>
      </w:pPr>
      <w:r w:rsidRPr="00A267BE">
        <w:rPr>
          <w:rFonts w:ascii="Arial" w:hAnsi="Arial" w:cs="Arial"/>
          <w:b/>
          <w:noProof/>
          <w:sz w:val="20"/>
          <w:szCs w:val="20"/>
        </w:rPr>
        <w:drawing>
          <wp:anchor distT="0" distB="0" distL="114300" distR="114300" simplePos="0" relativeHeight="251665408" behindDoc="0" locked="0" layoutInCell="1" allowOverlap="1" wp14:anchorId="755D0B8A" wp14:editId="0D90A4DF">
            <wp:simplePos x="0" y="0"/>
            <wp:positionH relativeFrom="column">
              <wp:posOffset>259080</wp:posOffset>
            </wp:positionH>
            <wp:positionV relativeFrom="paragraph">
              <wp:posOffset>0</wp:posOffset>
            </wp:positionV>
            <wp:extent cx="5425440" cy="2186940"/>
            <wp:effectExtent l="0" t="0" r="3810" b="3810"/>
            <wp:wrapNone/>
            <wp:docPr id="126" name="Diagramm 1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06D03E78" w14:textId="77777777" w:rsidR="00FA6525" w:rsidRPr="00A267BE" w:rsidRDefault="00FA6525" w:rsidP="00AC6AE5">
      <w:pPr>
        <w:pStyle w:val="BodyTextMain"/>
        <w:rPr>
          <w:lang w:val="en-GB"/>
        </w:rPr>
      </w:pPr>
    </w:p>
    <w:p w14:paraId="7DF93E82" w14:textId="77777777" w:rsidR="00AC6AE5" w:rsidRPr="00A267BE" w:rsidRDefault="00AC6AE5" w:rsidP="00AC6AE5">
      <w:pPr>
        <w:pStyle w:val="BodyTextMain"/>
        <w:rPr>
          <w:lang w:val="en-GB"/>
        </w:rPr>
      </w:pPr>
    </w:p>
    <w:p w14:paraId="5DDFF4EA" w14:textId="77777777" w:rsidR="00FA6525" w:rsidRPr="00A267BE" w:rsidRDefault="00FA6525" w:rsidP="00AC6AE5">
      <w:pPr>
        <w:pStyle w:val="BodyTextMain"/>
        <w:rPr>
          <w:lang w:val="en-GB"/>
        </w:rPr>
      </w:pPr>
    </w:p>
    <w:p w14:paraId="73C3A03A" w14:textId="77777777" w:rsidR="00FA6525" w:rsidRPr="00A267BE" w:rsidRDefault="00FA6525" w:rsidP="00AC6AE5">
      <w:pPr>
        <w:pStyle w:val="BodyTextMain"/>
        <w:rPr>
          <w:lang w:val="en-GB"/>
        </w:rPr>
      </w:pPr>
    </w:p>
    <w:p w14:paraId="32E6CE80" w14:textId="77777777" w:rsidR="00FA6525" w:rsidRPr="00A267BE" w:rsidRDefault="00FA6525" w:rsidP="00AC6AE5">
      <w:pPr>
        <w:pStyle w:val="BodyTextMain"/>
        <w:rPr>
          <w:lang w:val="en-GB"/>
        </w:rPr>
      </w:pPr>
    </w:p>
    <w:p w14:paraId="5B8CE109" w14:textId="77777777" w:rsidR="00FA6525" w:rsidRPr="00A267BE" w:rsidRDefault="00FA6525" w:rsidP="00AC6AE5">
      <w:pPr>
        <w:pStyle w:val="BodyTextMain"/>
        <w:rPr>
          <w:lang w:val="en-GB"/>
        </w:rPr>
      </w:pPr>
    </w:p>
    <w:p w14:paraId="46A1FC9F" w14:textId="77777777" w:rsidR="00FA6525" w:rsidRPr="00A267BE" w:rsidRDefault="00FA6525" w:rsidP="00AC6AE5">
      <w:pPr>
        <w:pStyle w:val="BodyTextMain"/>
        <w:rPr>
          <w:lang w:val="en-GB"/>
        </w:rPr>
      </w:pPr>
    </w:p>
    <w:p w14:paraId="4F653E3F" w14:textId="77777777" w:rsidR="00FA6525" w:rsidRPr="00A267BE" w:rsidRDefault="00FA6525" w:rsidP="00AC6AE5">
      <w:pPr>
        <w:pStyle w:val="BodyTextMain"/>
        <w:rPr>
          <w:lang w:val="en-GB"/>
        </w:rPr>
      </w:pPr>
    </w:p>
    <w:p w14:paraId="7A11D299" w14:textId="77777777" w:rsidR="00FA6525" w:rsidRPr="00A267BE" w:rsidRDefault="00FA6525" w:rsidP="00AC6AE5">
      <w:pPr>
        <w:pStyle w:val="BodyTextMain"/>
        <w:rPr>
          <w:lang w:val="en-GB"/>
        </w:rPr>
      </w:pPr>
    </w:p>
    <w:p w14:paraId="18C91E03" w14:textId="77777777" w:rsidR="00FA6525" w:rsidRPr="00A267BE" w:rsidRDefault="00FA6525" w:rsidP="00AC6AE5">
      <w:pPr>
        <w:pStyle w:val="BodyTextMain"/>
        <w:rPr>
          <w:lang w:val="en-GB"/>
        </w:rPr>
      </w:pPr>
    </w:p>
    <w:p w14:paraId="76911840" w14:textId="25D20DE6" w:rsidR="00FA6525" w:rsidRPr="00A267BE" w:rsidRDefault="00246CFE" w:rsidP="00AC6AE5">
      <w:pPr>
        <w:pStyle w:val="BodyTextMain"/>
        <w:rPr>
          <w:lang w:val="en-GB"/>
        </w:rPr>
      </w:pPr>
      <w:r>
        <w:rPr>
          <w:noProof/>
        </w:rPr>
        <mc:AlternateContent>
          <mc:Choice Requires="wps">
            <w:drawing>
              <wp:anchor distT="0" distB="0" distL="114300" distR="114300" simplePos="0" relativeHeight="251666432" behindDoc="0" locked="0" layoutInCell="1" allowOverlap="1" wp14:anchorId="0111BCAF" wp14:editId="254010D2">
                <wp:simplePos x="0" y="0"/>
                <wp:positionH relativeFrom="column">
                  <wp:posOffset>662940</wp:posOffset>
                </wp:positionH>
                <wp:positionV relativeFrom="paragraph">
                  <wp:posOffset>27305</wp:posOffset>
                </wp:positionV>
                <wp:extent cx="891540" cy="251460"/>
                <wp:effectExtent l="0" t="0" r="3810"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BD7FF" w14:textId="77777777" w:rsidR="007C3FAB" w:rsidRPr="00306CD7" w:rsidRDefault="007C3FAB" w:rsidP="00306CD7">
                            <w:pPr>
                              <w:jc w:val="center"/>
                              <w:rPr>
                                <w:rFonts w:ascii="Arial" w:hAnsi="Arial" w:cs="Arial"/>
                                <w:sz w:val="18"/>
                                <w:szCs w:val="18"/>
                                <w:lang w:val="de-DE"/>
                              </w:rPr>
                            </w:pPr>
                            <w:r w:rsidRPr="00306CD7">
                              <w:rPr>
                                <w:rFonts w:ascii="Arial" w:hAnsi="Arial" w:cs="Arial"/>
                                <w:sz w:val="18"/>
                                <w:szCs w:val="18"/>
                                <w:lang w:val="de-DE"/>
                              </w:rPr>
                              <w:t>Sep 1,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1BCAF" id="Textfeld 3" o:spid="_x0000_s1029" type="#_x0000_t202" style="position:absolute;left:0;text-align:left;margin-left:52.2pt;margin-top:2.15pt;width:70.2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" fillcolor="white [3201]" stroked="f" strokeweight=".5pt">
                <v:path arrowok="t"/>
                <v:textbox>
                  <w:txbxContent>
                    <w:p w14:paraId="142BD7FF" w14:textId="77777777" w:rsidR="007C3FAB" w:rsidRPr="00306CD7" w:rsidRDefault="007C3FAB" w:rsidP="00306CD7">
                      <w:pPr>
                        <w:jc w:val="center"/>
                        <w:rPr>
                          <w:rFonts w:ascii="Arial" w:hAnsi="Arial" w:cs="Arial"/>
                          <w:sz w:val="18"/>
                          <w:szCs w:val="18"/>
                          <w:lang w:val="de-DE"/>
                        </w:rPr>
                      </w:pPr>
                      <w:r w:rsidRPr="00306CD7">
                        <w:rPr>
                          <w:rFonts w:ascii="Arial" w:hAnsi="Arial" w:cs="Arial"/>
                          <w:sz w:val="18"/>
                          <w:szCs w:val="18"/>
                          <w:lang w:val="de-DE"/>
                        </w:rPr>
                        <w:t>Sep 1, 2014</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080257F" wp14:editId="1D254966">
                <wp:simplePos x="0" y="0"/>
                <wp:positionH relativeFrom="column">
                  <wp:posOffset>4564380</wp:posOffset>
                </wp:positionH>
                <wp:positionV relativeFrom="paragraph">
                  <wp:posOffset>27305</wp:posOffset>
                </wp:positionV>
                <wp:extent cx="891540" cy="251460"/>
                <wp:effectExtent l="0" t="0" r="381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C789F" w14:textId="77777777" w:rsidR="007C3FAB" w:rsidRPr="00306CD7" w:rsidRDefault="007C3FAB" w:rsidP="00306CD7">
                            <w:pPr>
                              <w:jc w:val="center"/>
                              <w:rPr>
                                <w:rFonts w:ascii="Arial" w:hAnsi="Arial" w:cs="Arial"/>
                                <w:sz w:val="18"/>
                                <w:szCs w:val="18"/>
                                <w:lang w:val="de-DE"/>
                              </w:rPr>
                            </w:pPr>
                            <w:r w:rsidRPr="00306CD7">
                              <w:rPr>
                                <w:rFonts w:ascii="Arial" w:hAnsi="Arial" w:cs="Arial"/>
                                <w:sz w:val="18"/>
                                <w:szCs w:val="18"/>
                                <w:lang w:val="de-DE"/>
                              </w:rPr>
                              <w:t xml:space="preserve">Sep </w:t>
                            </w:r>
                            <w:r w:rsidRPr="007C3FAB">
                              <w:rPr>
                                <w:rFonts w:ascii="Arial" w:hAnsi="Arial" w:cs="Arial"/>
                                <w:sz w:val="18"/>
                                <w:szCs w:val="18"/>
                                <w:lang w:val="de-DE"/>
                              </w:rPr>
                              <w:t>29</w:t>
                            </w:r>
                            <w:r w:rsidRPr="00306CD7">
                              <w:rPr>
                                <w:rFonts w:ascii="Arial" w:hAnsi="Arial" w:cs="Arial"/>
                                <w:sz w:val="18"/>
                                <w:szCs w:val="18"/>
                                <w:lang w:val="de-DE"/>
                              </w:rPr>
                              <w:t>,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0257F" id="Textfeld 5" o:spid="_x0000_s1030" type="#_x0000_t202" style="position:absolute;left:0;text-align:left;margin-left:359.4pt;margin-top:2.15pt;width:70.2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" fillcolor="white [3201]" stroked="f" strokeweight=".5pt">
                <v:path arrowok="t"/>
                <v:textbox>
                  <w:txbxContent>
                    <w:p w14:paraId="28AC789F" w14:textId="77777777" w:rsidR="007C3FAB" w:rsidRPr="00306CD7" w:rsidRDefault="007C3FAB" w:rsidP="00306CD7">
                      <w:pPr>
                        <w:jc w:val="center"/>
                        <w:rPr>
                          <w:rFonts w:ascii="Arial" w:hAnsi="Arial" w:cs="Arial"/>
                          <w:sz w:val="18"/>
                          <w:szCs w:val="18"/>
                          <w:lang w:val="de-DE"/>
                        </w:rPr>
                      </w:pPr>
                      <w:r w:rsidRPr="00306CD7">
                        <w:rPr>
                          <w:rFonts w:ascii="Arial" w:hAnsi="Arial" w:cs="Arial"/>
                          <w:sz w:val="18"/>
                          <w:szCs w:val="18"/>
                          <w:lang w:val="de-DE"/>
                        </w:rPr>
                        <w:t xml:space="preserve">Sep </w:t>
                      </w:r>
                      <w:r w:rsidRPr="007C3FAB">
                        <w:rPr>
                          <w:rFonts w:ascii="Arial" w:hAnsi="Arial" w:cs="Arial"/>
                          <w:sz w:val="18"/>
                          <w:szCs w:val="18"/>
                          <w:lang w:val="de-DE"/>
                        </w:rPr>
                        <w:t>29</w:t>
                      </w:r>
                      <w:r w:rsidRPr="00306CD7">
                        <w:rPr>
                          <w:rFonts w:ascii="Arial" w:hAnsi="Arial" w:cs="Arial"/>
                          <w:sz w:val="18"/>
                          <w:szCs w:val="18"/>
                          <w:lang w:val="de-DE"/>
                        </w:rPr>
                        <w:t>, 2014</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F2B3B26" wp14:editId="4CB049FF">
                <wp:simplePos x="0" y="0"/>
                <wp:positionH relativeFrom="column">
                  <wp:posOffset>2560320</wp:posOffset>
                </wp:positionH>
                <wp:positionV relativeFrom="paragraph">
                  <wp:posOffset>27305</wp:posOffset>
                </wp:positionV>
                <wp:extent cx="891540" cy="251460"/>
                <wp:effectExtent l="0" t="0" r="3810" b="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100F7" w14:textId="77777777" w:rsidR="007C3FAB" w:rsidRPr="00306CD7" w:rsidRDefault="007C3FAB" w:rsidP="00306CD7">
                            <w:pPr>
                              <w:jc w:val="center"/>
                              <w:rPr>
                                <w:rFonts w:ascii="Arial" w:hAnsi="Arial" w:cs="Arial"/>
                                <w:sz w:val="18"/>
                                <w:szCs w:val="18"/>
                                <w:lang w:val="de-DE"/>
                              </w:rPr>
                            </w:pPr>
                            <w:r w:rsidRPr="00306CD7">
                              <w:rPr>
                                <w:rFonts w:ascii="Arial" w:hAnsi="Arial" w:cs="Arial"/>
                                <w:sz w:val="18"/>
                                <w:szCs w:val="18"/>
                                <w:lang w:val="de-DE"/>
                              </w:rPr>
                              <w:t>Sep 1</w:t>
                            </w:r>
                            <w:r>
                              <w:rPr>
                                <w:rFonts w:ascii="Arial" w:hAnsi="Arial" w:cs="Arial"/>
                                <w:sz w:val="18"/>
                                <w:szCs w:val="18"/>
                                <w:lang w:val="de-DE"/>
                              </w:rPr>
                              <w:t>5</w:t>
                            </w:r>
                            <w:r w:rsidRPr="00306CD7">
                              <w:rPr>
                                <w:rFonts w:ascii="Arial" w:hAnsi="Arial" w:cs="Arial"/>
                                <w:sz w:val="18"/>
                                <w:szCs w:val="18"/>
                                <w:lang w:val="de-DE"/>
                              </w:rPr>
                              <w:t>,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B3B26" id="Textfeld 4" o:spid="_x0000_s1031" type="#_x0000_t202" style="position:absolute;left:0;text-align:left;margin-left:201.6pt;margin-top:2.15pt;width:70.2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" fillcolor="white [3201]" stroked="f" strokeweight=".5pt">
                <v:path arrowok="t"/>
                <v:textbox>
                  <w:txbxContent>
                    <w:p w14:paraId="344100F7" w14:textId="77777777" w:rsidR="007C3FAB" w:rsidRPr="00306CD7" w:rsidRDefault="007C3FAB" w:rsidP="00306CD7">
                      <w:pPr>
                        <w:jc w:val="center"/>
                        <w:rPr>
                          <w:rFonts w:ascii="Arial" w:hAnsi="Arial" w:cs="Arial"/>
                          <w:sz w:val="18"/>
                          <w:szCs w:val="18"/>
                          <w:lang w:val="de-DE"/>
                        </w:rPr>
                      </w:pPr>
                      <w:r w:rsidRPr="00306CD7">
                        <w:rPr>
                          <w:rFonts w:ascii="Arial" w:hAnsi="Arial" w:cs="Arial"/>
                          <w:sz w:val="18"/>
                          <w:szCs w:val="18"/>
                          <w:lang w:val="de-DE"/>
                        </w:rPr>
                        <w:t>Sep 1</w:t>
                      </w:r>
                      <w:r>
                        <w:rPr>
                          <w:rFonts w:ascii="Arial" w:hAnsi="Arial" w:cs="Arial"/>
                          <w:sz w:val="18"/>
                          <w:szCs w:val="18"/>
                          <w:lang w:val="de-DE"/>
                        </w:rPr>
                        <w:t>5</w:t>
                      </w:r>
                      <w:r w:rsidRPr="00306CD7">
                        <w:rPr>
                          <w:rFonts w:ascii="Arial" w:hAnsi="Arial" w:cs="Arial"/>
                          <w:sz w:val="18"/>
                          <w:szCs w:val="18"/>
                          <w:lang w:val="de-DE"/>
                        </w:rPr>
                        <w:t>, 2014</w:t>
                      </w:r>
                    </w:p>
                  </w:txbxContent>
                </v:textbox>
              </v:shape>
            </w:pict>
          </mc:Fallback>
        </mc:AlternateContent>
      </w:r>
    </w:p>
    <w:p w14:paraId="375C542C" w14:textId="77777777" w:rsidR="00FA6525" w:rsidRPr="00A267BE" w:rsidRDefault="00FA6525" w:rsidP="00AC6AE5">
      <w:pPr>
        <w:pStyle w:val="BodyTextMain"/>
        <w:rPr>
          <w:lang w:val="en-GB"/>
        </w:rPr>
      </w:pPr>
    </w:p>
    <w:p w14:paraId="6C15FED0" w14:textId="77777777" w:rsidR="00FA6525" w:rsidRPr="00A267BE" w:rsidRDefault="00FA6525" w:rsidP="00AC6AE5">
      <w:pPr>
        <w:pStyle w:val="BodyTextMain"/>
        <w:rPr>
          <w:lang w:val="en-GB"/>
        </w:rPr>
      </w:pPr>
    </w:p>
    <w:p w14:paraId="22DD61CF" w14:textId="793C640A" w:rsidR="00FA6525" w:rsidRPr="00A267BE" w:rsidRDefault="00AC6AE5" w:rsidP="00AB518B">
      <w:pPr>
        <w:pStyle w:val="Footnote"/>
        <w:rPr>
          <w:lang w:val="en-GB"/>
        </w:rPr>
      </w:pPr>
      <w:r w:rsidRPr="00A267BE">
        <w:rPr>
          <w:lang w:val="en-GB"/>
        </w:rPr>
        <w:t>Source</w:t>
      </w:r>
      <w:r w:rsidR="00FA6525" w:rsidRPr="00A267BE">
        <w:rPr>
          <w:lang w:val="en-GB"/>
        </w:rPr>
        <w:t xml:space="preserve">: National Bank Ukraine, “Official Exchange Rate of Hryvnia against Foreign Currencies,” </w:t>
      </w:r>
      <w:r w:rsidR="00005EC8">
        <w:rPr>
          <w:lang w:val="en-GB"/>
        </w:rPr>
        <w:t xml:space="preserve">2016, accessed </w:t>
      </w:r>
      <w:r w:rsidR="007C3FAB" w:rsidRPr="007C3FAB">
        <w:rPr>
          <w:lang w:val="en-GB"/>
        </w:rPr>
        <w:t>December 15, 2016</w:t>
      </w:r>
      <w:r w:rsidR="00FA6525" w:rsidRPr="00130549">
        <w:rPr>
          <w:lang w:val="en-GB"/>
        </w:rPr>
        <w:t>;</w:t>
      </w:r>
      <w:r w:rsidR="00FA6525" w:rsidRPr="00A267BE">
        <w:rPr>
          <w:lang w:val="en-GB"/>
        </w:rPr>
        <w:t xml:space="preserve"> I</w:t>
      </w:r>
      <w:r w:rsidR="00005EC8">
        <w:rPr>
          <w:lang w:val="en-GB"/>
        </w:rPr>
        <w:t xml:space="preserve">nternational </w:t>
      </w:r>
      <w:bookmarkStart w:id="0" w:name="_GoBack"/>
      <w:bookmarkEnd w:id="0"/>
      <w:r w:rsidR="00FA6525" w:rsidRPr="00A267BE">
        <w:rPr>
          <w:lang w:val="en-GB"/>
        </w:rPr>
        <w:t>M</w:t>
      </w:r>
      <w:r w:rsidR="00005EC8">
        <w:rPr>
          <w:lang w:val="en-GB"/>
        </w:rPr>
        <w:t xml:space="preserve">onetary </w:t>
      </w:r>
      <w:r w:rsidR="00FA6525" w:rsidRPr="00A267BE">
        <w:rPr>
          <w:lang w:val="en-GB"/>
        </w:rPr>
        <w:t>F</w:t>
      </w:r>
      <w:r w:rsidR="00005EC8">
        <w:rPr>
          <w:lang w:val="en-GB"/>
        </w:rPr>
        <w:t>und</w:t>
      </w:r>
      <w:r w:rsidR="00FA6525" w:rsidRPr="00A267BE">
        <w:rPr>
          <w:lang w:val="en-GB"/>
        </w:rPr>
        <w:t xml:space="preserve">, “IMF Data,” </w:t>
      </w:r>
      <w:r w:rsidR="00005EC8">
        <w:rPr>
          <w:lang w:val="en-GB"/>
        </w:rPr>
        <w:t xml:space="preserve">2016, accessed </w:t>
      </w:r>
      <w:r w:rsidR="007C3FAB">
        <w:rPr>
          <w:lang w:val="en-GB"/>
        </w:rPr>
        <w:t>December 15, 2016</w:t>
      </w:r>
      <w:r w:rsidR="00005EC8">
        <w:rPr>
          <w:lang w:val="en-GB"/>
        </w:rPr>
        <w:t xml:space="preserve">, </w:t>
      </w:r>
      <w:r w:rsidR="00FA6525" w:rsidRPr="00A267BE">
        <w:rPr>
          <w:lang w:val="en-GB"/>
        </w:rPr>
        <w:t>www.imf.org/en/data.</w:t>
      </w:r>
      <w:r w:rsidRPr="00A267BE">
        <w:rPr>
          <w:lang w:val="en-GB"/>
        </w:rPr>
        <w:t xml:space="preserve"> </w:t>
      </w:r>
    </w:p>
    <w:sectPr w:rsidR="00FA6525" w:rsidRPr="00A267BE" w:rsidSect="00EB5410">
      <w:headerReference w:type="default" r:id="rId2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C270C" w14:textId="77777777" w:rsidR="00CE1A3C" w:rsidRDefault="00CE1A3C" w:rsidP="00D75295">
      <w:r>
        <w:separator/>
      </w:r>
    </w:p>
  </w:endnote>
  <w:endnote w:type="continuationSeparator" w:id="0">
    <w:p w14:paraId="6D086B79" w14:textId="77777777" w:rsidR="00CE1A3C" w:rsidRDefault="00CE1A3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Droid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94D43" w14:textId="77777777" w:rsidR="00CE1A3C" w:rsidRDefault="00CE1A3C" w:rsidP="00D75295">
      <w:r>
        <w:separator/>
      </w:r>
    </w:p>
  </w:footnote>
  <w:footnote w:type="continuationSeparator" w:id="0">
    <w:p w14:paraId="06A3B7D4" w14:textId="77777777" w:rsidR="00CE1A3C" w:rsidRDefault="00CE1A3C" w:rsidP="00D75295">
      <w:r>
        <w:continuationSeparator/>
      </w:r>
    </w:p>
  </w:footnote>
  <w:footnote w:id="1">
    <w:p w14:paraId="3AFC04DD" w14:textId="77777777" w:rsidR="009E6B1C" w:rsidRPr="00127D6E" w:rsidRDefault="009E6B1C" w:rsidP="00127D6E">
      <w:pPr>
        <w:pStyle w:val="Footnote"/>
        <w:rPr>
          <w:b/>
        </w:rPr>
      </w:pPr>
      <w:r>
        <w:rPr>
          <w:rStyle w:val="FootnoteReference"/>
        </w:rPr>
        <w:footnoteRef/>
      </w:r>
      <w:r>
        <w:t xml:space="preserve"> </w:t>
      </w:r>
      <w:r>
        <w:rPr>
          <w:lang w:val="en-GB"/>
        </w:rPr>
        <w:t>€ = euro; all currency amounts are shown in € unless otherwise stated; US$1 = €</w:t>
      </w:r>
      <w:r w:rsidR="00F77C5D">
        <w:rPr>
          <w:lang w:val="en-GB"/>
        </w:rPr>
        <w:t>0.7277</w:t>
      </w:r>
      <w:r>
        <w:rPr>
          <w:lang w:val="en-GB"/>
        </w:rPr>
        <w:t xml:space="preserve"> on </w:t>
      </w:r>
      <w:r w:rsidR="00F77C5D">
        <w:rPr>
          <w:lang w:val="en-GB"/>
        </w:rPr>
        <w:t>January 1, 2014</w:t>
      </w:r>
      <w:r>
        <w:rPr>
          <w:lang w:val="en-GB"/>
        </w:rPr>
        <w:t xml:space="preserve">. </w:t>
      </w:r>
    </w:p>
  </w:footnote>
  <w:footnote w:id="2">
    <w:p w14:paraId="715366F4" w14:textId="77777777" w:rsidR="00723977" w:rsidRPr="00723977" w:rsidRDefault="00723977" w:rsidP="00723977">
      <w:pPr>
        <w:pStyle w:val="Footnote"/>
        <w:rPr>
          <w:b/>
        </w:rPr>
      </w:pPr>
      <w:r>
        <w:rPr>
          <w:rStyle w:val="FootnoteReference"/>
        </w:rPr>
        <w:footnoteRef/>
      </w:r>
      <w:r w:rsidR="00306CD7">
        <w:t xml:space="preserve"> </w:t>
      </w:r>
      <w:r w:rsidR="00306CD7" w:rsidRPr="00306CD7">
        <w:t xml:space="preserve">₴ </w:t>
      </w:r>
      <w:r w:rsidR="00306CD7">
        <w:rPr>
          <w:color w:val="000000"/>
          <w:sz w:val="21"/>
          <w:szCs w:val="21"/>
        </w:rPr>
        <w:t xml:space="preserve">= </w:t>
      </w:r>
      <w:r w:rsidR="00306CD7">
        <w:t>UAH = Ukraine hyrvnia</w:t>
      </w:r>
      <w:r>
        <w:t xml:space="preserve">; US$1 = </w:t>
      </w:r>
      <w:r w:rsidR="00306CD7" w:rsidRPr="00306CD7">
        <w:t>₴</w:t>
      </w:r>
      <w:r w:rsidR="00386514">
        <w:t>13.4340</w:t>
      </w:r>
      <w:r>
        <w:t xml:space="preserve"> on </w:t>
      </w:r>
      <w:r w:rsidR="00386514">
        <w:t>September 21, 2014</w:t>
      </w:r>
      <w:r>
        <w:t>.</w:t>
      </w:r>
    </w:p>
  </w:footnote>
  <w:footnote w:id="3">
    <w:p w14:paraId="27A18239" w14:textId="77777777" w:rsidR="009E6B1C" w:rsidRDefault="009E6B1C" w:rsidP="00127D6E">
      <w:pPr>
        <w:pStyle w:val="Footnote"/>
      </w:pPr>
      <w:r>
        <w:rPr>
          <w:rStyle w:val="FootnoteReference"/>
        </w:rPr>
        <w:footnoteRef/>
      </w:r>
      <w:r>
        <w:t xml:space="preserve"> In this context, “blisters” referred to blister packs, a packaging in which individual pills were sealed in formed pocket</w:t>
      </w:r>
      <w:r w:rsidR="002912AE">
        <w:t>s</w:t>
      </w:r>
      <w:r>
        <w:t xml:space="preserve"> and backed with a seal of thin paper, plastic, or aluminum foil.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1CB2" w14:textId="48CA829F" w:rsidR="009E6B1C" w:rsidRDefault="009E6B1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D00A9D">
      <w:rPr>
        <w:rFonts w:ascii="Arial" w:hAnsi="Arial"/>
        <w:b/>
      </w:rPr>
      <w:fldChar w:fldCharType="begin"/>
    </w:r>
    <w:r>
      <w:rPr>
        <w:rFonts w:ascii="Arial" w:hAnsi="Arial"/>
        <w:b/>
      </w:rPr>
      <w:instrText>PAGE</w:instrText>
    </w:r>
    <w:r w:rsidR="00D00A9D">
      <w:rPr>
        <w:rFonts w:ascii="Arial" w:hAnsi="Arial"/>
        <w:b/>
      </w:rPr>
      <w:fldChar w:fldCharType="separate"/>
    </w:r>
    <w:r w:rsidR="004064EA">
      <w:rPr>
        <w:rFonts w:ascii="Arial" w:hAnsi="Arial"/>
        <w:b/>
        <w:noProof/>
      </w:rPr>
      <w:t>8</w:t>
    </w:r>
    <w:r w:rsidR="00D00A9D">
      <w:rPr>
        <w:rFonts w:ascii="Arial" w:hAnsi="Arial"/>
        <w:b/>
      </w:rPr>
      <w:fldChar w:fldCharType="end"/>
    </w:r>
    <w:r>
      <w:rPr>
        <w:rFonts w:ascii="Arial" w:hAnsi="Arial"/>
        <w:b/>
      </w:rPr>
      <w:tab/>
    </w:r>
    <w:r w:rsidR="00AB518B">
      <w:rPr>
        <w:rFonts w:ascii="Arial" w:hAnsi="Arial"/>
        <w:b/>
      </w:rPr>
      <w:t>9B17M</w:t>
    </w:r>
    <w:r w:rsidR="004F518B">
      <w:rPr>
        <w:rFonts w:ascii="Arial" w:hAnsi="Arial"/>
        <w:b/>
      </w:rPr>
      <w:t>085</w:t>
    </w:r>
  </w:p>
  <w:p w14:paraId="2599A6AB" w14:textId="77777777" w:rsidR="009E6B1C" w:rsidRPr="00C92CC4" w:rsidRDefault="009E6B1C">
    <w:pPr>
      <w:pStyle w:val="Header"/>
      <w:rPr>
        <w:sz w:val="18"/>
        <w:szCs w:val="18"/>
      </w:rPr>
    </w:pPr>
  </w:p>
  <w:p w14:paraId="129BA4F9" w14:textId="77777777" w:rsidR="009E6B1C" w:rsidRPr="00C92CC4" w:rsidRDefault="009E6B1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B68CF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788F9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D10341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3B0BF0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0602A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7E2777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2A43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342E9F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B74C0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1A1B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BC52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8D246D"/>
    <w:multiLevelType w:val="hybridMultilevel"/>
    <w:tmpl w:val="AB72CB9E"/>
    <w:lvl w:ilvl="0" w:tplc="DFE87706">
      <w:start w:val="1"/>
      <w:numFmt w:val="bullet"/>
      <w:pStyle w:val="1Level"/>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136C0C"/>
    <w:multiLevelType w:val="hybridMultilevel"/>
    <w:tmpl w:val="2C729412"/>
    <w:lvl w:ilvl="0" w:tplc="65BC69D0">
      <w:numFmt w:val="bullet"/>
      <w:lvlText w:val="-"/>
      <w:lvlJc w:val="left"/>
      <w:pPr>
        <w:ind w:left="720" w:hanging="360"/>
      </w:pPr>
      <w:rPr>
        <w:rFonts w:ascii="Calibri" w:eastAsiaTheme="minorHAnsi" w:hAnsi="Calibri" w:cstheme="minorBidi" w:hint="default"/>
      </w:rPr>
    </w:lvl>
    <w:lvl w:ilvl="1" w:tplc="E1B8CA44">
      <w:start w:val="1"/>
      <w:numFmt w:val="bullet"/>
      <w:pStyle w:val="2Level"/>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560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EC8"/>
    <w:rsid w:val="00013360"/>
    <w:rsid w:val="00017C42"/>
    <w:rsid w:val="000216CE"/>
    <w:rsid w:val="00025DC7"/>
    <w:rsid w:val="00026486"/>
    <w:rsid w:val="00030D4A"/>
    <w:rsid w:val="00042EAE"/>
    <w:rsid w:val="00044ECC"/>
    <w:rsid w:val="00045E20"/>
    <w:rsid w:val="000531D3"/>
    <w:rsid w:val="0005646B"/>
    <w:rsid w:val="0008102D"/>
    <w:rsid w:val="00094C0E"/>
    <w:rsid w:val="000C30BD"/>
    <w:rsid w:val="000D0E46"/>
    <w:rsid w:val="000F0C22"/>
    <w:rsid w:val="000F6B09"/>
    <w:rsid w:val="000F6FDC"/>
    <w:rsid w:val="00104567"/>
    <w:rsid w:val="00116E1B"/>
    <w:rsid w:val="0012732D"/>
    <w:rsid w:val="00127D6E"/>
    <w:rsid w:val="00130549"/>
    <w:rsid w:val="00154FC9"/>
    <w:rsid w:val="00164984"/>
    <w:rsid w:val="001727D5"/>
    <w:rsid w:val="0019241A"/>
    <w:rsid w:val="001A1075"/>
    <w:rsid w:val="001A5335"/>
    <w:rsid w:val="001A752D"/>
    <w:rsid w:val="001B51A5"/>
    <w:rsid w:val="001C238B"/>
    <w:rsid w:val="001F25B2"/>
    <w:rsid w:val="00203AA1"/>
    <w:rsid w:val="0020521A"/>
    <w:rsid w:val="00210874"/>
    <w:rsid w:val="00213E98"/>
    <w:rsid w:val="00216DAD"/>
    <w:rsid w:val="00246CFE"/>
    <w:rsid w:val="0027190E"/>
    <w:rsid w:val="002838D4"/>
    <w:rsid w:val="002901CE"/>
    <w:rsid w:val="002912AE"/>
    <w:rsid w:val="002A545C"/>
    <w:rsid w:val="002B5A4B"/>
    <w:rsid w:val="002C0AEC"/>
    <w:rsid w:val="002E32F0"/>
    <w:rsid w:val="002E55DF"/>
    <w:rsid w:val="002F05CE"/>
    <w:rsid w:val="002F460C"/>
    <w:rsid w:val="002F48D6"/>
    <w:rsid w:val="00306CD7"/>
    <w:rsid w:val="003075D4"/>
    <w:rsid w:val="00343565"/>
    <w:rsid w:val="00352B5A"/>
    <w:rsid w:val="00354899"/>
    <w:rsid w:val="00355FD6"/>
    <w:rsid w:val="00361C8E"/>
    <w:rsid w:val="00364A5C"/>
    <w:rsid w:val="00373FB1"/>
    <w:rsid w:val="00386514"/>
    <w:rsid w:val="003B30D8"/>
    <w:rsid w:val="003B507D"/>
    <w:rsid w:val="003B7EF2"/>
    <w:rsid w:val="003C1D31"/>
    <w:rsid w:val="003C3FA4"/>
    <w:rsid w:val="003D3B75"/>
    <w:rsid w:val="003E0574"/>
    <w:rsid w:val="003E51F8"/>
    <w:rsid w:val="003F2B0C"/>
    <w:rsid w:val="00405FCB"/>
    <w:rsid w:val="004064EA"/>
    <w:rsid w:val="00407E4D"/>
    <w:rsid w:val="00407E6F"/>
    <w:rsid w:val="00412471"/>
    <w:rsid w:val="004221E4"/>
    <w:rsid w:val="00431ADE"/>
    <w:rsid w:val="00437781"/>
    <w:rsid w:val="00447B6C"/>
    <w:rsid w:val="00467884"/>
    <w:rsid w:val="00471088"/>
    <w:rsid w:val="00483AF9"/>
    <w:rsid w:val="004952A9"/>
    <w:rsid w:val="00495ACB"/>
    <w:rsid w:val="004B1AA4"/>
    <w:rsid w:val="004B1CCB"/>
    <w:rsid w:val="004C4D9D"/>
    <w:rsid w:val="004D0260"/>
    <w:rsid w:val="004D73A5"/>
    <w:rsid w:val="004E2B20"/>
    <w:rsid w:val="004F4D1D"/>
    <w:rsid w:val="004F518B"/>
    <w:rsid w:val="00532CF5"/>
    <w:rsid w:val="005528CB"/>
    <w:rsid w:val="00566771"/>
    <w:rsid w:val="00581E2E"/>
    <w:rsid w:val="005828EE"/>
    <w:rsid w:val="00584F15"/>
    <w:rsid w:val="00595ACD"/>
    <w:rsid w:val="005B7A6D"/>
    <w:rsid w:val="005D2822"/>
    <w:rsid w:val="005F2990"/>
    <w:rsid w:val="00601354"/>
    <w:rsid w:val="006032A9"/>
    <w:rsid w:val="00605678"/>
    <w:rsid w:val="006163F7"/>
    <w:rsid w:val="00634884"/>
    <w:rsid w:val="00637329"/>
    <w:rsid w:val="00646F4B"/>
    <w:rsid w:val="00652606"/>
    <w:rsid w:val="00670569"/>
    <w:rsid w:val="006711B4"/>
    <w:rsid w:val="00682754"/>
    <w:rsid w:val="006A58A9"/>
    <w:rsid w:val="006A606D"/>
    <w:rsid w:val="006B0197"/>
    <w:rsid w:val="006B7F7A"/>
    <w:rsid w:val="006C0371"/>
    <w:rsid w:val="006C08B6"/>
    <w:rsid w:val="006C0B1A"/>
    <w:rsid w:val="006C4384"/>
    <w:rsid w:val="006C6065"/>
    <w:rsid w:val="006C7F9F"/>
    <w:rsid w:val="006D325D"/>
    <w:rsid w:val="006D5952"/>
    <w:rsid w:val="006E2F6D"/>
    <w:rsid w:val="006E316C"/>
    <w:rsid w:val="006E58F6"/>
    <w:rsid w:val="006E77E1"/>
    <w:rsid w:val="006F131D"/>
    <w:rsid w:val="006F60F5"/>
    <w:rsid w:val="00700A99"/>
    <w:rsid w:val="00723977"/>
    <w:rsid w:val="007258E3"/>
    <w:rsid w:val="00727E27"/>
    <w:rsid w:val="00752BCD"/>
    <w:rsid w:val="00755C26"/>
    <w:rsid w:val="00766DA1"/>
    <w:rsid w:val="00777C49"/>
    <w:rsid w:val="007866A6"/>
    <w:rsid w:val="00790F2B"/>
    <w:rsid w:val="007A130D"/>
    <w:rsid w:val="007B2168"/>
    <w:rsid w:val="007C3FAB"/>
    <w:rsid w:val="007D13D5"/>
    <w:rsid w:val="007D331B"/>
    <w:rsid w:val="007D4102"/>
    <w:rsid w:val="007E454C"/>
    <w:rsid w:val="007E5921"/>
    <w:rsid w:val="007E7610"/>
    <w:rsid w:val="007F1D37"/>
    <w:rsid w:val="007F51FC"/>
    <w:rsid w:val="007F6A70"/>
    <w:rsid w:val="00821FFC"/>
    <w:rsid w:val="00822F05"/>
    <w:rsid w:val="008271CA"/>
    <w:rsid w:val="008467D5"/>
    <w:rsid w:val="008515A2"/>
    <w:rsid w:val="00856D9F"/>
    <w:rsid w:val="008575B3"/>
    <w:rsid w:val="00866F6D"/>
    <w:rsid w:val="00893910"/>
    <w:rsid w:val="008A273C"/>
    <w:rsid w:val="008A4DC4"/>
    <w:rsid w:val="008C31C8"/>
    <w:rsid w:val="009067A4"/>
    <w:rsid w:val="0090722E"/>
    <w:rsid w:val="00907C32"/>
    <w:rsid w:val="009340DB"/>
    <w:rsid w:val="00972498"/>
    <w:rsid w:val="00974CC6"/>
    <w:rsid w:val="00976AD4"/>
    <w:rsid w:val="009A312F"/>
    <w:rsid w:val="009A5348"/>
    <w:rsid w:val="009A67BB"/>
    <w:rsid w:val="009B2232"/>
    <w:rsid w:val="009B70DB"/>
    <w:rsid w:val="009C265B"/>
    <w:rsid w:val="009C76D5"/>
    <w:rsid w:val="009E6B1C"/>
    <w:rsid w:val="009F7AA4"/>
    <w:rsid w:val="00A00F80"/>
    <w:rsid w:val="00A11A0F"/>
    <w:rsid w:val="00A267BE"/>
    <w:rsid w:val="00A559DB"/>
    <w:rsid w:val="00A71627"/>
    <w:rsid w:val="00A96EEA"/>
    <w:rsid w:val="00AA01E4"/>
    <w:rsid w:val="00AB4F46"/>
    <w:rsid w:val="00AB518B"/>
    <w:rsid w:val="00AB61A3"/>
    <w:rsid w:val="00AC23C3"/>
    <w:rsid w:val="00AC39A0"/>
    <w:rsid w:val="00AC6AE5"/>
    <w:rsid w:val="00AF35FC"/>
    <w:rsid w:val="00B03639"/>
    <w:rsid w:val="00B05873"/>
    <w:rsid w:val="00B0652A"/>
    <w:rsid w:val="00B1735E"/>
    <w:rsid w:val="00B25962"/>
    <w:rsid w:val="00B3757D"/>
    <w:rsid w:val="00B40937"/>
    <w:rsid w:val="00B423EF"/>
    <w:rsid w:val="00B453DE"/>
    <w:rsid w:val="00B4742F"/>
    <w:rsid w:val="00B56355"/>
    <w:rsid w:val="00B6132C"/>
    <w:rsid w:val="00B6794C"/>
    <w:rsid w:val="00B901F9"/>
    <w:rsid w:val="00BD4FED"/>
    <w:rsid w:val="00BD6EFB"/>
    <w:rsid w:val="00BF5D03"/>
    <w:rsid w:val="00C031FF"/>
    <w:rsid w:val="00C04DE5"/>
    <w:rsid w:val="00C15BE2"/>
    <w:rsid w:val="00C166B3"/>
    <w:rsid w:val="00C22219"/>
    <w:rsid w:val="00C26180"/>
    <w:rsid w:val="00C3447F"/>
    <w:rsid w:val="00C41C5F"/>
    <w:rsid w:val="00C62664"/>
    <w:rsid w:val="00C70DBE"/>
    <w:rsid w:val="00C81491"/>
    <w:rsid w:val="00C81676"/>
    <w:rsid w:val="00C83CD6"/>
    <w:rsid w:val="00C92CC4"/>
    <w:rsid w:val="00CA0AFB"/>
    <w:rsid w:val="00CA2CE1"/>
    <w:rsid w:val="00CA3976"/>
    <w:rsid w:val="00CA4EB1"/>
    <w:rsid w:val="00CA757B"/>
    <w:rsid w:val="00CB00AD"/>
    <w:rsid w:val="00CC1787"/>
    <w:rsid w:val="00CC182C"/>
    <w:rsid w:val="00CD0824"/>
    <w:rsid w:val="00CD2908"/>
    <w:rsid w:val="00CE1605"/>
    <w:rsid w:val="00CE1A3C"/>
    <w:rsid w:val="00CE6A9F"/>
    <w:rsid w:val="00CE7F5B"/>
    <w:rsid w:val="00D00A9D"/>
    <w:rsid w:val="00D03A82"/>
    <w:rsid w:val="00D15344"/>
    <w:rsid w:val="00D16C18"/>
    <w:rsid w:val="00D31BEC"/>
    <w:rsid w:val="00D354C7"/>
    <w:rsid w:val="00D63150"/>
    <w:rsid w:val="00D64A32"/>
    <w:rsid w:val="00D64EFC"/>
    <w:rsid w:val="00D75295"/>
    <w:rsid w:val="00D76CE9"/>
    <w:rsid w:val="00D97F12"/>
    <w:rsid w:val="00DB42E7"/>
    <w:rsid w:val="00DF32C2"/>
    <w:rsid w:val="00E244D2"/>
    <w:rsid w:val="00E471A7"/>
    <w:rsid w:val="00E61BFB"/>
    <w:rsid w:val="00E635CF"/>
    <w:rsid w:val="00E7218B"/>
    <w:rsid w:val="00E91867"/>
    <w:rsid w:val="00E95E28"/>
    <w:rsid w:val="00EB5410"/>
    <w:rsid w:val="00EC6E0A"/>
    <w:rsid w:val="00ED4E18"/>
    <w:rsid w:val="00EE13B3"/>
    <w:rsid w:val="00EE1F37"/>
    <w:rsid w:val="00F0159C"/>
    <w:rsid w:val="00F105B7"/>
    <w:rsid w:val="00F17A21"/>
    <w:rsid w:val="00F32744"/>
    <w:rsid w:val="00F50E91"/>
    <w:rsid w:val="00F57D29"/>
    <w:rsid w:val="00F74ECA"/>
    <w:rsid w:val="00F77C5D"/>
    <w:rsid w:val="00F92A99"/>
    <w:rsid w:val="00F96201"/>
    <w:rsid w:val="00FA6525"/>
    <w:rsid w:val="00FB15E0"/>
    <w:rsid w:val="00FB3289"/>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5601"/>
    <o:shapelayout v:ext="edit">
      <o:idmap v:ext="edit" data="1"/>
    </o:shapelayout>
  </w:shapeDefaults>
  <w:decimalSymbol w:val="."/>
  <w:listSeparator w:val=","/>
  <w14:docId w14:val="356FE02E"/>
  <w15:docId w15:val="{4E7EBDCA-A83F-4080-B347-EED29E44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C6AE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6AE5"/>
    <w:pPr>
      <w:keepNext/>
      <w:keepLines/>
      <w:spacing w:before="40" w:after="120" w:line="276" w:lineRule="auto"/>
      <w:outlineLvl w:val="1"/>
    </w:pPr>
    <w:rPr>
      <w:rFonts w:ascii="Calibri" w:eastAsiaTheme="majorEastAsia" w:hAnsi="Calibr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AC6A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6AE5"/>
    <w:rPr>
      <w:rFonts w:ascii="Calibri" w:eastAsiaTheme="majorEastAsia" w:hAnsi="Calibri" w:cstheme="majorBidi"/>
      <w:b/>
      <w:sz w:val="36"/>
      <w:szCs w:val="26"/>
    </w:rPr>
  </w:style>
  <w:style w:type="paragraph" w:customStyle="1" w:styleId="Default">
    <w:name w:val="Default"/>
    <w:rsid w:val="00AC6AE5"/>
    <w:pPr>
      <w:autoSpaceDE w:val="0"/>
      <w:autoSpaceDN w:val="0"/>
      <w:adjustRightInd w:val="0"/>
      <w:spacing w:after="0" w:line="240" w:lineRule="auto"/>
    </w:pPr>
    <w:rPr>
      <w:rFonts w:ascii="Arial" w:hAnsi="Arial" w:cs="Arial"/>
      <w:color w:val="000000"/>
      <w:sz w:val="24"/>
      <w:szCs w:val="24"/>
    </w:rPr>
  </w:style>
  <w:style w:type="paragraph" w:customStyle="1" w:styleId="Num2">
    <w:name w:val="Num 2"/>
    <w:basedOn w:val="ListParagraph"/>
    <w:link w:val="Num2Zchn"/>
    <w:qFormat/>
    <w:rsid w:val="00AC6AE5"/>
    <w:pPr>
      <w:spacing w:line="276" w:lineRule="auto"/>
      <w:ind w:left="2160" w:hanging="360"/>
      <w:jc w:val="left"/>
    </w:pPr>
  </w:style>
  <w:style w:type="character" w:customStyle="1" w:styleId="ListParagraphChar">
    <w:name w:val="List Paragraph Char"/>
    <w:basedOn w:val="DefaultParagraphFont"/>
    <w:link w:val="ListParagraph"/>
    <w:uiPriority w:val="34"/>
    <w:rsid w:val="00AC6AE5"/>
    <w:rPr>
      <w:rFonts w:ascii="Times New Roman" w:eastAsia="Calibri" w:hAnsi="Times New Roman" w:cs="Times New Roman"/>
    </w:rPr>
  </w:style>
  <w:style w:type="character" w:customStyle="1" w:styleId="Num2Zchn">
    <w:name w:val="Num 2 Zchn"/>
    <w:basedOn w:val="ListParagraphChar"/>
    <w:link w:val="Num2"/>
    <w:rsid w:val="00AC6AE5"/>
    <w:rPr>
      <w:rFonts w:ascii="Times New Roman" w:eastAsia="Calibri" w:hAnsi="Times New Roman" w:cs="Times New Roman"/>
    </w:rPr>
  </w:style>
  <w:style w:type="paragraph" w:customStyle="1" w:styleId="Num3">
    <w:name w:val="Num 3"/>
    <w:basedOn w:val="Num2"/>
    <w:link w:val="Num3Zchn"/>
    <w:qFormat/>
    <w:rsid w:val="00AC6AE5"/>
    <w:pPr>
      <w:tabs>
        <w:tab w:val="num" w:pos="360"/>
      </w:tabs>
      <w:ind w:left="1134" w:hanging="350"/>
    </w:pPr>
  </w:style>
  <w:style w:type="character" w:customStyle="1" w:styleId="Num3Zchn">
    <w:name w:val="Num 3 Zchn"/>
    <w:basedOn w:val="Num2Zchn"/>
    <w:link w:val="Num3"/>
    <w:rsid w:val="00AC6AE5"/>
    <w:rPr>
      <w:rFonts w:ascii="Times New Roman" w:eastAsia="Calibri" w:hAnsi="Times New Roman" w:cs="Times New Roman"/>
    </w:rPr>
  </w:style>
  <w:style w:type="paragraph" w:customStyle="1" w:styleId="Num1">
    <w:name w:val="Num 1"/>
    <w:basedOn w:val="ListParagraph"/>
    <w:link w:val="Num1Zchn"/>
    <w:qFormat/>
    <w:rsid w:val="00AC6AE5"/>
    <w:pPr>
      <w:spacing w:after="160" w:line="276" w:lineRule="auto"/>
      <w:ind w:hanging="360"/>
      <w:jc w:val="left"/>
    </w:pPr>
  </w:style>
  <w:style w:type="character" w:customStyle="1" w:styleId="Num1Zchn">
    <w:name w:val="Num 1 Zchn"/>
    <w:basedOn w:val="ListParagraphChar"/>
    <w:link w:val="Num1"/>
    <w:rsid w:val="00AC6AE5"/>
    <w:rPr>
      <w:rFonts w:ascii="Times New Roman" w:eastAsia="Calibri" w:hAnsi="Times New Roman" w:cs="Times New Roman"/>
    </w:rPr>
  </w:style>
  <w:style w:type="paragraph" w:customStyle="1" w:styleId="StyleJustified">
    <w:name w:val="Style Justified"/>
    <w:basedOn w:val="Normal"/>
    <w:uiPriority w:val="99"/>
    <w:rsid w:val="00AC6AE5"/>
    <w:pPr>
      <w:jc w:val="both"/>
    </w:pPr>
    <w:rPr>
      <w:lang w:eastAsia="de-DE"/>
    </w:rPr>
  </w:style>
  <w:style w:type="paragraph" w:customStyle="1" w:styleId="posttext3">
    <w:name w:val="posttext3"/>
    <w:basedOn w:val="Normal"/>
    <w:rsid w:val="00AC6AE5"/>
    <w:pPr>
      <w:spacing w:before="100" w:beforeAutospacing="1" w:after="100" w:afterAutospacing="1"/>
    </w:pPr>
    <w:rPr>
      <w:rFonts w:ascii="Droid Sans" w:hAnsi="Droid Sans"/>
      <w:color w:val="666666"/>
      <w:sz w:val="21"/>
      <w:szCs w:val="21"/>
      <w:lang w:eastAsia="de-DE"/>
    </w:rPr>
  </w:style>
  <w:style w:type="paragraph" w:styleId="Title">
    <w:name w:val="Title"/>
    <w:basedOn w:val="Normal"/>
    <w:next w:val="Normal"/>
    <w:link w:val="TitleChar"/>
    <w:uiPriority w:val="10"/>
    <w:qFormat/>
    <w:rsid w:val="00AC6AE5"/>
    <w:pPr>
      <w:contextualSpacing/>
    </w:pPr>
    <w:rPr>
      <w:rFonts w:ascii="Calibri" w:eastAsiaTheme="majorEastAsia" w:hAnsi="Calibri" w:cstheme="majorBidi"/>
      <w:spacing w:val="-10"/>
      <w:kern w:val="28"/>
      <w:sz w:val="36"/>
      <w:szCs w:val="56"/>
    </w:rPr>
  </w:style>
  <w:style w:type="character" w:customStyle="1" w:styleId="TitleChar">
    <w:name w:val="Title Char"/>
    <w:basedOn w:val="DefaultParagraphFont"/>
    <w:link w:val="Title"/>
    <w:uiPriority w:val="10"/>
    <w:rsid w:val="00AC6AE5"/>
    <w:rPr>
      <w:rFonts w:ascii="Calibri" w:eastAsiaTheme="majorEastAsia" w:hAnsi="Calibri" w:cstheme="majorBidi"/>
      <w:spacing w:val="-10"/>
      <w:kern w:val="28"/>
      <w:sz w:val="36"/>
      <w:szCs w:val="56"/>
    </w:rPr>
  </w:style>
  <w:style w:type="paragraph" w:styleId="TOCHeading">
    <w:name w:val="TOC Heading"/>
    <w:basedOn w:val="Heading1"/>
    <w:next w:val="Normal"/>
    <w:uiPriority w:val="39"/>
    <w:unhideWhenUsed/>
    <w:qFormat/>
    <w:rsid w:val="00AC6AE5"/>
    <w:pPr>
      <w:spacing w:before="240" w:line="259" w:lineRule="auto"/>
      <w:outlineLvl w:val="9"/>
    </w:pPr>
    <w:rPr>
      <w:b w:val="0"/>
      <w:bCs w:val="0"/>
      <w:sz w:val="32"/>
      <w:szCs w:val="32"/>
    </w:rPr>
  </w:style>
  <w:style w:type="paragraph" w:customStyle="1" w:styleId="1Level">
    <w:name w:val="1 Level"/>
    <w:basedOn w:val="ListParagraph"/>
    <w:link w:val="1LevelZchn"/>
    <w:qFormat/>
    <w:rsid w:val="00AC6AE5"/>
    <w:pPr>
      <w:numPr>
        <w:numId w:val="2"/>
      </w:numPr>
      <w:spacing w:after="60" w:line="245" w:lineRule="auto"/>
      <w:contextualSpacing w:val="0"/>
      <w:jc w:val="left"/>
    </w:pPr>
    <w:rPr>
      <w:color w:val="000000" w:themeColor="text1"/>
    </w:rPr>
  </w:style>
  <w:style w:type="paragraph" w:customStyle="1" w:styleId="2Level">
    <w:name w:val="2 Level"/>
    <w:basedOn w:val="ListParagraph"/>
    <w:link w:val="2LevelZchn"/>
    <w:qFormat/>
    <w:rsid w:val="00AC6AE5"/>
    <w:pPr>
      <w:numPr>
        <w:ilvl w:val="1"/>
        <w:numId w:val="1"/>
      </w:numPr>
      <w:spacing w:after="60" w:line="245" w:lineRule="auto"/>
      <w:ind w:left="851" w:hanging="425"/>
      <w:contextualSpacing w:val="0"/>
      <w:jc w:val="left"/>
    </w:pPr>
  </w:style>
  <w:style w:type="character" w:customStyle="1" w:styleId="1LevelZchn">
    <w:name w:val="1 Level Zchn"/>
    <w:basedOn w:val="ListParagraphChar"/>
    <w:link w:val="1Level"/>
    <w:rsid w:val="00AC6AE5"/>
    <w:rPr>
      <w:rFonts w:ascii="Times New Roman" w:eastAsia="Calibri" w:hAnsi="Times New Roman" w:cs="Times New Roman"/>
      <w:color w:val="000000" w:themeColor="text1"/>
    </w:rPr>
  </w:style>
  <w:style w:type="character" w:customStyle="1" w:styleId="2LevelZchn">
    <w:name w:val="2 Level Zchn"/>
    <w:basedOn w:val="ListParagraphChar"/>
    <w:link w:val="2Level"/>
    <w:rsid w:val="00AC6AE5"/>
    <w:rPr>
      <w:rFonts w:ascii="Times New Roman" w:eastAsia="Calibri" w:hAnsi="Times New Roman" w:cs="Times New Roman"/>
    </w:rPr>
  </w:style>
  <w:style w:type="character" w:customStyle="1" w:styleId="st1">
    <w:name w:val="st1"/>
    <w:basedOn w:val="DefaultParagraphFont"/>
    <w:rsid w:val="00AC6AE5"/>
  </w:style>
  <w:style w:type="character" w:customStyle="1" w:styleId="footnote-number1">
    <w:name w:val="footnote-number1"/>
    <w:basedOn w:val="DefaultParagraphFont"/>
    <w:rsid w:val="00AC6AE5"/>
    <w:rPr>
      <w:b/>
      <w:bCs/>
      <w:vanish w:val="0"/>
      <w:webHidden w:val="0"/>
      <w:sz w:val="20"/>
      <w:szCs w:val="20"/>
      <w:specVanish w:val="0"/>
    </w:rPr>
  </w:style>
  <w:style w:type="character" w:customStyle="1" w:styleId="footnote-text1">
    <w:name w:val="footnote-text1"/>
    <w:basedOn w:val="DefaultParagraphFont"/>
    <w:rsid w:val="00AC6AE5"/>
    <w:rPr>
      <w:vanish w:val="0"/>
      <w:webHidden w:val="0"/>
      <w:color w:val="333333"/>
      <w:sz w:val="20"/>
      <w:szCs w:val="20"/>
      <w:specVanish w:val="0"/>
    </w:rPr>
  </w:style>
  <w:style w:type="paragraph" w:customStyle="1" w:styleId="Subheading2">
    <w:name w:val="Subheading 2"/>
    <w:basedOn w:val="Normal"/>
    <w:link w:val="Subheading2Zchn"/>
    <w:qFormat/>
    <w:rsid w:val="00AC6AE5"/>
    <w:pPr>
      <w:spacing w:after="160" w:line="259" w:lineRule="auto"/>
    </w:pPr>
    <w:rPr>
      <w:rFonts w:ascii="Verdana" w:eastAsiaTheme="minorHAnsi" w:hAnsi="Verdana" w:cstheme="minorBidi"/>
      <w:b/>
      <w:sz w:val="18"/>
      <w:szCs w:val="18"/>
    </w:rPr>
  </w:style>
  <w:style w:type="paragraph" w:customStyle="1" w:styleId="Flietext">
    <w:name w:val="Fließtext"/>
    <w:basedOn w:val="Normal"/>
    <w:link w:val="FlietextZchn"/>
    <w:qFormat/>
    <w:rsid w:val="00AC6AE5"/>
    <w:pPr>
      <w:spacing w:after="160" w:line="259" w:lineRule="auto"/>
      <w:jc w:val="both"/>
    </w:pPr>
    <w:rPr>
      <w:rFonts w:ascii="Verdana" w:eastAsiaTheme="minorHAnsi" w:hAnsi="Verdana" w:cstheme="minorBidi"/>
      <w:sz w:val="18"/>
      <w:szCs w:val="18"/>
    </w:rPr>
  </w:style>
  <w:style w:type="character" w:customStyle="1" w:styleId="Subheading2Zchn">
    <w:name w:val="Subheading 2 Zchn"/>
    <w:basedOn w:val="DefaultParagraphFont"/>
    <w:link w:val="Subheading2"/>
    <w:rsid w:val="00AC6AE5"/>
    <w:rPr>
      <w:rFonts w:ascii="Verdana" w:hAnsi="Verdana"/>
      <w:b/>
      <w:sz w:val="18"/>
      <w:szCs w:val="18"/>
    </w:rPr>
  </w:style>
  <w:style w:type="paragraph" w:customStyle="1" w:styleId="Appendix">
    <w:name w:val="Appendix"/>
    <w:basedOn w:val="1Level"/>
    <w:link w:val="AppendixZchn"/>
    <w:qFormat/>
    <w:rsid w:val="00AC6AE5"/>
    <w:pPr>
      <w:numPr>
        <w:numId w:val="0"/>
      </w:numPr>
      <w:spacing w:line="276" w:lineRule="auto"/>
      <w:jc w:val="both"/>
    </w:pPr>
    <w:rPr>
      <w:rFonts w:ascii="Verdana" w:hAnsi="Verdana"/>
      <w:b/>
      <w:noProof/>
      <w:sz w:val="18"/>
      <w:szCs w:val="18"/>
      <w:lang w:val="de-CH" w:eastAsia="de-CH"/>
    </w:rPr>
  </w:style>
  <w:style w:type="character" w:customStyle="1" w:styleId="FlietextZchn">
    <w:name w:val="Fließtext Zchn"/>
    <w:basedOn w:val="DefaultParagraphFont"/>
    <w:link w:val="Flietext"/>
    <w:rsid w:val="00AC6AE5"/>
    <w:rPr>
      <w:rFonts w:ascii="Verdana" w:hAnsi="Verdana"/>
      <w:sz w:val="18"/>
      <w:szCs w:val="18"/>
    </w:rPr>
  </w:style>
  <w:style w:type="character" w:customStyle="1" w:styleId="AppendixZchn">
    <w:name w:val="Appendix Zchn"/>
    <w:basedOn w:val="1LevelZchn"/>
    <w:link w:val="Appendix"/>
    <w:rsid w:val="00AC6AE5"/>
    <w:rPr>
      <w:rFonts w:ascii="Verdana" w:eastAsia="Calibri" w:hAnsi="Verdana" w:cs="Times New Roman"/>
      <w:b/>
      <w:noProof/>
      <w:color w:val="000000" w:themeColor="text1"/>
      <w:sz w:val="18"/>
      <w:szCs w:val="1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ata.worldbank.org/" TargetMode="Externa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data.worldbank.org/"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iveycases.com"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Tabelle1!$B$3</c:f>
              <c:strCache>
                <c:ptCount val="1"/>
                <c:pt idx="0">
                  <c:v>GDP</c:v>
                </c:pt>
              </c:strCache>
            </c:strRef>
          </c:tx>
          <c:spPr>
            <a:pattFill prst="dkUpDiag">
              <a:fgClr>
                <a:sysClr val="windowText" lastClr="000000"/>
              </a:fgClr>
              <a:bgClr>
                <a:sysClr val="window" lastClr="FFFFFF"/>
              </a:bgClr>
            </a:pattFill>
          </c:spPr>
          <c:invertIfNegative val="0"/>
          <c:cat>
            <c:strRef>
              <c:f>Tabelle1!$A$4:$A$13</c:f>
              <c:strCache>
                <c:ptCount val="10"/>
                <c:pt idx="0">
                  <c:v>2006</c:v>
                </c:pt>
                <c:pt idx="1">
                  <c:v>07</c:v>
                </c:pt>
                <c:pt idx="2">
                  <c:v>08</c:v>
                </c:pt>
                <c:pt idx="3">
                  <c:v>09</c:v>
                </c:pt>
                <c:pt idx="4">
                  <c:v>10</c:v>
                </c:pt>
                <c:pt idx="5">
                  <c:v>11</c:v>
                </c:pt>
                <c:pt idx="6">
                  <c:v>12</c:v>
                </c:pt>
                <c:pt idx="7">
                  <c:v>13</c:v>
                </c:pt>
                <c:pt idx="8">
                  <c:v>14</c:v>
                </c:pt>
                <c:pt idx="9">
                  <c:v>15</c:v>
                </c:pt>
              </c:strCache>
            </c:strRef>
          </c:cat>
          <c:val>
            <c:numRef>
              <c:f>Tabelle1!$B$4:$B$13</c:f>
              <c:numCache>
                <c:formatCode>General</c:formatCode>
                <c:ptCount val="10"/>
                <c:pt idx="0">
                  <c:v>7</c:v>
                </c:pt>
                <c:pt idx="1">
                  <c:v>8</c:v>
                </c:pt>
                <c:pt idx="2">
                  <c:v>2</c:v>
                </c:pt>
                <c:pt idx="3">
                  <c:v>-15</c:v>
                </c:pt>
                <c:pt idx="4">
                  <c:v>0.5</c:v>
                </c:pt>
                <c:pt idx="5">
                  <c:v>5</c:v>
                </c:pt>
                <c:pt idx="6">
                  <c:v>0.5</c:v>
                </c:pt>
                <c:pt idx="7">
                  <c:v>0</c:v>
                </c:pt>
                <c:pt idx="8">
                  <c:v>-7</c:v>
                </c:pt>
                <c:pt idx="9">
                  <c:v>-9</c:v>
                </c:pt>
              </c:numCache>
            </c:numRef>
          </c:val>
          <c:extLst xmlns:c16r2="http://schemas.microsoft.com/office/drawing/2015/06/chart">
            <c:ext xmlns:c16="http://schemas.microsoft.com/office/drawing/2014/chart" uri="{C3380CC4-5D6E-409C-BE32-E72D297353CC}">
              <c16:uniqueId val="{00000000-82AF-4312-AC02-9004FA38EF94}"/>
            </c:ext>
          </c:extLst>
        </c:ser>
        <c:dLbls>
          <c:showLegendKey val="0"/>
          <c:showVal val="0"/>
          <c:showCatName val="0"/>
          <c:showSerName val="0"/>
          <c:showPercent val="0"/>
          <c:showBubbleSize val="0"/>
        </c:dLbls>
        <c:gapWidth val="150"/>
        <c:axId val="290554944"/>
        <c:axId val="290704880"/>
      </c:barChart>
      <c:lineChart>
        <c:grouping val="standard"/>
        <c:varyColors val="0"/>
        <c:ser>
          <c:idx val="1"/>
          <c:order val="1"/>
          <c:tx>
            <c:strRef>
              <c:f>Tabelle1!$C$3</c:f>
              <c:strCache>
                <c:ptCount val="1"/>
                <c:pt idx="0">
                  <c:v>Consumer prices</c:v>
                </c:pt>
              </c:strCache>
            </c:strRef>
          </c:tx>
          <c:spPr>
            <a:ln>
              <a:solidFill>
                <a:sysClr val="windowText" lastClr="000000"/>
              </a:solidFill>
            </a:ln>
          </c:spPr>
          <c:marker>
            <c:symbol val="none"/>
          </c:marker>
          <c:cat>
            <c:strRef>
              <c:f>Tabelle1!$A$4:$A$13</c:f>
              <c:strCache>
                <c:ptCount val="10"/>
                <c:pt idx="0">
                  <c:v>2006</c:v>
                </c:pt>
                <c:pt idx="1">
                  <c:v>07</c:v>
                </c:pt>
                <c:pt idx="2">
                  <c:v>08</c:v>
                </c:pt>
                <c:pt idx="3">
                  <c:v>09</c:v>
                </c:pt>
                <c:pt idx="4">
                  <c:v>10</c:v>
                </c:pt>
                <c:pt idx="5">
                  <c:v>11</c:v>
                </c:pt>
                <c:pt idx="6">
                  <c:v>12</c:v>
                </c:pt>
                <c:pt idx="7">
                  <c:v>13</c:v>
                </c:pt>
                <c:pt idx="8">
                  <c:v>14</c:v>
                </c:pt>
                <c:pt idx="9">
                  <c:v>15</c:v>
                </c:pt>
              </c:strCache>
            </c:strRef>
          </c:cat>
          <c:val>
            <c:numRef>
              <c:f>Tabelle1!$C$4:$C$13</c:f>
              <c:numCache>
                <c:formatCode>General</c:formatCode>
                <c:ptCount val="10"/>
                <c:pt idx="0">
                  <c:v>10</c:v>
                </c:pt>
                <c:pt idx="1">
                  <c:v>13</c:v>
                </c:pt>
                <c:pt idx="2">
                  <c:v>25</c:v>
                </c:pt>
                <c:pt idx="3">
                  <c:v>17</c:v>
                </c:pt>
                <c:pt idx="4">
                  <c:v>11</c:v>
                </c:pt>
                <c:pt idx="5">
                  <c:v>10</c:v>
                </c:pt>
                <c:pt idx="6">
                  <c:v>0</c:v>
                </c:pt>
                <c:pt idx="7">
                  <c:v>-1</c:v>
                </c:pt>
                <c:pt idx="8">
                  <c:v>10</c:v>
                </c:pt>
                <c:pt idx="9">
                  <c:v>50</c:v>
                </c:pt>
              </c:numCache>
            </c:numRef>
          </c:val>
          <c:smooth val="0"/>
          <c:extLst xmlns:c16r2="http://schemas.microsoft.com/office/drawing/2015/06/chart">
            <c:ext xmlns:c16="http://schemas.microsoft.com/office/drawing/2014/chart" uri="{C3380CC4-5D6E-409C-BE32-E72D297353CC}">
              <c16:uniqueId val="{00000001-82AF-4312-AC02-9004FA38EF94}"/>
            </c:ext>
          </c:extLst>
        </c:ser>
        <c:dLbls>
          <c:showLegendKey val="0"/>
          <c:showVal val="0"/>
          <c:showCatName val="0"/>
          <c:showSerName val="0"/>
          <c:showPercent val="0"/>
          <c:showBubbleSize val="0"/>
        </c:dLbls>
        <c:marker val="1"/>
        <c:smooth val="0"/>
        <c:axId val="290705664"/>
        <c:axId val="290704488"/>
      </c:lineChart>
      <c:catAx>
        <c:axId val="290554944"/>
        <c:scaling>
          <c:orientation val="minMax"/>
        </c:scaling>
        <c:delete val="0"/>
        <c:axPos val="b"/>
        <c:numFmt formatCode="General" sourceLinked="1"/>
        <c:majorTickMark val="in"/>
        <c:minorTickMark val="none"/>
        <c:tickLblPos val="low"/>
        <c:txPr>
          <a:bodyPr/>
          <a:lstStyle/>
          <a:p>
            <a:pPr>
              <a:defRPr sz="900">
                <a:latin typeface="Arial" panose="020B0604020202020204" pitchFamily="34" charset="0"/>
                <a:cs typeface="Arial" panose="020B0604020202020204" pitchFamily="34" charset="0"/>
              </a:defRPr>
            </a:pPr>
            <a:endParaRPr lang="en-US"/>
          </a:p>
        </c:txPr>
        <c:crossAx val="290704880"/>
        <c:crosses val="autoZero"/>
        <c:auto val="1"/>
        <c:lblAlgn val="ctr"/>
        <c:lblOffset val="100"/>
        <c:noMultiLvlLbl val="0"/>
      </c:catAx>
      <c:valAx>
        <c:axId val="290704880"/>
        <c:scaling>
          <c:orientation val="minMax"/>
          <c:max val="12"/>
          <c:min val="-18"/>
        </c:scaling>
        <c:delete val="0"/>
        <c:axPos val="l"/>
        <c:majorGridlines/>
        <c:title>
          <c:tx>
            <c:rich>
              <a:bodyPr/>
              <a:lstStyle/>
              <a:p>
                <a:pPr>
                  <a:defRPr sz="900"/>
                </a:pPr>
                <a:r>
                  <a:rPr lang="de-CH" sz="900">
                    <a:latin typeface="Arial" panose="020B0604020202020204" pitchFamily="34" charset="0"/>
                    <a:cs typeface="Arial" panose="020B0604020202020204" pitchFamily="34" charset="0"/>
                  </a:rPr>
                  <a:t>GDP </a:t>
                </a:r>
              </a:p>
            </c:rich>
          </c:tx>
          <c:layout>
            <c:manualLayout>
              <c:xMode val="edge"/>
              <c:yMode val="edge"/>
              <c:x val="2.744646607533361E-2"/>
              <c:y val="0.7399684123786866"/>
            </c:manualLayout>
          </c:layout>
          <c:overlay val="0"/>
        </c:title>
        <c:numFmt formatCode="General" sourceLinked="1"/>
        <c:majorTickMark val="out"/>
        <c:minorTickMark val="none"/>
        <c:tickLblPos val="nextTo"/>
        <c:spPr>
          <a:ln>
            <a:noFill/>
          </a:ln>
        </c:spPr>
        <c:txPr>
          <a:bodyPr/>
          <a:lstStyle/>
          <a:p>
            <a:pPr>
              <a:defRPr sz="900">
                <a:latin typeface="Arial" panose="020B0604020202020204" pitchFamily="34" charset="0"/>
                <a:cs typeface="Arial" panose="020B0604020202020204" pitchFamily="34" charset="0"/>
              </a:defRPr>
            </a:pPr>
            <a:endParaRPr lang="en-US"/>
          </a:p>
        </c:txPr>
        <c:crossAx val="290554944"/>
        <c:crossesAt val="1"/>
        <c:crossBetween val="between"/>
        <c:majorUnit val="6"/>
      </c:valAx>
      <c:valAx>
        <c:axId val="290704488"/>
        <c:scaling>
          <c:orientation val="minMax"/>
          <c:max val="50"/>
          <c:min val="-75"/>
        </c:scaling>
        <c:delete val="0"/>
        <c:axPos val="r"/>
        <c:title>
          <c:tx>
            <c:rich>
              <a:bodyPr/>
              <a:lstStyle/>
              <a:p>
                <a:pPr>
                  <a:defRPr/>
                </a:pPr>
                <a:r>
                  <a:rPr lang="de-CH" sz="900">
                    <a:latin typeface="Arial" panose="020B0604020202020204" pitchFamily="34" charset="0"/>
                    <a:cs typeface="Arial" panose="020B0604020202020204" pitchFamily="34" charset="0"/>
                  </a:rPr>
                  <a:t>Consumer</a:t>
                </a:r>
                <a:r>
                  <a:rPr lang="de-CH" sz="900"/>
                  <a:t> </a:t>
                </a:r>
                <a:r>
                  <a:rPr lang="de-CH" sz="900">
                    <a:latin typeface="Arial" panose="020B0604020202020204" pitchFamily="34" charset="0"/>
                    <a:cs typeface="Arial" panose="020B0604020202020204" pitchFamily="34" charset="0"/>
                  </a:rPr>
                  <a:t>prices</a:t>
                </a:r>
                <a:endParaRPr lang="de-CH">
                  <a:latin typeface="Arial" panose="020B0604020202020204" pitchFamily="34" charset="0"/>
                  <a:cs typeface="Arial" panose="020B0604020202020204" pitchFamily="34" charset="0"/>
                </a:endParaRPr>
              </a:p>
            </c:rich>
          </c:tx>
          <c:layout>
            <c:manualLayout>
              <c:xMode val="edge"/>
              <c:yMode val="edge"/>
              <c:x val="0.92936408842570151"/>
              <c:y val="0.44132805347006132"/>
            </c:manualLayout>
          </c:layout>
          <c:overlay val="0"/>
          <c:spPr>
            <a:solidFill>
              <a:sysClr val="window" lastClr="FFFFFF"/>
            </a:solidFill>
          </c:spPr>
        </c:title>
        <c:numFmt formatCode="General" sourceLinked="1"/>
        <c:majorTickMark val="out"/>
        <c:minorTickMark val="none"/>
        <c:tickLblPos val="nextTo"/>
        <c:spPr>
          <a:ln>
            <a:noFill/>
          </a:ln>
        </c:spPr>
        <c:txPr>
          <a:bodyPr/>
          <a:lstStyle/>
          <a:p>
            <a:pPr>
              <a:defRPr sz="900">
                <a:latin typeface="Arial" panose="020B0604020202020204" pitchFamily="34" charset="0"/>
                <a:cs typeface="Arial" panose="020B0604020202020204" pitchFamily="34" charset="0"/>
              </a:defRPr>
            </a:pPr>
            <a:endParaRPr lang="en-US"/>
          </a:p>
        </c:txPr>
        <c:crossAx val="290705664"/>
        <c:crosses val="max"/>
        <c:crossBetween val="between"/>
        <c:majorUnit val="25"/>
      </c:valAx>
      <c:catAx>
        <c:axId val="290705664"/>
        <c:scaling>
          <c:orientation val="minMax"/>
        </c:scaling>
        <c:delete val="1"/>
        <c:axPos val="b"/>
        <c:numFmt formatCode="General" sourceLinked="1"/>
        <c:majorTickMark val="out"/>
        <c:minorTickMark val="none"/>
        <c:tickLblPos val="none"/>
        <c:crossAx val="290704488"/>
        <c:crossesAt val="-18"/>
        <c:auto val="1"/>
        <c:lblAlgn val="ctr"/>
        <c:lblOffset val="100"/>
        <c:noMultiLvlLbl val="0"/>
      </c:catAx>
      <c:spPr>
        <a:noFill/>
        <a:ln>
          <a:noFill/>
        </a:ln>
      </c:spPr>
    </c:plotArea>
    <c:plotVisOnly val="1"/>
    <c:dispBlanksAs val="gap"/>
    <c:showDLblsOverMax val="0"/>
  </c:chart>
  <c:spPr>
    <a:noFill/>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116626770330799"/>
          <c:y val="5.1400554097404495E-2"/>
          <c:w val="0.83422188869128666"/>
          <c:h val="0.76718540390784495"/>
        </c:manualLayout>
      </c:layout>
      <c:lineChart>
        <c:grouping val="standard"/>
        <c:varyColors val="0"/>
        <c:ser>
          <c:idx val="1"/>
          <c:order val="1"/>
          <c:tx>
            <c:strRef>
              <c:f>'1 half 2014'!$E$1</c:f>
              <c:strCache>
                <c:ptCount val="1"/>
                <c:pt idx="0">
                  <c:v>daily change (%)</c:v>
                </c:pt>
              </c:strCache>
            </c:strRef>
          </c:tx>
          <c:spPr>
            <a:ln w="9525">
              <a:solidFill>
                <a:sysClr val="windowText" lastClr="000000"/>
              </a:solidFill>
            </a:ln>
          </c:spPr>
          <c:marker>
            <c:symbol val="none"/>
          </c:marker>
          <c:cat>
            <c:strRef>
              <c:f>'1 half 2014'!$B$2:$B$170</c:f>
              <c:strCache>
                <c:ptCount val="169"/>
                <c:pt idx="0">
                  <c:v>01.01.2014</c:v>
                </c:pt>
                <c:pt idx="1">
                  <c:v>02.01.2014</c:v>
                </c:pt>
                <c:pt idx="2">
                  <c:v>03.01.2014</c:v>
                </c:pt>
                <c:pt idx="3">
                  <c:v>04.01.2014</c:v>
                </c:pt>
                <c:pt idx="4">
                  <c:v>05.01.2014</c:v>
                </c:pt>
                <c:pt idx="5">
                  <c:v>06.01.2014</c:v>
                </c:pt>
                <c:pt idx="6">
                  <c:v>07.01.2014</c:v>
                </c:pt>
                <c:pt idx="7">
                  <c:v>08.01.2014</c:v>
                </c:pt>
                <c:pt idx="8">
                  <c:v>09.01.2014</c:v>
                </c:pt>
                <c:pt idx="9">
                  <c:v>10.01.2014</c:v>
                </c:pt>
                <c:pt idx="10">
                  <c:v>11.01.2014</c:v>
                </c:pt>
                <c:pt idx="11">
                  <c:v>13.01.2014</c:v>
                </c:pt>
                <c:pt idx="12">
                  <c:v>14.01.2014</c:v>
                </c:pt>
                <c:pt idx="13">
                  <c:v>15.01.2014</c:v>
                </c:pt>
                <c:pt idx="14">
                  <c:v>16.01.2014</c:v>
                </c:pt>
                <c:pt idx="15">
                  <c:v>17.01.2014</c:v>
                </c:pt>
                <c:pt idx="16">
                  <c:v>20.01.2014</c:v>
                </c:pt>
                <c:pt idx="17">
                  <c:v>21.01.2014</c:v>
                </c:pt>
                <c:pt idx="18">
                  <c:v>22.01.2014</c:v>
                </c:pt>
                <c:pt idx="19">
                  <c:v>23.01.2014</c:v>
                </c:pt>
                <c:pt idx="20">
                  <c:v>24.01.2014</c:v>
                </c:pt>
                <c:pt idx="21">
                  <c:v>27.01.2014</c:v>
                </c:pt>
                <c:pt idx="22">
                  <c:v>28.01.2014</c:v>
                </c:pt>
                <c:pt idx="23">
                  <c:v>29.01.2014</c:v>
                </c:pt>
                <c:pt idx="24">
                  <c:v>30.01.2014</c:v>
                </c:pt>
                <c:pt idx="25">
                  <c:v>31.01.2014</c:v>
                </c:pt>
                <c:pt idx="26">
                  <c:v>03.02.2014</c:v>
                </c:pt>
                <c:pt idx="27">
                  <c:v>04.02.2014</c:v>
                </c:pt>
                <c:pt idx="28">
                  <c:v>05.02.2014</c:v>
                </c:pt>
                <c:pt idx="29">
                  <c:v>06.02.2014</c:v>
                </c:pt>
                <c:pt idx="30">
                  <c:v>07.02.2014</c:v>
                </c:pt>
                <c:pt idx="31">
                  <c:v>10.02.2014</c:v>
                </c:pt>
                <c:pt idx="32">
                  <c:v>11.02.2014</c:v>
                </c:pt>
                <c:pt idx="33">
                  <c:v>12.02.2014</c:v>
                </c:pt>
                <c:pt idx="34">
                  <c:v>13.02.2014</c:v>
                </c:pt>
                <c:pt idx="35">
                  <c:v>14.02.2014</c:v>
                </c:pt>
                <c:pt idx="36">
                  <c:v>17.02.2014</c:v>
                </c:pt>
                <c:pt idx="37">
                  <c:v>18.02.2014</c:v>
                </c:pt>
                <c:pt idx="38">
                  <c:v>19.02.2014</c:v>
                </c:pt>
                <c:pt idx="39">
                  <c:v>20.02.2014</c:v>
                </c:pt>
                <c:pt idx="40">
                  <c:v>21.02.2014</c:v>
                </c:pt>
                <c:pt idx="41">
                  <c:v>24.02.2014</c:v>
                </c:pt>
                <c:pt idx="42">
                  <c:v>25.02.2014</c:v>
                </c:pt>
                <c:pt idx="43">
                  <c:v>26.02.2014</c:v>
                </c:pt>
                <c:pt idx="44">
                  <c:v>27.02.2014</c:v>
                </c:pt>
                <c:pt idx="45">
                  <c:v>28.02.2014</c:v>
                </c:pt>
                <c:pt idx="46">
                  <c:v>03.03.2014</c:v>
                </c:pt>
                <c:pt idx="47">
                  <c:v>04.03.2014</c:v>
                </c:pt>
                <c:pt idx="48">
                  <c:v>05.03.2014</c:v>
                </c:pt>
                <c:pt idx="49">
                  <c:v>06.03.2014</c:v>
                </c:pt>
                <c:pt idx="50">
                  <c:v>07.03.2014</c:v>
                </c:pt>
                <c:pt idx="51">
                  <c:v>11.03.2014</c:v>
                </c:pt>
                <c:pt idx="52">
                  <c:v>12.03.2014</c:v>
                </c:pt>
                <c:pt idx="53">
                  <c:v>13.03.2014</c:v>
                </c:pt>
                <c:pt idx="54">
                  <c:v>14.03.2014</c:v>
                </c:pt>
                <c:pt idx="55">
                  <c:v>17.03.2014</c:v>
                </c:pt>
                <c:pt idx="56">
                  <c:v>18.03.2014</c:v>
                </c:pt>
                <c:pt idx="57">
                  <c:v>19.03.2014</c:v>
                </c:pt>
                <c:pt idx="58">
                  <c:v>20.03.2014</c:v>
                </c:pt>
                <c:pt idx="59">
                  <c:v>21.03.2014</c:v>
                </c:pt>
                <c:pt idx="60">
                  <c:v>24.03.2014</c:v>
                </c:pt>
                <c:pt idx="61">
                  <c:v>25.03.2014</c:v>
                </c:pt>
                <c:pt idx="62">
                  <c:v>26.03.2014</c:v>
                </c:pt>
                <c:pt idx="63">
                  <c:v>27.03.2014</c:v>
                </c:pt>
                <c:pt idx="64">
                  <c:v>28.03.2014</c:v>
                </c:pt>
                <c:pt idx="65">
                  <c:v>31.03.2014</c:v>
                </c:pt>
                <c:pt idx="66">
                  <c:v>01.04.2014</c:v>
                </c:pt>
                <c:pt idx="67">
                  <c:v>02.04.2014</c:v>
                </c:pt>
                <c:pt idx="68">
                  <c:v>03.04.2014</c:v>
                </c:pt>
                <c:pt idx="69">
                  <c:v>04.04.2014</c:v>
                </c:pt>
                <c:pt idx="70">
                  <c:v>04.04.2014</c:v>
                </c:pt>
                <c:pt idx="71">
                  <c:v>07.04.2014</c:v>
                </c:pt>
                <c:pt idx="72">
                  <c:v>08.04.2014</c:v>
                </c:pt>
                <c:pt idx="73">
                  <c:v>09.04.2014</c:v>
                </c:pt>
                <c:pt idx="74">
                  <c:v>10.04.2014</c:v>
                </c:pt>
                <c:pt idx="75">
                  <c:v>11.04.2014</c:v>
                </c:pt>
                <c:pt idx="76">
                  <c:v>14.04.2014</c:v>
                </c:pt>
                <c:pt idx="77">
                  <c:v>15.04.2014</c:v>
                </c:pt>
                <c:pt idx="78">
                  <c:v>16.04.2014</c:v>
                </c:pt>
                <c:pt idx="79">
                  <c:v>17.04.2014</c:v>
                </c:pt>
                <c:pt idx="80">
                  <c:v>18.04.2014</c:v>
                </c:pt>
                <c:pt idx="81">
                  <c:v>22.04.2014</c:v>
                </c:pt>
                <c:pt idx="82">
                  <c:v>23.04.2014</c:v>
                </c:pt>
                <c:pt idx="83">
                  <c:v>24.04.2014</c:v>
                </c:pt>
                <c:pt idx="84">
                  <c:v>25.04.2014</c:v>
                </c:pt>
                <c:pt idx="85">
                  <c:v>28.04.2014</c:v>
                </c:pt>
                <c:pt idx="86">
                  <c:v>29.04.2014</c:v>
                </c:pt>
                <c:pt idx="87">
                  <c:v>30.04.2014</c:v>
                </c:pt>
                <c:pt idx="88">
                  <c:v>05.05.2014</c:v>
                </c:pt>
                <c:pt idx="89">
                  <c:v>06.05.2014</c:v>
                </c:pt>
                <c:pt idx="90">
                  <c:v>07.05.2014</c:v>
                </c:pt>
                <c:pt idx="91">
                  <c:v>08.05.2014</c:v>
                </c:pt>
                <c:pt idx="92">
                  <c:v>12.05.2014</c:v>
                </c:pt>
                <c:pt idx="93">
                  <c:v>13.05.2014</c:v>
                </c:pt>
                <c:pt idx="94">
                  <c:v>14.05.2014</c:v>
                </c:pt>
                <c:pt idx="95">
                  <c:v>15.05.2014</c:v>
                </c:pt>
                <c:pt idx="96">
                  <c:v>16.05.2014</c:v>
                </c:pt>
                <c:pt idx="97">
                  <c:v>19.05.2014</c:v>
                </c:pt>
                <c:pt idx="98">
                  <c:v>20.05.2014</c:v>
                </c:pt>
                <c:pt idx="99">
                  <c:v>21.05.2014</c:v>
                </c:pt>
                <c:pt idx="100">
                  <c:v>22.05.2014</c:v>
                </c:pt>
                <c:pt idx="101">
                  <c:v>23.05.2014</c:v>
                </c:pt>
                <c:pt idx="102">
                  <c:v>26.05.2014</c:v>
                </c:pt>
                <c:pt idx="103">
                  <c:v>27.05.2014</c:v>
                </c:pt>
                <c:pt idx="104">
                  <c:v>28.05.2014</c:v>
                </c:pt>
                <c:pt idx="105">
                  <c:v>29.05.2014</c:v>
                </c:pt>
                <c:pt idx="106">
                  <c:v>30.05.2014</c:v>
                </c:pt>
                <c:pt idx="107">
                  <c:v>02.06.2014</c:v>
                </c:pt>
                <c:pt idx="108">
                  <c:v>03.06.2014</c:v>
                </c:pt>
                <c:pt idx="109">
                  <c:v>04.06.2014</c:v>
                </c:pt>
                <c:pt idx="110">
                  <c:v>05.06.2014</c:v>
                </c:pt>
                <c:pt idx="111">
                  <c:v>06.06.2014</c:v>
                </c:pt>
                <c:pt idx="112">
                  <c:v>10.06.2014</c:v>
                </c:pt>
                <c:pt idx="113">
                  <c:v>11.06.2014</c:v>
                </c:pt>
                <c:pt idx="114">
                  <c:v>12.06.2014</c:v>
                </c:pt>
                <c:pt idx="115">
                  <c:v>13.06.2014</c:v>
                </c:pt>
                <c:pt idx="116">
                  <c:v>16.06.2014</c:v>
                </c:pt>
                <c:pt idx="117">
                  <c:v>17.06.2014</c:v>
                </c:pt>
                <c:pt idx="118">
                  <c:v>18.06.2014</c:v>
                </c:pt>
                <c:pt idx="119">
                  <c:v>19.06.2014</c:v>
                </c:pt>
                <c:pt idx="120">
                  <c:v>20.06.2014</c:v>
                </c:pt>
                <c:pt idx="121">
                  <c:v>23.06.2014</c:v>
                </c:pt>
                <c:pt idx="122">
                  <c:v>24.06.2014</c:v>
                </c:pt>
                <c:pt idx="123">
                  <c:v>25.06.2014</c:v>
                </c:pt>
                <c:pt idx="124">
                  <c:v>26.06.2014</c:v>
                </c:pt>
                <c:pt idx="125">
                  <c:v>27.06.2014</c:v>
                </c:pt>
                <c:pt idx="126">
                  <c:v>01.07.2014</c:v>
                </c:pt>
                <c:pt idx="127">
                  <c:v>02.07.2014</c:v>
                </c:pt>
                <c:pt idx="128">
                  <c:v>03.07.2014</c:v>
                </c:pt>
                <c:pt idx="129">
                  <c:v>04.07.2014</c:v>
                </c:pt>
                <c:pt idx="130">
                  <c:v>07.07.2014</c:v>
                </c:pt>
                <c:pt idx="131">
                  <c:v>08.07.2014</c:v>
                </c:pt>
                <c:pt idx="132">
                  <c:v>09.07.2014</c:v>
                </c:pt>
                <c:pt idx="133">
                  <c:v>10.07.2014</c:v>
                </c:pt>
                <c:pt idx="134">
                  <c:v>11.07.2014</c:v>
                </c:pt>
                <c:pt idx="135">
                  <c:v>14.07.2014</c:v>
                </c:pt>
                <c:pt idx="136">
                  <c:v>15.07.2014</c:v>
                </c:pt>
                <c:pt idx="137">
                  <c:v>16.07.2014</c:v>
                </c:pt>
                <c:pt idx="138">
                  <c:v>17.07.2014</c:v>
                </c:pt>
                <c:pt idx="139">
                  <c:v>18.07.2014</c:v>
                </c:pt>
                <c:pt idx="140">
                  <c:v>21.07.2014</c:v>
                </c:pt>
                <c:pt idx="141">
                  <c:v>22.07.2014</c:v>
                </c:pt>
                <c:pt idx="142">
                  <c:v>23.07.2014</c:v>
                </c:pt>
                <c:pt idx="143">
                  <c:v>24.07.2014</c:v>
                </c:pt>
                <c:pt idx="144">
                  <c:v>25.07.2014</c:v>
                </c:pt>
                <c:pt idx="145">
                  <c:v>28.07.2014</c:v>
                </c:pt>
                <c:pt idx="146">
                  <c:v>29.07.2014</c:v>
                </c:pt>
                <c:pt idx="147">
                  <c:v>30.07.2014</c:v>
                </c:pt>
                <c:pt idx="148">
                  <c:v>31.07.2014</c:v>
                </c:pt>
                <c:pt idx="149">
                  <c:v>01.08.2014</c:v>
                </c:pt>
                <c:pt idx="150">
                  <c:v>04.08.2014</c:v>
                </c:pt>
                <c:pt idx="151">
                  <c:v>05.08.2014</c:v>
                </c:pt>
                <c:pt idx="152">
                  <c:v>06.08.2014</c:v>
                </c:pt>
                <c:pt idx="153">
                  <c:v>07.08.2014</c:v>
                </c:pt>
                <c:pt idx="154">
                  <c:v>08.08.2014</c:v>
                </c:pt>
                <c:pt idx="155">
                  <c:v>11.08.2014</c:v>
                </c:pt>
                <c:pt idx="156">
                  <c:v>12.08.2014</c:v>
                </c:pt>
                <c:pt idx="157">
                  <c:v>13.08.2014</c:v>
                </c:pt>
                <c:pt idx="158">
                  <c:v>14.08.2014</c:v>
                </c:pt>
                <c:pt idx="159">
                  <c:v>15.08.2014</c:v>
                </c:pt>
                <c:pt idx="160">
                  <c:v>18.08.2014</c:v>
                </c:pt>
                <c:pt idx="161">
                  <c:v>19.08.2014</c:v>
                </c:pt>
                <c:pt idx="162">
                  <c:v>20.08.2014</c:v>
                </c:pt>
                <c:pt idx="163">
                  <c:v>21.08.2014</c:v>
                </c:pt>
                <c:pt idx="164">
                  <c:v>22.08.2014</c:v>
                </c:pt>
                <c:pt idx="165">
                  <c:v>26.08.2014</c:v>
                </c:pt>
                <c:pt idx="166">
                  <c:v>27.08.2014</c:v>
                </c:pt>
                <c:pt idx="167">
                  <c:v>28.08.2014</c:v>
                </c:pt>
                <c:pt idx="168">
                  <c:v>29.08.2014</c:v>
                </c:pt>
              </c:strCache>
            </c:strRef>
          </c:cat>
          <c:val>
            <c:numRef>
              <c:f>'1 half 2014'!$E$2:$E$170</c:f>
              <c:numCache>
                <c:formatCode>0.00%</c:formatCode>
                <c:ptCount val="169"/>
                <c:pt idx="1">
                  <c:v>0</c:v>
                </c:pt>
                <c:pt idx="2">
                  <c:v>0</c:v>
                </c:pt>
                <c:pt idx="3">
                  <c:v>0</c:v>
                </c:pt>
                <c:pt idx="4">
                  <c:v>0</c:v>
                </c:pt>
                <c:pt idx="5">
                  <c:v>0</c:v>
                </c:pt>
                <c:pt idx="6">
                  <c:v>0</c:v>
                </c:pt>
                <c:pt idx="7">
                  <c:v>-1.3030259393399303E-2</c:v>
                </c:pt>
                <c:pt idx="8">
                  <c:v>-2.9338419197667701E-3</c:v>
                </c:pt>
                <c:pt idx="9">
                  <c:v>1.3241688236100523E-3</c:v>
                </c:pt>
                <c:pt idx="10">
                  <c:v>-1.8366606397457528E-3</c:v>
                </c:pt>
                <c:pt idx="11">
                  <c:v>0</c:v>
                </c:pt>
                <c:pt idx="12">
                  <c:v>4.9311750575892262E-3</c:v>
                </c:pt>
                <c:pt idx="13">
                  <c:v>9.5211112843909102E-4</c:v>
                </c:pt>
                <c:pt idx="14">
                  <c:v>-4.4632783515026206E-3</c:v>
                </c:pt>
                <c:pt idx="15">
                  <c:v>-6.6150045295403494E-4</c:v>
                </c:pt>
                <c:pt idx="16">
                  <c:v>-9.5610246591811433E-4</c:v>
                </c:pt>
                <c:pt idx="17">
                  <c:v>-1.3250515233855231E-3</c:v>
                </c:pt>
                <c:pt idx="18">
                  <c:v>-2.9485477858040032E-3</c:v>
                </c:pt>
                <c:pt idx="19">
                  <c:v>2.9572674301371602E-3</c:v>
                </c:pt>
                <c:pt idx="20">
                  <c:v>5.3811089313736717E-3</c:v>
                </c:pt>
                <c:pt idx="21">
                  <c:v>3.5192828096803227E-3</c:v>
                </c:pt>
                <c:pt idx="22">
                  <c:v>-2.1188263018556011E-3</c:v>
                </c:pt>
                <c:pt idx="23">
                  <c:v>-6.5889036194443512E-4</c:v>
                </c:pt>
                <c:pt idx="24">
                  <c:v>-3.0039471491558538E-3</c:v>
                </c:pt>
                <c:pt idx="25">
                  <c:v>-2.4985119805562526E-3</c:v>
                </c:pt>
                <c:pt idx="26">
                  <c:v>-4.2728378246103199E-3</c:v>
                </c:pt>
                <c:pt idx="27">
                  <c:v>-1.3318104708185223E-3</c:v>
                </c:pt>
                <c:pt idx="28">
                  <c:v>1.5558509812492215E-3</c:v>
                </c:pt>
                <c:pt idx="29">
                  <c:v>1.77526067865616E-3</c:v>
                </c:pt>
                <c:pt idx="30">
                  <c:v>8.5591948947429233E-2</c:v>
                </c:pt>
                <c:pt idx="31">
                  <c:v>-1.4914504989428701E-2</c:v>
                </c:pt>
                <c:pt idx="32">
                  <c:v>7.6601268864277495E-3</c:v>
                </c:pt>
                <c:pt idx="33">
                  <c:v>2.4932159459518299E-3</c:v>
                </c:pt>
                <c:pt idx="34">
                  <c:v>-7.5314241901594412E-3</c:v>
                </c:pt>
                <c:pt idx="35">
                  <c:v>1.6964784615364638E-2</c:v>
                </c:pt>
                <c:pt idx="36">
                  <c:v>3.4548710487620174E-3</c:v>
                </c:pt>
                <c:pt idx="37">
                  <c:v>2.9383124106540206E-5</c:v>
                </c:pt>
                <c:pt idx="38">
                  <c:v>7.1007974497548964E-3</c:v>
                </c:pt>
                <c:pt idx="39">
                  <c:v>1.2347017290938112E-2</c:v>
                </c:pt>
                <c:pt idx="40">
                  <c:v>3.1557092325240738E-3</c:v>
                </c:pt>
                <c:pt idx="41">
                  <c:v>1.1388579703258232E-2</c:v>
                </c:pt>
                <c:pt idx="42">
                  <c:v>1.3220129721563926E-2</c:v>
                </c:pt>
                <c:pt idx="43">
                  <c:v>4.4506927701064812E-2</c:v>
                </c:pt>
                <c:pt idx="44">
                  <c:v>7.5978589142260524E-3</c:v>
                </c:pt>
                <c:pt idx="45">
                  <c:v>4.3861692999302766E-2</c:v>
                </c:pt>
                <c:pt idx="46">
                  <c:v>-1.756287227426612E-2</c:v>
                </c:pt>
                <c:pt idx="47">
                  <c:v>2.6851834643363753E-2</c:v>
                </c:pt>
                <c:pt idx="48">
                  <c:v>-2.6850374950863235E-2</c:v>
                </c:pt>
                <c:pt idx="49">
                  <c:v>-3.084162319473651E-2</c:v>
                </c:pt>
                <c:pt idx="50">
                  <c:v>-5.5151242417376956E-3</c:v>
                </c:pt>
                <c:pt idx="51">
                  <c:v>-5.5263351842024374E-3</c:v>
                </c:pt>
                <c:pt idx="52">
                  <c:v>3.4817448607853173E-3</c:v>
                </c:pt>
                <c:pt idx="53">
                  <c:v>1.0322249573231099E-3</c:v>
                </c:pt>
                <c:pt idx="54">
                  <c:v>2.49000607432085E-2</c:v>
                </c:pt>
                <c:pt idx="55">
                  <c:v>8.9553639687235728E-3</c:v>
                </c:pt>
                <c:pt idx="56">
                  <c:v>1.7869537387885125E-2</c:v>
                </c:pt>
                <c:pt idx="57">
                  <c:v>2.0512380557328111E-2</c:v>
                </c:pt>
                <c:pt idx="58">
                  <c:v>-3.4290487569292702E-3</c:v>
                </c:pt>
                <c:pt idx="59">
                  <c:v>8.2360320422999213E-3</c:v>
                </c:pt>
                <c:pt idx="60">
                  <c:v>9.9549455621260226E-3</c:v>
                </c:pt>
                <c:pt idx="61">
                  <c:v>1.71806157054517E-2</c:v>
                </c:pt>
                <c:pt idx="62">
                  <c:v>2.03463041112419E-2</c:v>
                </c:pt>
                <c:pt idx="63">
                  <c:v>9.2520241588629724E-3</c:v>
                </c:pt>
                <c:pt idx="64">
                  <c:v>1.4255573131290099E-2</c:v>
                </c:pt>
                <c:pt idx="65">
                  <c:v>9.6953282503907893E-3</c:v>
                </c:pt>
                <c:pt idx="66">
                  <c:v>6.0870062526063801E-3</c:v>
                </c:pt>
                <c:pt idx="67">
                  <c:v>9.9754816943614759E-3</c:v>
                </c:pt>
                <c:pt idx="68">
                  <c:v>1.25583642661496E-2</c:v>
                </c:pt>
                <c:pt idx="69">
                  <c:v>-3.3736599554791201E-3</c:v>
                </c:pt>
                <c:pt idx="70">
                  <c:v>3.3671511359506405E-2</c:v>
                </c:pt>
                <c:pt idx="71">
                  <c:v>-8.7945088213613241E-4</c:v>
                </c:pt>
                <c:pt idx="72">
                  <c:v>8.3158395141209249E-3</c:v>
                </c:pt>
                <c:pt idx="73">
                  <c:v>1.65749131197339E-2</c:v>
                </c:pt>
                <c:pt idx="74">
                  <c:v>6.3796708458297782E-2</c:v>
                </c:pt>
                <c:pt idx="75">
                  <c:v>1.4061372369030718E-3</c:v>
                </c:pt>
                <c:pt idx="76">
                  <c:v>3.2830122407263185E-2</c:v>
                </c:pt>
                <c:pt idx="77">
                  <c:v>-4.86786363089197E-2</c:v>
                </c:pt>
                <c:pt idx="78">
                  <c:v>-8.1484498422383145E-2</c:v>
                </c:pt>
                <c:pt idx="79">
                  <c:v>-9.9920210048906003E-3</c:v>
                </c:pt>
                <c:pt idx="80">
                  <c:v>-1.1141808359612939E-3</c:v>
                </c:pt>
                <c:pt idx="81">
                  <c:v>1.78849637026069E-3</c:v>
                </c:pt>
                <c:pt idx="82">
                  <c:v>2.0788795936379799E-2</c:v>
                </c:pt>
                <c:pt idx="83">
                  <c:v>-9.9198450020288233E-3</c:v>
                </c:pt>
                <c:pt idx="84">
                  <c:v>-1.1380038752960028E-3</c:v>
                </c:pt>
                <c:pt idx="85">
                  <c:v>-1.4859914932914599E-3</c:v>
                </c:pt>
                <c:pt idx="86">
                  <c:v>6.6554381413486503E-3</c:v>
                </c:pt>
                <c:pt idx="87">
                  <c:v>-3.0940850776638926E-3</c:v>
                </c:pt>
                <c:pt idx="88">
                  <c:v>2.4647569695326926E-3</c:v>
                </c:pt>
                <c:pt idx="89">
                  <c:v>6.9741335014059996E-3</c:v>
                </c:pt>
                <c:pt idx="90">
                  <c:v>2.1046648346089099E-2</c:v>
                </c:pt>
                <c:pt idx="91">
                  <c:v>-6.2206564173629261E-3</c:v>
                </c:pt>
                <c:pt idx="92">
                  <c:v>-9.4921380680708396E-3</c:v>
                </c:pt>
                <c:pt idx="93">
                  <c:v>2.3858496195695465E-3</c:v>
                </c:pt>
                <c:pt idx="94">
                  <c:v>5.5703034914372828E-3</c:v>
                </c:pt>
                <c:pt idx="95">
                  <c:v>-7.4733313967197332E-3</c:v>
                </c:pt>
                <c:pt idx="96">
                  <c:v>3.4982149872573366E-3</c:v>
                </c:pt>
                <c:pt idx="97">
                  <c:v>2.4412666361035397E-3</c:v>
                </c:pt>
                <c:pt idx="98">
                  <c:v>-1.6725671342702547E-3</c:v>
                </c:pt>
                <c:pt idx="99">
                  <c:v>-3.4564099040768797E-4</c:v>
                </c:pt>
                <c:pt idx="100">
                  <c:v>-1.28026011349447E-3</c:v>
                </c:pt>
                <c:pt idx="101">
                  <c:v>-1.8899706699243713E-3</c:v>
                </c:pt>
                <c:pt idx="102">
                  <c:v>-7.4042029178021905E-3</c:v>
                </c:pt>
                <c:pt idx="103">
                  <c:v>8.1162352451748295E-3</c:v>
                </c:pt>
                <c:pt idx="104">
                  <c:v>-3.3023156652289302E-3</c:v>
                </c:pt>
                <c:pt idx="105">
                  <c:v>2.5569538072651526E-3</c:v>
                </c:pt>
                <c:pt idx="106">
                  <c:v>1.09352430992979E-3</c:v>
                </c:pt>
                <c:pt idx="107">
                  <c:v>8.3400267754321494E-3</c:v>
                </c:pt>
                <c:pt idx="108">
                  <c:v>-3.4332188597050212E-3</c:v>
                </c:pt>
                <c:pt idx="109">
                  <c:v>5.6154375234456497E-3</c:v>
                </c:pt>
                <c:pt idx="110">
                  <c:v>-1.0560878911693314E-2</c:v>
                </c:pt>
                <c:pt idx="111">
                  <c:v>1.14790574593089E-3</c:v>
                </c:pt>
                <c:pt idx="112">
                  <c:v>1.1299479397476921E-3</c:v>
                </c:pt>
                <c:pt idx="113">
                  <c:v>-1.9013049930610603E-2</c:v>
                </c:pt>
                <c:pt idx="114">
                  <c:v>2.0139191623395531E-3</c:v>
                </c:pt>
                <c:pt idx="115">
                  <c:v>4.95288617615344E-3</c:v>
                </c:pt>
                <c:pt idx="116">
                  <c:v>2.0860577114271226E-3</c:v>
                </c:pt>
                <c:pt idx="117">
                  <c:v>9.0334071913792259E-4</c:v>
                </c:pt>
                <c:pt idx="118">
                  <c:v>8.3855125157460842E-3</c:v>
                </c:pt>
                <c:pt idx="119">
                  <c:v>1.5146112690916523E-3</c:v>
                </c:pt>
                <c:pt idx="120">
                  <c:v>4.6039730741463704E-3</c:v>
                </c:pt>
                <c:pt idx="121">
                  <c:v>-3.5841732274842259E-4</c:v>
                </c:pt>
                <c:pt idx="122">
                  <c:v>1.75047440563915E-3</c:v>
                </c:pt>
                <c:pt idx="123">
                  <c:v>7.6370961741595484E-4</c:v>
                </c:pt>
                <c:pt idx="124">
                  <c:v>8.6207125644059647E-4</c:v>
                </c:pt>
                <c:pt idx="125">
                  <c:v>-6.6627164143234002E-3</c:v>
                </c:pt>
                <c:pt idx="126">
                  <c:v>6.08447461264179E-4</c:v>
                </c:pt>
                <c:pt idx="127">
                  <c:v>6.2701311510301406E-3</c:v>
                </c:pt>
                <c:pt idx="128">
                  <c:v>-1.6880936580514713E-3</c:v>
                </c:pt>
                <c:pt idx="129">
                  <c:v>-1.9148164854670723E-3</c:v>
                </c:pt>
                <c:pt idx="130">
                  <c:v>-7.8361733549661902E-3</c:v>
                </c:pt>
                <c:pt idx="131">
                  <c:v>-5.8352123006708305E-3</c:v>
                </c:pt>
                <c:pt idx="132">
                  <c:v>-4.8440429120616534E-3</c:v>
                </c:pt>
                <c:pt idx="133">
                  <c:v>4.2596899060884314E-3</c:v>
                </c:pt>
                <c:pt idx="134">
                  <c:v>-9.1202130823892598E-5</c:v>
                </c:pt>
                <c:pt idx="135">
                  <c:v>-4.5360069121289434E-4</c:v>
                </c:pt>
                <c:pt idx="136">
                  <c:v>3.2901602906827373E-3</c:v>
                </c:pt>
                <c:pt idx="137">
                  <c:v>-9.7471593142257765E-5</c:v>
                </c:pt>
                <c:pt idx="138">
                  <c:v>-5.8113150914337053E-3</c:v>
                </c:pt>
                <c:pt idx="139">
                  <c:v>-6.5384501400142193E-3</c:v>
                </c:pt>
                <c:pt idx="140">
                  <c:v>5.5676092589358901E-4</c:v>
                </c:pt>
                <c:pt idx="141">
                  <c:v>7.2043038309364804E-4</c:v>
                </c:pt>
                <c:pt idx="142">
                  <c:v>-4.9293384158835361E-3</c:v>
                </c:pt>
                <c:pt idx="143">
                  <c:v>2.1148210619818032E-3</c:v>
                </c:pt>
                <c:pt idx="144">
                  <c:v>6.5086854093007124E-3</c:v>
                </c:pt>
                <c:pt idx="145">
                  <c:v>6.5872908404579003E-3</c:v>
                </c:pt>
                <c:pt idx="146">
                  <c:v>1.03780559601353E-2</c:v>
                </c:pt>
                <c:pt idx="147">
                  <c:v>9.9434461840782872E-4</c:v>
                </c:pt>
                <c:pt idx="148">
                  <c:v>5.7348802949744775E-3</c:v>
                </c:pt>
                <c:pt idx="149">
                  <c:v>-1.26977590382938E-2</c:v>
                </c:pt>
                <c:pt idx="150">
                  <c:v>1.9589055679761533E-2</c:v>
                </c:pt>
                <c:pt idx="151">
                  <c:v>1.1435542705258799E-2</c:v>
                </c:pt>
                <c:pt idx="152">
                  <c:v>1.6643819179735426E-3</c:v>
                </c:pt>
                <c:pt idx="153">
                  <c:v>5.6026930862377103E-3</c:v>
                </c:pt>
                <c:pt idx="154">
                  <c:v>1.3640199375313126E-2</c:v>
                </c:pt>
                <c:pt idx="155">
                  <c:v>1.8911378709336523E-2</c:v>
                </c:pt>
                <c:pt idx="156">
                  <c:v>2.4278075096763826E-2</c:v>
                </c:pt>
                <c:pt idx="157">
                  <c:v>-5.1636575843450813E-3</c:v>
                </c:pt>
                <c:pt idx="158">
                  <c:v>-3.9982882114283441E-4</c:v>
                </c:pt>
                <c:pt idx="159">
                  <c:v>4.3223483936301894E-3</c:v>
                </c:pt>
                <c:pt idx="160">
                  <c:v>-3.6173669134832499E-3</c:v>
                </c:pt>
                <c:pt idx="161">
                  <c:v>-9.6052866356779783E-3</c:v>
                </c:pt>
                <c:pt idx="162">
                  <c:v>1.8671797264542701E-2</c:v>
                </c:pt>
                <c:pt idx="163">
                  <c:v>-1.35386616122905E-2</c:v>
                </c:pt>
                <c:pt idx="164">
                  <c:v>1.7578992630473599E-2</c:v>
                </c:pt>
                <c:pt idx="165">
                  <c:v>1.7217257268012001E-2</c:v>
                </c:pt>
                <c:pt idx="166">
                  <c:v>1.6336503328070302E-2</c:v>
                </c:pt>
                <c:pt idx="167">
                  <c:v>-3.3746298016373542E-2</c:v>
                </c:pt>
                <c:pt idx="168">
                  <c:v>1.26009702724518E-2</c:v>
                </c:pt>
              </c:numCache>
            </c:numRef>
          </c:val>
          <c:smooth val="0"/>
          <c:extLst xmlns:c16r2="http://schemas.microsoft.com/office/drawing/2015/06/chart">
            <c:ext xmlns:c16="http://schemas.microsoft.com/office/drawing/2014/chart" uri="{C3380CC4-5D6E-409C-BE32-E72D297353CC}">
              <c16:uniqueId val="{00000000-C9F9-49BE-9637-68F416A36492}"/>
            </c:ext>
          </c:extLst>
        </c:ser>
        <c:dLbls>
          <c:showLegendKey val="0"/>
          <c:showVal val="0"/>
          <c:showCatName val="0"/>
          <c:showSerName val="0"/>
          <c:showPercent val="0"/>
          <c:showBubbleSize val="0"/>
        </c:dLbls>
        <c:marker val="1"/>
        <c:smooth val="0"/>
        <c:axId val="176603616"/>
        <c:axId val="290706056"/>
      </c:lineChart>
      <c:lineChart>
        <c:grouping val="standard"/>
        <c:varyColors val="0"/>
        <c:ser>
          <c:idx val="0"/>
          <c:order val="0"/>
          <c:tx>
            <c:strRef>
              <c:f>'1 half 2014'!$D$1</c:f>
              <c:strCache>
                <c:ptCount val="1"/>
                <c:pt idx="0">
                  <c:v>exchange rate EUR/UAH</c:v>
                </c:pt>
              </c:strCache>
            </c:strRef>
          </c:tx>
          <c:spPr>
            <a:ln w="9525">
              <a:solidFill>
                <a:sysClr val="windowText" lastClr="000000"/>
              </a:solidFill>
              <a:prstDash val="dash"/>
            </a:ln>
          </c:spPr>
          <c:marker>
            <c:symbol val="none"/>
          </c:marker>
          <c:cat>
            <c:strRef>
              <c:f>'1 half 2014'!$B$2:$B$170</c:f>
              <c:strCache>
                <c:ptCount val="169"/>
                <c:pt idx="0">
                  <c:v>01.01.2014</c:v>
                </c:pt>
                <c:pt idx="1">
                  <c:v>02.01.2014</c:v>
                </c:pt>
                <c:pt idx="2">
                  <c:v>03.01.2014</c:v>
                </c:pt>
                <c:pt idx="3">
                  <c:v>04.01.2014</c:v>
                </c:pt>
                <c:pt idx="4">
                  <c:v>05.01.2014</c:v>
                </c:pt>
                <c:pt idx="5">
                  <c:v>06.01.2014</c:v>
                </c:pt>
                <c:pt idx="6">
                  <c:v>07.01.2014</c:v>
                </c:pt>
                <c:pt idx="7">
                  <c:v>08.01.2014</c:v>
                </c:pt>
                <c:pt idx="8">
                  <c:v>09.01.2014</c:v>
                </c:pt>
                <c:pt idx="9">
                  <c:v>10.01.2014</c:v>
                </c:pt>
                <c:pt idx="10">
                  <c:v>11.01.2014</c:v>
                </c:pt>
                <c:pt idx="11">
                  <c:v>13.01.2014</c:v>
                </c:pt>
                <c:pt idx="12">
                  <c:v>14.01.2014</c:v>
                </c:pt>
                <c:pt idx="13">
                  <c:v>15.01.2014</c:v>
                </c:pt>
                <c:pt idx="14">
                  <c:v>16.01.2014</c:v>
                </c:pt>
                <c:pt idx="15">
                  <c:v>17.01.2014</c:v>
                </c:pt>
                <c:pt idx="16">
                  <c:v>20.01.2014</c:v>
                </c:pt>
                <c:pt idx="17">
                  <c:v>21.01.2014</c:v>
                </c:pt>
                <c:pt idx="18">
                  <c:v>22.01.2014</c:v>
                </c:pt>
                <c:pt idx="19">
                  <c:v>23.01.2014</c:v>
                </c:pt>
                <c:pt idx="20">
                  <c:v>24.01.2014</c:v>
                </c:pt>
                <c:pt idx="21">
                  <c:v>27.01.2014</c:v>
                </c:pt>
                <c:pt idx="22">
                  <c:v>28.01.2014</c:v>
                </c:pt>
                <c:pt idx="23">
                  <c:v>29.01.2014</c:v>
                </c:pt>
                <c:pt idx="24">
                  <c:v>30.01.2014</c:v>
                </c:pt>
                <c:pt idx="25">
                  <c:v>31.01.2014</c:v>
                </c:pt>
                <c:pt idx="26">
                  <c:v>03.02.2014</c:v>
                </c:pt>
                <c:pt idx="27">
                  <c:v>04.02.2014</c:v>
                </c:pt>
                <c:pt idx="28">
                  <c:v>05.02.2014</c:v>
                </c:pt>
                <c:pt idx="29">
                  <c:v>06.02.2014</c:v>
                </c:pt>
                <c:pt idx="30">
                  <c:v>07.02.2014</c:v>
                </c:pt>
                <c:pt idx="31">
                  <c:v>10.02.2014</c:v>
                </c:pt>
                <c:pt idx="32">
                  <c:v>11.02.2014</c:v>
                </c:pt>
                <c:pt idx="33">
                  <c:v>12.02.2014</c:v>
                </c:pt>
                <c:pt idx="34">
                  <c:v>13.02.2014</c:v>
                </c:pt>
                <c:pt idx="35">
                  <c:v>14.02.2014</c:v>
                </c:pt>
                <c:pt idx="36">
                  <c:v>17.02.2014</c:v>
                </c:pt>
                <c:pt idx="37">
                  <c:v>18.02.2014</c:v>
                </c:pt>
                <c:pt idx="38">
                  <c:v>19.02.2014</c:v>
                </c:pt>
                <c:pt idx="39">
                  <c:v>20.02.2014</c:v>
                </c:pt>
                <c:pt idx="40">
                  <c:v>21.02.2014</c:v>
                </c:pt>
                <c:pt idx="41">
                  <c:v>24.02.2014</c:v>
                </c:pt>
                <c:pt idx="42">
                  <c:v>25.02.2014</c:v>
                </c:pt>
                <c:pt idx="43">
                  <c:v>26.02.2014</c:v>
                </c:pt>
                <c:pt idx="44">
                  <c:v>27.02.2014</c:v>
                </c:pt>
                <c:pt idx="45">
                  <c:v>28.02.2014</c:v>
                </c:pt>
                <c:pt idx="46">
                  <c:v>03.03.2014</c:v>
                </c:pt>
                <c:pt idx="47">
                  <c:v>04.03.2014</c:v>
                </c:pt>
                <c:pt idx="48">
                  <c:v>05.03.2014</c:v>
                </c:pt>
                <c:pt idx="49">
                  <c:v>06.03.2014</c:v>
                </c:pt>
                <c:pt idx="50">
                  <c:v>07.03.2014</c:v>
                </c:pt>
                <c:pt idx="51">
                  <c:v>11.03.2014</c:v>
                </c:pt>
                <c:pt idx="52">
                  <c:v>12.03.2014</c:v>
                </c:pt>
                <c:pt idx="53">
                  <c:v>13.03.2014</c:v>
                </c:pt>
                <c:pt idx="54">
                  <c:v>14.03.2014</c:v>
                </c:pt>
                <c:pt idx="55">
                  <c:v>17.03.2014</c:v>
                </c:pt>
                <c:pt idx="56">
                  <c:v>18.03.2014</c:v>
                </c:pt>
                <c:pt idx="57">
                  <c:v>19.03.2014</c:v>
                </c:pt>
                <c:pt idx="58">
                  <c:v>20.03.2014</c:v>
                </c:pt>
                <c:pt idx="59">
                  <c:v>21.03.2014</c:v>
                </c:pt>
                <c:pt idx="60">
                  <c:v>24.03.2014</c:v>
                </c:pt>
                <c:pt idx="61">
                  <c:v>25.03.2014</c:v>
                </c:pt>
                <c:pt idx="62">
                  <c:v>26.03.2014</c:v>
                </c:pt>
                <c:pt idx="63">
                  <c:v>27.03.2014</c:v>
                </c:pt>
                <c:pt idx="64">
                  <c:v>28.03.2014</c:v>
                </c:pt>
                <c:pt idx="65">
                  <c:v>31.03.2014</c:v>
                </c:pt>
                <c:pt idx="66">
                  <c:v>01.04.2014</c:v>
                </c:pt>
                <c:pt idx="67">
                  <c:v>02.04.2014</c:v>
                </c:pt>
                <c:pt idx="68">
                  <c:v>03.04.2014</c:v>
                </c:pt>
                <c:pt idx="69">
                  <c:v>04.04.2014</c:v>
                </c:pt>
                <c:pt idx="70">
                  <c:v>04.04.2014</c:v>
                </c:pt>
                <c:pt idx="71">
                  <c:v>07.04.2014</c:v>
                </c:pt>
                <c:pt idx="72">
                  <c:v>08.04.2014</c:v>
                </c:pt>
                <c:pt idx="73">
                  <c:v>09.04.2014</c:v>
                </c:pt>
                <c:pt idx="74">
                  <c:v>10.04.2014</c:v>
                </c:pt>
                <c:pt idx="75">
                  <c:v>11.04.2014</c:v>
                </c:pt>
                <c:pt idx="76">
                  <c:v>14.04.2014</c:v>
                </c:pt>
                <c:pt idx="77">
                  <c:v>15.04.2014</c:v>
                </c:pt>
                <c:pt idx="78">
                  <c:v>16.04.2014</c:v>
                </c:pt>
                <c:pt idx="79">
                  <c:v>17.04.2014</c:v>
                </c:pt>
                <c:pt idx="80">
                  <c:v>18.04.2014</c:v>
                </c:pt>
                <c:pt idx="81">
                  <c:v>22.04.2014</c:v>
                </c:pt>
                <c:pt idx="82">
                  <c:v>23.04.2014</c:v>
                </c:pt>
                <c:pt idx="83">
                  <c:v>24.04.2014</c:v>
                </c:pt>
                <c:pt idx="84">
                  <c:v>25.04.2014</c:v>
                </c:pt>
                <c:pt idx="85">
                  <c:v>28.04.2014</c:v>
                </c:pt>
                <c:pt idx="86">
                  <c:v>29.04.2014</c:v>
                </c:pt>
                <c:pt idx="87">
                  <c:v>30.04.2014</c:v>
                </c:pt>
                <c:pt idx="88">
                  <c:v>05.05.2014</c:v>
                </c:pt>
                <c:pt idx="89">
                  <c:v>06.05.2014</c:v>
                </c:pt>
                <c:pt idx="90">
                  <c:v>07.05.2014</c:v>
                </c:pt>
                <c:pt idx="91">
                  <c:v>08.05.2014</c:v>
                </c:pt>
                <c:pt idx="92">
                  <c:v>12.05.2014</c:v>
                </c:pt>
                <c:pt idx="93">
                  <c:v>13.05.2014</c:v>
                </c:pt>
                <c:pt idx="94">
                  <c:v>14.05.2014</c:v>
                </c:pt>
                <c:pt idx="95">
                  <c:v>15.05.2014</c:v>
                </c:pt>
                <c:pt idx="96">
                  <c:v>16.05.2014</c:v>
                </c:pt>
                <c:pt idx="97">
                  <c:v>19.05.2014</c:v>
                </c:pt>
                <c:pt idx="98">
                  <c:v>20.05.2014</c:v>
                </c:pt>
                <c:pt idx="99">
                  <c:v>21.05.2014</c:v>
                </c:pt>
                <c:pt idx="100">
                  <c:v>22.05.2014</c:v>
                </c:pt>
                <c:pt idx="101">
                  <c:v>23.05.2014</c:v>
                </c:pt>
                <c:pt idx="102">
                  <c:v>26.05.2014</c:v>
                </c:pt>
                <c:pt idx="103">
                  <c:v>27.05.2014</c:v>
                </c:pt>
                <c:pt idx="104">
                  <c:v>28.05.2014</c:v>
                </c:pt>
                <c:pt idx="105">
                  <c:v>29.05.2014</c:v>
                </c:pt>
                <c:pt idx="106">
                  <c:v>30.05.2014</c:v>
                </c:pt>
                <c:pt idx="107">
                  <c:v>02.06.2014</c:v>
                </c:pt>
                <c:pt idx="108">
                  <c:v>03.06.2014</c:v>
                </c:pt>
                <c:pt idx="109">
                  <c:v>04.06.2014</c:v>
                </c:pt>
                <c:pt idx="110">
                  <c:v>05.06.2014</c:v>
                </c:pt>
                <c:pt idx="111">
                  <c:v>06.06.2014</c:v>
                </c:pt>
                <c:pt idx="112">
                  <c:v>10.06.2014</c:v>
                </c:pt>
                <c:pt idx="113">
                  <c:v>11.06.2014</c:v>
                </c:pt>
                <c:pt idx="114">
                  <c:v>12.06.2014</c:v>
                </c:pt>
                <c:pt idx="115">
                  <c:v>13.06.2014</c:v>
                </c:pt>
                <c:pt idx="116">
                  <c:v>16.06.2014</c:v>
                </c:pt>
                <c:pt idx="117">
                  <c:v>17.06.2014</c:v>
                </c:pt>
                <c:pt idx="118">
                  <c:v>18.06.2014</c:v>
                </c:pt>
                <c:pt idx="119">
                  <c:v>19.06.2014</c:v>
                </c:pt>
                <c:pt idx="120">
                  <c:v>20.06.2014</c:v>
                </c:pt>
                <c:pt idx="121">
                  <c:v>23.06.2014</c:v>
                </c:pt>
                <c:pt idx="122">
                  <c:v>24.06.2014</c:v>
                </c:pt>
                <c:pt idx="123">
                  <c:v>25.06.2014</c:v>
                </c:pt>
                <c:pt idx="124">
                  <c:v>26.06.2014</c:v>
                </c:pt>
                <c:pt idx="125">
                  <c:v>27.06.2014</c:v>
                </c:pt>
                <c:pt idx="126">
                  <c:v>01.07.2014</c:v>
                </c:pt>
                <c:pt idx="127">
                  <c:v>02.07.2014</c:v>
                </c:pt>
                <c:pt idx="128">
                  <c:v>03.07.2014</c:v>
                </c:pt>
                <c:pt idx="129">
                  <c:v>04.07.2014</c:v>
                </c:pt>
                <c:pt idx="130">
                  <c:v>07.07.2014</c:v>
                </c:pt>
                <c:pt idx="131">
                  <c:v>08.07.2014</c:v>
                </c:pt>
                <c:pt idx="132">
                  <c:v>09.07.2014</c:v>
                </c:pt>
                <c:pt idx="133">
                  <c:v>10.07.2014</c:v>
                </c:pt>
                <c:pt idx="134">
                  <c:v>11.07.2014</c:v>
                </c:pt>
                <c:pt idx="135">
                  <c:v>14.07.2014</c:v>
                </c:pt>
                <c:pt idx="136">
                  <c:v>15.07.2014</c:v>
                </c:pt>
                <c:pt idx="137">
                  <c:v>16.07.2014</c:v>
                </c:pt>
                <c:pt idx="138">
                  <c:v>17.07.2014</c:v>
                </c:pt>
                <c:pt idx="139">
                  <c:v>18.07.2014</c:v>
                </c:pt>
                <c:pt idx="140">
                  <c:v>21.07.2014</c:v>
                </c:pt>
                <c:pt idx="141">
                  <c:v>22.07.2014</c:v>
                </c:pt>
                <c:pt idx="142">
                  <c:v>23.07.2014</c:v>
                </c:pt>
                <c:pt idx="143">
                  <c:v>24.07.2014</c:v>
                </c:pt>
                <c:pt idx="144">
                  <c:v>25.07.2014</c:v>
                </c:pt>
                <c:pt idx="145">
                  <c:v>28.07.2014</c:v>
                </c:pt>
                <c:pt idx="146">
                  <c:v>29.07.2014</c:v>
                </c:pt>
                <c:pt idx="147">
                  <c:v>30.07.2014</c:v>
                </c:pt>
                <c:pt idx="148">
                  <c:v>31.07.2014</c:v>
                </c:pt>
                <c:pt idx="149">
                  <c:v>01.08.2014</c:v>
                </c:pt>
                <c:pt idx="150">
                  <c:v>04.08.2014</c:v>
                </c:pt>
                <c:pt idx="151">
                  <c:v>05.08.2014</c:v>
                </c:pt>
                <c:pt idx="152">
                  <c:v>06.08.2014</c:v>
                </c:pt>
                <c:pt idx="153">
                  <c:v>07.08.2014</c:v>
                </c:pt>
                <c:pt idx="154">
                  <c:v>08.08.2014</c:v>
                </c:pt>
                <c:pt idx="155">
                  <c:v>11.08.2014</c:v>
                </c:pt>
                <c:pt idx="156">
                  <c:v>12.08.2014</c:v>
                </c:pt>
                <c:pt idx="157">
                  <c:v>13.08.2014</c:v>
                </c:pt>
                <c:pt idx="158">
                  <c:v>14.08.2014</c:v>
                </c:pt>
                <c:pt idx="159">
                  <c:v>15.08.2014</c:v>
                </c:pt>
                <c:pt idx="160">
                  <c:v>18.08.2014</c:v>
                </c:pt>
                <c:pt idx="161">
                  <c:v>19.08.2014</c:v>
                </c:pt>
                <c:pt idx="162">
                  <c:v>20.08.2014</c:v>
                </c:pt>
                <c:pt idx="163">
                  <c:v>21.08.2014</c:v>
                </c:pt>
                <c:pt idx="164">
                  <c:v>22.08.2014</c:v>
                </c:pt>
                <c:pt idx="165">
                  <c:v>26.08.2014</c:v>
                </c:pt>
                <c:pt idx="166">
                  <c:v>27.08.2014</c:v>
                </c:pt>
                <c:pt idx="167">
                  <c:v>28.08.2014</c:v>
                </c:pt>
                <c:pt idx="168">
                  <c:v>29.08.2014</c:v>
                </c:pt>
              </c:strCache>
            </c:strRef>
          </c:cat>
          <c:val>
            <c:numRef>
              <c:f>'1 half 2014'!$D$2:$D$170</c:f>
              <c:numCache>
                <c:formatCode>General</c:formatCode>
                <c:ptCount val="169"/>
                <c:pt idx="0">
                  <c:v>11.04153</c:v>
                </c:pt>
                <c:pt idx="1">
                  <c:v>11.04153</c:v>
                </c:pt>
                <c:pt idx="2">
                  <c:v>11.04153</c:v>
                </c:pt>
                <c:pt idx="3">
                  <c:v>11.04153</c:v>
                </c:pt>
                <c:pt idx="4">
                  <c:v>11.04153</c:v>
                </c:pt>
                <c:pt idx="5">
                  <c:v>11.04153</c:v>
                </c:pt>
                <c:pt idx="6">
                  <c:v>11.04153</c:v>
                </c:pt>
                <c:pt idx="7">
                  <c:v>10.89765600000001</c:v>
                </c:pt>
                <c:pt idx="8">
                  <c:v>10.865684000000023</c:v>
                </c:pt>
                <c:pt idx="9">
                  <c:v>10.880072</c:v>
                </c:pt>
                <c:pt idx="10">
                  <c:v>10.860089000000011</c:v>
                </c:pt>
                <c:pt idx="11">
                  <c:v>10.860089000000011</c:v>
                </c:pt>
                <c:pt idx="12">
                  <c:v>10.91364200000001</c:v>
                </c:pt>
                <c:pt idx="13">
                  <c:v>10.924033</c:v>
                </c:pt>
                <c:pt idx="14">
                  <c:v>10.87527600000001</c:v>
                </c:pt>
                <c:pt idx="15">
                  <c:v>10.868082000000006</c:v>
                </c:pt>
                <c:pt idx="16">
                  <c:v>10.857691000000004</c:v>
                </c:pt>
                <c:pt idx="17">
                  <c:v>10.843304</c:v>
                </c:pt>
                <c:pt idx="18">
                  <c:v>10.811332</c:v>
                </c:pt>
                <c:pt idx="19">
                  <c:v>10.843304</c:v>
                </c:pt>
                <c:pt idx="20">
                  <c:v>10.901653</c:v>
                </c:pt>
                <c:pt idx="21">
                  <c:v>10.940018999999999</c:v>
                </c:pt>
                <c:pt idx="22">
                  <c:v>10.91683900000001</c:v>
                </c:pt>
                <c:pt idx="23">
                  <c:v>10.909646000000015</c:v>
                </c:pt>
                <c:pt idx="24">
                  <c:v>10.876874000000004</c:v>
                </c:pt>
                <c:pt idx="25">
                  <c:v>10.849698</c:v>
                </c:pt>
                <c:pt idx="26">
                  <c:v>10.803339000000006</c:v>
                </c:pt>
                <c:pt idx="27">
                  <c:v>10.788950999999999</c:v>
                </c:pt>
                <c:pt idx="28">
                  <c:v>10.805737000000018</c:v>
                </c:pt>
                <c:pt idx="29">
                  <c:v>10.824920000000001</c:v>
                </c:pt>
                <c:pt idx="30">
                  <c:v>11.75144600000001</c:v>
                </c:pt>
                <c:pt idx="31">
                  <c:v>11.576179</c:v>
                </c:pt>
                <c:pt idx="32">
                  <c:v>11.664854</c:v>
                </c:pt>
                <c:pt idx="33">
                  <c:v>11.693937</c:v>
                </c:pt>
                <c:pt idx="34">
                  <c:v>11.605865</c:v>
                </c:pt>
                <c:pt idx="35">
                  <c:v>11.802756000000015</c:v>
                </c:pt>
                <c:pt idx="36">
                  <c:v>11.843533000000004</c:v>
                </c:pt>
                <c:pt idx="37">
                  <c:v>11.843881</c:v>
                </c:pt>
                <c:pt idx="38">
                  <c:v>11.927982</c:v>
                </c:pt>
                <c:pt idx="39">
                  <c:v>12.075257000000002</c:v>
                </c:pt>
                <c:pt idx="40">
                  <c:v>12.113363</c:v>
                </c:pt>
                <c:pt idx="41">
                  <c:v>12.251317</c:v>
                </c:pt>
                <c:pt idx="42">
                  <c:v>12.413281</c:v>
                </c:pt>
                <c:pt idx="43">
                  <c:v>12.965758000000006</c:v>
                </c:pt>
                <c:pt idx="44">
                  <c:v>13.06427</c:v>
                </c:pt>
                <c:pt idx="45">
                  <c:v>13.637290999999999</c:v>
                </c:pt>
                <c:pt idx="46">
                  <c:v>13.397781</c:v>
                </c:pt>
                <c:pt idx="47">
                  <c:v>13.757536000000011</c:v>
                </c:pt>
                <c:pt idx="48">
                  <c:v>13.388141000000001</c:v>
                </c:pt>
                <c:pt idx="49">
                  <c:v>12.975229000000002</c:v>
                </c:pt>
                <c:pt idx="50">
                  <c:v>12.903669000000002</c:v>
                </c:pt>
                <c:pt idx="51">
                  <c:v>12.832359</c:v>
                </c:pt>
                <c:pt idx="52">
                  <c:v>12.877038000000002</c:v>
                </c:pt>
                <c:pt idx="53">
                  <c:v>12.890330000000002</c:v>
                </c:pt>
                <c:pt idx="54">
                  <c:v>13.2113</c:v>
                </c:pt>
                <c:pt idx="55">
                  <c:v>13.329612000000004</c:v>
                </c:pt>
                <c:pt idx="56">
                  <c:v>13.567806000000004</c:v>
                </c:pt>
                <c:pt idx="57">
                  <c:v>13.846114</c:v>
                </c:pt>
                <c:pt idx="58">
                  <c:v>13.798635000000001</c:v>
                </c:pt>
                <c:pt idx="59">
                  <c:v>13.912281</c:v>
                </c:pt>
                <c:pt idx="60">
                  <c:v>14.050777</c:v>
                </c:pt>
                <c:pt idx="61">
                  <c:v>14.292178</c:v>
                </c:pt>
                <c:pt idx="62">
                  <c:v>14.582971000000001</c:v>
                </c:pt>
                <c:pt idx="63">
                  <c:v>14.717893</c:v>
                </c:pt>
                <c:pt idx="64">
                  <c:v>14.927705</c:v>
                </c:pt>
                <c:pt idx="65">
                  <c:v>15.072434000000021</c:v>
                </c:pt>
                <c:pt idx="66">
                  <c:v>15.16418</c:v>
                </c:pt>
                <c:pt idx="67">
                  <c:v>15.315450000000011</c:v>
                </c:pt>
                <c:pt idx="68">
                  <c:v>15.507787</c:v>
                </c:pt>
                <c:pt idx="69">
                  <c:v>15.455469000000019</c:v>
                </c:pt>
                <c:pt idx="70">
                  <c:v>15.975878</c:v>
                </c:pt>
                <c:pt idx="71">
                  <c:v>15.961828000000001</c:v>
                </c:pt>
                <c:pt idx="72">
                  <c:v>16.094563999999988</c:v>
                </c:pt>
                <c:pt idx="73">
                  <c:v>16.361329999999974</c:v>
                </c:pt>
                <c:pt idx="74">
                  <c:v>17.405128999999974</c:v>
                </c:pt>
                <c:pt idx="75">
                  <c:v>17.429602999999968</c:v>
                </c:pt>
                <c:pt idx="76">
                  <c:v>18.001819000000001</c:v>
                </c:pt>
                <c:pt idx="77">
                  <c:v>17.125515</c:v>
                </c:pt>
                <c:pt idx="78">
                  <c:v>15.730051</c:v>
                </c:pt>
                <c:pt idx="79">
                  <c:v>15.572876000000004</c:v>
                </c:pt>
                <c:pt idx="80">
                  <c:v>15.555525000000006</c:v>
                </c:pt>
                <c:pt idx="81">
                  <c:v>15.583346000000002</c:v>
                </c:pt>
                <c:pt idx="82">
                  <c:v>15.907305000000001</c:v>
                </c:pt>
                <c:pt idx="83">
                  <c:v>15.749507000000001</c:v>
                </c:pt>
                <c:pt idx="84">
                  <c:v>15.731584</c:v>
                </c:pt>
                <c:pt idx="85">
                  <c:v>15.708207</c:v>
                </c:pt>
                <c:pt idx="86">
                  <c:v>15.81275200000001</c:v>
                </c:pt>
                <c:pt idx="87">
                  <c:v>15.763826</c:v>
                </c:pt>
                <c:pt idx="88">
                  <c:v>15.802680000000018</c:v>
                </c:pt>
                <c:pt idx="89">
                  <c:v>15.912890000000004</c:v>
                </c:pt>
                <c:pt idx="90">
                  <c:v>16.247803000000001</c:v>
                </c:pt>
                <c:pt idx="91">
                  <c:v>16.146730999999978</c:v>
                </c:pt>
                <c:pt idx="92">
                  <c:v>15.99346400000001</c:v>
                </c:pt>
                <c:pt idx="93">
                  <c:v>16.031621999999999</c:v>
                </c:pt>
                <c:pt idx="94">
                  <c:v>16.120923000000001</c:v>
                </c:pt>
                <c:pt idx="95">
                  <c:v>16.000445999999986</c:v>
                </c:pt>
                <c:pt idx="96">
                  <c:v>16.056419000000002</c:v>
                </c:pt>
                <c:pt idx="97">
                  <c:v>16.095616999999972</c:v>
                </c:pt>
                <c:pt idx="98">
                  <c:v>16.068695999999989</c:v>
                </c:pt>
                <c:pt idx="99">
                  <c:v>16.063141999999978</c:v>
                </c:pt>
                <c:pt idx="100">
                  <c:v>16.042576999999973</c:v>
                </c:pt>
                <c:pt idx="101">
                  <c:v>16.012257000000005</c:v>
                </c:pt>
                <c:pt idx="102">
                  <c:v>15.89369900000001</c:v>
                </c:pt>
                <c:pt idx="103">
                  <c:v>16.022695999999989</c:v>
                </c:pt>
                <c:pt idx="104">
                  <c:v>15.969784000000018</c:v>
                </c:pt>
                <c:pt idx="105">
                  <c:v>16.010618000000001</c:v>
                </c:pt>
                <c:pt idx="106">
                  <c:v>16.028125999999986</c:v>
                </c:pt>
                <c:pt idx="107">
                  <c:v>16.161801000000022</c:v>
                </c:pt>
                <c:pt idx="108">
                  <c:v>16.106314000000001</c:v>
                </c:pt>
                <c:pt idx="109">
                  <c:v>16.196757999999999</c:v>
                </c:pt>
                <c:pt idx="110">
                  <c:v>16.025705999999989</c:v>
                </c:pt>
                <c:pt idx="111">
                  <c:v>16.044101999999999</c:v>
                </c:pt>
                <c:pt idx="112">
                  <c:v>16.062230999999972</c:v>
                </c:pt>
                <c:pt idx="113">
                  <c:v>15.756839000000006</c:v>
                </c:pt>
                <c:pt idx="114">
                  <c:v>15.788571999999998</c:v>
                </c:pt>
                <c:pt idx="115">
                  <c:v>15.866771</c:v>
                </c:pt>
                <c:pt idx="116">
                  <c:v>15.89987</c:v>
                </c:pt>
                <c:pt idx="117">
                  <c:v>15.914233000000001</c:v>
                </c:pt>
                <c:pt idx="118">
                  <c:v>16.047681999999988</c:v>
                </c:pt>
                <c:pt idx="119">
                  <c:v>16.071988000000033</c:v>
                </c:pt>
                <c:pt idx="120">
                  <c:v>16.145983000000001</c:v>
                </c:pt>
                <c:pt idx="121">
                  <c:v>16.140196</c:v>
                </c:pt>
                <c:pt idx="122">
                  <c:v>16.168448999999974</c:v>
                </c:pt>
                <c:pt idx="123">
                  <c:v>16.18079699999997</c:v>
                </c:pt>
                <c:pt idx="124">
                  <c:v>16.194745999999999</c:v>
                </c:pt>
                <c:pt idx="125">
                  <c:v>16.086845</c:v>
                </c:pt>
                <c:pt idx="126">
                  <c:v>16.096632999999972</c:v>
                </c:pt>
                <c:pt idx="127">
                  <c:v>16.197561000000022</c:v>
                </c:pt>
                <c:pt idx="128">
                  <c:v>16.170217999999988</c:v>
                </c:pt>
                <c:pt idx="129">
                  <c:v>16.139255000000034</c:v>
                </c:pt>
                <c:pt idx="130">
                  <c:v>16.012785000000001</c:v>
                </c:pt>
                <c:pt idx="131">
                  <c:v>15.919347</c:v>
                </c:pt>
                <c:pt idx="132">
                  <c:v>15.842233</c:v>
                </c:pt>
                <c:pt idx="133">
                  <c:v>15.90971600000001</c:v>
                </c:pt>
                <c:pt idx="134">
                  <c:v>15.908265</c:v>
                </c:pt>
                <c:pt idx="135">
                  <c:v>15.901049</c:v>
                </c:pt>
                <c:pt idx="136">
                  <c:v>15.953366000000004</c:v>
                </c:pt>
                <c:pt idx="137">
                  <c:v>15.951811000000001</c:v>
                </c:pt>
                <c:pt idx="138">
                  <c:v>15.859110000000006</c:v>
                </c:pt>
                <c:pt idx="139">
                  <c:v>15.755416000000011</c:v>
                </c:pt>
                <c:pt idx="140">
                  <c:v>15.764188000000001</c:v>
                </c:pt>
                <c:pt idx="141">
                  <c:v>15.775545000000006</c:v>
                </c:pt>
                <c:pt idx="142">
                  <c:v>15.697782</c:v>
                </c:pt>
                <c:pt idx="143">
                  <c:v>15.730980000000001</c:v>
                </c:pt>
                <c:pt idx="144">
                  <c:v>15.833368</c:v>
                </c:pt>
                <c:pt idx="145">
                  <c:v>15.937667000000001</c:v>
                </c:pt>
                <c:pt idx="146">
                  <c:v>16.103069000000001</c:v>
                </c:pt>
                <c:pt idx="147">
                  <c:v>16.119081000000033</c:v>
                </c:pt>
                <c:pt idx="148">
                  <c:v>16.211521999999999</c:v>
                </c:pt>
                <c:pt idx="149">
                  <c:v>16.005671999999986</c:v>
                </c:pt>
                <c:pt idx="150">
                  <c:v>16.319208000000021</c:v>
                </c:pt>
                <c:pt idx="151">
                  <c:v>16.505827</c:v>
                </c:pt>
                <c:pt idx="152">
                  <c:v>16.533299</c:v>
                </c:pt>
                <c:pt idx="153">
                  <c:v>16.62593</c:v>
                </c:pt>
                <c:pt idx="154">
                  <c:v>16.852710999999989</c:v>
                </c:pt>
                <c:pt idx="155">
                  <c:v>17.171419</c:v>
                </c:pt>
                <c:pt idx="156">
                  <c:v>17.588307999999973</c:v>
                </c:pt>
                <c:pt idx="157">
                  <c:v>17.497488000000001</c:v>
                </c:pt>
                <c:pt idx="158">
                  <c:v>17.490491999999989</c:v>
                </c:pt>
                <c:pt idx="159">
                  <c:v>17.566091999999987</c:v>
                </c:pt>
                <c:pt idx="160">
                  <c:v>17.50254899999997</c:v>
                </c:pt>
                <c:pt idx="161">
                  <c:v>17.334432</c:v>
                </c:pt>
                <c:pt idx="162">
                  <c:v>17.658097000000001</c:v>
                </c:pt>
                <c:pt idx="163">
                  <c:v>17.419029999999989</c:v>
                </c:pt>
                <c:pt idx="164">
                  <c:v>17.72523899999997</c:v>
                </c:pt>
                <c:pt idx="165">
                  <c:v>18.030418999999988</c:v>
                </c:pt>
                <c:pt idx="166">
                  <c:v>18.324973000000021</c:v>
                </c:pt>
                <c:pt idx="167">
                  <c:v>17.706572999999974</c:v>
                </c:pt>
                <c:pt idx="168">
                  <c:v>17.929692999999968</c:v>
                </c:pt>
              </c:numCache>
            </c:numRef>
          </c:val>
          <c:smooth val="0"/>
          <c:extLst xmlns:c16r2="http://schemas.microsoft.com/office/drawing/2015/06/chart">
            <c:ext xmlns:c16="http://schemas.microsoft.com/office/drawing/2014/chart" uri="{C3380CC4-5D6E-409C-BE32-E72D297353CC}">
              <c16:uniqueId val="{00000001-C9F9-49BE-9637-68F416A36492}"/>
            </c:ext>
          </c:extLst>
        </c:ser>
        <c:dLbls>
          <c:showLegendKey val="0"/>
          <c:showVal val="0"/>
          <c:showCatName val="0"/>
          <c:showSerName val="0"/>
          <c:showPercent val="0"/>
          <c:showBubbleSize val="0"/>
        </c:dLbls>
        <c:marker val="1"/>
        <c:smooth val="0"/>
        <c:axId val="291317872"/>
        <c:axId val="291318656"/>
      </c:lineChart>
      <c:catAx>
        <c:axId val="176603616"/>
        <c:scaling>
          <c:orientation val="minMax"/>
        </c:scaling>
        <c:delete val="1"/>
        <c:axPos val="b"/>
        <c:numFmt formatCode="General" sourceLinked="0"/>
        <c:majorTickMark val="out"/>
        <c:minorTickMark val="none"/>
        <c:tickLblPos val="none"/>
        <c:crossAx val="290706056"/>
        <c:crosses val="autoZero"/>
        <c:auto val="1"/>
        <c:lblAlgn val="ctr"/>
        <c:lblOffset val="100"/>
        <c:tickLblSkip val="30"/>
        <c:noMultiLvlLbl val="0"/>
      </c:catAx>
      <c:valAx>
        <c:axId val="290706056"/>
        <c:scaling>
          <c:orientation val="minMax"/>
        </c:scaling>
        <c:delete val="0"/>
        <c:axPos val="l"/>
        <c:majorGridlines/>
        <c:numFmt formatCode="0.0%" sourceLinked="0"/>
        <c:majorTickMark val="out"/>
        <c:minorTickMark val="none"/>
        <c:tickLblPos val="nextTo"/>
        <c:crossAx val="176603616"/>
        <c:crosses val="autoZero"/>
        <c:crossBetween val="between"/>
      </c:valAx>
      <c:valAx>
        <c:axId val="291318656"/>
        <c:scaling>
          <c:orientation val="minMax"/>
        </c:scaling>
        <c:delete val="0"/>
        <c:axPos val="r"/>
        <c:numFmt formatCode="General" sourceLinked="1"/>
        <c:majorTickMark val="out"/>
        <c:minorTickMark val="none"/>
        <c:tickLblPos val="nextTo"/>
        <c:crossAx val="291317872"/>
        <c:crosses val="max"/>
        <c:crossBetween val="between"/>
      </c:valAx>
      <c:catAx>
        <c:axId val="291317872"/>
        <c:scaling>
          <c:orientation val="minMax"/>
        </c:scaling>
        <c:delete val="1"/>
        <c:axPos val="b"/>
        <c:numFmt formatCode="General" sourceLinked="1"/>
        <c:majorTickMark val="out"/>
        <c:minorTickMark val="none"/>
        <c:tickLblPos val="none"/>
        <c:crossAx val="291318656"/>
        <c:crosses val="autoZero"/>
        <c:auto val="1"/>
        <c:lblAlgn val="ctr"/>
        <c:lblOffset val="100"/>
        <c:noMultiLvlLbl val="0"/>
      </c:catAx>
    </c:plotArea>
    <c:legend>
      <c:legendPos val="b"/>
      <c:layout>
        <c:manualLayout>
          <c:xMode val="edge"/>
          <c:yMode val="edge"/>
          <c:x val="7.1250257219688001E-2"/>
          <c:y val="0.91628280839894949"/>
          <c:w val="0.79598186518225733"/>
          <c:h val="8.3717191601050012E-2"/>
        </c:manualLayout>
      </c:layout>
      <c:overlay val="0"/>
    </c:legend>
    <c:plotVisOnly val="1"/>
    <c:dispBlanksAs val="gap"/>
    <c:showDLblsOverMax val="0"/>
  </c:chart>
  <c:spPr>
    <a:ln>
      <a:noFill/>
    </a:ln>
  </c:spPr>
  <c:txPr>
    <a:bodyPr/>
    <a:lstStyle/>
    <a:p>
      <a:pPr>
        <a:defRPr sz="900">
          <a:latin typeface="Arial" panose="020B0604020202020204" pitchFamily="34" charset="0"/>
          <a:cs typeface="Arial" panose="020B0604020202020204" pitchFamily="34"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116626770330799"/>
          <c:y val="5.1400554097404495E-2"/>
          <c:w val="0.83422188869128666"/>
          <c:h val="0.76255577427821564"/>
        </c:manualLayout>
      </c:layout>
      <c:lineChart>
        <c:grouping val="standard"/>
        <c:varyColors val="0"/>
        <c:ser>
          <c:idx val="1"/>
          <c:order val="1"/>
          <c:tx>
            <c:strRef>
              <c:f>'sept 2014'!$E$1</c:f>
              <c:strCache>
                <c:ptCount val="1"/>
                <c:pt idx="0">
                  <c:v>daily change (%)</c:v>
                </c:pt>
              </c:strCache>
            </c:strRef>
          </c:tx>
          <c:spPr>
            <a:ln w="9525">
              <a:solidFill>
                <a:sysClr val="windowText" lastClr="000000"/>
              </a:solidFill>
            </a:ln>
          </c:spPr>
          <c:marker>
            <c:symbol val="none"/>
          </c:marker>
          <c:cat>
            <c:strRef>
              <c:f>'sept 2014'!$B$2:$B$23</c:f>
              <c:strCache>
                <c:ptCount val="22"/>
                <c:pt idx="0">
                  <c:v>01.09.2014</c:v>
                </c:pt>
                <c:pt idx="1">
                  <c:v>02.09.2014</c:v>
                </c:pt>
                <c:pt idx="2">
                  <c:v>03.09.2014</c:v>
                </c:pt>
                <c:pt idx="3">
                  <c:v>04.09.2014</c:v>
                </c:pt>
                <c:pt idx="4">
                  <c:v>05.09.2014</c:v>
                </c:pt>
                <c:pt idx="5">
                  <c:v>08.09.2014</c:v>
                </c:pt>
                <c:pt idx="6">
                  <c:v>09.09.2014</c:v>
                </c:pt>
                <c:pt idx="7">
                  <c:v>10.09.2014</c:v>
                </c:pt>
                <c:pt idx="8">
                  <c:v>11.09.2014</c:v>
                </c:pt>
                <c:pt idx="9">
                  <c:v>12.09.2014</c:v>
                </c:pt>
                <c:pt idx="10">
                  <c:v>15.09.2014</c:v>
                </c:pt>
                <c:pt idx="11">
                  <c:v>16.09.2014</c:v>
                </c:pt>
                <c:pt idx="12">
                  <c:v>17.09.2014</c:v>
                </c:pt>
                <c:pt idx="13">
                  <c:v>18.09.2014</c:v>
                </c:pt>
                <c:pt idx="14">
                  <c:v>19.09.2014</c:v>
                </c:pt>
                <c:pt idx="15">
                  <c:v>22.09.2014</c:v>
                </c:pt>
                <c:pt idx="16">
                  <c:v>23.09.2014</c:v>
                </c:pt>
                <c:pt idx="17">
                  <c:v>24.09.2014</c:v>
                </c:pt>
                <c:pt idx="18">
                  <c:v>25.09.2014</c:v>
                </c:pt>
                <c:pt idx="19">
                  <c:v>26.09.2014</c:v>
                </c:pt>
                <c:pt idx="20">
                  <c:v>29.09.2014</c:v>
                </c:pt>
                <c:pt idx="21">
                  <c:v>30.09.2014</c:v>
                </c:pt>
              </c:strCache>
            </c:strRef>
          </c:cat>
          <c:val>
            <c:numRef>
              <c:f>'sept 2014'!$E$2:$E$23</c:f>
              <c:numCache>
                <c:formatCode>0.00%</c:formatCode>
                <c:ptCount val="22"/>
                <c:pt idx="1">
                  <c:v>-1.217862546806452E-2</c:v>
                </c:pt>
                <c:pt idx="2">
                  <c:v>-3.8035939858804678E-2</c:v>
                </c:pt>
                <c:pt idx="3">
                  <c:v>2.5630920225061557E-3</c:v>
                </c:pt>
                <c:pt idx="4">
                  <c:v>1.2837805441302405E-2</c:v>
                </c:pt>
                <c:pt idx="5">
                  <c:v>-5.1554123050487526E-3</c:v>
                </c:pt>
                <c:pt idx="6">
                  <c:v>8.0306304175885267E-3</c:v>
                </c:pt>
                <c:pt idx="7">
                  <c:v>-1.4925860081847139E-3</c:v>
                </c:pt>
                <c:pt idx="8">
                  <c:v>4.0118118022871184E-3</c:v>
                </c:pt>
                <c:pt idx="9">
                  <c:v>-2.1205852333643607E-3</c:v>
                </c:pt>
                <c:pt idx="10">
                  <c:v>-3.3965150599103416E-3</c:v>
                </c:pt>
                <c:pt idx="11">
                  <c:v>5.0358999057956112E-3</c:v>
                </c:pt>
                <c:pt idx="12">
                  <c:v>1.0213115538135661E-2</c:v>
                </c:pt>
                <c:pt idx="13">
                  <c:v>2.6751076870584745E-2</c:v>
                </c:pt>
                <c:pt idx="14">
                  <c:v>-5.8093670949099438E-3</c:v>
                </c:pt>
                <c:pt idx="15">
                  <c:v>2.5767365300489011E-3</c:v>
                </c:pt>
                <c:pt idx="16">
                  <c:v>2.1537207127379611E-3</c:v>
                </c:pt>
                <c:pt idx="17">
                  <c:v>-3.9519087747526951E-2</c:v>
                </c:pt>
                <c:pt idx="18">
                  <c:v>-4.6316759365702684E-3</c:v>
                </c:pt>
                <c:pt idx="19">
                  <c:v>-1.2085557943082094E-2</c:v>
                </c:pt>
                <c:pt idx="20">
                  <c:v>1.5254431262369719E-3</c:v>
                </c:pt>
                <c:pt idx="21">
                  <c:v>7.3442212782825903E-4</c:v>
                </c:pt>
              </c:numCache>
            </c:numRef>
          </c:val>
          <c:smooth val="0"/>
          <c:extLst xmlns:c16r2="http://schemas.microsoft.com/office/drawing/2015/06/chart">
            <c:ext xmlns:c16="http://schemas.microsoft.com/office/drawing/2014/chart" uri="{C3380CC4-5D6E-409C-BE32-E72D297353CC}">
              <c16:uniqueId val="{00000000-2099-4A65-80CC-730CC7E36EED}"/>
            </c:ext>
          </c:extLst>
        </c:ser>
        <c:dLbls>
          <c:showLegendKey val="0"/>
          <c:showVal val="0"/>
          <c:showCatName val="0"/>
          <c:showSerName val="0"/>
          <c:showPercent val="0"/>
          <c:showBubbleSize val="0"/>
        </c:dLbls>
        <c:marker val="1"/>
        <c:smooth val="0"/>
        <c:axId val="292029792"/>
        <c:axId val="292030184"/>
      </c:lineChart>
      <c:lineChart>
        <c:grouping val="standard"/>
        <c:varyColors val="0"/>
        <c:ser>
          <c:idx val="0"/>
          <c:order val="0"/>
          <c:tx>
            <c:strRef>
              <c:f>'sept 2014'!$D$1</c:f>
              <c:strCache>
                <c:ptCount val="1"/>
                <c:pt idx="0">
                  <c:v>exchange rate EUR/UAH</c:v>
                </c:pt>
              </c:strCache>
            </c:strRef>
          </c:tx>
          <c:spPr>
            <a:ln w="9525">
              <a:solidFill>
                <a:sysClr val="windowText" lastClr="000000"/>
              </a:solidFill>
              <a:prstDash val="dash"/>
            </a:ln>
          </c:spPr>
          <c:marker>
            <c:symbol val="none"/>
          </c:marker>
          <c:cat>
            <c:strRef>
              <c:f>'sept 2014'!$B$2:$B$23</c:f>
              <c:strCache>
                <c:ptCount val="22"/>
                <c:pt idx="0">
                  <c:v>01.09.2014</c:v>
                </c:pt>
                <c:pt idx="1">
                  <c:v>02.09.2014</c:v>
                </c:pt>
                <c:pt idx="2">
                  <c:v>03.09.2014</c:v>
                </c:pt>
                <c:pt idx="3">
                  <c:v>04.09.2014</c:v>
                </c:pt>
                <c:pt idx="4">
                  <c:v>05.09.2014</c:v>
                </c:pt>
                <c:pt idx="5">
                  <c:v>08.09.2014</c:v>
                </c:pt>
                <c:pt idx="6">
                  <c:v>09.09.2014</c:v>
                </c:pt>
                <c:pt idx="7">
                  <c:v>10.09.2014</c:v>
                </c:pt>
                <c:pt idx="8">
                  <c:v>11.09.2014</c:v>
                </c:pt>
                <c:pt idx="9">
                  <c:v>12.09.2014</c:v>
                </c:pt>
                <c:pt idx="10">
                  <c:v>15.09.2014</c:v>
                </c:pt>
                <c:pt idx="11">
                  <c:v>16.09.2014</c:v>
                </c:pt>
                <c:pt idx="12">
                  <c:v>17.09.2014</c:v>
                </c:pt>
                <c:pt idx="13">
                  <c:v>18.09.2014</c:v>
                </c:pt>
                <c:pt idx="14">
                  <c:v>19.09.2014</c:v>
                </c:pt>
                <c:pt idx="15">
                  <c:v>22.09.2014</c:v>
                </c:pt>
                <c:pt idx="16">
                  <c:v>23.09.2014</c:v>
                </c:pt>
                <c:pt idx="17">
                  <c:v>24.09.2014</c:v>
                </c:pt>
                <c:pt idx="18">
                  <c:v>25.09.2014</c:v>
                </c:pt>
                <c:pt idx="19">
                  <c:v>26.09.2014</c:v>
                </c:pt>
                <c:pt idx="20">
                  <c:v>29.09.2014</c:v>
                </c:pt>
                <c:pt idx="21">
                  <c:v>30.09.2014</c:v>
                </c:pt>
              </c:strCache>
            </c:strRef>
          </c:cat>
          <c:val>
            <c:numRef>
              <c:f>'sept 2014'!$D$2:$D$23</c:f>
              <c:numCache>
                <c:formatCode>General</c:formatCode>
                <c:ptCount val="22"/>
                <c:pt idx="0">
                  <c:v>17.294891000000021</c:v>
                </c:pt>
                <c:pt idx="1">
                  <c:v>17.084263</c:v>
                </c:pt>
                <c:pt idx="2">
                  <c:v>16.434446999999974</c:v>
                </c:pt>
                <c:pt idx="3">
                  <c:v>16.476569999999974</c:v>
                </c:pt>
                <c:pt idx="4">
                  <c:v>16.688092999999974</c:v>
                </c:pt>
                <c:pt idx="5">
                  <c:v>16.602059000000001</c:v>
                </c:pt>
                <c:pt idx="6">
                  <c:v>16.735384</c:v>
                </c:pt>
                <c:pt idx="7">
                  <c:v>16.710405000000005</c:v>
                </c:pt>
                <c:pt idx="8">
                  <c:v>16.777443999999978</c:v>
                </c:pt>
                <c:pt idx="9">
                  <c:v>16.741866000000005</c:v>
                </c:pt>
                <c:pt idx="10">
                  <c:v>16.685001999999987</c:v>
                </c:pt>
                <c:pt idx="11">
                  <c:v>16.769025999999986</c:v>
                </c:pt>
                <c:pt idx="12">
                  <c:v>16.940289999999973</c:v>
                </c:pt>
                <c:pt idx="13">
                  <c:v>17.393460999999999</c:v>
                </c:pt>
                <c:pt idx="14">
                  <c:v>17.292415999999989</c:v>
                </c:pt>
                <c:pt idx="15">
                  <c:v>17.336974000000033</c:v>
                </c:pt>
                <c:pt idx="16">
                  <c:v>17.374313000000001</c:v>
                </c:pt>
                <c:pt idx="17">
                  <c:v>16.687696000000003</c:v>
                </c:pt>
                <c:pt idx="18">
                  <c:v>16.610404000000024</c:v>
                </c:pt>
                <c:pt idx="19">
                  <c:v>16.409658</c:v>
                </c:pt>
                <c:pt idx="20">
                  <c:v>16.43469</c:v>
                </c:pt>
                <c:pt idx="21">
                  <c:v>16.446759999999969</c:v>
                </c:pt>
              </c:numCache>
            </c:numRef>
          </c:val>
          <c:smooth val="0"/>
          <c:extLst xmlns:c16r2="http://schemas.microsoft.com/office/drawing/2015/06/chart">
            <c:ext xmlns:c16="http://schemas.microsoft.com/office/drawing/2014/chart" uri="{C3380CC4-5D6E-409C-BE32-E72D297353CC}">
              <c16:uniqueId val="{00000001-2099-4A65-80CC-730CC7E36EED}"/>
            </c:ext>
          </c:extLst>
        </c:ser>
        <c:dLbls>
          <c:showLegendKey val="0"/>
          <c:showVal val="0"/>
          <c:showCatName val="0"/>
          <c:showSerName val="0"/>
          <c:showPercent val="0"/>
          <c:showBubbleSize val="0"/>
        </c:dLbls>
        <c:marker val="1"/>
        <c:smooth val="0"/>
        <c:axId val="292030968"/>
        <c:axId val="292030576"/>
      </c:lineChart>
      <c:catAx>
        <c:axId val="292029792"/>
        <c:scaling>
          <c:orientation val="minMax"/>
        </c:scaling>
        <c:delete val="1"/>
        <c:axPos val="b"/>
        <c:numFmt formatCode="General" sourceLinked="0"/>
        <c:majorTickMark val="out"/>
        <c:minorTickMark val="none"/>
        <c:tickLblPos val="none"/>
        <c:crossAx val="292030184"/>
        <c:crosses val="autoZero"/>
        <c:auto val="1"/>
        <c:lblAlgn val="ctr"/>
        <c:lblOffset val="100"/>
        <c:tickLblSkip val="5"/>
        <c:noMultiLvlLbl val="0"/>
      </c:catAx>
      <c:valAx>
        <c:axId val="292030184"/>
        <c:scaling>
          <c:orientation val="minMax"/>
        </c:scaling>
        <c:delete val="0"/>
        <c:axPos val="l"/>
        <c:majorGridlines/>
        <c:numFmt formatCode="0.0%" sourceLinked="0"/>
        <c:majorTickMark val="out"/>
        <c:minorTickMark val="none"/>
        <c:tickLblPos val="nextTo"/>
        <c:crossAx val="292029792"/>
        <c:crosses val="autoZero"/>
        <c:crossBetween val="between"/>
      </c:valAx>
      <c:valAx>
        <c:axId val="292030576"/>
        <c:scaling>
          <c:orientation val="minMax"/>
        </c:scaling>
        <c:delete val="0"/>
        <c:axPos val="r"/>
        <c:numFmt formatCode="#,##0.0" sourceLinked="0"/>
        <c:majorTickMark val="out"/>
        <c:minorTickMark val="none"/>
        <c:tickLblPos val="nextTo"/>
        <c:crossAx val="292030968"/>
        <c:crosses val="max"/>
        <c:crossBetween val="between"/>
      </c:valAx>
      <c:catAx>
        <c:axId val="292030968"/>
        <c:scaling>
          <c:orientation val="minMax"/>
        </c:scaling>
        <c:delete val="1"/>
        <c:axPos val="b"/>
        <c:numFmt formatCode="General" sourceLinked="1"/>
        <c:majorTickMark val="out"/>
        <c:minorTickMark val="none"/>
        <c:tickLblPos val="none"/>
        <c:crossAx val="292030576"/>
        <c:crosses val="autoZero"/>
        <c:auto val="1"/>
        <c:lblAlgn val="ctr"/>
        <c:lblOffset val="100"/>
        <c:noMultiLvlLbl val="0"/>
      </c:catAx>
    </c:plotArea>
    <c:legend>
      <c:legendPos val="b"/>
      <c:layout>
        <c:manualLayout>
          <c:xMode val="edge"/>
          <c:yMode val="edge"/>
          <c:x val="5.0744443561380796E-2"/>
          <c:y val="0.91628280839894949"/>
          <c:w val="0.85811860684614305"/>
          <c:h val="8.3717191601050012E-2"/>
        </c:manualLayout>
      </c:layout>
      <c:overlay val="0"/>
    </c:legend>
    <c:plotVisOnly val="1"/>
    <c:dispBlanksAs val="gap"/>
    <c:showDLblsOverMax val="0"/>
  </c:chart>
  <c:spPr>
    <a:ln>
      <a:noFill/>
    </a:ln>
  </c:spPr>
  <c:txPr>
    <a:bodyPr/>
    <a:lstStyle/>
    <a:p>
      <a:pPr>
        <a:defRPr sz="900">
          <a:latin typeface="Arial" panose="020B0604020202020204" pitchFamily="34" charset="0"/>
          <a:cs typeface="Arial" panose="020B0604020202020204" pitchFamily="34" charset="0"/>
        </a:defRPr>
      </a:pPr>
      <a:endParaRPr lang="en-US"/>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0.20833</cdr:x>
      <cdr:y>0.00521</cdr:y>
    </cdr:from>
    <cdr:to>
      <cdr:x>0.6</cdr:x>
      <cdr:y>0.1059</cdr:y>
    </cdr:to>
    <cdr:sp macro="" textlink="">
      <cdr:nvSpPr>
        <cdr:cNvPr id="2" name="Textfeld 1"/>
        <cdr:cNvSpPr txBox="1"/>
      </cdr:nvSpPr>
      <cdr:spPr>
        <a:xfrm xmlns:a="http://schemas.openxmlformats.org/drawingml/2006/main">
          <a:off x="952500" y="14288"/>
          <a:ext cx="179070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21F7A-39DA-49CA-95A4-627EBA545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2836</Words>
  <Characters>16166</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Ivey Business School</Company>
  <LinksUpToDate>false</LinksUpToDate>
  <CharactersWithSpaces>18965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Irvine, Judy</cp:lastModifiedBy>
  <cp:revision>10</cp:revision>
  <cp:lastPrinted>2011-06-23T13:34:00Z</cp:lastPrinted>
  <dcterms:created xsi:type="dcterms:W3CDTF">2017-05-31T20:23:00Z</dcterms:created>
  <dcterms:modified xsi:type="dcterms:W3CDTF">2017-06-05T15:42:00Z</dcterms:modified>
</cp:coreProperties>
</file>