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88"/>
      </w:tblGrid>
      <w:tr w:rsidR="004D22A8" w:rsidRPr="004D22A8" w:rsidTr="00BF0CF4">
        <w:tc>
          <w:tcPr>
            <w:tcW w:w="4680" w:type="dxa"/>
          </w:tcPr>
          <w:p w:rsidR="004D22A8" w:rsidRPr="004D22A8" w:rsidRDefault="004D22A8" w:rsidP="004D22A8">
            <w:pPr>
              <w:tabs>
                <w:tab w:val="left" w:pos="-1440"/>
                <w:tab w:val="left" w:pos="-720"/>
                <w:tab w:val="left" w:pos="1"/>
              </w:tabs>
              <w:jc w:val="both"/>
              <w:rPr>
                <w:rFonts w:ascii="Arial" w:hAnsi="Arial"/>
                <w:b/>
                <w:sz w:val="24"/>
              </w:rPr>
            </w:pPr>
            <w:r w:rsidRPr="004D22A8">
              <w:rPr>
                <w:rFonts w:ascii="Arial" w:hAnsi="Arial"/>
                <w:b/>
                <w:noProof/>
                <w:sz w:val="24"/>
                <w:lang w:val="en-GB" w:eastAsia="en-GB"/>
              </w:rPr>
              <w:drawing>
                <wp:inline distT="0" distB="0" distL="0" distR="0" wp14:anchorId="30D158BF" wp14:editId="6A465B58">
                  <wp:extent cx="2613804" cy="5512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rsidR="004D22A8" w:rsidRPr="004D22A8" w:rsidRDefault="004D22A8" w:rsidP="004D22A8">
            <w:pPr>
              <w:tabs>
                <w:tab w:val="left" w:pos="-1440"/>
                <w:tab w:val="left" w:pos="-720"/>
                <w:tab w:val="left" w:pos="1"/>
              </w:tabs>
              <w:jc w:val="right"/>
              <w:rPr>
                <w:rFonts w:ascii="Arial" w:hAnsi="Arial"/>
                <w:b/>
                <w:sz w:val="24"/>
              </w:rPr>
            </w:pPr>
            <w:r w:rsidRPr="004D22A8">
              <w:rPr>
                <w:rFonts w:ascii="Arial" w:hAnsi="Arial"/>
                <w:b/>
                <w:noProof/>
                <w:sz w:val="24"/>
                <w:lang w:val="en-GB" w:eastAsia="en-GB"/>
              </w:rPr>
              <w:drawing>
                <wp:anchor distT="0" distB="0" distL="114300" distR="114300" simplePos="0" relativeHeight="251659264" behindDoc="1" locked="0" layoutInCell="1" allowOverlap="1" wp14:anchorId="282B3582" wp14:editId="1CB07D57">
                  <wp:simplePos x="0" y="0"/>
                  <wp:positionH relativeFrom="column">
                    <wp:posOffset>146050</wp:posOffset>
                  </wp:positionH>
                  <wp:positionV relativeFrom="paragraph">
                    <wp:posOffset>69850</wp:posOffset>
                  </wp:positionV>
                  <wp:extent cx="2762250" cy="419100"/>
                  <wp:effectExtent l="0" t="0" r="0" b="0"/>
                  <wp:wrapTight wrapText="bothSides">
                    <wp:wrapPolygon edited="0">
                      <wp:start x="894" y="0"/>
                      <wp:lineTo x="0" y="4909"/>
                      <wp:lineTo x="0" y="12764"/>
                      <wp:lineTo x="596" y="20618"/>
                      <wp:lineTo x="2234" y="20618"/>
                      <wp:lineTo x="21451" y="18655"/>
                      <wp:lineTo x="21451" y="2945"/>
                      <wp:lineTo x="20855" y="1964"/>
                      <wp:lineTo x="12364" y="0"/>
                      <wp:lineTo x="894" y="0"/>
                    </wp:wrapPolygon>
                  </wp:wrapTight>
                  <wp:docPr id="8" name="图片 1" descr="完整版院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完整版院徽.png"/>
                          <pic:cNvPicPr/>
                        </pic:nvPicPr>
                        <pic:blipFill>
                          <a:blip r:embed="rId10" cstate="print">
                            <a:grayscl/>
                          </a:blip>
                          <a:srcRect l="18910" t="42928" r="19416" b="45887"/>
                          <a:stretch>
                            <a:fillRect/>
                          </a:stretch>
                        </pic:blipFill>
                        <pic:spPr>
                          <a:xfrm>
                            <a:off x="0" y="0"/>
                            <a:ext cx="2762250" cy="419100"/>
                          </a:xfrm>
                          <a:prstGeom prst="rect">
                            <a:avLst/>
                          </a:prstGeom>
                        </pic:spPr>
                      </pic:pic>
                    </a:graphicData>
                  </a:graphic>
                </wp:anchor>
              </w:drawing>
            </w:r>
          </w:p>
        </w:tc>
      </w:tr>
    </w:tbl>
    <w:p w:rsidR="00F13220" w:rsidRPr="004D22A8" w:rsidRDefault="00F13220" w:rsidP="008467D5">
      <w:pPr>
        <w:pBdr>
          <w:bottom w:val="single" w:sz="18" w:space="1" w:color="auto"/>
        </w:pBdr>
        <w:tabs>
          <w:tab w:val="left" w:pos="-1440"/>
          <w:tab w:val="left" w:pos="-720"/>
          <w:tab w:val="left" w:pos="1"/>
        </w:tabs>
        <w:jc w:val="both"/>
        <w:rPr>
          <w:rFonts w:ascii="Arial" w:hAnsi="Arial"/>
          <w:b/>
          <w:sz w:val="8"/>
          <w:szCs w:val="8"/>
        </w:rPr>
      </w:pPr>
    </w:p>
    <w:p w:rsidR="00D75295" w:rsidRDefault="00500131" w:rsidP="00F105B7">
      <w:pPr>
        <w:pStyle w:val="ProductNumber"/>
      </w:pPr>
      <w:r>
        <w:t>9b17m086</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500131" w:rsidP="00013360">
      <w:pPr>
        <w:pStyle w:val="CaseTitle"/>
        <w:spacing w:after="0" w:line="240" w:lineRule="auto"/>
        <w:rPr>
          <w:sz w:val="20"/>
          <w:szCs w:val="20"/>
        </w:rPr>
      </w:pPr>
      <w:r>
        <w:rPr>
          <w:rFonts w:eastAsia="Times New Roman"/>
          <w:szCs w:val="20"/>
        </w:rPr>
        <w:t>Red star Macalline: strategic evolution</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500131" w:rsidP="00627C63">
      <w:pPr>
        <w:pStyle w:val="StyleCopyrightStatementAfter0ptBottomSinglesolidline1"/>
      </w:pPr>
      <w:r>
        <w:t xml:space="preserve">Professors </w:t>
      </w:r>
      <w:proofErr w:type="spellStart"/>
      <w:r>
        <w:t>Jie</w:t>
      </w:r>
      <w:proofErr w:type="spellEnd"/>
      <w:r>
        <w:t xml:space="preserve"> </w:t>
      </w:r>
      <w:r w:rsidR="00E62299">
        <w:t xml:space="preserve">Li </w:t>
      </w:r>
      <w:r>
        <w:t>and Jean-Louis Schaan</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w:t>
      </w:r>
      <w:bookmarkStart w:id="0" w:name="_GoBack"/>
      <w:bookmarkEnd w:id="0"/>
      <w:r w:rsidRPr="00E23AB7">
        <w:rPr>
          <w:rFonts w:ascii="Arial" w:hAnsi="Arial"/>
          <w:i/>
          <w:iCs/>
          <w:color w:val="000000"/>
          <w:sz w:val="16"/>
        </w:rPr>
        <w:t xml:space="preserve">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004D22A8" w:rsidRPr="00A06891">
        <w:rPr>
          <w:rFonts w:cs="Arial"/>
          <w:sz w:val="15"/>
          <w:szCs w:val="15"/>
        </w:rPr>
        <w:t xml:space="preserve">SJTU </w:t>
      </w:r>
      <w:proofErr w:type="spellStart"/>
      <w:r w:rsidR="00E62299" w:rsidRPr="00A06891">
        <w:rPr>
          <w:spacing w:val="-5"/>
          <w:sz w:val="15"/>
          <w:szCs w:val="15"/>
        </w:rPr>
        <w:t>Antai</w:t>
      </w:r>
      <w:proofErr w:type="spellEnd"/>
      <w:r w:rsidR="00E62299" w:rsidRPr="00A06891">
        <w:rPr>
          <w:spacing w:val="-5"/>
          <w:sz w:val="15"/>
          <w:szCs w:val="15"/>
        </w:rPr>
        <w:t xml:space="preserve"> College of Economics and Management and Richard Ivey School of Business Foundation</w:t>
      </w:r>
      <w:r w:rsidRPr="00A06891">
        <w:rPr>
          <w:rFonts w:cs="Arial"/>
          <w:sz w:val="15"/>
          <w:szCs w:val="15"/>
          <w:lang w:val="en-CA"/>
        </w:rPr>
        <w:tab/>
      </w:r>
      <w:r w:rsidR="00751E0B">
        <w:t xml:space="preserve">Version: </w:t>
      </w:r>
      <w:r w:rsidR="00500131">
        <w:t>2017</w:t>
      </w:r>
      <w:r w:rsidR="001C7777">
        <w:t>-</w:t>
      </w:r>
      <w:r w:rsidR="00500131">
        <w:t>06</w:t>
      </w:r>
      <w:r w:rsidR="00751E0B">
        <w:t>-</w:t>
      </w:r>
      <w:r w:rsidR="00500131">
        <w:t>0</w:t>
      </w:r>
      <w:r w:rsidR="00A06891">
        <w:t>8</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500131" w:rsidRPr="00F90D5D" w:rsidRDefault="00500131" w:rsidP="00500131">
      <w:pPr>
        <w:pStyle w:val="BodyTextMain"/>
        <w:rPr>
          <w:iCs/>
          <w:lang w:val="en-GB"/>
        </w:rPr>
      </w:pPr>
      <w:r w:rsidRPr="00F90D5D">
        <w:rPr>
          <w:iCs/>
          <w:lang w:val="en-GB"/>
        </w:rPr>
        <w:t xml:space="preserve">It was the evening of June 18, 2016. </w:t>
      </w:r>
      <w:proofErr w:type="spellStart"/>
      <w:r w:rsidRPr="00F90D5D">
        <w:rPr>
          <w:iCs/>
          <w:lang w:val="en-GB"/>
        </w:rPr>
        <w:t>Che</w:t>
      </w:r>
      <w:proofErr w:type="spellEnd"/>
      <w:r w:rsidRPr="00F90D5D">
        <w:rPr>
          <w:iCs/>
          <w:lang w:val="en-GB"/>
        </w:rPr>
        <w:t xml:space="preserve"> </w:t>
      </w:r>
      <w:proofErr w:type="spellStart"/>
      <w:r w:rsidRPr="00F90D5D">
        <w:rPr>
          <w:iCs/>
          <w:lang w:val="en-GB"/>
        </w:rPr>
        <w:t>Jianxin</w:t>
      </w:r>
      <w:proofErr w:type="spellEnd"/>
      <w:r w:rsidRPr="00F90D5D">
        <w:rPr>
          <w:iCs/>
          <w:lang w:val="en-GB"/>
        </w:rPr>
        <w:t xml:space="preserve"> (</w:t>
      </w:r>
      <w:proofErr w:type="spellStart"/>
      <w:r w:rsidRPr="00F90D5D">
        <w:rPr>
          <w:iCs/>
          <w:lang w:val="en-GB"/>
        </w:rPr>
        <w:t>CheChe</w:t>
      </w:r>
      <w:proofErr w:type="spellEnd"/>
      <w:r w:rsidRPr="00F90D5D">
        <w:rPr>
          <w:iCs/>
          <w:lang w:val="en-GB"/>
        </w:rPr>
        <w:t>), founder</w:t>
      </w:r>
      <w:r>
        <w:rPr>
          <w:iCs/>
          <w:lang w:val="en-GB"/>
        </w:rPr>
        <w:t>,</w:t>
      </w:r>
      <w:r w:rsidRPr="00F90D5D">
        <w:rPr>
          <w:iCs/>
          <w:lang w:val="en-GB"/>
        </w:rPr>
        <w:t xml:space="preserve"> chairman</w:t>
      </w:r>
      <w:r>
        <w:rPr>
          <w:iCs/>
          <w:lang w:val="en-GB"/>
        </w:rPr>
        <w:t>, and chief executive officer</w:t>
      </w:r>
      <w:r w:rsidRPr="00F90D5D">
        <w:rPr>
          <w:iCs/>
          <w:lang w:val="en-GB"/>
        </w:rPr>
        <w:t xml:space="preserve"> </w:t>
      </w:r>
      <w:r>
        <w:rPr>
          <w:iCs/>
          <w:lang w:val="en-GB"/>
        </w:rPr>
        <w:t xml:space="preserve">of </w:t>
      </w:r>
      <w:r w:rsidRPr="00F90D5D">
        <w:rPr>
          <w:iCs/>
          <w:lang w:val="en-GB"/>
        </w:rPr>
        <w:t xml:space="preserve">Red Star </w:t>
      </w:r>
      <w:proofErr w:type="spellStart"/>
      <w:r w:rsidRPr="00F90D5D">
        <w:rPr>
          <w:iCs/>
          <w:lang w:val="en-GB"/>
        </w:rPr>
        <w:t>Macalline</w:t>
      </w:r>
      <w:proofErr w:type="spellEnd"/>
      <w:r w:rsidRPr="00F90D5D">
        <w:rPr>
          <w:iCs/>
          <w:lang w:val="en-GB"/>
        </w:rPr>
        <w:t xml:space="preserve"> Group Corporation Ltd</w:t>
      </w:r>
      <w:r>
        <w:rPr>
          <w:iCs/>
          <w:lang w:val="en-GB"/>
        </w:rPr>
        <w:t>.</w:t>
      </w:r>
      <w:r w:rsidRPr="00F90D5D">
        <w:rPr>
          <w:iCs/>
          <w:lang w:val="en-GB"/>
        </w:rPr>
        <w:t xml:space="preserve"> (RSM), was providing </w:t>
      </w:r>
      <w:r>
        <w:rPr>
          <w:iCs/>
          <w:lang w:val="en-GB"/>
        </w:rPr>
        <w:t xml:space="preserve">the </w:t>
      </w:r>
      <w:r w:rsidRPr="00F90D5D">
        <w:rPr>
          <w:iCs/>
          <w:lang w:val="en-GB"/>
        </w:rPr>
        <w:t xml:space="preserve">finishing touches to a growth-oriented action plan he termed </w:t>
      </w:r>
      <w:r>
        <w:rPr>
          <w:iCs/>
          <w:lang w:val="en-GB"/>
        </w:rPr>
        <w:t xml:space="preserve">the </w:t>
      </w:r>
      <w:r w:rsidRPr="00F90D5D">
        <w:rPr>
          <w:iCs/>
          <w:lang w:val="en-GB"/>
        </w:rPr>
        <w:t xml:space="preserve">“1001 Strategy.” RSM was the largest home improvement and </w:t>
      </w:r>
      <w:r>
        <w:rPr>
          <w:iCs/>
          <w:lang w:val="en-GB"/>
        </w:rPr>
        <w:t xml:space="preserve">home </w:t>
      </w:r>
      <w:r w:rsidRPr="00F90D5D">
        <w:rPr>
          <w:iCs/>
          <w:lang w:val="en-GB"/>
        </w:rPr>
        <w:t xml:space="preserve">furnishings shopping mall operator in China. </w:t>
      </w:r>
      <w:proofErr w:type="spellStart"/>
      <w:r w:rsidRPr="00F90D5D">
        <w:rPr>
          <w:iCs/>
          <w:lang w:val="en-GB"/>
        </w:rPr>
        <w:t>CheChe</w:t>
      </w:r>
      <w:proofErr w:type="spellEnd"/>
      <w:r w:rsidRPr="00F90D5D">
        <w:rPr>
          <w:rFonts w:eastAsiaTheme="minorEastAsia" w:hint="eastAsia"/>
          <w:iCs/>
          <w:lang w:val="en-GB" w:eastAsia="zh-CN"/>
        </w:rPr>
        <w:t xml:space="preserve"> </w:t>
      </w:r>
      <w:r w:rsidRPr="00F90D5D">
        <w:rPr>
          <w:iCs/>
          <w:lang w:val="en-GB"/>
        </w:rPr>
        <w:t xml:space="preserve">was to unveil the plan at </w:t>
      </w:r>
      <w:r>
        <w:rPr>
          <w:iCs/>
          <w:lang w:val="en-GB"/>
        </w:rPr>
        <w:t>RSM’s</w:t>
      </w:r>
      <w:r w:rsidRPr="00F90D5D">
        <w:rPr>
          <w:iCs/>
          <w:lang w:val="en-GB"/>
        </w:rPr>
        <w:t xml:space="preserve"> </w:t>
      </w:r>
      <w:r>
        <w:rPr>
          <w:iCs/>
          <w:lang w:val="en-GB"/>
        </w:rPr>
        <w:t xml:space="preserve">upcoming </w:t>
      </w:r>
      <w:r w:rsidRPr="00F90D5D">
        <w:rPr>
          <w:iCs/>
          <w:lang w:val="en-GB"/>
        </w:rPr>
        <w:t>30</w:t>
      </w:r>
      <w:r w:rsidRPr="008B1726">
        <w:rPr>
          <w:iCs/>
          <w:lang w:val="en-GB"/>
        </w:rPr>
        <w:t>th</w:t>
      </w:r>
      <w:r>
        <w:rPr>
          <w:iCs/>
          <w:lang w:val="en-GB"/>
        </w:rPr>
        <w:t>-</w:t>
      </w:r>
      <w:r w:rsidRPr="00F90D5D">
        <w:rPr>
          <w:iCs/>
          <w:lang w:val="en-GB"/>
        </w:rPr>
        <w:t xml:space="preserve">anniversary celebrations. </w:t>
      </w:r>
    </w:p>
    <w:p w:rsidR="00500131" w:rsidRPr="00F90D5D" w:rsidRDefault="00500131" w:rsidP="00500131">
      <w:pPr>
        <w:pStyle w:val="BodyTextMain"/>
        <w:rPr>
          <w:iCs/>
          <w:lang w:val="en-GB"/>
        </w:rPr>
      </w:pPr>
    </w:p>
    <w:p w:rsidR="00500131" w:rsidRPr="00F90D5D" w:rsidRDefault="00500131" w:rsidP="00500131">
      <w:pPr>
        <w:pStyle w:val="BodyTextMain"/>
        <w:rPr>
          <w:iCs/>
          <w:lang w:val="en-GB"/>
        </w:rPr>
      </w:pPr>
      <w:r w:rsidRPr="00F90D5D">
        <w:rPr>
          <w:iCs/>
          <w:lang w:val="en-GB"/>
        </w:rPr>
        <w:t xml:space="preserve">While </w:t>
      </w:r>
      <w:r>
        <w:rPr>
          <w:iCs/>
          <w:lang w:val="en-GB"/>
        </w:rPr>
        <w:t>preparing</w:t>
      </w:r>
      <w:r w:rsidRPr="00F90D5D">
        <w:rPr>
          <w:iCs/>
          <w:lang w:val="en-GB"/>
        </w:rPr>
        <w:t xml:space="preserve"> to host the event at the sprawling New International Expo Center in Shanghai, </w:t>
      </w:r>
      <w:proofErr w:type="spellStart"/>
      <w:r w:rsidRPr="00F90D5D">
        <w:rPr>
          <w:iCs/>
          <w:lang w:val="en-GB"/>
        </w:rPr>
        <w:t>CheChe</w:t>
      </w:r>
      <w:proofErr w:type="spellEnd"/>
      <w:r w:rsidRPr="00F90D5D">
        <w:rPr>
          <w:iCs/>
          <w:lang w:val="en-GB"/>
        </w:rPr>
        <w:t xml:space="preserve"> was also weighing his options on implementing the strategy:</w:t>
      </w:r>
    </w:p>
    <w:p w:rsidR="00500131" w:rsidRPr="00F90D5D" w:rsidRDefault="00500131" w:rsidP="00500131">
      <w:pPr>
        <w:pStyle w:val="BodyTextMain"/>
        <w:rPr>
          <w:iCs/>
          <w:lang w:val="en-GB"/>
        </w:rPr>
      </w:pPr>
    </w:p>
    <w:p w:rsidR="00500131" w:rsidRPr="00F90D5D" w:rsidRDefault="00500131" w:rsidP="00500131">
      <w:pPr>
        <w:pStyle w:val="BodyTextMain"/>
        <w:ind w:left="720"/>
        <w:rPr>
          <w:lang w:val="en-GB"/>
        </w:rPr>
      </w:pPr>
      <w:r w:rsidRPr="00F90D5D">
        <w:rPr>
          <w:lang w:val="en-GB"/>
        </w:rPr>
        <w:t>The “1001 Strategy” is about two action plans: building 1</w:t>
      </w:r>
      <w:r w:rsidRPr="00F90D5D">
        <w:rPr>
          <w:rFonts w:eastAsiaTheme="minorEastAsia" w:hint="eastAsia"/>
          <w:lang w:val="en-GB" w:eastAsia="zh-CN"/>
        </w:rPr>
        <w:t>,</w:t>
      </w:r>
      <w:r w:rsidRPr="00F90D5D">
        <w:rPr>
          <w:lang w:val="en-GB"/>
        </w:rPr>
        <w:t>000 brick</w:t>
      </w:r>
      <w:r>
        <w:rPr>
          <w:lang w:val="en-GB"/>
        </w:rPr>
        <w:t>-</w:t>
      </w:r>
      <w:r w:rsidRPr="00F90D5D">
        <w:rPr>
          <w:lang w:val="en-GB"/>
        </w:rPr>
        <w:t>and</w:t>
      </w:r>
      <w:r>
        <w:rPr>
          <w:lang w:val="en-GB"/>
        </w:rPr>
        <w:t>-</w:t>
      </w:r>
      <w:r w:rsidRPr="00F90D5D">
        <w:rPr>
          <w:lang w:val="en-GB"/>
        </w:rPr>
        <w:t>mortar shopping malls, focused exclusively on home</w:t>
      </w:r>
      <w:r w:rsidRPr="00F90D5D">
        <w:rPr>
          <w:rFonts w:eastAsia="SimSun" w:hint="eastAsia"/>
          <w:lang w:val="en-GB" w:eastAsia="zh-CN"/>
        </w:rPr>
        <w:t>-centric business</w:t>
      </w:r>
      <w:r w:rsidRPr="00F90D5D">
        <w:rPr>
          <w:lang w:val="en-GB"/>
        </w:rPr>
        <w:t>, all over China</w:t>
      </w:r>
      <w:r>
        <w:rPr>
          <w:lang w:val="en-GB"/>
        </w:rPr>
        <w:t>,</w:t>
      </w:r>
      <w:r w:rsidRPr="00F90D5D">
        <w:rPr>
          <w:lang w:val="en-GB"/>
        </w:rPr>
        <w:t xml:space="preserve"> and integrating them into a seamless ecosystem of our offerings and their end</w:t>
      </w:r>
      <w:r>
        <w:rPr>
          <w:lang w:val="en-GB"/>
        </w:rPr>
        <w:t>-</w:t>
      </w:r>
      <w:r w:rsidRPr="00F90D5D">
        <w:rPr>
          <w:lang w:val="en-GB"/>
        </w:rPr>
        <w:t xml:space="preserve">users, through a single overarching Internet platform. The goal, in the short term, is to convert RSM into a technology-driven enterprise that leverages data </w:t>
      </w:r>
      <w:r>
        <w:rPr>
          <w:lang w:val="en-GB"/>
        </w:rPr>
        <w:t xml:space="preserve">in </w:t>
      </w:r>
      <w:r w:rsidRPr="00F90D5D">
        <w:rPr>
          <w:lang w:val="en-GB"/>
        </w:rPr>
        <w:t xml:space="preserve">real-time. In the long term, the strategic intent is to make RSM an </w:t>
      </w:r>
      <w:r w:rsidRPr="00F90D5D">
        <w:rPr>
          <w:rFonts w:eastAsia="SimSun" w:hint="eastAsia"/>
          <w:lang w:val="en-GB" w:eastAsia="zh-CN"/>
        </w:rPr>
        <w:t>O2O</w:t>
      </w:r>
      <w:r w:rsidRPr="00F90D5D">
        <w:rPr>
          <w:lang w:val="en-GB"/>
        </w:rPr>
        <w:t xml:space="preserve"> </w:t>
      </w:r>
      <w:r>
        <w:rPr>
          <w:lang w:val="en-GB"/>
        </w:rPr>
        <w:t xml:space="preserve">[online to offline] </w:t>
      </w:r>
      <w:r w:rsidRPr="00F90D5D">
        <w:rPr>
          <w:lang w:val="en-GB"/>
        </w:rPr>
        <w:t>leader in China. Our guiding post in the imminent journey will be to take all complexities out of the ecosystem. We want to make it easy, as a result, for our customers and vendors to transact with one another</w:t>
      </w:r>
      <w:r w:rsidRPr="00F90D5D">
        <w:rPr>
          <w:rFonts w:eastAsiaTheme="minorEastAsia" w:hint="eastAsia"/>
          <w:lang w:val="en-GB" w:eastAsia="zh-CN"/>
        </w:rPr>
        <w:t xml:space="preserve"> </w:t>
      </w:r>
      <w:r w:rsidRPr="00F90D5D">
        <w:rPr>
          <w:lang w:val="en-GB"/>
        </w:rPr>
        <w:t>and for our employees to facilitate those transactions.</w:t>
      </w:r>
    </w:p>
    <w:p w:rsidR="00500131" w:rsidRPr="00F90D5D" w:rsidRDefault="00500131" w:rsidP="00500131">
      <w:pPr>
        <w:pStyle w:val="BodyTextMain"/>
        <w:rPr>
          <w:lang w:val="en-GB"/>
        </w:rPr>
      </w:pPr>
    </w:p>
    <w:p w:rsidR="00500131" w:rsidRPr="00F90D5D" w:rsidRDefault="00500131" w:rsidP="00500131">
      <w:pPr>
        <w:pStyle w:val="BodyTextMain"/>
        <w:rPr>
          <w:lang w:val="en-GB"/>
        </w:rPr>
      </w:pPr>
      <w:r w:rsidRPr="00F90D5D">
        <w:rPr>
          <w:lang w:val="en-GB"/>
        </w:rPr>
        <w:t xml:space="preserve">RSM had, for </w:t>
      </w:r>
      <w:r>
        <w:rPr>
          <w:lang w:val="en-GB"/>
        </w:rPr>
        <w:t>many years</w:t>
      </w:r>
      <w:r w:rsidRPr="00F90D5D">
        <w:rPr>
          <w:lang w:val="en-GB"/>
        </w:rPr>
        <w:t>, considered physical stores as its core medium for reaching customers in its shopping malls. In 2012, however, it launched online shopping with what was known in China as O2O (online to offline) functions.</w:t>
      </w:r>
      <w:r w:rsidRPr="00F90D5D">
        <w:rPr>
          <w:rFonts w:eastAsiaTheme="minorEastAsia" w:hint="eastAsia"/>
          <w:lang w:val="en-GB" w:eastAsia="zh-CN"/>
        </w:rPr>
        <w:t xml:space="preserve"> </w:t>
      </w:r>
      <w:r w:rsidRPr="00F90D5D">
        <w:rPr>
          <w:lang w:val="en-GB"/>
        </w:rPr>
        <w:t>Targeted at individual consumers, O2O enable</w:t>
      </w:r>
      <w:r>
        <w:rPr>
          <w:lang w:val="en-GB"/>
        </w:rPr>
        <w:t>d</w:t>
      </w:r>
      <w:r w:rsidRPr="00F90D5D">
        <w:rPr>
          <w:lang w:val="en-GB"/>
        </w:rPr>
        <w:t xml:space="preserve"> </w:t>
      </w:r>
      <w:r>
        <w:rPr>
          <w:lang w:val="en-GB"/>
        </w:rPr>
        <w:t>shoppers</w:t>
      </w:r>
      <w:r w:rsidRPr="00F90D5D">
        <w:rPr>
          <w:lang w:val="en-GB"/>
        </w:rPr>
        <w:t xml:space="preserve"> to order and pay for goods online and </w:t>
      </w:r>
      <w:r>
        <w:rPr>
          <w:lang w:val="en-GB"/>
        </w:rPr>
        <w:t>receive</w:t>
      </w:r>
      <w:r w:rsidRPr="00F90D5D">
        <w:rPr>
          <w:lang w:val="en-GB"/>
        </w:rPr>
        <w:t xml:space="preserve"> delivery at the</w:t>
      </w:r>
      <w:r>
        <w:rPr>
          <w:lang w:val="en-GB"/>
        </w:rPr>
        <w:t>ir</w:t>
      </w:r>
      <w:r w:rsidRPr="00F90D5D">
        <w:rPr>
          <w:lang w:val="en-GB"/>
        </w:rPr>
        <w:t xml:space="preserve"> nearest store, offline. In 2015, RSM launched an upgraded version of O2O at select</w:t>
      </w:r>
      <w:r>
        <w:rPr>
          <w:lang w:val="en-GB"/>
        </w:rPr>
        <w:t>ed</w:t>
      </w:r>
      <w:r w:rsidRPr="00F90D5D">
        <w:rPr>
          <w:lang w:val="en-GB"/>
        </w:rPr>
        <w:t xml:space="preserve"> shopping malls. It was targeted at business customers </w:t>
      </w:r>
      <w:r>
        <w:rPr>
          <w:lang w:val="en-GB"/>
        </w:rPr>
        <w:t>who would use</w:t>
      </w:r>
      <w:r w:rsidRPr="00F90D5D">
        <w:rPr>
          <w:lang w:val="en-GB"/>
        </w:rPr>
        <w:t xml:space="preserve"> the same functionality. </w:t>
      </w:r>
      <w:r>
        <w:rPr>
          <w:lang w:val="en-GB"/>
        </w:rPr>
        <w:t>However</w:t>
      </w:r>
      <w:r w:rsidRPr="00F90D5D">
        <w:rPr>
          <w:lang w:val="en-GB"/>
        </w:rPr>
        <w:t xml:space="preserve">, </w:t>
      </w:r>
      <w:r>
        <w:rPr>
          <w:lang w:val="en-GB"/>
        </w:rPr>
        <w:t xml:space="preserve">in both formats, </w:t>
      </w:r>
      <w:r w:rsidRPr="00F90D5D">
        <w:rPr>
          <w:lang w:val="en-GB"/>
        </w:rPr>
        <w:t xml:space="preserve">the model </w:t>
      </w:r>
      <w:r>
        <w:rPr>
          <w:lang w:val="en-GB"/>
        </w:rPr>
        <w:t>encountered</w:t>
      </w:r>
      <w:r w:rsidRPr="00F90D5D">
        <w:rPr>
          <w:lang w:val="en-GB"/>
        </w:rPr>
        <w:t xml:space="preserve"> two specific problems</w:t>
      </w:r>
      <w:r>
        <w:rPr>
          <w:lang w:val="en-GB"/>
        </w:rPr>
        <w:t>:</w:t>
      </w:r>
      <w:r w:rsidRPr="00F90D5D">
        <w:rPr>
          <w:lang w:val="en-GB"/>
        </w:rPr>
        <w:t xml:space="preserve"> </w:t>
      </w:r>
      <w:r>
        <w:rPr>
          <w:lang w:val="en-GB"/>
        </w:rPr>
        <w:t>t</w:t>
      </w:r>
      <w:r w:rsidRPr="00F90D5D">
        <w:rPr>
          <w:lang w:val="en-GB"/>
        </w:rPr>
        <w:t>he online service was not always consistent with the offline service</w:t>
      </w:r>
      <w:r>
        <w:rPr>
          <w:lang w:val="en-GB"/>
        </w:rPr>
        <w:t>, and</w:t>
      </w:r>
      <w:r w:rsidRPr="00F90D5D">
        <w:rPr>
          <w:lang w:val="en-GB"/>
        </w:rPr>
        <w:t xml:space="preserve"> </w:t>
      </w:r>
      <w:r>
        <w:rPr>
          <w:lang w:val="en-GB"/>
        </w:rPr>
        <w:t>t</w:t>
      </w:r>
      <w:r w:rsidRPr="00F90D5D">
        <w:rPr>
          <w:lang w:val="en-GB"/>
        </w:rPr>
        <w:t>he prices displayed online</w:t>
      </w:r>
      <w:r w:rsidRPr="00F90D5D">
        <w:rPr>
          <w:rFonts w:eastAsiaTheme="minorEastAsia" w:hint="eastAsia"/>
          <w:lang w:val="en-GB" w:eastAsia="zh-CN"/>
        </w:rPr>
        <w:t xml:space="preserve"> </w:t>
      </w:r>
      <w:r w:rsidRPr="00F90D5D">
        <w:rPr>
          <w:lang w:val="en-GB"/>
        </w:rPr>
        <w:t>often differ</w:t>
      </w:r>
      <w:r>
        <w:rPr>
          <w:lang w:val="en-GB"/>
        </w:rPr>
        <w:t>ed</w:t>
      </w:r>
      <w:r w:rsidRPr="00F90D5D">
        <w:rPr>
          <w:lang w:val="en-GB"/>
        </w:rPr>
        <w:t xml:space="preserve"> from those displayed offline. </w:t>
      </w:r>
    </w:p>
    <w:p w:rsidR="00500131" w:rsidRPr="00F90D5D" w:rsidRDefault="00500131" w:rsidP="00500131">
      <w:pPr>
        <w:pStyle w:val="BodyTextMain"/>
        <w:rPr>
          <w:lang w:val="en-GB"/>
        </w:rPr>
      </w:pPr>
    </w:p>
    <w:p w:rsidR="00500131" w:rsidRPr="00F90D5D" w:rsidRDefault="00500131" w:rsidP="00500131">
      <w:pPr>
        <w:pStyle w:val="BodyTextMain"/>
        <w:rPr>
          <w:lang w:val="en-GB"/>
        </w:rPr>
      </w:pPr>
      <w:r>
        <w:rPr>
          <w:lang w:val="en-GB"/>
        </w:rPr>
        <w:t>As a result of his</w:t>
      </w:r>
      <w:r w:rsidRPr="00F90D5D">
        <w:rPr>
          <w:lang w:val="en-GB"/>
        </w:rPr>
        <w:t xml:space="preserve"> pursuit of an integrated and interactive model</w:t>
      </w:r>
      <w:r>
        <w:rPr>
          <w:lang w:val="en-GB"/>
        </w:rPr>
        <w:t>,</w:t>
      </w:r>
      <w:r w:rsidRPr="00F90D5D">
        <w:rPr>
          <w:lang w:val="en-GB"/>
        </w:rPr>
        <w:t xml:space="preserve"> </w:t>
      </w:r>
      <w:proofErr w:type="spellStart"/>
      <w:r w:rsidRPr="00F90D5D">
        <w:rPr>
          <w:lang w:val="en-GB"/>
        </w:rPr>
        <w:t>CheChe</w:t>
      </w:r>
      <w:proofErr w:type="spellEnd"/>
      <w:r w:rsidRPr="00F90D5D">
        <w:rPr>
          <w:rFonts w:eastAsiaTheme="minorEastAsia" w:hint="eastAsia"/>
          <w:lang w:val="en-GB" w:eastAsia="zh-CN"/>
        </w:rPr>
        <w:t xml:space="preserve"> </w:t>
      </w:r>
      <w:r w:rsidRPr="00F90D5D">
        <w:rPr>
          <w:lang w:val="en-GB"/>
        </w:rPr>
        <w:t xml:space="preserve">was now moving </w:t>
      </w:r>
      <w:r>
        <w:rPr>
          <w:lang w:val="en-GB"/>
        </w:rPr>
        <w:t>towards</w:t>
      </w:r>
      <w:r w:rsidRPr="00F90D5D">
        <w:rPr>
          <w:lang w:val="en-GB"/>
        </w:rPr>
        <w:t xml:space="preserve"> </w:t>
      </w:r>
      <w:r>
        <w:rPr>
          <w:lang w:val="en-GB"/>
        </w:rPr>
        <w:t xml:space="preserve">an </w:t>
      </w:r>
      <w:proofErr w:type="spellStart"/>
      <w:r>
        <w:rPr>
          <w:lang w:val="en-GB"/>
        </w:rPr>
        <w:t>o</w:t>
      </w:r>
      <w:r w:rsidRPr="00F90D5D">
        <w:rPr>
          <w:lang w:val="en-GB"/>
        </w:rPr>
        <w:t>mni</w:t>
      </w:r>
      <w:proofErr w:type="spellEnd"/>
      <w:r w:rsidRPr="00F90D5D">
        <w:rPr>
          <w:lang w:val="en-GB"/>
        </w:rPr>
        <w:t xml:space="preserve">-channel strategy, as his “1001 Strategy” was generally known worldwide. </w:t>
      </w:r>
      <w:r>
        <w:rPr>
          <w:lang w:val="en-GB"/>
        </w:rPr>
        <w:t xml:space="preserve">An </w:t>
      </w:r>
      <w:proofErr w:type="spellStart"/>
      <w:r>
        <w:rPr>
          <w:lang w:val="en-GB"/>
        </w:rPr>
        <w:t>o</w:t>
      </w:r>
      <w:r w:rsidRPr="00F90D5D">
        <w:rPr>
          <w:lang w:val="en-GB"/>
        </w:rPr>
        <w:t>mni</w:t>
      </w:r>
      <w:proofErr w:type="spellEnd"/>
      <w:r w:rsidRPr="00F90D5D">
        <w:rPr>
          <w:lang w:val="en-GB"/>
        </w:rPr>
        <w:t xml:space="preserve">-channel </w:t>
      </w:r>
      <w:r>
        <w:rPr>
          <w:lang w:val="en-GB"/>
        </w:rPr>
        <w:t xml:space="preserve">strategy </w:t>
      </w:r>
      <w:r w:rsidRPr="00F90D5D">
        <w:rPr>
          <w:lang w:val="en-GB"/>
        </w:rPr>
        <w:t>provided an environment where</w:t>
      </w:r>
      <w:r>
        <w:rPr>
          <w:lang w:val="en-GB"/>
        </w:rPr>
        <w:t>in</w:t>
      </w:r>
      <w:r w:rsidRPr="00F90D5D">
        <w:rPr>
          <w:lang w:val="en-GB"/>
        </w:rPr>
        <w:t xml:space="preserve"> customers shopped</w:t>
      </w:r>
      <w:r w:rsidRPr="00F90D5D">
        <w:rPr>
          <w:rFonts w:eastAsiaTheme="minorEastAsia" w:hint="eastAsia"/>
          <w:lang w:val="en-GB" w:eastAsia="zh-CN"/>
        </w:rPr>
        <w:t xml:space="preserve"> </w:t>
      </w:r>
      <w:r w:rsidRPr="00F90D5D">
        <w:rPr>
          <w:lang w:val="en-GB"/>
        </w:rPr>
        <w:t xml:space="preserve">through a variety of online and offline channels </w:t>
      </w:r>
      <w:r w:rsidRPr="00F90D5D">
        <w:rPr>
          <w:lang w:val="en-GB"/>
        </w:rPr>
        <w:lastRenderedPageBreak/>
        <w:t>while also switching easily and seamlessly between them.</w:t>
      </w:r>
      <w:r w:rsidRPr="00F90D5D">
        <w:rPr>
          <w:rStyle w:val="FootnoteReference"/>
          <w:bCs/>
          <w:iCs/>
          <w:lang w:val="en-GB"/>
        </w:rPr>
        <w:footnoteReference w:id="1"/>
      </w:r>
      <w:r>
        <w:rPr>
          <w:lang w:val="en-GB"/>
        </w:rPr>
        <w:t xml:space="preserve"> </w:t>
      </w:r>
      <w:r w:rsidRPr="00F90D5D">
        <w:rPr>
          <w:lang w:val="en-GB"/>
        </w:rPr>
        <w:t xml:space="preserve">It was </w:t>
      </w:r>
      <w:r>
        <w:rPr>
          <w:lang w:val="en-GB"/>
        </w:rPr>
        <w:t>challenging</w:t>
      </w:r>
      <w:r w:rsidRPr="00F90D5D">
        <w:rPr>
          <w:lang w:val="en-GB"/>
        </w:rPr>
        <w:t>, in the age of the Internet, for a home improvement and furnishing</w:t>
      </w:r>
      <w:r>
        <w:rPr>
          <w:lang w:val="en-GB"/>
        </w:rPr>
        <w:t>s</w:t>
      </w:r>
      <w:r w:rsidRPr="00F90D5D">
        <w:rPr>
          <w:lang w:val="en-GB"/>
        </w:rPr>
        <w:t xml:space="preserve"> company to operate in a standalone mode of either brick</w:t>
      </w:r>
      <w:r>
        <w:rPr>
          <w:lang w:val="en-GB"/>
        </w:rPr>
        <w:t>-</w:t>
      </w:r>
      <w:r w:rsidRPr="00F90D5D">
        <w:rPr>
          <w:lang w:val="en-GB"/>
        </w:rPr>
        <w:t>and</w:t>
      </w:r>
      <w:r>
        <w:rPr>
          <w:lang w:val="en-GB"/>
        </w:rPr>
        <w:t>-</w:t>
      </w:r>
      <w:r w:rsidRPr="00F90D5D">
        <w:rPr>
          <w:lang w:val="en-GB"/>
        </w:rPr>
        <w:t xml:space="preserve">mortar </w:t>
      </w:r>
      <w:r>
        <w:rPr>
          <w:lang w:val="en-GB"/>
        </w:rPr>
        <w:t xml:space="preserve">stores </w:t>
      </w:r>
      <w:r w:rsidRPr="00F90D5D">
        <w:rPr>
          <w:lang w:val="en-GB"/>
        </w:rPr>
        <w:t xml:space="preserve">or e-commerce. Building a new Web 2.0 mode integrating the two channels was crucial to exploiting business synergies. </w:t>
      </w:r>
      <w:proofErr w:type="spellStart"/>
      <w:r w:rsidRPr="00F90D5D">
        <w:rPr>
          <w:lang w:val="en-GB"/>
        </w:rPr>
        <w:t>CheChe</w:t>
      </w:r>
      <w:proofErr w:type="spellEnd"/>
      <w:r w:rsidRPr="00F90D5D">
        <w:rPr>
          <w:lang w:val="en-GB"/>
        </w:rPr>
        <w:t xml:space="preserve"> was keen that RSM should be the first to do so in its industry in China</w:t>
      </w:r>
      <w:r>
        <w:rPr>
          <w:lang w:val="en-GB"/>
        </w:rPr>
        <w:t>,</w:t>
      </w:r>
      <w:r w:rsidRPr="00F90D5D">
        <w:rPr>
          <w:lang w:val="en-GB"/>
        </w:rPr>
        <w:t xml:space="preserve"> in </w:t>
      </w:r>
      <w:r>
        <w:rPr>
          <w:lang w:val="en-GB"/>
        </w:rPr>
        <w:t>an effort</w:t>
      </w:r>
      <w:r w:rsidRPr="00F90D5D">
        <w:rPr>
          <w:lang w:val="en-GB"/>
        </w:rPr>
        <w:t xml:space="preserve"> to stay ahead of </w:t>
      </w:r>
      <w:r>
        <w:rPr>
          <w:lang w:val="en-GB"/>
        </w:rPr>
        <w:t xml:space="preserve">its </w:t>
      </w:r>
      <w:r w:rsidRPr="00F90D5D">
        <w:rPr>
          <w:lang w:val="en-GB"/>
        </w:rPr>
        <w:t xml:space="preserve">competitors. </w:t>
      </w:r>
    </w:p>
    <w:p w:rsidR="00500131" w:rsidRPr="00F90D5D" w:rsidRDefault="00500131" w:rsidP="00500131">
      <w:pPr>
        <w:pStyle w:val="BodyTextMain"/>
        <w:rPr>
          <w:rFonts w:eastAsiaTheme="minorEastAsia"/>
          <w:lang w:val="en-GB" w:eastAsia="zh-CN"/>
        </w:rPr>
      </w:pPr>
    </w:p>
    <w:p w:rsidR="00500131" w:rsidRPr="00F90D5D" w:rsidRDefault="00500131" w:rsidP="00500131">
      <w:pPr>
        <w:pStyle w:val="BodyTextMain"/>
        <w:rPr>
          <w:lang w:val="en-GB"/>
        </w:rPr>
      </w:pPr>
      <w:r w:rsidRPr="00F90D5D">
        <w:rPr>
          <w:lang w:val="en-GB"/>
        </w:rPr>
        <w:t>RSM had been listed on the H-</w:t>
      </w:r>
      <w:r>
        <w:rPr>
          <w:lang w:val="en-GB"/>
        </w:rPr>
        <w:t>s</w:t>
      </w:r>
      <w:r w:rsidRPr="00F90D5D">
        <w:rPr>
          <w:lang w:val="en-GB"/>
        </w:rPr>
        <w:t>hare</w:t>
      </w:r>
      <w:r>
        <w:rPr>
          <w:rStyle w:val="FootnoteReference"/>
          <w:lang w:val="en-GB"/>
        </w:rPr>
        <w:footnoteReference w:id="2"/>
      </w:r>
      <w:r w:rsidRPr="00F90D5D">
        <w:rPr>
          <w:lang w:val="en-GB"/>
        </w:rPr>
        <w:t xml:space="preserve"> market in 2015, mobilizing </w:t>
      </w:r>
      <w:r>
        <w:rPr>
          <w:lang w:val="en-GB"/>
        </w:rPr>
        <w:t>¥</w:t>
      </w:r>
      <w:r w:rsidRPr="00F90D5D">
        <w:rPr>
          <w:rFonts w:hint="eastAsia"/>
          <w:lang w:val="en-GB"/>
        </w:rPr>
        <w:t>5.6 billion</w:t>
      </w:r>
      <w:r w:rsidRPr="00F90D5D">
        <w:rPr>
          <w:lang w:val="en-GB"/>
        </w:rPr>
        <w:t>.</w:t>
      </w:r>
      <w:r>
        <w:rPr>
          <w:rStyle w:val="FootnoteReference"/>
          <w:lang w:val="en-GB"/>
        </w:rPr>
        <w:footnoteReference w:id="3"/>
      </w:r>
      <w:r w:rsidRPr="00F90D5D">
        <w:rPr>
          <w:lang w:val="en-GB"/>
        </w:rPr>
        <w:t xml:space="preserve"> In mid-2016,</w:t>
      </w:r>
      <w:r>
        <w:rPr>
          <w:lang w:val="en-GB"/>
        </w:rPr>
        <w:t xml:space="preserve"> </w:t>
      </w:r>
      <w:r w:rsidRPr="00F90D5D">
        <w:rPr>
          <w:lang w:val="en-GB"/>
        </w:rPr>
        <w:t>it announced an initial public offering (</w:t>
      </w:r>
      <w:r w:rsidRPr="00F90D5D">
        <w:rPr>
          <w:rFonts w:hint="eastAsia"/>
          <w:lang w:val="en-GB"/>
        </w:rPr>
        <w:t>IPO</w:t>
      </w:r>
      <w:r w:rsidRPr="00F90D5D">
        <w:rPr>
          <w:lang w:val="en-GB"/>
        </w:rPr>
        <w:t>)</w:t>
      </w:r>
      <w:r>
        <w:rPr>
          <w:lang w:val="en-GB"/>
        </w:rPr>
        <w:t xml:space="preserve"> </w:t>
      </w:r>
      <w:r w:rsidRPr="00F90D5D">
        <w:rPr>
          <w:lang w:val="en-GB"/>
        </w:rPr>
        <w:t>o</w:t>
      </w:r>
      <w:r w:rsidRPr="00F90D5D">
        <w:rPr>
          <w:rFonts w:hint="eastAsia"/>
          <w:lang w:val="en-GB"/>
        </w:rPr>
        <w:t xml:space="preserve">n </w:t>
      </w:r>
      <w:r w:rsidRPr="00F90D5D">
        <w:rPr>
          <w:lang w:val="en-GB"/>
        </w:rPr>
        <w:t xml:space="preserve">the </w:t>
      </w:r>
      <w:r w:rsidRPr="00F90D5D">
        <w:rPr>
          <w:rFonts w:hint="eastAsia"/>
          <w:lang w:val="en-GB"/>
        </w:rPr>
        <w:t>A-</w:t>
      </w:r>
      <w:r>
        <w:rPr>
          <w:lang w:val="en-GB"/>
        </w:rPr>
        <w:t>s</w:t>
      </w:r>
      <w:r w:rsidRPr="00F90D5D">
        <w:rPr>
          <w:rFonts w:hint="eastAsia"/>
          <w:lang w:val="en-GB"/>
        </w:rPr>
        <w:t>hare</w:t>
      </w:r>
      <w:r>
        <w:rPr>
          <w:rStyle w:val="FootnoteReference"/>
          <w:lang w:val="en-GB"/>
        </w:rPr>
        <w:footnoteReference w:id="4"/>
      </w:r>
      <w:r w:rsidRPr="00F90D5D">
        <w:rPr>
          <w:rFonts w:hint="eastAsia"/>
          <w:lang w:val="en-GB"/>
        </w:rPr>
        <w:t xml:space="preserve"> market </w:t>
      </w:r>
      <w:r w:rsidRPr="00F90D5D">
        <w:rPr>
          <w:lang w:val="en-GB"/>
        </w:rPr>
        <w:t xml:space="preserve">to mobilize an additional </w:t>
      </w:r>
      <w:r>
        <w:rPr>
          <w:lang w:val="en-GB"/>
        </w:rPr>
        <w:t>¥</w:t>
      </w:r>
      <w:r w:rsidRPr="00F90D5D">
        <w:rPr>
          <w:rFonts w:hint="eastAsia"/>
          <w:lang w:val="en-GB"/>
        </w:rPr>
        <w:t>3.95 billion</w:t>
      </w:r>
      <w:r w:rsidRPr="00F90D5D">
        <w:rPr>
          <w:lang w:val="en-GB"/>
        </w:rPr>
        <w:t xml:space="preserve">. The company had set aside </w:t>
      </w:r>
      <w:r>
        <w:rPr>
          <w:lang w:val="en-GB"/>
        </w:rPr>
        <w:t>¥</w:t>
      </w:r>
      <w:r w:rsidRPr="00F90D5D">
        <w:rPr>
          <w:lang w:val="en-GB"/>
        </w:rPr>
        <w:t xml:space="preserve">1.45 billion toward the construction of an exhibition mall, </w:t>
      </w:r>
      <w:r>
        <w:rPr>
          <w:lang w:val="en-GB"/>
        </w:rPr>
        <w:t>¥</w:t>
      </w:r>
      <w:r w:rsidRPr="00F90D5D">
        <w:rPr>
          <w:lang w:val="en-GB"/>
        </w:rPr>
        <w:t xml:space="preserve">600 million for the construction of a unified logistics service system, and </w:t>
      </w:r>
      <w:r>
        <w:rPr>
          <w:lang w:val="en-GB"/>
        </w:rPr>
        <w:t>¥</w:t>
      </w:r>
      <w:r w:rsidRPr="00F90D5D">
        <w:rPr>
          <w:lang w:val="en-GB"/>
        </w:rPr>
        <w:t xml:space="preserve">500 million for upgrading </w:t>
      </w:r>
      <w:r>
        <w:rPr>
          <w:lang w:val="en-GB"/>
        </w:rPr>
        <w:t xml:space="preserve">projects to the </w:t>
      </w:r>
      <w:r w:rsidRPr="00F90D5D">
        <w:rPr>
          <w:lang w:val="en-GB"/>
        </w:rPr>
        <w:t xml:space="preserve">O2O platform. </w:t>
      </w:r>
      <w:r>
        <w:rPr>
          <w:lang w:val="en-GB"/>
        </w:rPr>
        <w:t xml:space="preserve">To execute its strategies, RSM </w:t>
      </w:r>
      <w:r w:rsidRPr="00F90D5D">
        <w:rPr>
          <w:lang w:val="en-GB"/>
        </w:rPr>
        <w:t>had also recruited a team of 200 professionals from top Internet companies such as Google and Microsoft. Bin Li (Lao Li)</w:t>
      </w:r>
      <w:r>
        <w:rPr>
          <w:lang w:val="en-GB"/>
        </w:rPr>
        <w:t>,</w:t>
      </w:r>
      <w:r w:rsidRPr="00F90D5D">
        <w:rPr>
          <w:lang w:val="en-GB"/>
        </w:rPr>
        <w:t xml:space="preserve"> the new </w:t>
      </w:r>
      <w:r>
        <w:rPr>
          <w:lang w:val="en-GB"/>
        </w:rPr>
        <w:t>p</w:t>
      </w:r>
      <w:r w:rsidRPr="00F90D5D">
        <w:rPr>
          <w:lang w:val="en-GB"/>
        </w:rPr>
        <w:t>resident of the company</w:t>
      </w:r>
      <w:r>
        <w:rPr>
          <w:lang w:val="en-GB"/>
        </w:rPr>
        <w:t>, was to orchestrate the projects</w:t>
      </w:r>
      <w:r w:rsidRPr="00F90D5D">
        <w:rPr>
          <w:lang w:val="en-GB"/>
        </w:rPr>
        <w:t xml:space="preserve">. Lao Li had </w:t>
      </w:r>
      <w:r>
        <w:rPr>
          <w:lang w:val="en-GB"/>
        </w:rPr>
        <w:t>previously</w:t>
      </w:r>
      <w:r w:rsidRPr="00F90D5D">
        <w:rPr>
          <w:lang w:val="en-GB"/>
        </w:rPr>
        <w:t xml:space="preserve"> worked </w:t>
      </w:r>
      <w:r>
        <w:rPr>
          <w:lang w:val="en-GB"/>
        </w:rPr>
        <w:t>as executive president at</w:t>
      </w:r>
      <w:r w:rsidRPr="00F90D5D">
        <w:rPr>
          <w:lang w:val="en-GB"/>
        </w:rPr>
        <w:t xml:space="preserve"> </w:t>
      </w:r>
      <w:proofErr w:type="spellStart"/>
      <w:r w:rsidRPr="00F90D5D">
        <w:rPr>
          <w:lang w:val="en-GB"/>
        </w:rPr>
        <w:t>Suning</w:t>
      </w:r>
      <w:proofErr w:type="spellEnd"/>
      <w:r w:rsidRPr="00F90D5D">
        <w:rPr>
          <w:lang w:val="en-GB"/>
        </w:rPr>
        <w:t xml:space="preserve"> Commerce Group Co</w:t>
      </w:r>
      <w:r>
        <w:rPr>
          <w:lang w:val="en-GB"/>
        </w:rPr>
        <w:t>.</w:t>
      </w:r>
      <w:r w:rsidRPr="00F90D5D">
        <w:rPr>
          <w:lang w:val="en-GB"/>
        </w:rPr>
        <w:t xml:space="preserve"> Ltd</w:t>
      </w:r>
      <w:r>
        <w:rPr>
          <w:lang w:val="en-GB"/>
        </w:rPr>
        <w:t>.</w:t>
      </w:r>
      <w:r w:rsidRPr="00F90D5D">
        <w:rPr>
          <w:lang w:val="en-GB"/>
        </w:rPr>
        <w:t xml:space="preserve">, a large home appliances retailer in China, </w:t>
      </w:r>
      <w:r>
        <w:rPr>
          <w:lang w:val="en-GB"/>
        </w:rPr>
        <w:t>where he had</w:t>
      </w:r>
      <w:r w:rsidRPr="00F90D5D">
        <w:rPr>
          <w:lang w:val="en-GB"/>
        </w:rPr>
        <w:t xml:space="preserve"> head</w:t>
      </w:r>
      <w:r>
        <w:rPr>
          <w:lang w:val="en-GB"/>
        </w:rPr>
        <w:t>ed</w:t>
      </w:r>
      <w:r w:rsidRPr="00F90D5D">
        <w:rPr>
          <w:lang w:val="en-GB"/>
        </w:rPr>
        <w:t xml:space="preserve"> its O2O project.</w:t>
      </w:r>
    </w:p>
    <w:p w:rsidR="00500131" w:rsidRPr="00F90D5D" w:rsidRDefault="00500131" w:rsidP="00500131">
      <w:pPr>
        <w:pStyle w:val="BodyTextMain"/>
        <w:rPr>
          <w:lang w:val="en-GB"/>
        </w:rPr>
      </w:pPr>
    </w:p>
    <w:p w:rsidR="00500131" w:rsidRPr="00F90D5D" w:rsidRDefault="00500131" w:rsidP="00500131">
      <w:pPr>
        <w:pStyle w:val="BodyTextMain"/>
        <w:rPr>
          <w:lang w:val="en-GB"/>
        </w:rPr>
      </w:pPr>
    </w:p>
    <w:p w:rsidR="00500131" w:rsidRPr="00F90D5D" w:rsidRDefault="00500131" w:rsidP="00500131">
      <w:pPr>
        <w:pStyle w:val="Casehead1"/>
        <w:rPr>
          <w:lang w:val="en-GB"/>
        </w:rPr>
      </w:pPr>
      <w:r>
        <w:rPr>
          <w:lang w:val="en-GB"/>
        </w:rPr>
        <w:t xml:space="preserve">THE </w:t>
      </w:r>
      <w:r w:rsidRPr="00F90D5D">
        <w:rPr>
          <w:lang w:val="en-GB"/>
        </w:rPr>
        <w:t>OMNI-CHANNEL STRATEGY</w:t>
      </w:r>
    </w:p>
    <w:p w:rsidR="00500131" w:rsidRPr="00F90D5D" w:rsidRDefault="00500131" w:rsidP="00500131">
      <w:pPr>
        <w:pStyle w:val="BodyTextMain"/>
        <w:rPr>
          <w:rFonts w:eastAsia="Calibri"/>
          <w:lang w:val="en-GB"/>
        </w:rPr>
      </w:pPr>
    </w:p>
    <w:p w:rsidR="00500131" w:rsidRPr="00F90D5D" w:rsidRDefault="00500131" w:rsidP="00500131">
      <w:pPr>
        <w:pStyle w:val="BodyTextMain"/>
        <w:rPr>
          <w:rFonts w:eastAsia="Calibri"/>
          <w:lang w:val="en-GB"/>
        </w:rPr>
      </w:pPr>
      <w:r w:rsidRPr="00F90D5D">
        <w:rPr>
          <w:rFonts w:eastAsia="Calibri"/>
          <w:lang w:val="en-GB"/>
        </w:rPr>
        <w:t>Historically, retailers displayed their products in brick</w:t>
      </w:r>
      <w:r>
        <w:rPr>
          <w:rFonts w:eastAsia="Calibri"/>
          <w:lang w:val="en-GB"/>
        </w:rPr>
        <w:t>-</w:t>
      </w:r>
      <w:r w:rsidRPr="00F90D5D">
        <w:rPr>
          <w:rFonts w:eastAsia="Calibri"/>
          <w:lang w:val="en-GB"/>
        </w:rPr>
        <w:t>and</w:t>
      </w:r>
      <w:r>
        <w:rPr>
          <w:rFonts w:eastAsia="Calibri"/>
          <w:lang w:val="en-GB"/>
        </w:rPr>
        <w:t>-</w:t>
      </w:r>
      <w:r w:rsidRPr="00F90D5D">
        <w:rPr>
          <w:rFonts w:eastAsia="Calibri"/>
          <w:lang w:val="en-GB"/>
        </w:rPr>
        <w:t>mortar stores</w:t>
      </w:r>
      <w:r>
        <w:rPr>
          <w:rFonts w:eastAsia="Calibri"/>
          <w:lang w:val="en-GB"/>
        </w:rPr>
        <w:t>,</w:t>
      </w:r>
      <w:r w:rsidRPr="00F90D5D">
        <w:rPr>
          <w:rFonts w:eastAsia="Calibri"/>
          <w:lang w:val="en-GB"/>
        </w:rPr>
        <w:t xml:space="preserve"> </w:t>
      </w:r>
      <w:r>
        <w:rPr>
          <w:rFonts w:eastAsia="Calibri"/>
          <w:lang w:val="en-GB"/>
        </w:rPr>
        <w:t>and</w:t>
      </w:r>
      <w:r w:rsidRPr="00F90D5D">
        <w:rPr>
          <w:rFonts w:eastAsia="Calibri"/>
          <w:lang w:val="en-GB"/>
        </w:rPr>
        <w:t xml:space="preserve"> walk-in customers </w:t>
      </w:r>
      <w:r>
        <w:rPr>
          <w:rFonts w:eastAsia="Calibri"/>
          <w:lang w:val="en-GB"/>
        </w:rPr>
        <w:t xml:space="preserve">could examine the products and </w:t>
      </w:r>
      <w:r w:rsidRPr="00F90D5D">
        <w:rPr>
          <w:rFonts w:eastAsia="Calibri"/>
          <w:lang w:val="en-GB"/>
        </w:rPr>
        <w:t xml:space="preserve">buy them. The launch of </w:t>
      </w:r>
      <w:r>
        <w:rPr>
          <w:rFonts w:eastAsia="Calibri"/>
          <w:lang w:val="en-GB"/>
        </w:rPr>
        <w:t xml:space="preserve">the </w:t>
      </w:r>
      <w:r w:rsidRPr="00F90D5D">
        <w:rPr>
          <w:rFonts w:eastAsia="Calibri"/>
          <w:lang w:val="en-GB"/>
        </w:rPr>
        <w:t xml:space="preserve">commercial Internet in 1995 led to </w:t>
      </w:r>
      <w:r>
        <w:rPr>
          <w:rFonts w:eastAsia="Calibri"/>
          <w:lang w:val="en-GB"/>
        </w:rPr>
        <w:t>numerous</w:t>
      </w:r>
      <w:r w:rsidRPr="00F90D5D">
        <w:rPr>
          <w:rFonts w:eastAsia="Calibri"/>
          <w:lang w:val="en-GB"/>
        </w:rPr>
        <w:t xml:space="preserve"> channels </w:t>
      </w:r>
      <w:r>
        <w:rPr>
          <w:rFonts w:eastAsia="Calibri"/>
          <w:lang w:val="en-GB"/>
        </w:rPr>
        <w:t>in addition to</w:t>
      </w:r>
      <w:r w:rsidRPr="00F90D5D">
        <w:rPr>
          <w:rFonts w:eastAsia="Calibri"/>
          <w:lang w:val="en-GB"/>
        </w:rPr>
        <w:t xml:space="preserve"> the physical channel. For example, customers could log on to company websites to buy their products online. They could order through designated kiosks and call cent</w:t>
      </w:r>
      <w:r>
        <w:rPr>
          <w:rFonts w:eastAsia="Calibri"/>
          <w:lang w:val="en-GB"/>
        </w:rPr>
        <w:t>re</w:t>
      </w:r>
      <w:r w:rsidRPr="00F90D5D">
        <w:rPr>
          <w:rFonts w:eastAsia="Calibri"/>
          <w:lang w:val="en-GB"/>
        </w:rPr>
        <w:t>s, and,</w:t>
      </w:r>
      <w:r w:rsidRPr="00F90D5D">
        <w:rPr>
          <w:rFonts w:eastAsiaTheme="minorEastAsia" w:hint="eastAsia"/>
          <w:lang w:val="en-GB" w:eastAsia="zh-CN"/>
        </w:rPr>
        <w:t xml:space="preserve"> </w:t>
      </w:r>
      <w:r w:rsidRPr="00F90D5D">
        <w:rPr>
          <w:rFonts w:eastAsia="Calibri"/>
          <w:lang w:val="en-GB"/>
        </w:rPr>
        <w:t xml:space="preserve">more recently, through social media and mobile devices. </w:t>
      </w:r>
      <w:r>
        <w:rPr>
          <w:rFonts w:eastAsia="Calibri"/>
          <w:lang w:val="en-GB"/>
        </w:rPr>
        <w:t>Also</w:t>
      </w:r>
      <w:r w:rsidRPr="00F90D5D">
        <w:rPr>
          <w:rFonts w:eastAsia="Calibri"/>
          <w:lang w:val="en-GB"/>
        </w:rPr>
        <w:t xml:space="preserve"> launch</w:t>
      </w:r>
      <w:r>
        <w:rPr>
          <w:rFonts w:eastAsia="Calibri"/>
          <w:lang w:val="en-GB"/>
        </w:rPr>
        <w:t>ed were</w:t>
      </w:r>
      <w:r w:rsidRPr="00F90D5D">
        <w:rPr>
          <w:rFonts w:eastAsia="Calibri"/>
          <w:lang w:val="en-GB"/>
        </w:rPr>
        <w:t xml:space="preserve"> online pure-play </w:t>
      </w:r>
      <w:r>
        <w:rPr>
          <w:rFonts w:eastAsia="Calibri"/>
          <w:lang w:val="en-GB"/>
        </w:rPr>
        <w:t xml:space="preserve">companies </w:t>
      </w:r>
      <w:r w:rsidRPr="00F90D5D">
        <w:rPr>
          <w:rFonts w:eastAsia="Calibri"/>
          <w:lang w:val="en-GB"/>
        </w:rPr>
        <w:t xml:space="preserve">in categories </w:t>
      </w:r>
      <w:r>
        <w:rPr>
          <w:rFonts w:eastAsia="Calibri"/>
          <w:lang w:val="en-GB"/>
        </w:rPr>
        <w:t>that</w:t>
      </w:r>
      <w:r w:rsidRPr="00F90D5D">
        <w:rPr>
          <w:rFonts w:eastAsia="Calibri"/>
          <w:lang w:val="en-GB"/>
        </w:rPr>
        <w:t xml:space="preserve"> did not require customers to touch and feel the products before buying</w:t>
      </w:r>
      <w:r>
        <w:rPr>
          <w:rFonts w:eastAsia="Calibri"/>
          <w:lang w:val="en-GB"/>
        </w:rPr>
        <w:t>—for example,</w:t>
      </w:r>
      <w:r w:rsidRPr="00F90D5D">
        <w:rPr>
          <w:rFonts w:eastAsia="Calibri"/>
          <w:lang w:val="en-GB"/>
        </w:rPr>
        <w:t xml:space="preserve"> books, movies, music</w:t>
      </w:r>
      <w:r>
        <w:rPr>
          <w:rFonts w:eastAsia="Calibri"/>
          <w:lang w:val="en-GB"/>
        </w:rPr>
        <w:t>,</w:t>
      </w:r>
      <w:r w:rsidRPr="00F90D5D">
        <w:rPr>
          <w:rFonts w:eastAsia="Calibri"/>
          <w:lang w:val="en-GB"/>
        </w:rPr>
        <w:t xml:space="preserve"> and office supplies.</w:t>
      </w:r>
      <w:r w:rsidRPr="00F90D5D">
        <w:rPr>
          <w:rFonts w:eastAsiaTheme="minorEastAsia" w:hint="eastAsia"/>
          <w:lang w:val="en-GB" w:eastAsia="zh-CN"/>
        </w:rPr>
        <w:t xml:space="preserve"> </w:t>
      </w:r>
      <w:r w:rsidRPr="00F90D5D">
        <w:rPr>
          <w:rFonts w:eastAsia="Calibri"/>
          <w:lang w:val="en-GB"/>
        </w:rPr>
        <w:t xml:space="preserve">Their end prices were lower because the </w:t>
      </w:r>
      <w:r>
        <w:rPr>
          <w:rFonts w:eastAsia="Calibri"/>
          <w:lang w:val="en-GB"/>
        </w:rPr>
        <w:t xml:space="preserve">online </w:t>
      </w:r>
      <w:r w:rsidRPr="00F90D5D">
        <w:rPr>
          <w:rFonts w:eastAsia="Calibri"/>
          <w:lang w:val="en-GB"/>
        </w:rPr>
        <w:t xml:space="preserve">distribution costs were lower. </w:t>
      </w:r>
    </w:p>
    <w:p w:rsidR="00500131" w:rsidRPr="00F90D5D" w:rsidRDefault="00500131" w:rsidP="00500131">
      <w:pPr>
        <w:pStyle w:val="BodyTextMain"/>
        <w:rPr>
          <w:rFonts w:eastAsia="Calibri"/>
          <w:lang w:val="en-GB"/>
        </w:rPr>
      </w:pPr>
    </w:p>
    <w:p w:rsidR="00500131" w:rsidRPr="00F90D5D" w:rsidRDefault="00500131" w:rsidP="00500131">
      <w:pPr>
        <w:pStyle w:val="BodyTextMain"/>
        <w:rPr>
          <w:rFonts w:eastAsia="Calibri"/>
          <w:lang w:val="en-GB"/>
        </w:rPr>
      </w:pPr>
      <w:r w:rsidRPr="00F90D5D">
        <w:rPr>
          <w:rFonts w:eastAsia="Calibri"/>
          <w:lang w:val="en-GB"/>
        </w:rPr>
        <w:t xml:space="preserve">Very soon, two trends </w:t>
      </w:r>
      <w:r>
        <w:rPr>
          <w:rFonts w:eastAsia="Calibri"/>
          <w:lang w:val="en-GB"/>
        </w:rPr>
        <w:t>had</w:t>
      </w:r>
      <w:r w:rsidRPr="00F90D5D">
        <w:rPr>
          <w:rFonts w:eastAsia="Calibri"/>
          <w:lang w:val="en-GB"/>
        </w:rPr>
        <w:t xml:space="preserve"> becom</w:t>
      </w:r>
      <w:r>
        <w:rPr>
          <w:rFonts w:eastAsia="Calibri"/>
          <w:lang w:val="en-GB"/>
        </w:rPr>
        <w:t>e</w:t>
      </w:r>
      <w:r w:rsidRPr="00F90D5D">
        <w:rPr>
          <w:rFonts w:eastAsia="Calibri"/>
          <w:lang w:val="en-GB"/>
        </w:rPr>
        <w:t xml:space="preserve"> evident. One was “showrooming</w:t>
      </w:r>
      <w:r>
        <w:rPr>
          <w:rFonts w:eastAsia="Calibri"/>
          <w:lang w:val="en-GB"/>
        </w:rPr>
        <w:t>,</w:t>
      </w:r>
      <w:r w:rsidRPr="00F90D5D">
        <w:rPr>
          <w:rFonts w:eastAsia="Calibri"/>
          <w:lang w:val="en-GB"/>
        </w:rPr>
        <w:t>”</w:t>
      </w:r>
      <w:r w:rsidRPr="00F90D5D">
        <w:rPr>
          <w:rFonts w:eastAsiaTheme="minorEastAsia" w:hint="eastAsia"/>
          <w:lang w:val="en-GB" w:eastAsia="zh-CN"/>
        </w:rPr>
        <w:t xml:space="preserve"> </w:t>
      </w:r>
      <w:r w:rsidRPr="00F90D5D">
        <w:rPr>
          <w:rFonts w:eastAsia="Calibri"/>
          <w:lang w:val="en-GB"/>
        </w:rPr>
        <w:t xml:space="preserve">wherein customers would </w:t>
      </w:r>
      <w:r>
        <w:rPr>
          <w:rFonts w:eastAsia="Calibri"/>
          <w:lang w:val="en-GB"/>
        </w:rPr>
        <w:t xml:space="preserve">visit a physical store to </w:t>
      </w:r>
      <w:r w:rsidRPr="00F90D5D">
        <w:rPr>
          <w:rFonts w:eastAsia="Calibri"/>
          <w:lang w:val="en-GB"/>
        </w:rPr>
        <w:t>examine merchandise</w:t>
      </w:r>
      <w:r>
        <w:rPr>
          <w:rFonts w:eastAsia="Calibri"/>
          <w:lang w:val="en-GB"/>
        </w:rPr>
        <w:t>,</w:t>
      </w:r>
      <w:r w:rsidRPr="00F90D5D">
        <w:rPr>
          <w:rFonts w:eastAsia="Calibri"/>
          <w:lang w:val="en-GB"/>
        </w:rPr>
        <w:t xml:space="preserve"> </w:t>
      </w:r>
      <w:r>
        <w:rPr>
          <w:rFonts w:eastAsia="Calibri"/>
          <w:lang w:val="en-GB"/>
        </w:rPr>
        <w:t xml:space="preserve">and then make their </w:t>
      </w:r>
      <w:r w:rsidRPr="00F90D5D">
        <w:rPr>
          <w:rFonts w:eastAsia="Calibri"/>
          <w:lang w:val="en-GB"/>
        </w:rPr>
        <w:t xml:space="preserve">purchase online. The other </w:t>
      </w:r>
      <w:r>
        <w:rPr>
          <w:rFonts w:eastAsia="Calibri"/>
          <w:lang w:val="en-GB"/>
        </w:rPr>
        <w:t xml:space="preserve">trend </w:t>
      </w:r>
      <w:r w:rsidRPr="00F90D5D">
        <w:rPr>
          <w:rFonts w:eastAsia="Calibri"/>
          <w:lang w:val="en-GB"/>
        </w:rPr>
        <w:t>was “</w:t>
      </w:r>
      <w:proofErr w:type="spellStart"/>
      <w:r w:rsidRPr="00F90D5D">
        <w:rPr>
          <w:rFonts w:eastAsia="Calibri"/>
          <w:lang w:val="en-GB"/>
        </w:rPr>
        <w:t>webrooming</w:t>
      </w:r>
      <w:proofErr w:type="spellEnd"/>
      <w:r>
        <w:rPr>
          <w:rFonts w:eastAsia="Calibri"/>
          <w:lang w:val="en-GB"/>
        </w:rPr>
        <w:t>,</w:t>
      </w:r>
      <w:r w:rsidRPr="00F90D5D">
        <w:rPr>
          <w:rFonts w:eastAsia="Calibri"/>
          <w:lang w:val="en-GB"/>
        </w:rPr>
        <w:t>” where</w:t>
      </w:r>
      <w:r>
        <w:rPr>
          <w:rFonts w:eastAsia="Calibri"/>
          <w:lang w:val="en-GB"/>
        </w:rPr>
        <w:t>in</w:t>
      </w:r>
      <w:r w:rsidRPr="00F90D5D">
        <w:rPr>
          <w:rFonts w:eastAsia="Calibri"/>
          <w:lang w:val="en-GB"/>
        </w:rPr>
        <w:t xml:space="preserve"> customers would research products online but visit a physical store </w:t>
      </w:r>
      <w:r>
        <w:rPr>
          <w:rFonts w:eastAsia="Calibri"/>
          <w:lang w:val="en-GB"/>
        </w:rPr>
        <w:t>to</w:t>
      </w:r>
      <w:r w:rsidRPr="00F90D5D">
        <w:rPr>
          <w:rFonts w:eastAsia="Calibri"/>
          <w:lang w:val="en-GB"/>
        </w:rPr>
        <w:t xml:space="preserve"> mak</w:t>
      </w:r>
      <w:r>
        <w:rPr>
          <w:rFonts w:eastAsia="Calibri"/>
          <w:lang w:val="en-GB"/>
        </w:rPr>
        <w:t>e</w:t>
      </w:r>
      <w:r w:rsidRPr="00F90D5D">
        <w:rPr>
          <w:rFonts w:eastAsia="Calibri"/>
          <w:lang w:val="en-GB"/>
        </w:rPr>
        <w:t xml:space="preserve"> the</w:t>
      </w:r>
      <w:r>
        <w:rPr>
          <w:rFonts w:eastAsia="Calibri"/>
          <w:lang w:val="en-GB"/>
        </w:rPr>
        <w:t>ir</w:t>
      </w:r>
      <w:r w:rsidRPr="00F90D5D">
        <w:rPr>
          <w:rFonts w:eastAsia="Calibri"/>
          <w:lang w:val="en-GB"/>
        </w:rPr>
        <w:t xml:space="preserve"> purchase. The latter was particularly evident in </w:t>
      </w:r>
      <w:r>
        <w:rPr>
          <w:rFonts w:eastAsia="Calibri"/>
          <w:lang w:val="en-GB"/>
        </w:rPr>
        <w:t xml:space="preserve">such </w:t>
      </w:r>
      <w:r w:rsidRPr="00F90D5D">
        <w:rPr>
          <w:rFonts w:eastAsia="Calibri"/>
          <w:lang w:val="en-GB"/>
        </w:rPr>
        <w:t xml:space="preserve">categories </w:t>
      </w:r>
      <w:r>
        <w:rPr>
          <w:rFonts w:eastAsia="Calibri"/>
          <w:lang w:val="en-GB"/>
        </w:rPr>
        <w:t>as</w:t>
      </w:r>
      <w:r w:rsidRPr="00F90D5D">
        <w:rPr>
          <w:rFonts w:eastAsia="Calibri"/>
          <w:lang w:val="en-GB"/>
        </w:rPr>
        <w:t xml:space="preserve"> shoes, sports equipment, and cosmetics.</w:t>
      </w:r>
      <w:r w:rsidRPr="00F90D5D">
        <w:rPr>
          <w:rFonts w:eastAsiaTheme="minorEastAsia" w:hint="eastAsia"/>
          <w:lang w:val="en-GB" w:eastAsia="zh-CN"/>
        </w:rPr>
        <w:t xml:space="preserve"> </w:t>
      </w:r>
      <w:r w:rsidRPr="00F90D5D">
        <w:rPr>
          <w:rFonts w:eastAsia="Calibri"/>
          <w:lang w:val="en-GB"/>
        </w:rPr>
        <w:t xml:space="preserve">Omni-channel retailing was the result of the convergence of the two ongoing trends. </w:t>
      </w:r>
    </w:p>
    <w:p w:rsidR="00500131" w:rsidRPr="00F90D5D" w:rsidRDefault="00500131" w:rsidP="00500131">
      <w:pPr>
        <w:pStyle w:val="BodyTextMain"/>
        <w:rPr>
          <w:rFonts w:eastAsia="Calibri"/>
          <w:lang w:val="en-GB"/>
        </w:rPr>
      </w:pPr>
    </w:p>
    <w:p w:rsidR="00500131" w:rsidRPr="00F90D5D" w:rsidRDefault="00500131" w:rsidP="00500131">
      <w:pPr>
        <w:pStyle w:val="BodyTextMain"/>
        <w:rPr>
          <w:rFonts w:eastAsia="Calibri"/>
          <w:lang w:val="en-GB"/>
        </w:rPr>
      </w:pPr>
      <w:r w:rsidRPr="00F90D5D">
        <w:rPr>
          <w:rFonts w:eastAsia="Calibri"/>
          <w:lang w:val="en-GB"/>
        </w:rPr>
        <w:t xml:space="preserve">In </w:t>
      </w:r>
      <w:proofErr w:type="spellStart"/>
      <w:r>
        <w:rPr>
          <w:rFonts w:eastAsia="Calibri"/>
          <w:lang w:val="en-GB"/>
        </w:rPr>
        <w:t>o</w:t>
      </w:r>
      <w:r w:rsidRPr="00F90D5D">
        <w:rPr>
          <w:rFonts w:eastAsia="Calibri"/>
          <w:lang w:val="en-GB"/>
        </w:rPr>
        <w:t>mni</w:t>
      </w:r>
      <w:proofErr w:type="spellEnd"/>
      <w:r w:rsidRPr="00F90D5D">
        <w:rPr>
          <w:rFonts w:eastAsia="Calibri"/>
          <w:lang w:val="en-GB"/>
        </w:rPr>
        <w:t>-channel retailing, a customer could switch channels</w:t>
      </w:r>
      <w:r>
        <w:rPr>
          <w:rFonts w:eastAsia="Calibri"/>
          <w:lang w:val="en-GB"/>
        </w:rPr>
        <w:t>—</w:t>
      </w:r>
      <w:r w:rsidRPr="00F90D5D">
        <w:rPr>
          <w:rFonts w:eastAsia="Calibri"/>
          <w:lang w:val="en-GB"/>
        </w:rPr>
        <w:t xml:space="preserve">buy online and pick up in-store, or </w:t>
      </w:r>
      <w:r>
        <w:t>use a mobile device in-store to research a product or make a purchase</w:t>
      </w:r>
      <w:r w:rsidRPr="00F90D5D">
        <w:rPr>
          <w:rFonts w:eastAsia="Calibri"/>
          <w:lang w:val="en-GB"/>
        </w:rPr>
        <w:t xml:space="preserve">, or buy in-store and make a return online. The retailer also </w:t>
      </w:r>
      <w:r>
        <w:rPr>
          <w:rFonts w:eastAsia="Calibri"/>
          <w:lang w:val="en-GB"/>
        </w:rPr>
        <w:t>gained</w:t>
      </w:r>
      <w:r w:rsidRPr="00F90D5D">
        <w:rPr>
          <w:rFonts w:eastAsia="Calibri"/>
          <w:lang w:val="en-GB"/>
        </w:rPr>
        <w:t xml:space="preserve"> a 360-degree view of a customer’s purchases across all channels. Two </w:t>
      </w:r>
      <w:r>
        <w:rPr>
          <w:rFonts w:eastAsia="Calibri"/>
          <w:lang w:val="en-GB"/>
        </w:rPr>
        <w:t xml:space="preserve">retailer </w:t>
      </w:r>
      <w:r w:rsidRPr="00F90D5D">
        <w:rPr>
          <w:rFonts w:eastAsia="Calibri"/>
          <w:lang w:val="en-GB"/>
        </w:rPr>
        <w:t xml:space="preserve">capabilities were thus crucial to the success of </w:t>
      </w:r>
      <w:proofErr w:type="spellStart"/>
      <w:r>
        <w:rPr>
          <w:rFonts w:eastAsia="Calibri"/>
          <w:lang w:val="en-GB"/>
        </w:rPr>
        <w:t>o</w:t>
      </w:r>
      <w:r w:rsidRPr="00F90D5D">
        <w:rPr>
          <w:rFonts w:eastAsia="Calibri"/>
          <w:lang w:val="en-GB"/>
        </w:rPr>
        <w:t>mni</w:t>
      </w:r>
      <w:proofErr w:type="spellEnd"/>
      <w:r w:rsidRPr="00F90D5D">
        <w:rPr>
          <w:rFonts w:eastAsia="Calibri"/>
          <w:lang w:val="en-GB"/>
        </w:rPr>
        <w:t>-channel retailing</w:t>
      </w:r>
      <w:r>
        <w:rPr>
          <w:rFonts w:eastAsia="Calibri"/>
          <w:lang w:val="en-GB"/>
        </w:rPr>
        <w:t>:</w:t>
      </w:r>
      <w:r w:rsidRPr="00F90D5D">
        <w:rPr>
          <w:rFonts w:eastAsia="Calibri"/>
          <w:lang w:val="en-GB"/>
        </w:rPr>
        <w:t xml:space="preserve"> enabling the customer to order online and pick up in-store; and </w:t>
      </w:r>
      <w:r>
        <w:rPr>
          <w:rFonts w:eastAsia="Calibri"/>
          <w:lang w:val="en-GB"/>
        </w:rPr>
        <w:t xml:space="preserve">enabling the customer </w:t>
      </w:r>
      <w:r w:rsidRPr="00F90D5D">
        <w:rPr>
          <w:rFonts w:eastAsia="Calibri"/>
          <w:lang w:val="en-GB"/>
        </w:rPr>
        <w:t xml:space="preserve">to buy in-store and return online. </w:t>
      </w:r>
      <w:r>
        <w:rPr>
          <w:rFonts w:eastAsia="Calibri"/>
          <w:lang w:val="en-GB"/>
        </w:rPr>
        <w:t>I</w:t>
      </w:r>
      <w:r w:rsidRPr="00F90D5D">
        <w:rPr>
          <w:rFonts w:eastAsia="Calibri"/>
          <w:lang w:val="en-GB"/>
        </w:rPr>
        <w:t>n building those capabilities</w:t>
      </w:r>
      <w:r>
        <w:rPr>
          <w:rFonts w:eastAsia="Calibri"/>
          <w:lang w:val="en-GB"/>
        </w:rPr>
        <w:t>,</w:t>
      </w:r>
      <w:r w:rsidRPr="00F90D5D">
        <w:rPr>
          <w:rFonts w:eastAsia="Calibri"/>
          <w:lang w:val="en-GB"/>
        </w:rPr>
        <w:t xml:space="preserve"> technology came into play. </w:t>
      </w:r>
    </w:p>
    <w:p w:rsidR="00500131" w:rsidRPr="00F90D5D" w:rsidRDefault="00500131" w:rsidP="00500131">
      <w:pPr>
        <w:pStyle w:val="BodyTextMain"/>
        <w:rPr>
          <w:rFonts w:eastAsia="Calibri"/>
          <w:lang w:val="en-GB"/>
        </w:rPr>
      </w:pPr>
    </w:p>
    <w:p w:rsidR="00500131" w:rsidRPr="00F90D5D" w:rsidRDefault="00500131" w:rsidP="00500131">
      <w:pPr>
        <w:pStyle w:val="BodyTextMain"/>
        <w:rPr>
          <w:bCs/>
          <w:iCs/>
          <w:lang w:val="en-GB"/>
        </w:rPr>
      </w:pPr>
      <w:r w:rsidRPr="00F90D5D">
        <w:rPr>
          <w:rFonts w:eastAsia="Calibri"/>
          <w:lang w:val="en-GB"/>
        </w:rPr>
        <w:t>Online retailers were establishing what were known as “storefronts”</w:t>
      </w:r>
      <w:r w:rsidRPr="00F90D5D">
        <w:rPr>
          <w:rFonts w:eastAsiaTheme="minorEastAsia" w:hint="eastAsia"/>
          <w:lang w:val="en-GB" w:eastAsia="zh-CN"/>
        </w:rPr>
        <w:t xml:space="preserve"> </w:t>
      </w:r>
      <w:r w:rsidRPr="00F90D5D">
        <w:rPr>
          <w:rFonts w:eastAsia="Calibri"/>
          <w:lang w:val="en-GB"/>
        </w:rPr>
        <w:t xml:space="preserve">in </w:t>
      </w:r>
      <w:r>
        <w:rPr>
          <w:rFonts w:eastAsia="Calibri"/>
          <w:lang w:val="en-GB"/>
        </w:rPr>
        <w:t>their attempts</w:t>
      </w:r>
      <w:r w:rsidRPr="00F90D5D">
        <w:rPr>
          <w:rFonts w:eastAsia="Calibri"/>
          <w:lang w:val="en-GB"/>
        </w:rPr>
        <w:t xml:space="preserve"> to build customer relationships, engage in real</w:t>
      </w:r>
      <w:r>
        <w:rPr>
          <w:rFonts w:eastAsia="Calibri"/>
          <w:lang w:val="en-GB"/>
        </w:rPr>
        <w:t>-</w:t>
      </w:r>
      <w:r w:rsidRPr="00F90D5D">
        <w:rPr>
          <w:rFonts w:eastAsia="Calibri"/>
          <w:lang w:val="en-GB"/>
        </w:rPr>
        <w:t>time market research</w:t>
      </w:r>
      <w:r>
        <w:rPr>
          <w:rFonts w:eastAsia="Calibri"/>
          <w:lang w:val="en-GB"/>
        </w:rPr>
        <w:t>,</w:t>
      </w:r>
      <w:r w:rsidRPr="00F90D5D">
        <w:rPr>
          <w:rFonts w:eastAsia="Calibri"/>
          <w:lang w:val="en-GB"/>
        </w:rPr>
        <w:t xml:space="preserve"> and provide hands-on assistance to those wary of shopping online. The</w:t>
      </w:r>
      <w:r>
        <w:rPr>
          <w:rFonts w:eastAsia="Calibri"/>
          <w:lang w:val="en-GB"/>
        </w:rPr>
        <w:t>se retailers</w:t>
      </w:r>
      <w:r w:rsidRPr="00F90D5D">
        <w:rPr>
          <w:rFonts w:eastAsia="Calibri"/>
          <w:lang w:val="en-GB"/>
        </w:rPr>
        <w:t xml:space="preserve"> saw a storefront not just as a store but </w:t>
      </w:r>
      <w:r>
        <w:rPr>
          <w:rFonts w:eastAsia="Calibri"/>
          <w:lang w:val="en-GB"/>
        </w:rPr>
        <w:t xml:space="preserve">also as </w:t>
      </w:r>
      <w:r w:rsidRPr="00F90D5D">
        <w:rPr>
          <w:rFonts w:eastAsia="Calibri"/>
          <w:lang w:val="en-GB"/>
        </w:rPr>
        <w:t>a space where opinions, reviews, social media, and technology combined to create “connections.”</w:t>
      </w:r>
      <w:r>
        <w:rPr>
          <w:rFonts w:eastAsia="Calibri"/>
          <w:lang w:val="en-GB"/>
        </w:rPr>
        <w:t xml:space="preserve"> </w:t>
      </w:r>
      <w:r w:rsidRPr="00F90D5D">
        <w:rPr>
          <w:rFonts w:eastAsia="Calibri"/>
          <w:lang w:val="en-GB"/>
        </w:rPr>
        <w:t xml:space="preserve">A storefront was particularly </w:t>
      </w:r>
      <w:r w:rsidRPr="00F90D5D">
        <w:rPr>
          <w:rFonts w:eastAsia="Calibri"/>
          <w:lang w:val="en-GB"/>
        </w:rPr>
        <w:lastRenderedPageBreak/>
        <w:t xml:space="preserve">relevant for products where </w:t>
      </w:r>
      <w:r>
        <w:rPr>
          <w:rFonts w:eastAsia="Calibri"/>
          <w:lang w:val="en-GB"/>
        </w:rPr>
        <w:t xml:space="preserve">the </w:t>
      </w:r>
      <w:r w:rsidRPr="00F90D5D">
        <w:rPr>
          <w:rFonts w:eastAsia="Calibri"/>
          <w:lang w:val="en-GB"/>
        </w:rPr>
        <w:t xml:space="preserve">customer experience associated with touch and feel were crucial to closing the sale. </w:t>
      </w:r>
      <w:r w:rsidRPr="00F90D5D">
        <w:rPr>
          <w:bCs/>
          <w:iCs/>
          <w:lang w:val="en-GB"/>
        </w:rPr>
        <w:t xml:space="preserve">Said </w:t>
      </w:r>
      <w:proofErr w:type="spellStart"/>
      <w:r w:rsidRPr="00F90D5D">
        <w:rPr>
          <w:bCs/>
          <w:iCs/>
          <w:lang w:val="en-GB"/>
        </w:rPr>
        <w:t>CheChe</w:t>
      </w:r>
      <w:proofErr w:type="spellEnd"/>
      <w:r w:rsidRPr="00F90D5D">
        <w:rPr>
          <w:bCs/>
          <w:iCs/>
          <w:lang w:val="en-GB"/>
        </w:rPr>
        <w:t>:</w:t>
      </w:r>
    </w:p>
    <w:p w:rsidR="00500131" w:rsidRPr="00F90D5D" w:rsidRDefault="00500131" w:rsidP="00500131">
      <w:pPr>
        <w:rPr>
          <w:bCs/>
          <w:iCs/>
          <w:sz w:val="22"/>
          <w:szCs w:val="22"/>
          <w:lang w:val="en-GB"/>
        </w:rPr>
      </w:pPr>
    </w:p>
    <w:p w:rsidR="00500131" w:rsidRPr="00F90D5D" w:rsidRDefault="00500131" w:rsidP="00500131">
      <w:pPr>
        <w:pStyle w:val="BodyTextMain"/>
        <w:ind w:left="720"/>
        <w:rPr>
          <w:lang w:val="en-GB"/>
        </w:rPr>
      </w:pPr>
      <w:r w:rsidRPr="00F90D5D">
        <w:rPr>
          <w:lang w:val="en-GB"/>
        </w:rPr>
        <w:t xml:space="preserve">The proposed </w:t>
      </w:r>
      <w:proofErr w:type="spellStart"/>
      <w:r>
        <w:rPr>
          <w:lang w:val="en-GB"/>
        </w:rPr>
        <w:t>o</w:t>
      </w:r>
      <w:r w:rsidRPr="00F90D5D">
        <w:rPr>
          <w:lang w:val="en-GB"/>
        </w:rPr>
        <w:t>mni</w:t>
      </w:r>
      <w:proofErr w:type="spellEnd"/>
      <w:r w:rsidRPr="00F90D5D">
        <w:rPr>
          <w:lang w:val="en-GB"/>
        </w:rPr>
        <w:t>-channel platform will allow our customers to view design scenes for their home interior ideas, examine</w:t>
      </w:r>
      <w:r w:rsidRPr="00F90D5D">
        <w:rPr>
          <w:rFonts w:eastAsiaTheme="minorEastAsia" w:hint="eastAsia"/>
          <w:lang w:val="en-GB" w:eastAsia="zh-CN"/>
        </w:rPr>
        <w:t xml:space="preserve"> </w:t>
      </w:r>
      <w:r w:rsidRPr="00F90D5D">
        <w:rPr>
          <w:rFonts w:eastAsia="SimSun" w:hint="eastAsia"/>
          <w:lang w:val="en-GB" w:eastAsia="zh-CN"/>
        </w:rPr>
        <w:t xml:space="preserve">the products </w:t>
      </w:r>
      <w:r w:rsidRPr="00F90D5D">
        <w:rPr>
          <w:rFonts w:eastAsia="SimSun"/>
          <w:lang w:val="en-GB" w:eastAsia="zh-CN"/>
        </w:rPr>
        <w:t>of their choice</w:t>
      </w:r>
      <w:r w:rsidRPr="00F90D5D">
        <w:rPr>
          <w:rFonts w:eastAsia="SimSun" w:hint="eastAsia"/>
          <w:lang w:val="en-GB" w:eastAsia="zh-CN"/>
        </w:rPr>
        <w:t xml:space="preserve">, </w:t>
      </w:r>
      <w:r w:rsidRPr="00F90D5D">
        <w:rPr>
          <w:lang w:val="en-GB"/>
        </w:rPr>
        <w:t xml:space="preserve">write reviews, save and share images with family and friends, and purchase those products online. It will provide our tenants with an additional point of contact with potential customers. It will enhance our customer stickiness and increase their conversion rate, resulting in higher gross sales at our shopping malls. The first-hand consumer data collected through the </w:t>
      </w:r>
      <w:proofErr w:type="spellStart"/>
      <w:r>
        <w:rPr>
          <w:lang w:val="en-GB"/>
        </w:rPr>
        <w:t>o</w:t>
      </w:r>
      <w:r w:rsidRPr="00F90D5D">
        <w:rPr>
          <w:lang w:val="en-GB"/>
        </w:rPr>
        <w:t>mni</w:t>
      </w:r>
      <w:proofErr w:type="spellEnd"/>
      <w:r w:rsidRPr="00F90D5D">
        <w:rPr>
          <w:lang w:val="en-GB"/>
        </w:rPr>
        <w:t xml:space="preserve">-channel platform further improves our data pool for analysis </w:t>
      </w:r>
      <w:r>
        <w:rPr>
          <w:lang w:val="en-GB"/>
        </w:rPr>
        <w:t xml:space="preserve">of </w:t>
      </w:r>
      <w:r w:rsidRPr="00F90D5D">
        <w:rPr>
          <w:lang w:val="en-GB"/>
        </w:rPr>
        <w:t>and research o</w:t>
      </w:r>
      <w:r>
        <w:rPr>
          <w:lang w:val="en-GB"/>
        </w:rPr>
        <w:t>n</w:t>
      </w:r>
      <w:r w:rsidRPr="00F90D5D">
        <w:rPr>
          <w:lang w:val="en-GB"/>
        </w:rPr>
        <w:t xml:space="preserve"> customer tastes and industry trends, providing us and our tenants with valuable market intelligence.</w:t>
      </w:r>
    </w:p>
    <w:p w:rsidR="00500131" w:rsidRPr="00F90D5D" w:rsidRDefault="00500131" w:rsidP="00500131">
      <w:pPr>
        <w:pStyle w:val="BodyTextMain"/>
        <w:rPr>
          <w:lang w:val="en-GB"/>
        </w:rPr>
      </w:pPr>
    </w:p>
    <w:p w:rsidR="00500131" w:rsidRPr="00F90D5D" w:rsidRDefault="00500131" w:rsidP="00500131">
      <w:pPr>
        <w:pStyle w:val="BodyTextMain"/>
        <w:rPr>
          <w:lang w:val="en-GB"/>
        </w:rPr>
      </w:pPr>
    </w:p>
    <w:p w:rsidR="00500131" w:rsidRPr="00F90D5D" w:rsidRDefault="00500131" w:rsidP="00500131">
      <w:pPr>
        <w:pStyle w:val="Casehead1"/>
        <w:rPr>
          <w:rFonts w:eastAsiaTheme="minorEastAsia"/>
          <w:lang w:val="en-GB" w:eastAsia="zh-CN"/>
        </w:rPr>
      </w:pPr>
      <w:r>
        <w:rPr>
          <w:lang w:val="en-GB"/>
        </w:rPr>
        <w:t xml:space="preserve">The </w:t>
      </w:r>
      <w:r w:rsidRPr="00F90D5D">
        <w:rPr>
          <w:lang w:val="en-GB"/>
        </w:rPr>
        <w:t xml:space="preserve">HOME IMPROVEMENT AND </w:t>
      </w:r>
      <w:r>
        <w:rPr>
          <w:lang w:val="en-GB"/>
        </w:rPr>
        <w:t xml:space="preserve">HOme </w:t>
      </w:r>
      <w:r w:rsidRPr="00F90D5D">
        <w:rPr>
          <w:lang w:val="en-GB"/>
        </w:rPr>
        <w:t>FURNISHINGS INDUSTRY</w:t>
      </w:r>
      <w:r>
        <w:rPr>
          <w:lang w:val="en-GB"/>
        </w:rPr>
        <w:t xml:space="preserve"> in china</w:t>
      </w:r>
    </w:p>
    <w:p w:rsidR="00500131" w:rsidRPr="00F90D5D" w:rsidRDefault="00500131" w:rsidP="00500131">
      <w:pPr>
        <w:pStyle w:val="BodyTextMain"/>
        <w:rPr>
          <w:rStyle w:val="A15"/>
          <w:rFonts w:ascii="Times New Roman" w:eastAsiaTheme="minorEastAsia" w:hAnsi="Times New Roman" w:cs="Times New Roman"/>
          <w:color w:val="auto"/>
          <w:sz w:val="22"/>
          <w:szCs w:val="22"/>
          <w:lang w:val="en-GB" w:eastAsia="zh-CN"/>
        </w:rPr>
      </w:pPr>
    </w:p>
    <w:p w:rsidR="00500131" w:rsidRPr="00F90D5D" w:rsidRDefault="00500131" w:rsidP="00500131">
      <w:pPr>
        <w:pStyle w:val="BodyTextMain"/>
        <w:rPr>
          <w:rStyle w:val="A15"/>
          <w:rFonts w:ascii="Times New Roman" w:eastAsiaTheme="majorEastAsia" w:hAnsi="Times New Roman" w:cs="Times New Roman"/>
          <w:color w:val="auto"/>
          <w:sz w:val="22"/>
          <w:szCs w:val="22"/>
          <w:lang w:val="en-GB"/>
        </w:rPr>
      </w:pPr>
      <w:r>
        <w:rPr>
          <w:rStyle w:val="A15"/>
          <w:rFonts w:ascii="Times New Roman" w:eastAsiaTheme="majorEastAsia" w:hAnsi="Times New Roman" w:cs="Times New Roman"/>
          <w:color w:val="auto"/>
          <w:sz w:val="22"/>
          <w:szCs w:val="22"/>
          <w:lang w:val="en-GB"/>
        </w:rPr>
        <w:t>China’s</w:t>
      </w:r>
      <w:r w:rsidRPr="00F90D5D">
        <w:rPr>
          <w:rStyle w:val="A15"/>
          <w:rFonts w:ascii="Times New Roman" w:eastAsiaTheme="majorEastAsia" w:hAnsi="Times New Roman" w:cs="Times New Roman"/>
          <w:color w:val="auto"/>
          <w:sz w:val="22"/>
          <w:szCs w:val="22"/>
          <w:lang w:val="en-GB"/>
        </w:rPr>
        <w:t xml:space="preserve"> home improvement and </w:t>
      </w:r>
      <w:r>
        <w:rPr>
          <w:rStyle w:val="A15"/>
          <w:rFonts w:ascii="Times New Roman" w:eastAsiaTheme="majorEastAsia" w:hAnsi="Times New Roman" w:cs="Times New Roman"/>
          <w:color w:val="auto"/>
          <w:sz w:val="22"/>
          <w:szCs w:val="22"/>
          <w:lang w:val="en-GB"/>
        </w:rPr>
        <w:t xml:space="preserve">home </w:t>
      </w:r>
      <w:r w:rsidRPr="00F90D5D">
        <w:rPr>
          <w:rStyle w:val="A15"/>
          <w:rFonts w:ascii="Times New Roman" w:eastAsiaTheme="majorEastAsia" w:hAnsi="Times New Roman" w:cs="Times New Roman"/>
          <w:color w:val="auto"/>
          <w:sz w:val="22"/>
          <w:szCs w:val="22"/>
          <w:lang w:val="en-GB"/>
        </w:rPr>
        <w:t xml:space="preserve">furnishings industry had recorded sales revenue of </w:t>
      </w:r>
      <w:r>
        <w:rPr>
          <w:lang w:val="en-GB"/>
        </w:rPr>
        <w:t>¥</w:t>
      </w:r>
      <w:r w:rsidRPr="00F90D5D">
        <w:rPr>
          <w:rStyle w:val="A15"/>
          <w:rFonts w:ascii="Times New Roman" w:eastAsiaTheme="minorEastAsia" w:hAnsi="Times New Roman" w:cs="Times New Roman" w:hint="eastAsia"/>
          <w:color w:val="auto"/>
          <w:sz w:val="22"/>
          <w:szCs w:val="22"/>
          <w:lang w:val="en-GB" w:eastAsia="zh-CN"/>
        </w:rPr>
        <w:t>3,704.1</w:t>
      </w:r>
      <w:r w:rsidRPr="00F90D5D">
        <w:rPr>
          <w:rStyle w:val="A15"/>
          <w:rFonts w:ascii="Times New Roman" w:eastAsiaTheme="majorEastAsia" w:hAnsi="Times New Roman" w:cs="Times New Roman"/>
          <w:color w:val="auto"/>
          <w:sz w:val="22"/>
          <w:szCs w:val="22"/>
          <w:lang w:val="en-GB"/>
        </w:rPr>
        <w:t xml:space="preserve"> billion in 201</w:t>
      </w:r>
      <w:r w:rsidRPr="00F90D5D">
        <w:rPr>
          <w:rStyle w:val="A15"/>
          <w:rFonts w:ascii="Times New Roman" w:eastAsiaTheme="minorEastAsia" w:hAnsi="Times New Roman" w:cs="Times New Roman" w:hint="eastAsia"/>
          <w:color w:val="auto"/>
          <w:sz w:val="22"/>
          <w:szCs w:val="22"/>
          <w:lang w:val="en-GB" w:eastAsia="zh-CN"/>
        </w:rPr>
        <w:t>5</w:t>
      </w:r>
      <w:r w:rsidRPr="00F90D5D">
        <w:rPr>
          <w:rStyle w:val="A15"/>
          <w:rFonts w:ascii="Times New Roman" w:eastAsiaTheme="majorEastAsia" w:hAnsi="Times New Roman" w:cs="Times New Roman"/>
          <w:color w:val="auto"/>
          <w:sz w:val="22"/>
          <w:szCs w:val="22"/>
          <w:lang w:val="en-GB"/>
        </w:rPr>
        <w:t>. It was forecast to grow at a compound annual growth rate (CAGR) of 10 per cent over the next five years.</w:t>
      </w:r>
      <w:r w:rsidRPr="00F90D5D">
        <w:rPr>
          <w:rStyle w:val="FootnoteReference"/>
          <w:lang w:val="en-GB"/>
        </w:rPr>
        <w:footnoteReference w:id="5"/>
      </w:r>
    </w:p>
    <w:p w:rsidR="00500131" w:rsidRPr="00F90D5D" w:rsidRDefault="00500131" w:rsidP="00500131">
      <w:pPr>
        <w:pStyle w:val="BodyTextMain"/>
        <w:rPr>
          <w:rStyle w:val="A15"/>
          <w:rFonts w:ascii="Times New Roman" w:eastAsiaTheme="majorEastAsia" w:hAnsi="Times New Roman" w:cs="Times New Roman"/>
          <w:color w:val="auto"/>
          <w:sz w:val="22"/>
          <w:szCs w:val="22"/>
          <w:lang w:val="en-GB"/>
        </w:rPr>
      </w:pPr>
    </w:p>
    <w:p w:rsidR="00500131" w:rsidRPr="00F90D5D" w:rsidRDefault="00500131" w:rsidP="00500131">
      <w:pPr>
        <w:pStyle w:val="BodyTextMain"/>
        <w:rPr>
          <w:rStyle w:val="A15"/>
          <w:rFonts w:ascii="Times New Roman" w:eastAsiaTheme="minorEastAsia" w:hAnsi="Times New Roman" w:cs="Times New Roman"/>
          <w:color w:val="auto"/>
          <w:sz w:val="22"/>
          <w:szCs w:val="22"/>
          <w:lang w:val="en-GB" w:eastAsia="zh-CN"/>
        </w:rPr>
      </w:pPr>
      <w:r w:rsidRPr="00F90D5D">
        <w:rPr>
          <w:rStyle w:val="A15"/>
          <w:rFonts w:ascii="Times New Roman" w:eastAsiaTheme="majorEastAsia" w:hAnsi="Times New Roman" w:cs="Times New Roman"/>
          <w:color w:val="auto"/>
          <w:sz w:val="22"/>
          <w:szCs w:val="22"/>
          <w:lang w:val="en-GB"/>
        </w:rPr>
        <w:t>The growth was being driven by four factors. First, urban per capita disposable income</w:t>
      </w:r>
      <w:r w:rsidRPr="00F90D5D">
        <w:rPr>
          <w:rStyle w:val="A15"/>
          <w:rFonts w:ascii="Times New Roman" w:eastAsiaTheme="minorEastAsia" w:hAnsi="Times New Roman" w:cs="Times New Roman" w:hint="eastAsia"/>
          <w:color w:val="auto"/>
          <w:sz w:val="22"/>
          <w:szCs w:val="22"/>
          <w:lang w:val="en-GB" w:eastAsia="zh-CN"/>
        </w:rPr>
        <w:t>s</w:t>
      </w:r>
      <w:r w:rsidRPr="00F90D5D">
        <w:rPr>
          <w:rStyle w:val="A15"/>
          <w:rFonts w:ascii="Times New Roman" w:eastAsiaTheme="majorEastAsia" w:hAnsi="Times New Roman" w:cs="Times New Roman"/>
          <w:color w:val="auto"/>
          <w:sz w:val="22"/>
          <w:szCs w:val="22"/>
          <w:lang w:val="en-GB"/>
        </w:rPr>
        <w:t xml:space="preserve"> were rising in China</w:t>
      </w:r>
      <w:r>
        <w:rPr>
          <w:rStyle w:val="A15"/>
          <w:rFonts w:ascii="Times New Roman" w:eastAsiaTheme="majorEastAsia" w:hAnsi="Times New Roman" w:cs="Times New Roman"/>
          <w:color w:val="auto"/>
          <w:sz w:val="22"/>
          <w:szCs w:val="22"/>
          <w:lang w:val="en-GB"/>
        </w:rPr>
        <w:t>—having increased</w:t>
      </w:r>
      <w:r w:rsidRPr="00F90D5D">
        <w:rPr>
          <w:rStyle w:val="A15"/>
          <w:rFonts w:ascii="Times New Roman" w:eastAsiaTheme="majorEastAsia" w:hAnsi="Times New Roman" w:cs="Times New Roman"/>
          <w:color w:val="auto"/>
          <w:sz w:val="22"/>
          <w:szCs w:val="22"/>
          <w:lang w:val="en-GB"/>
        </w:rPr>
        <w:t xml:space="preserve"> </w:t>
      </w:r>
      <w:r w:rsidRPr="00F90D5D">
        <w:rPr>
          <w:rStyle w:val="A15"/>
          <w:rFonts w:ascii="Times New Roman" w:eastAsiaTheme="minorEastAsia" w:hAnsi="Times New Roman" w:cs="Times New Roman" w:hint="eastAsia"/>
          <w:color w:val="auto"/>
          <w:sz w:val="22"/>
          <w:szCs w:val="22"/>
          <w:lang w:val="en-GB" w:eastAsia="zh-CN"/>
        </w:rPr>
        <w:t>at a CAGR of</w:t>
      </w:r>
      <w:r w:rsidRPr="00F90D5D">
        <w:rPr>
          <w:rStyle w:val="A15"/>
          <w:rFonts w:ascii="Times New Roman" w:eastAsiaTheme="majorEastAsia" w:hAnsi="Times New Roman" w:cs="Times New Roman"/>
          <w:color w:val="auto"/>
          <w:sz w:val="22"/>
          <w:szCs w:val="22"/>
          <w:lang w:val="en-GB"/>
        </w:rPr>
        <w:t xml:space="preserve"> </w:t>
      </w:r>
      <w:r w:rsidRPr="00F90D5D">
        <w:rPr>
          <w:rStyle w:val="A15"/>
          <w:rFonts w:ascii="Times New Roman" w:eastAsiaTheme="minorEastAsia" w:hAnsi="Times New Roman" w:cs="Times New Roman" w:hint="eastAsia"/>
          <w:color w:val="auto"/>
          <w:sz w:val="22"/>
          <w:szCs w:val="22"/>
          <w:lang w:val="en-GB" w:eastAsia="zh-CN"/>
        </w:rPr>
        <w:t>10.3</w:t>
      </w:r>
      <w:r w:rsidRPr="00F90D5D">
        <w:rPr>
          <w:rStyle w:val="A15"/>
          <w:rFonts w:ascii="Times New Roman" w:eastAsiaTheme="majorEastAsia" w:hAnsi="Times New Roman" w:cs="Times New Roman"/>
          <w:color w:val="auto"/>
          <w:sz w:val="22"/>
          <w:szCs w:val="22"/>
          <w:lang w:val="en-GB"/>
        </w:rPr>
        <w:t xml:space="preserve"> per cent during the period </w:t>
      </w:r>
      <w:r w:rsidRPr="00F90D5D">
        <w:rPr>
          <w:rStyle w:val="A15"/>
          <w:rFonts w:ascii="Times New Roman" w:eastAsiaTheme="minorEastAsia" w:hAnsi="Times New Roman" w:cs="Times New Roman" w:hint="eastAsia"/>
          <w:color w:val="auto"/>
          <w:sz w:val="22"/>
          <w:szCs w:val="22"/>
          <w:lang w:val="en-GB" w:eastAsia="zh-CN"/>
        </w:rPr>
        <w:t>2010</w:t>
      </w:r>
      <w:r w:rsidRPr="00F90D5D">
        <w:rPr>
          <w:rStyle w:val="A15"/>
          <w:rFonts w:ascii="Times New Roman" w:eastAsiaTheme="majorEastAsia" w:hAnsi="Times New Roman" w:cs="Times New Roman"/>
          <w:color w:val="auto"/>
          <w:sz w:val="22"/>
          <w:szCs w:val="22"/>
          <w:lang w:val="en-GB"/>
        </w:rPr>
        <w:t xml:space="preserve"> to </w:t>
      </w:r>
      <w:r w:rsidRPr="00F90D5D">
        <w:rPr>
          <w:rStyle w:val="A15"/>
          <w:rFonts w:ascii="Times New Roman" w:eastAsiaTheme="minorEastAsia" w:hAnsi="Times New Roman" w:cs="Times New Roman" w:hint="eastAsia"/>
          <w:color w:val="auto"/>
          <w:sz w:val="22"/>
          <w:szCs w:val="22"/>
          <w:lang w:val="en-GB" w:eastAsia="zh-CN"/>
        </w:rPr>
        <w:t>2015</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 xml:space="preserve">leading to individual families </w:t>
      </w:r>
      <w:r>
        <w:rPr>
          <w:rStyle w:val="A15"/>
          <w:rFonts w:ascii="Times New Roman" w:eastAsiaTheme="majorEastAsia" w:hAnsi="Times New Roman" w:cs="Times New Roman"/>
          <w:color w:val="auto"/>
          <w:sz w:val="22"/>
          <w:szCs w:val="22"/>
          <w:lang w:val="en-GB"/>
        </w:rPr>
        <w:t>demanding</w:t>
      </w:r>
      <w:r w:rsidRPr="00F90D5D">
        <w:rPr>
          <w:rStyle w:val="A15"/>
          <w:rFonts w:ascii="Times New Roman" w:eastAsiaTheme="majorEastAsia" w:hAnsi="Times New Roman" w:cs="Times New Roman"/>
          <w:color w:val="auto"/>
          <w:sz w:val="22"/>
          <w:szCs w:val="22"/>
          <w:lang w:val="en-GB"/>
        </w:rPr>
        <w:t xml:space="preserve"> larger and well-furnished living spaces.</w:t>
      </w:r>
      <w:r w:rsidRPr="00F90D5D">
        <w:rPr>
          <w:rStyle w:val="FootnoteReference"/>
          <w:lang w:val="en-GB"/>
        </w:rPr>
        <w:footnoteReference w:id="6"/>
      </w:r>
      <w:r w:rsidRPr="00F90D5D">
        <w:rPr>
          <w:rStyle w:val="A15"/>
          <w:rFonts w:ascii="Times New Roman" w:eastAsiaTheme="majorEastAsia" w:hAnsi="Times New Roman" w:cs="Times New Roman"/>
          <w:color w:val="auto"/>
          <w:sz w:val="22"/>
          <w:szCs w:val="22"/>
          <w:lang w:val="en-GB"/>
        </w:rPr>
        <w:t xml:space="preserve"> Second, the rate of urbanization in China was rising steadily</w:t>
      </w:r>
      <w:r>
        <w:rPr>
          <w:rStyle w:val="A15"/>
          <w:rFonts w:ascii="Times New Roman" w:eastAsiaTheme="majorEastAsia" w:hAnsi="Times New Roman" w:cs="Times New Roman"/>
          <w:color w:val="auto"/>
          <w:sz w:val="22"/>
          <w:szCs w:val="22"/>
          <w:lang w:val="en-GB"/>
        </w:rPr>
        <w:t xml:space="preserve">: </w:t>
      </w:r>
      <w:r w:rsidRPr="00F90D5D">
        <w:rPr>
          <w:rStyle w:val="A15"/>
          <w:rFonts w:ascii="Times New Roman" w:eastAsiaTheme="majorEastAsia" w:hAnsi="Times New Roman" w:cs="Times New Roman"/>
          <w:color w:val="auto"/>
          <w:sz w:val="22"/>
          <w:szCs w:val="22"/>
          <w:lang w:val="en-GB"/>
        </w:rPr>
        <w:t xml:space="preserve">at </w:t>
      </w:r>
      <w:r w:rsidRPr="00F90D5D">
        <w:rPr>
          <w:rStyle w:val="A15"/>
          <w:rFonts w:ascii="Times New Roman" w:eastAsiaTheme="minorEastAsia" w:hAnsi="Times New Roman" w:cs="Times New Roman" w:hint="eastAsia"/>
          <w:color w:val="auto"/>
          <w:sz w:val="22"/>
          <w:szCs w:val="22"/>
          <w:lang w:val="en-GB" w:eastAsia="zh-CN"/>
        </w:rPr>
        <w:t>771</w:t>
      </w:r>
      <w:r w:rsidRPr="00F90D5D">
        <w:rPr>
          <w:rStyle w:val="A15"/>
          <w:rFonts w:ascii="Times New Roman" w:eastAsiaTheme="majorEastAsia" w:hAnsi="Times New Roman" w:cs="Times New Roman"/>
          <w:color w:val="auto"/>
          <w:sz w:val="22"/>
          <w:szCs w:val="22"/>
          <w:lang w:val="en-GB"/>
        </w:rPr>
        <w:t xml:space="preserve"> million, the urban population had exceeded the rural population of </w:t>
      </w:r>
      <w:r w:rsidRPr="00F90D5D">
        <w:rPr>
          <w:rStyle w:val="A15"/>
          <w:rFonts w:ascii="Times New Roman" w:eastAsiaTheme="minorEastAsia" w:hAnsi="Times New Roman" w:cs="Times New Roman" w:hint="eastAsia"/>
          <w:color w:val="auto"/>
          <w:sz w:val="22"/>
          <w:szCs w:val="22"/>
          <w:lang w:val="en-GB" w:eastAsia="zh-CN"/>
        </w:rPr>
        <w:t>603</w:t>
      </w:r>
      <w:r w:rsidRPr="00F90D5D">
        <w:rPr>
          <w:rStyle w:val="A15"/>
          <w:rFonts w:ascii="Times New Roman" w:eastAsiaTheme="majorEastAsia" w:hAnsi="Times New Roman" w:cs="Times New Roman"/>
          <w:color w:val="auto"/>
          <w:sz w:val="22"/>
          <w:szCs w:val="22"/>
          <w:lang w:val="en-GB"/>
        </w:rPr>
        <w:t xml:space="preserve"> million in 201</w:t>
      </w:r>
      <w:r w:rsidRPr="00F90D5D">
        <w:rPr>
          <w:rStyle w:val="A15"/>
          <w:rFonts w:ascii="Times New Roman" w:eastAsiaTheme="minorEastAsia" w:hAnsi="Times New Roman" w:cs="Times New Roman" w:hint="eastAsia"/>
          <w:color w:val="auto"/>
          <w:sz w:val="22"/>
          <w:szCs w:val="22"/>
          <w:lang w:val="en-GB" w:eastAsia="zh-CN"/>
        </w:rPr>
        <w:t>5</w:t>
      </w:r>
      <w:r>
        <w:rPr>
          <w:rStyle w:val="A15"/>
          <w:rFonts w:ascii="Times New Roman" w:eastAsiaTheme="minorEastAsia" w:hAnsi="Times New Roman" w:cs="Times New Roman"/>
          <w:color w:val="auto"/>
          <w:sz w:val="22"/>
          <w:szCs w:val="22"/>
          <w:lang w:val="en-GB" w:eastAsia="zh-CN"/>
        </w:rPr>
        <w:t>,</w:t>
      </w:r>
      <w:r w:rsidRPr="00F90D5D">
        <w:rPr>
          <w:rStyle w:val="A15"/>
          <w:rFonts w:ascii="Times New Roman" w:eastAsiaTheme="majorEastAsia" w:hAnsi="Times New Roman" w:cs="Times New Roman"/>
          <w:color w:val="auto"/>
          <w:sz w:val="22"/>
          <w:szCs w:val="22"/>
          <w:lang w:val="en-GB"/>
        </w:rPr>
        <w:t xml:space="preserve"> leading to demand for home improvement and furnishings products as migrants from the interior settled into their new urban locations.</w:t>
      </w:r>
      <w:r w:rsidRPr="00F90D5D">
        <w:rPr>
          <w:rStyle w:val="FootnoteReference"/>
          <w:lang w:val="en-GB"/>
        </w:rPr>
        <w:footnoteReference w:id="7"/>
      </w:r>
      <w:r w:rsidRPr="00F90D5D">
        <w:rPr>
          <w:rStyle w:val="A15"/>
          <w:rFonts w:ascii="Times New Roman" w:eastAsiaTheme="majorEastAsia" w:hAnsi="Times New Roman" w:cs="Times New Roman"/>
          <w:color w:val="auto"/>
          <w:sz w:val="22"/>
          <w:szCs w:val="22"/>
          <w:lang w:val="en-GB"/>
        </w:rPr>
        <w:t xml:space="preserve"> Third, with the gross floor area having </w:t>
      </w:r>
      <w:r>
        <w:rPr>
          <w:rStyle w:val="A15"/>
          <w:rFonts w:ascii="Times New Roman" w:eastAsiaTheme="majorEastAsia" w:hAnsi="Times New Roman" w:cs="Times New Roman"/>
          <w:color w:val="auto"/>
          <w:sz w:val="22"/>
          <w:szCs w:val="22"/>
          <w:lang w:val="en-GB"/>
        </w:rPr>
        <w:t>increased,</w:t>
      </w:r>
      <w:r w:rsidRPr="00F90D5D">
        <w:rPr>
          <w:rStyle w:val="A15"/>
          <w:rFonts w:ascii="Times New Roman" w:eastAsiaTheme="minorEastAsia" w:hAnsi="Times New Roman" w:cs="Times New Roman" w:hint="eastAsia"/>
          <w:color w:val="auto"/>
          <w:sz w:val="22"/>
          <w:szCs w:val="22"/>
          <w:lang w:val="en-GB" w:eastAsia="zh-CN"/>
        </w:rPr>
        <w:t xml:space="preserve"> </w:t>
      </w:r>
      <w:r w:rsidRPr="00F90D5D">
        <w:rPr>
          <w:rStyle w:val="A15"/>
          <w:rFonts w:ascii="Times New Roman" w:eastAsiaTheme="majorEastAsia" w:hAnsi="Times New Roman" w:cs="Times New Roman"/>
          <w:color w:val="auto"/>
          <w:sz w:val="22"/>
          <w:szCs w:val="22"/>
          <w:lang w:val="en-GB"/>
        </w:rPr>
        <w:t xml:space="preserve">and the refurbishing cycle of existing homes having </w:t>
      </w:r>
      <w:r>
        <w:rPr>
          <w:rStyle w:val="A15"/>
          <w:rFonts w:ascii="Times New Roman" w:eastAsiaTheme="majorEastAsia" w:hAnsi="Times New Roman" w:cs="Times New Roman"/>
          <w:color w:val="auto"/>
          <w:sz w:val="22"/>
          <w:szCs w:val="22"/>
          <w:lang w:val="en-GB"/>
        </w:rPr>
        <w:t>decreased</w:t>
      </w:r>
      <w:r w:rsidRPr="00F90D5D">
        <w:rPr>
          <w:rStyle w:val="A15"/>
          <w:rFonts w:ascii="Times New Roman" w:eastAsiaTheme="majorEastAsia" w:hAnsi="Times New Roman" w:cs="Times New Roman"/>
          <w:color w:val="auto"/>
          <w:sz w:val="22"/>
          <w:szCs w:val="22"/>
          <w:lang w:val="en-GB"/>
        </w:rPr>
        <w:t xml:space="preserve"> to six years, </w:t>
      </w:r>
      <w:r>
        <w:rPr>
          <w:rStyle w:val="A15"/>
          <w:rFonts w:ascii="Times New Roman" w:eastAsiaTheme="majorEastAsia" w:hAnsi="Times New Roman" w:cs="Times New Roman"/>
          <w:color w:val="auto"/>
          <w:sz w:val="22"/>
          <w:szCs w:val="22"/>
          <w:lang w:val="en-GB"/>
        </w:rPr>
        <w:t xml:space="preserve">both the </w:t>
      </w:r>
      <w:r w:rsidRPr="00F90D5D">
        <w:rPr>
          <w:rStyle w:val="A15"/>
          <w:rFonts w:ascii="Times New Roman" w:eastAsiaTheme="majorEastAsia" w:hAnsi="Times New Roman" w:cs="Times New Roman"/>
          <w:color w:val="auto"/>
          <w:sz w:val="22"/>
          <w:szCs w:val="22"/>
          <w:lang w:val="en-GB"/>
        </w:rPr>
        <w:t xml:space="preserve">furnishing of new homes and </w:t>
      </w:r>
      <w:r>
        <w:rPr>
          <w:rStyle w:val="A15"/>
          <w:rFonts w:ascii="Times New Roman" w:eastAsiaTheme="majorEastAsia" w:hAnsi="Times New Roman" w:cs="Times New Roman"/>
          <w:color w:val="auto"/>
          <w:sz w:val="22"/>
          <w:szCs w:val="22"/>
          <w:lang w:val="en-GB"/>
        </w:rPr>
        <w:t xml:space="preserve">the </w:t>
      </w:r>
      <w:r w:rsidRPr="00F90D5D">
        <w:rPr>
          <w:rStyle w:val="A15"/>
          <w:rFonts w:ascii="Times New Roman" w:eastAsiaTheme="majorEastAsia" w:hAnsi="Times New Roman" w:cs="Times New Roman"/>
          <w:color w:val="auto"/>
          <w:sz w:val="22"/>
          <w:szCs w:val="22"/>
          <w:lang w:val="en-GB"/>
        </w:rPr>
        <w:t>refurbishing of existing homes were on the rise in China.</w:t>
      </w:r>
      <w:r w:rsidRPr="00F90D5D">
        <w:rPr>
          <w:rStyle w:val="FootnoteReference"/>
          <w:lang w:val="en-GB"/>
        </w:rPr>
        <w:footnoteReference w:id="8"/>
      </w:r>
      <w:r w:rsidRPr="00F90D5D">
        <w:rPr>
          <w:rStyle w:val="A15"/>
          <w:rFonts w:ascii="Times New Roman" w:eastAsiaTheme="majorEastAsia" w:hAnsi="Times New Roman" w:cs="Times New Roman"/>
          <w:color w:val="auto"/>
          <w:sz w:val="22"/>
          <w:szCs w:val="22"/>
          <w:lang w:val="en-GB"/>
        </w:rPr>
        <w:t xml:space="preserve"> Fourth, notwithstanding the rate of growth of the industry, China’s per capita expenditure on home improvement and furnishings was lower at </w:t>
      </w:r>
      <w:r>
        <w:rPr>
          <w:rStyle w:val="A15"/>
          <w:rFonts w:ascii="Times New Roman" w:eastAsiaTheme="majorEastAsia" w:hAnsi="Times New Roman" w:cs="Times New Roman"/>
          <w:color w:val="auto"/>
          <w:sz w:val="22"/>
          <w:szCs w:val="22"/>
          <w:lang w:val="en-GB"/>
        </w:rPr>
        <w:t>US</w:t>
      </w:r>
      <w:r w:rsidRPr="00F90D5D">
        <w:rPr>
          <w:rStyle w:val="A15"/>
          <w:rFonts w:ascii="Times New Roman" w:eastAsiaTheme="majorEastAsia" w:hAnsi="Times New Roman" w:cs="Times New Roman"/>
          <w:color w:val="auto"/>
          <w:sz w:val="22"/>
          <w:szCs w:val="22"/>
          <w:lang w:val="en-GB"/>
        </w:rPr>
        <w:t>$</w:t>
      </w:r>
      <w:r w:rsidRPr="00F90D5D">
        <w:rPr>
          <w:rStyle w:val="A15"/>
          <w:rFonts w:ascii="Times New Roman" w:eastAsiaTheme="minorEastAsia" w:hAnsi="Times New Roman" w:cs="Times New Roman" w:hint="eastAsia"/>
          <w:color w:val="auto"/>
          <w:sz w:val="22"/>
          <w:szCs w:val="22"/>
          <w:lang w:val="en-GB" w:eastAsia="zh-CN"/>
        </w:rPr>
        <w:t>425.5</w:t>
      </w:r>
      <w:r>
        <w:rPr>
          <w:rStyle w:val="A15"/>
          <w:rFonts w:ascii="Times New Roman" w:eastAsiaTheme="minorEastAsia" w:hAnsi="Times New Roman" w:cs="Times New Roman"/>
          <w:color w:val="auto"/>
          <w:sz w:val="22"/>
          <w:szCs w:val="22"/>
          <w:lang w:val="en-GB" w:eastAsia="zh-CN"/>
        </w:rPr>
        <w:t>0</w:t>
      </w:r>
      <w:r w:rsidRPr="00F90D5D">
        <w:rPr>
          <w:rStyle w:val="A15"/>
          <w:rFonts w:ascii="Times New Roman" w:eastAsiaTheme="majorEastAsia" w:hAnsi="Times New Roman" w:cs="Times New Roman"/>
          <w:color w:val="auto"/>
          <w:sz w:val="22"/>
          <w:szCs w:val="22"/>
          <w:lang w:val="en-GB"/>
        </w:rPr>
        <w:t xml:space="preserve"> in 201</w:t>
      </w:r>
      <w:r w:rsidRPr="00F90D5D">
        <w:rPr>
          <w:rStyle w:val="A15"/>
          <w:rFonts w:ascii="Times New Roman" w:eastAsiaTheme="minorEastAsia" w:hAnsi="Times New Roman" w:cs="Times New Roman" w:hint="eastAsia"/>
          <w:color w:val="auto"/>
          <w:sz w:val="22"/>
          <w:szCs w:val="22"/>
          <w:lang w:val="en-GB" w:eastAsia="zh-CN"/>
        </w:rPr>
        <w:t>5</w:t>
      </w:r>
      <w:r w:rsidRPr="00F90D5D">
        <w:rPr>
          <w:rStyle w:val="A15"/>
          <w:rFonts w:ascii="Times New Roman" w:eastAsiaTheme="majorEastAsia" w:hAnsi="Times New Roman" w:cs="Times New Roman"/>
          <w:color w:val="auto"/>
          <w:sz w:val="22"/>
          <w:szCs w:val="22"/>
          <w:lang w:val="en-GB"/>
        </w:rPr>
        <w:t xml:space="preserve">, as compared </w:t>
      </w:r>
      <w:r>
        <w:rPr>
          <w:rStyle w:val="A15"/>
          <w:rFonts w:ascii="Times New Roman" w:eastAsiaTheme="majorEastAsia" w:hAnsi="Times New Roman" w:cs="Times New Roman"/>
          <w:color w:val="auto"/>
          <w:sz w:val="22"/>
          <w:szCs w:val="22"/>
          <w:lang w:val="en-GB"/>
        </w:rPr>
        <w:t>with</w:t>
      </w:r>
      <w:r w:rsidRPr="00F90D5D">
        <w:rPr>
          <w:rStyle w:val="A15"/>
          <w:rFonts w:ascii="Times New Roman" w:eastAsiaTheme="majorEastAsia" w:hAnsi="Times New Roman" w:cs="Times New Roman"/>
          <w:color w:val="auto"/>
          <w:sz w:val="22"/>
          <w:szCs w:val="22"/>
          <w:lang w:val="en-GB"/>
        </w:rPr>
        <w:t xml:space="preserve"> $</w:t>
      </w:r>
      <w:r w:rsidRPr="00F90D5D">
        <w:rPr>
          <w:rStyle w:val="A15"/>
          <w:rFonts w:ascii="Times New Roman" w:eastAsiaTheme="minorEastAsia" w:hAnsi="Times New Roman" w:cs="Times New Roman" w:hint="eastAsia"/>
          <w:color w:val="auto"/>
          <w:sz w:val="22"/>
          <w:szCs w:val="22"/>
          <w:lang w:val="en-GB" w:eastAsia="zh-CN"/>
        </w:rPr>
        <w:t>1,033.4</w:t>
      </w:r>
      <w:r>
        <w:rPr>
          <w:rStyle w:val="A15"/>
          <w:rFonts w:ascii="Times New Roman" w:eastAsiaTheme="minorEastAsia" w:hAnsi="Times New Roman" w:cs="Times New Roman"/>
          <w:color w:val="auto"/>
          <w:sz w:val="22"/>
          <w:szCs w:val="22"/>
          <w:lang w:val="en-GB" w:eastAsia="zh-CN"/>
        </w:rPr>
        <w:t>0</w:t>
      </w:r>
      <w:r w:rsidRPr="00F90D5D">
        <w:rPr>
          <w:rStyle w:val="A15"/>
          <w:rFonts w:ascii="Times New Roman" w:eastAsiaTheme="majorEastAsia" w:hAnsi="Times New Roman" w:cs="Times New Roman"/>
          <w:color w:val="auto"/>
          <w:sz w:val="22"/>
          <w:szCs w:val="22"/>
          <w:lang w:val="en-GB"/>
        </w:rPr>
        <w:t xml:space="preserve"> in the U</w:t>
      </w:r>
      <w:r>
        <w:rPr>
          <w:rStyle w:val="A15"/>
          <w:rFonts w:ascii="Times New Roman" w:eastAsiaTheme="majorEastAsia" w:hAnsi="Times New Roman" w:cs="Times New Roman"/>
          <w:color w:val="auto"/>
          <w:sz w:val="22"/>
          <w:szCs w:val="22"/>
          <w:lang w:val="en-GB"/>
        </w:rPr>
        <w:t xml:space="preserve">nited </w:t>
      </w:r>
      <w:r w:rsidRPr="00F90D5D">
        <w:rPr>
          <w:rStyle w:val="A15"/>
          <w:rFonts w:ascii="Times New Roman" w:eastAsiaTheme="majorEastAsia" w:hAnsi="Times New Roman" w:cs="Times New Roman"/>
          <w:color w:val="auto"/>
          <w:sz w:val="22"/>
          <w:szCs w:val="22"/>
          <w:lang w:val="en-GB"/>
        </w:rPr>
        <w:t>S</w:t>
      </w:r>
      <w:r>
        <w:rPr>
          <w:rStyle w:val="A15"/>
          <w:rFonts w:ascii="Times New Roman" w:eastAsiaTheme="majorEastAsia" w:hAnsi="Times New Roman" w:cs="Times New Roman"/>
          <w:color w:val="auto"/>
          <w:sz w:val="22"/>
          <w:szCs w:val="22"/>
          <w:lang w:val="en-GB"/>
        </w:rPr>
        <w:t>tates</w:t>
      </w:r>
      <w:r w:rsidRPr="00F90D5D">
        <w:rPr>
          <w:rStyle w:val="A15"/>
          <w:rFonts w:ascii="Times New Roman" w:eastAsiaTheme="majorEastAsia" w:hAnsi="Times New Roman" w:cs="Times New Roman"/>
          <w:color w:val="auto"/>
          <w:sz w:val="22"/>
          <w:szCs w:val="22"/>
          <w:lang w:val="en-GB"/>
        </w:rPr>
        <w:t xml:space="preserve"> and $</w:t>
      </w:r>
      <w:r w:rsidRPr="00F90D5D">
        <w:rPr>
          <w:rStyle w:val="A15"/>
          <w:rFonts w:ascii="Times New Roman" w:eastAsiaTheme="minorEastAsia" w:hAnsi="Times New Roman" w:cs="Times New Roman" w:hint="eastAsia"/>
          <w:color w:val="auto"/>
          <w:sz w:val="22"/>
          <w:szCs w:val="22"/>
          <w:lang w:val="en-GB" w:eastAsia="zh-CN"/>
        </w:rPr>
        <w:t>867.1</w:t>
      </w:r>
      <w:r>
        <w:rPr>
          <w:rStyle w:val="A15"/>
          <w:rFonts w:ascii="Times New Roman" w:eastAsiaTheme="minorEastAsia" w:hAnsi="Times New Roman" w:cs="Times New Roman"/>
          <w:color w:val="auto"/>
          <w:sz w:val="22"/>
          <w:szCs w:val="22"/>
          <w:lang w:val="en-GB" w:eastAsia="zh-CN"/>
        </w:rPr>
        <w:t>0</w:t>
      </w:r>
      <w:r w:rsidRPr="00F90D5D">
        <w:rPr>
          <w:rStyle w:val="A15"/>
          <w:rFonts w:ascii="Times New Roman" w:eastAsiaTheme="majorEastAsia" w:hAnsi="Times New Roman" w:cs="Times New Roman"/>
          <w:color w:val="auto"/>
          <w:sz w:val="22"/>
          <w:szCs w:val="22"/>
          <w:lang w:val="en-GB"/>
        </w:rPr>
        <w:t xml:space="preserve"> in the U</w:t>
      </w:r>
      <w:r>
        <w:rPr>
          <w:rStyle w:val="A15"/>
          <w:rFonts w:ascii="Times New Roman" w:eastAsiaTheme="majorEastAsia" w:hAnsi="Times New Roman" w:cs="Times New Roman"/>
          <w:color w:val="auto"/>
          <w:sz w:val="22"/>
          <w:szCs w:val="22"/>
          <w:lang w:val="en-GB"/>
        </w:rPr>
        <w:t xml:space="preserve">nited </w:t>
      </w:r>
      <w:r w:rsidRPr="00F90D5D">
        <w:rPr>
          <w:rStyle w:val="A15"/>
          <w:rFonts w:ascii="Times New Roman" w:eastAsiaTheme="majorEastAsia" w:hAnsi="Times New Roman" w:cs="Times New Roman"/>
          <w:color w:val="auto"/>
          <w:sz w:val="22"/>
          <w:szCs w:val="22"/>
          <w:lang w:val="en-GB"/>
        </w:rPr>
        <w:t>K</w:t>
      </w:r>
      <w:r>
        <w:rPr>
          <w:rStyle w:val="A15"/>
          <w:rFonts w:ascii="Times New Roman" w:eastAsiaTheme="majorEastAsia" w:hAnsi="Times New Roman" w:cs="Times New Roman"/>
          <w:color w:val="auto"/>
          <w:sz w:val="22"/>
          <w:szCs w:val="22"/>
          <w:lang w:val="en-GB"/>
        </w:rPr>
        <w:t>ingdom</w:t>
      </w:r>
      <w:r w:rsidRPr="00F90D5D">
        <w:rPr>
          <w:rStyle w:val="A15"/>
          <w:rFonts w:ascii="Times New Roman" w:eastAsiaTheme="majorEastAsia" w:hAnsi="Times New Roman" w:cs="Times New Roman"/>
          <w:color w:val="auto"/>
          <w:sz w:val="22"/>
          <w:szCs w:val="22"/>
          <w:lang w:val="en-GB"/>
        </w:rPr>
        <w:t>, indicating potential for market expansion.</w:t>
      </w:r>
    </w:p>
    <w:p w:rsidR="00500131" w:rsidRPr="00F90D5D" w:rsidRDefault="00500131" w:rsidP="00500131">
      <w:pPr>
        <w:pStyle w:val="BodyTextMain"/>
        <w:rPr>
          <w:rStyle w:val="A15"/>
          <w:rFonts w:ascii="Times New Roman" w:eastAsiaTheme="majorEastAsia" w:hAnsi="Times New Roman" w:cs="Times New Roman"/>
          <w:color w:val="auto"/>
          <w:sz w:val="22"/>
          <w:szCs w:val="22"/>
          <w:lang w:val="en-GB"/>
        </w:rPr>
      </w:pPr>
    </w:p>
    <w:p w:rsidR="00500131" w:rsidRPr="00F90D5D" w:rsidRDefault="00500131" w:rsidP="00500131">
      <w:pPr>
        <w:pStyle w:val="BodyTextMain"/>
        <w:rPr>
          <w:rStyle w:val="A15"/>
          <w:rFonts w:ascii="Times New Roman" w:eastAsiaTheme="majorEastAsia" w:hAnsi="Times New Roman" w:cs="Times New Roman"/>
          <w:color w:val="auto"/>
          <w:sz w:val="22"/>
          <w:szCs w:val="22"/>
          <w:lang w:val="en-GB"/>
        </w:rPr>
      </w:pPr>
      <w:r w:rsidRPr="00F90D5D">
        <w:rPr>
          <w:rStyle w:val="A15"/>
          <w:rFonts w:ascii="Times New Roman" w:eastAsiaTheme="majorEastAsia" w:hAnsi="Times New Roman" w:cs="Times New Roman"/>
          <w:color w:val="auto"/>
          <w:sz w:val="22"/>
          <w:szCs w:val="22"/>
          <w:lang w:val="en-GB"/>
        </w:rPr>
        <w:t>The industry had two major segments</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 xml:space="preserve"> business</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to</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 xml:space="preserve">consumer (B2C) and business-to-business (B2B). </w:t>
      </w:r>
      <w:r>
        <w:rPr>
          <w:rStyle w:val="A15"/>
          <w:rFonts w:ascii="Times New Roman" w:eastAsiaTheme="majorEastAsia" w:hAnsi="Times New Roman" w:cs="Times New Roman"/>
          <w:color w:val="auto"/>
          <w:sz w:val="22"/>
          <w:szCs w:val="22"/>
          <w:lang w:val="en-GB"/>
        </w:rPr>
        <w:t xml:space="preserve">The </w:t>
      </w:r>
      <w:r w:rsidRPr="00F90D5D">
        <w:rPr>
          <w:rStyle w:val="A15"/>
          <w:rFonts w:ascii="Times New Roman" w:eastAsiaTheme="majorEastAsia" w:hAnsi="Times New Roman" w:cs="Times New Roman"/>
          <w:color w:val="auto"/>
          <w:sz w:val="22"/>
          <w:szCs w:val="22"/>
          <w:lang w:val="en-GB"/>
        </w:rPr>
        <w:t xml:space="preserve">B2C </w:t>
      </w:r>
      <w:r>
        <w:rPr>
          <w:rStyle w:val="A15"/>
          <w:rFonts w:ascii="Times New Roman" w:eastAsiaTheme="majorEastAsia" w:hAnsi="Times New Roman" w:cs="Times New Roman"/>
          <w:color w:val="auto"/>
          <w:sz w:val="22"/>
          <w:szCs w:val="22"/>
          <w:lang w:val="en-GB"/>
        </w:rPr>
        <w:t xml:space="preserve">segment </w:t>
      </w:r>
      <w:r w:rsidRPr="00F90D5D">
        <w:rPr>
          <w:rStyle w:val="A15"/>
          <w:rFonts w:ascii="Times New Roman" w:eastAsiaTheme="majorEastAsia" w:hAnsi="Times New Roman" w:cs="Times New Roman"/>
          <w:color w:val="auto"/>
          <w:sz w:val="22"/>
          <w:szCs w:val="22"/>
          <w:lang w:val="en-GB"/>
        </w:rPr>
        <w:t xml:space="preserve">consisted of households and individuals purchasing home improvement and </w:t>
      </w:r>
      <w:r>
        <w:rPr>
          <w:rStyle w:val="A15"/>
          <w:rFonts w:ascii="Times New Roman" w:eastAsiaTheme="majorEastAsia" w:hAnsi="Times New Roman" w:cs="Times New Roman"/>
          <w:color w:val="auto"/>
          <w:sz w:val="22"/>
          <w:szCs w:val="22"/>
          <w:lang w:val="en-GB"/>
        </w:rPr>
        <w:t xml:space="preserve">home </w:t>
      </w:r>
      <w:r w:rsidRPr="00F90D5D">
        <w:rPr>
          <w:rStyle w:val="A15"/>
          <w:rFonts w:ascii="Times New Roman" w:eastAsiaTheme="majorEastAsia" w:hAnsi="Times New Roman" w:cs="Times New Roman"/>
          <w:color w:val="auto"/>
          <w:sz w:val="22"/>
          <w:szCs w:val="22"/>
          <w:lang w:val="en-GB"/>
        </w:rPr>
        <w:t>furnishings products for their own use</w:t>
      </w:r>
      <w:r>
        <w:rPr>
          <w:rStyle w:val="A15"/>
          <w:rFonts w:ascii="Times New Roman" w:eastAsiaTheme="majorEastAsia" w:hAnsi="Times New Roman" w:cs="Times New Roman"/>
          <w:color w:val="auto"/>
          <w:sz w:val="22"/>
          <w:szCs w:val="22"/>
          <w:lang w:val="en-GB"/>
        </w:rPr>
        <w:t>, and</w:t>
      </w:r>
      <w:r w:rsidRPr="00F90D5D">
        <w:rPr>
          <w:rStyle w:val="A15"/>
          <w:rFonts w:ascii="Times New Roman" w:eastAsiaTheme="majorEastAsia" w:hAnsi="Times New Roman" w:cs="Times New Roman"/>
          <w:color w:val="auto"/>
          <w:sz w:val="22"/>
          <w:szCs w:val="22"/>
          <w:lang w:val="en-GB"/>
        </w:rPr>
        <w:t xml:space="preserve"> represented </w:t>
      </w:r>
      <w:r w:rsidRPr="00F90D5D">
        <w:rPr>
          <w:rStyle w:val="A15"/>
          <w:rFonts w:ascii="Times New Roman" w:eastAsiaTheme="minorEastAsia" w:hAnsi="Times New Roman" w:cs="Times New Roman" w:hint="eastAsia"/>
          <w:color w:val="auto"/>
          <w:sz w:val="22"/>
          <w:szCs w:val="22"/>
          <w:lang w:val="en-GB" w:eastAsia="zh-CN"/>
        </w:rPr>
        <w:t>64.1</w:t>
      </w:r>
      <w:r w:rsidRPr="00F90D5D">
        <w:rPr>
          <w:rStyle w:val="A15"/>
          <w:rFonts w:ascii="Times New Roman" w:eastAsiaTheme="majorEastAsia" w:hAnsi="Times New Roman" w:cs="Times New Roman"/>
          <w:color w:val="auto"/>
          <w:sz w:val="22"/>
          <w:szCs w:val="22"/>
          <w:lang w:val="en-GB"/>
        </w:rPr>
        <w:t xml:space="preserve"> per cent of the market in 201</w:t>
      </w:r>
      <w:r w:rsidRPr="00F90D5D">
        <w:rPr>
          <w:rStyle w:val="A15"/>
          <w:rFonts w:ascii="Times New Roman" w:eastAsiaTheme="minorEastAsia" w:hAnsi="Times New Roman" w:cs="Times New Roman" w:hint="eastAsia"/>
          <w:color w:val="auto"/>
          <w:sz w:val="22"/>
          <w:szCs w:val="22"/>
          <w:lang w:val="en-GB" w:eastAsia="zh-CN"/>
        </w:rPr>
        <w:t>5</w:t>
      </w:r>
      <w:r w:rsidRPr="00F90D5D">
        <w:rPr>
          <w:rStyle w:val="A15"/>
          <w:rFonts w:ascii="Times New Roman" w:eastAsiaTheme="majorEastAsia" w:hAnsi="Times New Roman" w:cs="Times New Roman"/>
          <w:color w:val="auto"/>
          <w:sz w:val="22"/>
          <w:szCs w:val="22"/>
          <w:lang w:val="en-GB"/>
        </w:rPr>
        <w:t xml:space="preserve">. </w:t>
      </w:r>
      <w:r>
        <w:rPr>
          <w:rStyle w:val="A15"/>
          <w:rFonts w:ascii="Times New Roman" w:eastAsiaTheme="majorEastAsia" w:hAnsi="Times New Roman" w:cs="Times New Roman"/>
          <w:color w:val="auto"/>
          <w:sz w:val="22"/>
          <w:szCs w:val="22"/>
          <w:lang w:val="en-GB"/>
        </w:rPr>
        <w:t xml:space="preserve">The </w:t>
      </w:r>
      <w:r w:rsidRPr="00F90D5D">
        <w:rPr>
          <w:rStyle w:val="A15"/>
          <w:rFonts w:ascii="Times New Roman" w:eastAsiaTheme="majorEastAsia" w:hAnsi="Times New Roman" w:cs="Times New Roman"/>
          <w:color w:val="auto"/>
          <w:sz w:val="22"/>
          <w:szCs w:val="22"/>
          <w:lang w:val="en-GB"/>
        </w:rPr>
        <w:t xml:space="preserve">B2B </w:t>
      </w:r>
      <w:r>
        <w:rPr>
          <w:rStyle w:val="A15"/>
          <w:rFonts w:ascii="Times New Roman" w:eastAsiaTheme="majorEastAsia" w:hAnsi="Times New Roman" w:cs="Times New Roman"/>
          <w:color w:val="auto"/>
          <w:sz w:val="22"/>
          <w:szCs w:val="22"/>
          <w:lang w:val="en-GB"/>
        </w:rPr>
        <w:t xml:space="preserve">segment </w:t>
      </w:r>
      <w:r w:rsidRPr="00F90D5D">
        <w:rPr>
          <w:rStyle w:val="A15"/>
          <w:rFonts w:ascii="Times New Roman" w:eastAsiaTheme="majorEastAsia" w:hAnsi="Times New Roman" w:cs="Times New Roman"/>
          <w:color w:val="auto"/>
          <w:sz w:val="22"/>
          <w:szCs w:val="22"/>
          <w:lang w:val="en-GB"/>
        </w:rPr>
        <w:t>consisted of centralized procurement by real estate developers and wholesale purchase</w:t>
      </w:r>
      <w:r>
        <w:rPr>
          <w:rStyle w:val="A15"/>
          <w:rFonts w:ascii="Times New Roman" w:eastAsiaTheme="majorEastAsia" w:hAnsi="Times New Roman" w:cs="Times New Roman"/>
          <w:color w:val="auto"/>
          <w:sz w:val="22"/>
          <w:szCs w:val="22"/>
          <w:lang w:val="en-GB"/>
        </w:rPr>
        <w:t>s</w:t>
      </w:r>
      <w:r w:rsidRPr="00F90D5D">
        <w:rPr>
          <w:rStyle w:val="A15"/>
          <w:rFonts w:ascii="Times New Roman" w:eastAsiaTheme="majorEastAsia" w:hAnsi="Times New Roman" w:cs="Times New Roman"/>
          <w:color w:val="auto"/>
          <w:sz w:val="22"/>
          <w:szCs w:val="22"/>
          <w:lang w:val="en-GB"/>
        </w:rPr>
        <w:t xml:space="preserve"> by contractors</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 xml:space="preserve"> </w:t>
      </w:r>
      <w:r>
        <w:rPr>
          <w:rStyle w:val="A15"/>
          <w:rFonts w:ascii="Times New Roman" w:eastAsiaTheme="majorEastAsia" w:hAnsi="Times New Roman" w:cs="Times New Roman"/>
          <w:color w:val="auto"/>
          <w:sz w:val="22"/>
          <w:szCs w:val="22"/>
          <w:lang w:val="en-GB"/>
        </w:rPr>
        <w:t>and</w:t>
      </w:r>
      <w:r w:rsidRPr="00F90D5D">
        <w:rPr>
          <w:rStyle w:val="A15"/>
          <w:rFonts w:ascii="Times New Roman" w:eastAsiaTheme="majorEastAsia" w:hAnsi="Times New Roman" w:cs="Times New Roman"/>
          <w:color w:val="auto"/>
          <w:sz w:val="22"/>
          <w:szCs w:val="22"/>
          <w:lang w:val="en-GB"/>
        </w:rPr>
        <w:t xml:space="preserve"> represented </w:t>
      </w:r>
      <w:r w:rsidRPr="00F90D5D">
        <w:rPr>
          <w:rStyle w:val="A15"/>
          <w:rFonts w:ascii="Times New Roman" w:eastAsiaTheme="minorEastAsia" w:hAnsi="Times New Roman" w:cs="Times New Roman" w:hint="eastAsia"/>
          <w:color w:val="auto"/>
          <w:sz w:val="22"/>
          <w:szCs w:val="22"/>
          <w:lang w:val="en-GB" w:eastAsia="zh-CN"/>
        </w:rPr>
        <w:t>35.9</w:t>
      </w:r>
      <w:r w:rsidRPr="00F90D5D">
        <w:rPr>
          <w:rStyle w:val="A15"/>
          <w:rFonts w:ascii="Times New Roman" w:eastAsiaTheme="majorEastAsia" w:hAnsi="Times New Roman" w:cs="Times New Roman"/>
          <w:color w:val="auto"/>
          <w:sz w:val="22"/>
          <w:szCs w:val="22"/>
          <w:lang w:val="en-GB"/>
        </w:rPr>
        <w:t xml:space="preserve"> per cent of the market.</w:t>
      </w:r>
      <w:r w:rsidRPr="00F90D5D">
        <w:rPr>
          <w:rStyle w:val="FootnoteReference"/>
          <w:lang w:val="en-GB"/>
        </w:rPr>
        <w:footnoteReference w:id="9"/>
      </w:r>
    </w:p>
    <w:p w:rsidR="00500131" w:rsidRPr="00F90D5D" w:rsidRDefault="00500131" w:rsidP="00500131">
      <w:pPr>
        <w:pStyle w:val="BodyTextMain"/>
        <w:rPr>
          <w:rStyle w:val="A15"/>
          <w:rFonts w:ascii="Times New Roman" w:eastAsiaTheme="majorEastAsia" w:hAnsi="Times New Roman" w:cs="Times New Roman"/>
          <w:color w:val="auto"/>
          <w:sz w:val="22"/>
          <w:szCs w:val="22"/>
          <w:lang w:val="en-GB"/>
        </w:rPr>
      </w:pPr>
    </w:p>
    <w:p w:rsidR="00500131" w:rsidRPr="00E62299" w:rsidRDefault="00500131" w:rsidP="00500131">
      <w:pPr>
        <w:pStyle w:val="BodyTextMain"/>
        <w:rPr>
          <w:rStyle w:val="A15"/>
          <w:rFonts w:ascii="Times New Roman" w:eastAsiaTheme="majorEastAsia" w:hAnsi="Times New Roman" w:cs="Times New Roman"/>
          <w:color w:val="auto"/>
          <w:spacing w:val="-2"/>
          <w:sz w:val="22"/>
          <w:szCs w:val="22"/>
          <w:lang w:val="en-GB"/>
        </w:rPr>
      </w:pPr>
      <w:r w:rsidRPr="00E62299">
        <w:rPr>
          <w:rStyle w:val="A15"/>
          <w:rFonts w:ascii="Times New Roman" w:eastAsiaTheme="majorEastAsia" w:hAnsi="Times New Roman" w:cs="Times New Roman"/>
          <w:color w:val="auto"/>
          <w:spacing w:val="-2"/>
          <w:sz w:val="22"/>
          <w:szCs w:val="22"/>
          <w:lang w:val="en-GB"/>
        </w:rPr>
        <w:t>The home improvement and home furnishings industry consisted of three broad product categories: furniture, home decoration products, and light building materials. Furniture was the largest subsector by retail sales value. The demand for light building materials was tied to new home sales, and was therefore cyclical.</w:t>
      </w:r>
    </w:p>
    <w:p w:rsidR="00500131" w:rsidRPr="00F90D5D" w:rsidRDefault="00500131" w:rsidP="00500131">
      <w:pPr>
        <w:pStyle w:val="BodyTextMain"/>
        <w:rPr>
          <w:rStyle w:val="A15"/>
          <w:rFonts w:ascii="Times New Roman" w:eastAsiaTheme="majorEastAsia" w:hAnsi="Times New Roman" w:cs="Times New Roman"/>
          <w:color w:val="auto"/>
          <w:sz w:val="22"/>
          <w:szCs w:val="22"/>
          <w:lang w:val="en-GB"/>
        </w:rPr>
      </w:pPr>
    </w:p>
    <w:p w:rsidR="00500131" w:rsidRPr="00F90D5D" w:rsidRDefault="00500131" w:rsidP="00500131">
      <w:pPr>
        <w:pStyle w:val="BodyTextMain"/>
        <w:rPr>
          <w:rStyle w:val="A15"/>
          <w:rFonts w:ascii="Times New Roman" w:eastAsiaTheme="majorEastAsia" w:hAnsi="Times New Roman" w:cs="Times New Roman"/>
          <w:color w:val="auto"/>
          <w:sz w:val="22"/>
          <w:szCs w:val="22"/>
          <w:lang w:val="en-GB"/>
        </w:rPr>
      </w:pPr>
      <w:r>
        <w:rPr>
          <w:rStyle w:val="A15"/>
          <w:rFonts w:ascii="Times New Roman" w:eastAsiaTheme="majorEastAsia" w:hAnsi="Times New Roman" w:cs="Times New Roman"/>
          <w:color w:val="auto"/>
          <w:sz w:val="22"/>
          <w:szCs w:val="22"/>
          <w:lang w:val="en-GB"/>
        </w:rPr>
        <w:lastRenderedPageBreak/>
        <w:t>China had more than</w:t>
      </w:r>
      <w:r w:rsidRPr="00F90D5D">
        <w:rPr>
          <w:rStyle w:val="A15"/>
          <w:rFonts w:ascii="Times New Roman" w:eastAsiaTheme="majorEastAsia" w:hAnsi="Times New Roman" w:cs="Times New Roman"/>
          <w:color w:val="auto"/>
          <w:sz w:val="22"/>
          <w:szCs w:val="22"/>
          <w:lang w:val="en-GB"/>
        </w:rPr>
        <w:t xml:space="preserve"> 14,000 home improvement and </w:t>
      </w:r>
      <w:r>
        <w:rPr>
          <w:rStyle w:val="A15"/>
          <w:rFonts w:ascii="Times New Roman" w:eastAsiaTheme="majorEastAsia" w:hAnsi="Times New Roman" w:cs="Times New Roman"/>
          <w:color w:val="auto"/>
          <w:sz w:val="22"/>
          <w:szCs w:val="22"/>
          <w:lang w:val="en-GB"/>
        </w:rPr>
        <w:t xml:space="preserve">home </w:t>
      </w:r>
      <w:r w:rsidRPr="00F90D5D">
        <w:rPr>
          <w:rStyle w:val="A15"/>
          <w:rFonts w:ascii="Times New Roman" w:eastAsiaTheme="majorEastAsia" w:hAnsi="Times New Roman" w:cs="Times New Roman"/>
          <w:color w:val="auto"/>
          <w:sz w:val="22"/>
          <w:szCs w:val="22"/>
          <w:lang w:val="en-GB"/>
        </w:rPr>
        <w:t>furnishings manufacturers. Some were located along coastal export hubs, serving as offshore manufacturing cent</w:t>
      </w:r>
      <w:r>
        <w:rPr>
          <w:rStyle w:val="A15"/>
          <w:rFonts w:ascii="Times New Roman" w:eastAsiaTheme="majorEastAsia" w:hAnsi="Times New Roman" w:cs="Times New Roman"/>
          <w:color w:val="auto"/>
          <w:sz w:val="22"/>
          <w:szCs w:val="22"/>
          <w:lang w:val="en-GB"/>
        </w:rPr>
        <w:t>re</w:t>
      </w:r>
      <w:r w:rsidRPr="00F90D5D">
        <w:rPr>
          <w:rStyle w:val="A15"/>
          <w:rFonts w:ascii="Times New Roman" w:eastAsiaTheme="majorEastAsia" w:hAnsi="Times New Roman" w:cs="Times New Roman"/>
          <w:color w:val="auto"/>
          <w:sz w:val="22"/>
          <w:szCs w:val="22"/>
          <w:lang w:val="en-GB"/>
        </w:rPr>
        <w:t xml:space="preserve">s for overseas firms. </w:t>
      </w:r>
      <w:r>
        <w:rPr>
          <w:rStyle w:val="A15"/>
          <w:rFonts w:ascii="Times New Roman" w:eastAsiaTheme="majorEastAsia" w:hAnsi="Times New Roman" w:cs="Times New Roman"/>
          <w:color w:val="auto"/>
          <w:sz w:val="22"/>
          <w:szCs w:val="22"/>
          <w:lang w:val="en-GB"/>
        </w:rPr>
        <w:t>A</w:t>
      </w:r>
      <w:r w:rsidRPr="00F90D5D">
        <w:rPr>
          <w:rStyle w:val="A15"/>
          <w:rFonts w:ascii="Times New Roman" w:eastAsiaTheme="majorEastAsia" w:hAnsi="Times New Roman" w:cs="Times New Roman"/>
          <w:color w:val="auto"/>
          <w:sz w:val="22"/>
          <w:szCs w:val="22"/>
          <w:lang w:val="en-GB"/>
        </w:rPr>
        <w:t xml:space="preserve">mong those </w:t>
      </w:r>
      <w:r>
        <w:rPr>
          <w:rStyle w:val="A15"/>
          <w:rFonts w:ascii="Times New Roman" w:eastAsiaTheme="majorEastAsia" w:hAnsi="Times New Roman" w:cs="Times New Roman"/>
          <w:color w:val="auto"/>
          <w:sz w:val="22"/>
          <w:szCs w:val="22"/>
          <w:lang w:val="en-GB"/>
        </w:rPr>
        <w:t xml:space="preserve">manufacturers, some </w:t>
      </w:r>
      <w:r w:rsidRPr="00F90D5D">
        <w:rPr>
          <w:rStyle w:val="A15"/>
          <w:rFonts w:ascii="Times New Roman" w:eastAsiaTheme="majorEastAsia" w:hAnsi="Times New Roman" w:cs="Times New Roman"/>
          <w:color w:val="auto"/>
          <w:sz w:val="22"/>
          <w:szCs w:val="22"/>
          <w:lang w:val="en-GB"/>
        </w:rPr>
        <w:t xml:space="preserve">focused on the domestic market </w:t>
      </w:r>
      <w:r>
        <w:rPr>
          <w:rStyle w:val="A15"/>
          <w:rFonts w:ascii="Times New Roman" w:eastAsiaTheme="majorEastAsia" w:hAnsi="Times New Roman" w:cs="Times New Roman"/>
          <w:color w:val="auto"/>
          <w:sz w:val="22"/>
          <w:szCs w:val="22"/>
          <w:lang w:val="en-GB"/>
        </w:rPr>
        <w:t xml:space="preserve">and </w:t>
      </w:r>
      <w:r w:rsidRPr="00F90D5D">
        <w:rPr>
          <w:rStyle w:val="A15"/>
          <w:rFonts w:ascii="Times New Roman" w:eastAsiaTheme="majorEastAsia" w:hAnsi="Times New Roman" w:cs="Times New Roman"/>
          <w:color w:val="auto"/>
          <w:sz w:val="22"/>
          <w:szCs w:val="22"/>
          <w:lang w:val="en-GB"/>
        </w:rPr>
        <w:t xml:space="preserve">manufactured and marketed products under their own brands. </w:t>
      </w:r>
      <w:r>
        <w:rPr>
          <w:rStyle w:val="A15"/>
          <w:rFonts w:ascii="Times New Roman" w:eastAsiaTheme="majorEastAsia" w:hAnsi="Times New Roman" w:cs="Times New Roman"/>
          <w:color w:val="auto"/>
          <w:sz w:val="22"/>
          <w:szCs w:val="22"/>
          <w:lang w:val="en-GB"/>
        </w:rPr>
        <w:t>The</w:t>
      </w:r>
      <w:r w:rsidRPr="00F90D5D">
        <w:rPr>
          <w:rStyle w:val="A15"/>
          <w:rFonts w:ascii="Times New Roman" w:eastAsiaTheme="majorEastAsia" w:hAnsi="Times New Roman" w:cs="Times New Roman"/>
          <w:color w:val="auto"/>
          <w:sz w:val="22"/>
          <w:szCs w:val="22"/>
          <w:lang w:val="en-GB"/>
        </w:rPr>
        <w:t xml:space="preserve"> majority of the brands had limited recognition among consumers </w:t>
      </w:r>
      <w:r>
        <w:rPr>
          <w:rStyle w:val="A15"/>
          <w:rFonts w:ascii="Times New Roman" w:eastAsiaTheme="majorEastAsia" w:hAnsi="Times New Roman" w:cs="Times New Roman"/>
          <w:color w:val="auto"/>
          <w:sz w:val="22"/>
          <w:szCs w:val="22"/>
          <w:lang w:val="en-GB"/>
        </w:rPr>
        <w:t xml:space="preserve">because </w:t>
      </w:r>
      <w:r w:rsidRPr="00F90D5D">
        <w:rPr>
          <w:rStyle w:val="A15"/>
          <w:rFonts w:ascii="Times New Roman" w:eastAsiaTheme="majorEastAsia" w:hAnsi="Times New Roman" w:cs="Times New Roman"/>
          <w:color w:val="auto"/>
          <w:sz w:val="22"/>
          <w:szCs w:val="22"/>
          <w:lang w:val="en-GB"/>
        </w:rPr>
        <w:t xml:space="preserve">home improvement and </w:t>
      </w:r>
      <w:r>
        <w:rPr>
          <w:rStyle w:val="A15"/>
          <w:rFonts w:ascii="Times New Roman" w:eastAsiaTheme="majorEastAsia" w:hAnsi="Times New Roman" w:cs="Times New Roman"/>
          <w:color w:val="auto"/>
          <w:sz w:val="22"/>
          <w:szCs w:val="22"/>
          <w:lang w:val="en-GB"/>
        </w:rPr>
        <w:t xml:space="preserve">home </w:t>
      </w:r>
      <w:r w:rsidRPr="00F90D5D">
        <w:rPr>
          <w:rStyle w:val="A15"/>
          <w:rFonts w:ascii="Times New Roman" w:eastAsiaTheme="majorEastAsia" w:hAnsi="Times New Roman" w:cs="Times New Roman"/>
          <w:color w:val="auto"/>
          <w:sz w:val="22"/>
          <w:szCs w:val="22"/>
          <w:lang w:val="en-GB"/>
        </w:rPr>
        <w:t>furnishing</w:t>
      </w:r>
      <w:r>
        <w:rPr>
          <w:rStyle w:val="A15"/>
          <w:rFonts w:ascii="Times New Roman" w:eastAsiaTheme="majorEastAsia" w:hAnsi="Times New Roman" w:cs="Times New Roman"/>
          <w:color w:val="auto"/>
          <w:sz w:val="22"/>
          <w:szCs w:val="22"/>
          <w:lang w:val="en-GB"/>
        </w:rPr>
        <w:t>s</w:t>
      </w:r>
      <w:r w:rsidRPr="00F90D5D">
        <w:rPr>
          <w:rStyle w:val="A15"/>
          <w:rFonts w:ascii="Times New Roman" w:eastAsiaTheme="majorEastAsia" w:hAnsi="Times New Roman" w:cs="Times New Roman"/>
          <w:color w:val="auto"/>
          <w:sz w:val="22"/>
          <w:szCs w:val="22"/>
          <w:lang w:val="en-GB"/>
        </w:rPr>
        <w:t xml:space="preserve"> products were, typically, low</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frequency and low</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quantity purchases. The companies themselves had limited marketing expertise and low marketing budget</w:t>
      </w:r>
      <w:r>
        <w:rPr>
          <w:rStyle w:val="A15"/>
          <w:rFonts w:ascii="Times New Roman" w:eastAsiaTheme="majorEastAsia" w:hAnsi="Times New Roman" w:cs="Times New Roman"/>
          <w:color w:val="auto"/>
          <w:sz w:val="22"/>
          <w:szCs w:val="22"/>
          <w:lang w:val="en-GB"/>
        </w:rPr>
        <w:t>s</w:t>
      </w:r>
      <w:r w:rsidRPr="00F90D5D">
        <w:rPr>
          <w:rStyle w:val="A15"/>
          <w:rFonts w:ascii="Times New Roman" w:eastAsiaTheme="majorEastAsia" w:hAnsi="Times New Roman" w:cs="Times New Roman"/>
          <w:color w:val="auto"/>
          <w:sz w:val="22"/>
          <w:szCs w:val="22"/>
          <w:lang w:val="en-GB"/>
        </w:rPr>
        <w:t xml:space="preserve">. Said </w:t>
      </w:r>
      <w:proofErr w:type="spellStart"/>
      <w:r w:rsidRPr="00F90D5D">
        <w:rPr>
          <w:rStyle w:val="A15"/>
          <w:rFonts w:ascii="Times New Roman" w:eastAsiaTheme="majorEastAsia" w:hAnsi="Times New Roman" w:cs="Times New Roman"/>
          <w:color w:val="auto"/>
          <w:sz w:val="22"/>
          <w:szCs w:val="22"/>
          <w:lang w:val="en-GB"/>
        </w:rPr>
        <w:t>CheChe</w:t>
      </w:r>
      <w:proofErr w:type="spellEnd"/>
      <w:r w:rsidRPr="00F90D5D">
        <w:rPr>
          <w:rStyle w:val="A15"/>
          <w:rFonts w:ascii="Times New Roman" w:eastAsiaTheme="majorEastAsia" w:hAnsi="Times New Roman" w:cs="Times New Roman"/>
          <w:color w:val="auto"/>
          <w:sz w:val="22"/>
          <w:szCs w:val="22"/>
          <w:lang w:val="en-GB"/>
        </w:rPr>
        <w:t>:</w:t>
      </w:r>
    </w:p>
    <w:p w:rsidR="00500131" w:rsidRPr="00F90D5D" w:rsidRDefault="00500131" w:rsidP="00500131">
      <w:pPr>
        <w:rPr>
          <w:rStyle w:val="A15"/>
          <w:rFonts w:ascii="Times New Roman" w:eastAsiaTheme="majorEastAsia" w:hAnsi="Times New Roman" w:cs="Times New Roman"/>
          <w:color w:val="auto"/>
          <w:sz w:val="22"/>
          <w:szCs w:val="22"/>
          <w:lang w:val="en-GB"/>
        </w:rPr>
      </w:pPr>
    </w:p>
    <w:p w:rsidR="00500131" w:rsidRPr="00F90D5D" w:rsidRDefault="00500131" w:rsidP="00500131">
      <w:pPr>
        <w:pStyle w:val="BodyTextMain"/>
        <w:ind w:left="720"/>
        <w:rPr>
          <w:rStyle w:val="A15"/>
          <w:rFonts w:ascii="Times New Roman" w:eastAsiaTheme="majorEastAsia" w:hAnsi="Times New Roman" w:cs="Times New Roman"/>
          <w:color w:val="auto"/>
          <w:sz w:val="22"/>
          <w:szCs w:val="22"/>
          <w:lang w:val="en-GB"/>
        </w:rPr>
      </w:pPr>
      <w:r w:rsidRPr="00F90D5D">
        <w:rPr>
          <w:rStyle w:val="A15"/>
          <w:rFonts w:ascii="Times New Roman" w:eastAsiaTheme="majorEastAsia" w:hAnsi="Times New Roman" w:cs="Times New Roman"/>
          <w:color w:val="auto"/>
          <w:sz w:val="22"/>
          <w:szCs w:val="22"/>
          <w:lang w:val="en-GB"/>
        </w:rPr>
        <w:t>Raw materials such as wood, plastic</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 xml:space="preserve"> and metal are available in China in plenty. But </w:t>
      </w:r>
      <w:r>
        <w:rPr>
          <w:rStyle w:val="A15"/>
          <w:rFonts w:ascii="Times New Roman" w:eastAsiaTheme="majorEastAsia" w:hAnsi="Times New Roman" w:cs="Times New Roman"/>
          <w:color w:val="auto"/>
          <w:sz w:val="22"/>
          <w:szCs w:val="22"/>
          <w:lang w:val="en-GB"/>
        </w:rPr>
        <w:t>because</w:t>
      </w:r>
      <w:r w:rsidRPr="00F90D5D">
        <w:rPr>
          <w:rStyle w:val="A15"/>
          <w:rFonts w:ascii="Times New Roman" w:eastAsiaTheme="majorEastAsia" w:hAnsi="Times New Roman" w:cs="Times New Roman"/>
          <w:color w:val="auto"/>
          <w:sz w:val="22"/>
          <w:szCs w:val="22"/>
          <w:lang w:val="en-GB"/>
        </w:rPr>
        <w:t xml:space="preserve"> they are also commoditized, low cost is the basis of differentiation at that phase of the industry’s value chain </w:t>
      </w:r>
      <w:r>
        <w:rPr>
          <w:rStyle w:val="A15"/>
          <w:rFonts w:ascii="Times New Roman" w:eastAsiaTheme="majorEastAsia" w:hAnsi="Times New Roman" w:cs="Times New Roman"/>
          <w:color w:val="auto"/>
          <w:sz w:val="22"/>
          <w:szCs w:val="22"/>
          <w:lang w:val="en-GB"/>
        </w:rPr>
        <w:t>[see E</w:t>
      </w:r>
      <w:r w:rsidRPr="00F90D5D">
        <w:rPr>
          <w:rStyle w:val="A15"/>
          <w:rFonts w:ascii="Times New Roman" w:eastAsiaTheme="majorEastAsia" w:hAnsi="Times New Roman" w:cs="Times New Roman"/>
          <w:color w:val="auto"/>
          <w:sz w:val="22"/>
          <w:szCs w:val="22"/>
          <w:lang w:val="en-GB"/>
        </w:rPr>
        <w:t>xhibit 1</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 The most important element of the value chain is distribution at the downstream end. That is where the source of competitive advantage</w:t>
      </w:r>
      <w:r w:rsidRPr="00055D4F">
        <w:rPr>
          <w:rStyle w:val="A15"/>
          <w:rFonts w:ascii="Times New Roman" w:eastAsiaTheme="majorEastAsia" w:hAnsi="Times New Roman" w:cs="Times New Roman"/>
          <w:color w:val="auto"/>
          <w:sz w:val="22"/>
          <w:szCs w:val="22"/>
          <w:lang w:val="en-GB"/>
        </w:rPr>
        <w:t xml:space="preserve"> </w:t>
      </w:r>
      <w:r w:rsidRPr="00F90D5D">
        <w:rPr>
          <w:rStyle w:val="A15"/>
          <w:rFonts w:ascii="Times New Roman" w:eastAsiaTheme="majorEastAsia" w:hAnsi="Times New Roman" w:cs="Times New Roman"/>
          <w:color w:val="auto"/>
          <w:sz w:val="22"/>
          <w:szCs w:val="22"/>
          <w:lang w:val="en-GB"/>
        </w:rPr>
        <w:t>lies. That is where a lot of innovation has also been happening. Other key success factors include brand recognition,</w:t>
      </w:r>
      <w:r>
        <w:rPr>
          <w:rStyle w:val="A15"/>
          <w:rFonts w:ascii="Times New Roman" w:eastAsiaTheme="majorEastAsia" w:hAnsi="Times New Roman" w:cs="Times New Roman"/>
          <w:color w:val="auto"/>
          <w:sz w:val="22"/>
          <w:szCs w:val="22"/>
          <w:lang w:val="en-GB"/>
        </w:rPr>
        <w:t xml:space="preserve"> the</w:t>
      </w:r>
      <w:r w:rsidRPr="00F90D5D">
        <w:rPr>
          <w:rStyle w:val="A15"/>
          <w:rFonts w:ascii="Times New Roman" w:eastAsiaTheme="majorEastAsia" w:hAnsi="Times New Roman" w:cs="Times New Roman"/>
          <w:color w:val="auto"/>
          <w:sz w:val="22"/>
          <w:szCs w:val="22"/>
          <w:lang w:val="en-GB"/>
        </w:rPr>
        <w:t xml:space="preserve"> location of the shopping mall, </w:t>
      </w:r>
      <w:r>
        <w:rPr>
          <w:rStyle w:val="A15"/>
          <w:rFonts w:ascii="Times New Roman" w:eastAsiaTheme="majorEastAsia" w:hAnsi="Times New Roman" w:cs="Times New Roman"/>
          <w:color w:val="auto"/>
          <w:sz w:val="22"/>
          <w:szCs w:val="22"/>
          <w:lang w:val="en-GB"/>
        </w:rPr>
        <w:t xml:space="preserve">the </w:t>
      </w:r>
      <w:r w:rsidRPr="00F90D5D">
        <w:rPr>
          <w:rStyle w:val="A15"/>
          <w:rFonts w:ascii="Times New Roman" w:eastAsiaTheme="majorEastAsia" w:hAnsi="Times New Roman" w:cs="Times New Roman"/>
          <w:color w:val="auto"/>
          <w:sz w:val="22"/>
          <w:szCs w:val="22"/>
          <w:lang w:val="en-GB"/>
        </w:rPr>
        <w:t xml:space="preserve">product mix offered by tenants, and </w:t>
      </w:r>
      <w:r>
        <w:rPr>
          <w:rStyle w:val="A15"/>
          <w:rFonts w:ascii="Times New Roman" w:eastAsiaTheme="majorEastAsia" w:hAnsi="Times New Roman" w:cs="Times New Roman"/>
          <w:color w:val="auto"/>
          <w:sz w:val="22"/>
          <w:szCs w:val="22"/>
          <w:lang w:val="en-GB"/>
        </w:rPr>
        <w:t xml:space="preserve">the </w:t>
      </w:r>
      <w:r w:rsidRPr="00F90D5D">
        <w:rPr>
          <w:rStyle w:val="A15"/>
          <w:rFonts w:ascii="Times New Roman" w:eastAsiaTheme="majorEastAsia" w:hAnsi="Times New Roman" w:cs="Times New Roman"/>
          <w:color w:val="auto"/>
          <w:sz w:val="22"/>
          <w:szCs w:val="22"/>
          <w:lang w:val="en-GB"/>
        </w:rPr>
        <w:t>ability to understand customer needs. The quality of customer service is also a</w:t>
      </w:r>
      <w:r w:rsidRPr="00F90D5D">
        <w:rPr>
          <w:rStyle w:val="A15"/>
          <w:rFonts w:ascii="Times New Roman" w:eastAsiaTheme="minorEastAsia" w:hAnsi="Times New Roman" w:cs="Times New Roman" w:hint="eastAsia"/>
          <w:color w:val="auto"/>
          <w:sz w:val="22"/>
          <w:szCs w:val="22"/>
          <w:lang w:val="en-GB" w:eastAsia="zh-CN"/>
        </w:rPr>
        <w:t xml:space="preserve"> </w:t>
      </w:r>
      <w:r w:rsidRPr="00F90D5D">
        <w:rPr>
          <w:rStyle w:val="A15"/>
          <w:rFonts w:ascii="Times New Roman" w:eastAsiaTheme="majorEastAsia" w:hAnsi="Times New Roman" w:cs="Times New Roman"/>
          <w:color w:val="auto"/>
          <w:sz w:val="22"/>
          <w:szCs w:val="22"/>
          <w:lang w:val="en-GB"/>
        </w:rPr>
        <w:t xml:space="preserve">differentiator. </w:t>
      </w:r>
      <w:r>
        <w:rPr>
          <w:rStyle w:val="A15"/>
          <w:rFonts w:ascii="Times New Roman" w:eastAsiaTheme="majorEastAsia" w:hAnsi="Times New Roman" w:cs="Times New Roman"/>
          <w:color w:val="auto"/>
          <w:sz w:val="22"/>
          <w:szCs w:val="22"/>
          <w:lang w:val="en-GB"/>
        </w:rPr>
        <w:t xml:space="preserve"> </w:t>
      </w:r>
    </w:p>
    <w:p w:rsidR="00500131" w:rsidRPr="00F90D5D" w:rsidRDefault="00500131" w:rsidP="00500131">
      <w:pPr>
        <w:pStyle w:val="BodyTextMain"/>
        <w:rPr>
          <w:rStyle w:val="A15"/>
          <w:rFonts w:ascii="Times New Roman" w:eastAsiaTheme="majorEastAsia" w:hAnsi="Times New Roman" w:cs="Times New Roman"/>
          <w:color w:val="auto"/>
          <w:sz w:val="22"/>
          <w:szCs w:val="22"/>
          <w:lang w:val="en-GB"/>
        </w:rPr>
      </w:pPr>
    </w:p>
    <w:p w:rsidR="00500131" w:rsidRPr="00F90D5D" w:rsidRDefault="00500131" w:rsidP="00500131">
      <w:pPr>
        <w:pStyle w:val="BodyTextMain"/>
        <w:rPr>
          <w:rStyle w:val="A15"/>
          <w:rFonts w:ascii="Times New Roman" w:eastAsiaTheme="majorEastAsia" w:hAnsi="Times New Roman" w:cs="Times New Roman"/>
          <w:color w:val="auto"/>
          <w:sz w:val="22"/>
          <w:szCs w:val="22"/>
          <w:lang w:val="en-GB"/>
        </w:rPr>
      </w:pPr>
      <w:r>
        <w:rPr>
          <w:rStyle w:val="A15"/>
          <w:rFonts w:ascii="Times New Roman" w:eastAsiaTheme="majorEastAsia" w:hAnsi="Times New Roman" w:cs="Times New Roman"/>
          <w:color w:val="auto"/>
          <w:sz w:val="22"/>
          <w:szCs w:val="22"/>
          <w:lang w:val="en-GB"/>
        </w:rPr>
        <w:t>China’s home improvement and home furnishings</w:t>
      </w:r>
      <w:r w:rsidRPr="00F90D5D">
        <w:rPr>
          <w:rStyle w:val="A15"/>
          <w:rFonts w:ascii="Times New Roman" w:eastAsiaTheme="majorEastAsia" w:hAnsi="Times New Roman" w:cs="Times New Roman"/>
          <w:color w:val="auto"/>
          <w:sz w:val="22"/>
          <w:szCs w:val="22"/>
          <w:lang w:val="en-GB"/>
        </w:rPr>
        <w:t xml:space="preserve"> industry was highly competitive. Prominent foreign players included B&amp;Q plc (the </w:t>
      </w:r>
      <w:r>
        <w:rPr>
          <w:rStyle w:val="A15"/>
          <w:rFonts w:ascii="Times New Roman" w:eastAsiaTheme="majorEastAsia" w:hAnsi="Times New Roman" w:cs="Times New Roman"/>
          <w:color w:val="auto"/>
          <w:sz w:val="22"/>
          <w:szCs w:val="22"/>
          <w:lang w:val="en-GB"/>
        </w:rPr>
        <w:t xml:space="preserve">United Kingdom’s </w:t>
      </w:r>
      <w:r w:rsidRPr="00F90D5D">
        <w:rPr>
          <w:rStyle w:val="A15"/>
          <w:rFonts w:ascii="Times New Roman" w:eastAsiaTheme="majorEastAsia" w:hAnsi="Times New Roman" w:cs="Times New Roman"/>
          <w:color w:val="auto"/>
          <w:sz w:val="22"/>
          <w:szCs w:val="22"/>
          <w:lang w:val="en-GB"/>
        </w:rPr>
        <w:t>largest home improvement and garden cent</w:t>
      </w:r>
      <w:r>
        <w:rPr>
          <w:rStyle w:val="A15"/>
          <w:rFonts w:ascii="Times New Roman" w:eastAsiaTheme="majorEastAsia" w:hAnsi="Times New Roman" w:cs="Times New Roman"/>
          <w:color w:val="auto"/>
          <w:sz w:val="22"/>
          <w:szCs w:val="22"/>
          <w:lang w:val="en-GB"/>
        </w:rPr>
        <w:t>re</w:t>
      </w:r>
      <w:r w:rsidRPr="00F90D5D">
        <w:rPr>
          <w:rStyle w:val="A15"/>
          <w:rFonts w:ascii="Times New Roman" w:eastAsiaTheme="majorEastAsia" w:hAnsi="Times New Roman" w:cs="Times New Roman"/>
          <w:color w:val="auto"/>
          <w:sz w:val="22"/>
          <w:szCs w:val="22"/>
          <w:lang w:val="en-GB"/>
        </w:rPr>
        <w:t xml:space="preserve"> retailer) and IKEA (a Swedish company</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 xml:space="preserve"> which had </w:t>
      </w:r>
      <w:r>
        <w:rPr>
          <w:rStyle w:val="A15"/>
          <w:rFonts w:ascii="Times New Roman" w:eastAsiaTheme="majorEastAsia" w:hAnsi="Times New Roman" w:cs="Times New Roman"/>
          <w:color w:val="auto"/>
          <w:sz w:val="22"/>
          <w:szCs w:val="22"/>
          <w:lang w:val="en-GB"/>
        </w:rPr>
        <w:t xml:space="preserve">located </w:t>
      </w:r>
      <w:r w:rsidRPr="00F90D5D">
        <w:rPr>
          <w:rStyle w:val="A15"/>
          <w:rFonts w:ascii="Times New Roman" w:eastAsiaTheme="majorEastAsia" w:hAnsi="Times New Roman" w:cs="Times New Roman"/>
          <w:color w:val="auto"/>
          <w:sz w:val="22"/>
          <w:szCs w:val="22"/>
          <w:lang w:val="en-GB"/>
        </w:rPr>
        <w:t xml:space="preserve">eight of its </w:t>
      </w:r>
      <w:r>
        <w:rPr>
          <w:rStyle w:val="A15"/>
          <w:rFonts w:ascii="Times New Roman" w:eastAsiaTheme="majorEastAsia" w:hAnsi="Times New Roman" w:cs="Times New Roman"/>
          <w:color w:val="auto"/>
          <w:sz w:val="22"/>
          <w:szCs w:val="22"/>
          <w:lang w:val="en-GB"/>
        </w:rPr>
        <w:t>10</w:t>
      </w:r>
      <w:r w:rsidRPr="00F90D5D">
        <w:rPr>
          <w:rStyle w:val="A15"/>
          <w:rFonts w:ascii="Times New Roman" w:eastAsiaTheme="majorEastAsia" w:hAnsi="Times New Roman" w:cs="Times New Roman"/>
          <w:color w:val="auto"/>
          <w:sz w:val="22"/>
          <w:szCs w:val="22"/>
          <w:lang w:val="en-GB"/>
        </w:rPr>
        <w:t xml:space="preserve"> biggest stores in China). Prominent domestic players included Easy Home (a furniture retailer with </w:t>
      </w:r>
      <w:r>
        <w:rPr>
          <w:rStyle w:val="A15"/>
          <w:rFonts w:ascii="Times New Roman" w:eastAsiaTheme="majorEastAsia" w:hAnsi="Times New Roman" w:cs="Times New Roman"/>
          <w:color w:val="auto"/>
          <w:sz w:val="22"/>
          <w:szCs w:val="22"/>
          <w:lang w:val="en-GB"/>
        </w:rPr>
        <w:t>approximately</w:t>
      </w:r>
      <w:r w:rsidRPr="00F90D5D">
        <w:rPr>
          <w:rStyle w:val="A15"/>
          <w:rFonts w:ascii="Times New Roman" w:eastAsiaTheme="majorEastAsia" w:hAnsi="Times New Roman" w:cs="Times New Roman"/>
          <w:color w:val="auto"/>
          <w:sz w:val="22"/>
          <w:szCs w:val="22"/>
          <w:lang w:val="en-GB"/>
        </w:rPr>
        <w:t xml:space="preserve"> 50 stores </w:t>
      </w:r>
      <w:r>
        <w:rPr>
          <w:rStyle w:val="A15"/>
          <w:rFonts w:ascii="Times New Roman" w:eastAsiaTheme="majorEastAsia" w:hAnsi="Times New Roman" w:cs="Times New Roman"/>
          <w:color w:val="auto"/>
          <w:sz w:val="22"/>
          <w:szCs w:val="22"/>
          <w:lang w:val="en-GB"/>
        </w:rPr>
        <w:t xml:space="preserve">that </w:t>
      </w:r>
      <w:r w:rsidRPr="00F90D5D">
        <w:rPr>
          <w:rStyle w:val="A15"/>
          <w:rFonts w:ascii="Times New Roman" w:eastAsiaTheme="majorEastAsia" w:hAnsi="Times New Roman" w:cs="Times New Roman"/>
          <w:color w:val="auto"/>
          <w:sz w:val="22"/>
          <w:szCs w:val="22"/>
          <w:lang w:val="en-GB"/>
        </w:rPr>
        <w:t>market</w:t>
      </w:r>
      <w:r>
        <w:rPr>
          <w:rStyle w:val="A15"/>
          <w:rFonts w:ascii="Times New Roman" w:eastAsiaTheme="majorEastAsia" w:hAnsi="Times New Roman" w:cs="Times New Roman"/>
          <w:color w:val="auto"/>
          <w:sz w:val="22"/>
          <w:szCs w:val="22"/>
          <w:lang w:val="en-GB"/>
        </w:rPr>
        <w:t>ed</w:t>
      </w:r>
      <w:r w:rsidRPr="00F90D5D">
        <w:rPr>
          <w:rStyle w:val="A15"/>
          <w:rFonts w:ascii="Times New Roman" w:eastAsiaTheme="majorEastAsia" w:hAnsi="Times New Roman" w:cs="Times New Roman"/>
          <w:color w:val="auto"/>
          <w:sz w:val="22"/>
          <w:szCs w:val="22"/>
          <w:lang w:val="en-GB"/>
        </w:rPr>
        <w:t xml:space="preserve"> high</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 xml:space="preserve">quality brands from around the world) and </w:t>
      </w:r>
      <w:proofErr w:type="spellStart"/>
      <w:r w:rsidRPr="00F90D5D">
        <w:rPr>
          <w:rStyle w:val="A15"/>
          <w:rFonts w:ascii="Times New Roman" w:eastAsiaTheme="majorEastAsia" w:hAnsi="Times New Roman" w:cs="Times New Roman"/>
          <w:color w:val="auto"/>
          <w:sz w:val="22"/>
          <w:szCs w:val="22"/>
          <w:lang w:val="en-GB"/>
        </w:rPr>
        <w:t>Ayd</w:t>
      </w:r>
      <w:proofErr w:type="spellEnd"/>
      <w:r w:rsidRPr="00F90D5D">
        <w:rPr>
          <w:rStyle w:val="A15"/>
          <w:rFonts w:ascii="Times New Roman" w:eastAsiaTheme="majorEastAsia" w:hAnsi="Times New Roman" w:cs="Times New Roman"/>
          <w:color w:val="auto"/>
          <w:sz w:val="22"/>
          <w:szCs w:val="22"/>
          <w:lang w:val="en-GB"/>
        </w:rPr>
        <w:t xml:space="preserve"> Home Furnishings (one of the largest retail furniture mall operators). </w:t>
      </w:r>
      <w:r>
        <w:rPr>
          <w:rStyle w:val="A15"/>
          <w:rFonts w:ascii="Times New Roman" w:eastAsiaTheme="majorEastAsia" w:hAnsi="Times New Roman" w:cs="Times New Roman"/>
          <w:color w:val="auto"/>
          <w:sz w:val="22"/>
          <w:szCs w:val="22"/>
          <w:lang w:val="en-GB"/>
        </w:rPr>
        <w:t>M</w:t>
      </w:r>
      <w:r w:rsidRPr="00F90D5D">
        <w:rPr>
          <w:rStyle w:val="A15"/>
          <w:rFonts w:ascii="Times New Roman" w:eastAsiaTheme="majorEastAsia" w:hAnsi="Times New Roman" w:cs="Times New Roman"/>
          <w:color w:val="auto"/>
          <w:sz w:val="22"/>
          <w:szCs w:val="22"/>
          <w:lang w:val="en-GB"/>
        </w:rPr>
        <w:t xml:space="preserve">any </w:t>
      </w:r>
      <w:r>
        <w:rPr>
          <w:rStyle w:val="A15"/>
          <w:rFonts w:ascii="Times New Roman" w:eastAsiaTheme="majorEastAsia" w:hAnsi="Times New Roman" w:cs="Times New Roman"/>
          <w:color w:val="auto"/>
          <w:sz w:val="22"/>
          <w:szCs w:val="22"/>
          <w:lang w:val="en-GB"/>
        </w:rPr>
        <w:t xml:space="preserve">other </w:t>
      </w:r>
      <w:r w:rsidRPr="00F90D5D">
        <w:rPr>
          <w:rStyle w:val="A15"/>
          <w:rFonts w:ascii="Times New Roman" w:eastAsiaTheme="majorEastAsia" w:hAnsi="Times New Roman" w:cs="Times New Roman"/>
          <w:color w:val="auto"/>
          <w:sz w:val="22"/>
          <w:szCs w:val="22"/>
          <w:lang w:val="en-GB"/>
        </w:rPr>
        <w:t xml:space="preserve">local operators </w:t>
      </w:r>
      <w:r>
        <w:rPr>
          <w:rStyle w:val="A15"/>
          <w:rFonts w:ascii="Times New Roman" w:eastAsiaTheme="majorEastAsia" w:hAnsi="Times New Roman" w:cs="Times New Roman"/>
          <w:color w:val="auto"/>
          <w:sz w:val="22"/>
          <w:szCs w:val="22"/>
          <w:lang w:val="en-GB"/>
        </w:rPr>
        <w:t xml:space="preserve">worked </w:t>
      </w:r>
      <w:r w:rsidRPr="00F90D5D">
        <w:rPr>
          <w:rStyle w:val="A15"/>
          <w:rFonts w:ascii="Times New Roman" w:eastAsiaTheme="majorEastAsia" w:hAnsi="Times New Roman" w:cs="Times New Roman"/>
          <w:color w:val="auto"/>
          <w:sz w:val="22"/>
          <w:szCs w:val="22"/>
          <w:lang w:val="en-GB"/>
        </w:rPr>
        <w:t>in the brick</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and</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mortar space. Major competitors in the e-commerce space included Jia.com (</w:t>
      </w:r>
      <w:r>
        <w:rPr>
          <w:rStyle w:val="A15"/>
          <w:rFonts w:ascii="Times New Roman" w:eastAsiaTheme="majorEastAsia" w:hAnsi="Times New Roman" w:cs="Times New Roman"/>
          <w:color w:val="auto"/>
          <w:sz w:val="22"/>
          <w:szCs w:val="22"/>
          <w:lang w:val="en-GB"/>
        </w:rPr>
        <w:t>which sold</w:t>
      </w:r>
      <w:r w:rsidRPr="00F90D5D">
        <w:rPr>
          <w:rStyle w:val="A15"/>
          <w:rFonts w:ascii="Times New Roman" w:eastAsiaTheme="majorEastAsia" w:hAnsi="Times New Roman" w:cs="Times New Roman"/>
          <w:color w:val="auto"/>
          <w:sz w:val="22"/>
          <w:szCs w:val="22"/>
          <w:lang w:val="en-GB"/>
        </w:rPr>
        <w:t xml:space="preserve"> home furnishings and decoration)</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 xml:space="preserve"> and the home improvement retail business</w:t>
      </w:r>
      <w:r>
        <w:rPr>
          <w:rStyle w:val="A15"/>
          <w:rFonts w:ascii="Times New Roman" w:eastAsiaTheme="majorEastAsia" w:hAnsi="Times New Roman" w:cs="Times New Roman"/>
          <w:color w:val="auto"/>
          <w:sz w:val="22"/>
          <w:szCs w:val="22"/>
          <w:lang w:val="en-GB"/>
        </w:rPr>
        <w:t>es</w:t>
      </w:r>
      <w:r w:rsidRPr="00F90D5D">
        <w:rPr>
          <w:rStyle w:val="A15"/>
          <w:rFonts w:ascii="Times New Roman" w:eastAsiaTheme="majorEastAsia" w:hAnsi="Times New Roman" w:cs="Times New Roman"/>
          <w:color w:val="auto"/>
          <w:sz w:val="22"/>
          <w:szCs w:val="22"/>
          <w:lang w:val="en-GB"/>
        </w:rPr>
        <w:t xml:space="preserve"> of Tmall.com (the country’s largest B2C platform) and JD.com (another online B2C company).</w:t>
      </w:r>
    </w:p>
    <w:p w:rsidR="00500131" w:rsidRPr="00F90D5D" w:rsidRDefault="00500131" w:rsidP="00500131">
      <w:pPr>
        <w:rPr>
          <w:rStyle w:val="A15"/>
          <w:rFonts w:ascii="Times New Roman" w:eastAsiaTheme="majorEastAsia" w:hAnsi="Times New Roman" w:cs="Times New Roman"/>
          <w:color w:val="auto"/>
          <w:sz w:val="22"/>
          <w:szCs w:val="22"/>
          <w:lang w:val="en-GB"/>
        </w:rPr>
      </w:pPr>
    </w:p>
    <w:p w:rsidR="00500131" w:rsidRPr="00F90D5D" w:rsidRDefault="00500131" w:rsidP="00500131">
      <w:pPr>
        <w:pStyle w:val="BodyTextMain"/>
        <w:rPr>
          <w:rStyle w:val="A15"/>
          <w:rFonts w:ascii="Times New Roman" w:eastAsiaTheme="majorEastAsia" w:hAnsi="Times New Roman" w:cs="Times New Roman"/>
          <w:color w:val="auto"/>
          <w:sz w:val="22"/>
          <w:szCs w:val="22"/>
          <w:lang w:val="en-GB"/>
        </w:rPr>
      </w:pPr>
      <w:r w:rsidRPr="00F90D5D">
        <w:rPr>
          <w:rStyle w:val="A15"/>
          <w:rFonts w:ascii="Times New Roman" w:eastAsiaTheme="majorEastAsia" w:hAnsi="Times New Roman" w:cs="Times New Roman"/>
          <w:color w:val="auto"/>
          <w:sz w:val="22"/>
          <w:szCs w:val="22"/>
          <w:lang w:val="en-GB"/>
        </w:rPr>
        <w:t>An important characteristic of the home improvement and furnishing</w:t>
      </w:r>
      <w:r>
        <w:rPr>
          <w:rStyle w:val="A15"/>
          <w:rFonts w:ascii="Times New Roman" w:eastAsiaTheme="majorEastAsia" w:hAnsi="Times New Roman" w:cs="Times New Roman"/>
          <w:color w:val="auto"/>
          <w:sz w:val="22"/>
          <w:szCs w:val="22"/>
          <w:lang w:val="en-GB"/>
        </w:rPr>
        <w:t>s</w:t>
      </w:r>
      <w:r w:rsidRPr="00F90D5D">
        <w:rPr>
          <w:rStyle w:val="A15"/>
          <w:rFonts w:ascii="Times New Roman" w:eastAsiaTheme="majorEastAsia" w:hAnsi="Times New Roman" w:cs="Times New Roman"/>
          <w:color w:val="auto"/>
          <w:sz w:val="22"/>
          <w:szCs w:val="22"/>
          <w:lang w:val="en-GB"/>
        </w:rPr>
        <w:t xml:space="preserve"> industry in China was that Chinese consumers preferred the do-it-for-me (DIFM) model over the do-it-yourself (DIY) model. The latter was typical of retailers in North America and Western Europe</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 xml:space="preserve"> which offered semi-finished products and simple tools to go with them, </w:t>
      </w:r>
      <w:r>
        <w:rPr>
          <w:rStyle w:val="A15"/>
          <w:rFonts w:ascii="Times New Roman" w:eastAsiaTheme="majorEastAsia" w:hAnsi="Times New Roman" w:cs="Times New Roman"/>
          <w:color w:val="auto"/>
          <w:sz w:val="22"/>
          <w:szCs w:val="22"/>
          <w:lang w:val="en-GB"/>
        </w:rPr>
        <w:t>thereby</w:t>
      </w:r>
      <w:r w:rsidRPr="00F90D5D">
        <w:rPr>
          <w:rStyle w:val="A15"/>
          <w:rFonts w:ascii="Times New Roman" w:eastAsiaTheme="majorEastAsia" w:hAnsi="Times New Roman" w:cs="Times New Roman"/>
          <w:color w:val="auto"/>
          <w:sz w:val="22"/>
          <w:szCs w:val="22"/>
          <w:lang w:val="en-GB"/>
        </w:rPr>
        <w:t xml:space="preserve"> enabl</w:t>
      </w:r>
      <w:r>
        <w:rPr>
          <w:rStyle w:val="A15"/>
          <w:rFonts w:ascii="Times New Roman" w:eastAsiaTheme="majorEastAsia" w:hAnsi="Times New Roman" w:cs="Times New Roman"/>
          <w:color w:val="auto"/>
          <w:sz w:val="22"/>
          <w:szCs w:val="22"/>
          <w:lang w:val="en-GB"/>
        </w:rPr>
        <w:t>ing</w:t>
      </w:r>
      <w:r w:rsidRPr="00F90D5D">
        <w:rPr>
          <w:rStyle w:val="A15"/>
          <w:rFonts w:ascii="Times New Roman" w:eastAsiaTheme="majorEastAsia" w:hAnsi="Times New Roman" w:cs="Times New Roman"/>
          <w:color w:val="auto"/>
          <w:sz w:val="22"/>
          <w:szCs w:val="22"/>
          <w:lang w:val="en-GB"/>
        </w:rPr>
        <w:t xml:space="preserve"> customers to complete the work in their own homes. Chinese preferred finished products </w:t>
      </w:r>
      <w:r>
        <w:rPr>
          <w:rStyle w:val="A15"/>
          <w:rFonts w:ascii="Times New Roman" w:eastAsiaTheme="majorEastAsia" w:hAnsi="Times New Roman" w:cs="Times New Roman"/>
          <w:color w:val="auto"/>
          <w:sz w:val="22"/>
          <w:szCs w:val="22"/>
          <w:lang w:val="en-GB"/>
        </w:rPr>
        <w:t>that</w:t>
      </w:r>
      <w:r w:rsidRPr="00F90D5D">
        <w:rPr>
          <w:rStyle w:val="A15"/>
          <w:rFonts w:ascii="Times New Roman" w:eastAsiaTheme="majorEastAsia" w:hAnsi="Times New Roman" w:cs="Times New Roman"/>
          <w:color w:val="auto"/>
          <w:sz w:val="22"/>
          <w:szCs w:val="22"/>
          <w:lang w:val="en-GB"/>
        </w:rPr>
        <w:t xml:space="preserve"> were ready to go with no additional work </w:t>
      </w:r>
      <w:r>
        <w:rPr>
          <w:rStyle w:val="A15"/>
          <w:rFonts w:ascii="Times New Roman" w:eastAsiaTheme="majorEastAsia" w:hAnsi="Times New Roman" w:cs="Times New Roman"/>
          <w:color w:val="auto"/>
          <w:sz w:val="22"/>
          <w:szCs w:val="22"/>
          <w:lang w:val="en-GB"/>
        </w:rPr>
        <w:t>needed</w:t>
      </w:r>
      <w:r w:rsidRPr="00F90D5D">
        <w:rPr>
          <w:rStyle w:val="A15"/>
          <w:rFonts w:ascii="Times New Roman" w:eastAsiaTheme="majorEastAsia" w:hAnsi="Times New Roman" w:cs="Times New Roman"/>
          <w:color w:val="auto"/>
          <w:sz w:val="22"/>
          <w:szCs w:val="22"/>
          <w:lang w:val="en-GB"/>
        </w:rPr>
        <w:t xml:space="preserve">. Their preference was </w:t>
      </w:r>
      <w:r>
        <w:rPr>
          <w:rStyle w:val="A15"/>
          <w:rFonts w:ascii="Times New Roman" w:eastAsiaTheme="majorEastAsia" w:hAnsi="Times New Roman" w:cs="Times New Roman"/>
          <w:color w:val="auto"/>
          <w:sz w:val="22"/>
          <w:szCs w:val="22"/>
          <w:lang w:val="en-GB"/>
        </w:rPr>
        <w:t xml:space="preserve">both </w:t>
      </w:r>
      <w:r w:rsidRPr="00F90D5D">
        <w:rPr>
          <w:rStyle w:val="A15"/>
          <w:rFonts w:ascii="Times New Roman" w:eastAsiaTheme="majorEastAsia" w:hAnsi="Times New Roman" w:cs="Times New Roman"/>
          <w:color w:val="auto"/>
          <w:sz w:val="22"/>
          <w:szCs w:val="22"/>
          <w:lang w:val="en-GB"/>
        </w:rPr>
        <w:t xml:space="preserve">historical </w:t>
      </w:r>
      <w:r>
        <w:rPr>
          <w:rStyle w:val="A15"/>
          <w:rFonts w:ascii="Times New Roman" w:eastAsiaTheme="majorEastAsia" w:hAnsi="Times New Roman" w:cs="Times New Roman"/>
          <w:color w:val="auto"/>
          <w:sz w:val="22"/>
          <w:szCs w:val="22"/>
          <w:lang w:val="en-GB"/>
        </w:rPr>
        <w:t xml:space="preserve">(i.e., </w:t>
      </w:r>
      <w:r w:rsidRPr="00F90D5D">
        <w:rPr>
          <w:rStyle w:val="A15"/>
          <w:rFonts w:ascii="Times New Roman" w:eastAsiaTheme="majorEastAsia" w:hAnsi="Times New Roman" w:cs="Times New Roman"/>
          <w:color w:val="auto"/>
          <w:sz w:val="22"/>
          <w:szCs w:val="22"/>
          <w:lang w:val="en-GB"/>
        </w:rPr>
        <w:t xml:space="preserve">driven by </w:t>
      </w:r>
      <w:r>
        <w:rPr>
          <w:rStyle w:val="A15"/>
          <w:rFonts w:ascii="Times New Roman" w:eastAsiaTheme="majorEastAsia" w:hAnsi="Times New Roman" w:cs="Times New Roman"/>
          <w:color w:val="auto"/>
          <w:sz w:val="22"/>
          <w:szCs w:val="22"/>
          <w:lang w:val="en-GB"/>
        </w:rPr>
        <w:t xml:space="preserve">the low </w:t>
      </w:r>
      <w:r w:rsidRPr="00F90D5D">
        <w:rPr>
          <w:rStyle w:val="A15"/>
          <w:rFonts w:ascii="Times New Roman" w:eastAsiaTheme="majorEastAsia" w:hAnsi="Times New Roman" w:cs="Times New Roman"/>
          <w:color w:val="auto"/>
          <w:sz w:val="22"/>
          <w:szCs w:val="22"/>
          <w:lang w:val="en-GB"/>
        </w:rPr>
        <w:t>availability of tradespeople, low labo</w:t>
      </w:r>
      <w:r>
        <w:rPr>
          <w:rStyle w:val="A15"/>
          <w:rFonts w:ascii="Times New Roman" w:eastAsiaTheme="majorEastAsia" w:hAnsi="Times New Roman" w:cs="Times New Roman"/>
          <w:color w:val="auto"/>
          <w:sz w:val="22"/>
          <w:szCs w:val="22"/>
          <w:lang w:val="en-GB"/>
        </w:rPr>
        <w:t>u</w:t>
      </w:r>
      <w:r w:rsidRPr="00F90D5D">
        <w:rPr>
          <w:rStyle w:val="A15"/>
          <w:rFonts w:ascii="Times New Roman" w:eastAsiaTheme="majorEastAsia" w:hAnsi="Times New Roman" w:cs="Times New Roman"/>
          <w:color w:val="auto"/>
          <w:sz w:val="22"/>
          <w:szCs w:val="22"/>
          <w:lang w:val="en-GB"/>
        </w:rPr>
        <w:t>r cost</w:t>
      </w:r>
      <w:r>
        <w:rPr>
          <w:rStyle w:val="A15"/>
          <w:rFonts w:ascii="Times New Roman" w:eastAsiaTheme="majorEastAsia" w:hAnsi="Times New Roman" w:cs="Times New Roman"/>
          <w:color w:val="auto"/>
          <w:sz w:val="22"/>
          <w:szCs w:val="22"/>
          <w:lang w:val="en-GB"/>
        </w:rPr>
        <w:t>s,</w:t>
      </w:r>
      <w:r w:rsidRPr="00F90D5D">
        <w:rPr>
          <w:rStyle w:val="A15"/>
          <w:rFonts w:ascii="Times New Roman" w:eastAsiaTheme="majorEastAsia" w:hAnsi="Times New Roman" w:cs="Times New Roman"/>
          <w:color w:val="auto"/>
          <w:sz w:val="22"/>
          <w:szCs w:val="22"/>
          <w:lang w:val="en-GB"/>
        </w:rPr>
        <w:t xml:space="preserve"> and the need for convenience</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 xml:space="preserve"> </w:t>
      </w:r>
      <w:r>
        <w:rPr>
          <w:rStyle w:val="A15"/>
          <w:rFonts w:ascii="Times New Roman" w:eastAsiaTheme="majorEastAsia" w:hAnsi="Times New Roman" w:cs="Times New Roman"/>
          <w:color w:val="auto"/>
          <w:sz w:val="22"/>
          <w:szCs w:val="22"/>
          <w:lang w:val="en-GB"/>
        </w:rPr>
        <w:t xml:space="preserve">and </w:t>
      </w:r>
      <w:r w:rsidRPr="00F90D5D">
        <w:rPr>
          <w:rStyle w:val="A15"/>
          <w:rFonts w:ascii="Times New Roman" w:eastAsiaTheme="majorEastAsia" w:hAnsi="Times New Roman" w:cs="Times New Roman"/>
          <w:color w:val="auto"/>
          <w:sz w:val="22"/>
          <w:szCs w:val="22"/>
          <w:lang w:val="en-GB"/>
        </w:rPr>
        <w:t xml:space="preserve">cultural </w:t>
      </w:r>
      <w:r>
        <w:rPr>
          <w:rStyle w:val="A15"/>
          <w:rFonts w:ascii="Times New Roman" w:eastAsiaTheme="majorEastAsia" w:hAnsi="Times New Roman" w:cs="Times New Roman"/>
          <w:color w:val="auto"/>
          <w:sz w:val="22"/>
          <w:szCs w:val="22"/>
          <w:lang w:val="en-GB"/>
        </w:rPr>
        <w:t xml:space="preserve">(i.e., the </w:t>
      </w:r>
      <w:r w:rsidRPr="00F90D5D">
        <w:rPr>
          <w:rStyle w:val="A15"/>
          <w:rFonts w:ascii="Times New Roman" w:eastAsiaTheme="majorEastAsia" w:hAnsi="Times New Roman" w:cs="Times New Roman"/>
          <w:color w:val="auto"/>
          <w:sz w:val="22"/>
          <w:szCs w:val="22"/>
          <w:lang w:val="en-GB"/>
        </w:rPr>
        <w:t xml:space="preserve">DIFM </w:t>
      </w:r>
      <w:r>
        <w:rPr>
          <w:rStyle w:val="A15"/>
          <w:rFonts w:ascii="Times New Roman" w:eastAsiaTheme="majorEastAsia" w:hAnsi="Times New Roman" w:cs="Times New Roman"/>
          <w:color w:val="auto"/>
          <w:sz w:val="22"/>
          <w:szCs w:val="22"/>
          <w:lang w:val="en-GB"/>
        </w:rPr>
        <w:t xml:space="preserve">model </w:t>
      </w:r>
      <w:r w:rsidRPr="00F90D5D">
        <w:rPr>
          <w:rStyle w:val="A15"/>
          <w:rFonts w:ascii="Times New Roman" w:eastAsiaTheme="majorEastAsia" w:hAnsi="Times New Roman" w:cs="Times New Roman"/>
          <w:color w:val="auto"/>
          <w:sz w:val="22"/>
          <w:szCs w:val="22"/>
          <w:lang w:val="en-GB"/>
        </w:rPr>
        <w:t xml:space="preserve">carried a premium in the </w:t>
      </w:r>
      <w:proofErr w:type="spellStart"/>
      <w:r w:rsidRPr="00F90D5D">
        <w:rPr>
          <w:rStyle w:val="A15"/>
          <w:rFonts w:ascii="Times New Roman" w:eastAsiaTheme="majorEastAsia" w:hAnsi="Times New Roman" w:cs="Times New Roman"/>
          <w:color w:val="auto"/>
          <w:sz w:val="22"/>
          <w:szCs w:val="22"/>
          <w:lang w:val="en-GB"/>
        </w:rPr>
        <w:t>mindset</w:t>
      </w:r>
      <w:proofErr w:type="spellEnd"/>
      <w:r w:rsidRPr="00F90D5D">
        <w:rPr>
          <w:rStyle w:val="A15"/>
          <w:rFonts w:ascii="Times New Roman" w:eastAsiaTheme="majorEastAsia" w:hAnsi="Times New Roman" w:cs="Times New Roman"/>
          <w:color w:val="auto"/>
          <w:sz w:val="22"/>
          <w:szCs w:val="22"/>
          <w:lang w:val="en-GB"/>
        </w:rPr>
        <w:t xml:space="preserve"> of a Chinese consumer</w:t>
      </w:r>
      <w:r>
        <w:rPr>
          <w:rStyle w:val="A15"/>
          <w:rFonts w:ascii="Times New Roman" w:eastAsiaTheme="majorEastAsia" w:hAnsi="Times New Roman" w:cs="Times New Roman"/>
          <w:color w:val="auto"/>
          <w:sz w:val="22"/>
          <w:szCs w:val="22"/>
          <w:lang w:val="en-GB"/>
        </w:rPr>
        <w:t>)</w:t>
      </w:r>
      <w:r w:rsidRPr="00F90D5D">
        <w:rPr>
          <w:rStyle w:val="A15"/>
          <w:rFonts w:ascii="Times New Roman" w:eastAsiaTheme="majorEastAsia" w:hAnsi="Times New Roman" w:cs="Times New Roman"/>
          <w:color w:val="auto"/>
          <w:sz w:val="22"/>
          <w:szCs w:val="22"/>
          <w:lang w:val="en-GB"/>
        </w:rPr>
        <w:t xml:space="preserve">. </w:t>
      </w:r>
    </w:p>
    <w:p w:rsidR="00500131" w:rsidRPr="00F90D5D" w:rsidRDefault="00500131" w:rsidP="00500131">
      <w:pPr>
        <w:pStyle w:val="BodyTextMain"/>
        <w:rPr>
          <w:rStyle w:val="A15"/>
          <w:rFonts w:ascii="Times New Roman" w:eastAsiaTheme="majorEastAsia" w:hAnsi="Times New Roman" w:cs="Times New Roman"/>
          <w:color w:val="auto"/>
          <w:sz w:val="22"/>
          <w:szCs w:val="22"/>
          <w:lang w:val="en-GB"/>
        </w:rPr>
      </w:pPr>
    </w:p>
    <w:p w:rsidR="00500131" w:rsidRPr="00F90D5D" w:rsidRDefault="00500131" w:rsidP="00500131">
      <w:pPr>
        <w:pStyle w:val="BodyTextMain"/>
        <w:rPr>
          <w:rStyle w:val="A15"/>
          <w:rFonts w:ascii="Times New Roman" w:eastAsiaTheme="majorEastAsia" w:hAnsi="Times New Roman" w:cs="Times New Roman"/>
          <w:color w:val="auto"/>
          <w:sz w:val="22"/>
          <w:szCs w:val="22"/>
          <w:lang w:val="en-GB"/>
        </w:rPr>
      </w:pPr>
      <w:r w:rsidRPr="00F90D5D">
        <w:rPr>
          <w:rStyle w:val="A15"/>
          <w:rFonts w:ascii="Times New Roman" w:eastAsiaTheme="majorEastAsia" w:hAnsi="Times New Roman" w:cs="Times New Roman"/>
          <w:color w:val="auto"/>
          <w:sz w:val="22"/>
          <w:szCs w:val="22"/>
          <w:lang w:val="en-GB"/>
        </w:rPr>
        <w:t xml:space="preserve">Another characteristic was aggregation, at the point of sale, of diverse product categories from diverse manufacturers. The system had evolved in China because product manufacturers </w:t>
      </w:r>
      <w:r>
        <w:rPr>
          <w:rStyle w:val="A15"/>
          <w:rFonts w:ascii="Times New Roman" w:eastAsiaTheme="majorEastAsia" w:hAnsi="Times New Roman" w:cs="Times New Roman"/>
          <w:color w:val="auto"/>
          <w:sz w:val="22"/>
          <w:szCs w:val="22"/>
          <w:lang w:val="en-GB"/>
        </w:rPr>
        <w:t>had found</w:t>
      </w:r>
      <w:r w:rsidRPr="00F90D5D">
        <w:rPr>
          <w:rStyle w:val="A15"/>
          <w:rFonts w:ascii="Times New Roman" w:eastAsiaTheme="majorEastAsia" w:hAnsi="Times New Roman" w:cs="Times New Roman"/>
          <w:color w:val="auto"/>
          <w:sz w:val="22"/>
          <w:szCs w:val="22"/>
          <w:lang w:val="en-GB"/>
        </w:rPr>
        <w:t xml:space="preserve"> it expensive to develop their own distribution channel</w:t>
      </w:r>
      <w:r>
        <w:rPr>
          <w:rStyle w:val="A15"/>
          <w:rFonts w:ascii="Times New Roman" w:eastAsiaTheme="majorEastAsia" w:hAnsi="Times New Roman" w:cs="Times New Roman"/>
          <w:color w:val="auto"/>
          <w:sz w:val="22"/>
          <w:szCs w:val="22"/>
          <w:lang w:val="en-GB"/>
        </w:rPr>
        <w:t>s</w:t>
      </w:r>
      <w:r w:rsidRPr="00F90D5D">
        <w:rPr>
          <w:rStyle w:val="A15"/>
          <w:rFonts w:ascii="Times New Roman" w:eastAsiaTheme="majorEastAsia" w:hAnsi="Times New Roman" w:cs="Times New Roman"/>
          <w:color w:val="auto"/>
          <w:sz w:val="22"/>
          <w:szCs w:val="22"/>
          <w:lang w:val="en-GB"/>
        </w:rPr>
        <w:t xml:space="preserve"> or invest heavily in their own brands. They pooled their resources to build a one-stop shop, a mall in its own right, to attract foot traffic and generate sales volume</w:t>
      </w:r>
      <w:r>
        <w:rPr>
          <w:rStyle w:val="A15"/>
          <w:rFonts w:ascii="Times New Roman" w:eastAsiaTheme="majorEastAsia" w:hAnsi="Times New Roman" w:cs="Times New Roman"/>
          <w:color w:val="auto"/>
          <w:sz w:val="22"/>
          <w:szCs w:val="22"/>
          <w:lang w:val="en-GB"/>
        </w:rPr>
        <w:t>s</w:t>
      </w:r>
      <w:r w:rsidRPr="00F90D5D">
        <w:rPr>
          <w:rStyle w:val="A15"/>
          <w:rFonts w:ascii="Times New Roman" w:eastAsiaTheme="majorEastAsia" w:hAnsi="Times New Roman" w:cs="Times New Roman"/>
          <w:color w:val="auto"/>
          <w:sz w:val="22"/>
          <w:szCs w:val="22"/>
          <w:lang w:val="en-GB"/>
        </w:rPr>
        <w:t xml:space="preserve"> that would justify large investments in marketing. As a result, the mall, rather than the company, was the brand. Consumers recognized and trusted mall </w:t>
      </w:r>
      <w:r>
        <w:rPr>
          <w:rStyle w:val="A15"/>
          <w:rFonts w:ascii="Times New Roman" w:eastAsiaTheme="majorEastAsia" w:hAnsi="Times New Roman" w:cs="Times New Roman"/>
          <w:color w:val="auto"/>
          <w:sz w:val="22"/>
          <w:szCs w:val="22"/>
          <w:lang w:val="en-GB"/>
        </w:rPr>
        <w:t xml:space="preserve">brands </w:t>
      </w:r>
      <w:r w:rsidRPr="00F90D5D">
        <w:rPr>
          <w:rStyle w:val="A15"/>
          <w:rFonts w:ascii="Times New Roman" w:eastAsiaTheme="majorEastAsia" w:hAnsi="Times New Roman" w:cs="Times New Roman"/>
          <w:color w:val="auto"/>
          <w:sz w:val="22"/>
          <w:szCs w:val="22"/>
          <w:lang w:val="en-GB"/>
        </w:rPr>
        <w:t xml:space="preserve">over individual product brands. This </w:t>
      </w:r>
      <w:r>
        <w:rPr>
          <w:rStyle w:val="A15"/>
          <w:rFonts w:ascii="Times New Roman" w:eastAsiaTheme="majorEastAsia" w:hAnsi="Times New Roman" w:cs="Times New Roman"/>
          <w:color w:val="auto"/>
          <w:sz w:val="22"/>
          <w:szCs w:val="22"/>
          <w:lang w:val="en-GB"/>
        </w:rPr>
        <w:t xml:space="preserve">approach </w:t>
      </w:r>
      <w:r w:rsidRPr="00F90D5D">
        <w:rPr>
          <w:rStyle w:val="A15"/>
          <w:rFonts w:ascii="Times New Roman" w:eastAsiaTheme="majorEastAsia" w:hAnsi="Times New Roman" w:cs="Times New Roman"/>
          <w:color w:val="auto"/>
          <w:sz w:val="22"/>
          <w:szCs w:val="22"/>
          <w:lang w:val="en-GB"/>
        </w:rPr>
        <w:t>was in contrast to the North American and Western European trend</w:t>
      </w:r>
      <w:r>
        <w:rPr>
          <w:rStyle w:val="A15"/>
          <w:rFonts w:ascii="Times New Roman" w:eastAsiaTheme="majorEastAsia" w:hAnsi="Times New Roman" w:cs="Times New Roman"/>
          <w:color w:val="auto"/>
          <w:sz w:val="22"/>
          <w:szCs w:val="22"/>
          <w:lang w:val="en-GB"/>
        </w:rPr>
        <w:t>s</w:t>
      </w:r>
      <w:r w:rsidRPr="00F90D5D">
        <w:rPr>
          <w:rStyle w:val="A15"/>
          <w:rFonts w:ascii="Times New Roman" w:eastAsiaTheme="majorEastAsia" w:hAnsi="Times New Roman" w:cs="Times New Roman"/>
          <w:color w:val="auto"/>
          <w:sz w:val="22"/>
          <w:szCs w:val="22"/>
          <w:lang w:val="en-GB"/>
        </w:rPr>
        <w:t xml:space="preserve"> of standalone firms </w:t>
      </w:r>
      <w:r>
        <w:rPr>
          <w:rStyle w:val="A15"/>
          <w:rFonts w:ascii="Times New Roman" w:eastAsiaTheme="majorEastAsia" w:hAnsi="Times New Roman" w:cs="Times New Roman"/>
          <w:color w:val="auto"/>
          <w:sz w:val="22"/>
          <w:szCs w:val="22"/>
          <w:lang w:val="en-GB"/>
        </w:rPr>
        <w:t>such as</w:t>
      </w:r>
      <w:r w:rsidRPr="00F90D5D">
        <w:rPr>
          <w:rStyle w:val="A15"/>
          <w:rFonts w:ascii="Times New Roman" w:eastAsiaTheme="majorEastAsia" w:hAnsi="Times New Roman" w:cs="Times New Roman"/>
          <w:color w:val="auto"/>
          <w:sz w:val="22"/>
          <w:szCs w:val="22"/>
          <w:lang w:val="en-GB"/>
        </w:rPr>
        <w:t xml:space="preserve"> Home Depot becoming brands in their own right and marketing diverse products under a single brand. </w:t>
      </w:r>
    </w:p>
    <w:p w:rsidR="00500131" w:rsidRPr="00F90D5D" w:rsidRDefault="00500131" w:rsidP="00500131">
      <w:pPr>
        <w:pStyle w:val="BodyTextMain"/>
        <w:rPr>
          <w:rStyle w:val="A15"/>
          <w:rFonts w:ascii="Times New Roman" w:eastAsiaTheme="majorEastAsia" w:hAnsi="Times New Roman" w:cs="Times New Roman"/>
          <w:color w:val="auto"/>
          <w:sz w:val="22"/>
          <w:szCs w:val="22"/>
          <w:lang w:val="en-GB"/>
        </w:rPr>
      </w:pPr>
    </w:p>
    <w:p w:rsidR="00500131" w:rsidRPr="00F90D5D" w:rsidRDefault="00500131" w:rsidP="00500131">
      <w:pPr>
        <w:pStyle w:val="BodyTextMain"/>
        <w:rPr>
          <w:rStyle w:val="A15"/>
          <w:rFonts w:ascii="Times New Roman" w:eastAsiaTheme="majorEastAsia" w:hAnsi="Times New Roman" w:cs="Times New Roman"/>
          <w:color w:val="auto"/>
          <w:sz w:val="22"/>
          <w:lang w:val="en-GB"/>
        </w:rPr>
      </w:pPr>
      <w:r w:rsidRPr="00F90D5D">
        <w:rPr>
          <w:rStyle w:val="A15"/>
          <w:rFonts w:ascii="Times New Roman" w:eastAsiaTheme="majorEastAsia" w:hAnsi="Times New Roman" w:cs="Times New Roman"/>
          <w:color w:val="auto"/>
          <w:sz w:val="22"/>
          <w:lang w:val="en-GB"/>
        </w:rPr>
        <w:t xml:space="preserve">A </w:t>
      </w:r>
      <w:r>
        <w:rPr>
          <w:rStyle w:val="A15"/>
          <w:rFonts w:ascii="Times New Roman" w:eastAsiaTheme="majorEastAsia" w:hAnsi="Times New Roman" w:cs="Times New Roman"/>
          <w:color w:val="auto"/>
          <w:sz w:val="22"/>
          <w:lang w:val="en-GB"/>
        </w:rPr>
        <w:t xml:space="preserve">recent </w:t>
      </w:r>
      <w:r w:rsidRPr="00F90D5D">
        <w:rPr>
          <w:rStyle w:val="A15"/>
          <w:rFonts w:ascii="Times New Roman" w:eastAsiaTheme="majorEastAsia" w:hAnsi="Times New Roman" w:cs="Times New Roman"/>
          <w:color w:val="auto"/>
          <w:sz w:val="22"/>
          <w:lang w:val="en-GB"/>
        </w:rPr>
        <w:t xml:space="preserve">trend was that many home improvement and </w:t>
      </w:r>
      <w:r>
        <w:rPr>
          <w:rStyle w:val="A15"/>
          <w:rFonts w:ascii="Times New Roman" w:eastAsiaTheme="majorEastAsia" w:hAnsi="Times New Roman" w:cs="Times New Roman"/>
          <w:color w:val="auto"/>
          <w:sz w:val="22"/>
          <w:lang w:val="en-GB"/>
        </w:rPr>
        <w:t xml:space="preserve">home </w:t>
      </w:r>
      <w:r w:rsidRPr="00F90D5D">
        <w:rPr>
          <w:rStyle w:val="A15"/>
          <w:rFonts w:ascii="Times New Roman" w:eastAsiaTheme="majorEastAsia" w:hAnsi="Times New Roman" w:cs="Times New Roman"/>
          <w:color w:val="auto"/>
          <w:sz w:val="22"/>
          <w:lang w:val="en-GB"/>
        </w:rPr>
        <w:t>furnishings retailers in China were moving beyond their traditional brick</w:t>
      </w:r>
      <w:r>
        <w:rPr>
          <w:rStyle w:val="A15"/>
          <w:rFonts w:ascii="Times New Roman" w:eastAsiaTheme="majorEastAsia" w:hAnsi="Times New Roman" w:cs="Times New Roman"/>
          <w:color w:val="auto"/>
          <w:sz w:val="22"/>
          <w:lang w:val="en-GB"/>
        </w:rPr>
        <w:t>-</w:t>
      </w:r>
      <w:r w:rsidRPr="00F90D5D">
        <w:rPr>
          <w:rStyle w:val="A15"/>
          <w:rFonts w:ascii="Times New Roman" w:eastAsiaTheme="majorEastAsia" w:hAnsi="Times New Roman" w:cs="Times New Roman"/>
          <w:color w:val="auto"/>
          <w:sz w:val="22"/>
          <w:lang w:val="en-GB"/>
        </w:rPr>
        <w:t>and</w:t>
      </w:r>
      <w:r>
        <w:rPr>
          <w:rStyle w:val="A15"/>
          <w:rFonts w:ascii="Times New Roman" w:eastAsiaTheme="majorEastAsia" w:hAnsi="Times New Roman" w:cs="Times New Roman"/>
          <w:color w:val="auto"/>
          <w:sz w:val="22"/>
          <w:lang w:val="en-GB"/>
        </w:rPr>
        <w:t>-</w:t>
      </w:r>
      <w:r w:rsidRPr="00F90D5D">
        <w:rPr>
          <w:rStyle w:val="A15"/>
          <w:rFonts w:ascii="Times New Roman" w:eastAsiaTheme="majorEastAsia" w:hAnsi="Times New Roman" w:cs="Times New Roman"/>
          <w:color w:val="auto"/>
          <w:sz w:val="22"/>
          <w:lang w:val="en-GB"/>
        </w:rPr>
        <w:t>mortar presence and launching online shopping</w:t>
      </w:r>
      <w:r>
        <w:rPr>
          <w:rStyle w:val="A15"/>
          <w:rFonts w:ascii="Times New Roman" w:eastAsiaTheme="majorEastAsia" w:hAnsi="Times New Roman" w:cs="Times New Roman"/>
          <w:color w:val="auto"/>
          <w:sz w:val="22"/>
          <w:lang w:val="en-GB"/>
        </w:rPr>
        <w:t>; however,</w:t>
      </w:r>
      <w:r w:rsidRPr="00F90D5D">
        <w:rPr>
          <w:rStyle w:val="A15"/>
          <w:rFonts w:ascii="Times New Roman" w:eastAsiaTheme="majorEastAsia" w:hAnsi="Times New Roman" w:cs="Times New Roman"/>
          <w:color w:val="auto"/>
          <w:sz w:val="22"/>
          <w:lang w:val="en-GB"/>
        </w:rPr>
        <w:t xml:space="preserve"> </w:t>
      </w:r>
      <w:r>
        <w:rPr>
          <w:rStyle w:val="A15"/>
          <w:rFonts w:ascii="Times New Roman" w:eastAsiaTheme="majorEastAsia" w:hAnsi="Times New Roman" w:cs="Times New Roman"/>
          <w:color w:val="auto"/>
          <w:sz w:val="22"/>
          <w:lang w:val="en-GB"/>
        </w:rPr>
        <w:t>t</w:t>
      </w:r>
      <w:r w:rsidRPr="00F90D5D">
        <w:rPr>
          <w:rStyle w:val="A15"/>
          <w:rFonts w:ascii="Times New Roman" w:eastAsiaTheme="majorEastAsia" w:hAnsi="Times New Roman" w:cs="Times New Roman"/>
          <w:color w:val="auto"/>
          <w:sz w:val="22"/>
          <w:lang w:val="en-GB"/>
        </w:rPr>
        <w:t xml:space="preserve">he transition was creating tensions for many of </w:t>
      </w:r>
      <w:r>
        <w:rPr>
          <w:rStyle w:val="A15"/>
          <w:rFonts w:ascii="Times New Roman" w:eastAsiaTheme="majorEastAsia" w:hAnsi="Times New Roman" w:cs="Times New Roman"/>
          <w:color w:val="auto"/>
          <w:sz w:val="22"/>
          <w:lang w:val="en-GB"/>
        </w:rPr>
        <w:t>these retailers</w:t>
      </w:r>
      <w:r w:rsidRPr="00F90D5D">
        <w:rPr>
          <w:rStyle w:val="A15"/>
          <w:rFonts w:ascii="Times New Roman" w:eastAsiaTheme="majorEastAsia" w:hAnsi="Times New Roman" w:cs="Times New Roman"/>
          <w:color w:val="auto"/>
          <w:sz w:val="22"/>
          <w:lang w:val="en-GB"/>
        </w:rPr>
        <w:t xml:space="preserve">. For a majority of the industry products, physical factors </w:t>
      </w:r>
      <w:r>
        <w:rPr>
          <w:rStyle w:val="A15"/>
          <w:rFonts w:ascii="Times New Roman" w:eastAsiaTheme="majorEastAsia" w:hAnsi="Times New Roman" w:cs="Times New Roman"/>
          <w:color w:val="auto"/>
          <w:sz w:val="22"/>
          <w:lang w:val="en-GB"/>
        </w:rPr>
        <w:t>such as</w:t>
      </w:r>
      <w:r w:rsidRPr="00F90D5D">
        <w:rPr>
          <w:rStyle w:val="A15"/>
          <w:rFonts w:ascii="Times New Roman" w:eastAsiaTheme="majorEastAsia" w:hAnsi="Times New Roman" w:cs="Times New Roman"/>
          <w:color w:val="auto"/>
          <w:sz w:val="22"/>
          <w:lang w:val="en-GB"/>
        </w:rPr>
        <w:t xml:space="preserve"> touch were important at the point of sale. Retailers were struggling with providing the </w:t>
      </w:r>
      <w:r>
        <w:rPr>
          <w:rStyle w:val="A15"/>
          <w:rFonts w:ascii="Times New Roman" w:eastAsiaTheme="majorEastAsia" w:hAnsi="Times New Roman" w:cs="Times New Roman"/>
          <w:color w:val="auto"/>
          <w:sz w:val="22"/>
          <w:lang w:val="en-GB"/>
        </w:rPr>
        <w:t>suitable</w:t>
      </w:r>
      <w:r w:rsidRPr="00F90D5D">
        <w:rPr>
          <w:rStyle w:val="A15"/>
          <w:rFonts w:ascii="Times New Roman" w:eastAsiaTheme="majorEastAsia" w:hAnsi="Times New Roman" w:cs="Times New Roman"/>
          <w:color w:val="auto"/>
          <w:sz w:val="22"/>
          <w:lang w:val="en-GB"/>
        </w:rPr>
        <w:t xml:space="preserve"> customer experience</w:t>
      </w:r>
      <w:r>
        <w:rPr>
          <w:rStyle w:val="A15"/>
          <w:rFonts w:ascii="Times New Roman" w:eastAsiaTheme="majorEastAsia" w:hAnsi="Times New Roman" w:cs="Times New Roman"/>
          <w:color w:val="auto"/>
          <w:sz w:val="22"/>
          <w:lang w:val="en-GB"/>
        </w:rPr>
        <w:t>.</w:t>
      </w:r>
    </w:p>
    <w:p w:rsidR="00500131" w:rsidRPr="00F90D5D" w:rsidRDefault="00500131" w:rsidP="00500131">
      <w:pPr>
        <w:pStyle w:val="BodyTextMain"/>
        <w:rPr>
          <w:lang w:val="en-GB"/>
        </w:rPr>
      </w:pPr>
    </w:p>
    <w:p w:rsidR="00500131" w:rsidRPr="00F90D5D" w:rsidRDefault="00500131" w:rsidP="00500131">
      <w:pPr>
        <w:pStyle w:val="Casehead1"/>
        <w:rPr>
          <w:lang w:val="en-GB"/>
        </w:rPr>
      </w:pPr>
      <w:r>
        <w:rPr>
          <w:lang w:val="en-GB"/>
        </w:rPr>
        <w:lastRenderedPageBreak/>
        <w:t xml:space="preserve">China’s </w:t>
      </w:r>
      <w:r w:rsidRPr="00F90D5D">
        <w:rPr>
          <w:lang w:val="en-GB"/>
        </w:rPr>
        <w:t>CHANGING CONSUMER PROFILE</w:t>
      </w:r>
    </w:p>
    <w:p w:rsidR="00500131" w:rsidRPr="00F90D5D" w:rsidRDefault="00500131" w:rsidP="00500131">
      <w:pPr>
        <w:pStyle w:val="BodyTextMain"/>
        <w:rPr>
          <w:lang w:val="en-GB"/>
        </w:rPr>
      </w:pPr>
    </w:p>
    <w:p w:rsidR="00500131" w:rsidRPr="00F90D5D" w:rsidRDefault="00500131" w:rsidP="00500131">
      <w:pPr>
        <w:pStyle w:val="BodyTextMain"/>
        <w:rPr>
          <w:rFonts w:eastAsia="SimSun"/>
          <w:lang w:val="en-GB" w:eastAsia="zh-CN"/>
        </w:rPr>
      </w:pPr>
      <w:r w:rsidRPr="00F90D5D">
        <w:rPr>
          <w:lang w:val="en-GB"/>
        </w:rPr>
        <w:t xml:space="preserve">China was in a state of transition from investment-led growth to consumption-led growth. The transition </w:t>
      </w:r>
      <w:r>
        <w:rPr>
          <w:lang w:val="en-GB"/>
        </w:rPr>
        <w:t>had</w:t>
      </w:r>
      <w:r w:rsidRPr="00F90D5D">
        <w:rPr>
          <w:lang w:val="en-GB"/>
        </w:rPr>
        <w:t xml:space="preserve"> be</w:t>
      </w:r>
      <w:r>
        <w:rPr>
          <w:lang w:val="en-GB"/>
        </w:rPr>
        <w:t>en</w:t>
      </w:r>
      <w:r w:rsidRPr="00F90D5D">
        <w:rPr>
          <w:lang w:val="en-GB"/>
        </w:rPr>
        <w:t xml:space="preserve"> triggered by several government actions aimed at increasing national incomes. For example, the Chinese government was progressively increasing the retirement pension coverage in urban areas </w:t>
      </w:r>
      <w:r>
        <w:rPr>
          <w:lang w:val="en-GB"/>
        </w:rPr>
        <w:t xml:space="preserve">(it had increased </w:t>
      </w:r>
      <w:r w:rsidRPr="00F90D5D">
        <w:rPr>
          <w:lang w:val="en-GB"/>
        </w:rPr>
        <w:t xml:space="preserve">by 40 per cent from </w:t>
      </w:r>
      <w:r>
        <w:rPr>
          <w:lang w:val="en-GB"/>
        </w:rPr>
        <w:t xml:space="preserve">covering </w:t>
      </w:r>
      <w:r w:rsidRPr="00F90D5D">
        <w:rPr>
          <w:lang w:val="en-GB"/>
        </w:rPr>
        <w:t xml:space="preserve">250 million people to </w:t>
      </w:r>
      <w:r>
        <w:rPr>
          <w:lang w:val="en-GB"/>
        </w:rPr>
        <w:t xml:space="preserve">covering </w:t>
      </w:r>
      <w:r w:rsidRPr="00F90D5D">
        <w:rPr>
          <w:lang w:val="en-GB"/>
        </w:rPr>
        <w:t>350 million by 2015</w:t>
      </w:r>
      <w:r>
        <w:rPr>
          <w:lang w:val="en-GB"/>
        </w:rPr>
        <w:t>)</w:t>
      </w:r>
      <w:r w:rsidRPr="00F90D5D">
        <w:rPr>
          <w:lang w:val="en-GB"/>
        </w:rPr>
        <w:t>. It was also launching several financial</w:t>
      </w:r>
      <w:r>
        <w:rPr>
          <w:lang w:val="en-GB"/>
        </w:rPr>
        <w:t>-</w:t>
      </w:r>
      <w:r w:rsidRPr="00F90D5D">
        <w:rPr>
          <w:lang w:val="en-GB"/>
        </w:rPr>
        <w:t>sector and industrial reforms</w:t>
      </w:r>
      <w:r>
        <w:rPr>
          <w:lang w:val="en-GB"/>
        </w:rPr>
        <w:t>, which would</w:t>
      </w:r>
      <w:r w:rsidRPr="00F90D5D">
        <w:rPr>
          <w:lang w:val="en-GB"/>
        </w:rPr>
        <w:t xml:space="preserve"> lead to new job creation countrywide. The process of urbanization was also fuel</w:t>
      </w:r>
      <w:r>
        <w:rPr>
          <w:lang w:val="en-GB"/>
        </w:rPr>
        <w:t>l</w:t>
      </w:r>
      <w:r w:rsidRPr="00F90D5D">
        <w:rPr>
          <w:lang w:val="en-GB"/>
        </w:rPr>
        <w:t>ing consumption-led growth.</w:t>
      </w:r>
      <w:r w:rsidRPr="00F90D5D">
        <w:rPr>
          <w:rStyle w:val="FootnoteReference"/>
          <w:lang w:val="en-GB"/>
        </w:rPr>
        <w:footnoteReference w:id="10"/>
      </w:r>
      <w:r w:rsidRPr="00F90D5D">
        <w:rPr>
          <w:lang w:val="en-GB"/>
        </w:rPr>
        <w:t xml:space="preserve"> </w:t>
      </w:r>
      <w:r>
        <w:rPr>
          <w:lang w:val="en-GB"/>
        </w:rPr>
        <w:t xml:space="preserve">The </w:t>
      </w:r>
      <w:r w:rsidRPr="00F90D5D">
        <w:rPr>
          <w:lang w:val="en-GB"/>
        </w:rPr>
        <w:t>consumption of upper</w:t>
      </w:r>
      <w:r>
        <w:rPr>
          <w:lang w:val="en-GB"/>
        </w:rPr>
        <w:t>-</w:t>
      </w:r>
      <w:r w:rsidRPr="00F90D5D">
        <w:rPr>
          <w:lang w:val="en-GB"/>
        </w:rPr>
        <w:t xml:space="preserve">middle-class and rich families </w:t>
      </w:r>
      <w:r>
        <w:rPr>
          <w:lang w:val="en-GB"/>
        </w:rPr>
        <w:t>was estimated to</w:t>
      </w:r>
      <w:r w:rsidRPr="00F90D5D">
        <w:rPr>
          <w:lang w:val="en-GB"/>
        </w:rPr>
        <w:t xml:space="preserve"> account for 55 per cent</w:t>
      </w:r>
      <w:r>
        <w:rPr>
          <w:lang w:val="en-GB"/>
        </w:rPr>
        <w:t xml:space="preserve"> of all consumption,</w:t>
      </w:r>
      <w:r w:rsidRPr="00F90D5D">
        <w:rPr>
          <w:lang w:val="en-GB"/>
        </w:rPr>
        <w:t xml:space="preserve"> and </w:t>
      </w:r>
      <w:r>
        <w:rPr>
          <w:lang w:val="en-GB"/>
        </w:rPr>
        <w:t xml:space="preserve">to </w:t>
      </w:r>
      <w:r w:rsidRPr="00F90D5D">
        <w:rPr>
          <w:lang w:val="en-GB"/>
        </w:rPr>
        <w:t>contribute 81 per cent to the total consumption increment</w:t>
      </w:r>
      <w:r w:rsidRPr="00F90D5D">
        <w:rPr>
          <w:rFonts w:eastAsia="SimSun" w:hint="eastAsia"/>
          <w:lang w:val="en-GB" w:eastAsia="zh-CN"/>
        </w:rPr>
        <w:t xml:space="preserve"> by the end of 2016</w:t>
      </w:r>
      <w:r w:rsidRPr="00F90D5D">
        <w:rPr>
          <w:lang w:val="en-GB"/>
        </w:rPr>
        <w:t>.</w:t>
      </w:r>
      <w:r w:rsidRPr="00F90D5D">
        <w:rPr>
          <w:rStyle w:val="FootnoteReference"/>
          <w:lang w:val="en-GB"/>
        </w:rPr>
        <w:footnoteReference w:id="11"/>
      </w:r>
    </w:p>
    <w:p w:rsidR="00500131" w:rsidRPr="00F90D5D" w:rsidRDefault="00500131" w:rsidP="00500131">
      <w:pPr>
        <w:pStyle w:val="BodyTextMain"/>
        <w:rPr>
          <w:lang w:val="en-GB"/>
        </w:rPr>
      </w:pPr>
    </w:p>
    <w:p w:rsidR="00500131" w:rsidRPr="00F90D5D" w:rsidRDefault="00500131" w:rsidP="00500131">
      <w:pPr>
        <w:pStyle w:val="BodyTextMain"/>
        <w:rPr>
          <w:lang w:val="en-GB"/>
        </w:rPr>
      </w:pPr>
      <w:r w:rsidRPr="00F90D5D">
        <w:rPr>
          <w:lang w:val="en-GB"/>
        </w:rPr>
        <w:t xml:space="preserve">An important trend in </w:t>
      </w:r>
      <w:r>
        <w:rPr>
          <w:lang w:val="en-GB"/>
        </w:rPr>
        <w:t>China’s</w:t>
      </w:r>
      <w:r w:rsidRPr="00F90D5D">
        <w:rPr>
          <w:lang w:val="en-GB"/>
        </w:rPr>
        <w:t xml:space="preserve"> consumer profile was the growing weightage of the “mainstream” consumer (defined as having an annual income of between $16,000 and $34,000) accompanied by </w:t>
      </w:r>
      <w:r>
        <w:rPr>
          <w:lang w:val="en-GB"/>
        </w:rPr>
        <w:t xml:space="preserve">a </w:t>
      </w:r>
      <w:r w:rsidRPr="00F90D5D">
        <w:rPr>
          <w:lang w:val="en-GB"/>
        </w:rPr>
        <w:t xml:space="preserve">shrinking weightage of the “value consumer” </w:t>
      </w:r>
      <w:r>
        <w:rPr>
          <w:lang w:val="en-GB"/>
        </w:rPr>
        <w:t>(</w:t>
      </w:r>
      <w:r w:rsidRPr="00F90D5D">
        <w:rPr>
          <w:lang w:val="en-GB"/>
        </w:rPr>
        <w:t>defined as having an annual income of between $6,000 and $16,000)</w:t>
      </w:r>
      <w:r>
        <w:rPr>
          <w:lang w:val="en-GB"/>
        </w:rPr>
        <w:t xml:space="preserve">. </w:t>
      </w:r>
      <w:r w:rsidRPr="00F90D5D">
        <w:rPr>
          <w:lang w:val="en-GB"/>
        </w:rPr>
        <w:t xml:space="preserve">The percentage of value consumers among the urban population was </w:t>
      </w:r>
      <w:r>
        <w:rPr>
          <w:lang w:val="en-GB"/>
        </w:rPr>
        <w:t xml:space="preserve">expected </w:t>
      </w:r>
      <w:r w:rsidRPr="00F90D5D">
        <w:rPr>
          <w:lang w:val="en-GB"/>
        </w:rPr>
        <w:t xml:space="preserve">to </w:t>
      </w:r>
      <w:r>
        <w:rPr>
          <w:lang w:val="en-GB"/>
        </w:rPr>
        <w:t>decrease,</w:t>
      </w:r>
      <w:r w:rsidRPr="00F90D5D">
        <w:rPr>
          <w:lang w:val="en-GB"/>
        </w:rPr>
        <w:t xml:space="preserve"> from 82 per cent in 2010 to 36 per cent in 2020</w:t>
      </w:r>
      <w:r>
        <w:rPr>
          <w:lang w:val="en-GB"/>
        </w:rPr>
        <w:t>,</w:t>
      </w:r>
      <w:r w:rsidRPr="00F90D5D">
        <w:rPr>
          <w:lang w:val="en-GB"/>
        </w:rPr>
        <w:t xml:space="preserve"> while </w:t>
      </w:r>
      <w:r>
        <w:rPr>
          <w:lang w:val="en-GB"/>
        </w:rPr>
        <w:t xml:space="preserve">during the same period, </w:t>
      </w:r>
      <w:r w:rsidRPr="00F90D5D">
        <w:rPr>
          <w:lang w:val="en-GB"/>
        </w:rPr>
        <w:t xml:space="preserve">the percentage of mainstream consumers was to </w:t>
      </w:r>
      <w:r>
        <w:rPr>
          <w:lang w:val="en-GB"/>
        </w:rPr>
        <w:t>increase,</w:t>
      </w:r>
      <w:r w:rsidRPr="00F90D5D">
        <w:rPr>
          <w:lang w:val="en-GB"/>
        </w:rPr>
        <w:t xml:space="preserve"> from </w:t>
      </w:r>
      <w:r w:rsidRPr="00F90D5D">
        <w:rPr>
          <w:rFonts w:eastAsia="SimSun" w:hint="eastAsia"/>
          <w:lang w:val="en-GB" w:eastAsia="zh-CN"/>
        </w:rPr>
        <w:t>6</w:t>
      </w:r>
      <w:r w:rsidRPr="00F90D5D">
        <w:rPr>
          <w:lang w:val="en-GB"/>
        </w:rPr>
        <w:t xml:space="preserve"> per cent to 51 per cent of the urban population (</w:t>
      </w:r>
      <w:r>
        <w:rPr>
          <w:lang w:val="en-GB"/>
        </w:rPr>
        <w:t>see E</w:t>
      </w:r>
      <w:r w:rsidRPr="00F90D5D">
        <w:rPr>
          <w:lang w:val="en-GB"/>
        </w:rPr>
        <w:t>xhibit 2).</w:t>
      </w:r>
    </w:p>
    <w:p w:rsidR="00500131" w:rsidRPr="00F90D5D" w:rsidRDefault="00500131" w:rsidP="00500131">
      <w:pPr>
        <w:pStyle w:val="BodyTextMain"/>
        <w:rPr>
          <w:rFonts w:eastAsiaTheme="minorEastAsia"/>
          <w:lang w:val="en-GB" w:eastAsia="zh-CN"/>
        </w:rPr>
      </w:pPr>
    </w:p>
    <w:p w:rsidR="00500131" w:rsidRPr="00F90D5D" w:rsidRDefault="00500131" w:rsidP="00500131">
      <w:pPr>
        <w:pStyle w:val="BodyTextMain"/>
        <w:rPr>
          <w:lang w:val="en-GB"/>
        </w:rPr>
      </w:pPr>
      <w:r w:rsidRPr="00F90D5D">
        <w:rPr>
          <w:lang w:val="en-GB"/>
        </w:rPr>
        <w:t>The mainstream consumers would comprise 167 million households</w:t>
      </w:r>
      <w:r>
        <w:rPr>
          <w:lang w:val="en-GB"/>
        </w:rPr>
        <w:t>,</w:t>
      </w:r>
      <w:r w:rsidRPr="00F90D5D">
        <w:rPr>
          <w:lang w:val="en-GB"/>
        </w:rPr>
        <w:t xml:space="preserve"> or </w:t>
      </w:r>
      <w:r>
        <w:rPr>
          <w:lang w:val="en-GB"/>
        </w:rPr>
        <w:t>nearly</w:t>
      </w:r>
      <w:r w:rsidRPr="00F90D5D">
        <w:rPr>
          <w:lang w:val="en-GB"/>
        </w:rPr>
        <w:t xml:space="preserve"> 400 million people</w:t>
      </w:r>
      <w:r>
        <w:rPr>
          <w:lang w:val="en-GB"/>
        </w:rPr>
        <w:t>, who</w:t>
      </w:r>
      <w:r w:rsidRPr="00F90D5D">
        <w:rPr>
          <w:lang w:val="en-GB"/>
        </w:rPr>
        <w:t xml:space="preserve"> would be the trendsetters for consumption. In terms of spending patterns, three broad shifts </w:t>
      </w:r>
      <w:r>
        <w:rPr>
          <w:lang w:val="en-GB"/>
        </w:rPr>
        <w:t>had</w:t>
      </w:r>
      <w:r w:rsidRPr="00F90D5D">
        <w:rPr>
          <w:lang w:val="en-GB"/>
        </w:rPr>
        <w:t xml:space="preserve"> already becom</w:t>
      </w:r>
      <w:r>
        <w:rPr>
          <w:lang w:val="en-GB"/>
        </w:rPr>
        <w:t>e</w:t>
      </w:r>
      <w:r w:rsidRPr="00F90D5D">
        <w:rPr>
          <w:lang w:val="en-GB"/>
        </w:rPr>
        <w:t xml:space="preserve"> evident in China. First, mainstream consumers would be more willing to spend on discretionary items (which included home improvement and </w:t>
      </w:r>
      <w:r>
        <w:rPr>
          <w:lang w:val="en-GB"/>
        </w:rPr>
        <w:t xml:space="preserve">home </w:t>
      </w:r>
      <w:r w:rsidRPr="00F90D5D">
        <w:rPr>
          <w:lang w:val="en-GB"/>
        </w:rPr>
        <w:t>furnishing</w:t>
      </w:r>
      <w:r>
        <w:rPr>
          <w:lang w:val="en-GB"/>
        </w:rPr>
        <w:t>s</w:t>
      </w:r>
      <w:r w:rsidRPr="00F90D5D">
        <w:rPr>
          <w:lang w:val="en-GB"/>
        </w:rPr>
        <w:t>)</w:t>
      </w:r>
      <w:r>
        <w:rPr>
          <w:lang w:val="en-GB"/>
        </w:rPr>
        <w:t>,</w:t>
      </w:r>
      <w:r w:rsidRPr="00F90D5D">
        <w:rPr>
          <w:lang w:val="en-GB"/>
        </w:rPr>
        <w:t xml:space="preserve"> as a result of those items becoming affordable to increasing numbers of consumers.</w:t>
      </w:r>
      <w:r w:rsidRPr="00F90D5D">
        <w:rPr>
          <w:rFonts w:eastAsiaTheme="minorEastAsia" w:hint="eastAsia"/>
          <w:lang w:val="en-GB" w:eastAsia="zh-CN"/>
        </w:rPr>
        <w:t xml:space="preserve"> </w:t>
      </w:r>
      <w:r w:rsidRPr="00F90D5D">
        <w:rPr>
          <w:lang w:val="en-GB"/>
        </w:rPr>
        <w:t xml:space="preserve">Discretionary categories were forecast to show the strongest overall growth, </w:t>
      </w:r>
      <w:r>
        <w:rPr>
          <w:lang w:val="en-GB"/>
        </w:rPr>
        <w:t>at</w:t>
      </w:r>
      <w:r w:rsidRPr="00F90D5D">
        <w:rPr>
          <w:lang w:val="en-GB"/>
        </w:rPr>
        <w:t xml:space="preserve"> 13.4 per</w:t>
      </w:r>
      <w:r>
        <w:rPr>
          <w:lang w:val="en-GB"/>
        </w:rPr>
        <w:t xml:space="preserve"> </w:t>
      </w:r>
      <w:r w:rsidRPr="00F90D5D">
        <w:rPr>
          <w:lang w:val="en-GB"/>
        </w:rPr>
        <w:t>cent</w:t>
      </w:r>
      <w:r>
        <w:rPr>
          <w:lang w:val="en-GB"/>
        </w:rPr>
        <w:t>,</w:t>
      </w:r>
      <w:r w:rsidRPr="00F90D5D">
        <w:rPr>
          <w:lang w:val="en-GB"/>
        </w:rPr>
        <w:t xml:space="preserve"> between 2010 and 2020</w:t>
      </w:r>
      <w:r w:rsidRPr="00F90D5D">
        <w:rPr>
          <w:rFonts w:eastAsiaTheme="minorEastAsia" w:hint="eastAsia"/>
          <w:lang w:val="en-GB" w:eastAsia="zh-CN"/>
        </w:rPr>
        <w:t xml:space="preserve"> </w:t>
      </w:r>
      <w:r w:rsidRPr="00F90D5D">
        <w:rPr>
          <w:lang w:val="en-GB"/>
        </w:rPr>
        <w:t>(</w:t>
      </w:r>
      <w:r>
        <w:rPr>
          <w:lang w:val="en-GB"/>
        </w:rPr>
        <w:t>see E</w:t>
      </w:r>
      <w:r w:rsidRPr="00F90D5D">
        <w:rPr>
          <w:lang w:val="en-GB"/>
        </w:rPr>
        <w:t>xhibit</w:t>
      </w:r>
      <w:r w:rsidRPr="00F90D5D">
        <w:rPr>
          <w:rFonts w:eastAsia="SimSun" w:hint="eastAsia"/>
          <w:lang w:val="en-GB" w:eastAsia="zh-CN"/>
        </w:rPr>
        <w:t xml:space="preserve"> </w:t>
      </w:r>
      <w:r w:rsidRPr="00F90D5D">
        <w:rPr>
          <w:rFonts w:eastAsiaTheme="minorEastAsia" w:hint="eastAsia"/>
          <w:lang w:val="en-GB" w:eastAsia="zh-CN"/>
        </w:rPr>
        <w:t>3</w:t>
      </w:r>
      <w:r w:rsidRPr="00F90D5D">
        <w:rPr>
          <w:lang w:val="en-GB"/>
        </w:rPr>
        <w:t>). Second, mainstream consumers would be trading up to high</w:t>
      </w:r>
      <w:r>
        <w:rPr>
          <w:lang w:val="en-GB"/>
        </w:rPr>
        <w:t>-</w:t>
      </w:r>
      <w:r w:rsidRPr="00F90D5D">
        <w:rPr>
          <w:lang w:val="en-GB"/>
        </w:rPr>
        <w:t xml:space="preserve">priced goods </w:t>
      </w:r>
      <w:r>
        <w:rPr>
          <w:lang w:val="en-GB"/>
        </w:rPr>
        <w:t>because</w:t>
      </w:r>
      <w:r w:rsidRPr="00F90D5D">
        <w:rPr>
          <w:lang w:val="en-GB"/>
        </w:rPr>
        <w:t xml:space="preserve"> they were aspirational about the way they lived and their perceived social standing. Third, </w:t>
      </w:r>
      <w:r>
        <w:rPr>
          <w:lang w:val="en-GB"/>
        </w:rPr>
        <w:t>mainstream consumers</w:t>
      </w:r>
      <w:r w:rsidRPr="00F90D5D">
        <w:rPr>
          <w:lang w:val="en-GB"/>
        </w:rPr>
        <w:t xml:space="preserve"> would be among the most dedicated and sophisticated of online shoppers</w:t>
      </w:r>
      <w:r>
        <w:rPr>
          <w:lang w:val="en-GB"/>
        </w:rPr>
        <w:t>, and</w:t>
      </w:r>
      <w:r w:rsidRPr="00F90D5D">
        <w:rPr>
          <w:lang w:val="en-GB"/>
        </w:rPr>
        <w:t xml:space="preserve"> would seek </w:t>
      </w:r>
      <w:r>
        <w:rPr>
          <w:lang w:val="en-GB"/>
        </w:rPr>
        <w:t>such shopping conveniences as</w:t>
      </w:r>
      <w:r w:rsidRPr="00F90D5D">
        <w:rPr>
          <w:lang w:val="en-GB"/>
        </w:rPr>
        <w:t xml:space="preserve"> easier price comparisons, unique assortments of products, freshness of goods, quality of service, and a social networking experience.</w:t>
      </w:r>
    </w:p>
    <w:p w:rsidR="00500131" w:rsidRPr="00F90D5D" w:rsidRDefault="00500131" w:rsidP="00500131">
      <w:pPr>
        <w:pStyle w:val="BodyTextMain"/>
        <w:rPr>
          <w:rFonts w:eastAsia="SimSun"/>
          <w:lang w:val="en-GB" w:eastAsia="zh-CN"/>
        </w:rPr>
      </w:pPr>
    </w:p>
    <w:p w:rsidR="00500131" w:rsidRPr="00E62299" w:rsidRDefault="00500131" w:rsidP="00500131">
      <w:pPr>
        <w:pStyle w:val="BodyTextMain"/>
        <w:rPr>
          <w:spacing w:val="-2"/>
          <w:lang w:val="en-GB"/>
        </w:rPr>
      </w:pPr>
      <w:r w:rsidRPr="00E62299">
        <w:rPr>
          <w:spacing w:val="-2"/>
          <w:lang w:val="en-GB"/>
        </w:rPr>
        <w:t>China’s online retail market was already the world’s largest, with e-commerce accounting for more than 13 per cent of the country’s total retail sales of consumer goods. In top-tier cities, roughly 90 per cent of Internet users and 70 to 80 per cent of consumers as a whole were shopping online. As Chinese consumers enjoyed the options and transparency available online, they were also becoming increasingly choosy, often visiting four to five sites before reaching a purchase decision, according to McKinsey research.</w:t>
      </w:r>
      <w:r w:rsidRPr="00E62299">
        <w:rPr>
          <w:rStyle w:val="FootnoteReference"/>
          <w:spacing w:val="-2"/>
          <w:lang w:val="en-GB"/>
        </w:rPr>
        <w:footnoteReference w:id="12"/>
      </w:r>
    </w:p>
    <w:p w:rsidR="00500131" w:rsidRPr="00F90D5D" w:rsidRDefault="00500131" w:rsidP="00500131">
      <w:pPr>
        <w:pStyle w:val="BodyTextMain"/>
        <w:rPr>
          <w:lang w:val="en-GB"/>
        </w:rPr>
      </w:pPr>
    </w:p>
    <w:p w:rsidR="00500131" w:rsidRPr="00F90D5D" w:rsidRDefault="00500131" w:rsidP="00500131">
      <w:pPr>
        <w:pStyle w:val="BodyTextMain"/>
        <w:rPr>
          <w:lang w:val="en-GB"/>
        </w:rPr>
      </w:pPr>
    </w:p>
    <w:p w:rsidR="00500131" w:rsidRPr="00F90D5D" w:rsidRDefault="00500131" w:rsidP="00500131">
      <w:pPr>
        <w:pStyle w:val="Casehead1"/>
        <w:rPr>
          <w:lang w:val="en-GB"/>
        </w:rPr>
      </w:pPr>
      <w:r>
        <w:rPr>
          <w:lang w:val="en-GB"/>
        </w:rPr>
        <w:t>Overview of</w:t>
      </w:r>
      <w:r w:rsidRPr="00F90D5D">
        <w:rPr>
          <w:lang w:val="en-GB"/>
        </w:rPr>
        <w:t xml:space="preserve"> RED STAR MACCALINE</w:t>
      </w:r>
    </w:p>
    <w:p w:rsidR="00500131" w:rsidRPr="00F90D5D" w:rsidRDefault="00500131" w:rsidP="00500131">
      <w:pPr>
        <w:pStyle w:val="BodyTextMain"/>
        <w:rPr>
          <w:rStyle w:val="A15"/>
          <w:rFonts w:ascii="Times New Roman" w:eastAsiaTheme="majorEastAsia" w:hAnsi="Times New Roman" w:cs="Times New Roman"/>
          <w:color w:val="auto"/>
          <w:sz w:val="22"/>
          <w:lang w:val="en-GB"/>
        </w:rPr>
      </w:pPr>
    </w:p>
    <w:p w:rsidR="00500131" w:rsidRPr="00F90D5D" w:rsidRDefault="00500131" w:rsidP="00500131">
      <w:pPr>
        <w:pStyle w:val="BodyTextMain"/>
        <w:rPr>
          <w:rStyle w:val="A15"/>
          <w:rFonts w:ascii="Times New Roman" w:eastAsiaTheme="majorEastAsia" w:hAnsi="Times New Roman"/>
          <w:bCs/>
          <w:sz w:val="22"/>
          <w:szCs w:val="22"/>
          <w:lang w:val="en-GB"/>
        </w:rPr>
      </w:pPr>
      <w:r w:rsidRPr="00F90D5D">
        <w:rPr>
          <w:rStyle w:val="A15"/>
          <w:rFonts w:ascii="Times New Roman" w:eastAsiaTheme="majorEastAsia" w:hAnsi="Times New Roman"/>
          <w:sz w:val="22"/>
          <w:szCs w:val="22"/>
          <w:lang w:val="en-GB"/>
        </w:rPr>
        <w:t>RSM had been listed on the H-</w:t>
      </w:r>
      <w:r>
        <w:rPr>
          <w:rStyle w:val="A15"/>
          <w:rFonts w:ascii="Times New Roman" w:eastAsiaTheme="majorEastAsia" w:hAnsi="Times New Roman"/>
          <w:sz w:val="22"/>
          <w:szCs w:val="22"/>
          <w:lang w:val="en-GB"/>
        </w:rPr>
        <w:t>s</w:t>
      </w:r>
      <w:r w:rsidRPr="00F90D5D">
        <w:rPr>
          <w:rStyle w:val="A15"/>
          <w:rFonts w:ascii="Times New Roman" w:eastAsiaTheme="majorEastAsia" w:hAnsi="Times New Roman"/>
          <w:sz w:val="22"/>
          <w:szCs w:val="22"/>
          <w:lang w:val="en-GB"/>
        </w:rPr>
        <w:t>hare market in 2015. In mid-2016, it announced an IPO on the A-</w:t>
      </w:r>
      <w:r>
        <w:rPr>
          <w:rStyle w:val="A15"/>
          <w:rFonts w:ascii="Times New Roman" w:eastAsiaTheme="majorEastAsia" w:hAnsi="Times New Roman"/>
          <w:sz w:val="22"/>
          <w:szCs w:val="22"/>
          <w:lang w:val="en-GB"/>
        </w:rPr>
        <w:t>s</w:t>
      </w:r>
      <w:r w:rsidRPr="00F90D5D">
        <w:rPr>
          <w:rStyle w:val="A15"/>
          <w:rFonts w:ascii="Times New Roman" w:eastAsiaTheme="majorEastAsia" w:hAnsi="Times New Roman"/>
          <w:sz w:val="22"/>
          <w:szCs w:val="22"/>
          <w:lang w:val="en-GB"/>
        </w:rPr>
        <w:t>hare market</w:t>
      </w:r>
      <w:r w:rsidRPr="00F90D5D">
        <w:rPr>
          <w:rStyle w:val="A15"/>
          <w:rFonts w:ascii="Times New Roman" w:eastAsiaTheme="minorEastAsia" w:hAnsi="Times New Roman" w:hint="eastAsia"/>
          <w:sz w:val="22"/>
          <w:szCs w:val="22"/>
          <w:lang w:val="en-GB" w:eastAsia="zh-CN"/>
        </w:rPr>
        <w:t xml:space="preserve">. By </w:t>
      </w:r>
      <w:r>
        <w:rPr>
          <w:rStyle w:val="A15"/>
          <w:rFonts w:ascii="Times New Roman" w:eastAsiaTheme="minorEastAsia" w:hAnsi="Times New Roman"/>
          <w:sz w:val="22"/>
          <w:szCs w:val="22"/>
          <w:lang w:val="en-GB" w:eastAsia="zh-CN"/>
        </w:rPr>
        <w:t xml:space="preserve">the </w:t>
      </w:r>
      <w:r w:rsidRPr="00F90D5D">
        <w:rPr>
          <w:rStyle w:val="A15"/>
          <w:rFonts w:ascii="Times New Roman" w:eastAsiaTheme="minorEastAsia" w:hAnsi="Times New Roman" w:hint="eastAsia"/>
          <w:sz w:val="22"/>
          <w:szCs w:val="22"/>
          <w:lang w:val="en-GB" w:eastAsia="zh-CN"/>
        </w:rPr>
        <w:t>end</w:t>
      </w:r>
      <w:r>
        <w:rPr>
          <w:rStyle w:val="A15"/>
          <w:rFonts w:ascii="Times New Roman" w:eastAsiaTheme="minorEastAsia" w:hAnsi="Times New Roman"/>
          <w:sz w:val="22"/>
          <w:szCs w:val="22"/>
          <w:lang w:val="en-GB" w:eastAsia="zh-CN"/>
        </w:rPr>
        <w:t xml:space="preserve"> of </w:t>
      </w:r>
      <w:r w:rsidRPr="00F90D5D">
        <w:rPr>
          <w:rStyle w:val="A15"/>
          <w:rFonts w:ascii="Times New Roman" w:eastAsiaTheme="minorEastAsia" w:hAnsi="Times New Roman" w:hint="eastAsia"/>
          <w:sz w:val="22"/>
          <w:szCs w:val="22"/>
          <w:lang w:val="en-GB" w:eastAsia="zh-CN"/>
        </w:rPr>
        <w:t xml:space="preserve">2016, </w:t>
      </w:r>
      <w:r>
        <w:rPr>
          <w:rStyle w:val="A15"/>
          <w:rFonts w:ascii="Times New Roman" w:eastAsiaTheme="minorEastAsia" w:hAnsi="Times New Roman"/>
          <w:sz w:val="22"/>
          <w:szCs w:val="22"/>
          <w:lang w:val="en-GB" w:eastAsia="zh-CN"/>
        </w:rPr>
        <w:t xml:space="preserve">RSM had opened its </w:t>
      </w:r>
      <w:r w:rsidRPr="00F90D5D">
        <w:rPr>
          <w:rStyle w:val="A15"/>
          <w:rFonts w:ascii="Times New Roman" w:eastAsiaTheme="minorEastAsia" w:hAnsi="Times New Roman" w:hint="eastAsia"/>
          <w:sz w:val="22"/>
          <w:szCs w:val="22"/>
          <w:lang w:val="en-GB" w:eastAsia="zh-CN"/>
        </w:rPr>
        <w:t>200th mall</w:t>
      </w:r>
      <w:r>
        <w:rPr>
          <w:rStyle w:val="A15"/>
          <w:rFonts w:ascii="Times New Roman" w:eastAsiaTheme="minorEastAsia" w:hAnsi="Times New Roman"/>
          <w:sz w:val="22"/>
          <w:szCs w:val="22"/>
          <w:lang w:val="en-GB" w:eastAsia="zh-CN"/>
        </w:rPr>
        <w:t>. It had, in fact, announced in 2012 its goal of opening its 200</w:t>
      </w:r>
      <w:r w:rsidRPr="00EE4F6F">
        <w:rPr>
          <w:rStyle w:val="A15"/>
          <w:rFonts w:ascii="Times New Roman" w:eastAsiaTheme="minorEastAsia" w:hAnsi="Times New Roman"/>
          <w:sz w:val="22"/>
          <w:szCs w:val="22"/>
          <w:lang w:val="en-GB" w:eastAsia="zh-CN"/>
        </w:rPr>
        <w:t>th</w:t>
      </w:r>
      <w:r>
        <w:rPr>
          <w:rStyle w:val="A15"/>
          <w:rFonts w:ascii="Times New Roman" w:eastAsiaTheme="minorEastAsia" w:hAnsi="Times New Roman"/>
          <w:sz w:val="22"/>
          <w:szCs w:val="22"/>
          <w:lang w:val="en-GB" w:eastAsia="zh-CN"/>
        </w:rPr>
        <w:t xml:space="preserve"> mall by 2020. The goal had been accomplished </w:t>
      </w:r>
      <w:r w:rsidRPr="00F90D5D">
        <w:rPr>
          <w:rStyle w:val="A15"/>
          <w:rFonts w:ascii="Times New Roman" w:eastAsiaTheme="minorEastAsia" w:hAnsi="Times New Roman"/>
          <w:sz w:val="22"/>
          <w:szCs w:val="22"/>
          <w:lang w:val="en-GB" w:eastAsia="zh-CN"/>
        </w:rPr>
        <w:t>four</w:t>
      </w:r>
      <w:r w:rsidRPr="00F90D5D">
        <w:rPr>
          <w:rStyle w:val="A15"/>
          <w:rFonts w:ascii="Times New Roman" w:eastAsiaTheme="minorEastAsia" w:hAnsi="Times New Roman" w:hint="eastAsia"/>
          <w:sz w:val="22"/>
          <w:szCs w:val="22"/>
          <w:lang w:val="en-GB" w:eastAsia="zh-CN"/>
        </w:rPr>
        <w:t xml:space="preserve"> years ahead</w:t>
      </w:r>
      <w:r>
        <w:rPr>
          <w:rStyle w:val="A15"/>
          <w:rFonts w:ascii="Times New Roman" w:eastAsiaTheme="minorEastAsia" w:hAnsi="Times New Roman"/>
          <w:sz w:val="22"/>
          <w:szCs w:val="22"/>
          <w:lang w:val="en-GB" w:eastAsia="zh-CN"/>
        </w:rPr>
        <w:t xml:space="preserve"> of schedule</w:t>
      </w:r>
      <w:r w:rsidRPr="00F90D5D">
        <w:rPr>
          <w:rStyle w:val="A15"/>
          <w:rFonts w:ascii="Times New Roman" w:eastAsiaTheme="minorEastAsia" w:hAnsi="Times New Roman" w:hint="eastAsia"/>
          <w:sz w:val="22"/>
          <w:szCs w:val="22"/>
          <w:lang w:val="en-GB" w:eastAsia="zh-CN"/>
        </w:rPr>
        <w:t>.</w:t>
      </w:r>
      <w:r w:rsidRPr="00F90D5D">
        <w:rPr>
          <w:rStyle w:val="A15"/>
          <w:rFonts w:ascii="Times New Roman" w:eastAsiaTheme="majorEastAsia" w:hAnsi="Times New Roman"/>
          <w:sz w:val="22"/>
          <w:szCs w:val="22"/>
          <w:lang w:val="en-GB"/>
        </w:rPr>
        <w:t xml:space="preserve"> </w:t>
      </w:r>
      <w:r>
        <w:rPr>
          <w:rStyle w:val="A15"/>
          <w:rFonts w:ascii="Times New Roman" w:eastAsiaTheme="majorEastAsia" w:hAnsi="Times New Roman"/>
          <w:sz w:val="22"/>
          <w:szCs w:val="22"/>
          <w:lang w:val="en-GB"/>
        </w:rPr>
        <w:t xml:space="preserve">By June 20, 2016, </w:t>
      </w:r>
      <w:r w:rsidRPr="00F90D5D">
        <w:rPr>
          <w:rStyle w:val="A15"/>
          <w:rFonts w:ascii="Times New Roman" w:eastAsiaTheme="majorEastAsia" w:hAnsi="Times New Roman"/>
          <w:sz w:val="22"/>
          <w:szCs w:val="22"/>
          <w:lang w:val="en-GB"/>
        </w:rPr>
        <w:t xml:space="preserve">RSM </w:t>
      </w:r>
      <w:r>
        <w:rPr>
          <w:rStyle w:val="A15"/>
          <w:rFonts w:ascii="Times New Roman" w:eastAsiaTheme="majorEastAsia" w:hAnsi="Times New Roman"/>
          <w:sz w:val="22"/>
          <w:szCs w:val="22"/>
          <w:lang w:val="en-GB"/>
        </w:rPr>
        <w:t xml:space="preserve">had </w:t>
      </w:r>
      <w:r w:rsidRPr="00F90D5D">
        <w:rPr>
          <w:rStyle w:val="A15"/>
          <w:rFonts w:ascii="Times New Roman" w:eastAsiaTheme="minorEastAsia" w:hAnsi="Times New Roman" w:hint="eastAsia"/>
          <w:sz w:val="22"/>
          <w:szCs w:val="22"/>
          <w:lang w:val="en-GB" w:eastAsia="zh-CN"/>
        </w:rPr>
        <w:t>be</w:t>
      </w:r>
      <w:r w:rsidRPr="00F90D5D">
        <w:rPr>
          <w:rStyle w:val="A15"/>
          <w:rFonts w:ascii="Times New Roman" w:eastAsiaTheme="minorEastAsia" w:hAnsi="Times New Roman"/>
          <w:sz w:val="22"/>
          <w:szCs w:val="22"/>
          <w:lang w:val="en-GB" w:eastAsia="zh-CN"/>
        </w:rPr>
        <w:t>c</w:t>
      </w:r>
      <w:r>
        <w:rPr>
          <w:rStyle w:val="A15"/>
          <w:rFonts w:ascii="Times New Roman" w:eastAsiaTheme="minorEastAsia" w:hAnsi="Times New Roman"/>
          <w:sz w:val="22"/>
          <w:szCs w:val="22"/>
          <w:lang w:val="en-GB" w:eastAsia="zh-CN"/>
        </w:rPr>
        <w:t>o</w:t>
      </w:r>
      <w:r w:rsidRPr="00F90D5D">
        <w:rPr>
          <w:rStyle w:val="A15"/>
          <w:rFonts w:ascii="Times New Roman" w:eastAsiaTheme="minorEastAsia" w:hAnsi="Times New Roman"/>
          <w:sz w:val="22"/>
          <w:szCs w:val="22"/>
          <w:lang w:val="en-GB" w:eastAsia="zh-CN"/>
        </w:rPr>
        <w:t>me</w:t>
      </w:r>
      <w:r w:rsidRPr="00F90D5D">
        <w:rPr>
          <w:rStyle w:val="A15"/>
          <w:rFonts w:ascii="Times New Roman" w:eastAsiaTheme="majorEastAsia" w:hAnsi="Times New Roman"/>
          <w:sz w:val="22"/>
          <w:szCs w:val="22"/>
          <w:lang w:val="en-GB"/>
        </w:rPr>
        <w:t xml:space="preserve"> </w:t>
      </w:r>
      <w:r>
        <w:rPr>
          <w:rStyle w:val="A15"/>
          <w:rFonts w:ascii="Times New Roman" w:eastAsiaTheme="majorEastAsia" w:hAnsi="Times New Roman"/>
          <w:sz w:val="22"/>
          <w:szCs w:val="22"/>
          <w:lang w:val="en-GB"/>
        </w:rPr>
        <w:t>China’s</w:t>
      </w:r>
      <w:r w:rsidRPr="00F90D5D">
        <w:rPr>
          <w:rStyle w:val="A15"/>
          <w:rFonts w:ascii="Times New Roman" w:eastAsiaTheme="majorEastAsia" w:hAnsi="Times New Roman"/>
          <w:sz w:val="22"/>
          <w:szCs w:val="22"/>
          <w:lang w:val="en-GB"/>
        </w:rPr>
        <w:t xml:space="preserve"> largest home improvement and </w:t>
      </w:r>
      <w:r>
        <w:rPr>
          <w:rStyle w:val="A15"/>
          <w:rFonts w:ascii="Times New Roman" w:eastAsiaTheme="majorEastAsia" w:hAnsi="Times New Roman"/>
          <w:sz w:val="22"/>
          <w:szCs w:val="22"/>
          <w:lang w:val="en-GB"/>
        </w:rPr>
        <w:t xml:space="preserve">home </w:t>
      </w:r>
      <w:r w:rsidRPr="00F90D5D">
        <w:rPr>
          <w:rStyle w:val="A15"/>
          <w:rFonts w:ascii="Times New Roman" w:eastAsiaTheme="majorEastAsia" w:hAnsi="Times New Roman"/>
          <w:sz w:val="22"/>
          <w:szCs w:val="22"/>
          <w:lang w:val="en-GB"/>
        </w:rPr>
        <w:t xml:space="preserve">furnishings shopping mall </w:t>
      </w:r>
      <w:r w:rsidRPr="00F90D5D">
        <w:rPr>
          <w:rStyle w:val="A15"/>
          <w:rFonts w:ascii="Times New Roman" w:eastAsiaTheme="majorEastAsia" w:hAnsi="Times New Roman"/>
          <w:sz w:val="22"/>
          <w:szCs w:val="22"/>
          <w:lang w:val="en-GB"/>
        </w:rPr>
        <w:lastRenderedPageBreak/>
        <w:t>operator</w:t>
      </w:r>
      <w:r w:rsidRPr="00F90D5D">
        <w:rPr>
          <w:rStyle w:val="A15"/>
          <w:rFonts w:ascii="Times New Roman" w:eastAsiaTheme="minorEastAsia" w:hAnsi="Times New Roman" w:hint="eastAsia"/>
          <w:sz w:val="22"/>
          <w:szCs w:val="22"/>
          <w:lang w:val="en-GB" w:eastAsia="zh-CN"/>
        </w:rPr>
        <w:t xml:space="preserve"> </w:t>
      </w:r>
      <w:r w:rsidRPr="00F90D5D">
        <w:rPr>
          <w:rStyle w:val="A15"/>
          <w:rFonts w:ascii="Times New Roman" w:eastAsiaTheme="majorEastAsia" w:hAnsi="Times New Roman"/>
          <w:sz w:val="22"/>
          <w:szCs w:val="22"/>
          <w:lang w:val="en-GB"/>
        </w:rPr>
        <w:t>in terms of three metrics: number of shopping malls (</w:t>
      </w:r>
      <w:r w:rsidRPr="00F90D5D">
        <w:rPr>
          <w:rStyle w:val="A15"/>
          <w:rFonts w:ascii="Times New Roman" w:eastAsiaTheme="minorEastAsia" w:hAnsi="Times New Roman" w:hint="eastAsia"/>
          <w:sz w:val="22"/>
          <w:szCs w:val="22"/>
          <w:lang w:val="en-GB" w:eastAsia="zh-CN"/>
        </w:rPr>
        <w:t>181</w:t>
      </w:r>
      <w:r w:rsidRPr="00F90D5D">
        <w:rPr>
          <w:rStyle w:val="A15"/>
          <w:rFonts w:ascii="Times New Roman" w:eastAsiaTheme="majorEastAsia" w:hAnsi="Times New Roman"/>
          <w:sz w:val="22"/>
          <w:szCs w:val="22"/>
          <w:lang w:val="en-GB"/>
        </w:rPr>
        <w:t>); operating area (11,814,928 square met</w:t>
      </w:r>
      <w:r>
        <w:rPr>
          <w:rStyle w:val="A15"/>
          <w:rFonts w:ascii="Times New Roman" w:eastAsiaTheme="majorEastAsia" w:hAnsi="Times New Roman"/>
          <w:sz w:val="22"/>
          <w:szCs w:val="22"/>
          <w:lang w:val="en-GB"/>
        </w:rPr>
        <w:t>re</w:t>
      </w:r>
      <w:r w:rsidRPr="00F90D5D">
        <w:rPr>
          <w:rStyle w:val="A15"/>
          <w:rFonts w:ascii="Times New Roman" w:eastAsiaTheme="majorEastAsia" w:hAnsi="Times New Roman"/>
          <w:sz w:val="22"/>
          <w:szCs w:val="22"/>
          <w:lang w:val="en-GB"/>
        </w:rPr>
        <w:t>s), and geographical coverage (</w:t>
      </w:r>
      <w:r w:rsidRPr="00F90D5D">
        <w:rPr>
          <w:rStyle w:val="A15"/>
          <w:rFonts w:ascii="Times New Roman" w:eastAsiaTheme="minorEastAsia" w:hAnsi="Times New Roman" w:hint="eastAsia"/>
          <w:sz w:val="22"/>
          <w:szCs w:val="22"/>
          <w:lang w:val="en-GB" w:eastAsia="zh-CN"/>
        </w:rPr>
        <w:t>129</w:t>
      </w:r>
      <w:r w:rsidRPr="00F90D5D">
        <w:rPr>
          <w:rStyle w:val="A15"/>
          <w:rFonts w:ascii="Times New Roman" w:eastAsiaTheme="majorEastAsia" w:hAnsi="Times New Roman"/>
          <w:sz w:val="22"/>
          <w:szCs w:val="22"/>
          <w:lang w:val="en-GB"/>
        </w:rPr>
        <w:t xml:space="preserve"> cities). The company had generated revenue of </w:t>
      </w:r>
      <w:r>
        <w:rPr>
          <w:rStyle w:val="A15"/>
          <w:rFonts w:ascii="Times New Roman" w:eastAsiaTheme="majorEastAsia" w:hAnsi="Times New Roman" w:cs="Times New Roman"/>
          <w:sz w:val="22"/>
          <w:szCs w:val="22"/>
          <w:lang w:val="en-GB"/>
        </w:rPr>
        <w:t>¥</w:t>
      </w:r>
      <w:r w:rsidRPr="00F90D5D">
        <w:rPr>
          <w:rStyle w:val="A15"/>
          <w:rFonts w:ascii="Times New Roman" w:eastAsiaTheme="majorEastAsia" w:hAnsi="Times New Roman"/>
          <w:sz w:val="22"/>
          <w:szCs w:val="22"/>
          <w:lang w:val="en-GB"/>
        </w:rPr>
        <w:t xml:space="preserve">8.76 billion and </w:t>
      </w:r>
      <w:r w:rsidRPr="00F90D5D">
        <w:rPr>
          <w:rStyle w:val="A15"/>
          <w:rFonts w:ascii="Times New Roman" w:eastAsiaTheme="minorEastAsia" w:hAnsi="Times New Roman" w:hint="eastAsia"/>
          <w:sz w:val="22"/>
          <w:szCs w:val="22"/>
          <w:lang w:val="en-GB" w:eastAsia="zh-CN"/>
        </w:rPr>
        <w:t>net</w:t>
      </w:r>
      <w:r w:rsidRPr="00F90D5D">
        <w:rPr>
          <w:rStyle w:val="A15"/>
          <w:rFonts w:ascii="Times New Roman" w:eastAsiaTheme="majorEastAsia" w:hAnsi="Times New Roman"/>
          <w:sz w:val="22"/>
          <w:szCs w:val="22"/>
          <w:lang w:val="en-GB"/>
        </w:rPr>
        <w:t xml:space="preserve"> profit</w:t>
      </w:r>
      <w:r>
        <w:rPr>
          <w:rStyle w:val="A15"/>
          <w:rFonts w:ascii="Times New Roman" w:eastAsiaTheme="majorEastAsia" w:hAnsi="Times New Roman"/>
          <w:sz w:val="22"/>
          <w:szCs w:val="22"/>
          <w:lang w:val="en-GB"/>
        </w:rPr>
        <w:t>s</w:t>
      </w:r>
      <w:r w:rsidRPr="00F90D5D">
        <w:rPr>
          <w:rStyle w:val="A15"/>
          <w:rFonts w:ascii="Times New Roman" w:eastAsiaTheme="majorEastAsia" w:hAnsi="Times New Roman"/>
          <w:sz w:val="22"/>
          <w:szCs w:val="22"/>
          <w:lang w:val="en-GB"/>
        </w:rPr>
        <w:t xml:space="preserve"> of </w:t>
      </w:r>
      <w:r>
        <w:rPr>
          <w:rStyle w:val="A15"/>
          <w:rFonts w:ascii="Times New Roman" w:eastAsiaTheme="majorEastAsia" w:hAnsi="Times New Roman" w:cs="Times New Roman"/>
          <w:sz w:val="22"/>
          <w:szCs w:val="22"/>
          <w:lang w:val="en-GB"/>
        </w:rPr>
        <w:t>¥</w:t>
      </w:r>
      <w:r w:rsidRPr="00F90D5D">
        <w:rPr>
          <w:rStyle w:val="A15"/>
          <w:rFonts w:ascii="Times New Roman" w:eastAsiaTheme="minorEastAsia" w:hAnsi="Times New Roman" w:hint="eastAsia"/>
          <w:sz w:val="22"/>
          <w:szCs w:val="22"/>
          <w:lang w:val="en-GB" w:eastAsia="zh-CN"/>
        </w:rPr>
        <w:t>4.37</w:t>
      </w:r>
      <w:r w:rsidRPr="00F90D5D">
        <w:rPr>
          <w:rStyle w:val="A15"/>
          <w:rFonts w:ascii="Times New Roman" w:eastAsiaTheme="majorEastAsia" w:hAnsi="Times New Roman"/>
          <w:sz w:val="22"/>
          <w:szCs w:val="22"/>
          <w:lang w:val="en-GB"/>
        </w:rPr>
        <w:t xml:space="preserve"> billion for the year ending December 2015 (</w:t>
      </w:r>
      <w:r>
        <w:rPr>
          <w:rStyle w:val="A15"/>
          <w:rFonts w:ascii="Times New Roman" w:eastAsiaTheme="majorEastAsia" w:hAnsi="Times New Roman"/>
          <w:sz w:val="22"/>
          <w:szCs w:val="22"/>
          <w:lang w:val="en-GB"/>
        </w:rPr>
        <w:t>see E</w:t>
      </w:r>
      <w:r w:rsidRPr="00F90D5D">
        <w:rPr>
          <w:rStyle w:val="A15"/>
          <w:rFonts w:ascii="Times New Roman" w:eastAsiaTheme="majorEastAsia" w:hAnsi="Times New Roman"/>
          <w:sz w:val="22"/>
          <w:szCs w:val="22"/>
          <w:lang w:val="en-GB"/>
        </w:rPr>
        <w:t xml:space="preserve">xhibit </w:t>
      </w:r>
      <w:r w:rsidRPr="00F90D5D">
        <w:rPr>
          <w:rStyle w:val="A15"/>
          <w:rFonts w:ascii="Times New Roman" w:eastAsiaTheme="minorEastAsia" w:hAnsi="Times New Roman" w:hint="eastAsia"/>
          <w:sz w:val="22"/>
          <w:szCs w:val="22"/>
          <w:lang w:val="en-GB" w:eastAsia="zh-CN"/>
        </w:rPr>
        <w:t>4</w:t>
      </w:r>
      <w:r w:rsidRPr="00F90D5D">
        <w:rPr>
          <w:rStyle w:val="A15"/>
          <w:rFonts w:ascii="Times New Roman" w:eastAsiaTheme="majorEastAsia" w:hAnsi="Times New Roman"/>
          <w:sz w:val="22"/>
          <w:szCs w:val="22"/>
          <w:lang w:val="en-GB"/>
        </w:rPr>
        <w:t xml:space="preserve">). </w:t>
      </w:r>
      <w:r>
        <w:rPr>
          <w:rStyle w:val="A15"/>
          <w:rFonts w:ascii="Times New Roman" w:eastAsiaTheme="majorEastAsia" w:hAnsi="Times New Roman"/>
          <w:sz w:val="22"/>
          <w:szCs w:val="22"/>
          <w:lang w:val="en-GB"/>
        </w:rPr>
        <w:t>RSM</w:t>
      </w:r>
      <w:r w:rsidRPr="00F90D5D">
        <w:rPr>
          <w:rStyle w:val="A15"/>
          <w:rFonts w:ascii="Times New Roman" w:eastAsiaTheme="majorEastAsia" w:hAnsi="Times New Roman"/>
          <w:sz w:val="22"/>
          <w:szCs w:val="22"/>
          <w:lang w:val="en-GB"/>
        </w:rPr>
        <w:t xml:space="preserve"> had </w:t>
      </w:r>
      <w:r w:rsidRPr="00F90D5D">
        <w:rPr>
          <w:rStyle w:val="A15"/>
          <w:rFonts w:ascii="Times New Roman" w:eastAsiaTheme="minorEastAsia" w:hAnsi="Times New Roman" w:hint="eastAsia"/>
          <w:sz w:val="22"/>
          <w:szCs w:val="22"/>
          <w:lang w:val="en-GB" w:eastAsia="zh-CN"/>
        </w:rPr>
        <w:t>17,086</w:t>
      </w:r>
      <w:r w:rsidRPr="00F90D5D">
        <w:rPr>
          <w:rStyle w:val="A15"/>
          <w:rFonts w:ascii="Times New Roman" w:eastAsiaTheme="majorEastAsia" w:hAnsi="Times New Roman"/>
          <w:sz w:val="22"/>
          <w:szCs w:val="22"/>
          <w:lang w:val="en-GB"/>
        </w:rPr>
        <w:t xml:space="preserve"> full</w:t>
      </w:r>
      <w:r>
        <w:rPr>
          <w:rStyle w:val="A15"/>
          <w:rFonts w:ascii="Times New Roman" w:eastAsiaTheme="majorEastAsia" w:hAnsi="Times New Roman"/>
          <w:sz w:val="22"/>
          <w:szCs w:val="22"/>
          <w:lang w:val="en-GB"/>
        </w:rPr>
        <w:t>-</w:t>
      </w:r>
      <w:r w:rsidRPr="00F90D5D">
        <w:rPr>
          <w:rStyle w:val="A15"/>
          <w:rFonts w:ascii="Times New Roman" w:eastAsiaTheme="majorEastAsia" w:hAnsi="Times New Roman"/>
          <w:sz w:val="22"/>
          <w:szCs w:val="22"/>
          <w:lang w:val="en-GB"/>
        </w:rPr>
        <w:t xml:space="preserve">time employees. Its </w:t>
      </w:r>
      <w:r>
        <w:rPr>
          <w:rStyle w:val="A15"/>
          <w:rFonts w:ascii="Times New Roman" w:eastAsiaTheme="majorEastAsia" w:hAnsi="Times New Roman"/>
          <w:sz w:val="22"/>
          <w:szCs w:val="22"/>
          <w:lang w:val="en-GB"/>
        </w:rPr>
        <w:t xml:space="preserve">mall </w:t>
      </w:r>
      <w:r w:rsidRPr="00F90D5D">
        <w:rPr>
          <w:rStyle w:val="A15"/>
          <w:rFonts w:ascii="Times New Roman" w:eastAsiaTheme="majorEastAsia" w:hAnsi="Times New Roman"/>
          <w:sz w:val="22"/>
          <w:szCs w:val="22"/>
          <w:lang w:val="en-GB"/>
        </w:rPr>
        <w:t xml:space="preserve">tenants had </w:t>
      </w:r>
      <w:r w:rsidRPr="00F90D5D">
        <w:rPr>
          <w:rStyle w:val="A15"/>
          <w:rFonts w:ascii="Times New Roman" w:eastAsiaTheme="majorEastAsia" w:hAnsi="Times New Roman"/>
          <w:bCs/>
          <w:sz w:val="22"/>
          <w:szCs w:val="22"/>
          <w:lang w:val="en-GB"/>
        </w:rPr>
        <w:t>their own employees only at the sales counters.</w:t>
      </w:r>
    </w:p>
    <w:p w:rsidR="00500131" w:rsidRPr="00F90D5D" w:rsidRDefault="00500131" w:rsidP="00500131">
      <w:pPr>
        <w:pStyle w:val="BodyTextMain"/>
        <w:rPr>
          <w:rStyle w:val="A15"/>
          <w:rFonts w:ascii="Times New Roman" w:eastAsiaTheme="majorEastAsia" w:hAnsi="Times New Roman"/>
          <w:bCs/>
          <w:sz w:val="22"/>
          <w:szCs w:val="22"/>
          <w:lang w:val="en-GB"/>
        </w:rPr>
      </w:pPr>
    </w:p>
    <w:p w:rsidR="00500131" w:rsidRPr="00F90D5D" w:rsidRDefault="00500131" w:rsidP="00500131">
      <w:pPr>
        <w:pStyle w:val="BodyTextMain"/>
        <w:rPr>
          <w:rFonts w:eastAsia="Calibri"/>
          <w:lang w:val="en-GB" w:eastAsia="zh-CN"/>
        </w:rPr>
      </w:pPr>
      <w:proofErr w:type="spellStart"/>
      <w:r>
        <w:rPr>
          <w:rStyle w:val="A15"/>
          <w:rFonts w:ascii="Times New Roman" w:eastAsiaTheme="majorEastAsia" w:hAnsi="Times New Roman"/>
          <w:sz w:val="22"/>
          <w:szCs w:val="22"/>
          <w:lang w:val="en-GB"/>
        </w:rPr>
        <w:t>CheChe</w:t>
      </w:r>
      <w:proofErr w:type="spellEnd"/>
      <w:r>
        <w:rPr>
          <w:rStyle w:val="A15"/>
          <w:rFonts w:ascii="Times New Roman" w:eastAsiaTheme="majorEastAsia" w:hAnsi="Times New Roman"/>
          <w:sz w:val="22"/>
          <w:szCs w:val="22"/>
          <w:lang w:val="en-GB"/>
        </w:rPr>
        <w:t xml:space="preserve"> had founded t</w:t>
      </w:r>
      <w:r w:rsidRPr="00F90D5D">
        <w:rPr>
          <w:rStyle w:val="A15"/>
          <w:rFonts w:ascii="Times New Roman" w:eastAsiaTheme="majorEastAsia" w:hAnsi="Times New Roman"/>
          <w:sz w:val="22"/>
          <w:szCs w:val="22"/>
          <w:lang w:val="en-GB"/>
        </w:rPr>
        <w:t xml:space="preserve">he company </w:t>
      </w:r>
      <w:r>
        <w:rPr>
          <w:rStyle w:val="A15"/>
          <w:rFonts w:ascii="Times New Roman" w:eastAsiaTheme="majorEastAsia" w:hAnsi="Times New Roman"/>
          <w:sz w:val="22"/>
          <w:szCs w:val="22"/>
          <w:lang w:val="en-GB"/>
        </w:rPr>
        <w:t>in June 1986</w:t>
      </w:r>
      <w:r w:rsidRPr="00F90D5D">
        <w:rPr>
          <w:rStyle w:val="A15"/>
          <w:rFonts w:ascii="Times New Roman" w:eastAsiaTheme="majorEastAsia" w:hAnsi="Times New Roman"/>
          <w:sz w:val="22"/>
          <w:szCs w:val="22"/>
          <w:lang w:val="en-GB"/>
        </w:rPr>
        <w:t xml:space="preserve"> </w:t>
      </w:r>
      <w:r>
        <w:rPr>
          <w:rStyle w:val="A15"/>
          <w:rFonts w:ascii="Times New Roman" w:eastAsiaTheme="majorEastAsia" w:hAnsi="Times New Roman"/>
          <w:sz w:val="22"/>
          <w:szCs w:val="22"/>
          <w:lang w:val="en-GB"/>
        </w:rPr>
        <w:t>with</w:t>
      </w:r>
      <w:r w:rsidRPr="00F90D5D">
        <w:rPr>
          <w:rStyle w:val="A15"/>
          <w:rFonts w:ascii="Times New Roman" w:eastAsiaTheme="majorEastAsia" w:hAnsi="Times New Roman"/>
          <w:sz w:val="22"/>
          <w:szCs w:val="22"/>
          <w:lang w:val="en-GB"/>
        </w:rPr>
        <w:t xml:space="preserve"> capital of </w:t>
      </w:r>
      <w:r>
        <w:rPr>
          <w:rStyle w:val="A15"/>
          <w:rFonts w:ascii="Times New Roman" w:eastAsiaTheme="majorEastAsia" w:hAnsi="Times New Roman" w:cs="Times New Roman"/>
          <w:sz w:val="22"/>
          <w:szCs w:val="22"/>
          <w:lang w:val="en-GB"/>
        </w:rPr>
        <w:t>¥</w:t>
      </w:r>
      <w:r w:rsidRPr="00F90D5D">
        <w:rPr>
          <w:rStyle w:val="A15"/>
          <w:rFonts w:ascii="Times New Roman" w:eastAsiaTheme="majorEastAsia" w:hAnsi="Times New Roman"/>
          <w:sz w:val="22"/>
          <w:szCs w:val="22"/>
          <w:lang w:val="en-GB"/>
        </w:rPr>
        <w:t>600. A high</w:t>
      </w:r>
      <w:r>
        <w:rPr>
          <w:rStyle w:val="A15"/>
          <w:rFonts w:ascii="Times New Roman" w:eastAsiaTheme="majorEastAsia" w:hAnsi="Times New Roman"/>
          <w:sz w:val="22"/>
          <w:szCs w:val="22"/>
          <w:lang w:val="en-GB"/>
        </w:rPr>
        <w:t>-</w:t>
      </w:r>
      <w:r w:rsidRPr="00F90D5D">
        <w:rPr>
          <w:rStyle w:val="A15"/>
          <w:rFonts w:ascii="Times New Roman" w:eastAsiaTheme="majorEastAsia" w:hAnsi="Times New Roman"/>
          <w:sz w:val="22"/>
          <w:szCs w:val="22"/>
          <w:lang w:val="en-GB"/>
        </w:rPr>
        <w:t xml:space="preserve">school dropout, </w:t>
      </w:r>
      <w:proofErr w:type="spellStart"/>
      <w:r w:rsidRPr="00F90D5D">
        <w:rPr>
          <w:rStyle w:val="A15"/>
          <w:rFonts w:ascii="Times New Roman" w:eastAsiaTheme="majorEastAsia" w:hAnsi="Times New Roman"/>
          <w:sz w:val="22"/>
          <w:szCs w:val="22"/>
          <w:lang w:val="en-GB"/>
        </w:rPr>
        <w:t>CheChe</w:t>
      </w:r>
      <w:proofErr w:type="spellEnd"/>
      <w:r w:rsidRPr="00F90D5D">
        <w:rPr>
          <w:rStyle w:val="A15"/>
          <w:rFonts w:ascii="Times New Roman" w:eastAsiaTheme="majorEastAsia" w:hAnsi="Times New Roman"/>
          <w:sz w:val="22"/>
          <w:szCs w:val="22"/>
          <w:lang w:val="en-GB"/>
        </w:rPr>
        <w:t xml:space="preserve"> had taken up carpentry with </w:t>
      </w:r>
      <w:r w:rsidRPr="00F90D5D">
        <w:rPr>
          <w:rStyle w:val="A15"/>
          <w:rFonts w:ascii="Times New Roman" w:eastAsia="SimSun" w:hAnsi="Times New Roman" w:hint="eastAsia"/>
          <w:sz w:val="22"/>
          <w:szCs w:val="22"/>
          <w:lang w:val="en-GB" w:eastAsia="zh-CN"/>
        </w:rPr>
        <w:t>his apprentices</w:t>
      </w:r>
      <w:r w:rsidRPr="00F90D5D">
        <w:rPr>
          <w:rStyle w:val="A15"/>
          <w:rFonts w:ascii="Times New Roman" w:eastAsiaTheme="minorEastAsia" w:hAnsi="Times New Roman" w:hint="eastAsia"/>
          <w:sz w:val="22"/>
          <w:szCs w:val="22"/>
          <w:lang w:val="en-GB" w:eastAsia="zh-CN"/>
        </w:rPr>
        <w:t xml:space="preserve"> </w:t>
      </w:r>
      <w:r w:rsidRPr="00F90D5D">
        <w:rPr>
          <w:rStyle w:val="A15"/>
          <w:rFonts w:ascii="Times New Roman" w:eastAsiaTheme="majorEastAsia" w:hAnsi="Times New Roman"/>
          <w:sz w:val="22"/>
          <w:szCs w:val="22"/>
          <w:lang w:val="en-GB"/>
        </w:rPr>
        <w:t xml:space="preserve">in the city of Changzhou in the province of Jiangsu. By 1988, they had </w:t>
      </w:r>
      <w:r w:rsidRPr="00F90D5D">
        <w:rPr>
          <w:rStyle w:val="A15"/>
          <w:rFonts w:ascii="Times New Roman" w:eastAsia="SimSun" w:hAnsi="Times New Roman" w:hint="eastAsia"/>
          <w:sz w:val="22"/>
          <w:szCs w:val="22"/>
          <w:lang w:val="en-GB" w:eastAsia="zh-CN"/>
        </w:rPr>
        <w:t>put together</w:t>
      </w:r>
      <w:r>
        <w:rPr>
          <w:rStyle w:val="A15"/>
          <w:rFonts w:ascii="Times New Roman" w:eastAsia="SimSun" w:hAnsi="Times New Roman"/>
          <w:sz w:val="22"/>
          <w:szCs w:val="22"/>
          <w:lang w:val="en-GB" w:eastAsia="zh-CN"/>
        </w:rPr>
        <w:t xml:space="preserve"> </w:t>
      </w:r>
      <w:r w:rsidRPr="00F90D5D">
        <w:rPr>
          <w:rStyle w:val="A15"/>
          <w:rFonts w:ascii="Times New Roman" w:eastAsiaTheme="majorEastAsia" w:hAnsi="Times New Roman"/>
          <w:sz w:val="22"/>
          <w:szCs w:val="22"/>
          <w:lang w:val="en-GB"/>
        </w:rPr>
        <w:t xml:space="preserve">500 </w:t>
      </w:r>
      <w:r w:rsidRPr="00F90D5D">
        <w:rPr>
          <w:rStyle w:val="A15"/>
          <w:rFonts w:ascii="Times New Roman" w:eastAsia="SimSun" w:hAnsi="Times New Roman" w:hint="eastAsia"/>
          <w:sz w:val="22"/>
          <w:szCs w:val="22"/>
          <w:lang w:val="en-GB" w:eastAsia="zh-CN"/>
        </w:rPr>
        <w:t>sets</w:t>
      </w:r>
      <w:r w:rsidRPr="00F90D5D">
        <w:rPr>
          <w:rStyle w:val="A15"/>
          <w:rFonts w:ascii="Times New Roman" w:eastAsiaTheme="majorEastAsia" w:hAnsi="Times New Roman"/>
          <w:sz w:val="22"/>
          <w:szCs w:val="22"/>
          <w:lang w:val="en-GB"/>
        </w:rPr>
        <w:t xml:space="preserve"> of furniture and sold them for $80,000</w:t>
      </w:r>
      <w:r>
        <w:rPr>
          <w:rStyle w:val="A15"/>
          <w:rFonts w:ascii="Times New Roman" w:eastAsiaTheme="majorEastAsia" w:hAnsi="Times New Roman"/>
          <w:sz w:val="22"/>
          <w:szCs w:val="22"/>
          <w:lang w:val="en-GB"/>
        </w:rPr>
        <w:t>,</w:t>
      </w:r>
      <w:r w:rsidRPr="00F90D5D">
        <w:rPr>
          <w:rStyle w:val="A15"/>
          <w:rFonts w:ascii="Times New Roman" w:eastAsiaTheme="majorEastAsia" w:hAnsi="Times New Roman"/>
          <w:sz w:val="22"/>
          <w:szCs w:val="22"/>
          <w:lang w:val="en-GB"/>
        </w:rPr>
        <w:t xml:space="preserve"> before setting up a furniture warehouse in 1992. It was a year later that </w:t>
      </w:r>
      <w:proofErr w:type="spellStart"/>
      <w:r w:rsidRPr="00F90D5D">
        <w:rPr>
          <w:rStyle w:val="A15"/>
          <w:rFonts w:ascii="Times New Roman" w:eastAsiaTheme="majorEastAsia" w:hAnsi="Times New Roman"/>
          <w:sz w:val="22"/>
          <w:szCs w:val="22"/>
          <w:lang w:val="en-GB"/>
        </w:rPr>
        <w:t>CheChe</w:t>
      </w:r>
      <w:proofErr w:type="spellEnd"/>
      <w:r w:rsidRPr="00F90D5D">
        <w:rPr>
          <w:rStyle w:val="A15"/>
          <w:rFonts w:ascii="Times New Roman" w:eastAsiaTheme="minorEastAsia" w:hAnsi="Times New Roman" w:hint="eastAsia"/>
          <w:sz w:val="22"/>
          <w:szCs w:val="22"/>
          <w:lang w:val="en-GB" w:eastAsia="zh-CN"/>
        </w:rPr>
        <w:t xml:space="preserve"> </w:t>
      </w:r>
      <w:r w:rsidRPr="00F90D5D">
        <w:rPr>
          <w:rStyle w:val="A15"/>
          <w:rFonts w:ascii="Times New Roman" w:eastAsiaTheme="majorEastAsia" w:hAnsi="Times New Roman"/>
          <w:sz w:val="22"/>
          <w:szCs w:val="22"/>
          <w:lang w:val="en-GB"/>
        </w:rPr>
        <w:t xml:space="preserve">thought of leasing a shopping mall focused on furniture. He rented a decrepit building, </w:t>
      </w:r>
      <w:r w:rsidRPr="00F90D5D">
        <w:rPr>
          <w:rFonts w:eastAsia="Calibri"/>
          <w:lang w:val="en-GB" w:eastAsia="zh-CN"/>
        </w:rPr>
        <w:t>divided it into small shops, and rented</w:t>
      </w:r>
      <w:r w:rsidRPr="00F90D5D">
        <w:rPr>
          <w:rFonts w:eastAsiaTheme="minorEastAsia" w:hint="eastAsia"/>
          <w:lang w:val="en-GB" w:eastAsia="zh-CN"/>
        </w:rPr>
        <w:t xml:space="preserve"> </w:t>
      </w:r>
      <w:r w:rsidRPr="00F90D5D">
        <w:rPr>
          <w:rFonts w:eastAsia="Calibri"/>
          <w:lang w:val="en-GB" w:eastAsia="zh-CN"/>
        </w:rPr>
        <w:t>them out to small, individual furniture traders. The idea became so successful that he replicated the model to establish 20 similar malls in</w:t>
      </w:r>
      <w:r>
        <w:rPr>
          <w:rFonts w:eastAsia="Calibri"/>
          <w:lang w:val="en-GB" w:eastAsia="zh-CN"/>
        </w:rPr>
        <w:t xml:space="preserve"> </w:t>
      </w:r>
      <w:r w:rsidRPr="00F90D5D">
        <w:rPr>
          <w:rFonts w:eastAsia="Calibri"/>
          <w:lang w:val="en-GB" w:eastAsia="zh-CN"/>
        </w:rPr>
        <w:t xml:space="preserve">cities, big and small, in Jiangsu </w:t>
      </w:r>
      <w:r>
        <w:rPr>
          <w:rFonts w:eastAsia="Calibri"/>
          <w:lang w:val="en-GB" w:eastAsia="zh-CN"/>
        </w:rPr>
        <w:t>P</w:t>
      </w:r>
      <w:r w:rsidRPr="00F90D5D">
        <w:rPr>
          <w:rFonts w:eastAsia="Calibri"/>
          <w:lang w:val="en-GB" w:eastAsia="zh-CN"/>
        </w:rPr>
        <w:t>rovince. Within a year, he had progressed to purchasing freehold land</w:t>
      </w:r>
      <w:r>
        <w:rPr>
          <w:rFonts w:eastAsia="Calibri"/>
          <w:lang w:val="en-GB" w:eastAsia="zh-CN"/>
        </w:rPr>
        <w:t xml:space="preserve"> </w:t>
      </w:r>
      <w:r w:rsidRPr="00F90D5D">
        <w:rPr>
          <w:rFonts w:eastAsia="Calibri"/>
          <w:lang w:val="en-GB" w:eastAsia="zh-CN"/>
        </w:rPr>
        <w:t xml:space="preserve">in metropolitan cities </w:t>
      </w:r>
      <w:r>
        <w:rPr>
          <w:rFonts w:eastAsia="Calibri"/>
          <w:lang w:val="en-GB" w:eastAsia="zh-CN"/>
        </w:rPr>
        <w:t>such as</w:t>
      </w:r>
      <w:r w:rsidRPr="00F90D5D">
        <w:rPr>
          <w:rFonts w:eastAsia="Calibri"/>
          <w:lang w:val="en-GB" w:eastAsia="zh-CN"/>
        </w:rPr>
        <w:t xml:space="preserve"> Beijing and Shanghai,</w:t>
      </w:r>
      <w:r w:rsidRPr="00F90D5D">
        <w:rPr>
          <w:rFonts w:eastAsiaTheme="minorEastAsia" w:hint="eastAsia"/>
          <w:lang w:val="en-GB" w:eastAsia="zh-CN"/>
        </w:rPr>
        <w:t xml:space="preserve"> </w:t>
      </w:r>
      <w:r w:rsidRPr="00F90D5D">
        <w:rPr>
          <w:rFonts w:eastAsia="Calibri"/>
          <w:lang w:val="en-GB" w:eastAsia="zh-CN"/>
        </w:rPr>
        <w:t xml:space="preserve">on which he built malls. </w:t>
      </w:r>
    </w:p>
    <w:p w:rsidR="00500131" w:rsidRPr="00F90D5D" w:rsidRDefault="00500131" w:rsidP="00500131">
      <w:pPr>
        <w:pStyle w:val="BodyTextMain"/>
        <w:rPr>
          <w:rFonts w:eastAsia="Calibri"/>
          <w:lang w:val="en-GB" w:eastAsia="zh-CN"/>
        </w:rPr>
      </w:pPr>
    </w:p>
    <w:p w:rsidR="00500131" w:rsidRPr="00F90D5D" w:rsidRDefault="00500131" w:rsidP="00500131">
      <w:pPr>
        <w:pStyle w:val="BodyTextMain"/>
        <w:rPr>
          <w:rStyle w:val="A15"/>
          <w:rFonts w:ascii="Times New Roman" w:eastAsiaTheme="majorEastAsia" w:hAnsi="Times New Roman"/>
          <w:sz w:val="22"/>
          <w:szCs w:val="22"/>
          <w:lang w:val="en-GB"/>
        </w:rPr>
      </w:pPr>
      <w:r w:rsidRPr="00F90D5D">
        <w:rPr>
          <w:rFonts w:eastAsia="Calibri"/>
          <w:lang w:val="en-GB" w:eastAsia="zh-CN"/>
        </w:rPr>
        <w:t xml:space="preserve">In 1998, </w:t>
      </w:r>
      <w:proofErr w:type="spellStart"/>
      <w:r w:rsidRPr="00F90D5D">
        <w:rPr>
          <w:rFonts w:eastAsia="Calibri"/>
          <w:lang w:val="en-GB" w:eastAsia="zh-CN"/>
        </w:rPr>
        <w:t>CheChe</w:t>
      </w:r>
      <w:proofErr w:type="spellEnd"/>
      <w:r w:rsidRPr="00F90D5D">
        <w:rPr>
          <w:rFonts w:eastAsia="Calibri"/>
          <w:lang w:val="en-GB" w:eastAsia="zh-CN"/>
        </w:rPr>
        <w:t xml:space="preserve"> switched to the franchise business model. Franchising required less capital on his part </w:t>
      </w:r>
      <w:r>
        <w:rPr>
          <w:rFonts w:eastAsia="Calibri"/>
          <w:lang w:val="en-GB" w:eastAsia="zh-CN"/>
        </w:rPr>
        <w:t>because</w:t>
      </w:r>
      <w:r w:rsidRPr="00F90D5D">
        <w:rPr>
          <w:rFonts w:eastAsia="Calibri"/>
          <w:lang w:val="en-GB" w:eastAsia="zh-CN"/>
        </w:rPr>
        <w:t xml:space="preserve"> the investment was shared with the franchisee. The model ensured faster geographical expansion nationwide. </w:t>
      </w:r>
      <w:r w:rsidRPr="00F90D5D">
        <w:rPr>
          <w:rStyle w:val="A15"/>
          <w:rFonts w:ascii="Times New Roman" w:eastAsiaTheme="majorEastAsia" w:hAnsi="Times New Roman"/>
          <w:sz w:val="22"/>
          <w:szCs w:val="22"/>
          <w:lang w:val="en-GB"/>
        </w:rPr>
        <w:t xml:space="preserve">Said </w:t>
      </w:r>
      <w:proofErr w:type="spellStart"/>
      <w:r w:rsidRPr="00F90D5D">
        <w:rPr>
          <w:rStyle w:val="A15"/>
          <w:rFonts w:ascii="Times New Roman" w:eastAsiaTheme="majorEastAsia" w:hAnsi="Times New Roman"/>
          <w:sz w:val="22"/>
          <w:szCs w:val="22"/>
          <w:lang w:val="en-GB"/>
        </w:rPr>
        <w:t>CheChe</w:t>
      </w:r>
      <w:proofErr w:type="spellEnd"/>
      <w:r w:rsidRPr="00F90D5D">
        <w:rPr>
          <w:rStyle w:val="A15"/>
          <w:rFonts w:ascii="Times New Roman" w:eastAsiaTheme="majorEastAsia" w:hAnsi="Times New Roman"/>
          <w:sz w:val="22"/>
          <w:szCs w:val="22"/>
          <w:lang w:val="en-GB"/>
        </w:rPr>
        <w:t>:</w:t>
      </w:r>
    </w:p>
    <w:p w:rsidR="00500131" w:rsidRPr="00F90D5D" w:rsidRDefault="00500131" w:rsidP="00500131">
      <w:pPr>
        <w:rPr>
          <w:rStyle w:val="A15"/>
          <w:rFonts w:ascii="Times New Roman" w:eastAsiaTheme="majorEastAsia" w:hAnsi="Times New Roman"/>
          <w:sz w:val="22"/>
          <w:szCs w:val="22"/>
          <w:lang w:val="en-GB"/>
        </w:rPr>
      </w:pPr>
    </w:p>
    <w:p w:rsidR="00500131" w:rsidRPr="00F90D5D" w:rsidRDefault="00500131" w:rsidP="00500131">
      <w:pPr>
        <w:pStyle w:val="BodyTextMain"/>
        <w:ind w:left="720"/>
        <w:rPr>
          <w:rStyle w:val="A15"/>
          <w:rFonts w:ascii="Times New Roman" w:eastAsiaTheme="majorEastAsia" w:hAnsi="Times New Roman"/>
          <w:sz w:val="22"/>
          <w:szCs w:val="22"/>
          <w:lang w:val="en-GB"/>
        </w:rPr>
      </w:pPr>
      <w:r w:rsidRPr="00F90D5D">
        <w:rPr>
          <w:rStyle w:val="A15"/>
          <w:rFonts w:ascii="Times New Roman" w:eastAsiaTheme="majorEastAsia" w:hAnsi="Times New Roman"/>
          <w:sz w:val="22"/>
          <w:szCs w:val="22"/>
          <w:lang w:val="en-GB"/>
        </w:rPr>
        <w:t>In 2003, we launched garden-style malls which are environment-friendly</w:t>
      </w:r>
      <w:r>
        <w:rPr>
          <w:rStyle w:val="A15"/>
          <w:rFonts w:ascii="Times New Roman" w:eastAsiaTheme="majorEastAsia" w:hAnsi="Times New Roman"/>
          <w:sz w:val="22"/>
          <w:szCs w:val="22"/>
          <w:lang w:val="en-GB"/>
        </w:rPr>
        <w:t>,</w:t>
      </w:r>
      <w:r w:rsidRPr="00F90D5D">
        <w:rPr>
          <w:rStyle w:val="A15"/>
          <w:rFonts w:ascii="Times New Roman" w:eastAsiaTheme="majorEastAsia" w:hAnsi="Times New Roman"/>
          <w:sz w:val="22"/>
          <w:szCs w:val="22"/>
          <w:lang w:val="en-GB"/>
        </w:rPr>
        <w:t xml:space="preserve"> and followed it up in 2005 with what we called “experience shopping”</w:t>
      </w:r>
      <w:r w:rsidRPr="00F90D5D">
        <w:rPr>
          <w:rStyle w:val="A15"/>
          <w:rFonts w:ascii="Times New Roman" w:eastAsiaTheme="minorEastAsia" w:hAnsi="Times New Roman" w:hint="eastAsia"/>
          <w:sz w:val="22"/>
          <w:szCs w:val="22"/>
          <w:lang w:val="en-GB" w:eastAsia="zh-CN"/>
        </w:rPr>
        <w:t xml:space="preserve"> </w:t>
      </w:r>
      <w:r w:rsidRPr="00F90D5D">
        <w:rPr>
          <w:rStyle w:val="A15"/>
          <w:rFonts w:ascii="Times New Roman" w:eastAsiaTheme="majorEastAsia" w:hAnsi="Times New Roman"/>
          <w:sz w:val="22"/>
          <w:szCs w:val="22"/>
          <w:lang w:val="en-GB"/>
        </w:rPr>
        <w:t>by</w:t>
      </w:r>
      <w:r w:rsidRPr="00F90D5D">
        <w:rPr>
          <w:rStyle w:val="A15"/>
          <w:rFonts w:ascii="Times New Roman" w:eastAsiaTheme="minorEastAsia" w:hAnsi="Times New Roman" w:hint="eastAsia"/>
          <w:sz w:val="22"/>
          <w:szCs w:val="22"/>
          <w:lang w:val="en-GB" w:eastAsia="zh-CN"/>
        </w:rPr>
        <w:t xml:space="preserve"> </w:t>
      </w:r>
      <w:r w:rsidRPr="00F90D5D">
        <w:rPr>
          <w:rStyle w:val="A15"/>
          <w:rFonts w:ascii="Times New Roman" w:eastAsiaTheme="majorEastAsia" w:hAnsi="Times New Roman"/>
          <w:sz w:val="22"/>
          <w:szCs w:val="22"/>
          <w:lang w:val="en-GB"/>
        </w:rPr>
        <w:t xml:space="preserve">combining the Chinese traditional store mode with the </w:t>
      </w:r>
      <w:r>
        <w:rPr>
          <w:rStyle w:val="A15"/>
          <w:rFonts w:ascii="Times New Roman" w:eastAsiaTheme="majorEastAsia" w:hAnsi="Times New Roman"/>
          <w:sz w:val="22"/>
          <w:szCs w:val="22"/>
          <w:lang w:val="en-GB"/>
        </w:rPr>
        <w:t>W</w:t>
      </w:r>
      <w:r w:rsidRPr="00F90D5D">
        <w:rPr>
          <w:rStyle w:val="A15"/>
          <w:rFonts w:ascii="Times New Roman" w:eastAsiaTheme="majorEastAsia" w:hAnsi="Times New Roman"/>
          <w:sz w:val="22"/>
          <w:szCs w:val="22"/>
          <w:lang w:val="en-GB"/>
        </w:rPr>
        <w:t>estern shopping mall mode. In 2008, we opened a new park-style home furnishing</w:t>
      </w:r>
      <w:r>
        <w:rPr>
          <w:rStyle w:val="A15"/>
          <w:rFonts w:ascii="Times New Roman" w:eastAsiaTheme="majorEastAsia" w:hAnsi="Times New Roman"/>
          <w:sz w:val="22"/>
          <w:szCs w:val="22"/>
          <w:lang w:val="en-GB"/>
        </w:rPr>
        <w:t>s</w:t>
      </w:r>
      <w:r w:rsidRPr="00F90D5D">
        <w:rPr>
          <w:rStyle w:val="A15"/>
          <w:rFonts w:ascii="Times New Roman" w:eastAsiaTheme="majorEastAsia" w:hAnsi="Times New Roman"/>
          <w:sz w:val="22"/>
          <w:szCs w:val="22"/>
          <w:lang w:val="en-GB"/>
        </w:rPr>
        <w:t xml:space="preserve"> mall in Shanghai as a flagship store for home furniture brands from around the world. Built on an investment of </w:t>
      </w:r>
      <w:r>
        <w:rPr>
          <w:rStyle w:val="A15"/>
          <w:rFonts w:ascii="Times New Roman" w:eastAsiaTheme="majorEastAsia" w:hAnsi="Times New Roman"/>
          <w:sz w:val="22"/>
          <w:szCs w:val="22"/>
          <w:lang w:val="en-GB"/>
        </w:rPr>
        <w:t>$1</w:t>
      </w:r>
      <w:r w:rsidRPr="00F90D5D">
        <w:rPr>
          <w:rStyle w:val="A15"/>
          <w:rFonts w:ascii="Times New Roman" w:eastAsiaTheme="majorEastAsia" w:hAnsi="Times New Roman"/>
          <w:sz w:val="22"/>
          <w:szCs w:val="22"/>
          <w:lang w:val="en-GB"/>
        </w:rPr>
        <w:t xml:space="preserve"> million and housing more than 2</w:t>
      </w:r>
      <w:r>
        <w:rPr>
          <w:rStyle w:val="A15"/>
          <w:rFonts w:ascii="Times New Roman" w:eastAsiaTheme="majorEastAsia" w:hAnsi="Times New Roman"/>
          <w:sz w:val="22"/>
          <w:szCs w:val="22"/>
          <w:lang w:val="en-GB"/>
        </w:rPr>
        <w:t>,</w:t>
      </w:r>
      <w:r w:rsidRPr="00F90D5D">
        <w:rPr>
          <w:rStyle w:val="A15"/>
          <w:rFonts w:ascii="Times New Roman" w:eastAsiaTheme="majorEastAsia" w:hAnsi="Times New Roman"/>
          <w:sz w:val="22"/>
          <w:szCs w:val="22"/>
          <w:lang w:val="en-GB"/>
        </w:rPr>
        <w:t>500 individual stores, the mall has a monorail, the first of its kind in the world, spiral</w:t>
      </w:r>
      <w:r>
        <w:rPr>
          <w:rStyle w:val="A15"/>
          <w:rFonts w:ascii="Times New Roman" w:eastAsiaTheme="majorEastAsia" w:hAnsi="Times New Roman"/>
          <w:sz w:val="22"/>
          <w:szCs w:val="22"/>
          <w:lang w:val="en-GB"/>
        </w:rPr>
        <w:t>l</w:t>
      </w:r>
      <w:r w:rsidRPr="00F90D5D">
        <w:rPr>
          <w:rStyle w:val="A15"/>
          <w:rFonts w:ascii="Times New Roman" w:eastAsiaTheme="majorEastAsia" w:hAnsi="Times New Roman"/>
          <w:sz w:val="22"/>
          <w:szCs w:val="22"/>
          <w:lang w:val="en-GB"/>
        </w:rPr>
        <w:t>ing its way up and down six floors</w:t>
      </w:r>
      <w:r>
        <w:rPr>
          <w:rStyle w:val="A15"/>
          <w:rFonts w:ascii="Times New Roman" w:eastAsiaTheme="majorEastAsia" w:hAnsi="Times New Roman"/>
          <w:sz w:val="22"/>
          <w:szCs w:val="22"/>
          <w:lang w:val="en-GB"/>
        </w:rPr>
        <w:t>,</w:t>
      </w:r>
      <w:r w:rsidRPr="00F90D5D">
        <w:rPr>
          <w:rStyle w:val="A15"/>
          <w:rFonts w:ascii="Times New Roman" w:eastAsiaTheme="majorEastAsia" w:hAnsi="Times New Roman"/>
          <w:sz w:val="22"/>
          <w:szCs w:val="22"/>
          <w:lang w:val="en-GB"/>
        </w:rPr>
        <w:t xml:space="preserve"> ferrying shoppers. In 2014, we brought in the concept of </w:t>
      </w:r>
      <w:r>
        <w:rPr>
          <w:rStyle w:val="A15"/>
          <w:rFonts w:ascii="Times New Roman" w:eastAsiaTheme="majorEastAsia" w:hAnsi="Times New Roman"/>
          <w:sz w:val="22"/>
          <w:szCs w:val="22"/>
          <w:lang w:val="en-GB"/>
        </w:rPr>
        <w:t>“</w:t>
      </w:r>
      <w:r w:rsidRPr="00F90D5D">
        <w:rPr>
          <w:rStyle w:val="A15"/>
          <w:rFonts w:ascii="Times New Roman" w:eastAsiaTheme="majorEastAsia" w:hAnsi="Times New Roman"/>
          <w:sz w:val="22"/>
          <w:szCs w:val="22"/>
          <w:lang w:val="en-GB"/>
        </w:rPr>
        <w:t>spatial art</w:t>
      </w:r>
      <w:r>
        <w:rPr>
          <w:rStyle w:val="A15"/>
          <w:rFonts w:ascii="Times New Roman" w:eastAsiaTheme="majorEastAsia" w:hAnsi="Times New Roman"/>
          <w:sz w:val="22"/>
          <w:szCs w:val="22"/>
          <w:lang w:val="en-GB"/>
        </w:rPr>
        <w:t>,”</w:t>
      </w:r>
      <w:r w:rsidRPr="00F90D5D">
        <w:rPr>
          <w:rStyle w:val="A15"/>
          <w:rFonts w:ascii="Times New Roman" w:eastAsiaTheme="majorEastAsia" w:hAnsi="Times New Roman"/>
          <w:sz w:val="22"/>
          <w:szCs w:val="22"/>
          <w:lang w:val="en-GB"/>
        </w:rPr>
        <w:t xml:space="preserve"> wherein live theatre performances, averaging 40 per annum,</w:t>
      </w:r>
      <w:r w:rsidRPr="00F90D5D">
        <w:rPr>
          <w:rStyle w:val="A15"/>
          <w:rFonts w:ascii="Times New Roman" w:eastAsiaTheme="minorEastAsia" w:hAnsi="Times New Roman" w:hint="eastAsia"/>
          <w:sz w:val="22"/>
          <w:szCs w:val="22"/>
          <w:lang w:val="en-GB" w:eastAsia="zh-CN"/>
        </w:rPr>
        <w:t xml:space="preserve"> </w:t>
      </w:r>
      <w:r w:rsidRPr="00F90D5D">
        <w:rPr>
          <w:rStyle w:val="A15"/>
          <w:rFonts w:ascii="Times New Roman" w:eastAsiaTheme="majorEastAsia" w:hAnsi="Times New Roman"/>
          <w:sz w:val="22"/>
          <w:szCs w:val="22"/>
          <w:lang w:val="en-GB"/>
        </w:rPr>
        <w:t>are held at RSM malls for shoppers to enjoy free of cost.</w:t>
      </w:r>
    </w:p>
    <w:p w:rsidR="00500131" w:rsidRPr="00F90D5D" w:rsidRDefault="00500131" w:rsidP="00500131">
      <w:pPr>
        <w:pStyle w:val="BodyTextMain"/>
        <w:rPr>
          <w:rStyle w:val="A15"/>
          <w:rFonts w:ascii="Times New Roman" w:eastAsiaTheme="majorEastAsia" w:hAnsi="Times New Roman"/>
          <w:sz w:val="22"/>
          <w:szCs w:val="22"/>
          <w:lang w:val="en-GB"/>
        </w:rPr>
      </w:pPr>
    </w:p>
    <w:p w:rsidR="00500131" w:rsidRPr="00F90D5D" w:rsidRDefault="00500131" w:rsidP="00500131">
      <w:pPr>
        <w:pStyle w:val="BodyTextMain"/>
        <w:rPr>
          <w:rStyle w:val="A15"/>
          <w:rFonts w:ascii="Times New Roman" w:eastAsiaTheme="majorEastAsia" w:hAnsi="Times New Roman"/>
          <w:sz w:val="22"/>
          <w:szCs w:val="22"/>
          <w:lang w:val="en-GB"/>
        </w:rPr>
      </w:pPr>
      <w:r w:rsidRPr="00F90D5D">
        <w:rPr>
          <w:rStyle w:val="A15"/>
          <w:rFonts w:ascii="Times New Roman" w:eastAsiaTheme="majorEastAsia" w:hAnsi="Times New Roman"/>
          <w:sz w:val="22"/>
          <w:szCs w:val="22"/>
          <w:lang w:val="en-GB"/>
        </w:rPr>
        <w:t xml:space="preserve">The business model of RSM was built on a combination of </w:t>
      </w:r>
      <w:r>
        <w:rPr>
          <w:rStyle w:val="A15"/>
          <w:rFonts w:ascii="Times New Roman" w:eastAsiaTheme="majorEastAsia" w:hAnsi="Times New Roman"/>
          <w:sz w:val="22"/>
          <w:szCs w:val="22"/>
          <w:lang w:val="en-GB"/>
        </w:rPr>
        <w:t>p</w:t>
      </w:r>
      <w:r w:rsidRPr="00F90D5D">
        <w:rPr>
          <w:rStyle w:val="A15"/>
          <w:rFonts w:ascii="Times New Roman" w:eastAsiaTheme="majorEastAsia" w:hAnsi="Times New Roman"/>
          <w:sz w:val="22"/>
          <w:szCs w:val="22"/>
          <w:lang w:val="en-GB"/>
        </w:rPr>
        <w:t xml:space="preserve">ortfolio </w:t>
      </w:r>
      <w:r>
        <w:rPr>
          <w:rStyle w:val="A15"/>
          <w:rFonts w:ascii="Times New Roman" w:eastAsiaTheme="majorEastAsia" w:hAnsi="Times New Roman"/>
          <w:sz w:val="22"/>
          <w:szCs w:val="22"/>
          <w:lang w:val="en-GB"/>
        </w:rPr>
        <w:t>s</w:t>
      </w:r>
      <w:r w:rsidRPr="00F90D5D">
        <w:rPr>
          <w:rStyle w:val="A15"/>
          <w:rFonts w:ascii="Times New Roman" w:eastAsiaTheme="majorEastAsia" w:hAnsi="Times New Roman"/>
          <w:sz w:val="22"/>
          <w:szCs w:val="22"/>
          <w:lang w:val="en-GB"/>
        </w:rPr>
        <w:t xml:space="preserve">hopping </w:t>
      </w:r>
      <w:r>
        <w:rPr>
          <w:rStyle w:val="A15"/>
          <w:rFonts w:ascii="Times New Roman" w:eastAsiaTheme="majorEastAsia" w:hAnsi="Times New Roman"/>
          <w:sz w:val="22"/>
          <w:szCs w:val="22"/>
          <w:lang w:val="en-GB"/>
        </w:rPr>
        <w:t>m</w:t>
      </w:r>
      <w:r w:rsidRPr="00F90D5D">
        <w:rPr>
          <w:rStyle w:val="A15"/>
          <w:rFonts w:ascii="Times New Roman" w:eastAsiaTheme="majorEastAsia" w:hAnsi="Times New Roman"/>
          <w:sz w:val="22"/>
          <w:szCs w:val="22"/>
          <w:lang w:val="en-GB"/>
        </w:rPr>
        <w:t xml:space="preserve">alls and </w:t>
      </w:r>
      <w:r>
        <w:rPr>
          <w:rStyle w:val="A15"/>
          <w:rFonts w:ascii="Times New Roman" w:eastAsiaTheme="majorEastAsia" w:hAnsi="Times New Roman"/>
          <w:sz w:val="22"/>
          <w:szCs w:val="22"/>
          <w:lang w:val="en-GB"/>
        </w:rPr>
        <w:t>m</w:t>
      </w:r>
      <w:r w:rsidRPr="00F90D5D">
        <w:rPr>
          <w:rStyle w:val="A15"/>
          <w:rFonts w:ascii="Times New Roman" w:eastAsiaTheme="majorEastAsia" w:hAnsi="Times New Roman"/>
          <w:sz w:val="22"/>
          <w:szCs w:val="22"/>
          <w:lang w:val="en-GB"/>
        </w:rPr>
        <w:t xml:space="preserve">anaged </w:t>
      </w:r>
      <w:r>
        <w:rPr>
          <w:rStyle w:val="A15"/>
          <w:rFonts w:ascii="Times New Roman" w:eastAsiaTheme="majorEastAsia" w:hAnsi="Times New Roman"/>
          <w:sz w:val="22"/>
          <w:szCs w:val="22"/>
          <w:lang w:val="en-GB"/>
        </w:rPr>
        <w:t>s</w:t>
      </w:r>
      <w:r w:rsidRPr="00F90D5D">
        <w:rPr>
          <w:rStyle w:val="A15"/>
          <w:rFonts w:ascii="Times New Roman" w:eastAsiaTheme="majorEastAsia" w:hAnsi="Times New Roman"/>
          <w:sz w:val="22"/>
          <w:szCs w:val="22"/>
          <w:lang w:val="en-GB"/>
        </w:rPr>
        <w:t xml:space="preserve">hopping </w:t>
      </w:r>
      <w:r>
        <w:rPr>
          <w:rStyle w:val="A15"/>
          <w:rFonts w:ascii="Times New Roman" w:eastAsiaTheme="majorEastAsia" w:hAnsi="Times New Roman"/>
          <w:sz w:val="22"/>
          <w:szCs w:val="22"/>
          <w:lang w:val="en-GB"/>
        </w:rPr>
        <w:t>m</w:t>
      </w:r>
      <w:r w:rsidRPr="00F90D5D">
        <w:rPr>
          <w:rStyle w:val="A15"/>
          <w:rFonts w:ascii="Times New Roman" w:eastAsiaTheme="majorEastAsia" w:hAnsi="Times New Roman"/>
          <w:sz w:val="22"/>
          <w:szCs w:val="22"/>
          <w:lang w:val="en-GB"/>
        </w:rPr>
        <w:t xml:space="preserve">alls. By </w:t>
      </w:r>
      <w:r w:rsidRPr="00F90D5D">
        <w:rPr>
          <w:rStyle w:val="A15"/>
          <w:rFonts w:ascii="Times New Roman" w:eastAsiaTheme="minorEastAsia" w:hAnsi="Times New Roman" w:hint="eastAsia"/>
          <w:sz w:val="22"/>
          <w:szCs w:val="22"/>
          <w:lang w:val="en-GB" w:eastAsia="zh-CN"/>
        </w:rPr>
        <w:t>June 30, 2016</w:t>
      </w:r>
      <w:r w:rsidRPr="00F90D5D">
        <w:rPr>
          <w:rStyle w:val="A15"/>
          <w:rFonts w:ascii="Times New Roman" w:eastAsiaTheme="majorEastAsia" w:hAnsi="Times New Roman"/>
          <w:sz w:val="22"/>
          <w:szCs w:val="22"/>
          <w:lang w:val="en-GB"/>
        </w:rPr>
        <w:t>, RSM had 5</w:t>
      </w:r>
      <w:r w:rsidRPr="00F90D5D">
        <w:rPr>
          <w:rStyle w:val="A15"/>
          <w:rFonts w:ascii="Times New Roman" w:eastAsiaTheme="minorEastAsia" w:hAnsi="Times New Roman" w:hint="eastAsia"/>
          <w:sz w:val="22"/>
          <w:szCs w:val="22"/>
          <w:lang w:val="en-GB" w:eastAsia="zh-CN"/>
        </w:rPr>
        <w:t>6</w:t>
      </w:r>
      <w:r w:rsidRPr="00F90D5D">
        <w:rPr>
          <w:rStyle w:val="A15"/>
          <w:rFonts w:ascii="Times New Roman" w:eastAsiaTheme="majorEastAsia" w:hAnsi="Times New Roman"/>
          <w:sz w:val="22"/>
          <w:szCs w:val="22"/>
          <w:lang w:val="en-GB"/>
        </w:rPr>
        <w:t xml:space="preserve"> </w:t>
      </w:r>
      <w:r>
        <w:rPr>
          <w:rStyle w:val="A15"/>
          <w:rFonts w:ascii="Times New Roman" w:eastAsiaTheme="majorEastAsia" w:hAnsi="Times New Roman"/>
          <w:sz w:val="22"/>
          <w:szCs w:val="22"/>
          <w:lang w:val="en-GB"/>
        </w:rPr>
        <w:t>p</w:t>
      </w:r>
      <w:r w:rsidRPr="00F90D5D">
        <w:rPr>
          <w:rStyle w:val="A15"/>
          <w:rFonts w:ascii="Times New Roman" w:eastAsiaTheme="majorEastAsia" w:hAnsi="Times New Roman"/>
          <w:sz w:val="22"/>
          <w:szCs w:val="22"/>
          <w:lang w:val="en-GB"/>
        </w:rPr>
        <w:t xml:space="preserve">ortfolio </w:t>
      </w:r>
      <w:r>
        <w:rPr>
          <w:rStyle w:val="A15"/>
          <w:rFonts w:ascii="Times New Roman" w:eastAsiaTheme="majorEastAsia" w:hAnsi="Times New Roman"/>
          <w:sz w:val="22"/>
          <w:szCs w:val="22"/>
          <w:lang w:val="en-GB"/>
        </w:rPr>
        <w:t>s</w:t>
      </w:r>
      <w:r w:rsidRPr="00F90D5D">
        <w:rPr>
          <w:rStyle w:val="A15"/>
          <w:rFonts w:ascii="Times New Roman" w:eastAsiaTheme="majorEastAsia" w:hAnsi="Times New Roman"/>
          <w:sz w:val="22"/>
          <w:szCs w:val="22"/>
          <w:lang w:val="en-GB"/>
        </w:rPr>
        <w:t xml:space="preserve">hopping </w:t>
      </w:r>
      <w:r>
        <w:rPr>
          <w:rStyle w:val="A15"/>
          <w:rFonts w:ascii="Times New Roman" w:eastAsiaTheme="majorEastAsia" w:hAnsi="Times New Roman"/>
          <w:sz w:val="22"/>
          <w:szCs w:val="22"/>
          <w:lang w:val="en-GB"/>
        </w:rPr>
        <w:t>m</w:t>
      </w:r>
      <w:r w:rsidRPr="00F90D5D">
        <w:rPr>
          <w:rStyle w:val="A15"/>
          <w:rFonts w:ascii="Times New Roman" w:eastAsiaTheme="majorEastAsia" w:hAnsi="Times New Roman"/>
          <w:sz w:val="22"/>
          <w:szCs w:val="22"/>
          <w:lang w:val="en-GB"/>
        </w:rPr>
        <w:t>alls and 12</w:t>
      </w:r>
      <w:r w:rsidRPr="00F90D5D">
        <w:rPr>
          <w:rStyle w:val="A15"/>
          <w:rFonts w:ascii="Times New Roman" w:eastAsiaTheme="minorEastAsia" w:hAnsi="Times New Roman" w:hint="eastAsia"/>
          <w:sz w:val="22"/>
          <w:szCs w:val="22"/>
          <w:lang w:val="en-GB" w:eastAsia="zh-CN"/>
        </w:rPr>
        <w:t>5</w:t>
      </w:r>
      <w:r w:rsidRPr="00F90D5D">
        <w:rPr>
          <w:rStyle w:val="A15"/>
          <w:rFonts w:ascii="Times New Roman" w:eastAsiaTheme="majorEastAsia" w:hAnsi="Times New Roman"/>
          <w:sz w:val="22"/>
          <w:szCs w:val="22"/>
          <w:lang w:val="en-GB"/>
        </w:rPr>
        <w:t xml:space="preserve"> </w:t>
      </w:r>
      <w:r>
        <w:rPr>
          <w:rStyle w:val="A15"/>
          <w:rFonts w:ascii="Times New Roman" w:eastAsiaTheme="majorEastAsia" w:hAnsi="Times New Roman"/>
          <w:sz w:val="22"/>
          <w:szCs w:val="22"/>
          <w:lang w:val="en-GB"/>
        </w:rPr>
        <w:t>m</w:t>
      </w:r>
      <w:r w:rsidRPr="00F90D5D">
        <w:rPr>
          <w:rStyle w:val="A15"/>
          <w:rFonts w:ascii="Times New Roman" w:eastAsiaTheme="majorEastAsia" w:hAnsi="Times New Roman"/>
          <w:sz w:val="22"/>
          <w:szCs w:val="22"/>
          <w:lang w:val="en-GB"/>
        </w:rPr>
        <w:t xml:space="preserve">anaged </w:t>
      </w:r>
      <w:r>
        <w:rPr>
          <w:rStyle w:val="A15"/>
          <w:rFonts w:ascii="Times New Roman" w:eastAsiaTheme="majorEastAsia" w:hAnsi="Times New Roman"/>
          <w:sz w:val="22"/>
          <w:szCs w:val="22"/>
          <w:lang w:val="en-GB"/>
        </w:rPr>
        <w:t>s</w:t>
      </w:r>
      <w:r w:rsidRPr="00F90D5D">
        <w:rPr>
          <w:rStyle w:val="A15"/>
          <w:rFonts w:ascii="Times New Roman" w:eastAsiaTheme="majorEastAsia" w:hAnsi="Times New Roman"/>
          <w:sz w:val="22"/>
          <w:szCs w:val="22"/>
          <w:lang w:val="en-GB"/>
        </w:rPr>
        <w:t xml:space="preserve">hopping </w:t>
      </w:r>
      <w:r>
        <w:rPr>
          <w:rStyle w:val="A15"/>
          <w:rFonts w:ascii="Times New Roman" w:eastAsiaTheme="majorEastAsia" w:hAnsi="Times New Roman"/>
          <w:sz w:val="22"/>
          <w:szCs w:val="22"/>
          <w:lang w:val="en-GB"/>
        </w:rPr>
        <w:t>m</w:t>
      </w:r>
      <w:r w:rsidRPr="00F90D5D">
        <w:rPr>
          <w:rStyle w:val="A15"/>
          <w:rFonts w:ascii="Times New Roman" w:eastAsiaTheme="majorEastAsia" w:hAnsi="Times New Roman"/>
          <w:sz w:val="22"/>
          <w:szCs w:val="22"/>
          <w:lang w:val="en-GB"/>
        </w:rPr>
        <w:t>alls (</w:t>
      </w:r>
      <w:r>
        <w:rPr>
          <w:rStyle w:val="A15"/>
          <w:rFonts w:ascii="Times New Roman" w:eastAsiaTheme="majorEastAsia" w:hAnsi="Times New Roman"/>
          <w:sz w:val="22"/>
          <w:szCs w:val="22"/>
          <w:lang w:val="en-GB"/>
        </w:rPr>
        <w:t xml:space="preserve">see </w:t>
      </w:r>
      <w:r w:rsidRPr="00F90D5D">
        <w:rPr>
          <w:rStyle w:val="A15"/>
          <w:rFonts w:ascii="Times New Roman" w:eastAsiaTheme="majorEastAsia" w:hAnsi="Times New Roman"/>
          <w:sz w:val="22"/>
          <w:szCs w:val="22"/>
          <w:lang w:val="en-GB"/>
        </w:rPr>
        <w:t xml:space="preserve">Exhibit </w:t>
      </w:r>
      <w:r w:rsidRPr="00F90D5D">
        <w:rPr>
          <w:rStyle w:val="A15"/>
          <w:rFonts w:ascii="Times New Roman" w:eastAsiaTheme="minorEastAsia" w:hAnsi="Times New Roman" w:hint="eastAsia"/>
          <w:sz w:val="22"/>
          <w:szCs w:val="22"/>
          <w:lang w:val="en-GB" w:eastAsia="zh-CN"/>
        </w:rPr>
        <w:t>5</w:t>
      </w:r>
      <w:r w:rsidRPr="00F90D5D">
        <w:rPr>
          <w:rStyle w:val="A15"/>
          <w:rFonts w:ascii="Times New Roman" w:eastAsiaTheme="majorEastAsia" w:hAnsi="Times New Roman"/>
          <w:sz w:val="22"/>
          <w:szCs w:val="22"/>
          <w:lang w:val="en-GB"/>
        </w:rPr>
        <w:t>). The former were spread over a total area of 4,457,050 square met</w:t>
      </w:r>
      <w:r>
        <w:rPr>
          <w:rStyle w:val="A15"/>
          <w:rFonts w:ascii="Times New Roman" w:eastAsiaTheme="majorEastAsia" w:hAnsi="Times New Roman"/>
          <w:sz w:val="22"/>
          <w:szCs w:val="22"/>
          <w:lang w:val="en-GB"/>
        </w:rPr>
        <w:t>re</w:t>
      </w:r>
      <w:r w:rsidRPr="00F90D5D">
        <w:rPr>
          <w:rStyle w:val="A15"/>
          <w:rFonts w:ascii="Times New Roman" w:eastAsiaTheme="majorEastAsia" w:hAnsi="Times New Roman"/>
          <w:sz w:val="22"/>
          <w:szCs w:val="22"/>
          <w:lang w:val="en-GB"/>
        </w:rPr>
        <w:t xml:space="preserve">s at an average occupancy rate of </w:t>
      </w:r>
      <w:r w:rsidRPr="00F90D5D">
        <w:rPr>
          <w:rStyle w:val="A15"/>
          <w:rFonts w:ascii="Times New Roman" w:eastAsiaTheme="minorEastAsia" w:hAnsi="Times New Roman" w:hint="eastAsia"/>
          <w:sz w:val="22"/>
          <w:szCs w:val="22"/>
          <w:lang w:val="en-GB" w:eastAsia="zh-CN"/>
        </w:rPr>
        <w:t>95.4</w:t>
      </w:r>
      <w:r w:rsidRPr="00F90D5D">
        <w:rPr>
          <w:rStyle w:val="A15"/>
          <w:rFonts w:ascii="Times New Roman" w:eastAsiaTheme="majorEastAsia" w:hAnsi="Times New Roman"/>
          <w:sz w:val="22"/>
          <w:szCs w:val="22"/>
          <w:lang w:val="en-GB"/>
        </w:rPr>
        <w:t xml:space="preserve"> per cent. The latter were spread over a total area of 7,357,877 square met</w:t>
      </w:r>
      <w:r>
        <w:rPr>
          <w:rStyle w:val="A15"/>
          <w:rFonts w:ascii="Times New Roman" w:eastAsiaTheme="majorEastAsia" w:hAnsi="Times New Roman"/>
          <w:sz w:val="22"/>
          <w:szCs w:val="22"/>
          <w:lang w:val="en-GB"/>
        </w:rPr>
        <w:t>re</w:t>
      </w:r>
      <w:r w:rsidRPr="00F90D5D">
        <w:rPr>
          <w:rStyle w:val="A15"/>
          <w:rFonts w:ascii="Times New Roman" w:eastAsiaTheme="majorEastAsia" w:hAnsi="Times New Roman"/>
          <w:sz w:val="22"/>
          <w:szCs w:val="22"/>
          <w:lang w:val="en-GB"/>
        </w:rPr>
        <w:t>s at an average occupancy rate of 92.</w:t>
      </w:r>
      <w:r w:rsidRPr="00F90D5D">
        <w:rPr>
          <w:rStyle w:val="A15"/>
          <w:rFonts w:ascii="Times New Roman" w:eastAsiaTheme="minorEastAsia" w:hAnsi="Times New Roman" w:hint="eastAsia"/>
          <w:sz w:val="22"/>
          <w:szCs w:val="22"/>
          <w:lang w:val="en-GB" w:eastAsia="zh-CN"/>
        </w:rPr>
        <w:t>2</w:t>
      </w:r>
      <w:r w:rsidRPr="00F90D5D">
        <w:rPr>
          <w:rStyle w:val="A15"/>
          <w:rFonts w:ascii="Times New Roman" w:eastAsiaTheme="majorEastAsia" w:hAnsi="Times New Roman"/>
          <w:sz w:val="22"/>
          <w:szCs w:val="22"/>
          <w:lang w:val="en-GB"/>
        </w:rPr>
        <w:t xml:space="preserve"> per cent. </w:t>
      </w:r>
    </w:p>
    <w:p w:rsidR="00500131" w:rsidRPr="00F90D5D" w:rsidRDefault="00500131" w:rsidP="00500131">
      <w:pPr>
        <w:pStyle w:val="BodyTextMain"/>
        <w:rPr>
          <w:rStyle w:val="A15"/>
          <w:rFonts w:ascii="Times New Roman" w:eastAsiaTheme="majorEastAsia" w:hAnsi="Times New Roman"/>
          <w:sz w:val="22"/>
          <w:szCs w:val="22"/>
          <w:lang w:val="en-GB"/>
        </w:rPr>
      </w:pPr>
    </w:p>
    <w:p w:rsidR="00500131" w:rsidRPr="00F90D5D" w:rsidRDefault="00500131" w:rsidP="00500131">
      <w:pPr>
        <w:pStyle w:val="BodyTextMain"/>
        <w:rPr>
          <w:rStyle w:val="A15"/>
          <w:rFonts w:ascii="Times New Roman" w:eastAsiaTheme="majorEastAsia" w:hAnsi="Times New Roman"/>
          <w:sz w:val="22"/>
          <w:szCs w:val="22"/>
          <w:lang w:val="en-GB"/>
        </w:rPr>
      </w:pPr>
      <w:r w:rsidRPr="00F90D5D">
        <w:rPr>
          <w:rStyle w:val="A15"/>
          <w:rFonts w:ascii="Times New Roman" w:eastAsiaTheme="majorEastAsia" w:hAnsi="Times New Roman"/>
          <w:sz w:val="22"/>
          <w:szCs w:val="22"/>
          <w:lang w:val="en-GB"/>
        </w:rPr>
        <w:t xml:space="preserve">Portfolio </w:t>
      </w:r>
      <w:r>
        <w:rPr>
          <w:rStyle w:val="A15"/>
          <w:rFonts w:ascii="Times New Roman" w:eastAsiaTheme="majorEastAsia" w:hAnsi="Times New Roman"/>
          <w:sz w:val="22"/>
          <w:szCs w:val="22"/>
          <w:lang w:val="en-GB"/>
        </w:rPr>
        <w:t>s</w:t>
      </w:r>
      <w:r w:rsidRPr="00F90D5D">
        <w:rPr>
          <w:rStyle w:val="A15"/>
          <w:rFonts w:ascii="Times New Roman" w:eastAsiaTheme="majorEastAsia" w:hAnsi="Times New Roman"/>
          <w:sz w:val="22"/>
          <w:szCs w:val="22"/>
          <w:lang w:val="en-GB"/>
        </w:rPr>
        <w:t xml:space="preserve">hopping </w:t>
      </w:r>
      <w:r>
        <w:rPr>
          <w:rStyle w:val="A15"/>
          <w:rFonts w:ascii="Times New Roman" w:eastAsiaTheme="majorEastAsia" w:hAnsi="Times New Roman"/>
          <w:sz w:val="22"/>
          <w:szCs w:val="22"/>
          <w:lang w:val="en-GB"/>
        </w:rPr>
        <w:t>m</w:t>
      </w:r>
      <w:r w:rsidRPr="00F90D5D">
        <w:rPr>
          <w:rStyle w:val="A15"/>
          <w:rFonts w:ascii="Times New Roman" w:eastAsiaTheme="majorEastAsia" w:hAnsi="Times New Roman"/>
          <w:sz w:val="22"/>
          <w:szCs w:val="22"/>
          <w:lang w:val="en-GB"/>
        </w:rPr>
        <w:t>alls</w:t>
      </w:r>
      <w:r w:rsidRPr="00F90D5D">
        <w:rPr>
          <w:rStyle w:val="A15"/>
          <w:rFonts w:ascii="Times New Roman" w:eastAsiaTheme="minorEastAsia" w:hAnsi="Times New Roman" w:hint="eastAsia"/>
          <w:sz w:val="22"/>
          <w:szCs w:val="22"/>
          <w:lang w:val="en-GB" w:eastAsia="zh-CN"/>
        </w:rPr>
        <w:t xml:space="preserve"> </w:t>
      </w:r>
      <w:r w:rsidRPr="00F90D5D">
        <w:rPr>
          <w:rStyle w:val="A15"/>
          <w:rFonts w:ascii="Times New Roman" w:eastAsiaTheme="majorEastAsia" w:hAnsi="Times New Roman"/>
          <w:sz w:val="22"/>
          <w:szCs w:val="22"/>
          <w:lang w:val="en-GB"/>
        </w:rPr>
        <w:t>offered comprehensive services to their tenants, including designated shopping space, staff training, sales and marketing, daily operation</w:t>
      </w:r>
      <w:r>
        <w:rPr>
          <w:rStyle w:val="A15"/>
          <w:rFonts w:ascii="Times New Roman" w:eastAsiaTheme="majorEastAsia" w:hAnsi="Times New Roman"/>
          <w:sz w:val="22"/>
          <w:szCs w:val="22"/>
          <w:lang w:val="en-GB"/>
        </w:rPr>
        <w:t>s</w:t>
      </w:r>
      <w:r w:rsidRPr="00F90D5D">
        <w:rPr>
          <w:rStyle w:val="A15"/>
          <w:rFonts w:ascii="Times New Roman" w:eastAsiaTheme="majorEastAsia" w:hAnsi="Times New Roman"/>
          <w:sz w:val="22"/>
          <w:szCs w:val="22"/>
          <w:lang w:val="en-GB"/>
        </w:rPr>
        <w:t xml:space="preserve"> and management, and customer services. In exchange, RSM received a fixed monthly rent and management fees. Managed </w:t>
      </w:r>
      <w:r>
        <w:rPr>
          <w:rStyle w:val="A15"/>
          <w:rFonts w:ascii="Times New Roman" w:eastAsiaTheme="majorEastAsia" w:hAnsi="Times New Roman"/>
          <w:sz w:val="22"/>
          <w:szCs w:val="22"/>
          <w:lang w:val="en-GB"/>
        </w:rPr>
        <w:t>s</w:t>
      </w:r>
      <w:r w:rsidRPr="00F90D5D">
        <w:rPr>
          <w:rStyle w:val="A15"/>
          <w:rFonts w:ascii="Times New Roman" w:eastAsiaTheme="majorEastAsia" w:hAnsi="Times New Roman"/>
          <w:sz w:val="22"/>
          <w:szCs w:val="22"/>
          <w:lang w:val="en-GB"/>
        </w:rPr>
        <w:t xml:space="preserve">hopping </w:t>
      </w:r>
      <w:r>
        <w:rPr>
          <w:rStyle w:val="A15"/>
          <w:rFonts w:ascii="Times New Roman" w:eastAsiaTheme="majorEastAsia" w:hAnsi="Times New Roman"/>
          <w:sz w:val="22"/>
          <w:szCs w:val="22"/>
          <w:lang w:val="en-GB"/>
        </w:rPr>
        <w:t>m</w:t>
      </w:r>
      <w:r w:rsidRPr="00F90D5D">
        <w:rPr>
          <w:rStyle w:val="A15"/>
          <w:rFonts w:ascii="Times New Roman" w:eastAsiaTheme="majorEastAsia" w:hAnsi="Times New Roman"/>
          <w:sz w:val="22"/>
          <w:szCs w:val="22"/>
          <w:lang w:val="en-GB"/>
        </w:rPr>
        <w:t>alls</w:t>
      </w:r>
      <w:r w:rsidRPr="00F90D5D">
        <w:rPr>
          <w:rStyle w:val="A15"/>
          <w:rFonts w:ascii="Times New Roman" w:eastAsiaTheme="minorEastAsia" w:hAnsi="Times New Roman" w:hint="eastAsia"/>
          <w:sz w:val="22"/>
          <w:szCs w:val="22"/>
          <w:lang w:val="en-GB" w:eastAsia="zh-CN"/>
        </w:rPr>
        <w:t xml:space="preserve"> </w:t>
      </w:r>
      <w:r w:rsidRPr="00F90D5D">
        <w:rPr>
          <w:rStyle w:val="A15"/>
          <w:rFonts w:ascii="Times New Roman" w:eastAsiaTheme="majorEastAsia" w:hAnsi="Times New Roman"/>
          <w:sz w:val="22"/>
          <w:szCs w:val="22"/>
          <w:lang w:val="en-GB"/>
        </w:rPr>
        <w:t>provided full-scale operating services to their business partners, including site selection, construction consultation, design and decoration, tenant sourcing</w:t>
      </w:r>
      <w:r>
        <w:rPr>
          <w:rStyle w:val="A15"/>
          <w:rFonts w:ascii="Times New Roman" w:eastAsiaTheme="majorEastAsia" w:hAnsi="Times New Roman"/>
          <w:sz w:val="22"/>
          <w:szCs w:val="22"/>
          <w:lang w:val="en-GB"/>
        </w:rPr>
        <w:t>,</w:t>
      </w:r>
      <w:r w:rsidRPr="00F90D5D">
        <w:rPr>
          <w:rStyle w:val="A15"/>
          <w:rFonts w:ascii="Times New Roman" w:eastAsiaTheme="majorEastAsia" w:hAnsi="Times New Roman"/>
          <w:sz w:val="22"/>
          <w:szCs w:val="22"/>
          <w:lang w:val="en-GB"/>
        </w:rPr>
        <w:t xml:space="preserve"> and daily operation and management. In exchange, RSM received fees during different stages as part </w:t>
      </w:r>
      <w:r>
        <w:rPr>
          <w:rStyle w:val="A15"/>
          <w:rFonts w:ascii="Times New Roman" w:eastAsiaTheme="majorEastAsia" w:hAnsi="Times New Roman"/>
          <w:sz w:val="22"/>
          <w:szCs w:val="22"/>
          <w:lang w:val="en-GB"/>
        </w:rPr>
        <w:t xml:space="preserve">of the </w:t>
      </w:r>
      <w:r w:rsidRPr="00F90D5D">
        <w:rPr>
          <w:rStyle w:val="A15"/>
          <w:rFonts w:ascii="Times New Roman" w:eastAsiaTheme="majorEastAsia" w:hAnsi="Times New Roman"/>
          <w:sz w:val="22"/>
          <w:szCs w:val="22"/>
          <w:lang w:val="en-GB"/>
        </w:rPr>
        <w:t>contract management agreements.</w:t>
      </w:r>
    </w:p>
    <w:p w:rsidR="00500131" w:rsidRPr="00F90D5D" w:rsidRDefault="00500131" w:rsidP="00500131">
      <w:pPr>
        <w:pStyle w:val="BodyTextMain"/>
        <w:rPr>
          <w:rStyle w:val="A15"/>
          <w:rFonts w:ascii="Times New Roman" w:eastAsiaTheme="majorEastAsia" w:hAnsi="Times New Roman"/>
          <w:sz w:val="22"/>
          <w:szCs w:val="22"/>
          <w:lang w:val="en-GB"/>
        </w:rPr>
      </w:pPr>
    </w:p>
    <w:p w:rsidR="00500131" w:rsidRPr="00F90D5D" w:rsidRDefault="00500131" w:rsidP="00500131">
      <w:pPr>
        <w:pStyle w:val="BodyTextMain"/>
        <w:rPr>
          <w:rFonts w:eastAsia="Calibri"/>
          <w:lang w:val="en-GB" w:eastAsia="zh-CN"/>
        </w:rPr>
      </w:pPr>
      <w:r w:rsidRPr="00F90D5D">
        <w:rPr>
          <w:rStyle w:val="A15"/>
          <w:rFonts w:ascii="Times New Roman" w:eastAsiaTheme="majorEastAsia" w:hAnsi="Times New Roman"/>
          <w:sz w:val="22"/>
          <w:szCs w:val="22"/>
          <w:lang w:val="en-GB"/>
        </w:rPr>
        <w:t xml:space="preserve">Most of the </w:t>
      </w:r>
      <w:r>
        <w:rPr>
          <w:rStyle w:val="A15"/>
          <w:rFonts w:ascii="Times New Roman" w:eastAsiaTheme="majorEastAsia" w:hAnsi="Times New Roman"/>
          <w:sz w:val="22"/>
          <w:szCs w:val="22"/>
          <w:lang w:val="en-GB"/>
        </w:rPr>
        <w:t>p</w:t>
      </w:r>
      <w:r w:rsidRPr="00F90D5D">
        <w:rPr>
          <w:rStyle w:val="A15"/>
          <w:rFonts w:ascii="Times New Roman" w:eastAsiaTheme="majorEastAsia" w:hAnsi="Times New Roman"/>
          <w:sz w:val="22"/>
          <w:szCs w:val="22"/>
          <w:lang w:val="en-GB"/>
        </w:rPr>
        <w:t xml:space="preserve">ortfolio </w:t>
      </w:r>
      <w:r>
        <w:rPr>
          <w:rStyle w:val="A15"/>
          <w:rFonts w:ascii="Times New Roman" w:eastAsiaTheme="majorEastAsia" w:hAnsi="Times New Roman"/>
          <w:sz w:val="22"/>
          <w:szCs w:val="22"/>
          <w:lang w:val="en-GB"/>
        </w:rPr>
        <w:t>s</w:t>
      </w:r>
      <w:r w:rsidRPr="00F90D5D">
        <w:rPr>
          <w:rStyle w:val="A15"/>
          <w:rFonts w:ascii="Times New Roman" w:eastAsiaTheme="majorEastAsia" w:hAnsi="Times New Roman"/>
          <w:sz w:val="22"/>
          <w:szCs w:val="22"/>
          <w:lang w:val="en-GB"/>
        </w:rPr>
        <w:t xml:space="preserve">hopping </w:t>
      </w:r>
      <w:r>
        <w:rPr>
          <w:rStyle w:val="A15"/>
          <w:rFonts w:ascii="Times New Roman" w:eastAsiaTheme="majorEastAsia" w:hAnsi="Times New Roman"/>
          <w:sz w:val="22"/>
          <w:szCs w:val="22"/>
          <w:lang w:val="en-GB"/>
        </w:rPr>
        <w:t>m</w:t>
      </w:r>
      <w:r w:rsidRPr="00F90D5D">
        <w:rPr>
          <w:rStyle w:val="A15"/>
          <w:rFonts w:ascii="Times New Roman" w:eastAsiaTheme="majorEastAsia" w:hAnsi="Times New Roman"/>
          <w:sz w:val="22"/>
          <w:szCs w:val="22"/>
          <w:lang w:val="en-GB"/>
        </w:rPr>
        <w:t xml:space="preserve">alls were located in Tier </w:t>
      </w:r>
      <w:r>
        <w:rPr>
          <w:rStyle w:val="A15"/>
          <w:rFonts w:ascii="Times New Roman" w:eastAsiaTheme="majorEastAsia" w:hAnsi="Times New Roman"/>
          <w:sz w:val="22"/>
          <w:szCs w:val="22"/>
          <w:lang w:val="en-GB"/>
        </w:rPr>
        <w:t xml:space="preserve">1 </w:t>
      </w:r>
      <w:r w:rsidRPr="00F90D5D">
        <w:rPr>
          <w:rStyle w:val="A15"/>
          <w:rFonts w:ascii="Times New Roman" w:eastAsiaTheme="majorEastAsia" w:hAnsi="Times New Roman"/>
          <w:sz w:val="22"/>
          <w:szCs w:val="22"/>
          <w:lang w:val="en-GB"/>
        </w:rPr>
        <w:t xml:space="preserve">and </w:t>
      </w:r>
      <w:r>
        <w:rPr>
          <w:rStyle w:val="A15"/>
          <w:rFonts w:ascii="Times New Roman" w:eastAsiaTheme="majorEastAsia" w:hAnsi="Times New Roman"/>
          <w:sz w:val="22"/>
          <w:szCs w:val="22"/>
          <w:lang w:val="en-GB"/>
        </w:rPr>
        <w:t>Tier 2</w:t>
      </w:r>
      <w:r w:rsidRPr="00F90D5D">
        <w:rPr>
          <w:rStyle w:val="A15"/>
          <w:rFonts w:ascii="Times New Roman" w:eastAsiaTheme="majorEastAsia" w:hAnsi="Times New Roman"/>
          <w:sz w:val="22"/>
          <w:szCs w:val="22"/>
          <w:lang w:val="en-GB"/>
        </w:rPr>
        <w:t xml:space="preserve"> </w:t>
      </w:r>
      <w:r>
        <w:rPr>
          <w:rStyle w:val="A15"/>
          <w:rFonts w:ascii="Times New Roman" w:eastAsiaTheme="majorEastAsia" w:hAnsi="Times New Roman"/>
          <w:sz w:val="22"/>
          <w:szCs w:val="22"/>
          <w:lang w:val="en-GB"/>
        </w:rPr>
        <w:t>c</w:t>
      </w:r>
      <w:r w:rsidRPr="00F90D5D">
        <w:rPr>
          <w:rStyle w:val="A15"/>
          <w:rFonts w:ascii="Times New Roman" w:eastAsiaTheme="majorEastAsia" w:hAnsi="Times New Roman"/>
          <w:sz w:val="22"/>
          <w:szCs w:val="22"/>
          <w:lang w:val="en-GB"/>
        </w:rPr>
        <w:t xml:space="preserve">ities, providing recurring and predictable operating income through rent and management fees. Most of the </w:t>
      </w:r>
      <w:r>
        <w:rPr>
          <w:rStyle w:val="A15"/>
          <w:rFonts w:ascii="Times New Roman" w:eastAsiaTheme="majorEastAsia" w:hAnsi="Times New Roman"/>
          <w:sz w:val="22"/>
          <w:szCs w:val="22"/>
          <w:lang w:val="en-GB"/>
        </w:rPr>
        <w:t>m</w:t>
      </w:r>
      <w:r w:rsidRPr="00F90D5D">
        <w:rPr>
          <w:rStyle w:val="A15"/>
          <w:rFonts w:ascii="Times New Roman" w:eastAsiaTheme="majorEastAsia" w:hAnsi="Times New Roman"/>
          <w:sz w:val="22"/>
          <w:szCs w:val="22"/>
          <w:lang w:val="en-GB"/>
        </w:rPr>
        <w:t xml:space="preserve">anaged </w:t>
      </w:r>
      <w:r>
        <w:rPr>
          <w:rStyle w:val="A15"/>
          <w:rFonts w:ascii="Times New Roman" w:eastAsiaTheme="majorEastAsia" w:hAnsi="Times New Roman"/>
          <w:sz w:val="22"/>
          <w:szCs w:val="22"/>
          <w:lang w:val="en-GB"/>
        </w:rPr>
        <w:t>s</w:t>
      </w:r>
      <w:r w:rsidRPr="00F90D5D">
        <w:rPr>
          <w:rStyle w:val="A15"/>
          <w:rFonts w:ascii="Times New Roman" w:eastAsiaTheme="majorEastAsia" w:hAnsi="Times New Roman"/>
          <w:sz w:val="22"/>
          <w:szCs w:val="22"/>
          <w:lang w:val="en-GB"/>
        </w:rPr>
        <w:t xml:space="preserve">hopping </w:t>
      </w:r>
      <w:r>
        <w:rPr>
          <w:rStyle w:val="A15"/>
          <w:rFonts w:ascii="Times New Roman" w:eastAsiaTheme="majorEastAsia" w:hAnsi="Times New Roman"/>
          <w:sz w:val="22"/>
          <w:szCs w:val="22"/>
          <w:lang w:val="en-GB"/>
        </w:rPr>
        <w:t>m</w:t>
      </w:r>
      <w:r w:rsidRPr="00F90D5D">
        <w:rPr>
          <w:rStyle w:val="A15"/>
          <w:rFonts w:ascii="Times New Roman" w:eastAsiaTheme="majorEastAsia" w:hAnsi="Times New Roman"/>
          <w:sz w:val="22"/>
          <w:szCs w:val="22"/>
          <w:lang w:val="en-GB"/>
        </w:rPr>
        <w:t xml:space="preserve">alls were located in Tier </w:t>
      </w:r>
      <w:r>
        <w:rPr>
          <w:rStyle w:val="A15"/>
          <w:rFonts w:ascii="Times New Roman" w:eastAsiaTheme="majorEastAsia" w:hAnsi="Times New Roman"/>
          <w:sz w:val="22"/>
          <w:szCs w:val="22"/>
          <w:lang w:val="en-GB"/>
        </w:rPr>
        <w:t>3</w:t>
      </w:r>
      <w:r w:rsidRPr="00F90D5D">
        <w:rPr>
          <w:rStyle w:val="A15"/>
          <w:rFonts w:ascii="Times New Roman" w:eastAsiaTheme="majorEastAsia" w:hAnsi="Times New Roman"/>
          <w:sz w:val="22"/>
          <w:szCs w:val="22"/>
          <w:lang w:val="en-GB"/>
        </w:rPr>
        <w:t xml:space="preserve"> and other cities. They were </w:t>
      </w:r>
      <w:r w:rsidRPr="00F90D5D">
        <w:rPr>
          <w:rFonts w:eastAsia="Calibri"/>
          <w:lang w:val="en-GB" w:eastAsia="zh-CN"/>
        </w:rPr>
        <w:t xml:space="preserve">asset-light. Said </w:t>
      </w:r>
      <w:proofErr w:type="spellStart"/>
      <w:r w:rsidRPr="00F90D5D">
        <w:rPr>
          <w:rFonts w:eastAsia="Calibri"/>
          <w:lang w:val="en-GB" w:eastAsia="zh-CN"/>
        </w:rPr>
        <w:t>CheChe</w:t>
      </w:r>
      <w:proofErr w:type="spellEnd"/>
      <w:r w:rsidRPr="00F90D5D">
        <w:rPr>
          <w:rFonts w:eastAsia="Calibri"/>
          <w:lang w:val="en-GB" w:eastAsia="zh-CN"/>
        </w:rPr>
        <w:t xml:space="preserve">: </w:t>
      </w:r>
    </w:p>
    <w:p w:rsidR="00500131" w:rsidRPr="00F90D5D" w:rsidRDefault="00500131" w:rsidP="00500131">
      <w:pPr>
        <w:autoSpaceDE w:val="0"/>
        <w:autoSpaceDN w:val="0"/>
        <w:adjustRightInd w:val="0"/>
        <w:rPr>
          <w:rFonts w:eastAsia="Calibri"/>
          <w:i/>
          <w:iCs/>
          <w:sz w:val="22"/>
          <w:szCs w:val="22"/>
          <w:lang w:val="en-GB" w:eastAsia="zh-CN"/>
        </w:rPr>
      </w:pPr>
    </w:p>
    <w:p w:rsidR="00500131" w:rsidRPr="00F90D5D" w:rsidRDefault="00500131" w:rsidP="00500131">
      <w:pPr>
        <w:pStyle w:val="BodyTextMain"/>
        <w:ind w:left="720"/>
        <w:rPr>
          <w:rFonts w:eastAsia="Calibri"/>
          <w:lang w:val="en-GB" w:eastAsia="zh-CN"/>
        </w:rPr>
      </w:pPr>
      <w:r w:rsidRPr="00F90D5D">
        <w:rPr>
          <w:rFonts w:eastAsia="Calibri"/>
          <w:lang w:val="en-GB" w:eastAsia="zh-CN"/>
        </w:rPr>
        <w:t>Our hybrid expansion model is one of a kind in the Chinese home improvement and furnishing industry.</w:t>
      </w:r>
      <w:r w:rsidRPr="00F90D5D">
        <w:rPr>
          <w:rFonts w:eastAsiaTheme="minorEastAsia" w:hint="eastAsia"/>
          <w:lang w:val="en-GB" w:eastAsia="zh-CN"/>
        </w:rPr>
        <w:t xml:space="preserve"> </w:t>
      </w:r>
      <w:r w:rsidRPr="00F90D5D">
        <w:rPr>
          <w:rFonts w:eastAsia="Calibri"/>
          <w:lang w:val="en-GB" w:eastAsia="zh-CN"/>
        </w:rPr>
        <w:t xml:space="preserve">It has created high barriers to entry. It is difficult to replicate. We have firmed up prime locations in Tier </w:t>
      </w:r>
      <w:r>
        <w:rPr>
          <w:rFonts w:eastAsia="Calibri"/>
          <w:lang w:val="en-GB" w:eastAsia="zh-CN"/>
        </w:rPr>
        <w:t>1</w:t>
      </w:r>
      <w:r w:rsidRPr="00F90D5D">
        <w:rPr>
          <w:rFonts w:eastAsia="Calibri"/>
          <w:lang w:val="en-GB" w:eastAsia="zh-CN"/>
        </w:rPr>
        <w:t xml:space="preserve"> and Tier </w:t>
      </w:r>
      <w:r>
        <w:rPr>
          <w:rFonts w:eastAsia="Calibri"/>
          <w:lang w:val="en-GB" w:eastAsia="zh-CN"/>
        </w:rPr>
        <w:t xml:space="preserve">2 </w:t>
      </w:r>
      <w:r w:rsidRPr="00F90D5D">
        <w:rPr>
          <w:rFonts w:eastAsia="Calibri"/>
          <w:lang w:val="en-GB" w:eastAsia="zh-CN"/>
        </w:rPr>
        <w:t xml:space="preserve">cities for our </w:t>
      </w:r>
      <w:r>
        <w:rPr>
          <w:rFonts w:eastAsia="Calibri"/>
          <w:lang w:val="en-GB" w:eastAsia="zh-CN"/>
        </w:rPr>
        <w:t>p</w:t>
      </w:r>
      <w:r w:rsidRPr="00F90D5D">
        <w:rPr>
          <w:rFonts w:eastAsia="Calibri"/>
          <w:lang w:val="en-GB" w:eastAsia="zh-CN"/>
        </w:rPr>
        <w:t xml:space="preserve">ortfolio </w:t>
      </w:r>
      <w:r>
        <w:rPr>
          <w:rFonts w:eastAsia="Calibri"/>
          <w:lang w:val="en-GB" w:eastAsia="zh-CN"/>
        </w:rPr>
        <w:t>s</w:t>
      </w:r>
      <w:r w:rsidRPr="00F90D5D">
        <w:rPr>
          <w:rFonts w:eastAsia="Calibri"/>
          <w:lang w:val="en-GB" w:eastAsia="zh-CN"/>
        </w:rPr>
        <w:t xml:space="preserve">hopping </w:t>
      </w:r>
      <w:r>
        <w:rPr>
          <w:rFonts w:eastAsia="Calibri"/>
          <w:lang w:val="en-GB" w:eastAsia="zh-CN"/>
        </w:rPr>
        <w:t>m</w:t>
      </w:r>
      <w:r w:rsidRPr="00F90D5D">
        <w:rPr>
          <w:rFonts w:eastAsia="Calibri"/>
          <w:lang w:val="en-GB" w:eastAsia="zh-CN"/>
        </w:rPr>
        <w:t xml:space="preserve">all footprint. There is nothing left for our competitors, present or potential, to source. We also have deeply entrenched industry </w:t>
      </w:r>
      <w:r w:rsidRPr="00F90D5D">
        <w:rPr>
          <w:rFonts w:eastAsia="Calibri"/>
          <w:lang w:val="en-GB" w:eastAsia="zh-CN"/>
        </w:rPr>
        <w:lastRenderedPageBreak/>
        <w:t xml:space="preserve">relationships supporting our </w:t>
      </w:r>
      <w:r>
        <w:rPr>
          <w:rFonts w:eastAsia="Calibri"/>
          <w:lang w:val="en-GB" w:eastAsia="zh-CN"/>
        </w:rPr>
        <w:t>m</w:t>
      </w:r>
      <w:r w:rsidRPr="00F90D5D">
        <w:rPr>
          <w:rFonts w:eastAsia="Calibri"/>
          <w:lang w:val="en-GB" w:eastAsia="zh-CN"/>
        </w:rPr>
        <w:t xml:space="preserve">anaged </w:t>
      </w:r>
      <w:r>
        <w:rPr>
          <w:rFonts w:eastAsia="Calibri"/>
          <w:lang w:val="en-GB" w:eastAsia="zh-CN"/>
        </w:rPr>
        <w:t>s</w:t>
      </w:r>
      <w:r w:rsidRPr="00F90D5D">
        <w:rPr>
          <w:rFonts w:eastAsia="Calibri"/>
          <w:lang w:val="en-GB" w:eastAsia="zh-CN"/>
        </w:rPr>
        <w:t xml:space="preserve">hopping </w:t>
      </w:r>
      <w:r>
        <w:rPr>
          <w:rFonts w:eastAsia="Calibri"/>
          <w:lang w:val="en-GB" w:eastAsia="zh-CN"/>
        </w:rPr>
        <w:t>m</w:t>
      </w:r>
      <w:r w:rsidRPr="00F90D5D">
        <w:rPr>
          <w:rFonts w:eastAsia="Calibri"/>
          <w:lang w:val="en-GB" w:eastAsia="zh-CN"/>
        </w:rPr>
        <w:t>all footprint. Our success with the hybrid model has led to a virtuous growth cycle for us, our partners, our tenants</w:t>
      </w:r>
      <w:r>
        <w:rPr>
          <w:rFonts w:eastAsia="Calibri"/>
          <w:lang w:val="en-GB" w:eastAsia="zh-CN"/>
        </w:rPr>
        <w:t>,</w:t>
      </w:r>
      <w:r w:rsidRPr="00F90D5D">
        <w:rPr>
          <w:rFonts w:eastAsia="Calibri"/>
          <w:lang w:val="en-GB" w:eastAsia="zh-CN"/>
        </w:rPr>
        <w:t xml:space="preserve"> and our customers.</w:t>
      </w:r>
    </w:p>
    <w:p w:rsidR="00500131" w:rsidRPr="00F90D5D" w:rsidRDefault="00500131" w:rsidP="00500131">
      <w:pPr>
        <w:pStyle w:val="BodyTextMain"/>
        <w:rPr>
          <w:rFonts w:eastAsia="Calibri"/>
          <w:lang w:val="en-GB" w:eastAsia="zh-CN"/>
        </w:rPr>
      </w:pPr>
    </w:p>
    <w:p w:rsidR="00500131" w:rsidRPr="00F90D5D" w:rsidRDefault="00500131" w:rsidP="00500131">
      <w:pPr>
        <w:pStyle w:val="BodyTextMain"/>
        <w:rPr>
          <w:lang w:val="en-GB"/>
        </w:rPr>
      </w:pPr>
      <w:r w:rsidRPr="00F90D5D">
        <w:rPr>
          <w:lang w:val="en-GB"/>
        </w:rPr>
        <w:t>RSM</w:t>
      </w:r>
      <w:r w:rsidRPr="00F90D5D">
        <w:rPr>
          <w:rFonts w:eastAsiaTheme="minorEastAsia" w:hint="eastAsia"/>
          <w:lang w:val="en-GB" w:eastAsia="zh-CN"/>
        </w:rPr>
        <w:t xml:space="preserve"> </w:t>
      </w:r>
      <w:r w:rsidRPr="00F90D5D">
        <w:rPr>
          <w:lang w:val="en-GB"/>
        </w:rPr>
        <w:t xml:space="preserve">was shifting its focus from </w:t>
      </w:r>
      <w:r>
        <w:rPr>
          <w:lang w:val="en-GB"/>
        </w:rPr>
        <w:t>Tier 1</w:t>
      </w:r>
      <w:r w:rsidRPr="00F90D5D">
        <w:rPr>
          <w:lang w:val="en-GB"/>
        </w:rPr>
        <w:t xml:space="preserve"> and </w:t>
      </w:r>
      <w:r>
        <w:rPr>
          <w:lang w:val="en-GB"/>
        </w:rPr>
        <w:t xml:space="preserve">Tier 2 </w:t>
      </w:r>
      <w:r w:rsidRPr="00F90D5D">
        <w:rPr>
          <w:lang w:val="en-GB"/>
        </w:rPr>
        <w:t>cities, where most of its malls were located, to smaller, county-level areas where urbanization was accelerating.</w:t>
      </w:r>
    </w:p>
    <w:p w:rsidR="00500131" w:rsidRPr="00F90D5D" w:rsidRDefault="00500131" w:rsidP="00500131">
      <w:pPr>
        <w:pStyle w:val="BodyTextMain"/>
        <w:rPr>
          <w:lang w:val="en-GB"/>
        </w:rPr>
      </w:pPr>
    </w:p>
    <w:p w:rsidR="00500131" w:rsidRPr="00F90D5D" w:rsidRDefault="00500131" w:rsidP="00500131">
      <w:pPr>
        <w:pStyle w:val="BodyTextMain"/>
        <w:rPr>
          <w:rFonts w:eastAsia="Calibri"/>
          <w:lang w:val="en-GB" w:eastAsia="zh-CN"/>
        </w:rPr>
      </w:pPr>
      <w:r w:rsidRPr="00F90D5D">
        <w:rPr>
          <w:rFonts w:eastAsia="Calibri"/>
          <w:lang w:val="en-GB" w:eastAsia="zh-CN"/>
        </w:rPr>
        <w:t xml:space="preserve">RSM had expansion plans for the future in its core business of mall development. </w:t>
      </w:r>
      <w:r>
        <w:rPr>
          <w:rFonts w:eastAsia="Calibri"/>
          <w:lang w:val="en-GB" w:eastAsia="zh-CN"/>
        </w:rPr>
        <w:t xml:space="preserve">It had identified attractive market opportunities in the 2,500 </w:t>
      </w:r>
      <w:r w:rsidRPr="00F90D5D">
        <w:rPr>
          <w:rFonts w:eastAsia="Calibri"/>
          <w:lang w:val="en-GB" w:eastAsia="zh-CN"/>
        </w:rPr>
        <w:t xml:space="preserve">Tier </w:t>
      </w:r>
      <w:r>
        <w:rPr>
          <w:rFonts w:eastAsia="Calibri"/>
          <w:lang w:val="en-GB" w:eastAsia="zh-CN"/>
        </w:rPr>
        <w:t>3</w:t>
      </w:r>
      <w:r w:rsidRPr="00F90D5D">
        <w:rPr>
          <w:rFonts w:eastAsia="Calibri"/>
          <w:lang w:val="en-GB" w:eastAsia="zh-CN"/>
        </w:rPr>
        <w:t xml:space="preserve"> and other downstream cities across China. </w:t>
      </w:r>
      <w:r>
        <w:rPr>
          <w:rFonts w:eastAsia="Calibri"/>
          <w:lang w:val="en-GB" w:eastAsia="zh-CN"/>
        </w:rPr>
        <w:t>According to RSM, e</w:t>
      </w:r>
      <w:r w:rsidRPr="00F90D5D">
        <w:rPr>
          <w:rFonts w:eastAsia="Calibri"/>
          <w:lang w:val="en-GB" w:eastAsia="zh-CN"/>
        </w:rPr>
        <w:t xml:space="preserve">ach </w:t>
      </w:r>
      <w:r>
        <w:rPr>
          <w:rFonts w:eastAsia="Calibri"/>
          <w:lang w:val="en-GB" w:eastAsia="zh-CN"/>
        </w:rPr>
        <w:t>such city</w:t>
      </w:r>
      <w:r w:rsidRPr="00F90D5D">
        <w:rPr>
          <w:rFonts w:eastAsia="Calibri"/>
          <w:lang w:val="en-GB" w:eastAsia="zh-CN"/>
        </w:rPr>
        <w:t xml:space="preserve"> could support at least one branded shopping mall. RSM would have a first</w:t>
      </w:r>
      <w:r>
        <w:rPr>
          <w:rFonts w:eastAsia="Calibri"/>
          <w:lang w:val="en-GB" w:eastAsia="zh-CN"/>
        </w:rPr>
        <w:t>-</w:t>
      </w:r>
      <w:r w:rsidRPr="00F90D5D">
        <w:rPr>
          <w:rFonts w:eastAsia="Calibri"/>
          <w:lang w:val="en-GB" w:eastAsia="zh-CN"/>
        </w:rPr>
        <w:t>mover advantage on the strength of its asset-light strategy</w:t>
      </w:r>
      <w:r>
        <w:rPr>
          <w:rFonts w:eastAsia="Calibri"/>
          <w:lang w:val="en-GB" w:eastAsia="zh-CN"/>
        </w:rPr>
        <w:t>,</w:t>
      </w:r>
      <w:r w:rsidRPr="00F90D5D">
        <w:rPr>
          <w:rFonts w:eastAsia="Calibri"/>
          <w:lang w:val="en-GB" w:eastAsia="zh-CN"/>
        </w:rPr>
        <w:t xml:space="preserve"> </w:t>
      </w:r>
      <w:r>
        <w:rPr>
          <w:rFonts w:eastAsia="Calibri"/>
          <w:lang w:val="en-GB" w:eastAsia="zh-CN"/>
        </w:rPr>
        <w:t>which</w:t>
      </w:r>
      <w:r w:rsidRPr="00F90D5D">
        <w:rPr>
          <w:rFonts w:eastAsia="Calibri"/>
          <w:lang w:val="en-GB" w:eastAsia="zh-CN"/>
        </w:rPr>
        <w:t xml:space="preserve"> could generate rapid growth and high returns on capital without straining the company’s cash flow. It had already shortlisted the cities it planned to expand into in the next three years based on size, population, </w:t>
      </w:r>
      <w:r>
        <w:rPr>
          <w:rFonts w:eastAsia="Calibri"/>
          <w:lang w:val="en-GB" w:eastAsia="zh-CN"/>
        </w:rPr>
        <w:t xml:space="preserve">local market conditions, and the </w:t>
      </w:r>
      <w:r w:rsidRPr="00F90D5D">
        <w:rPr>
          <w:rFonts w:eastAsia="Calibri"/>
          <w:lang w:val="en-GB" w:eastAsia="zh-CN"/>
        </w:rPr>
        <w:t xml:space="preserve">disposable income of </w:t>
      </w:r>
      <w:r>
        <w:rPr>
          <w:rFonts w:eastAsia="Calibri"/>
          <w:lang w:val="en-GB" w:eastAsia="zh-CN"/>
        </w:rPr>
        <w:t>reside</w:t>
      </w:r>
      <w:r w:rsidRPr="00F90D5D">
        <w:rPr>
          <w:rFonts w:eastAsia="Calibri"/>
          <w:lang w:val="en-GB" w:eastAsia="zh-CN"/>
        </w:rPr>
        <w:t>nts. The company was working on launching a “mini mall” format of 15,000 to 30,000 square met</w:t>
      </w:r>
      <w:r>
        <w:rPr>
          <w:rFonts w:eastAsia="Calibri"/>
          <w:lang w:val="en-GB" w:eastAsia="zh-CN"/>
        </w:rPr>
        <w:t>re</w:t>
      </w:r>
      <w:r w:rsidRPr="00F90D5D">
        <w:rPr>
          <w:rFonts w:eastAsia="Calibri"/>
          <w:lang w:val="en-GB" w:eastAsia="zh-CN"/>
        </w:rPr>
        <w:t>s in some of those cities.</w:t>
      </w:r>
    </w:p>
    <w:p w:rsidR="00500131" w:rsidRPr="00F90D5D" w:rsidRDefault="00500131" w:rsidP="00500131">
      <w:pPr>
        <w:pStyle w:val="BodyTextMain"/>
        <w:rPr>
          <w:rFonts w:eastAsia="Calibri"/>
          <w:lang w:val="en-GB" w:eastAsia="zh-CN"/>
        </w:rPr>
      </w:pPr>
    </w:p>
    <w:p w:rsidR="00500131" w:rsidRPr="00F90D5D" w:rsidRDefault="00500131" w:rsidP="00500131">
      <w:pPr>
        <w:pStyle w:val="BodyTextMain"/>
        <w:rPr>
          <w:lang w:val="en-GB"/>
        </w:rPr>
      </w:pPr>
      <w:r w:rsidRPr="00F90D5D">
        <w:rPr>
          <w:lang w:val="en-GB"/>
        </w:rPr>
        <w:t>Since its inception, RSM had positioned itself</w:t>
      </w:r>
      <w:r w:rsidRPr="00F90D5D">
        <w:rPr>
          <w:rFonts w:eastAsiaTheme="minorEastAsia" w:hint="eastAsia"/>
          <w:lang w:val="en-GB" w:eastAsia="zh-CN"/>
        </w:rPr>
        <w:t xml:space="preserve"> </w:t>
      </w:r>
      <w:r w:rsidRPr="00F90D5D">
        <w:rPr>
          <w:lang w:val="en-GB"/>
        </w:rPr>
        <w:t xml:space="preserve">as a trading platform for </w:t>
      </w:r>
      <w:r>
        <w:rPr>
          <w:lang w:val="en-GB"/>
        </w:rPr>
        <w:t xml:space="preserve">the </w:t>
      </w:r>
      <w:r w:rsidRPr="00F90D5D">
        <w:rPr>
          <w:lang w:val="en-GB"/>
        </w:rPr>
        <w:t xml:space="preserve">home improvement and </w:t>
      </w:r>
      <w:r>
        <w:rPr>
          <w:lang w:val="en-GB"/>
        </w:rPr>
        <w:t xml:space="preserve">home </w:t>
      </w:r>
      <w:r w:rsidRPr="00F90D5D">
        <w:rPr>
          <w:lang w:val="en-GB"/>
        </w:rPr>
        <w:t>furnishing</w:t>
      </w:r>
      <w:r>
        <w:rPr>
          <w:lang w:val="en-GB"/>
        </w:rPr>
        <w:t>s</w:t>
      </w:r>
      <w:r w:rsidRPr="00F90D5D">
        <w:rPr>
          <w:lang w:val="en-GB"/>
        </w:rPr>
        <w:t xml:space="preserve"> business. The imminent launch of </w:t>
      </w:r>
      <w:r>
        <w:rPr>
          <w:lang w:val="en-GB"/>
        </w:rPr>
        <w:t xml:space="preserve">the </w:t>
      </w:r>
      <w:r w:rsidRPr="00F90D5D">
        <w:rPr>
          <w:lang w:val="en-GB"/>
        </w:rPr>
        <w:t xml:space="preserve">1001 </w:t>
      </w:r>
      <w:r>
        <w:rPr>
          <w:lang w:val="en-GB"/>
        </w:rPr>
        <w:t>S</w:t>
      </w:r>
      <w:r w:rsidRPr="00F90D5D">
        <w:rPr>
          <w:lang w:val="en-GB"/>
        </w:rPr>
        <w:t xml:space="preserve">trategy had led to </w:t>
      </w:r>
      <w:r>
        <w:rPr>
          <w:lang w:val="en-GB"/>
        </w:rPr>
        <w:t>the company</w:t>
      </w:r>
      <w:r w:rsidRPr="00F90D5D">
        <w:rPr>
          <w:lang w:val="en-GB"/>
        </w:rPr>
        <w:t xml:space="preserve"> being repositioned as a “home-centred”</w:t>
      </w:r>
      <w:r w:rsidRPr="00F90D5D">
        <w:rPr>
          <w:rFonts w:eastAsiaTheme="minorEastAsia"/>
          <w:lang w:val="en-GB" w:eastAsia="zh-CN"/>
        </w:rPr>
        <w:t xml:space="preserve"> </w:t>
      </w:r>
      <w:r w:rsidRPr="00F90D5D">
        <w:rPr>
          <w:lang w:val="en-GB"/>
        </w:rPr>
        <w:t xml:space="preserve">enterprise </w:t>
      </w:r>
      <w:r>
        <w:rPr>
          <w:lang w:val="en-GB"/>
        </w:rPr>
        <w:t>that</w:t>
      </w:r>
      <w:r w:rsidRPr="00F90D5D">
        <w:rPr>
          <w:lang w:val="en-GB"/>
        </w:rPr>
        <w:t xml:space="preserve"> was extending its reach to five interrelated industries</w:t>
      </w:r>
      <w:r>
        <w:rPr>
          <w:lang w:val="en-GB"/>
        </w:rPr>
        <w:t>:</w:t>
      </w:r>
      <w:r w:rsidRPr="00F90D5D">
        <w:rPr>
          <w:lang w:val="en-GB"/>
        </w:rPr>
        <w:t xml:space="preserve"> residential real estate, home decoration, home commodities (</w:t>
      </w:r>
      <w:r>
        <w:rPr>
          <w:lang w:val="en-GB"/>
        </w:rPr>
        <w:t>e.g.,</w:t>
      </w:r>
      <w:r w:rsidRPr="00F90D5D">
        <w:rPr>
          <w:lang w:val="en-GB"/>
        </w:rPr>
        <w:t xml:space="preserve"> appliances, vases</w:t>
      </w:r>
      <w:r w:rsidRPr="00F90D5D">
        <w:rPr>
          <w:rFonts w:eastAsiaTheme="minorEastAsia" w:hint="eastAsia"/>
          <w:lang w:val="en-GB" w:eastAsia="zh-CN"/>
        </w:rPr>
        <w:t xml:space="preserve">, </w:t>
      </w:r>
      <w:r w:rsidRPr="00F90D5D">
        <w:rPr>
          <w:lang w:val="en-GB"/>
        </w:rPr>
        <w:t>and curtains),</w:t>
      </w:r>
      <w:r>
        <w:rPr>
          <w:lang w:val="en-GB"/>
        </w:rPr>
        <w:t xml:space="preserve"> </w:t>
      </w:r>
      <w:r w:rsidRPr="00F90D5D">
        <w:rPr>
          <w:lang w:val="en-GB"/>
        </w:rPr>
        <w:t>finance</w:t>
      </w:r>
      <w:r>
        <w:rPr>
          <w:lang w:val="en-GB"/>
        </w:rPr>
        <w:t>,</w:t>
      </w:r>
      <w:r w:rsidRPr="00F90D5D">
        <w:rPr>
          <w:lang w:val="en-GB"/>
        </w:rPr>
        <w:t xml:space="preserve"> and service. </w:t>
      </w:r>
    </w:p>
    <w:p w:rsidR="00500131" w:rsidRPr="00F90D5D" w:rsidRDefault="00500131" w:rsidP="00500131">
      <w:pPr>
        <w:pStyle w:val="BodyTextMain"/>
        <w:rPr>
          <w:rFonts w:eastAsia="Calibri"/>
          <w:lang w:val="en-GB" w:eastAsia="zh-CN"/>
        </w:rPr>
      </w:pPr>
    </w:p>
    <w:p w:rsidR="00500131" w:rsidRDefault="00500131" w:rsidP="00500131">
      <w:pPr>
        <w:pStyle w:val="BodyTextMain"/>
        <w:rPr>
          <w:rFonts w:eastAsia="Calibri"/>
          <w:lang w:val="en-GB" w:eastAsia="zh-CN"/>
        </w:rPr>
      </w:pPr>
      <w:r w:rsidRPr="00F90D5D">
        <w:rPr>
          <w:rFonts w:eastAsia="Calibri"/>
          <w:lang w:val="en-GB" w:eastAsia="zh-CN"/>
        </w:rPr>
        <w:t xml:space="preserve">The company was also </w:t>
      </w:r>
      <w:r>
        <w:rPr>
          <w:rFonts w:eastAsia="Calibri"/>
          <w:lang w:val="en-GB" w:eastAsia="zh-CN"/>
        </w:rPr>
        <w:t>entering</w:t>
      </w:r>
      <w:r w:rsidRPr="00F90D5D">
        <w:rPr>
          <w:rFonts w:eastAsia="Calibri"/>
          <w:lang w:val="en-GB" w:eastAsia="zh-CN"/>
        </w:rPr>
        <w:t xml:space="preserve"> into three non-core sectors aimed at reinforcing its core offerings. The first was consumer and vendor financing.</w:t>
      </w:r>
      <w:r w:rsidRPr="00F90D5D">
        <w:rPr>
          <w:rFonts w:eastAsiaTheme="minorEastAsia" w:hint="eastAsia"/>
          <w:lang w:val="en-GB" w:eastAsia="zh-CN"/>
        </w:rPr>
        <w:t xml:space="preserve"> </w:t>
      </w:r>
      <w:r w:rsidRPr="00F90D5D">
        <w:rPr>
          <w:rFonts w:eastAsia="Calibri"/>
          <w:lang w:val="en-GB" w:eastAsia="zh-CN"/>
        </w:rPr>
        <w:t xml:space="preserve">Customers were in need of financing because </w:t>
      </w:r>
      <w:r>
        <w:rPr>
          <w:rFonts w:eastAsia="Calibri"/>
          <w:lang w:val="en-GB" w:eastAsia="zh-CN"/>
        </w:rPr>
        <w:t xml:space="preserve">of </w:t>
      </w:r>
      <w:r w:rsidRPr="00F90D5D">
        <w:rPr>
          <w:rFonts w:eastAsia="Calibri"/>
          <w:lang w:val="en-GB" w:eastAsia="zh-CN"/>
        </w:rPr>
        <w:t xml:space="preserve">the </w:t>
      </w:r>
      <w:r>
        <w:rPr>
          <w:rFonts w:eastAsia="Calibri"/>
          <w:lang w:val="en-GB" w:eastAsia="zh-CN"/>
        </w:rPr>
        <w:t>high costs</w:t>
      </w:r>
      <w:r w:rsidRPr="00F90D5D">
        <w:rPr>
          <w:rFonts w:eastAsia="Calibri"/>
          <w:lang w:val="en-GB" w:eastAsia="zh-CN"/>
        </w:rPr>
        <w:t xml:space="preserve"> of home improvement and </w:t>
      </w:r>
      <w:r>
        <w:rPr>
          <w:rFonts w:eastAsia="Calibri"/>
          <w:lang w:val="en-GB" w:eastAsia="zh-CN"/>
        </w:rPr>
        <w:t xml:space="preserve">home </w:t>
      </w:r>
      <w:r w:rsidRPr="00F90D5D">
        <w:rPr>
          <w:rFonts w:eastAsia="Calibri"/>
          <w:lang w:val="en-GB" w:eastAsia="zh-CN"/>
        </w:rPr>
        <w:t>furnishings product</w:t>
      </w:r>
      <w:r>
        <w:rPr>
          <w:rFonts w:eastAsia="Calibri"/>
          <w:lang w:val="en-GB" w:eastAsia="zh-CN"/>
        </w:rPr>
        <w:t>s</w:t>
      </w:r>
      <w:r w:rsidRPr="00F90D5D">
        <w:rPr>
          <w:rFonts w:eastAsia="Calibri"/>
          <w:lang w:val="en-GB" w:eastAsia="zh-CN"/>
        </w:rPr>
        <w:t>. Vendors were in need of financing to cover their rental expenses and procurement costs. RSM had taken the first step in this regard by establishing a consumer financing joint venture with Haier and Greentown in December 2014. It had applied for its own consumer financing licen</w:t>
      </w:r>
      <w:r>
        <w:rPr>
          <w:rFonts w:eastAsia="Calibri"/>
          <w:lang w:val="en-GB" w:eastAsia="zh-CN"/>
        </w:rPr>
        <w:t>c</w:t>
      </w:r>
      <w:r w:rsidRPr="00F90D5D">
        <w:rPr>
          <w:rFonts w:eastAsia="Calibri"/>
          <w:lang w:val="en-GB" w:eastAsia="zh-CN"/>
        </w:rPr>
        <w:t xml:space="preserve">e. </w:t>
      </w:r>
    </w:p>
    <w:p w:rsidR="00500131" w:rsidRPr="00F90D5D" w:rsidRDefault="00500131" w:rsidP="00500131">
      <w:pPr>
        <w:pStyle w:val="BodyTextMain"/>
        <w:rPr>
          <w:rFonts w:eastAsia="Calibri"/>
          <w:lang w:val="en-GB" w:eastAsia="zh-CN"/>
        </w:rPr>
      </w:pPr>
    </w:p>
    <w:p w:rsidR="00500131" w:rsidRPr="00F90D5D" w:rsidRDefault="00500131" w:rsidP="00500131">
      <w:pPr>
        <w:pStyle w:val="BodyTextMain"/>
        <w:rPr>
          <w:rFonts w:eastAsia="Calibri"/>
          <w:lang w:val="en-GB" w:eastAsia="zh-CN"/>
        </w:rPr>
      </w:pPr>
      <w:r w:rsidRPr="00F90D5D">
        <w:rPr>
          <w:rFonts w:eastAsia="Calibri"/>
          <w:lang w:val="en-GB" w:eastAsia="zh-CN"/>
        </w:rPr>
        <w:t xml:space="preserve">The second </w:t>
      </w:r>
      <w:r>
        <w:rPr>
          <w:rFonts w:eastAsia="Calibri"/>
          <w:lang w:val="en-GB" w:eastAsia="zh-CN"/>
        </w:rPr>
        <w:t xml:space="preserve">non-core section </w:t>
      </w:r>
      <w:r w:rsidRPr="00F90D5D">
        <w:rPr>
          <w:rFonts w:eastAsia="Calibri"/>
          <w:lang w:val="en-GB" w:eastAsia="zh-CN"/>
        </w:rPr>
        <w:t xml:space="preserve">was logistics and fulfilment services. </w:t>
      </w:r>
      <w:r>
        <w:rPr>
          <w:rFonts w:eastAsia="Calibri"/>
          <w:lang w:val="en-GB" w:eastAsia="zh-CN"/>
        </w:rPr>
        <w:t>B</w:t>
      </w:r>
      <w:r w:rsidRPr="00F90D5D">
        <w:rPr>
          <w:rFonts w:eastAsia="Calibri"/>
          <w:lang w:val="en-GB" w:eastAsia="zh-CN"/>
        </w:rPr>
        <w:t xml:space="preserve">y leveraging the company’s existing nationwide footprint, </w:t>
      </w:r>
      <w:r>
        <w:rPr>
          <w:rFonts w:eastAsia="Calibri"/>
          <w:lang w:val="en-GB" w:eastAsia="zh-CN"/>
        </w:rPr>
        <w:t>these services were meant to provide so-called “</w:t>
      </w:r>
      <w:r w:rsidRPr="00F90D5D">
        <w:rPr>
          <w:rFonts w:eastAsia="Calibri"/>
          <w:lang w:val="en-GB" w:eastAsia="zh-CN"/>
        </w:rPr>
        <w:t>last</w:t>
      </w:r>
      <w:r>
        <w:rPr>
          <w:rFonts w:eastAsia="Calibri"/>
          <w:lang w:val="en-GB" w:eastAsia="zh-CN"/>
        </w:rPr>
        <w:t>-</w:t>
      </w:r>
      <w:r w:rsidRPr="00F90D5D">
        <w:rPr>
          <w:rFonts w:eastAsia="Calibri"/>
          <w:lang w:val="en-GB" w:eastAsia="zh-CN"/>
        </w:rPr>
        <w:t>mile services</w:t>
      </w:r>
      <w:r>
        <w:rPr>
          <w:rFonts w:eastAsia="Calibri"/>
          <w:lang w:val="en-GB" w:eastAsia="zh-CN"/>
        </w:rPr>
        <w:t>”</w:t>
      </w:r>
      <w:r>
        <w:rPr>
          <w:rStyle w:val="FootnoteReference"/>
          <w:rFonts w:eastAsia="Calibri"/>
          <w:lang w:val="en-GB" w:eastAsia="zh-CN"/>
        </w:rPr>
        <w:footnoteReference w:id="13"/>
      </w:r>
      <w:r w:rsidRPr="00F90D5D">
        <w:rPr>
          <w:rFonts w:eastAsia="Calibri"/>
          <w:lang w:val="en-GB" w:eastAsia="zh-CN"/>
        </w:rPr>
        <w:t xml:space="preserve"> </w:t>
      </w:r>
      <w:r>
        <w:rPr>
          <w:rFonts w:eastAsia="Calibri"/>
          <w:lang w:val="en-GB" w:eastAsia="zh-CN"/>
        </w:rPr>
        <w:t>such as</w:t>
      </w:r>
      <w:r w:rsidRPr="00F90D5D">
        <w:rPr>
          <w:rFonts w:eastAsia="Calibri"/>
          <w:lang w:val="en-GB" w:eastAsia="zh-CN"/>
        </w:rPr>
        <w:t xml:space="preserve"> warehousing, assembly</w:t>
      </w:r>
      <w:r>
        <w:rPr>
          <w:rFonts w:eastAsia="Calibri"/>
          <w:lang w:val="en-GB" w:eastAsia="zh-CN"/>
        </w:rPr>
        <w:t>,</w:t>
      </w:r>
      <w:r w:rsidRPr="00F90D5D">
        <w:rPr>
          <w:rFonts w:eastAsia="Calibri"/>
          <w:lang w:val="en-GB" w:eastAsia="zh-CN"/>
        </w:rPr>
        <w:t xml:space="preserve"> and delivery. </w:t>
      </w:r>
      <w:r>
        <w:rPr>
          <w:rFonts w:eastAsia="Calibri"/>
          <w:lang w:val="en-GB" w:eastAsia="zh-CN"/>
        </w:rPr>
        <w:t>These services</w:t>
      </w:r>
      <w:r w:rsidRPr="00F90D5D">
        <w:rPr>
          <w:rFonts w:eastAsia="Calibri"/>
          <w:lang w:val="en-GB" w:eastAsia="zh-CN"/>
        </w:rPr>
        <w:t xml:space="preserve"> helped vendors manage their inventory better and reduce their costs of operations</w:t>
      </w:r>
      <w:r>
        <w:rPr>
          <w:rFonts w:eastAsia="Calibri"/>
          <w:lang w:val="en-GB" w:eastAsia="zh-CN"/>
        </w:rPr>
        <w:t>, and</w:t>
      </w:r>
      <w:r w:rsidRPr="00F90D5D">
        <w:rPr>
          <w:rFonts w:eastAsia="Calibri"/>
          <w:lang w:val="en-GB" w:eastAsia="zh-CN"/>
        </w:rPr>
        <w:t xml:space="preserve"> enabled customers </w:t>
      </w:r>
      <w:r>
        <w:rPr>
          <w:rFonts w:eastAsia="Calibri"/>
          <w:lang w:val="en-GB" w:eastAsia="zh-CN"/>
        </w:rPr>
        <w:t xml:space="preserve">to </w:t>
      </w:r>
      <w:r w:rsidRPr="00F90D5D">
        <w:rPr>
          <w:rFonts w:eastAsia="Calibri"/>
          <w:lang w:val="en-GB" w:eastAsia="zh-CN"/>
        </w:rPr>
        <w:t xml:space="preserve">track their shipments </w:t>
      </w:r>
      <w:r>
        <w:rPr>
          <w:rFonts w:eastAsia="Calibri"/>
          <w:lang w:val="en-GB" w:eastAsia="zh-CN"/>
        </w:rPr>
        <w:t>from</w:t>
      </w:r>
      <w:r w:rsidRPr="00F90D5D">
        <w:rPr>
          <w:rFonts w:eastAsia="Calibri"/>
          <w:lang w:val="en-GB" w:eastAsia="zh-CN"/>
        </w:rPr>
        <w:t xml:space="preserve"> the comfort of their homes. </w:t>
      </w:r>
      <w:r>
        <w:rPr>
          <w:rFonts w:eastAsia="Calibri"/>
          <w:lang w:val="en-GB" w:eastAsia="zh-CN"/>
        </w:rPr>
        <w:t>The services</w:t>
      </w:r>
      <w:r w:rsidRPr="00F90D5D">
        <w:rPr>
          <w:rFonts w:eastAsia="Calibri"/>
          <w:lang w:val="en-GB" w:eastAsia="zh-CN"/>
        </w:rPr>
        <w:t xml:space="preserve"> enabled RSM, as a company, to aggregate its orders and deliveries</w:t>
      </w:r>
      <w:r>
        <w:rPr>
          <w:rFonts w:eastAsia="Calibri"/>
          <w:lang w:val="en-GB" w:eastAsia="zh-CN"/>
        </w:rPr>
        <w:t>,</w:t>
      </w:r>
      <w:r w:rsidRPr="00F90D5D">
        <w:rPr>
          <w:rFonts w:eastAsia="Calibri"/>
          <w:lang w:val="en-GB" w:eastAsia="zh-CN"/>
        </w:rPr>
        <w:t xml:space="preserve"> leading to better control over resources. It also enhanced the stickiness of manufacturers, vendors</w:t>
      </w:r>
      <w:r>
        <w:rPr>
          <w:rFonts w:eastAsia="Calibri"/>
          <w:lang w:val="en-GB" w:eastAsia="zh-CN"/>
        </w:rPr>
        <w:t>,</w:t>
      </w:r>
      <w:r w:rsidRPr="00F90D5D">
        <w:rPr>
          <w:rFonts w:eastAsia="Calibri"/>
          <w:lang w:val="en-GB" w:eastAsia="zh-CN"/>
        </w:rPr>
        <w:t xml:space="preserve"> and customers. </w:t>
      </w:r>
    </w:p>
    <w:p w:rsidR="00500131" w:rsidRPr="00F90D5D" w:rsidRDefault="00500131" w:rsidP="00500131">
      <w:pPr>
        <w:pStyle w:val="BodyTextMain"/>
        <w:rPr>
          <w:rFonts w:eastAsia="Calibri"/>
          <w:lang w:val="en-GB" w:eastAsia="zh-CN"/>
        </w:rPr>
      </w:pPr>
    </w:p>
    <w:p w:rsidR="00500131" w:rsidRPr="00F90D5D" w:rsidRDefault="00500131" w:rsidP="00500131">
      <w:pPr>
        <w:pStyle w:val="BodyTextMain"/>
        <w:rPr>
          <w:rFonts w:eastAsia="Calibri"/>
          <w:lang w:val="en-GB" w:eastAsia="zh-CN"/>
        </w:rPr>
      </w:pPr>
      <w:r w:rsidRPr="00F90D5D">
        <w:rPr>
          <w:rFonts w:eastAsia="Calibri"/>
          <w:lang w:val="en-GB" w:eastAsia="zh-CN"/>
        </w:rPr>
        <w:t>Another potential area of related diversification was home design services</w:t>
      </w:r>
      <w:r>
        <w:rPr>
          <w:rFonts w:eastAsia="Calibri"/>
          <w:lang w:val="en-GB" w:eastAsia="zh-CN"/>
        </w:rPr>
        <w:t>,</w:t>
      </w:r>
      <w:r w:rsidRPr="00F90D5D">
        <w:rPr>
          <w:rFonts w:eastAsia="Calibri"/>
          <w:lang w:val="en-GB" w:eastAsia="zh-CN"/>
        </w:rPr>
        <w:t xml:space="preserve"> which prevailed at the upstream end of the industry value chain. RSM was planning to identify talented home design professionals, invest in their start-ups</w:t>
      </w:r>
      <w:r>
        <w:rPr>
          <w:rFonts w:eastAsia="Calibri"/>
          <w:lang w:val="en-GB" w:eastAsia="zh-CN"/>
        </w:rPr>
        <w:t>,</w:t>
      </w:r>
      <w:r w:rsidRPr="00F90D5D">
        <w:rPr>
          <w:rFonts w:eastAsia="Calibri"/>
          <w:lang w:val="en-GB" w:eastAsia="zh-CN"/>
        </w:rPr>
        <w:t xml:space="preserve"> and endorse their business with its premier brand. In exchange, the start-ups would agree to purchase 80 per cent of </w:t>
      </w:r>
      <w:r>
        <w:rPr>
          <w:rFonts w:eastAsia="Calibri"/>
          <w:lang w:val="en-GB" w:eastAsia="zh-CN"/>
        </w:rPr>
        <w:t xml:space="preserve">their </w:t>
      </w:r>
      <w:r w:rsidRPr="00F90D5D">
        <w:rPr>
          <w:rFonts w:eastAsiaTheme="minorEastAsia" w:hint="eastAsia"/>
          <w:lang w:val="en-GB" w:eastAsia="zh-CN"/>
        </w:rPr>
        <w:t xml:space="preserve">home improvement and </w:t>
      </w:r>
      <w:r>
        <w:rPr>
          <w:rFonts w:eastAsiaTheme="minorEastAsia"/>
          <w:lang w:val="en-GB" w:eastAsia="zh-CN"/>
        </w:rPr>
        <w:t xml:space="preserve">home </w:t>
      </w:r>
      <w:r w:rsidRPr="00F90D5D">
        <w:rPr>
          <w:rFonts w:eastAsiaTheme="minorEastAsia" w:hint="eastAsia"/>
          <w:lang w:val="en-GB" w:eastAsia="zh-CN"/>
        </w:rPr>
        <w:t>furnishings products</w:t>
      </w:r>
      <w:r w:rsidRPr="00F90D5D">
        <w:rPr>
          <w:rFonts w:eastAsia="Calibri"/>
          <w:lang w:val="en-GB" w:eastAsia="zh-CN"/>
        </w:rPr>
        <w:t xml:space="preserve"> from RSM shopping malls. The move was aimed at promoting agile and nimble innovators within a large organization. </w:t>
      </w:r>
    </w:p>
    <w:p w:rsidR="00500131" w:rsidRPr="00F90D5D" w:rsidRDefault="00500131" w:rsidP="00500131">
      <w:pPr>
        <w:pStyle w:val="BodyTextMain"/>
        <w:rPr>
          <w:rFonts w:eastAsia="Calibri"/>
          <w:lang w:val="en-GB" w:eastAsia="zh-CN"/>
        </w:rPr>
      </w:pPr>
    </w:p>
    <w:p w:rsidR="00500131" w:rsidRPr="00F90D5D" w:rsidRDefault="00500131" w:rsidP="00500131">
      <w:pPr>
        <w:pStyle w:val="BodyTextMain"/>
        <w:rPr>
          <w:rFonts w:eastAsia="Calibri"/>
          <w:lang w:val="en-GB" w:eastAsia="zh-CN"/>
        </w:rPr>
      </w:pPr>
      <w:r w:rsidRPr="00F90D5D">
        <w:rPr>
          <w:rFonts w:eastAsia="Calibri"/>
          <w:lang w:val="en-GB" w:eastAsia="zh-CN"/>
        </w:rPr>
        <w:t>In addition, RSM was also expanding into bulk procurement services</w:t>
      </w:r>
      <w:r>
        <w:rPr>
          <w:rFonts w:eastAsia="Calibri"/>
          <w:lang w:val="en-GB" w:eastAsia="zh-CN"/>
        </w:rPr>
        <w:t>,</w:t>
      </w:r>
      <w:r w:rsidRPr="00F90D5D">
        <w:rPr>
          <w:rFonts w:eastAsia="Calibri"/>
          <w:lang w:val="en-GB" w:eastAsia="zh-CN"/>
        </w:rPr>
        <w:t xml:space="preserve"> connecting home improvement and </w:t>
      </w:r>
      <w:r>
        <w:rPr>
          <w:rFonts w:eastAsia="Calibri"/>
          <w:lang w:val="en-GB" w:eastAsia="zh-CN"/>
        </w:rPr>
        <w:t xml:space="preserve">home </w:t>
      </w:r>
      <w:r w:rsidRPr="00F90D5D">
        <w:rPr>
          <w:rFonts w:eastAsia="Calibri"/>
          <w:lang w:val="en-GB" w:eastAsia="zh-CN"/>
        </w:rPr>
        <w:t xml:space="preserve">furnishings suppliers and vendors with construction contractors and real estate developers. It was focusing on small- to mid-sized developers who did not have the scale to set up their own centralized procurement. </w:t>
      </w:r>
    </w:p>
    <w:p w:rsidR="00500131" w:rsidRPr="00F90D5D" w:rsidRDefault="00500131" w:rsidP="00500131">
      <w:pPr>
        <w:pStyle w:val="BodyTextMain"/>
        <w:rPr>
          <w:rFonts w:eastAsia="Calibri"/>
          <w:lang w:val="en-GB" w:eastAsia="zh-CN"/>
        </w:rPr>
      </w:pPr>
    </w:p>
    <w:p w:rsidR="00500131" w:rsidRPr="00F90D5D" w:rsidRDefault="00500131" w:rsidP="00500131">
      <w:pPr>
        <w:pStyle w:val="BodyTextMain"/>
        <w:rPr>
          <w:lang w:val="en-GB"/>
        </w:rPr>
      </w:pPr>
      <w:r w:rsidRPr="00F90D5D">
        <w:rPr>
          <w:rFonts w:eastAsia="Calibri"/>
          <w:bCs/>
          <w:lang w:val="en-GB" w:eastAsia="zh-CN"/>
        </w:rPr>
        <w:lastRenderedPageBreak/>
        <w:t>RSM</w:t>
      </w:r>
      <w:r w:rsidRPr="00F90D5D">
        <w:rPr>
          <w:rFonts w:eastAsiaTheme="minorEastAsia" w:hint="eastAsia"/>
          <w:bCs/>
          <w:lang w:val="en-GB" w:eastAsia="zh-CN"/>
        </w:rPr>
        <w:t xml:space="preserve"> </w:t>
      </w:r>
      <w:r w:rsidRPr="00F90D5D">
        <w:rPr>
          <w:rFonts w:eastAsia="Calibri"/>
          <w:lang w:val="en-GB" w:eastAsia="zh-CN"/>
        </w:rPr>
        <w:t>was the first in the home improvement and furnishings retail industry in China to implement a comprehensive enterprise resource planning system</w:t>
      </w:r>
      <w:r>
        <w:rPr>
          <w:rFonts w:eastAsia="Calibri"/>
          <w:lang w:val="en-GB" w:eastAsia="zh-CN"/>
        </w:rPr>
        <w:t>, which was</w:t>
      </w:r>
      <w:r w:rsidRPr="00F90D5D">
        <w:rPr>
          <w:rFonts w:eastAsia="Calibri"/>
          <w:lang w:val="en-GB" w:eastAsia="zh-CN"/>
        </w:rPr>
        <w:t xml:space="preserve"> known internally as “Star Cloud.” It had been rolled out across the group at a cost of </w:t>
      </w:r>
      <w:r>
        <w:rPr>
          <w:rFonts w:eastAsia="Calibri"/>
          <w:lang w:val="en-GB" w:eastAsia="zh-CN"/>
        </w:rPr>
        <w:t>¥</w:t>
      </w:r>
      <w:r w:rsidRPr="00F90D5D">
        <w:rPr>
          <w:rFonts w:eastAsia="Calibri"/>
          <w:lang w:val="en-GB" w:eastAsia="zh-CN"/>
        </w:rPr>
        <w:t>80 million. Star Cloud was serving two objectives</w:t>
      </w:r>
      <w:r>
        <w:rPr>
          <w:rFonts w:eastAsia="Calibri"/>
          <w:lang w:val="en-GB" w:eastAsia="zh-CN"/>
        </w:rPr>
        <w:t>:</w:t>
      </w:r>
      <w:r w:rsidRPr="00F90D5D">
        <w:rPr>
          <w:rFonts w:eastAsia="Calibri"/>
          <w:lang w:val="en-GB" w:eastAsia="zh-CN"/>
        </w:rPr>
        <w:t xml:space="preserve"> it enhanced operational management, particularly with regard to inventory, and it helped commercialize the data collected through its system to better </w:t>
      </w:r>
      <w:proofErr w:type="spellStart"/>
      <w:r w:rsidRPr="00F90D5D">
        <w:rPr>
          <w:rFonts w:eastAsia="Calibri"/>
          <w:lang w:val="en-GB" w:eastAsia="zh-CN"/>
        </w:rPr>
        <w:t>analyze</w:t>
      </w:r>
      <w:proofErr w:type="spellEnd"/>
      <w:r w:rsidRPr="00F90D5D">
        <w:rPr>
          <w:rFonts w:eastAsia="Calibri"/>
          <w:lang w:val="en-GB" w:eastAsia="zh-CN"/>
        </w:rPr>
        <w:t xml:space="preserve"> consumer preferences. </w:t>
      </w:r>
      <w:r w:rsidRPr="00F90D5D">
        <w:rPr>
          <w:lang w:val="en-GB"/>
        </w:rPr>
        <w:t xml:space="preserve">Said </w:t>
      </w:r>
      <w:proofErr w:type="spellStart"/>
      <w:r w:rsidRPr="00F90D5D">
        <w:rPr>
          <w:lang w:val="en-GB"/>
        </w:rPr>
        <w:t>CheChe</w:t>
      </w:r>
      <w:proofErr w:type="spellEnd"/>
      <w:r w:rsidRPr="00F90D5D">
        <w:rPr>
          <w:lang w:val="en-GB"/>
        </w:rPr>
        <w:t>:</w:t>
      </w:r>
    </w:p>
    <w:p w:rsidR="00500131" w:rsidRPr="00F90D5D" w:rsidRDefault="00500131" w:rsidP="00500131">
      <w:pPr>
        <w:pStyle w:val="BodyTextMain"/>
        <w:rPr>
          <w:lang w:val="en-GB"/>
        </w:rPr>
      </w:pPr>
    </w:p>
    <w:p w:rsidR="00500131" w:rsidRPr="00F90D5D" w:rsidRDefault="00500131" w:rsidP="00500131">
      <w:pPr>
        <w:pStyle w:val="BodyTextMain"/>
        <w:ind w:left="720"/>
        <w:rPr>
          <w:lang w:val="en-GB"/>
        </w:rPr>
      </w:pPr>
      <w:r w:rsidRPr="00F90D5D">
        <w:rPr>
          <w:lang w:val="en-GB"/>
        </w:rPr>
        <w:t xml:space="preserve">The home improvement and furnishings industry is characterized by product offerings where physical touch remains a valued aspect of the purchase decision. Hence, an online strategy will be successful only when combined with a physical mall network. </w:t>
      </w:r>
      <w:r>
        <w:rPr>
          <w:lang w:val="en-GB"/>
        </w:rPr>
        <w:t>The s</w:t>
      </w:r>
      <w:r w:rsidRPr="00F90D5D">
        <w:rPr>
          <w:lang w:val="en-GB"/>
        </w:rPr>
        <w:t>hopping experience is an integral part of our brick</w:t>
      </w:r>
      <w:r>
        <w:rPr>
          <w:lang w:val="en-GB"/>
        </w:rPr>
        <w:t>-</w:t>
      </w:r>
      <w:r w:rsidRPr="00F90D5D">
        <w:rPr>
          <w:lang w:val="en-GB"/>
        </w:rPr>
        <w:t>and</w:t>
      </w:r>
      <w:r>
        <w:rPr>
          <w:lang w:val="en-GB"/>
        </w:rPr>
        <w:t>-</w:t>
      </w:r>
      <w:r w:rsidRPr="00F90D5D">
        <w:rPr>
          <w:lang w:val="en-GB"/>
        </w:rPr>
        <w:t xml:space="preserve">mortar stores. Our online platform will be designed around </w:t>
      </w:r>
      <w:r>
        <w:rPr>
          <w:lang w:val="en-GB"/>
        </w:rPr>
        <w:t xml:space="preserve">the </w:t>
      </w:r>
      <w:r w:rsidRPr="00F90D5D">
        <w:rPr>
          <w:lang w:val="en-GB"/>
        </w:rPr>
        <w:t>customer experience and our strategy is to leverage our shopping mall network to offer a synchronized shopping experience for our consumers.</w:t>
      </w:r>
    </w:p>
    <w:p w:rsidR="00500131" w:rsidRPr="00F90D5D" w:rsidRDefault="00500131" w:rsidP="00500131">
      <w:pPr>
        <w:pStyle w:val="BodyTextMain"/>
        <w:rPr>
          <w:lang w:val="en-GB"/>
        </w:rPr>
      </w:pPr>
    </w:p>
    <w:p w:rsidR="00500131" w:rsidRPr="00F90D5D" w:rsidRDefault="00500131" w:rsidP="00500131">
      <w:pPr>
        <w:pStyle w:val="BodyTextMain"/>
        <w:rPr>
          <w:lang w:val="en-GB"/>
        </w:rPr>
      </w:pPr>
    </w:p>
    <w:p w:rsidR="00500131" w:rsidRPr="00F90D5D" w:rsidRDefault="00500131" w:rsidP="00500131">
      <w:pPr>
        <w:pStyle w:val="Casehead1"/>
        <w:rPr>
          <w:lang w:val="en-GB"/>
        </w:rPr>
      </w:pPr>
      <w:r>
        <w:rPr>
          <w:lang w:val="en-GB"/>
        </w:rPr>
        <w:t xml:space="preserve">THE </w:t>
      </w:r>
      <w:r w:rsidRPr="00F90D5D">
        <w:rPr>
          <w:lang w:val="en-GB"/>
        </w:rPr>
        <w:t>WAY FORWARD</w:t>
      </w:r>
    </w:p>
    <w:p w:rsidR="00500131" w:rsidRPr="00F90D5D" w:rsidRDefault="00500131" w:rsidP="00500131">
      <w:pPr>
        <w:pStyle w:val="BodyTextMain"/>
        <w:rPr>
          <w:lang w:val="en-GB"/>
        </w:rPr>
      </w:pPr>
    </w:p>
    <w:p w:rsidR="00500131" w:rsidRPr="00F90D5D" w:rsidRDefault="00500131" w:rsidP="00500131">
      <w:pPr>
        <w:pStyle w:val="BodyTextMain"/>
        <w:rPr>
          <w:lang w:val="en-GB"/>
        </w:rPr>
      </w:pPr>
      <w:r>
        <w:rPr>
          <w:lang w:val="en-GB"/>
        </w:rPr>
        <w:t>RSM’s</w:t>
      </w:r>
      <w:r w:rsidRPr="00F90D5D">
        <w:rPr>
          <w:lang w:val="en-GB"/>
        </w:rPr>
        <w:t xml:space="preserve"> 1001 Strategy had two components</w:t>
      </w:r>
      <w:r>
        <w:rPr>
          <w:lang w:val="en-GB"/>
        </w:rPr>
        <w:t>:</w:t>
      </w:r>
      <w:r w:rsidRPr="00F90D5D">
        <w:rPr>
          <w:lang w:val="en-GB"/>
        </w:rPr>
        <w:t xml:space="preserve"> building </w:t>
      </w:r>
      <w:r w:rsidRPr="00F90D5D">
        <w:rPr>
          <w:rFonts w:eastAsia="SimSun" w:hint="eastAsia"/>
          <w:lang w:val="en-GB" w:eastAsia="zh-CN"/>
        </w:rPr>
        <w:t>1</w:t>
      </w:r>
      <w:r w:rsidRPr="00F90D5D">
        <w:rPr>
          <w:rFonts w:eastAsiaTheme="minorEastAsia" w:hint="eastAsia"/>
          <w:lang w:val="en-GB" w:eastAsia="zh-CN"/>
        </w:rPr>
        <w:t>,</w:t>
      </w:r>
      <w:r w:rsidRPr="00F90D5D">
        <w:rPr>
          <w:rFonts w:eastAsia="SimSun" w:hint="eastAsia"/>
          <w:lang w:val="en-GB" w:eastAsia="zh-CN"/>
        </w:rPr>
        <w:t>000</w:t>
      </w:r>
      <w:r w:rsidRPr="00F90D5D">
        <w:rPr>
          <w:rFonts w:eastAsiaTheme="minorEastAsia" w:hint="eastAsia"/>
          <w:lang w:val="en-GB" w:eastAsia="zh-CN"/>
        </w:rPr>
        <w:t xml:space="preserve"> </w:t>
      </w:r>
      <w:r w:rsidRPr="00F90D5D">
        <w:rPr>
          <w:rFonts w:eastAsia="SimSun" w:hint="eastAsia"/>
          <w:lang w:val="en-GB" w:eastAsia="zh-CN"/>
        </w:rPr>
        <w:t>malls</w:t>
      </w:r>
      <w:r w:rsidRPr="00F90D5D">
        <w:rPr>
          <w:rFonts w:eastAsiaTheme="minorEastAsia" w:hint="eastAsia"/>
          <w:lang w:val="en-GB" w:eastAsia="zh-CN"/>
        </w:rPr>
        <w:t xml:space="preserve"> </w:t>
      </w:r>
      <w:r w:rsidRPr="00F90D5D">
        <w:rPr>
          <w:rFonts w:eastAsia="SimSun" w:hint="eastAsia"/>
          <w:lang w:val="en-GB" w:eastAsia="zh-CN"/>
        </w:rPr>
        <w:t xml:space="preserve">as </w:t>
      </w:r>
      <w:r w:rsidRPr="00F90D5D">
        <w:rPr>
          <w:lang w:val="en-GB"/>
        </w:rPr>
        <w:t>physical</w:t>
      </w:r>
      <w:r w:rsidRPr="00F90D5D">
        <w:rPr>
          <w:rFonts w:eastAsiaTheme="minorEastAsia" w:hint="eastAsia"/>
          <w:lang w:val="en-GB" w:eastAsia="zh-CN"/>
        </w:rPr>
        <w:t xml:space="preserve"> </w:t>
      </w:r>
      <w:r w:rsidRPr="00F90D5D">
        <w:rPr>
          <w:rFonts w:eastAsia="SimSun" w:hint="eastAsia"/>
          <w:lang w:val="en-GB" w:eastAsia="zh-CN"/>
        </w:rPr>
        <w:t>infrastructure</w:t>
      </w:r>
      <w:r w:rsidRPr="00F90D5D">
        <w:rPr>
          <w:lang w:val="en-GB"/>
        </w:rPr>
        <w:t xml:space="preserve"> and building </w:t>
      </w:r>
      <w:r w:rsidRPr="00F90D5D">
        <w:rPr>
          <w:rFonts w:eastAsia="SimSun" w:hint="eastAsia"/>
          <w:lang w:val="en-GB" w:eastAsia="zh-CN"/>
        </w:rPr>
        <w:t>one Internet</w:t>
      </w:r>
      <w:r w:rsidRPr="00F90D5D">
        <w:rPr>
          <w:lang w:val="en-GB"/>
        </w:rPr>
        <w:t xml:space="preserve"> platform.</w:t>
      </w:r>
    </w:p>
    <w:p w:rsidR="00500131" w:rsidRPr="00F90D5D" w:rsidRDefault="00500131" w:rsidP="00500131">
      <w:pPr>
        <w:pStyle w:val="BodyTextMain"/>
        <w:rPr>
          <w:lang w:val="en-GB"/>
        </w:rPr>
      </w:pPr>
    </w:p>
    <w:p w:rsidR="00500131" w:rsidRPr="00F90D5D" w:rsidRDefault="00500131" w:rsidP="00500131">
      <w:pPr>
        <w:pStyle w:val="BodyTextMain"/>
        <w:rPr>
          <w:rFonts w:eastAsiaTheme="minorEastAsia"/>
          <w:lang w:val="en-GB" w:eastAsia="zh-CN"/>
        </w:rPr>
      </w:pPr>
      <w:r w:rsidRPr="00F90D5D">
        <w:rPr>
          <w:lang w:val="en-GB"/>
        </w:rPr>
        <w:t xml:space="preserve">On the physical front, RSM had shown evidence that it could deliver. Having already built a total of </w:t>
      </w:r>
      <w:r w:rsidRPr="00F90D5D">
        <w:rPr>
          <w:rFonts w:eastAsiaTheme="minorEastAsia" w:hint="eastAsia"/>
          <w:lang w:val="en-GB" w:eastAsia="zh-CN"/>
        </w:rPr>
        <w:t>181</w:t>
      </w:r>
      <w:r w:rsidRPr="00F90D5D">
        <w:rPr>
          <w:lang w:val="en-GB"/>
        </w:rPr>
        <w:t xml:space="preserve"> malls by </w:t>
      </w:r>
      <w:r w:rsidRPr="00F90D5D">
        <w:rPr>
          <w:rFonts w:eastAsiaTheme="minorEastAsia" w:hint="eastAsia"/>
          <w:lang w:val="en-GB" w:eastAsia="zh-CN"/>
        </w:rPr>
        <w:t>mid-2016</w:t>
      </w:r>
      <w:r w:rsidRPr="00F90D5D">
        <w:rPr>
          <w:lang w:val="en-GB"/>
        </w:rPr>
        <w:t xml:space="preserve">, </w:t>
      </w:r>
      <w:r w:rsidRPr="00F90D5D">
        <w:rPr>
          <w:rFonts w:eastAsiaTheme="minorEastAsia" w:hint="eastAsia"/>
          <w:lang w:val="en-GB" w:eastAsia="zh-CN"/>
        </w:rPr>
        <w:t xml:space="preserve">RSM opened </w:t>
      </w:r>
      <w:r>
        <w:rPr>
          <w:rFonts w:eastAsiaTheme="minorEastAsia"/>
          <w:lang w:val="en-GB" w:eastAsia="zh-CN"/>
        </w:rPr>
        <w:t xml:space="preserve">its </w:t>
      </w:r>
      <w:r w:rsidRPr="00F90D5D">
        <w:rPr>
          <w:rFonts w:eastAsiaTheme="minorEastAsia" w:hint="eastAsia"/>
          <w:lang w:val="en-GB" w:eastAsia="zh-CN"/>
        </w:rPr>
        <w:t>200th mall at the end of 2016.</w:t>
      </w:r>
      <w:r>
        <w:rPr>
          <w:rFonts w:eastAsiaTheme="minorEastAsia"/>
          <w:lang w:val="en-GB" w:eastAsia="zh-CN"/>
        </w:rPr>
        <w:t xml:space="preserve"> </w:t>
      </w:r>
      <w:r>
        <w:rPr>
          <w:lang w:val="en-GB"/>
        </w:rPr>
        <w:t>T</w:t>
      </w:r>
      <w:r w:rsidRPr="00F90D5D">
        <w:rPr>
          <w:lang w:val="en-GB"/>
        </w:rPr>
        <w:t xml:space="preserve">he company had </w:t>
      </w:r>
      <w:r>
        <w:rPr>
          <w:lang w:val="en-GB"/>
        </w:rPr>
        <w:t xml:space="preserve">then </w:t>
      </w:r>
      <w:r w:rsidRPr="00F90D5D">
        <w:rPr>
          <w:lang w:val="en-GB"/>
        </w:rPr>
        <w:t xml:space="preserve">set a </w:t>
      </w:r>
      <w:r w:rsidRPr="00F90D5D">
        <w:rPr>
          <w:rFonts w:eastAsia="SimSun" w:hint="eastAsia"/>
          <w:lang w:val="en-GB" w:eastAsia="zh-CN"/>
        </w:rPr>
        <w:t xml:space="preserve">new </w:t>
      </w:r>
      <w:r w:rsidRPr="00F90D5D">
        <w:rPr>
          <w:lang w:val="en-GB"/>
        </w:rPr>
        <w:t>target of building</w:t>
      </w:r>
      <w:r w:rsidRPr="00F90D5D">
        <w:rPr>
          <w:rFonts w:eastAsiaTheme="minorEastAsia" w:hint="eastAsia"/>
          <w:lang w:val="en-GB" w:eastAsia="zh-CN"/>
        </w:rPr>
        <w:t xml:space="preserve"> </w:t>
      </w:r>
      <w:r w:rsidRPr="00F90D5D">
        <w:rPr>
          <w:rFonts w:eastAsia="SimSun" w:hint="eastAsia"/>
          <w:lang w:val="en-GB" w:eastAsia="zh-CN"/>
        </w:rPr>
        <w:t>1</w:t>
      </w:r>
      <w:r w:rsidRPr="00F90D5D">
        <w:rPr>
          <w:rFonts w:eastAsiaTheme="minorEastAsia" w:hint="eastAsia"/>
          <w:lang w:val="en-GB" w:eastAsia="zh-CN"/>
        </w:rPr>
        <w:t>,</w:t>
      </w:r>
      <w:r w:rsidRPr="00F90D5D">
        <w:rPr>
          <w:rFonts w:eastAsia="SimSun" w:hint="eastAsia"/>
          <w:lang w:val="en-GB" w:eastAsia="zh-CN"/>
        </w:rPr>
        <w:t>000</w:t>
      </w:r>
      <w:r w:rsidRPr="00F90D5D">
        <w:rPr>
          <w:lang w:val="en-GB"/>
        </w:rPr>
        <w:t xml:space="preserve"> malls.</w:t>
      </w:r>
    </w:p>
    <w:p w:rsidR="00500131" w:rsidRPr="00F90D5D" w:rsidRDefault="00500131" w:rsidP="00500131">
      <w:pPr>
        <w:pStyle w:val="BodyTextMain"/>
        <w:rPr>
          <w:rFonts w:eastAsiaTheme="minorEastAsia"/>
          <w:lang w:val="en-GB" w:eastAsia="zh-CN"/>
        </w:rPr>
      </w:pPr>
    </w:p>
    <w:p w:rsidR="00500131" w:rsidRPr="00F90D5D" w:rsidRDefault="00500131" w:rsidP="00500131">
      <w:pPr>
        <w:pStyle w:val="BodyTextMain"/>
        <w:rPr>
          <w:rFonts w:eastAsia="SimSun"/>
          <w:lang w:val="en-GB" w:eastAsia="zh-CN"/>
        </w:rPr>
      </w:pPr>
      <w:r w:rsidRPr="00F90D5D">
        <w:rPr>
          <w:lang w:val="en-GB"/>
        </w:rPr>
        <w:t>The n</w:t>
      </w:r>
      <w:r w:rsidRPr="00F90D5D">
        <w:rPr>
          <w:rFonts w:eastAsia="SimSun" w:hint="eastAsia"/>
          <w:lang w:val="en-GB" w:eastAsia="zh-CN"/>
        </w:rPr>
        <w:t>ew</w:t>
      </w:r>
      <w:r w:rsidRPr="00F90D5D">
        <w:rPr>
          <w:rFonts w:eastAsiaTheme="minorEastAsia" w:hint="eastAsia"/>
          <w:lang w:val="en-GB" w:eastAsia="zh-CN"/>
        </w:rPr>
        <w:t xml:space="preserve"> </w:t>
      </w:r>
      <w:r w:rsidRPr="00F90D5D">
        <w:rPr>
          <w:rFonts w:eastAsia="SimSun" w:hint="eastAsia"/>
          <w:lang w:val="en-GB" w:eastAsia="zh-CN"/>
        </w:rPr>
        <w:t>malls</w:t>
      </w:r>
      <w:r w:rsidRPr="00F90D5D">
        <w:rPr>
          <w:rFonts w:eastAsiaTheme="minorEastAsia" w:hint="eastAsia"/>
          <w:lang w:val="en-GB" w:eastAsia="zh-CN"/>
        </w:rPr>
        <w:t xml:space="preserve"> </w:t>
      </w:r>
      <w:r w:rsidRPr="00F90D5D">
        <w:rPr>
          <w:rFonts w:eastAsia="SimSun"/>
          <w:lang w:val="en-GB" w:eastAsia="zh-CN"/>
        </w:rPr>
        <w:t xml:space="preserve">would </w:t>
      </w:r>
      <w:r w:rsidRPr="00F90D5D">
        <w:rPr>
          <w:rFonts w:eastAsia="SimSun" w:hint="eastAsia"/>
          <w:lang w:val="en-GB" w:eastAsia="zh-CN"/>
        </w:rPr>
        <w:t xml:space="preserve">still </w:t>
      </w:r>
      <w:r w:rsidRPr="00F90D5D">
        <w:rPr>
          <w:rFonts w:eastAsia="SimSun"/>
          <w:lang w:val="en-GB" w:eastAsia="zh-CN"/>
        </w:rPr>
        <w:t xml:space="preserve">be part of either </w:t>
      </w:r>
      <w:r w:rsidRPr="00F90D5D">
        <w:rPr>
          <w:rFonts w:eastAsia="SimSun" w:hint="eastAsia"/>
          <w:lang w:val="en-GB" w:eastAsia="zh-CN"/>
        </w:rPr>
        <w:t>p</w:t>
      </w:r>
      <w:r w:rsidRPr="00F90D5D">
        <w:rPr>
          <w:rFonts w:eastAsia="SimSun"/>
          <w:lang w:val="en-GB" w:eastAsia="zh-CN"/>
        </w:rPr>
        <w:t xml:space="preserve">ortfolio </w:t>
      </w:r>
      <w:r w:rsidRPr="00F90D5D">
        <w:rPr>
          <w:rFonts w:eastAsia="SimSun" w:hint="eastAsia"/>
          <w:lang w:val="en-GB" w:eastAsia="zh-CN"/>
        </w:rPr>
        <w:t>s</w:t>
      </w:r>
      <w:r w:rsidRPr="00F90D5D">
        <w:rPr>
          <w:rFonts w:eastAsia="SimSun"/>
          <w:lang w:val="en-GB" w:eastAsia="zh-CN"/>
        </w:rPr>
        <w:t xml:space="preserve">hopping </w:t>
      </w:r>
      <w:r w:rsidRPr="00F90D5D">
        <w:rPr>
          <w:rFonts w:eastAsia="SimSun" w:hint="eastAsia"/>
          <w:lang w:val="en-GB" w:eastAsia="zh-CN"/>
        </w:rPr>
        <w:t>m</w:t>
      </w:r>
      <w:r w:rsidRPr="00F90D5D">
        <w:rPr>
          <w:rFonts w:eastAsia="SimSun"/>
          <w:lang w:val="en-GB" w:eastAsia="zh-CN"/>
        </w:rPr>
        <w:t>alls</w:t>
      </w:r>
      <w:r w:rsidRPr="00F90D5D">
        <w:rPr>
          <w:rFonts w:eastAsiaTheme="minorEastAsia" w:hint="eastAsia"/>
          <w:lang w:val="en-GB" w:eastAsia="zh-CN"/>
        </w:rPr>
        <w:t xml:space="preserve"> </w:t>
      </w:r>
      <w:r w:rsidRPr="00F90D5D">
        <w:rPr>
          <w:rFonts w:eastAsia="SimSun"/>
          <w:lang w:val="en-GB" w:eastAsia="zh-CN"/>
        </w:rPr>
        <w:t xml:space="preserve">or </w:t>
      </w:r>
      <w:r w:rsidRPr="00F90D5D">
        <w:rPr>
          <w:rFonts w:eastAsia="SimSun" w:hint="eastAsia"/>
          <w:lang w:val="en-GB" w:eastAsia="zh-CN"/>
        </w:rPr>
        <w:t>m</w:t>
      </w:r>
      <w:r w:rsidRPr="00F90D5D">
        <w:rPr>
          <w:rFonts w:eastAsia="SimSun"/>
          <w:lang w:val="en-GB" w:eastAsia="zh-CN"/>
        </w:rPr>
        <w:t xml:space="preserve">anaged shopping </w:t>
      </w:r>
      <w:r w:rsidRPr="00F90D5D">
        <w:rPr>
          <w:rFonts w:eastAsia="SimSun" w:hint="eastAsia"/>
          <w:lang w:val="en-GB" w:eastAsia="zh-CN"/>
        </w:rPr>
        <w:t>m</w:t>
      </w:r>
      <w:r w:rsidRPr="00F90D5D">
        <w:rPr>
          <w:rFonts w:eastAsia="SimSun"/>
          <w:lang w:val="en-GB" w:eastAsia="zh-CN"/>
        </w:rPr>
        <w:t xml:space="preserve">alls. They </w:t>
      </w:r>
      <w:r w:rsidRPr="00F90D5D">
        <w:rPr>
          <w:rFonts w:eastAsia="SimSun" w:hint="eastAsia"/>
          <w:lang w:val="en-GB" w:eastAsia="zh-CN"/>
        </w:rPr>
        <w:t>would be designed to</w:t>
      </w:r>
      <w:r w:rsidRPr="00F90D5D">
        <w:rPr>
          <w:rFonts w:eastAsiaTheme="minorEastAsia" w:hint="eastAsia"/>
          <w:lang w:val="en-GB" w:eastAsia="zh-CN"/>
        </w:rPr>
        <w:t xml:space="preserve"> </w:t>
      </w:r>
      <w:r w:rsidRPr="00F90D5D">
        <w:rPr>
          <w:rFonts w:eastAsia="SimSun" w:hint="eastAsia"/>
          <w:lang w:val="en-GB" w:eastAsia="zh-CN"/>
        </w:rPr>
        <w:t>upgrade from home malls to family malls, permeating</w:t>
      </w:r>
      <w:r w:rsidRPr="00F90D5D">
        <w:rPr>
          <w:rFonts w:eastAsiaTheme="minorEastAsia" w:hint="eastAsia"/>
          <w:lang w:val="en-GB" w:eastAsia="zh-CN"/>
        </w:rPr>
        <w:t xml:space="preserve"> </w:t>
      </w:r>
      <w:r w:rsidRPr="00F90D5D">
        <w:rPr>
          <w:rFonts w:eastAsia="SimSun"/>
          <w:lang w:val="en-GB" w:eastAsia="zh-CN"/>
        </w:rPr>
        <w:t xml:space="preserve">not only </w:t>
      </w:r>
      <w:r w:rsidRPr="00F90D5D">
        <w:rPr>
          <w:rFonts w:eastAsia="SimSun" w:hint="eastAsia"/>
          <w:lang w:val="en-GB" w:eastAsia="zh-CN"/>
        </w:rPr>
        <w:t xml:space="preserve">Tier </w:t>
      </w:r>
      <w:r>
        <w:rPr>
          <w:rFonts w:eastAsia="SimSun"/>
          <w:lang w:val="en-GB" w:eastAsia="zh-CN"/>
        </w:rPr>
        <w:t>3 and</w:t>
      </w:r>
      <w:r w:rsidRPr="00F90D5D">
        <w:rPr>
          <w:rFonts w:eastAsia="SimSun" w:hint="eastAsia"/>
          <w:lang w:val="en-GB" w:eastAsia="zh-CN"/>
        </w:rPr>
        <w:t xml:space="preserve"> Tier </w:t>
      </w:r>
      <w:r>
        <w:rPr>
          <w:rFonts w:eastAsia="SimSun"/>
          <w:lang w:val="en-GB" w:eastAsia="zh-CN"/>
        </w:rPr>
        <w:t>4</w:t>
      </w:r>
      <w:r w:rsidRPr="00F90D5D">
        <w:rPr>
          <w:rFonts w:eastAsia="SimSun" w:hint="eastAsia"/>
          <w:lang w:val="en-GB" w:eastAsia="zh-CN"/>
        </w:rPr>
        <w:t xml:space="preserve"> cities </w:t>
      </w:r>
      <w:r w:rsidRPr="00F90D5D">
        <w:rPr>
          <w:rFonts w:eastAsia="SimSun"/>
          <w:lang w:val="en-GB" w:eastAsia="zh-CN"/>
        </w:rPr>
        <w:t xml:space="preserve">but also </w:t>
      </w:r>
      <w:r w:rsidRPr="00F90D5D">
        <w:rPr>
          <w:rFonts w:eastAsia="SimSun" w:hint="eastAsia"/>
          <w:lang w:val="en-GB" w:eastAsia="zh-CN"/>
        </w:rPr>
        <w:t xml:space="preserve">key counties from Tier </w:t>
      </w:r>
      <w:r>
        <w:rPr>
          <w:rFonts w:eastAsia="SimSun"/>
          <w:lang w:val="en-GB" w:eastAsia="zh-CN"/>
        </w:rPr>
        <w:t>1</w:t>
      </w:r>
      <w:r w:rsidRPr="00F90D5D">
        <w:rPr>
          <w:rFonts w:eastAsia="SimSun" w:hint="eastAsia"/>
          <w:lang w:val="en-GB" w:eastAsia="zh-CN"/>
        </w:rPr>
        <w:t xml:space="preserve"> and </w:t>
      </w:r>
      <w:r>
        <w:rPr>
          <w:rFonts w:eastAsia="SimSun"/>
          <w:lang w:val="en-GB" w:eastAsia="zh-CN"/>
        </w:rPr>
        <w:t xml:space="preserve">Tier 2 </w:t>
      </w:r>
      <w:r w:rsidRPr="00F90D5D">
        <w:rPr>
          <w:rFonts w:eastAsia="SimSun" w:hint="eastAsia"/>
          <w:lang w:val="en-GB" w:eastAsia="zh-CN"/>
        </w:rPr>
        <w:t xml:space="preserve">cities. </w:t>
      </w:r>
      <w:r>
        <w:rPr>
          <w:rFonts w:eastAsia="SimSun"/>
          <w:lang w:val="en-GB" w:eastAsia="zh-CN"/>
        </w:rPr>
        <w:t>The new malls</w:t>
      </w:r>
      <w:r w:rsidRPr="00F90D5D">
        <w:rPr>
          <w:rFonts w:eastAsiaTheme="minorEastAsia" w:hint="eastAsia"/>
          <w:lang w:val="en-GB" w:eastAsia="zh-CN"/>
        </w:rPr>
        <w:t xml:space="preserve"> </w:t>
      </w:r>
      <w:r w:rsidRPr="00F90D5D">
        <w:rPr>
          <w:rFonts w:eastAsia="SimSun"/>
          <w:lang w:val="en-GB" w:eastAsia="zh-CN"/>
        </w:rPr>
        <w:t xml:space="preserve">would be integrated into the local </w:t>
      </w:r>
      <w:r w:rsidRPr="00F90D5D">
        <w:rPr>
          <w:rFonts w:eastAsia="SimSun" w:hint="eastAsia"/>
          <w:lang w:val="en-GB" w:eastAsia="zh-CN"/>
        </w:rPr>
        <w:t>business</w:t>
      </w:r>
      <w:r w:rsidRPr="00F90D5D">
        <w:rPr>
          <w:rFonts w:eastAsiaTheme="minorEastAsia" w:hint="eastAsia"/>
          <w:lang w:val="en-GB" w:eastAsia="zh-CN"/>
        </w:rPr>
        <w:t xml:space="preserve"> </w:t>
      </w:r>
      <w:r w:rsidRPr="00F90D5D">
        <w:rPr>
          <w:rFonts w:eastAsia="SimSun" w:hint="eastAsia"/>
          <w:lang w:val="en-GB" w:eastAsia="zh-CN"/>
        </w:rPr>
        <w:t>community</w:t>
      </w:r>
      <w:r w:rsidRPr="00F90D5D">
        <w:rPr>
          <w:rFonts w:eastAsiaTheme="minorEastAsia" w:hint="eastAsia"/>
          <w:lang w:val="en-GB" w:eastAsia="zh-CN"/>
        </w:rPr>
        <w:t xml:space="preserve"> </w:t>
      </w:r>
      <w:r w:rsidRPr="00F90D5D">
        <w:rPr>
          <w:rFonts w:eastAsia="SimSun" w:hint="eastAsia"/>
          <w:lang w:val="en-GB" w:eastAsia="zh-CN"/>
        </w:rPr>
        <w:t xml:space="preserve">infrastructure and </w:t>
      </w:r>
      <w:r>
        <w:rPr>
          <w:rFonts w:eastAsia="SimSun"/>
          <w:lang w:val="en-GB" w:eastAsia="zh-CN"/>
        </w:rPr>
        <w:t xml:space="preserve">the </w:t>
      </w:r>
      <w:r w:rsidRPr="00F90D5D">
        <w:rPr>
          <w:rFonts w:eastAsia="SimSun" w:hint="eastAsia"/>
          <w:lang w:val="en-GB" w:eastAsia="zh-CN"/>
        </w:rPr>
        <w:t xml:space="preserve">public facilities </w:t>
      </w:r>
      <w:r w:rsidRPr="00F90D5D">
        <w:rPr>
          <w:rFonts w:eastAsia="SimSun"/>
          <w:lang w:val="en-GB" w:eastAsia="zh-CN"/>
        </w:rPr>
        <w:t xml:space="preserve">serving </w:t>
      </w:r>
      <w:r w:rsidRPr="00F90D5D">
        <w:rPr>
          <w:rFonts w:eastAsia="SimSun" w:hint="eastAsia"/>
          <w:lang w:val="en-GB" w:eastAsia="zh-CN"/>
        </w:rPr>
        <w:t>local residents and consumers.</w:t>
      </w:r>
    </w:p>
    <w:p w:rsidR="00500131" w:rsidRPr="00F90D5D" w:rsidRDefault="00500131" w:rsidP="00500131">
      <w:pPr>
        <w:pStyle w:val="BodyTextMain"/>
        <w:rPr>
          <w:rFonts w:eastAsiaTheme="minorEastAsia"/>
          <w:lang w:val="en-GB" w:eastAsia="zh-CN"/>
        </w:rPr>
      </w:pPr>
    </w:p>
    <w:p w:rsidR="00500131" w:rsidRPr="00F90D5D" w:rsidRDefault="00500131" w:rsidP="00500131">
      <w:pPr>
        <w:pStyle w:val="BodyTextMain"/>
        <w:rPr>
          <w:lang w:val="en-GB"/>
        </w:rPr>
      </w:pPr>
      <w:r w:rsidRPr="00F90D5D">
        <w:rPr>
          <w:lang w:val="en-GB"/>
        </w:rPr>
        <w:t>On the digital front, RSM had already designed a</w:t>
      </w:r>
      <w:r>
        <w:rPr>
          <w:lang w:val="en-GB"/>
        </w:rPr>
        <w:t xml:space="preserve"> mobile</w:t>
      </w:r>
      <w:r w:rsidRPr="00F90D5D">
        <w:rPr>
          <w:lang w:val="en-GB"/>
        </w:rPr>
        <w:t xml:space="preserve"> </w:t>
      </w:r>
      <w:r>
        <w:rPr>
          <w:lang w:val="en-GB"/>
        </w:rPr>
        <w:t>application (</w:t>
      </w:r>
      <w:r w:rsidRPr="00F90D5D">
        <w:rPr>
          <w:lang w:val="en-GB"/>
        </w:rPr>
        <w:t>app</w:t>
      </w:r>
      <w:r>
        <w:rPr>
          <w:lang w:val="en-GB"/>
        </w:rPr>
        <w:t>)</w:t>
      </w:r>
      <w:r w:rsidRPr="00F90D5D">
        <w:rPr>
          <w:lang w:val="en-GB"/>
        </w:rPr>
        <w:t xml:space="preserve"> for its malls in Shanghai</w:t>
      </w:r>
      <w:r>
        <w:rPr>
          <w:lang w:val="en-GB"/>
        </w:rPr>
        <w:t>,</w:t>
      </w:r>
      <w:r w:rsidRPr="00F90D5D">
        <w:rPr>
          <w:lang w:val="en-GB"/>
        </w:rPr>
        <w:t xml:space="preserve"> and a peer-to-peer platform for furniture buyers, commercial tenants</w:t>
      </w:r>
      <w:r>
        <w:rPr>
          <w:lang w:val="en-GB"/>
        </w:rPr>
        <w:t>,</w:t>
      </w:r>
      <w:r w:rsidRPr="00F90D5D">
        <w:rPr>
          <w:lang w:val="en-GB"/>
        </w:rPr>
        <w:t xml:space="preserve"> and factories partnered with the malls. The way ahead would involve replicating </w:t>
      </w:r>
      <w:r>
        <w:rPr>
          <w:lang w:val="en-GB"/>
        </w:rPr>
        <w:t>these offerings</w:t>
      </w:r>
      <w:r w:rsidRPr="00F90D5D">
        <w:rPr>
          <w:lang w:val="en-GB"/>
        </w:rPr>
        <w:t xml:space="preserve"> enterprise-wide. Lao Li</w:t>
      </w:r>
      <w:r>
        <w:rPr>
          <w:lang w:val="en-GB"/>
        </w:rPr>
        <w:t>, the company’s president,</w:t>
      </w:r>
      <w:r w:rsidRPr="00F90D5D">
        <w:rPr>
          <w:lang w:val="en-GB"/>
        </w:rPr>
        <w:t xml:space="preserve"> had outlined three 100</w:t>
      </w:r>
      <w:r>
        <w:rPr>
          <w:lang w:val="en-GB"/>
        </w:rPr>
        <w:t>-</w:t>
      </w:r>
      <w:r w:rsidRPr="00F90D5D">
        <w:rPr>
          <w:lang w:val="en-GB"/>
        </w:rPr>
        <w:t>day plans for implement</w:t>
      </w:r>
      <w:r>
        <w:rPr>
          <w:lang w:val="en-GB"/>
        </w:rPr>
        <w:t>ing</w:t>
      </w:r>
      <w:r w:rsidRPr="00F90D5D">
        <w:rPr>
          <w:lang w:val="en-GB"/>
        </w:rPr>
        <w:t xml:space="preserve"> the </w:t>
      </w:r>
      <w:proofErr w:type="spellStart"/>
      <w:r>
        <w:rPr>
          <w:lang w:val="en-GB"/>
        </w:rPr>
        <w:t>o</w:t>
      </w:r>
      <w:r w:rsidRPr="00F90D5D">
        <w:rPr>
          <w:lang w:val="en-GB"/>
        </w:rPr>
        <w:t>mni</w:t>
      </w:r>
      <w:proofErr w:type="spellEnd"/>
      <w:r w:rsidRPr="00F90D5D">
        <w:rPr>
          <w:lang w:val="en-GB"/>
        </w:rPr>
        <w:t xml:space="preserve">-channel strategy: launch the fundamental platform in the first 100 days; launch the full chain product in the second 100 days; and open for sharing and collaboration in the third 100 days. </w:t>
      </w:r>
    </w:p>
    <w:p w:rsidR="00500131" w:rsidRPr="00F90D5D" w:rsidRDefault="00500131" w:rsidP="00500131">
      <w:pPr>
        <w:pStyle w:val="BodyTextMain"/>
        <w:rPr>
          <w:lang w:val="en-GB"/>
        </w:rPr>
      </w:pPr>
    </w:p>
    <w:p w:rsidR="00500131" w:rsidRPr="00F90D5D" w:rsidRDefault="00500131" w:rsidP="00500131">
      <w:pPr>
        <w:pStyle w:val="BodyTextMain"/>
        <w:rPr>
          <w:lang w:val="en-GB"/>
        </w:rPr>
      </w:pPr>
      <w:r>
        <w:rPr>
          <w:lang w:val="en-GB"/>
        </w:rPr>
        <w:t xml:space="preserve">In </w:t>
      </w:r>
      <w:r w:rsidRPr="00F90D5D">
        <w:rPr>
          <w:lang w:val="en-GB"/>
        </w:rPr>
        <w:t>deploying the digital medium</w:t>
      </w:r>
      <w:r>
        <w:rPr>
          <w:lang w:val="en-GB"/>
        </w:rPr>
        <w:t>,</w:t>
      </w:r>
      <w:r w:rsidRPr="00F90D5D">
        <w:rPr>
          <w:lang w:val="en-GB"/>
        </w:rPr>
        <w:t xml:space="preserve"> </w:t>
      </w:r>
      <w:r>
        <w:rPr>
          <w:lang w:val="en-GB"/>
        </w:rPr>
        <w:t>Lao Li</w:t>
      </w:r>
      <w:r w:rsidRPr="00F90D5D">
        <w:rPr>
          <w:lang w:val="en-GB"/>
        </w:rPr>
        <w:t xml:space="preserve"> </w:t>
      </w:r>
      <w:r>
        <w:rPr>
          <w:lang w:val="en-GB"/>
        </w:rPr>
        <w:t>needed</w:t>
      </w:r>
      <w:r w:rsidRPr="00F90D5D">
        <w:rPr>
          <w:lang w:val="en-GB"/>
        </w:rPr>
        <w:t xml:space="preserve"> to manage the tension between the traditional brick</w:t>
      </w:r>
      <w:r>
        <w:rPr>
          <w:lang w:val="en-GB"/>
        </w:rPr>
        <w:t>-</w:t>
      </w:r>
      <w:r w:rsidRPr="00F90D5D">
        <w:rPr>
          <w:lang w:val="en-GB"/>
        </w:rPr>
        <w:t>and</w:t>
      </w:r>
      <w:r>
        <w:rPr>
          <w:lang w:val="en-GB"/>
        </w:rPr>
        <w:t>-</w:t>
      </w:r>
      <w:r w:rsidRPr="00F90D5D">
        <w:rPr>
          <w:lang w:val="en-GB"/>
        </w:rPr>
        <w:t>mortar model and the e-commerce model.</w:t>
      </w:r>
    </w:p>
    <w:p w:rsidR="00500131" w:rsidRPr="00F90D5D" w:rsidRDefault="00500131" w:rsidP="00500131">
      <w:pPr>
        <w:pStyle w:val="BodyTextMain"/>
        <w:rPr>
          <w:lang w:val="en-GB"/>
        </w:rPr>
      </w:pPr>
    </w:p>
    <w:p w:rsidR="00500131" w:rsidRPr="00F90D5D" w:rsidRDefault="00500131" w:rsidP="00500131">
      <w:pPr>
        <w:pStyle w:val="BodyTextMain"/>
        <w:rPr>
          <w:lang w:val="en-GB"/>
        </w:rPr>
      </w:pPr>
      <w:r w:rsidRPr="00F90D5D">
        <w:rPr>
          <w:lang w:val="en-GB"/>
        </w:rPr>
        <w:t xml:space="preserve">Executing the 1001 Strategy would also be an opportunity for RSM to take a fresh look at </w:t>
      </w:r>
      <w:r>
        <w:rPr>
          <w:lang w:val="en-GB"/>
        </w:rPr>
        <w:t xml:space="preserve">determining </w:t>
      </w:r>
      <w:r w:rsidRPr="00F90D5D">
        <w:rPr>
          <w:lang w:val="en-GB"/>
        </w:rPr>
        <w:t>its core competitiveness. Lao Li saw the emerging competitive advantage in terms of three components</w:t>
      </w:r>
      <w:r>
        <w:rPr>
          <w:lang w:val="en-GB"/>
        </w:rPr>
        <w:t>:</w:t>
      </w:r>
      <w:r w:rsidRPr="00F90D5D">
        <w:rPr>
          <w:lang w:val="en-GB"/>
        </w:rPr>
        <w:t xml:space="preserve"> RSM as a brand, RSM as a repository of </w:t>
      </w:r>
      <w:proofErr w:type="spellStart"/>
      <w:r>
        <w:rPr>
          <w:lang w:val="en-GB"/>
        </w:rPr>
        <w:t>o</w:t>
      </w:r>
      <w:r w:rsidRPr="00F90D5D">
        <w:rPr>
          <w:lang w:val="en-GB"/>
        </w:rPr>
        <w:t>mni</w:t>
      </w:r>
      <w:proofErr w:type="spellEnd"/>
      <w:r w:rsidRPr="00F90D5D">
        <w:rPr>
          <w:lang w:val="en-GB"/>
        </w:rPr>
        <w:t>-channel talent</w:t>
      </w:r>
      <w:r>
        <w:rPr>
          <w:lang w:val="en-GB"/>
        </w:rPr>
        <w:t>,</w:t>
      </w:r>
      <w:r w:rsidRPr="00F90D5D">
        <w:rPr>
          <w:lang w:val="en-GB"/>
        </w:rPr>
        <w:t xml:space="preserve"> and RSM as a digital enterprise. </w:t>
      </w:r>
    </w:p>
    <w:p w:rsidR="00500131" w:rsidRPr="00F90D5D" w:rsidRDefault="00500131" w:rsidP="00500131">
      <w:pPr>
        <w:pStyle w:val="BodyTextMain"/>
        <w:rPr>
          <w:lang w:val="en-GB"/>
        </w:rPr>
      </w:pPr>
    </w:p>
    <w:p w:rsidR="00500131" w:rsidRPr="00F90D5D" w:rsidRDefault="00500131" w:rsidP="00500131">
      <w:pPr>
        <w:pStyle w:val="BodyTextMain"/>
        <w:rPr>
          <w:lang w:val="en-GB"/>
        </w:rPr>
      </w:pPr>
      <w:r w:rsidRPr="00F90D5D">
        <w:rPr>
          <w:lang w:val="en-GB"/>
        </w:rPr>
        <w:t>Lao Li was keen that the user interface be easy and convenient to handle and that all the complexity should be limited to the back</w:t>
      </w:r>
      <w:r>
        <w:rPr>
          <w:lang w:val="en-GB"/>
        </w:rPr>
        <w:t xml:space="preserve"> </w:t>
      </w:r>
      <w:r w:rsidRPr="00F90D5D">
        <w:rPr>
          <w:lang w:val="en-GB"/>
        </w:rPr>
        <w:t xml:space="preserve">end. Simplicity should be the hallmark of </w:t>
      </w:r>
      <w:r>
        <w:rPr>
          <w:lang w:val="en-GB"/>
        </w:rPr>
        <w:t xml:space="preserve">the </w:t>
      </w:r>
      <w:r w:rsidRPr="00F90D5D">
        <w:rPr>
          <w:lang w:val="en-GB"/>
        </w:rPr>
        <w:t xml:space="preserve">1001 Strategy. He was keen on having no more than four layers of reporting relationships </w:t>
      </w:r>
      <w:r>
        <w:rPr>
          <w:lang w:val="en-GB"/>
        </w:rPr>
        <w:t xml:space="preserve">(i.e., </w:t>
      </w:r>
      <w:r w:rsidRPr="00F90D5D">
        <w:rPr>
          <w:lang w:val="en-GB"/>
        </w:rPr>
        <w:t xml:space="preserve">President → Person in charge of </w:t>
      </w:r>
      <w:r>
        <w:rPr>
          <w:lang w:val="en-GB"/>
        </w:rPr>
        <w:t>the business unit</w:t>
      </w:r>
      <w:r w:rsidRPr="00F90D5D">
        <w:rPr>
          <w:lang w:val="en-GB"/>
        </w:rPr>
        <w:t xml:space="preserve"> → Person in charge of department → Common employee</w:t>
      </w:r>
      <w:r>
        <w:rPr>
          <w:lang w:val="en-GB"/>
        </w:rPr>
        <w:t>)</w:t>
      </w:r>
      <w:r w:rsidRPr="00F90D5D">
        <w:rPr>
          <w:lang w:val="en-GB"/>
        </w:rPr>
        <w:t xml:space="preserve">. This </w:t>
      </w:r>
      <w:r>
        <w:rPr>
          <w:lang w:val="en-GB"/>
        </w:rPr>
        <w:t xml:space="preserve">reporting structure </w:t>
      </w:r>
      <w:r w:rsidRPr="00F90D5D">
        <w:rPr>
          <w:lang w:val="en-GB"/>
        </w:rPr>
        <w:t xml:space="preserve">was in contrast to </w:t>
      </w:r>
      <w:r>
        <w:rPr>
          <w:lang w:val="en-GB"/>
        </w:rPr>
        <w:t>the approximately</w:t>
      </w:r>
      <w:r w:rsidRPr="00F90D5D">
        <w:rPr>
          <w:lang w:val="en-GB"/>
        </w:rPr>
        <w:t xml:space="preserve"> 17</w:t>
      </w:r>
      <w:r>
        <w:rPr>
          <w:lang w:val="en-GB"/>
        </w:rPr>
        <w:t xml:space="preserve"> to </w:t>
      </w:r>
      <w:r w:rsidRPr="00F90D5D">
        <w:rPr>
          <w:lang w:val="en-GB"/>
        </w:rPr>
        <w:t xml:space="preserve">18 layers prevalent in traditional enterprises of the size of RSM. </w:t>
      </w:r>
    </w:p>
    <w:p w:rsidR="00500131" w:rsidRPr="00F90D5D" w:rsidRDefault="00500131" w:rsidP="00500131">
      <w:pPr>
        <w:pStyle w:val="BodyTextMain"/>
        <w:rPr>
          <w:lang w:val="en-GB"/>
        </w:rPr>
      </w:pPr>
    </w:p>
    <w:p w:rsidR="00500131" w:rsidRPr="00F90D5D" w:rsidRDefault="00500131" w:rsidP="00500131">
      <w:pPr>
        <w:pStyle w:val="BodyTextMain"/>
        <w:rPr>
          <w:lang w:val="en-GB"/>
        </w:rPr>
      </w:pPr>
    </w:p>
    <w:p w:rsidR="00500131" w:rsidRPr="00AC23FC" w:rsidRDefault="00500131" w:rsidP="00500131">
      <w:pPr>
        <w:pStyle w:val="StyleCasehead1Centered"/>
      </w:pPr>
      <w:r w:rsidRPr="00F90D5D">
        <w:rPr>
          <w:lang w:val="en-GB"/>
        </w:rPr>
        <w:br w:type="page"/>
      </w:r>
      <w:r w:rsidRPr="00AC23FC">
        <w:lastRenderedPageBreak/>
        <w:t>Exhibit 1: red star macalline group corporation ltd.’s home furnishings INDUSTRY VALUE CHAIN</w:t>
      </w:r>
    </w:p>
    <w:p w:rsidR="00500131" w:rsidRPr="00572DE9" w:rsidRDefault="00500131" w:rsidP="00500131">
      <w:pPr>
        <w:pStyle w:val="BodyTextMain"/>
      </w:pPr>
    </w:p>
    <w:p w:rsidR="00500131" w:rsidRPr="00F90D5D" w:rsidRDefault="00500131" w:rsidP="00500131">
      <w:pPr>
        <w:pStyle w:val="BodyTextMain"/>
        <w:jc w:val="center"/>
        <w:rPr>
          <w:lang w:val="en-GB"/>
        </w:rPr>
      </w:pPr>
      <w:r w:rsidRPr="00F90D5D">
        <w:rPr>
          <w:noProof/>
          <w:lang w:val="en-GB" w:eastAsia="en-GB"/>
        </w:rPr>
        <w:drawing>
          <wp:inline distT="0" distB="0" distL="0" distR="0" wp14:anchorId="3B7F4CC9" wp14:editId="1DB19190">
            <wp:extent cx="5943600" cy="418465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grayscl/>
                      <a:extLst>
                        <a:ext uri="{BEBA8EAE-BF5A-486C-A8C5-ECC9F3942E4B}">
                          <a14:imgProps xmlns:a14="http://schemas.microsoft.com/office/drawing/2010/main">
                            <a14:imgLayer r:embed="rId14">
                              <a14:imgEffect>
                                <a14:sharpenSoften amount="25000"/>
                              </a14:imgEffect>
                              <a14:imgEffect>
                                <a14:brightnessContrast contrast="20000"/>
                              </a14:imgEffect>
                            </a14:imgLayer>
                          </a14:imgProps>
                        </a:ext>
                      </a:extLst>
                    </a:blip>
                    <a:srcRect/>
                    <a:stretch>
                      <a:fillRect/>
                    </a:stretch>
                  </pic:blipFill>
                  <pic:spPr bwMode="auto">
                    <a:xfrm>
                      <a:off x="0" y="0"/>
                      <a:ext cx="5943600" cy="4184650"/>
                    </a:xfrm>
                    <a:prstGeom prst="rect">
                      <a:avLst/>
                    </a:prstGeom>
                    <a:noFill/>
                    <a:ln w="9525">
                      <a:noFill/>
                      <a:miter lim="800000"/>
                      <a:headEnd/>
                      <a:tailEnd/>
                    </a:ln>
                  </pic:spPr>
                </pic:pic>
              </a:graphicData>
            </a:graphic>
          </wp:inline>
        </w:drawing>
      </w:r>
    </w:p>
    <w:p w:rsidR="00500131" w:rsidRPr="00975229" w:rsidRDefault="00500131" w:rsidP="00500131">
      <w:pPr>
        <w:pStyle w:val="FootnoteText1"/>
        <w:rPr>
          <w:lang w:val="en-GB"/>
        </w:rPr>
      </w:pPr>
      <w:r w:rsidRPr="00F90D5D">
        <w:rPr>
          <w:lang w:val="en-GB"/>
        </w:rPr>
        <w:t xml:space="preserve">Source: </w:t>
      </w:r>
      <w:r>
        <w:rPr>
          <w:lang w:val="en-GB"/>
        </w:rPr>
        <w:t xml:space="preserve">Red Star </w:t>
      </w:r>
      <w:proofErr w:type="spellStart"/>
      <w:r>
        <w:rPr>
          <w:lang w:val="en-GB"/>
        </w:rPr>
        <w:t>Macalline</w:t>
      </w:r>
      <w:proofErr w:type="spellEnd"/>
      <w:r>
        <w:rPr>
          <w:lang w:val="en-GB"/>
        </w:rPr>
        <w:t xml:space="preserve"> Group Corporation Ltd.</w:t>
      </w:r>
      <w:r w:rsidR="004D22A8">
        <w:rPr>
          <w:lang w:val="en-GB"/>
        </w:rPr>
        <w:t xml:space="preserve">, </w:t>
      </w:r>
      <w:r w:rsidR="004D22A8" w:rsidRPr="004D22A8">
        <w:rPr>
          <w:i/>
          <w:lang w:val="en-GB"/>
        </w:rPr>
        <w:t>Global Offering</w:t>
      </w:r>
      <w:r>
        <w:rPr>
          <w:lang w:val="en-GB"/>
        </w:rPr>
        <w:t>,</w:t>
      </w:r>
      <w:r w:rsidRPr="00F90D5D">
        <w:rPr>
          <w:lang w:val="en-GB"/>
        </w:rPr>
        <w:t xml:space="preserve"> </w:t>
      </w:r>
      <w:r w:rsidR="005C2918">
        <w:rPr>
          <w:lang w:val="en-GB"/>
        </w:rPr>
        <w:t>90</w:t>
      </w:r>
      <w:r>
        <w:rPr>
          <w:lang w:val="en-GB"/>
        </w:rPr>
        <w:t>,</w:t>
      </w:r>
      <w:r w:rsidRPr="006D65D5">
        <w:t xml:space="preserve"> </w:t>
      </w:r>
      <w:r w:rsidR="004D22A8">
        <w:t xml:space="preserve">2016, </w:t>
      </w:r>
      <w:r w:rsidRPr="00E0737A">
        <w:t>accessed October 25</w:t>
      </w:r>
      <w:r>
        <w:rPr>
          <w:lang w:val="en-GB"/>
        </w:rPr>
        <w:t xml:space="preserve">, 2016, </w:t>
      </w:r>
      <w:r w:rsidRPr="00572DE9">
        <w:t>http://corpsv.etnet.com.hk/data/documents/ipo/20150616/HKEX-EPS_20150616_002232180_0.PDF</w:t>
      </w:r>
      <w:r>
        <w:t>.</w:t>
      </w:r>
      <w:r w:rsidRPr="00572DE9">
        <w:t xml:space="preserve"> </w:t>
      </w:r>
    </w:p>
    <w:p w:rsidR="00500131" w:rsidRPr="00F90D5D" w:rsidRDefault="00500131" w:rsidP="00500131">
      <w:pPr>
        <w:pStyle w:val="BodyTextMain"/>
        <w:rPr>
          <w:lang w:val="en-GB"/>
        </w:rPr>
      </w:pPr>
    </w:p>
    <w:p w:rsidR="00500131" w:rsidRPr="00F90D5D" w:rsidRDefault="00500131" w:rsidP="00500131">
      <w:pPr>
        <w:pStyle w:val="BodyTextMain"/>
        <w:rPr>
          <w:lang w:val="en-GB"/>
        </w:rPr>
      </w:pPr>
    </w:p>
    <w:p w:rsidR="00500131" w:rsidRPr="00F90D5D" w:rsidRDefault="00500131" w:rsidP="00500131">
      <w:pPr>
        <w:pStyle w:val="StyleCasehead1Centered"/>
        <w:rPr>
          <w:lang w:val="en-GB"/>
        </w:rPr>
      </w:pPr>
      <w:r w:rsidRPr="00F90D5D">
        <w:rPr>
          <w:lang w:val="en-GB"/>
        </w:rPr>
        <w:br w:type="page"/>
      </w:r>
      <w:r w:rsidRPr="00F90D5D">
        <w:rPr>
          <w:lang w:val="en-GB"/>
        </w:rPr>
        <w:lastRenderedPageBreak/>
        <w:t xml:space="preserve">Exhibit 2: RISE OF MAINSTREAM </w:t>
      </w:r>
      <w:r>
        <w:rPr>
          <w:lang w:val="en-GB"/>
        </w:rPr>
        <w:t xml:space="preserve">CHINESE </w:t>
      </w:r>
      <w:r w:rsidRPr="00F90D5D">
        <w:rPr>
          <w:lang w:val="en-GB"/>
        </w:rPr>
        <w:t>CONSUMER</w:t>
      </w:r>
      <w:r>
        <w:rPr>
          <w:lang w:val="en-GB"/>
        </w:rPr>
        <w:t>s, 2000, 2010, and 2020-estimated (in millions of households)</w:t>
      </w:r>
    </w:p>
    <w:p w:rsidR="00500131" w:rsidRPr="00F90D5D" w:rsidRDefault="00500131" w:rsidP="00500131">
      <w:pPr>
        <w:pStyle w:val="BodyTextMain"/>
        <w:jc w:val="center"/>
        <w:rPr>
          <w:lang w:val="en-GB"/>
        </w:rPr>
      </w:pPr>
      <w:r>
        <w:rPr>
          <w:noProof/>
          <w:lang w:val="en-GB" w:eastAsia="en-GB"/>
        </w:rPr>
        <w:drawing>
          <wp:inline distT="0" distB="0" distL="0" distR="0" wp14:anchorId="7AE37F2D" wp14:editId="0492E0CE">
            <wp:extent cx="4556760" cy="267721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grayscl/>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556149" cy="2676852"/>
                    </a:xfrm>
                    <a:prstGeom prst="rect">
                      <a:avLst/>
                    </a:prstGeom>
                    <a:noFill/>
                    <a:ln>
                      <a:noFill/>
                    </a:ln>
                  </pic:spPr>
                </pic:pic>
              </a:graphicData>
            </a:graphic>
          </wp:inline>
        </w:drawing>
      </w:r>
    </w:p>
    <w:p w:rsidR="00500131" w:rsidRPr="00F90D5D" w:rsidRDefault="00500131" w:rsidP="00500131">
      <w:pPr>
        <w:pStyle w:val="FootnoteText1"/>
        <w:rPr>
          <w:lang w:val="en-GB"/>
        </w:rPr>
      </w:pPr>
      <w:r w:rsidRPr="00F90D5D">
        <w:rPr>
          <w:lang w:val="en-GB"/>
        </w:rPr>
        <w:t xml:space="preserve">Note: </w:t>
      </w:r>
      <w:r>
        <w:rPr>
          <w:lang w:val="en-GB"/>
        </w:rPr>
        <w:t>CAGR = compound annual growth rate.</w:t>
      </w:r>
    </w:p>
    <w:p w:rsidR="00500131" w:rsidRPr="00E62299" w:rsidRDefault="00500131" w:rsidP="00500131">
      <w:pPr>
        <w:pStyle w:val="FootnoteText1"/>
        <w:rPr>
          <w:spacing w:val="-2"/>
          <w:lang w:val="en-GB"/>
        </w:rPr>
      </w:pPr>
      <w:r w:rsidRPr="00E62299">
        <w:rPr>
          <w:spacing w:val="-2"/>
          <w:lang w:val="en-GB"/>
        </w:rPr>
        <w:t>Source: “Macroeconomic Model Update (March 2011</w:t>
      </w:r>
      <w:r w:rsidRPr="00E62299">
        <w:rPr>
          <w:rFonts w:eastAsiaTheme="minorEastAsia"/>
          <w:spacing w:val="-2"/>
          <w:lang w:val="en-GB" w:eastAsia="zh-CN"/>
        </w:rPr>
        <w:t>)” in</w:t>
      </w:r>
      <w:r w:rsidRPr="00E62299">
        <w:rPr>
          <w:rFonts w:eastAsiaTheme="minorEastAsia" w:hint="eastAsia"/>
          <w:spacing w:val="-2"/>
          <w:lang w:val="en-GB" w:eastAsia="zh-CN"/>
        </w:rPr>
        <w:t xml:space="preserve"> </w:t>
      </w:r>
      <w:r w:rsidRPr="00E62299">
        <w:rPr>
          <w:spacing w:val="-2"/>
        </w:rPr>
        <w:t xml:space="preserve">Yuval </w:t>
      </w:r>
      <w:proofErr w:type="spellStart"/>
      <w:r w:rsidRPr="00E62299">
        <w:rPr>
          <w:spacing w:val="-2"/>
        </w:rPr>
        <w:t>Atsmon</w:t>
      </w:r>
      <w:proofErr w:type="spellEnd"/>
      <w:r w:rsidRPr="00E62299">
        <w:rPr>
          <w:spacing w:val="-2"/>
        </w:rPr>
        <w:t xml:space="preserve">, Max </w:t>
      </w:r>
      <w:proofErr w:type="spellStart"/>
      <w:r w:rsidRPr="00E62299">
        <w:rPr>
          <w:spacing w:val="-2"/>
        </w:rPr>
        <w:t>Magni</w:t>
      </w:r>
      <w:proofErr w:type="spellEnd"/>
      <w:r w:rsidRPr="00E62299">
        <w:rPr>
          <w:spacing w:val="-2"/>
        </w:rPr>
        <w:t xml:space="preserve">, </w:t>
      </w:r>
      <w:proofErr w:type="spellStart"/>
      <w:r w:rsidRPr="00E62299">
        <w:rPr>
          <w:spacing w:val="-2"/>
        </w:rPr>
        <w:t>Lihua</w:t>
      </w:r>
      <w:proofErr w:type="spellEnd"/>
      <w:r w:rsidRPr="00E62299">
        <w:rPr>
          <w:spacing w:val="-2"/>
        </w:rPr>
        <w:t xml:space="preserve"> Li, and </w:t>
      </w:r>
      <w:proofErr w:type="spellStart"/>
      <w:r w:rsidRPr="00E62299">
        <w:rPr>
          <w:spacing w:val="-2"/>
        </w:rPr>
        <w:t>Wenkan</w:t>
      </w:r>
      <w:proofErr w:type="spellEnd"/>
      <w:r w:rsidRPr="00E62299">
        <w:rPr>
          <w:spacing w:val="-2"/>
        </w:rPr>
        <w:t xml:space="preserve"> Liao,</w:t>
      </w:r>
      <w:r w:rsidRPr="00E62299" w:rsidDel="000D48EE">
        <w:rPr>
          <w:rFonts w:hint="eastAsia"/>
          <w:spacing w:val="-2"/>
        </w:rPr>
        <w:t xml:space="preserve"> </w:t>
      </w:r>
      <w:r w:rsidRPr="00E62299">
        <w:rPr>
          <w:i/>
          <w:spacing w:val="-2"/>
          <w:lang w:val="en-GB"/>
        </w:rPr>
        <w:t>Meet the 2020 Chinese Consumer (</w:t>
      </w:r>
      <w:r w:rsidRPr="00E62299">
        <w:rPr>
          <w:spacing w:val="-2"/>
          <w:lang w:val="en-GB"/>
        </w:rPr>
        <w:t>McKinsey Insights China, March 2012), 14, accessed March 27, 2017,</w:t>
      </w:r>
      <w:r w:rsidRPr="00E62299">
        <w:rPr>
          <w:spacing w:val="-2"/>
        </w:rPr>
        <w:t xml:space="preserve"> www.mckinseychina.com/wp-content/uploads/2012/05/McKinsey-China-Meet-The-2020-Chinese-Consumer.pdf.</w:t>
      </w:r>
      <w:r w:rsidRPr="00E62299" w:rsidDel="00921068">
        <w:rPr>
          <w:spacing w:val="-2"/>
        </w:rPr>
        <w:t xml:space="preserve"> </w:t>
      </w:r>
      <w:r w:rsidR="005C2918" w:rsidRPr="00E62299">
        <w:rPr>
          <w:spacing w:val="-2"/>
        </w:rPr>
        <w:t>Used with permission.</w:t>
      </w:r>
    </w:p>
    <w:p w:rsidR="00500131" w:rsidRDefault="00500131" w:rsidP="00500131">
      <w:pPr>
        <w:pStyle w:val="BodyTextMain"/>
        <w:rPr>
          <w:lang w:val="en-GB"/>
        </w:rPr>
      </w:pPr>
    </w:p>
    <w:p w:rsidR="00500131" w:rsidRPr="00F90D5D" w:rsidRDefault="00500131" w:rsidP="00500131">
      <w:pPr>
        <w:pStyle w:val="BodyTextMain"/>
        <w:rPr>
          <w:lang w:val="en-GB"/>
        </w:rPr>
      </w:pPr>
    </w:p>
    <w:p w:rsidR="00500131" w:rsidRPr="00F90D5D" w:rsidRDefault="00500131" w:rsidP="00500131">
      <w:pPr>
        <w:pStyle w:val="StyleCasehead1Centered"/>
        <w:rPr>
          <w:rFonts w:eastAsiaTheme="minorEastAsia"/>
          <w:lang w:val="en-GB" w:eastAsia="zh-CN"/>
        </w:rPr>
      </w:pPr>
      <w:r w:rsidRPr="00F90D5D">
        <w:rPr>
          <w:lang w:val="en-GB"/>
        </w:rPr>
        <w:t xml:space="preserve">Exhibit </w:t>
      </w:r>
      <w:r w:rsidRPr="00F90D5D">
        <w:rPr>
          <w:rFonts w:eastAsiaTheme="minorEastAsia" w:hint="eastAsia"/>
          <w:lang w:val="en-GB" w:eastAsia="zh-CN"/>
        </w:rPr>
        <w:t>3</w:t>
      </w:r>
      <w:r w:rsidRPr="00F90D5D">
        <w:rPr>
          <w:rFonts w:eastAsiaTheme="minorEastAsia"/>
          <w:lang w:val="en-GB" w:eastAsia="zh-CN"/>
        </w:rPr>
        <w:t xml:space="preserve">: </w:t>
      </w:r>
      <w:r>
        <w:rPr>
          <w:rFonts w:eastAsiaTheme="minorEastAsia"/>
          <w:lang w:val="en-GB" w:eastAsia="zh-CN"/>
        </w:rPr>
        <w:t xml:space="preserve">chinese </w:t>
      </w:r>
      <w:r w:rsidRPr="00F90D5D">
        <w:rPr>
          <w:rFonts w:eastAsiaTheme="minorEastAsia" w:hint="eastAsia"/>
          <w:lang w:val="en-GB" w:eastAsia="zh-CN"/>
        </w:rPr>
        <w:t>URBAN HOUSEHOLDS</w:t>
      </w:r>
      <w:r>
        <w:rPr>
          <w:rFonts w:eastAsiaTheme="minorEastAsia"/>
          <w:lang w:val="en-GB" w:eastAsia="zh-CN"/>
        </w:rPr>
        <w:t>’</w:t>
      </w:r>
      <w:r w:rsidRPr="00F90D5D">
        <w:rPr>
          <w:rFonts w:eastAsiaTheme="minorEastAsia" w:hint="eastAsia"/>
          <w:lang w:val="en-GB" w:eastAsia="zh-CN"/>
        </w:rPr>
        <w:t xml:space="preserve"> ANNUAL CONSUMPTION BY CATEGORY</w:t>
      </w:r>
    </w:p>
    <w:p w:rsidR="00500131" w:rsidRPr="00F90D5D" w:rsidRDefault="00500131" w:rsidP="00500131">
      <w:pPr>
        <w:pStyle w:val="BodyTextMain"/>
        <w:rPr>
          <w:rFonts w:eastAsiaTheme="minorEastAsia"/>
          <w:lang w:val="en-GB"/>
        </w:rPr>
      </w:pPr>
    </w:p>
    <w:p w:rsidR="00500131" w:rsidRPr="00F90D5D" w:rsidRDefault="00500131" w:rsidP="00500131">
      <w:pPr>
        <w:pStyle w:val="BodyTextMain"/>
        <w:jc w:val="center"/>
        <w:rPr>
          <w:rFonts w:eastAsiaTheme="minorEastAsia"/>
          <w:lang w:val="en-GB"/>
        </w:rPr>
      </w:pPr>
      <w:r w:rsidRPr="00F90D5D">
        <w:rPr>
          <w:rFonts w:eastAsiaTheme="minorEastAsia" w:hint="eastAsia"/>
          <w:noProof/>
          <w:lang w:val="en-GB" w:eastAsia="en-GB"/>
        </w:rPr>
        <w:drawing>
          <wp:inline distT="0" distB="0" distL="0" distR="0" wp14:anchorId="10FBC7F0" wp14:editId="2631F0CB">
            <wp:extent cx="4751733" cy="3398098"/>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25000"/>
                              </a14:imgEffect>
                              <a14:imgEffect>
                                <a14:saturation sat="0"/>
                              </a14:imgEffect>
                              <a14:imgEffect>
                                <a14:brightnessContrast contrast="20000"/>
                              </a14:imgEffect>
                            </a14:imgLayer>
                          </a14:imgProps>
                        </a:ext>
                      </a:extLst>
                    </a:blip>
                    <a:srcRect l="23623" t="34434" r="31455" b="11037"/>
                    <a:stretch>
                      <a:fillRect/>
                    </a:stretch>
                  </pic:blipFill>
                  <pic:spPr bwMode="auto">
                    <a:xfrm>
                      <a:off x="0" y="0"/>
                      <a:ext cx="4753528" cy="3399381"/>
                    </a:xfrm>
                    <a:prstGeom prst="rect">
                      <a:avLst/>
                    </a:prstGeom>
                    <a:noFill/>
                    <a:ln w="9525">
                      <a:noFill/>
                      <a:miter lim="800000"/>
                      <a:headEnd/>
                      <a:tailEnd/>
                    </a:ln>
                  </pic:spPr>
                </pic:pic>
              </a:graphicData>
            </a:graphic>
          </wp:inline>
        </w:drawing>
      </w:r>
    </w:p>
    <w:p w:rsidR="00500131" w:rsidRDefault="00500131" w:rsidP="00500131">
      <w:pPr>
        <w:pStyle w:val="FootnoteText1"/>
        <w:rPr>
          <w:lang w:val="en-GB"/>
        </w:rPr>
      </w:pPr>
      <w:r>
        <w:rPr>
          <w:lang w:val="en-GB"/>
        </w:rPr>
        <w:t>Note: CAGR = compound annual growth rate.</w:t>
      </w:r>
    </w:p>
    <w:p w:rsidR="00500131" w:rsidRPr="00F90D5D" w:rsidRDefault="00500131" w:rsidP="00500131">
      <w:pPr>
        <w:pStyle w:val="FootnoteText1"/>
        <w:rPr>
          <w:rFonts w:eastAsiaTheme="minorEastAsia"/>
          <w:lang w:val="en-GB" w:eastAsia="zh-CN"/>
        </w:rPr>
      </w:pPr>
      <w:r w:rsidRPr="00F90D5D">
        <w:rPr>
          <w:lang w:val="en-GB"/>
        </w:rPr>
        <w:t xml:space="preserve">Source: </w:t>
      </w:r>
      <w:r>
        <w:rPr>
          <w:lang w:val="en-GB"/>
        </w:rPr>
        <w:t>“</w:t>
      </w:r>
      <w:r w:rsidRPr="00F90D5D">
        <w:rPr>
          <w:lang w:val="en-GB"/>
        </w:rPr>
        <w:t xml:space="preserve">Macroeconomic </w:t>
      </w:r>
      <w:r>
        <w:rPr>
          <w:lang w:val="en-GB"/>
        </w:rPr>
        <w:t>M</w:t>
      </w:r>
      <w:r w:rsidRPr="00F90D5D">
        <w:rPr>
          <w:lang w:val="en-GB"/>
        </w:rPr>
        <w:t xml:space="preserve">odel </w:t>
      </w:r>
      <w:r>
        <w:rPr>
          <w:lang w:val="en-GB"/>
        </w:rPr>
        <w:t>U</w:t>
      </w:r>
      <w:r w:rsidRPr="00F90D5D">
        <w:rPr>
          <w:lang w:val="en-GB"/>
        </w:rPr>
        <w:t>pdate</w:t>
      </w:r>
      <w:r>
        <w:rPr>
          <w:lang w:val="en-GB"/>
        </w:rPr>
        <w:t xml:space="preserve"> (</w:t>
      </w:r>
      <w:r w:rsidRPr="00F90D5D">
        <w:rPr>
          <w:lang w:val="en-GB"/>
        </w:rPr>
        <w:t>March 2011</w:t>
      </w:r>
      <w:r>
        <w:rPr>
          <w:rFonts w:eastAsiaTheme="minorEastAsia"/>
          <w:lang w:val="en-GB" w:eastAsia="zh-CN"/>
        </w:rPr>
        <w:t>)”</w:t>
      </w:r>
      <w:r w:rsidRPr="00F90D5D">
        <w:rPr>
          <w:rFonts w:eastAsiaTheme="minorEastAsia" w:hint="eastAsia"/>
          <w:lang w:val="en-GB" w:eastAsia="zh-CN"/>
        </w:rPr>
        <w:t xml:space="preserve"> </w:t>
      </w:r>
      <w:r>
        <w:rPr>
          <w:rFonts w:eastAsiaTheme="minorEastAsia"/>
          <w:lang w:val="en-GB" w:eastAsia="zh-CN"/>
        </w:rPr>
        <w:t xml:space="preserve">in </w:t>
      </w:r>
      <w:r w:rsidRPr="000F6FF6">
        <w:t xml:space="preserve">Yuval </w:t>
      </w:r>
      <w:proofErr w:type="spellStart"/>
      <w:r w:rsidRPr="000F6FF6">
        <w:t>Atsmon</w:t>
      </w:r>
      <w:proofErr w:type="spellEnd"/>
      <w:r w:rsidRPr="000F6FF6">
        <w:t xml:space="preserve">, Max </w:t>
      </w:r>
      <w:proofErr w:type="spellStart"/>
      <w:r w:rsidRPr="000F6FF6">
        <w:t>Magni</w:t>
      </w:r>
      <w:proofErr w:type="spellEnd"/>
      <w:r w:rsidRPr="000F6FF6">
        <w:t xml:space="preserve">, </w:t>
      </w:r>
      <w:proofErr w:type="spellStart"/>
      <w:r w:rsidRPr="000F6FF6">
        <w:t>Lihua</w:t>
      </w:r>
      <w:proofErr w:type="spellEnd"/>
      <w:r w:rsidRPr="000F6FF6">
        <w:t xml:space="preserve"> Li, </w:t>
      </w:r>
      <w:r>
        <w:t xml:space="preserve">and </w:t>
      </w:r>
      <w:proofErr w:type="spellStart"/>
      <w:r w:rsidRPr="000F6FF6">
        <w:t>Wenkan</w:t>
      </w:r>
      <w:proofErr w:type="spellEnd"/>
      <w:r w:rsidRPr="000F6FF6">
        <w:t xml:space="preserve"> Liao</w:t>
      </w:r>
      <w:r>
        <w:t>,</w:t>
      </w:r>
      <w:r w:rsidRPr="00527C75">
        <w:rPr>
          <w:rFonts w:hint="eastAsia"/>
        </w:rPr>
        <w:t xml:space="preserve"> </w:t>
      </w:r>
      <w:r w:rsidRPr="00975229">
        <w:rPr>
          <w:i/>
          <w:lang w:val="en-GB"/>
        </w:rPr>
        <w:t>Meet the 2020 Chinese Consumer</w:t>
      </w:r>
      <w:r>
        <w:rPr>
          <w:lang w:val="en-GB"/>
        </w:rPr>
        <w:t xml:space="preserve"> (</w:t>
      </w:r>
      <w:r w:rsidRPr="00F90D5D">
        <w:rPr>
          <w:lang w:val="en-GB"/>
        </w:rPr>
        <w:t>McKinsey Insights China</w:t>
      </w:r>
      <w:r>
        <w:rPr>
          <w:lang w:val="en-GB"/>
        </w:rPr>
        <w:t xml:space="preserve">, March 2012), accessed March 27, 2017, </w:t>
      </w:r>
      <w:r w:rsidR="005C2918" w:rsidRPr="00E62299">
        <w:t>www.mckinseychina.com/wp-content/uploads/2012/05/McKinsey-China-Meet-The-2020-Chinese-Consumer.pdf</w:t>
      </w:r>
      <w:r>
        <w:t>.</w:t>
      </w:r>
      <w:r w:rsidR="005C2918">
        <w:t xml:space="preserve"> Used with permission.</w:t>
      </w:r>
    </w:p>
    <w:p w:rsidR="00500131" w:rsidRDefault="00500131" w:rsidP="00500131">
      <w:pPr>
        <w:pStyle w:val="StyleCasehead1Centered"/>
        <w:rPr>
          <w:lang w:val="en-GB"/>
        </w:rPr>
      </w:pPr>
      <w:r w:rsidRPr="00F90D5D">
        <w:rPr>
          <w:lang w:val="en-GB"/>
        </w:rPr>
        <w:br w:type="page"/>
      </w:r>
      <w:r w:rsidRPr="00F90D5D">
        <w:rPr>
          <w:lang w:val="en-GB"/>
        </w:rPr>
        <w:lastRenderedPageBreak/>
        <w:t xml:space="preserve">Exhibit </w:t>
      </w:r>
      <w:r w:rsidRPr="00F90D5D">
        <w:rPr>
          <w:rFonts w:eastAsiaTheme="minorEastAsia" w:hint="eastAsia"/>
          <w:lang w:val="en-GB" w:eastAsia="zh-CN"/>
        </w:rPr>
        <w:t>4</w:t>
      </w:r>
      <w:r w:rsidRPr="00F90D5D">
        <w:rPr>
          <w:rFonts w:eastAsiaTheme="minorEastAsia"/>
          <w:lang w:val="en-GB" w:eastAsia="zh-CN"/>
        </w:rPr>
        <w:t xml:space="preserve">: </w:t>
      </w:r>
      <w:r w:rsidRPr="00F90D5D">
        <w:rPr>
          <w:lang w:val="en-GB"/>
        </w:rPr>
        <w:t>R</w:t>
      </w:r>
      <w:r>
        <w:rPr>
          <w:lang w:val="en-GB"/>
        </w:rPr>
        <w:t xml:space="preserve">ed </w:t>
      </w:r>
      <w:r w:rsidRPr="00F90D5D">
        <w:rPr>
          <w:lang w:val="en-GB"/>
        </w:rPr>
        <w:t>S</w:t>
      </w:r>
      <w:r>
        <w:rPr>
          <w:lang w:val="en-GB"/>
        </w:rPr>
        <w:t xml:space="preserve">tar </w:t>
      </w:r>
      <w:r w:rsidRPr="00F90D5D">
        <w:rPr>
          <w:lang w:val="en-GB"/>
        </w:rPr>
        <w:t>M</w:t>
      </w:r>
      <w:r>
        <w:rPr>
          <w:lang w:val="en-GB"/>
        </w:rPr>
        <w:t xml:space="preserve">acalline group corporation ltd. </w:t>
      </w:r>
      <w:r w:rsidRPr="00F90D5D">
        <w:rPr>
          <w:lang w:val="en-GB"/>
        </w:rPr>
        <w:t>INCOME STATEMENT</w:t>
      </w:r>
      <w:r>
        <w:rPr>
          <w:lang w:val="en-GB"/>
        </w:rPr>
        <w:t xml:space="preserve">s, </w:t>
      </w:r>
    </w:p>
    <w:p w:rsidR="00500131" w:rsidRPr="00F90D5D" w:rsidRDefault="00500131" w:rsidP="00500131">
      <w:pPr>
        <w:pStyle w:val="StyleCasehead1Centered"/>
        <w:rPr>
          <w:lang w:val="en-GB"/>
        </w:rPr>
      </w:pPr>
      <w:r>
        <w:rPr>
          <w:lang w:val="en-GB"/>
        </w:rPr>
        <w:t>2012–2015</w:t>
      </w:r>
    </w:p>
    <w:p w:rsidR="00500131" w:rsidRPr="00F90D5D" w:rsidRDefault="00500131" w:rsidP="00500131">
      <w:pPr>
        <w:pStyle w:val="BodyTextMain"/>
        <w:rPr>
          <w:lang w:val="en-GB"/>
        </w:rPr>
      </w:pPr>
    </w:p>
    <w:tbl>
      <w:tblPr>
        <w:tblW w:w="0" w:type="auto"/>
        <w:jc w:val="center"/>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1007"/>
        <w:gridCol w:w="1134"/>
        <w:gridCol w:w="1134"/>
        <w:gridCol w:w="992"/>
      </w:tblGrid>
      <w:tr w:rsidR="00500131" w:rsidRPr="00F90D5D" w:rsidTr="009A3D6E">
        <w:trPr>
          <w:jc w:val="center"/>
        </w:trPr>
        <w:tc>
          <w:tcPr>
            <w:tcW w:w="4678" w:type="dxa"/>
            <w:shd w:val="clear" w:color="auto" w:fill="auto"/>
          </w:tcPr>
          <w:p w:rsidR="00500131" w:rsidRPr="00F90D5D" w:rsidRDefault="00500131" w:rsidP="00572DE9">
            <w:pPr>
              <w:rPr>
                <w:rFonts w:ascii="Arial" w:hAnsi="Arial" w:cs="Arial"/>
                <w:lang w:val="en-GB"/>
              </w:rPr>
            </w:pPr>
            <w:r w:rsidRPr="00F90D5D">
              <w:rPr>
                <w:rFonts w:ascii="Arial" w:hAnsi="Arial" w:cs="Arial"/>
                <w:lang w:val="en-GB"/>
              </w:rPr>
              <w:t>(in million</w:t>
            </w:r>
            <w:r>
              <w:rPr>
                <w:rFonts w:ascii="Arial" w:hAnsi="Arial" w:cs="Arial"/>
                <w:lang w:val="en-GB"/>
              </w:rPr>
              <w:t>s of</w:t>
            </w:r>
            <w:r w:rsidRPr="00F90D5D">
              <w:rPr>
                <w:rFonts w:ascii="Arial" w:hAnsi="Arial" w:cs="Arial"/>
                <w:lang w:val="en-GB"/>
              </w:rPr>
              <w:t xml:space="preserve"> RMB) </w:t>
            </w:r>
            <w:r>
              <w:rPr>
                <w:rFonts w:ascii="Arial" w:hAnsi="Arial" w:cs="Arial"/>
                <w:lang w:val="en-GB"/>
              </w:rPr>
              <w:t xml:space="preserve">for the </w:t>
            </w:r>
            <w:r w:rsidRPr="00F90D5D">
              <w:rPr>
                <w:rFonts w:ascii="Arial" w:hAnsi="Arial" w:cs="Arial"/>
                <w:lang w:val="en-GB"/>
              </w:rPr>
              <w:t>year ending December</w:t>
            </w:r>
          </w:p>
        </w:tc>
        <w:tc>
          <w:tcPr>
            <w:tcW w:w="1007" w:type="dxa"/>
            <w:shd w:val="clear" w:color="auto" w:fill="auto"/>
            <w:vAlign w:val="center"/>
          </w:tcPr>
          <w:p w:rsidR="00500131" w:rsidRPr="00F90D5D" w:rsidRDefault="00500131" w:rsidP="00E62299">
            <w:pPr>
              <w:jc w:val="center"/>
              <w:rPr>
                <w:rFonts w:ascii="Arial" w:hAnsi="Arial" w:cs="Arial"/>
                <w:b/>
                <w:lang w:val="en-GB"/>
              </w:rPr>
            </w:pPr>
            <w:r w:rsidRPr="00F90D5D">
              <w:rPr>
                <w:rFonts w:ascii="Arial" w:hAnsi="Arial" w:cs="Arial"/>
                <w:b/>
                <w:lang w:val="en-GB"/>
              </w:rPr>
              <w:t>2012</w:t>
            </w:r>
          </w:p>
        </w:tc>
        <w:tc>
          <w:tcPr>
            <w:tcW w:w="1134" w:type="dxa"/>
            <w:shd w:val="clear" w:color="auto" w:fill="auto"/>
            <w:vAlign w:val="center"/>
          </w:tcPr>
          <w:p w:rsidR="00500131" w:rsidRPr="00F90D5D" w:rsidRDefault="00500131" w:rsidP="00E62299">
            <w:pPr>
              <w:jc w:val="center"/>
              <w:rPr>
                <w:rFonts w:ascii="Arial" w:hAnsi="Arial" w:cs="Arial"/>
                <w:b/>
                <w:lang w:val="en-GB"/>
              </w:rPr>
            </w:pPr>
            <w:r w:rsidRPr="00F90D5D">
              <w:rPr>
                <w:rFonts w:ascii="Arial" w:hAnsi="Arial" w:cs="Arial"/>
                <w:b/>
                <w:lang w:val="en-GB"/>
              </w:rPr>
              <w:t>2013</w:t>
            </w:r>
          </w:p>
        </w:tc>
        <w:tc>
          <w:tcPr>
            <w:tcW w:w="1134" w:type="dxa"/>
            <w:shd w:val="clear" w:color="auto" w:fill="auto"/>
            <w:vAlign w:val="center"/>
          </w:tcPr>
          <w:p w:rsidR="00500131" w:rsidRPr="00F90D5D" w:rsidRDefault="00500131" w:rsidP="00E62299">
            <w:pPr>
              <w:jc w:val="center"/>
              <w:rPr>
                <w:rFonts w:ascii="Arial" w:hAnsi="Arial" w:cs="Arial"/>
                <w:b/>
                <w:lang w:val="en-GB"/>
              </w:rPr>
            </w:pPr>
            <w:r w:rsidRPr="00F90D5D">
              <w:rPr>
                <w:rFonts w:ascii="Arial" w:hAnsi="Arial" w:cs="Arial"/>
                <w:b/>
                <w:lang w:val="en-GB"/>
              </w:rPr>
              <w:t>2014</w:t>
            </w:r>
          </w:p>
        </w:tc>
        <w:tc>
          <w:tcPr>
            <w:tcW w:w="992" w:type="dxa"/>
            <w:shd w:val="clear" w:color="auto" w:fill="auto"/>
            <w:vAlign w:val="center"/>
          </w:tcPr>
          <w:p w:rsidR="00500131" w:rsidRPr="00F90D5D" w:rsidRDefault="00500131" w:rsidP="00E62299">
            <w:pPr>
              <w:jc w:val="center"/>
              <w:rPr>
                <w:rFonts w:ascii="Arial" w:hAnsi="Arial" w:cs="Arial"/>
                <w:b/>
                <w:lang w:val="en-GB"/>
              </w:rPr>
            </w:pPr>
            <w:r w:rsidRPr="00F90D5D">
              <w:rPr>
                <w:rFonts w:ascii="Arial" w:hAnsi="Arial" w:cs="Arial"/>
                <w:b/>
                <w:lang w:val="en-GB"/>
              </w:rPr>
              <w:t>2015</w:t>
            </w:r>
          </w:p>
        </w:tc>
      </w:tr>
      <w:tr w:rsidR="00500131" w:rsidRPr="00F90D5D" w:rsidTr="009A3D6E">
        <w:trPr>
          <w:jc w:val="center"/>
        </w:trPr>
        <w:tc>
          <w:tcPr>
            <w:tcW w:w="4678" w:type="dxa"/>
            <w:shd w:val="clear" w:color="auto" w:fill="auto"/>
          </w:tcPr>
          <w:p w:rsidR="00500131" w:rsidRPr="00F90D5D" w:rsidRDefault="00500131" w:rsidP="00572DE9">
            <w:pPr>
              <w:rPr>
                <w:rFonts w:ascii="Arial" w:hAnsi="Arial" w:cs="Arial"/>
                <w:lang w:val="en-GB"/>
              </w:rPr>
            </w:pPr>
            <w:r w:rsidRPr="00F90D5D">
              <w:rPr>
                <w:rFonts w:ascii="Arial" w:hAnsi="Arial" w:cs="Arial"/>
                <w:lang w:val="en-GB"/>
              </w:rPr>
              <w:t>Revenue from Portfolio Shopping Malls</w:t>
            </w:r>
          </w:p>
          <w:p w:rsidR="00500131" w:rsidRPr="00F90D5D" w:rsidRDefault="00500131" w:rsidP="00572DE9">
            <w:pPr>
              <w:rPr>
                <w:rFonts w:ascii="Arial" w:hAnsi="Arial" w:cs="Arial"/>
                <w:lang w:val="en-GB"/>
              </w:rPr>
            </w:pPr>
            <w:r w:rsidRPr="00F90D5D">
              <w:rPr>
                <w:rFonts w:ascii="Arial" w:hAnsi="Arial" w:cs="Arial"/>
                <w:lang w:val="en-GB"/>
              </w:rPr>
              <w:t>Revenue from Managed Shopping Malls</w:t>
            </w:r>
          </w:p>
          <w:p w:rsidR="00500131" w:rsidRPr="00F90D5D" w:rsidRDefault="00500131" w:rsidP="00500131">
            <w:pPr>
              <w:pStyle w:val="-11"/>
              <w:numPr>
                <w:ilvl w:val="0"/>
                <w:numId w:val="40"/>
              </w:numPr>
              <w:rPr>
                <w:rFonts w:ascii="Arial" w:hAnsi="Arial" w:cs="Arial"/>
                <w:kern w:val="2"/>
                <w:lang w:val="en-GB"/>
              </w:rPr>
            </w:pPr>
            <w:r w:rsidRPr="00F90D5D">
              <w:rPr>
                <w:rFonts w:ascii="Arial" w:hAnsi="Arial" w:cs="Arial"/>
                <w:kern w:val="2"/>
                <w:lang w:val="en-GB"/>
              </w:rPr>
              <w:t>Initiation and Entrance Fees</w:t>
            </w:r>
          </w:p>
          <w:p w:rsidR="00500131" w:rsidRPr="00F90D5D" w:rsidRDefault="00500131" w:rsidP="00500131">
            <w:pPr>
              <w:pStyle w:val="-11"/>
              <w:numPr>
                <w:ilvl w:val="0"/>
                <w:numId w:val="40"/>
              </w:numPr>
              <w:rPr>
                <w:rFonts w:ascii="Arial" w:hAnsi="Arial" w:cs="Arial"/>
                <w:kern w:val="2"/>
                <w:lang w:val="en-GB"/>
              </w:rPr>
            </w:pPr>
            <w:r w:rsidRPr="00F90D5D">
              <w:rPr>
                <w:rFonts w:ascii="Arial" w:hAnsi="Arial" w:cs="Arial"/>
                <w:kern w:val="2"/>
                <w:lang w:val="en-GB"/>
              </w:rPr>
              <w:t>Annual Management Fees</w:t>
            </w:r>
          </w:p>
          <w:p w:rsidR="00500131" w:rsidRPr="00F90D5D" w:rsidRDefault="00500131" w:rsidP="00500131">
            <w:pPr>
              <w:pStyle w:val="-11"/>
              <w:numPr>
                <w:ilvl w:val="0"/>
                <w:numId w:val="40"/>
              </w:numPr>
              <w:rPr>
                <w:rFonts w:ascii="Arial" w:hAnsi="Arial" w:cs="Arial"/>
                <w:kern w:val="2"/>
                <w:lang w:val="en-GB"/>
              </w:rPr>
            </w:pPr>
            <w:r w:rsidRPr="00F90D5D">
              <w:rPr>
                <w:rFonts w:ascii="Arial" w:hAnsi="Arial" w:cs="Arial"/>
                <w:kern w:val="2"/>
                <w:lang w:val="en-GB"/>
              </w:rPr>
              <w:t xml:space="preserve">Construction Consultancy </w:t>
            </w:r>
            <w:r w:rsidRPr="00F90D5D">
              <w:rPr>
                <w:rFonts w:ascii="Arial" w:eastAsiaTheme="minorEastAsia" w:hAnsi="Arial" w:cs="Arial" w:hint="eastAsia"/>
                <w:kern w:val="2"/>
                <w:lang w:val="en-GB" w:eastAsia="zh-CN"/>
              </w:rPr>
              <w:t xml:space="preserve">and Management </w:t>
            </w:r>
            <w:r w:rsidRPr="00F90D5D">
              <w:rPr>
                <w:rFonts w:ascii="Arial" w:hAnsi="Arial" w:cs="Arial"/>
                <w:kern w:val="2"/>
                <w:lang w:val="en-GB"/>
              </w:rPr>
              <w:t>Fees</w:t>
            </w:r>
          </w:p>
          <w:p w:rsidR="00500131" w:rsidRPr="00F90D5D" w:rsidRDefault="00500131" w:rsidP="00572DE9">
            <w:pPr>
              <w:rPr>
                <w:rFonts w:ascii="Arial" w:hAnsi="Arial" w:cs="Arial"/>
                <w:lang w:val="en-GB"/>
              </w:rPr>
            </w:pPr>
            <w:r w:rsidRPr="00F90D5D">
              <w:rPr>
                <w:rFonts w:ascii="Arial" w:hAnsi="Arial" w:cs="Arial"/>
                <w:lang w:val="en-GB"/>
              </w:rPr>
              <w:t>Other Revenues</w:t>
            </w:r>
          </w:p>
        </w:tc>
        <w:tc>
          <w:tcPr>
            <w:tcW w:w="1007"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3,852</w:t>
            </w:r>
          </w:p>
          <w:p w:rsidR="00500131" w:rsidRPr="00F90D5D" w:rsidRDefault="00500131" w:rsidP="00572DE9">
            <w:pPr>
              <w:jc w:val="right"/>
              <w:rPr>
                <w:rFonts w:ascii="Arial" w:hAnsi="Arial" w:cs="Arial"/>
                <w:lang w:val="en-GB"/>
              </w:rPr>
            </w:pPr>
          </w:p>
          <w:p w:rsidR="00500131" w:rsidRPr="00F90D5D" w:rsidRDefault="00500131" w:rsidP="00572DE9">
            <w:pPr>
              <w:jc w:val="right"/>
              <w:rPr>
                <w:rFonts w:ascii="Arial" w:hAnsi="Arial" w:cs="Arial"/>
                <w:lang w:val="en-GB"/>
              </w:rPr>
            </w:pPr>
            <w:r w:rsidRPr="00F90D5D">
              <w:rPr>
                <w:rFonts w:ascii="Arial" w:hAnsi="Arial" w:cs="Arial"/>
                <w:lang w:val="en-GB"/>
              </w:rPr>
              <w:t>527</w:t>
            </w:r>
          </w:p>
          <w:p w:rsidR="00500131" w:rsidRPr="00F90D5D" w:rsidRDefault="00500131" w:rsidP="00572DE9">
            <w:pPr>
              <w:jc w:val="right"/>
              <w:rPr>
                <w:rFonts w:ascii="Arial" w:hAnsi="Arial" w:cs="Arial"/>
                <w:lang w:val="en-GB"/>
              </w:rPr>
            </w:pPr>
            <w:r w:rsidRPr="00F90D5D">
              <w:rPr>
                <w:rFonts w:ascii="Arial" w:hAnsi="Arial" w:cs="Arial"/>
                <w:lang w:val="en-GB"/>
              </w:rPr>
              <w:t>719</w:t>
            </w:r>
          </w:p>
          <w:p w:rsidR="00500131" w:rsidRPr="00F90D5D" w:rsidRDefault="00500131" w:rsidP="00572DE9">
            <w:pPr>
              <w:jc w:val="right"/>
              <w:rPr>
                <w:rFonts w:ascii="Arial" w:eastAsiaTheme="minorEastAsia" w:hAnsi="Arial" w:cs="Arial"/>
                <w:lang w:val="en-GB" w:eastAsia="zh-CN"/>
              </w:rPr>
            </w:pPr>
            <w:r w:rsidRPr="00F90D5D">
              <w:rPr>
                <w:rFonts w:ascii="Arial" w:hAnsi="Arial" w:cs="Arial"/>
                <w:lang w:val="en-GB"/>
              </w:rPr>
              <w:t>154</w:t>
            </w:r>
          </w:p>
          <w:p w:rsidR="00500131" w:rsidRDefault="00500131" w:rsidP="00572DE9">
            <w:pPr>
              <w:jc w:val="right"/>
              <w:rPr>
                <w:rFonts w:ascii="Arial" w:hAnsi="Arial" w:cs="Arial"/>
                <w:lang w:val="en-GB"/>
              </w:rPr>
            </w:pPr>
          </w:p>
          <w:p w:rsidR="00500131" w:rsidRPr="00F90D5D" w:rsidRDefault="00500131" w:rsidP="00572DE9">
            <w:pPr>
              <w:jc w:val="right"/>
              <w:rPr>
                <w:rFonts w:ascii="Arial" w:eastAsiaTheme="minorEastAsia" w:hAnsi="Arial" w:cs="Arial"/>
                <w:lang w:val="en-GB" w:eastAsia="zh-CN"/>
              </w:rPr>
            </w:pPr>
            <w:r w:rsidRPr="00F90D5D">
              <w:rPr>
                <w:rFonts w:ascii="Arial" w:hAnsi="Arial" w:cs="Arial"/>
                <w:lang w:val="en-GB"/>
              </w:rPr>
              <w:t>2</w:t>
            </w:r>
          </w:p>
        </w:tc>
        <w:tc>
          <w:tcPr>
            <w:tcW w:w="1134"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4,199</w:t>
            </w:r>
          </w:p>
          <w:p w:rsidR="00500131" w:rsidRPr="00F90D5D" w:rsidRDefault="00500131" w:rsidP="00572DE9">
            <w:pPr>
              <w:jc w:val="right"/>
              <w:rPr>
                <w:rFonts w:ascii="Arial" w:hAnsi="Arial" w:cs="Arial"/>
                <w:lang w:val="en-GB"/>
              </w:rPr>
            </w:pPr>
          </w:p>
          <w:p w:rsidR="00500131" w:rsidRPr="00F90D5D" w:rsidRDefault="00500131" w:rsidP="00572DE9">
            <w:pPr>
              <w:jc w:val="right"/>
              <w:rPr>
                <w:rFonts w:ascii="Arial" w:hAnsi="Arial" w:cs="Arial"/>
                <w:lang w:val="en-GB"/>
              </w:rPr>
            </w:pPr>
            <w:r w:rsidRPr="00F90D5D">
              <w:rPr>
                <w:rFonts w:ascii="Arial" w:hAnsi="Arial" w:cs="Arial"/>
                <w:lang w:val="en-GB"/>
              </w:rPr>
              <w:t>988</w:t>
            </w:r>
          </w:p>
          <w:p w:rsidR="00500131" w:rsidRPr="00F90D5D" w:rsidRDefault="00500131" w:rsidP="00572DE9">
            <w:pPr>
              <w:jc w:val="right"/>
              <w:rPr>
                <w:rFonts w:ascii="Arial" w:hAnsi="Arial" w:cs="Arial"/>
                <w:lang w:val="en-GB"/>
              </w:rPr>
            </w:pPr>
            <w:r w:rsidRPr="00F90D5D">
              <w:rPr>
                <w:rFonts w:ascii="Arial" w:hAnsi="Arial" w:cs="Arial"/>
                <w:lang w:val="en-GB"/>
              </w:rPr>
              <w:t>855</w:t>
            </w:r>
          </w:p>
          <w:p w:rsidR="00500131" w:rsidRPr="00F90D5D" w:rsidRDefault="00500131" w:rsidP="00572DE9">
            <w:pPr>
              <w:jc w:val="right"/>
              <w:rPr>
                <w:rFonts w:ascii="Arial" w:eastAsiaTheme="minorEastAsia" w:hAnsi="Arial" w:cs="Arial"/>
                <w:lang w:val="en-GB" w:eastAsia="zh-CN"/>
              </w:rPr>
            </w:pPr>
            <w:r w:rsidRPr="00F90D5D">
              <w:rPr>
                <w:rFonts w:ascii="Arial" w:hAnsi="Arial" w:cs="Arial"/>
                <w:lang w:val="en-GB"/>
              </w:rPr>
              <w:t>272</w:t>
            </w:r>
          </w:p>
          <w:p w:rsidR="00500131" w:rsidRDefault="00500131" w:rsidP="00572DE9">
            <w:pPr>
              <w:jc w:val="right"/>
              <w:rPr>
                <w:rFonts w:ascii="Arial" w:hAnsi="Arial" w:cs="Arial"/>
                <w:lang w:val="en-GB"/>
              </w:rPr>
            </w:pPr>
          </w:p>
          <w:p w:rsidR="00500131" w:rsidRPr="00F90D5D" w:rsidRDefault="00500131" w:rsidP="00572DE9">
            <w:pPr>
              <w:jc w:val="right"/>
              <w:rPr>
                <w:rFonts w:ascii="Arial" w:hAnsi="Arial" w:cs="Arial"/>
                <w:lang w:val="en-GB"/>
              </w:rPr>
            </w:pPr>
            <w:r w:rsidRPr="00F90D5D">
              <w:rPr>
                <w:rFonts w:ascii="Arial" w:hAnsi="Arial" w:cs="Arial"/>
                <w:lang w:val="en-GB"/>
              </w:rPr>
              <w:t>47</w:t>
            </w:r>
          </w:p>
        </w:tc>
        <w:tc>
          <w:tcPr>
            <w:tcW w:w="1134"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4,884</w:t>
            </w:r>
          </w:p>
          <w:p w:rsidR="00500131" w:rsidRPr="00F90D5D" w:rsidRDefault="00500131" w:rsidP="00572DE9">
            <w:pPr>
              <w:jc w:val="right"/>
              <w:rPr>
                <w:rFonts w:ascii="Arial" w:hAnsi="Arial" w:cs="Arial"/>
                <w:lang w:val="en-GB"/>
              </w:rPr>
            </w:pPr>
          </w:p>
          <w:p w:rsidR="00500131" w:rsidRPr="00F90D5D" w:rsidRDefault="00500131" w:rsidP="00572DE9">
            <w:pPr>
              <w:jc w:val="right"/>
              <w:rPr>
                <w:rFonts w:ascii="Arial" w:hAnsi="Arial" w:cs="Arial"/>
                <w:lang w:val="en-GB"/>
              </w:rPr>
            </w:pPr>
            <w:r w:rsidRPr="00F90D5D">
              <w:rPr>
                <w:rFonts w:ascii="Arial" w:hAnsi="Arial" w:cs="Arial"/>
                <w:lang w:val="en-GB"/>
              </w:rPr>
              <w:t>1,014</w:t>
            </w:r>
          </w:p>
          <w:p w:rsidR="00500131" w:rsidRPr="00F90D5D" w:rsidRDefault="00500131" w:rsidP="00572DE9">
            <w:pPr>
              <w:jc w:val="right"/>
              <w:rPr>
                <w:rFonts w:ascii="Arial" w:hAnsi="Arial" w:cs="Arial"/>
                <w:lang w:val="en-GB"/>
              </w:rPr>
            </w:pPr>
            <w:r w:rsidRPr="00F90D5D">
              <w:rPr>
                <w:rFonts w:ascii="Arial" w:hAnsi="Arial" w:cs="Arial"/>
                <w:lang w:val="en-GB"/>
              </w:rPr>
              <w:t>1,093</w:t>
            </w:r>
          </w:p>
          <w:p w:rsidR="00500131" w:rsidRPr="00F90D5D" w:rsidRDefault="00500131" w:rsidP="00572DE9">
            <w:pPr>
              <w:jc w:val="right"/>
              <w:rPr>
                <w:rFonts w:ascii="Arial" w:eastAsiaTheme="minorEastAsia" w:hAnsi="Arial" w:cs="Arial"/>
                <w:lang w:val="en-GB" w:eastAsia="zh-CN"/>
              </w:rPr>
            </w:pPr>
            <w:r w:rsidRPr="00F90D5D">
              <w:rPr>
                <w:rFonts w:ascii="Arial" w:hAnsi="Arial" w:cs="Arial"/>
                <w:lang w:val="en-GB"/>
              </w:rPr>
              <w:t>679</w:t>
            </w:r>
          </w:p>
          <w:p w:rsidR="00500131" w:rsidRDefault="00500131" w:rsidP="00572DE9">
            <w:pPr>
              <w:jc w:val="right"/>
              <w:rPr>
                <w:rFonts w:ascii="Arial" w:hAnsi="Arial" w:cs="Arial"/>
                <w:lang w:val="en-GB"/>
              </w:rPr>
            </w:pPr>
          </w:p>
          <w:p w:rsidR="00500131" w:rsidRPr="00F90D5D" w:rsidRDefault="00500131" w:rsidP="00572DE9">
            <w:pPr>
              <w:jc w:val="right"/>
              <w:rPr>
                <w:rFonts w:ascii="Arial" w:hAnsi="Arial" w:cs="Arial"/>
                <w:lang w:val="en-GB"/>
              </w:rPr>
            </w:pPr>
            <w:r w:rsidRPr="00F90D5D">
              <w:rPr>
                <w:rFonts w:ascii="Arial" w:hAnsi="Arial" w:cs="Arial"/>
                <w:lang w:val="en-GB"/>
              </w:rPr>
              <w:t>265</w:t>
            </w:r>
          </w:p>
        </w:tc>
        <w:tc>
          <w:tcPr>
            <w:tcW w:w="992"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5,260</w:t>
            </w:r>
          </w:p>
          <w:p w:rsidR="00500131" w:rsidRPr="00F90D5D" w:rsidRDefault="00500131" w:rsidP="00572DE9">
            <w:pPr>
              <w:jc w:val="right"/>
              <w:rPr>
                <w:rFonts w:ascii="Arial" w:eastAsiaTheme="minorEastAsia" w:hAnsi="Arial" w:cs="Arial"/>
                <w:lang w:val="en-GB" w:eastAsia="zh-CN"/>
              </w:rPr>
            </w:pPr>
          </w:p>
          <w:p w:rsidR="00500131" w:rsidRPr="00F90D5D" w:rsidRDefault="00500131" w:rsidP="00572DE9">
            <w:pPr>
              <w:jc w:val="right"/>
              <w:rPr>
                <w:rFonts w:ascii="Arial" w:hAnsi="Arial" w:cs="Arial"/>
                <w:lang w:val="en-GB"/>
              </w:rPr>
            </w:pPr>
            <w:r w:rsidRPr="00F90D5D">
              <w:rPr>
                <w:rFonts w:ascii="Arial" w:eastAsiaTheme="minorEastAsia" w:hAnsi="Arial" w:cs="Arial" w:hint="eastAsia"/>
                <w:lang w:val="en-GB" w:eastAsia="zh-CN"/>
              </w:rPr>
              <w:t>1</w:t>
            </w:r>
            <w:r>
              <w:rPr>
                <w:rFonts w:ascii="Arial" w:eastAsiaTheme="minorEastAsia" w:hAnsi="Arial" w:cs="Arial"/>
                <w:lang w:val="en-GB" w:eastAsia="zh-CN"/>
              </w:rPr>
              <w:t>,</w:t>
            </w:r>
            <w:r w:rsidRPr="00F90D5D">
              <w:rPr>
                <w:rFonts w:ascii="Arial" w:eastAsiaTheme="minorEastAsia" w:hAnsi="Arial" w:cs="Arial" w:hint="eastAsia"/>
                <w:lang w:val="en-GB" w:eastAsia="zh-CN"/>
              </w:rPr>
              <w:t>410</w:t>
            </w:r>
          </w:p>
          <w:p w:rsidR="00500131" w:rsidRPr="00F90D5D" w:rsidRDefault="00500131" w:rsidP="00572DE9">
            <w:pPr>
              <w:jc w:val="right"/>
              <w:rPr>
                <w:rFonts w:ascii="Arial" w:hAnsi="Arial" w:cs="Arial"/>
                <w:lang w:val="en-GB"/>
              </w:rPr>
            </w:pPr>
            <w:r w:rsidRPr="00F90D5D">
              <w:rPr>
                <w:rFonts w:ascii="Arial" w:eastAsiaTheme="minorEastAsia" w:hAnsi="Arial" w:cs="Arial" w:hint="eastAsia"/>
                <w:lang w:val="en-GB" w:eastAsia="zh-CN"/>
              </w:rPr>
              <w:t>1</w:t>
            </w:r>
            <w:r>
              <w:rPr>
                <w:rFonts w:ascii="Arial" w:eastAsiaTheme="minorEastAsia" w:hAnsi="Arial" w:cs="Arial"/>
                <w:lang w:val="en-GB" w:eastAsia="zh-CN"/>
              </w:rPr>
              <w:t>,</w:t>
            </w:r>
            <w:r w:rsidRPr="00F90D5D">
              <w:rPr>
                <w:rFonts w:ascii="Arial" w:eastAsiaTheme="minorEastAsia" w:hAnsi="Arial" w:cs="Arial" w:hint="eastAsia"/>
                <w:lang w:val="en-GB" w:eastAsia="zh-CN"/>
              </w:rPr>
              <w:t>268</w:t>
            </w:r>
          </w:p>
          <w:p w:rsidR="00500131" w:rsidRPr="00F90D5D" w:rsidRDefault="00500131" w:rsidP="00572DE9">
            <w:pPr>
              <w:jc w:val="right"/>
              <w:rPr>
                <w:rFonts w:ascii="Arial" w:eastAsiaTheme="minorEastAsia" w:hAnsi="Arial" w:cs="Arial"/>
                <w:lang w:val="en-GB" w:eastAsia="zh-CN"/>
              </w:rPr>
            </w:pPr>
            <w:r w:rsidRPr="00F90D5D">
              <w:rPr>
                <w:rFonts w:ascii="Arial" w:eastAsiaTheme="minorEastAsia" w:hAnsi="Arial" w:cs="Arial" w:hint="eastAsia"/>
                <w:lang w:val="en-GB" w:eastAsia="zh-CN"/>
              </w:rPr>
              <w:t>464</w:t>
            </w:r>
          </w:p>
          <w:p w:rsidR="00500131" w:rsidRPr="00F90D5D" w:rsidRDefault="00500131" w:rsidP="00572DE9">
            <w:pPr>
              <w:jc w:val="right"/>
              <w:rPr>
                <w:rFonts w:ascii="Arial" w:eastAsiaTheme="minorEastAsia" w:hAnsi="Arial" w:cs="Arial"/>
                <w:lang w:val="en-GB" w:eastAsia="zh-CN"/>
              </w:rPr>
            </w:pPr>
          </w:p>
          <w:p w:rsidR="00500131" w:rsidRPr="00F90D5D" w:rsidRDefault="00500131" w:rsidP="00572DE9">
            <w:pPr>
              <w:jc w:val="right"/>
              <w:rPr>
                <w:rFonts w:ascii="Arial" w:eastAsiaTheme="minorEastAsia" w:hAnsi="Arial" w:cs="Arial"/>
                <w:b/>
                <w:lang w:val="en-GB" w:eastAsia="zh-CN"/>
              </w:rPr>
            </w:pPr>
            <w:r w:rsidRPr="00F90D5D">
              <w:rPr>
                <w:rFonts w:ascii="Arial" w:eastAsiaTheme="minorEastAsia" w:hAnsi="Arial" w:cs="Arial" w:hint="eastAsia"/>
                <w:lang w:val="en-GB" w:eastAsia="zh-CN"/>
              </w:rPr>
              <w:t>354</w:t>
            </w:r>
          </w:p>
        </w:tc>
      </w:tr>
      <w:tr w:rsidR="00500131" w:rsidRPr="00F90D5D" w:rsidTr="009A3D6E">
        <w:trPr>
          <w:jc w:val="center"/>
        </w:trPr>
        <w:tc>
          <w:tcPr>
            <w:tcW w:w="4678" w:type="dxa"/>
            <w:shd w:val="clear" w:color="auto" w:fill="auto"/>
          </w:tcPr>
          <w:p w:rsidR="00500131" w:rsidRPr="00F90D5D" w:rsidRDefault="00500131" w:rsidP="00572DE9">
            <w:pPr>
              <w:rPr>
                <w:rFonts w:ascii="Arial" w:hAnsi="Arial" w:cs="Arial"/>
                <w:lang w:val="en-GB"/>
              </w:rPr>
            </w:pPr>
            <w:r w:rsidRPr="00F90D5D">
              <w:rPr>
                <w:rFonts w:ascii="Arial" w:hAnsi="Arial" w:cs="Arial"/>
                <w:lang w:val="en-GB"/>
              </w:rPr>
              <w:t>Total Revenues</w:t>
            </w:r>
          </w:p>
        </w:tc>
        <w:tc>
          <w:tcPr>
            <w:tcW w:w="1007"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5,254</w:t>
            </w:r>
          </w:p>
        </w:tc>
        <w:tc>
          <w:tcPr>
            <w:tcW w:w="1134"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6,361</w:t>
            </w:r>
          </w:p>
        </w:tc>
        <w:tc>
          <w:tcPr>
            <w:tcW w:w="1134"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7,935</w:t>
            </w:r>
          </w:p>
        </w:tc>
        <w:tc>
          <w:tcPr>
            <w:tcW w:w="992"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8,756</w:t>
            </w:r>
          </w:p>
        </w:tc>
      </w:tr>
      <w:tr w:rsidR="00500131" w:rsidRPr="00F90D5D" w:rsidTr="009A3D6E">
        <w:trPr>
          <w:jc w:val="center"/>
        </w:trPr>
        <w:tc>
          <w:tcPr>
            <w:tcW w:w="4678" w:type="dxa"/>
            <w:shd w:val="clear" w:color="auto" w:fill="auto"/>
          </w:tcPr>
          <w:p w:rsidR="00500131" w:rsidRPr="00F90D5D" w:rsidRDefault="00500131" w:rsidP="00572DE9">
            <w:pPr>
              <w:rPr>
                <w:rFonts w:ascii="Arial" w:hAnsi="Arial" w:cs="Arial"/>
                <w:lang w:val="en-GB"/>
              </w:rPr>
            </w:pPr>
            <w:r w:rsidRPr="00F90D5D">
              <w:rPr>
                <w:rFonts w:ascii="Arial" w:hAnsi="Arial" w:cs="Arial"/>
                <w:lang w:val="en-GB"/>
              </w:rPr>
              <w:t>Cost of Sales and Service</w:t>
            </w:r>
          </w:p>
        </w:tc>
        <w:tc>
          <w:tcPr>
            <w:tcW w:w="1007"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(1,452)</w:t>
            </w:r>
          </w:p>
        </w:tc>
        <w:tc>
          <w:tcPr>
            <w:tcW w:w="1134"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(1,789)</w:t>
            </w:r>
          </w:p>
        </w:tc>
        <w:tc>
          <w:tcPr>
            <w:tcW w:w="1134"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(2,054)</w:t>
            </w:r>
          </w:p>
        </w:tc>
        <w:tc>
          <w:tcPr>
            <w:tcW w:w="992"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(2,242)</w:t>
            </w:r>
          </w:p>
        </w:tc>
      </w:tr>
      <w:tr w:rsidR="00500131" w:rsidRPr="00F90D5D" w:rsidTr="009A3D6E">
        <w:trPr>
          <w:jc w:val="center"/>
        </w:trPr>
        <w:tc>
          <w:tcPr>
            <w:tcW w:w="4678" w:type="dxa"/>
            <w:shd w:val="clear" w:color="auto" w:fill="auto"/>
          </w:tcPr>
          <w:p w:rsidR="00500131" w:rsidRPr="00F90D5D" w:rsidRDefault="00500131" w:rsidP="00572DE9">
            <w:pPr>
              <w:rPr>
                <w:rFonts w:ascii="Arial" w:hAnsi="Arial" w:cs="Arial"/>
                <w:lang w:val="en-GB"/>
              </w:rPr>
            </w:pPr>
            <w:r w:rsidRPr="00F90D5D">
              <w:rPr>
                <w:rFonts w:ascii="Arial" w:hAnsi="Arial" w:cs="Arial"/>
                <w:lang w:val="en-GB"/>
              </w:rPr>
              <w:t>Gross Profit</w:t>
            </w:r>
          </w:p>
        </w:tc>
        <w:tc>
          <w:tcPr>
            <w:tcW w:w="1007"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3,801</w:t>
            </w:r>
          </w:p>
        </w:tc>
        <w:tc>
          <w:tcPr>
            <w:tcW w:w="1134"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4,571</w:t>
            </w:r>
          </w:p>
        </w:tc>
        <w:tc>
          <w:tcPr>
            <w:tcW w:w="1134"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5,881</w:t>
            </w:r>
          </w:p>
        </w:tc>
        <w:tc>
          <w:tcPr>
            <w:tcW w:w="992"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6,514</w:t>
            </w:r>
          </w:p>
        </w:tc>
      </w:tr>
      <w:tr w:rsidR="00500131" w:rsidRPr="00F90D5D" w:rsidTr="009A3D6E">
        <w:trPr>
          <w:jc w:val="center"/>
        </w:trPr>
        <w:tc>
          <w:tcPr>
            <w:tcW w:w="4678" w:type="dxa"/>
            <w:shd w:val="clear" w:color="auto" w:fill="auto"/>
          </w:tcPr>
          <w:p w:rsidR="00500131" w:rsidRPr="00F90D5D" w:rsidRDefault="00500131" w:rsidP="00572DE9">
            <w:pPr>
              <w:rPr>
                <w:rFonts w:ascii="Arial" w:hAnsi="Arial" w:cs="Arial"/>
                <w:lang w:val="en-GB"/>
              </w:rPr>
            </w:pPr>
            <w:r w:rsidRPr="00F90D5D">
              <w:rPr>
                <w:rFonts w:ascii="Arial" w:hAnsi="Arial" w:cs="Arial"/>
                <w:lang w:val="en-GB"/>
              </w:rPr>
              <w:t>Other Income</w:t>
            </w:r>
          </w:p>
          <w:p w:rsidR="00500131" w:rsidRPr="00F90D5D" w:rsidRDefault="00500131" w:rsidP="00572DE9">
            <w:pPr>
              <w:rPr>
                <w:rFonts w:ascii="Arial" w:hAnsi="Arial" w:cs="Arial"/>
                <w:lang w:val="en-GB"/>
              </w:rPr>
            </w:pPr>
            <w:r w:rsidRPr="00F90D5D">
              <w:rPr>
                <w:rFonts w:ascii="Arial" w:hAnsi="Arial" w:cs="Arial"/>
                <w:lang w:val="en-GB"/>
              </w:rPr>
              <w:t>Changes in Fair Value of Investment</w:t>
            </w:r>
          </w:p>
          <w:p w:rsidR="00500131" w:rsidRPr="00F90D5D" w:rsidRDefault="00500131" w:rsidP="00572DE9">
            <w:pPr>
              <w:rPr>
                <w:rFonts w:ascii="Arial" w:hAnsi="Arial" w:cs="Arial"/>
                <w:lang w:val="en-GB"/>
              </w:rPr>
            </w:pPr>
            <w:r w:rsidRPr="00F90D5D">
              <w:rPr>
                <w:rFonts w:ascii="Arial" w:hAnsi="Arial" w:cs="Arial"/>
                <w:lang w:val="en-GB"/>
              </w:rPr>
              <w:t>Other Gains and Losses</w:t>
            </w:r>
          </w:p>
          <w:p w:rsidR="00500131" w:rsidRPr="00F90D5D" w:rsidRDefault="00500131" w:rsidP="00572DE9">
            <w:pPr>
              <w:rPr>
                <w:rFonts w:ascii="Arial" w:hAnsi="Arial" w:cs="Arial"/>
                <w:lang w:val="en-GB"/>
              </w:rPr>
            </w:pPr>
            <w:r w:rsidRPr="00F90D5D">
              <w:rPr>
                <w:rFonts w:ascii="Arial" w:hAnsi="Arial" w:cs="Arial"/>
                <w:lang w:val="en-GB"/>
              </w:rPr>
              <w:t>Selling and Distribution Expenses</w:t>
            </w:r>
          </w:p>
          <w:p w:rsidR="00500131" w:rsidRPr="00F90D5D" w:rsidRDefault="00500131" w:rsidP="00572DE9">
            <w:pPr>
              <w:rPr>
                <w:rFonts w:ascii="Arial" w:hAnsi="Arial" w:cs="Arial"/>
                <w:lang w:val="en-GB"/>
              </w:rPr>
            </w:pPr>
            <w:r w:rsidRPr="00F90D5D">
              <w:rPr>
                <w:rFonts w:ascii="Arial" w:hAnsi="Arial" w:cs="Arial"/>
                <w:lang w:val="en-GB"/>
              </w:rPr>
              <w:t>Administrative Expenses</w:t>
            </w:r>
          </w:p>
          <w:p w:rsidR="00500131" w:rsidRPr="00F90D5D" w:rsidRDefault="00500131" w:rsidP="00572DE9">
            <w:pPr>
              <w:rPr>
                <w:rFonts w:ascii="Arial" w:hAnsi="Arial" w:cs="Arial"/>
                <w:lang w:val="en-GB"/>
              </w:rPr>
            </w:pPr>
            <w:r w:rsidRPr="00F90D5D">
              <w:rPr>
                <w:rFonts w:ascii="Arial" w:hAnsi="Arial" w:cs="Arial"/>
                <w:lang w:val="en-GB"/>
              </w:rPr>
              <w:t>Other Expenses</w:t>
            </w:r>
          </w:p>
          <w:p w:rsidR="00500131" w:rsidRPr="00F90D5D" w:rsidRDefault="00500131" w:rsidP="00572DE9">
            <w:pPr>
              <w:rPr>
                <w:rFonts w:ascii="Arial" w:hAnsi="Arial" w:cs="Arial"/>
                <w:lang w:val="en-GB"/>
              </w:rPr>
            </w:pPr>
            <w:r w:rsidRPr="00F90D5D">
              <w:rPr>
                <w:rFonts w:ascii="Arial" w:hAnsi="Arial" w:cs="Arial"/>
                <w:lang w:val="en-GB"/>
              </w:rPr>
              <w:t xml:space="preserve">Share of </w:t>
            </w:r>
            <w:r>
              <w:rPr>
                <w:rFonts w:ascii="Arial" w:hAnsi="Arial" w:cs="Arial"/>
                <w:lang w:val="en-GB"/>
              </w:rPr>
              <w:t>P</w:t>
            </w:r>
            <w:r w:rsidRPr="00F90D5D">
              <w:rPr>
                <w:rFonts w:ascii="Arial" w:hAnsi="Arial" w:cs="Arial"/>
                <w:lang w:val="en-GB"/>
              </w:rPr>
              <w:t>rofits of Associates</w:t>
            </w:r>
          </w:p>
          <w:p w:rsidR="00500131" w:rsidRPr="00F90D5D" w:rsidRDefault="00500131" w:rsidP="00572DE9">
            <w:pPr>
              <w:rPr>
                <w:rFonts w:ascii="Arial" w:hAnsi="Arial" w:cs="Arial"/>
                <w:lang w:val="en-GB"/>
              </w:rPr>
            </w:pPr>
            <w:r w:rsidRPr="00F90D5D">
              <w:rPr>
                <w:rFonts w:ascii="Arial" w:hAnsi="Arial" w:cs="Arial"/>
                <w:lang w:val="en-GB"/>
              </w:rPr>
              <w:t>Share of Results of Joint Ventures</w:t>
            </w:r>
          </w:p>
          <w:p w:rsidR="00500131" w:rsidRPr="00F90D5D" w:rsidRDefault="00500131" w:rsidP="00572DE9">
            <w:pPr>
              <w:rPr>
                <w:rFonts w:ascii="Arial" w:hAnsi="Arial" w:cs="Arial"/>
                <w:lang w:val="en-GB"/>
              </w:rPr>
            </w:pPr>
            <w:r w:rsidRPr="00F90D5D">
              <w:rPr>
                <w:rFonts w:ascii="Arial" w:hAnsi="Arial" w:cs="Arial"/>
                <w:lang w:val="en-GB"/>
              </w:rPr>
              <w:t>Finance Costs</w:t>
            </w:r>
          </w:p>
        </w:tc>
        <w:tc>
          <w:tcPr>
            <w:tcW w:w="1007"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222</w:t>
            </w:r>
          </w:p>
          <w:p w:rsidR="00500131" w:rsidRPr="00F90D5D" w:rsidRDefault="00500131" w:rsidP="00572DE9">
            <w:pPr>
              <w:jc w:val="right"/>
              <w:rPr>
                <w:rFonts w:ascii="Arial" w:hAnsi="Arial" w:cs="Arial"/>
                <w:lang w:val="en-GB"/>
              </w:rPr>
            </w:pPr>
            <w:r w:rsidRPr="00F90D5D">
              <w:rPr>
                <w:rFonts w:ascii="Arial" w:hAnsi="Arial" w:cs="Arial"/>
                <w:lang w:val="en-GB"/>
              </w:rPr>
              <w:t>1,112</w:t>
            </w:r>
          </w:p>
          <w:p w:rsidR="00500131" w:rsidRPr="00F90D5D" w:rsidRDefault="00500131" w:rsidP="00572DE9">
            <w:pPr>
              <w:jc w:val="right"/>
              <w:rPr>
                <w:rFonts w:ascii="Arial" w:hAnsi="Arial" w:cs="Arial"/>
                <w:lang w:val="en-GB"/>
              </w:rPr>
            </w:pPr>
            <w:r w:rsidRPr="00F90D5D">
              <w:rPr>
                <w:rFonts w:ascii="Arial" w:hAnsi="Arial" w:cs="Arial"/>
                <w:lang w:val="en-GB"/>
              </w:rPr>
              <w:t>(48)</w:t>
            </w:r>
          </w:p>
          <w:p w:rsidR="00500131" w:rsidRPr="00F90D5D" w:rsidRDefault="00500131" w:rsidP="00572DE9">
            <w:pPr>
              <w:jc w:val="right"/>
              <w:rPr>
                <w:rFonts w:ascii="Arial" w:hAnsi="Arial" w:cs="Arial"/>
                <w:lang w:val="en-GB"/>
              </w:rPr>
            </w:pPr>
            <w:r w:rsidRPr="00F90D5D">
              <w:rPr>
                <w:rFonts w:ascii="Arial" w:hAnsi="Arial" w:cs="Arial"/>
                <w:lang w:val="en-GB"/>
              </w:rPr>
              <w:t>(809)</w:t>
            </w:r>
          </w:p>
          <w:p w:rsidR="00500131" w:rsidRPr="00F90D5D" w:rsidRDefault="00500131" w:rsidP="00572DE9">
            <w:pPr>
              <w:jc w:val="right"/>
              <w:rPr>
                <w:rFonts w:ascii="Arial" w:hAnsi="Arial" w:cs="Arial"/>
                <w:lang w:val="en-GB"/>
              </w:rPr>
            </w:pPr>
            <w:r w:rsidRPr="00F90D5D">
              <w:rPr>
                <w:rFonts w:ascii="Arial" w:hAnsi="Arial" w:cs="Arial"/>
                <w:lang w:val="en-GB"/>
              </w:rPr>
              <w:t>(654)</w:t>
            </w:r>
          </w:p>
          <w:p w:rsidR="00500131" w:rsidRPr="00F90D5D" w:rsidRDefault="00500131" w:rsidP="00572DE9">
            <w:pPr>
              <w:jc w:val="right"/>
              <w:rPr>
                <w:rFonts w:ascii="Arial" w:hAnsi="Arial" w:cs="Arial"/>
                <w:lang w:val="en-GB"/>
              </w:rPr>
            </w:pPr>
            <w:r w:rsidRPr="00F90D5D">
              <w:rPr>
                <w:rFonts w:ascii="Arial" w:hAnsi="Arial" w:cs="Arial"/>
                <w:lang w:val="en-GB"/>
              </w:rPr>
              <w:t>(6)</w:t>
            </w:r>
          </w:p>
          <w:p w:rsidR="00500131" w:rsidRPr="00F90D5D" w:rsidRDefault="00500131" w:rsidP="00572DE9">
            <w:pPr>
              <w:jc w:val="right"/>
              <w:rPr>
                <w:rFonts w:ascii="Arial" w:hAnsi="Arial" w:cs="Arial"/>
                <w:lang w:val="en-GB"/>
              </w:rPr>
            </w:pPr>
            <w:r w:rsidRPr="00F90D5D">
              <w:rPr>
                <w:rFonts w:ascii="Arial" w:hAnsi="Arial" w:cs="Arial"/>
                <w:lang w:val="en-GB"/>
              </w:rPr>
              <w:t>45</w:t>
            </w:r>
          </w:p>
          <w:p w:rsidR="00500131" w:rsidRPr="00F90D5D" w:rsidRDefault="00500131" w:rsidP="00572DE9">
            <w:pPr>
              <w:jc w:val="right"/>
              <w:rPr>
                <w:rFonts w:ascii="Arial" w:hAnsi="Arial" w:cs="Arial"/>
                <w:lang w:val="en-GB"/>
              </w:rPr>
            </w:pPr>
            <w:r w:rsidRPr="00F90D5D">
              <w:rPr>
                <w:rFonts w:ascii="Arial" w:hAnsi="Arial" w:cs="Arial"/>
                <w:lang w:val="en-GB"/>
              </w:rPr>
              <w:t>(14)</w:t>
            </w:r>
          </w:p>
          <w:p w:rsidR="00500131" w:rsidRPr="00F90D5D" w:rsidRDefault="00500131" w:rsidP="00572DE9">
            <w:pPr>
              <w:jc w:val="right"/>
              <w:rPr>
                <w:rFonts w:ascii="Arial" w:hAnsi="Arial" w:cs="Arial"/>
                <w:lang w:val="en-GB"/>
              </w:rPr>
            </w:pPr>
            <w:r w:rsidRPr="00F90D5D">
              <w:rPr>
                <w:rFonts w:ascii="Arial" w:hAnsi="Arial" w:cs="Arial"/>
                <w:lang w:val="en-GB"/>
              </w:rPr>
              <w:t>(554)</w:t>
            </w:r>
          </w:p>
        </w:tc>
        <w:tc>
          <w:tcPr>
            <w:tcW w:w="1134"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192</w:t>
            </w:r>
          </w:p>
          <w:p w:rsidR="00500131" w:rsidRPr="00F90D5D" w:rsidRDefault="00500131" w:rsidP="00572DE9">
            <w:pPr>
              <w:jc w:val="right"/>
              <w:rPr>
                <w:rFonts w:ascii="Arial" w:hAnsi="Arial" w:cs="Arial"/>
                <w:lang w:val="en-GB"/>
              </w:rPr>
            </w:pPr>
            <w:r w:rsidRPr="00F90D5D">
              <w:rPr>
                <w:rFonts w:ascii="Arial" w:hAnsi="Arial" w:cs="Arial"/>
                <w:lang w:val="en-GB"/>
              </w:rPr>
              <w:t>2,055</w:t>
            </w:r>
          </w:p>
          <w:p w:rsidR="00500131" w:rsidRPr="00F90D5D" w:rsidRDefault="00500131" w:rsidP="00572DE9">
            <w:pPr>
              <w:jc w:val="right"/>
              <w:rPr>
                <w:rFonts w:ascii="Arial" w:hAnsi="Arial" w:cs="Arial"/>
                <w:lang w:val="en-GB"/>
              </w:rPr>
            </w:pPr>
            <w:r w:rsidRPr="00F90D5D">
              <w:rPr>
                <w:rFonts w:ascii="Arial" w:hAnsi="Arial" w:cs="Arial"/>
                <w:lang w:val="en-GB"/>
              </w:rPr>
              <w:t>(30)</w:t>
            </w:r>
          </w:p>
          <w:p w:rsidR="00500131" w:rsidRPr="00F90D5D" w:rsidRDefault="00500131" w:rsidP="00572DE9">
            <w:pPr>
              <w:jc w:val="right"/>
              <w:rPr>
                <w:rFonts w:ascii="Arial" w:hAnsi="Arial" w:cs="Arial"/>
                <w:lang w:val="en-GB"/>
              </w:rPr>
            </w:pPr>
            <w:r w:rsidRPr="00F90D5D">
              <w:rPr>
                <w:rFonts w:ascii="Arial" w:hAnsi="Arial" w:cs="Arial"/>
                <w:lang w:val="en-GB"/>
              </w:rPr>
              <w:t>(922)</w:t>
            </w:r>
          </w:p>
          <w:p w:rsidR="00500131" w:rsidRPr="00F90D5D" w:rsidRDefault="00500131" w:rsidP="00572DE9">
            <w:pPr>
              <w:jc w:val="right"/>
              <w:rPr>
                <w:rFonts w:ascii="Arial" w:hAnsi="Arial" w:cs="Arial"/>
                <w:lang w:val="en-GB"/>
              </w:rPr>
            </w:pPr>
            <w:r w:rsidRPr="00F90D5D">
              <w:rPr>
                <w:rFonts w:ascii="Arial" w:hAnsi="Arial" w:cs="Arial"/>
                <w:lang w:val="en-GB"/>
              </w:rPr>
              <w:t>(771)</w:t>
            </w:r>
          </w:p>
          <w:p w:rsidR="00500131" w:rsidRPr="00F90D5D" w:rsidRDefault="00500131" w:rsidP="00572DE9">
            <w:pPr>
              <w:jc w:val="right"/>
              <w:rPr>
                <w:rFonts w:ascii="Arial" w:hAnsi="Arial" w:cs="Arial"/>
                <w:lang w:val="en-GB"/>
              </w:rPr>
            </w:pPr>
            <w:r w:rsidRPr="00F90D5D">
              <w:rPr>
                <w:rFonts w:ascii="Arial" w:hAnsi="Arial" w:cs="Arial"/>
                <w:lang w:val="en-GB"/>
              </w:rPr>
              <w:t>(2</w:t>
            </w:r>
            <w:r w:rsidRPr="00F90D5D">
              <w:rPr>
                <w:rFonts w:ascii="Arial" w:eastAsiaTheme="minorEastAsia" w:hAnsi="Arial" w:cs="Arial" w:hint="eastAsia"/>
                <w:lang w:val="en-GB" w:eastAsia="zh-CN"/>
              </w:rPr>
              <w:t>7</w:t>
            </w:r>
            <w:r w:rsidRPr="00F90D5D">
              <w:rPr>
                <w:rFonts w:ascii="Arial" w:hAnsi="Arial" w:cs="Arial"/>
                <w:lang w:val="en-GB"/>
              </w:rPr>
              <w:t>)</w:t>
            </w:r>
          </w:p>
          <w:p w:rsidR="00500131" w:rsidRPr="00F90D5D" w:rsidRDefault="00500131" w:rsidP="00572DE9">
            <w:pPr>
              <w:jc w:val="right"/>
              <w:rPr>
                <w:rFonts w:ascii="Arial" w:hAnsi="Arial" w:cs="Arial"/>
                <w:lang w:val="en-GB"/>
              </w:rPr>
            </w:pPr>
            <w:r w:rsidRPr="00F90D5D">
              <w:rPr>
                <w:rFonts w:ascii="Arial" w:hAnsi="Arial" w:cs="Arial"/>
                <w:lang w:val="en-GB"/>
              </w:rPr>
              <w:t>42</w:t>
            </w:r>
          </w:p>
          <w:p w:rsidR="00500131" w:rsidRPr="00F90D5D" w:rsidRDefault="00500131" w:rsidP="00572DE9">
            <w:pPr>
              <w:jc w:val="right"/>
              <w:rPr>
                <w:rFonts w:ascii="Arial" w:hAnsi="Arial" w:cs="Arial"/>
                <w:lang w:val="en-GB"/>
              </w:rPr>
            </w:pPr>
            <w:r w:rsidRPr="00F90D5D">
              <w:rPr>
                <w:rFonts w:ascii="Arial" w:hAnsi="Arial" w:cs="Arial"/>
                <w:lang w:val="en-GB"/>
              </w:rPr>
              <w:t>(10)</w:t>
            </w:r>
          </w:p>
          <w:p w:rsidR="00500131" w:rsidRPr="00F90D5D" w:rsidRDefault="00500131" w:rsidP="00572DE9">
            <w:pPr>
              <w:jc w:val="right"/>
              <w:rPr>
                <w:rFonts w:ascii="Arial" w:eastAsiaTheme="minorEastAsia" w:hAnsi="Arial" w:cs="Arial"/>
                <w:lang w:val="en-GB" w:eastAsia="zh-CN"/>
              </w:rPr>
            </w:pPr>
            <w:r w:rsidRPr="00F90D5D">
              <w:rPr>
                <w:rFonts w:ascii="Arial" w:hAnsi="Arial" w:cs="Arial"/>
                <w:lang w:val="en-GB"/>
              </w:rPr>
              <w:t>(631</w:t>
            </w:r>
            <w:r w:rsidRPr="00F90D5D">
              <w:rPr>
                <w:rFonts w:ascii="Arial" w:eastAsiaTheme="minorEastAsia" w:hAnsi="Arial" w:cs="Arial" w:hint="eastAsia"/>
                <w:lang w:val="en-GB" w:eastAsia="zh-CN"/>
              </w:rPr>
              <w:t>)</w:t>
            </w:r>
          </w:p>
        </w:tc>
        <w:tc>
          <w:tcPr>
            <w:tcW w:w="1134" w:type="dxa"/>
            <w:shd w:val="clear" w:color="auto" w:fill="auto"/>
          </w:tcPr>
          <w:p w:rsidR="00500131" w:rsidRPr="00F90D5D" w:rsidRDefault="00500131" w:rsidP="00572DE9">
            <w:pPr>
              <w:jc w:val="right"/>
              <w:rPr>
                <w:rFonts w:ascii="Arial" w:eastAsiaTheme="minorEastAsia" w:hAnsi="Arial" w:cs="Arial"/>
                <w:lang w:val="en-GB" w:eastAsia="zh-CN"/>
              </w:rPr>
            </w:pPr>
            <w:r w:rsidRPr="00F90D5D">
              <w:rPr>
                <w:rFonts w:ascii="Arial" w:eastAsiaTheme="minorEastAsia" w:hAnsi="Arial" w:cs="Arial" w:hint="eastAsia"/>
                <w:lang w:val="en-GB" w:eastAsia="zh-CN"/>
              </w:rPr>
              <w:t>170</w:t>
            </w:r>
          </w:p>
          <w:p w:rsidR="00500131" w:rsidRPr="00F90D5D" w:rsidRDefault="00500131" w:rsidP="00572DE9">
            <w:pPr>
              <w:jc w:val="right"/>
              <w:rPr>
                <w:rFonts w:ascii="Arial" w:hAnsi="Arial" w:cs="Arial"/>
                <w:lang w:val="en-GB"/>
              </w:rPr>
            </w:pPr>
            <w:r w:rsidRPr="00F90D5D">
              <w:rPr>
                <w:rFonts w:ascii="Arial" w:hAnsi="Arial" w:cs="Arial"/>
                <w:lang w:val="en-GB"/>
              </w:rPr>
              <w:t>2,415</w:t>
            </w:r>
          </w:p>
          <w:p w:rsidR="00500131" w:rsidRPr="00F90D5D" w:rsidRDefault="00500131" w:rsidP="00572DE9">
            <w:pPr>
              <w:jc w:val="right"/>
              <w:rPr>
                <w:rFonts w:ascii="Arial" w:hAnsi="Arial" w:cs="Arial"/>
                <w:lang w:val="en-GB"/>
              </w:rPr>
            </w:pPr>
            <w:r w:rsidRPr="00F90D5D">
              <w:rPr>
                <w:rFonts w:ascii="Arial" w:hAnsi="Arial" w:cs="Arial"/>
                <w:lang w:val="en-GB"/>
              </w:rPr>
              <w:t>(187)</w:t>
            </w:r>
          </w:p>
          <w:p w:rsidR="00500131" w:rsidRPr="00F90D5D" w:rsidRDefault="00500131" w:rsidP="00572DE9">
            <w:pPr>
              <w:jc w:val="right"/>
              <w:rPr>
                <w:rFonts w:ascii="Arial" w:hAnsi="Arial" w:cs="Arial"/>
                <w:lang w:val="en-GB"/>
              </w:rPr>
            </w:pPr>
            <w:r w:rsidRPr="00F90D5D">
              <w:rPr>
                <w:rFonts w:ascii="Arial" w:hAnsi="Arial" w:cs="Arial"/>
                <w:lang w:val="en-GB"/>
              </w:rPr>
              <w:t>(1,055)</w:t>
            </w:r>
          </w:p>
          <w:p w:rsidR="00500131" w:rsidRPr="00F90D5D" w:rsidRDefault="00500131" w:rsidP="00572DE9">
            <w:pPr>
              <w:jc w:val="right"/>
              <w:rPr>
                <w:rFonts w:ascii="Arial" w:hAnsi="Arial" w:cs="Arial"/>
                <w:lang w:val="en-GB"/>
              </w:rPr>
            </w:pPr>
            <w:r w:rsidRPr="00F90D5D">
              <w:rPr>
                <w:rFonts w:ascii="Arial" w:hAnsi="Arial" w:cs="Arial"/>
                <w:lang w:val="en-GB"/>
              </w:rPr>
              <w:t>(92</w:t>
            </w:r>
            <w:r w:rsidRPr="00F90D5D">
              <w:rPr>
                <w:rFonts w:ascii="Arial" w:eastAsiaTheme="minorEastAsia" w:hAnsi="Arial" w:cs="Arial" w:hint="eastAsia"/>
                <w:lang w:val="en-GB" w:eastAsia="zh-CN"/>
              </w:rPr>
              <w:t>3</w:t>
            </w:r>
            <w:r w:rsidRPr="00F90D5D">
              <w:rPr>
                <w:rFonts w:ascii="Arial" w:hAnsi="Arial" w:cs="Arial"/>
                <w:lang w:val="en-GB"/>
              </w:rPr>
              <w:t>)</w:t>
            </w:r>
          </w:p>
          <w:p w:rsidR="00500131" w:rsidRPr="00F90D5D" w:rsidRDefault="00500131" w:rsidP="00572DE9">
            <w:pPr>
              <w:jc w:val="right"/>
              <w:rPr>
                <w:rFonts w:ascii="Arial" w:hAnsi="Arial" w:cs="Arial"/>
                <w:lang w:val="en-GB"/>
              </w:rPr>
            </w:pPr>
            <w:r w:rsidRPr="00F90D5D">
              <w:rPr>
                <w:rFonts w:ascii="Arial" w:hAnsi="Arial" w:cs="Arial"/>
                <w:lang w:val="en-GB"/>
              </w:rPr>
              <w:t>(113)</w:t>
            </w:r>
          </w:p>
          <w:p w:rsidR="00500131" w:rsidRPr="00F90D5D" w:rsidRDefault="00500131" w:rsidP="00572DE9">
            <w:pPr>
              <w:jc w:val="right"/>
              <w:rPr>
                <w:rFonts w:ascii="Arial" w:hAnsi="Arial" w:cs="Arial"/>
                <w:lang w:val="en-GB"/>
              </w:rPr>
            </w:pPr>
            <w:r w:rsidRPr="00F90D5D">
              <w:rPr>
                <w:rFonts w:ascii="Arial" w:hAnsi="Arial" w:cs="Arial"/>
                <w:lang w:val="en-GB"/>
              </w:rPr>
              <w:t>14</w:t>
            </w:r>
          </w:p>
          <w:p w:rsidR="00500131" w:rsidRPr="00F90D5D" w:rsidRDefault="00500131" w:rsidP="00572DE9">
            <w:pPr>
              <w:jc w:val="right"/>
              <w:rPr>
                <w:rFonts w:ascii="Arial" w:hAnsi="Arial" w:cs="Arial"/>
                <w:lang w:val="en-GB"/>
              </w:rPr>
            </w:pPr>
            <w:r w:rsidRPr="00F90D5D">
              <w:rPr>
                <w:rFonts w:ascii="Arial" w:hAnsi="Arial" w:cs="Arial"/>
                <w:lang w:val="en-GB"/>
              </w:rPr>
              <w:t>4</w:t>
            </w:r>
          </w:p>
          <w:p w:rsidR="00500131" w:rsidRPr="00F90D5D" w:rsidRDefault="00500131" w:rsidP="00572DE9">
            <w:pPr>
              <w:jc w:val="right"/>
              <w:rPr>
                <w:rFonts w:ascii="Arial" w:hAnsi="Arial" w:cs="Arial"/>
                <w:lang w:val="en-GB"/>
              </w:rPr>
            </w:pPr>
            <w:r w:rsidRPr="00F90D5D">
              <w:rPr>
                <w:rFonts w:ascii="Arial" w:hAnsi="Arial" w:cs="Arial"/>
                <w:lang w:val="en-GB"/>
              </w:rPr>
              <w:t>(856)</w:t>
            </w:r>
          </w:p>
        </w:tc>
        <w:tc>
          <w:tcPr>
            <w:tcW w:w="992"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194</w:t>
            </w:r>
          </w:p>
          <w:p w:rsidR="00500131" w:rsidRPr="00F90D5D" w:rsidRDefault="00500131" w:rsidP="00572DE9">
            <w:pPr>
              <w:jc w:val="right"/>
              <w:rPr>
                <w:rFonts w:ascii="Arial" w:hAnsi="Arial" w:cs="Arial"/>
                <w:lang w:val="en-GB"/>
              </w:rPr>
            </w:pPr>
            <w:r w:rsidRPr="00F90D5D">
              <w:rPr>
                <w:rFonts w:ascii="Arial" w:hAnsi="Arial" w:cs="Arial"/>
                <w:lang w:val="en-GB"/>
              </w:rPr>
              <w:t>2,382</w:t>
            </w:r>
          </w:p>
          <w:p w:rsidR="00500131" w:rsidRPr="00F90D5D" w:rsidRDefault="00500131" w:rsidP="00572DE9">
            <w:pPr>
              <w:jc w:val="right"/>
              <w:rPr>
                <w:rFonts w:ascii="Arial" w:hAnsi="Arial" w:cs="Arial"/>
                <w:lang w:val="en-GB"/>
              </w:rPr>
            </w:pPr>
            <w:r w:rsidRPr="00F90D5D">
              <w:rPr>
                <w:rFonts w:ascii="Arial" w:hAnsi="Arial" w:cs="Arial"/>
                <w:lang w:val="en-GB"/>
              </w:rPr>
              <w:t>(206)</w:t>
            </w:r>
          </w:p>
          <w:p w:rsidR="00500131" w:rsidRPr="00F90D5D" w:rsidRDefault="00500131" w:rsidP="00572DE9">
            <w:pPr>
              <w:jc w:val="right"/>
              <w:rPr>
                <w:rFonts w:ascii="Arial" w:hAnsi="Arial" w:cs="Arial"/>
                <w:lang w:val="en-GB"/>
              </w:rPr>
            </w:pPr>
            <w:r w:rsidRPr="00F90D5D">
              <w:rPr>
                <w:rFonts w:ascii="Arial" w:hAnsi="Arial" w:cs="Arial"/>
                <w:lang w:val="en-GB"/>
              </w:rPr>
              <w:t>(1,197)</w:t>
            </w:r>
          </w:p>
          <w:p w:rsidR="00500131" w:rsidRPr="00F90D5D" w:rsidRDefault="00500131" w:rsidP="00572DE9">
            <w:pPr>
              <w:jc w:val="right"/>
              <w:rPr>
                <w:rFonts w:ascii="Arial" w:hAnsi="Arial" w:cs="Arial"/>
                <w:lang w:val="en-GB"/>
              </w:rPr>
            </w:pPr>
            <w:r w:rsidRPr="00F90D5D">
              <w:rPr>
                <w:rFonts w:ascii="Arial" w:hAnsi="Arial" w:cs="Arial"/>
                <w:lang w:val="en-GB"/>
              </w:rPr>
              <w:t>(882)</w:t>
            </w:r>
          </w:p>
          <w:p w:rsidR="00500131" w:rsidRPr="00F90D5D" w:rsidRDefault="00500131" w:rsidP="00572DE9">
            <w:pPr>
              <w:jc w:val="right"/>
              <w:rPr>
                <w:rFonts w:ascii="Arial" w:hAnsi="Arial" w:cs="Arial"/>
                <w:lang w:val="en-GB"/>
              </w:rPr>
            </w:pPr>
            <w:r w:rsidRPr="00F90D5D">
              <w:rPr>
                <w:rFonts w:ascii="Arial" w:hAnsi="Arial" w:cs="Arial"/>
                <w:lang w:val="en-GB"/>
              </w:rPr>
              <w:t>(121)</w:t>
            </w:r>
          </w:p>
          <w:p w:rsidR="00500131" w:rsidRPr="00F90D5D" w:rsidRDefault="00500131" w:rsidP="00572DE9">
            <w:pPr>
              <w:jc w:val="right"/>
              <w:rPr>
                <w:rFonts w:ascii="Arial" w:hAnsi="Arial" w:cs="Arial"/>
                <w:lang w:val="en-GB"/>
              </w:rPr>
            </w:pPr>
            <w:r w:rsidRPr="00F90D5D">
              <w:rPr>
                <w:rFonts w:ascii="Arial" w:hAnsi="Arial" w:cs="Arial"/>
                <w:lang w:val="en-GB"/>
              </w:rPr>
              <w:t>62</w:t>
            </w:r>
          </w:p>
          <w:p w:rsidR="00500131" w:rsidRPr="00F90D5D" w:rsidRDefault="00500131" w:rsidP="00572DE9">
            <w:pPr>
              <w:jc w:val="right"/>
              <w:rPr>
                <w:rFonts w:ascii="Arial" w:hAnsi="Arial" w:cs="Arial"/>
                <w:lang w:val="en-GB"/>
              </w:rPr>
            </w:pPr>
            <w:r w:rsidRPr="00F90D5D">
              <w:rPr>
                <w:rFonts w:ascii="Arial" w:hAnsi="Arial" w:cs="Arial"/>
                <w:lang w:val="en-GB"/>
              </w:rPr>
              <w:t>50</w:t>
            </w:r>
          </w:p>
          <w:p w:rsidR="00500131" w:rsidRPr="00F90D5D" w:rsidRDefault="00500131" w:rsidP="00572DE9">
            <w:pPr>
              <w:jc w:val="right"/>
              <w:rPr>
                <w:rFonts w:ascii="Arial" w:hAnsi="Arial" w:cs="Arial"/>
                <w:lang w:val="en-GB"/>
              </w:rPr>
            </w:pPr>
            <w:r w:rsidRPr="00F90D5D">
              <w:rPr>
                <w:rFonts w:ascii="Arial" w:hAnsi="Arial" w:cs="Arial"/>
                <w:lang w:val="en-GB"/>
              </w:rPr>
              <w:t>(854)</w:t>
            </w:r>
          </w:p>
        </w:tc>
      </w:tr>
      <w:tr w:rsidR="00500131" w:rsidRPr="00F90D5D" w:rsidTr="009A3D6E">
        <w:trPr>
          <w:jc w:val="center"/>
        </w:trPr>
        <w:tc>
          <w:tcPr>
            <w:tcW w:w="4678" w:type="dxa"/>
            <w:shd w:val="clear" w:color="auto" w:fill="auto"/>
          </w:tcPr>
          <w:p w:rsidR="00500131" w:rsidRPr="00F90D5D" w:rsidRDefault="00500131" w:rsidP="00572DE9">
            <w:pPr>
              <w:rPr>
                <w:rFonts w:ascii="Arial" w:hAnsi="Arial" w:cs="Arial"/>
                <w:lang w:val="en-GB"/>
              </w:rPr>
            </w:pPr>
            <w:r w:rsidRPr="00F90D5D">
              <w:rPr>
                <w:rFonts w:ascii="Arial" w:hAnsi="Arial" w:cs="Arial"/>
                <w:lang w:val="en-GB"/>
              </w:rPr>
              <w:t xml:space="preserve">Profit </w:t>
            </w:r>
            <w:r>
              <w:rPr>
                <w:rFonts w:ascii="Arial" w:hAnsi="Arial" w:cs="Arial"/>
                <w:lang w:val="en-GB"/>
              </w:rPr>
              <w:t>b</w:t>
            </w:r>
            <w:r w:rsidRPr="00F90D5D">
              <w:rPr>
                <w:rFonts w:ascii="Arial" w:hAnsi="Arial" w:cs="Arial"/>
                <w:lang w:val="en-GB"/>
              </w:rPr>
              <w:t>efore Tax</w:t>
            </w:r>
          </w:p>
        </w:tc>
        <w:tc>
          <w:tcPr>
            <w:tcW w:w="1007"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3,095</w:t>
            </w:r>
          </w:p>
        </w:tc>
        <w:tc>
          <w:tcPr>
            <w:tcW w:w="1134" w:type="dxa"/>
            <w:shd w:val="clear" w:color="auto" w:fill="auto"/>
          </w:tcPr>
          <w:p w:rsidR="00500131" w:rsidRPr="00F90D5D" w:rsidRDefault="00500131" w:rsidP="00572DE9">
            <w:pPr>
              <w:jc w:val="right"/>
              <w:rPr>
                <w:rFonts w:ascii="Arial" w:eastAsiaTheme="minorEastAsia" w:hAnsi="Arial" w:cs="Arial"/>
                <w:lang w:val="en-GB" w:eastAsia="zh-CN"/>
              </w:rPr>
            </w:pPr>
            <w:r w:rsidRPr="00F90D5D">
              <w:rPr>
                <w:rFonts w:ascii="Arial" w:hAnsi="Arial" w:cs="Arial"/>
                <w:lang w:val="en-GB"/>
              </w:rPr>
              <w:t>4,4</w:t>
            </w:r>
            <w:r w:rsidRPr="00F90D5D">
              <w:rPr>
                <w:rFonts w:ascii="Arial" w:eastAsiaTheme="minorEastAsia" w:hAnsi="Arial" w:cs="Arial" w:hint="eastAsia"/>
                <w:lang w:val="en-GB" w:eastAsia="zh-CN"/>
              </w:rPr>
              <w:t>69</w:t>
            </w:r>
          </w:p>
        </w:tc>
        <w:tc>
          <w:tcPr>
            <w:tcW w:w="1134"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5,350</w:t>
            </w:r>
          </w:p>
        </w:tc>
        <w:tc>
          <w:tcPr>
            <w:tcW w:w="992"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5,942</w:t>
            </w:r>
          </w:p>
        </w:tc>
      </w:tr>
      <w:tr w:rsidR="00500131" w:rsidRPr="00F90D5D" w:rsidTr="009A3D6E">
        <w:trPr>
          <w:jc w:val="center"/>
        </w:trPr>
        <w:tc>
          <w:tcPr>
            <w:tcW w:w="4678" w:type="dxa"/>
            <w:shd w:val="clear" w:color="auto" w:fill="auto"/>
          </w:tcPr>
          <w:p w:rsidR="00500131" w:rsidRPr="00F90D5D" w:rsidRDefault="00500131" w:rsidP="00572DE9">
            <w:pPr>
              <w:rPr>
                <w:rFonts w:ascii="Arial" w:hAnsi="Arial" w:cs="Arial"/>
                <w:lang w:val="en-GB"/>
              </w:rPr>
            </w:pPr>
            <w:r w:rsidRPr="00F90D5D">
              <w:rPr>
                <w:rFonts w:ascii="Arial" w:hAnsi="Arial" w:cs="Arial"/>
                <w:lang w:val="en-GB"/>
              </w:rPr>
              <w:t xml:space="preserve">Income </w:t>
            </w:r>
            <w:r>
              <w:rPr>
                <w:rFonts w:ascii="Arial" w:hAnsi="Arial" w:cs="Arial"/>
                <w:lang w:val="en-GB"/>
              </w:rPr>
              <w:t>T</w:t>
            </w:r>
            <w:r w:rsidRPr="00F90D5D">
              <w:rPr>
                <w:rFonts w:ascii="Arial" w:hAnsi="Arial" w:cs="Arial"/>
                <w:lang w:val="en-GB"/>
              </w:rPr>
              <w:t>ax</w:t>
            </w:r>
          </w:p>
        </w:tc>
        <w:tc>
          <w:tcPr>
            <w:tcW w:w="1007"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(839)</w:t>
            </w:r>
          </w:p>
        </w:tc>
        <w:tc>
          <w:tcPr>
            <w:tcW w:w="1134"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(1,</w:t>
            </w:r>
            <w:r w:rsidRPr="00F90D5D">
              <w:rPr>
                <w:rFonts w:ascii="Arial" w:eastAsiaTheme="minorEastAsia" w:hAnsi="Arial" w:cs="Arial" w:hint="eastAsia"/>
                <w:lang w:val="en-GB" w:eastAsia="zh-CN"/>
              </w:rPr>
              <w:t>200</w:t>
            </w:r>
            <w:r w:rsidRPr="00F90D5D">
              <w:rPr>
                <w:rFonts w:ascii="Arial" w:hAnsi="Arial" w:cs="Arial"/>
                <w:lang w:val="en-GB"/>
              </w:rPr>
              <w:t>)</w:t>
            </w:r>
          </w:p>
        </w:tc>
        <w:tc>
          <w:tcPr>
            <w:tcW w:w="1134"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(1,428)</w:t>
            </w:r>
          </w:p>
        </w:tc>
        <w:tc>
          <w:tcPr>
            <w:tcW w:w="992"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(1,5</w:t>
            </w:r>
            <w:r w:rsidRPr="00F90D5D">
              <w:rPr>
                <w:rFonts w:ascii="Arial" w:eastAsiaTheme="minorEastAsia" w:hAnsi="Arial" w:cs="Arial" w:hint="eastAsia"/>
                <w:lang w:val="en-GB" w:eastAsia="zh-CN"/>
              </w:rPr>
              <w:t>73</w:t>
            </w:r>
            <w:r w:rsidRPr="00F90D5D">
              <w:rPr>
                <w:rFonts w:ascii="Arial" w:hAnsi="Arial" w:cs="Arial"/>
                <w:lang w:val="en-GB"/>
              </w:rPr>
              <w:t>)</w:t>
            </w:r>
          </w:p>
        </w:tc>
      </w:tr>
      <w:tr w:rsidR="00500131" w:rsidRPr="00F90D5D" w:rsidTr="009A3D6E">
        <w:trPr>
          <w:jc w:val="center"/>
        </w:trPr>
        <w:tc>
          <w:tcPr>
            <w:tcW w:w="4678" w:type="dxa"/>
            <w:shd w:val="clear" w:color="auto" w:fill="auto"/>
          </w:tcPr>
          <w:p w:rsidR="00500131" w:rsidRPr="00F90D5D" w:rsidRDefault="00500131" w:rsidP="00572DE9">
            <w:pPr>
              <w:rPr>
                <w:rFonts w:ascii="Arial" w:hAnsi="Arial" w:cs="Arial"/>
                <w:lang w:val="en-GB"/>
              </w:rPr>
            </w:pPr>
            <w:r w:rsidRPr="00F90D5D">
              <w:rPr>
                <w:rFonts w:ascii="Arial" w:hAnsi="Arial" w:cs="Arial"/>
                <w:lang w:val="en-GB"/>
              </w:rPr>
              <w:t>Net Profit</w:t>
            </w:r>
          </w:p>
        </w:tc>
        <w:tc>
          <w:tcPr>
            <w:tcW w:w="1007" w:type="dxa"/>
            <w:shd w:val="clear" w:color="auto" w:fill="auto"/>
          </w:tcPr>
          <w:p w:rsidR="00500131" w:rsidRPr="00F90D5D" w:rsidRDefault="00500131" w:rsidP="00572DE9">
            <w:pPr>
              <w:jc w:val="right"/>
              <w:rPr>
                <w:rFonts w:ascii="Arial" w:eastAsiaTheme="minorEastAsia" w:hAnsi="Arial" w:cs="Arial"/>
                <w:lang w:val="en-GB" w:eastAsia="zh-CN"/>
              </w:rPr>
            </w:pPr>
            <w:r w:rsidRPr="00F90D5D">
              <w:rPr>
                <w:rFonts w:ascii="Arial" w:hAnsi="Arial" w:cs="Arial"/>
                <w:lang w:val="en-GB"/>
              </w:rPr>
              <w:t>2,25</w:t>
            </w:r>
            <w:r w:rsidRPr="00F90D5D">
              <w:rPr>
                <w:rFonts w:ascii="Arial" w:eastAsiaTheme="minorEastAsia" w:hAnsi="Arial" w:cs="Arial" w:hint="eastAsia"/>
                <w:lang w:val="en-GB" w:eastAsia="zh-CN"/>
              </w:rPr>
              <w:t>7</w:t>
            </w:r>
          </w:p>
        </w:tc>
        <w:tc>
          <w:tcPr>
            <w:tcW w:w="1134"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3,269</w:t>
            </w:r>
          </w:p>
        </w:tc>
        <w:tc>
          <w:tcPr>
            <w:tcW w:w="1134"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3,922</w:t>
            </w:r>
          </w:p>
        </w:tc>
        <w:tc>
          <w:tcPr>
            <w:tcW w:w="992" w:type="dxa"/>
            <w:shd w:val="clear" w:color="auto" w:fill="auto"/>
          </w:tcPr>
          <w:p w:rsidR="00500131" w:rsidRPr="00F90D5D" w:rsidRDefault="00500131" w:rsidP="00572DE9">
            <w:pPr>
              <w:jc w:val="right"/>
              <w:rPr>
                <w:rFonts w:ascii="Arial" w:hAnsi="Arial" w:cs="Arial"/>
                <w:lang w:val="en-GB"/>
              </w:rPr>
            </w:pPr>
            <w:r w:rsidRPr="00F90D5D">
              <w:rPr>
                <w:rFonts w:ascii="Arial" w:hAnsi="Arial" w:cs="Arial"/>
                <w:lang w:val="en-GB"/>
              </w:rPr>
              <w:t>4,370</w:t>
            </w:r>
          </w:p>
        </w:tc>
      </w:tr>
    </w:tbl>
    <w:p w:rsidR="00500131" w:rsidRDefault="00500131" w:rsidP="00500131">
      <w:pPr>
        <w:pStyle w:val="FootnoteText1"/>
        <w:rPr>
          <w:lang w:val="en-GB"/>
        </w:rPr>
      </w:pPr>
    </w:p>
    <w:p w:rsidR="00500131" w:rsidRPr="00975229" w:rsidRDefault="00500131" w:rsidP="00500131">
      <w:pPr>
        <w:pStyle w:val="FootnoteText1"/>
        <w:rPr>
          <w:b/>
          <w:lang w:val="en-GB"/>
        </w:rPr>
      </w:pPr>
      <w:r>
        <w:rPr>
          <w:lang w:val="en-GB"/>
        </w:rPr>
        <w:t xml:space="preserve">Note: RMB = Chinese renminbi; </w:t>
      </w:r>
      <w:r>
        <w:t xml:space="preserve">US$1 = ¥6.2037 as of January 1, 2015. </w:t>
      </w:r>
    </w:p>
    <w:p w:rsidR="00500131" w:rsidRPr="00F90D5D" w:rsidRDefault="00500131" w:rsidP="00500131">
      <w:pPr>
        <w:pStyle w:val="FootnoteText1"/>
        <w:rPr>
          <w:rFonts w:eastAsiaTheme="minorEastAsia"/>
          <w:lang w:val="en-GB"/>
        </w:rPr>
      </w:pPr>
      <w:r w:rsidRPr="00F90D5D">
        <w:rPr>
          <w:lang w:val="en-GB"/>
        </w:rPr>
        <w:t>Source: Company</w:t>
      </w:r>
      <w:r w:rsidRPr="00F90D5D">
        <w:rPr>
          <w:rFonts w:eastAsiaTheme="minorEastAsia" w:hint="eastAsia"/>
          <w:lang w:val="en-GB"/>
        </w:rPr>
        <w:t xml:space="preserve"> </w:t>
      </w:r>
      <w:r>
        <w:rPr>
          <w:rFonts w:eastAsiaTheme="minorEastAsia"/>
          <w:lang w:val="en-GB"/>
        </w:rPr>
        <w:t>a</w:t>
      </w:r>
      <w:r w:rsidRPr="00F90D5D">
        <w:rPr>
          <w:rFonts w:eastAsiaTheme="minorEastAsia" w:hint="eastAsia"/>
          <w:lang w:val="en-GB"/>
        </w:rPr>
        <w:t xml:space="preserve">udited </w:t>
      </w:r>
      <w:r>
        <w:rPr>
          <w:rFonts w:eastAsiaTheme="minorEastAsia"/>
          <w:lang w:val="en-GB"/>
        </w:rPr>
        <w:t>f</w:t>
      </w:r>
      <w:r w:rsidRPr="00F90D5D">
        <w:rPr>
          <w:rFonts w:eastAsiaTheme="minorEastAsia" w:hint="eastAsia"/>
          <w:lang w:val="en-GB"/>
        </w:rPr>
        <w:t xml:space="preserve">inancial </w:t>
      </w:r>
      <w:r>
        <w:rPr>
          <w:rFonts w:eastAsiaTheme="minorEastAsia"/>
          <w:lang w:val="en-GB"/>
        </w:rPr>
        <w:t>r</w:t>
      </w:r>
      <w:r w:rsidRPr="00F90D5D">
        <w:rPr>
          <w:rFonts w:eastAsiaTheme="minorEastAsia" w:hint="eastAsia"/>
          <w:lang w:val="en-GB"/>
        </w:rPr>
        <w:t>eport</w:t>
      </w:r>
      <w:r>
        <w:rPr>
          <w:rFonts w:eastAsiaTheme="minorEastAsia"/>
          <w:lang w:val="en-GB"/>
        </w:rPr>
        <w:t>s.</w:t>
      </w:r>
    </w:p>
    <w:p w:rsidR="00500131" w:rsidRPr="00F90D5D" w:rsidRDefault="00500131" w:rsidP="00500131">
      <w:pPr>
        <w:pStyle w:val="BodyTextMain"/>
        <w:rPr>
          <w:lang w:val="en-GB"/>
        </w:rPr>
      </w:pPr>
    </w:p>
    <w:p w:rsidR="00500131" w:rsidRPr="00F90D5D" w:rsidRDefault="00500131" w:rsidP="00500131">
      <w:pPr>
        <w:pStyle w:val="BodyTextMain"/>
        <w:rPr>
          <w:lang w:val="en-GB"/>
        </w:rPr>
      </w:pPr>
    </w:p>
    <w:p w:rsidR="00500131" w:rsidRDefault="00500131" w:rsidP="00500131">
      <w:pPr>
        <w:pStyle w:val="StyleCasehead1Centered"/>
        <w:rPr>
          <w:rFonts w:eastAsiaTheme="minorEastAsia"/>
          <w:lang w:val="en-GB" w:eastAsia="zh-CN"/>
        </w:rPr>
      </w:pPr>
      <w:r w:rsidRPr="00F90D5D">
        <w:rPr>
          <w:lang w:val="en-GB"/>
        </w:rPr>
        <w:t xml:space="preserve">Exhibit </w:t>
      </w:r>
      <w:r w:rsidRPr="00F90D5D">
        <w:rPr>
          <w:rFonts w:eastAsiaTheme="minorEastAsia" w:hint="eastAsia"/>
          <w:lang w:val="en-GB" w:eastAsia="zh-CN"/>
        </w:rPr>
        <w:t>5</w:t>
      </w:r>
      <w:r w:rsidRPr="00F90D5D">
        <w:rPr>
          <w:rFonts w:eastAsiaTheme="minorEastAsia"/>
          <w:lang w:val="en-GB" w:eastAsia="zh-CN"/>
        </w:rPr>
        <w:t xml:space="preserve">: </w:t>
      </w:r>
      <w:r w:rsidRPr="00F90D5D">
        <w:rPr>
          <w:lang w:val="en-GB"/>
        </w:rPr>
        <w:t>R</w:t>
      </w:r>
      <w:r>
        <w:rPr>
          <w:lang w:val="en-GB"/>
        </w:rPr>
        <w:t xml:space="preserve">ed </w:t>
      </w:r>
      <w:r w:rsidRPr="00F90D5D">
        <w:rPr>
          <w:lang w:val="en-GB"/>
        </w:rPr>
        <w:t>S</w:t>
      </w:r>
      <w:r>
        <w:rPr>
          <w:lang w:val="en-GB"/>
        </w:rPr>
        <w:t xml:space="preserve">tar </w:t>
      </w:r>
      <w:r w:rsidRPr="00F90D5D">
        <w:rPr>
          <w:lang w:val="en-GB"/>
        </w:rPr>
        <w:t>M</w:t>
      </w:r>
      <w:r>
        <w:rPr>
          <w:lang w:val="en-GB"/>
        </w:rPr>
        <w:t>acalline group corporation ltd.</w:t>
      </w:r>
      <w:r>
        <w:rPr>
          <w:rFonts w:cs="Arial"/>
          <w:lang w:val="en-GB"/>
        </w:rPr>
        <w:t xml:space="preserve"> </w:t>
      </w:r>
      <w:r w:rsidRPr="00F90D5D">
        <w:rPr>
          <w:lang w:val="en-GB"/>
        </w:rPr>
        <w:t>SHOPPING MALLS</w:t>
      </w:r>
      <w:r w:rsidRPr="00F90D5D">
        <w:rPr>
          <w:rFonts w:eastAsiaTheme="minorEastAsia" w:hint="eastAsia"/>
          <w:lang w:val="en-GB" w:eastAsia="zh-CN"/>
        </w:rPr>
        <w:t xml:space="preserve"> </w:t>
      </w:r>
    </w:p>
    <w:p w:rsidR="00500131" w:rsidRPr="00F90D5D" w:rsidRDefault="00500131" w:rsidP="00500131">
      <w:pPr>
        <w:pStyle w:val="StyleCasehead1Centered"/>
        <w:rPr>
          <w:rFonts w:eastAsiaTheme="minorEastAsia"/>
          <w:lang w:val="en-GB" w:eastAsia="zh-CN"/>
        </w:rPr>
      </w:pPr>
      <w:r w:rsidRPr="00F90D5D">
        <w:rPr>
          <w:rFonts w:eastAsiaTheme="minorEastAsia" w:hint="eastAsia"/>
          <w:lang w:val="en-GB" w:eastAsia="zh-CN"/>
        </w:rPr>
        <w:t>(</w:t>
      </w:r>
      <w:r>
        <w:rPr>
          <w:rFonts w:eastAsiaTheme="minorEastAsia"/>
          <w:lang w:val="en-GB" w:eastAsia="zh-CN"/>
        </w:rPr>
        <w:t>as of</w:t>
      </w:r>
      <w:r w:rsidRPr="00F90D5D">
        <w:rPr>
          <w:rFonts w:eastAsiaTheme="minorEastAsia" w:hint="eastAsia"/>
          <w:lang w:val="en-GB" w:eastAsia="zh-CN"/>
        </w:rPr>
        <w:t xml:space="preserve"> June 30, 2016)</w:t>
      </w:r>
    </w:p>
    <w:p w:rsidR="00500131" w:rsidRPr="00F90D5D" w:rsidRDefault="00500131" w:rsidP="00500131">
      <w:pPr>
        <w:pStyle w:val="BodyTextMain"/>
        <w:rPr>
          <w:lang w:val="en-GB"/>
        </w:rPr>
      </w:pPr>
    </w:p>
    <w:tbl>
      <w:tblPr>
        <w:tblW w:w="78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1704"/>
        <w:gridCol w:w="1560"/>
        <w:gridCol w:w="1559"/>
        <w:gridCol w:w="1417"/>
      </w:tblGrid>
      <w:tr w:rsidR="00500131" w:rsidRPr="00F90D5D" w:rsidTr="00E62299">
        <w:trPr>
          <w:jc w:val="center"/>
        </w:trPr>
        <w:tc>
          <w:tcPr>
            <w:tcW w:w="1561" w:type="dxa"/>
            <w:shd w:val="clear" w:color="auto" w:fill="auto"/>
            <w:vAlign w:val="center"/>
          </w:tcPr>
          <w:p w:rsidR="00500131" w:rsidRPr="00572DE9" w:rsidRDefault="00500131" w:rsidP="00E62299">
            <w:pPr>
              <w:adjustRightInd w:val="0"/>
              <w:snapToGrid w:val="0"/>
              <w:jc w:val="center"/>
              <w:rPr>
                <w:rFonts w:ascii="Arial" w:eastAsia="Microsoft YaHei" w:hAnsi="Arial" w:cs="Arial"/>
                <w:lang w:val="en-GB"/>
              </w:rPr>
            </w:pPr>
            <w:r w:rsidRPr="00572DE9">
              <w:rPr>
                <w:rFonts w:ascii="Arial" w:eastAsia="Microsoft YaHei" w:hAnsi="Arial" w:cs="Arial"/>
                <w:lang w:val="en-GB"/>
              </w:rPr>
              <w:t>Region</w:t>
            </w:r>
          </w:p>
        </w:tc>
        <w:tc>
          <w:tcPr>
            <w:tcW w:w="1704" w:type="dxa"/>
            <w:shd w:val="clear" w:color="auto" w:fill="auto"/>
            <w:vAlign w:val="center"/>
          </w:tcPr>
          <w:p w:rsidR="00500131" w:rsidRPr="00572DE9" w:rsidRDefault="00500131" w:rsidP="00E62299">
            <w:pPr>
              <w:adjustRightInd w:val="0"/>
              <w:snapToGrid w:val="0"/>
              <w:jc w:val="center"/>
              <w:rPr>
                <w:rFonts w:ascii="Arial" w:eastAsia="Microsoft YaHei" w:hAnsi="Arial" w:cs="Arial"/>
                <w:lang w:val="en-GB"/>
              </w:rPr>
            </w:pPr>
            <w:r w:rsidRPr="00572DE9">
              <w:rPr>
                <w:rFonts w:ascii="Arial" w:eastAsia="Microsoft YaHei" w:hAnsi="Arial" w:cs="Arial"/>
                <w:lang w:val="en-GB"/>
              </w:rPr>
              <w:t>Self-Operational</w:t>
            </w:r>
          </w:p>
        </w:tc>
        <w:tc>
          <w:tcPr>
            <w:tcW w:w="1560" w:type="dxa"/>
            <w:shd w:val="clear" w:color="auto" w:fill="auto"/>
            <w:vAlign w:val="center"/>
          </w:tcPr>
          <w:p w:rsidR="00500131" w:rsidRPr="00572DE9" w:rsidRDefault="00500131" w:rsidP="00E62299">
            <w:pPr>
              <w:adjustRightInd w:val="0"/>
              <w:snapToGrid w:val="0"/>
              <w:jc w:val="center"/>
              <w:rPr>
                <w:rFonts w:ascii="Arial" w:eastAsia="Microsoft YaHei" w:hAnsi="Arial" w:cs="Arial"/>
                <w:lang w:val="en-GB"/>
              </w:rPr>
            </w:pPr>
            <w:r w:rsidRPr="00572DE9">
              <w:rPr>
                <w:rFonts w:ascii="Arial" w:eastAsia="Microsoft YaHei" w:hAnsi="Arial" w:cs="Arial"/>
                <w:lang w:val="en-GB"/>
              </w:rPr>
              <w:t>Mandatory Administration</w:t>
            </w:r>
          </w:p>
        </w:tc>
        <w:tc>
          <w:tcPr>
            <w:tcW w:w="1559" w:type="dxa"/>
            <w:shd w:val="clear" w:color="auto" w:fill="auto"/>
            <w:vAlign w:val="center"/>
          </w:tcPr>
          <w:p w:rsidR="00500131" w:rsidRPr="00572DE9" w:rsidRDefault="00500131" w:rsidP="00E62299">
            <w:pPr>
              <w:adjustRightInd w:val="0"/>
              <w:snapToGrid w:val="0"/>
              <w:jc w:val="center"/>
              <w:rPr>
                <w:rFonts w:ascii="Arial" w:eastAsia="Microsoft YaHei" w:hAnsi="Arial" w:cs="Arial"/>
                <w:lang w:val="en-GB"/>
              </w:rPr>
            </w:pPr>
            <w:r w:rsidRPr="00572DE9">
              <w:rPr>
                <w:rFonts w:ascii="Arial" w:eastAsia="Microsoft YaHei" w:hAnsi="Arial" w:cs="Arial"/>
                <w:lang w:val="en-GB"/>
              </w:rPr>
              <w:t>Total Number</w:t>
            </w:r>
          </w:p>
        </w:tc>
        <w:tc>
          <w:tcPr>
            <w:tcW w:w="1417" w:type="dxa"/>
            <w:shd w:val="clear" w:color="auto" w:fill="auto"/>
            <w:vAlign w:val="center"/>
          </w:tcPr>
          <w:p w:rsidR="00500131" w:rsidRPr="00572DE9" w:rsidRDefault="00500131" w:rsidP="00E62299">
            <w:pPr>
              <w:adjustRightInd w:val="0"/>
              <w:snapToGrid w:val="0"/>
              <w:jc w:val="center"/>
              <w:rPr>
                <w:rFonts w:ascii="Arial" w:eastAsia="Microsoft YaHei" w:hAnsi="Arial" w:cs="Arial"/>
                <w:lang w:val="en-GB"/>
              </w:rPr>
            </w:pPr>
            <w:r w:rsidRPr="00572DE9">
              <w:rPr>
                <w:rFonts w:ascii="Arial" w:eastAsia="Microsoft YaHei" w:hAnsi="Arial" w:cs="Arial"/>
                <w:lang w:val="en-GB"/>
              </w:rPr>
              <w:t>Percentage</w:t>
            </w:r>
          </w:p>
        </w:tc>
      </w:tr>
      <w:tr w:rsidR="00500131" w:rsidRPr="00F90D5D" w:rsidTr="00572DE9">
        <w:trPr>
          <w:jc w:val="center"/>
        </w:trPr>
        <w:tc>
          <w:tcPr>
            <w:tcW w:w="1561" w:type="dxa"/>
            <w:shd w:val="clear" w:color="auto" w:fill="auto"/>
          </w:tcPr>
          <w:p w:rsidR="00500131" w:rsidRPr="00572DE9" w:rsidRDefault="00500131" w:rsidP="00572DE9">
            <w:pPr>
              <w:adjustRightInd w:val="0"/>
              <w:snapToGrid w:val="0"/>
              <w:rPr>
                <w:rFonts w:ascii="Arial" w:eastAsia="Microsoft YaHei" w:hAnsi="Arial" w:cs="Arial"/>
                <w:lang w:val="en-GB"/>
              </w:rPr>
            </w:pPr>
            <w:r w:rsidRPr="00572DE9">
              <w:rPr>
                <w:rFonts w:ascii="Arial" w:eastAsia="Microsoft YaHei" w:hAnsi="Arial" w:cs="Arial"/>
                <w:lang w:val="en-GB"/>
              </w:rPr>
              <w:t>Beijing</w:t>
            </w:r>
          </w:p>
        </w:tc>
        <w:tc>
          <w:tcPr>
            <w:tcW w:w="1704" w:type="dxa"/>
            <w:shd w:val="clear" w:color="auto" w:fill="auto"/>
          </w:tcPr>
          <w:p w:rsidR="00500131" w:rsidRPr="00572DE9" w:rsidRDefault="00500131" w:rsidP="00572DE9">
            <w:pPr>
              <w:tabs>
                <w:tab w:val="decimal" w:pos="924"/>
              </w:tabs>
              <w:adjustRightInd w:val="0"/>
              <w:snapToGrid w:val="0"/>
              <w:rPr>
                <w:rFonts w:ascii="Arial" w:eastAsia="Microsoft YaHei" w:hAnsi="Arial" w:cs="Arial"/>
                <w:lang w:val="en-GB"/>
              </w:rPr>
            </w:pPr>
            <w:r w:rsidRPr="00572DE9">
              <w:rPr>
                <w:rFonts w:ascii="Arial" w:eastAsia="Microsoft YaHei" w:hAnsi="Arial" w:cs="Arial"/>
                <w:lang w:val="en-GB"/>
              </w:rPr>
              <w:t>4</w:t>
            </w:r>
          </w:p>
        </w:tc>
        <w:tc>
          <w:tcPr>
            <w:tcW w:w="1560" w:type="dxa"/>
            <w:shd w:val="clear" w:color="auto" w:fill="auto"/>
          </w:tcPr>
          <w:p w:rsidR="00500131" w:rsidRPr="00572DE9" w:rsidRDefault="00500131" w:rsidP="00572DE9">
            <w:pPr>
              <w:tabs>
                <w:tab w:val="decimal" w:pos="979"/>
              </w:tabs>
              <w:adjustRightInd w:val="0"/>
              <w:snapToGrid w:val="0"/>
              <w:rPr>
                <w:rFonts w:ascii="Arial" w:eastAsia="Microsoft YaHei" w:hAnsi="Arial" w:cs="Arial"/>
                <w:lang w:val="en-GB"/>
              </w:rPr>
            </w:pPr>
            <w:r w:rsidRPr="00572DE9">
              <w:rPr>
                <w:rFonts w:ascii="Arial" w:eastAsia="Microsoft YaHei" w:hAnsi="Arial" w:cs="Arial"/>
                <w:lang w:val="en-GB"/>
              </w:rPr>
              <w:t>1</w:t>
            </w:r>
          </w:p>
        </w:tc>
        <w:tc>
          <w:tcPr>
            <w:tcW w:w="1559" w:type="dxa"/>
            <w:shd w:val="clear" w:color="auto" w:fill="auto"/>
          </w:tcPr>
          <w:p w:rsidR="00500131" w:rsidRPr="00572DE9" w:rsidRDefault="00500131" w:rsidP="00572DE9">
            <w:pPr>
              <w:tabs>
                <w:tab w:val="decimal" w:pos="587"/>
              </w:tabs>
              <w:adjustRightInd w:val="0"/>
              <w:snapToGrid w:val="0"/>
              <w:rPr>
                <w:rFonts w:ascii="Arial" w:eastAsia="Microsoft YaHei" w:hAnsi="Arial" w:cs="Arial"/>
                <w:lang w:val="en-GB"/>
              </w:rPr>
            </w:pPr>
            <w:r w:rsidRPr="00572DE9">
              <w:rPr>
                <w:rFonts w:ascii="Arial" w:eastAsia="Microsoft YaHei" w:hAnsi="Arial" w:cs="Arial"/>
                <w:lang w:val="en-GB"/>
              </w:rPr>
              <w:t>5</w:t>
            </w:r>
          </w:p>
        </w:tc>
        <w:tc>
          <w:tcPr>
            <w:tcW w:w="1417" w:type="dxa"/>
            <w:shd w:val="clear" w:color="auto" w:fill="auto"/>
          </w:tcPr>
          <w:p w:rsidR="00500131" w:rsidRPr="00572DE9" w:rsidRDefault="00500131" w:rsidP="00572DE9">
            <w:pPr>
              <w:tabs>
                <w:tab w:val="decimal" w:pos="694"/>
              </w:tabs>
              <w:adjustRightInd w:val="0"/>
              <w:snapToGrid w:val="0"/>
              <w:rPr>
                <w:rFonts w:ascii="Arial" w:eastAsia="Microsoft YaHei" w:hAnsi="Arial" w:cs="Arial"/>
                <w:lang w:val="en-GB"/>
              </w:rPr>
            </w:pPr>
            <w:r w:rsidRPr="00572DE9">
              <w:rPr>
                <w:rFonts w:ascii="Arial" w:eastAsia="Microsoft YaHei" w:hAnsi="Arial" w:cs="Arial"/>
                <w:lang w:val="en-GB"/>
              </w:rPr>
              <w:t>2.8</w:t>
            </w:r>
          </w:p>
        </w:tc>
      </w:tr>
      <w:tr w:rsidR="00500131" w:rsidRPr="00F90D5D" w:rsidTr="00572DE9">
        <w:trPr>
          <w:jc w:val="center"/>
        </w:trPr>
        <w:tc>
          <w:tcPr>
            <w:tcW w:w="1561" w:type="dxa"/>
            <w:shd w:val="clear" w:color="auto" w:fill="auto"/>
          </w:tcPr>
          <w:p w:rsidR="00500131" w:rsidRPr="00572DE9" w:rsidRDefault="00500131" w:rsidP="00572DE9">
            <w:pPr>
              <w:adjustRightInd w:val="0"/>
              <w:snapToGrid w:val="0"/>
              <w:rPr>
                <w:rFonts w:ascii="Arial" w:eastAsia="Microsoft YaHei" w:hAnsi="Arial" w:cs="Arial"/>
                <w:lang w:val="en-GB"/>
              </w:rPr>
            </w:pPr>
            <w:r w:rsidRPr="00572DE9">
              <w:rPr>
                <w:rFonts w:ascii="Arial" w:eastAsia="Microsoft YaHei" w:hAnsi="Arial" w:cs="Arial"/>
                <w:lang w:val="en-GB"/>
              </w:rPr>
              <w:t>Shanghai</w:t>
            </w:r>
          </w:p>
        </w:tc>
        <w:tc>
          <w:tcPr>
            <w:tcW w:w="1704" w:type="dxa"/>
            <w:shd w:val="clear" w:color="auto" w:fill="auto"/>
          </w:tcPr>
          <w:p w:rsidR="00500131" w:rsidRPr="00572DE9" w:rsidRDefault="00500131" w:rsidP="00572DE9">
            <w:pPr>
              <w:tabs>
                <w:tab w:val="decimal" w:pos="924"/>
              </w:tabs>
              <w:adjustRightInd w:val="0"/>
              <w:snapToGrid w:val="0"/>
              <w:rPr>
                <w:rFonts w:ascii="Arial" w:eastAsiaTheme="minorEastAsia" w:hAnsi="Arial" w:cs="Arial"/>
                <w:lang w:val="en-GB" w:eastAsia="zh-CN"/>
              </w:rPr>
            </w:pPr>
            <w:r w:rsidRPr="00572DE9">
              <w:rPr>
                <w:rFonts w:ascii="Arial" w:eastAsiaTheme="minorEastAsia" w:hAnsi="Arial" w:cs="Arial"/>
                <w:lang w:val="en-GB" w:eastAsia="zh-CN"/>
              </w:rPr>
              <w:t>7</w:t>
            </w:r>
          </w:p>
        </w:tc>
        <w:tc>
          <w:tcPr>
            <w:tcW w:w="1560" w:type="dxa"/>
            <w:shd w:val="clear" w:color="auto" w:fill="auto"/>
          </w:tcPr>
          <w:p w:rsidR="00500131" w:rsidRPr="00572DE9" w:rsidRDefault="00500131" w:rsidP="00572DE9">
            <w:pPr>
              <w:tabs>
                <w:tab w:val="decimal" w:pos="979"/>
              </w:tabs>
              <w:adjustRightInd w:val="0"/>
              <w:snapToGrid w:val="0"/>
              <w:rPr>
                <w:rFonts w:ascii="Arial" w:eastAsia="Microsoft YaHei" w:hAnsi="Arial" w:cs="Arial"/>
                <w:lang w:val="en-GB"/>
              </w:rPr>
            </w:pPr>
            <w:r w:rsidRPr="00572DE9">
              <w:rPr>
                <w:rFonts w:ascii="Arial" w:eastAsia="Microsoft YaHei" w:hAnsi="Arial" w:cs="Arial"/>
                <w:lang w:val="en-GB"/>
              </w:rPr>
              <w:t>0</w:t>
            </w:r>
          </w:p>
        </w:tc>
        <w:tc>
          <w:tcPr>
            <w:tcW w:w="1559" w:type="dxa"/>
            <w:shd w:val="clear" w:color="auto" w:fill="auto"/>
          </w:tcPr>
          <w:p w:rsidR="00500131" w:rsidRPr="00572DE9" w:rsidRDefault="00500131" w:rsidP="00572DE9">
            <w:pPr>
              <w:tabs>
                <w:tab w:val="decimal" w:pos="587"/>
              </w:tabs>
              <w:adjustRightInd w:val="0"/>
              <w:snapToGrid w:val="0"/>
              <w:rPr>
                <w:rFonts w:ascii="Arial" w:eastAsiaTheme="minorEastAsia" w:hAnsi="Arial" w:cs="Arial"/>
                <w:lang w:val="en-GB" w:eastAsia="zh-CN"/>
              </w:rPr>
            </w:pPr>
            <w:r w:rsidRPr="00572DE9">
              <w:rPr>
                <w:rFonts w:ascii="Arial" w:eastAsiaTheme="minorEastAsia" w:hAnsi="Arial" w:cs="Arial"/>
                <w:lang w:val="en-GB" w:eastAsia="zh-CN"/>
              </w:rPr>
              <w:t>7</w:t>
            </w:r>
          </w:p>
        </w:tc>
        <w:tc>
          <w:tcPr>
            <w:tcW w:w="1417" w:type="dxa"/>
            <w:shd w:val="clear" w:color="auto" w:fill="auto"/>
          </w:tcPr>
          <w:p w:rsidR="00500131" w:rsidRPr="00572DE9" w:rsidRDefault="00500131" w:rsidP="00572DE9">
            <w:pPr>
              <w:tabs>
                <w:tab w:val="decimal" w:pos="694"/>
              </w:tabs>
              <w:adjustRightInd w:val="0"/>
              <w:snapToGrid w:val="0"/>
              <w:rPr>
                <w:rFonts w:ascii="Arial" w:eastAsia="Microsoft YaHei" w:hAnsi="Arial" w:cs="Arial"/>
                <w:lang w:val="en-GB"/>
              </w:rPr>
            </w:pPr>
            <w:r w:rsidRPr="00572DE9">
              <w:rPr>
                <w:rFonts w:ascii="Arial" w:eastAsia="Microsoft YaHei" w:hAnsi="Arial" w:cs="Arial"/>
                <w:lang w:val="en-GB"/>
              </w:rPr>
              <w:t>3.</w:t>
            </w:r>
            <w:r w:rsidRPr="00572DE9">
              <w:rPr>
                <w:rFonts w:ascii="Arial" w:eastAsiaTheme="minorEastAsia" w:hAnsi="Arial" w:cs="Arial"/>
                <w:lang w:val="en-GB" w:eastAsia="zh-CN"/>
              </w:rPr>
              <w:t>9</w:t>
            </w:r>
          </w:p>
        </w:tc>
      </w:tr>
      <w:tr w:rsidR="00500131" w:rsidRPr="00F90D5D" w:rsidTr="00572DE9">
        <w:trPr>
          <w:jc w:val="center"/>
        </w:trPr>
        <w:tc>
          <w:tcPr>
            <w:tcW w:w="1561" w:type="dxa"/>
            <w:shd w:val="clear" w:color="auto" w:fill="auto"/>
          </w:tcPr>
          <w:p w:rsidR="00500131" w:rsidRPr="00572DE9" w:rsidRDefault="00500131" w:rsidP="00572DE9">
            <w:pPr>
              <w:adjustRightInd w:val="0"/>
              <w:snapToGrid w:val="0"/>
              <w:rPr>
                <w:rFonts w:ascii="Arial" w:eastAsia="Microsoft YaHei" w:hAnsi="Arial" w:cs="Arial"/>
                <w:lang w:val="en-GB"/>
              </w:rPr>
            </w:pPr>
            <w:r w:rsidRPr="00572DE9">
              <w:rPr>
                <w:rFonts w:ascii="Arial" w:eastAsia="Microsoft YaHei" w:hAnsi="Arial" w:cs="Arial"/>
                <w:lang w:val="en-GB"/>
              </w:rPr>
              <w:t>Tianjin</w:t>
            </w:r>
          </w:p>
        </w:tc>
        <w:tc>
          <w:tcPr>
            <w:tcW w:w="1704" w:type="dxa"/>
            <w:shd w:val="clear" w:color="auto" w:fill="auto"/>
          </w:tcPr>
          <w:p w:rsidR="00500131" w:rsidRPr="00572DE9" w:rsidRDefault="00500131" w:rsidP="00572DE9">
            <w:pPr>
              <w:tabs>
                <w:tab w:val="decimal" w:pos="924"/>
              </w:tabs>
              <w:adjustRightInd w:val="0"/>
              <w:snapToGrid w:val="0"/>
              <w:rPr>
                <w:rFonts w:ascii="Arial" w:eastAsia="Microsoft YaHei" w:hAnsi="Arial" w:cs="Arial"/>
                <w:lang w:val="en-GB"/>
              </w:rPr>
            </w:pPr>
            <w:r w:rsidRPr="00572DE9">
              <w:rPr>
                <w:rFonts w:ascii="Arial" w:eastAsia="Microsoft YaHei" w:hAnsi="Arial" w:cs="Arial"/>
                <w:lang w:val="en-GB"/>
              </w:rPr>
              <w:t>4</w:t>
            </w:r>
          </w:p>
        </w:tc>
        <w:tc>
          <w:tcPr>
            <w:tcW w:w="1560" w:type="dxa"/>
            <w:shd w:val="clear" w:color="auto" w:fill="auto"/>
          </w:tcPr>
          <w:p w:rsidR="00500131" w:rsidRPr="00572DE9" w:rsidRDefault="00500131" w:rsidP="00572DE9">
            <w:pPr>
              <w:tabs>
                <w:tab w:val="decimal" w:pos="979"/>
              </w:tabs>
              <w:adjustRightInd w:val="0"/>
              <w:snapToGrid w:val="0"/>
              <w:rPr>
                <w:rFonts w:ascii="Arial" w:eastAsia="Microsoft YaHei" w:hAnsi="Arial" w:cs="Arial"/>
                <w:lang w:val="en-GB"/>
              </w:rPr>
            </w:pPr>
            <w:r w:rsidRPr="00572DE9">
              <w:rPr>
                <w:rFonts w:ascii="Arial" w:eastAsia="Microsoft YaHei" w:hAnsi="Arial" w:cs="Arial"/>
                <w:lang w:val="en-GB"/>
              </w:rPr>
              <w:t>1</w:t>
            </w:r>
          </w:p>
        </w:tc>
        <w:tc>
          <w:tcPr>
            <w:tcW w:w="1559" w:type="dxa"/>
            <w:shd w:val="clear" w:color="auto" w:fill="auto"/>
          </w:tcPr>
          <w:p w:rsidR="00500131" w:rsidRPr="00572DE9" w:rsidRDefault="00500131" w:rsidP="00572DE9">
            <w:pPr>
              <w:tabs>
                <w:tab w:val="decimal" w:pos="587"/>
              </w:tabs>
              <w:adjustRightInd w:val="0"/>
              <w:snapToGrid w:val="0"/>
              <w:rPr>
                <w:rFonts w:ascii="Arial" w:eastAsia="Microsoft YaHei" w:hAnsi="Arial" w:cs="Arial"/>
                <w:lang w:val="en-GB"/>
              </w:rPr>
            </w:pPr>
            <w:r w:rsidRPr="00572DE9">
              <w:rPr>
                <w:rFonts w:ascii="Arial" w:eastAsia="Microsoft YaHei" w:hAnsi="Arial" w:cs="Arial"/>
                <w:lang w:val="en-GB"/>
              </w:rPr>
              <w:t>5</w:t>
            </w:r>
          </w:p>
        </w:tc>
        <w:tc>
          <w:tcPr>
            <w:tcW w:w="1417" w:type="dxa"/>
            <w:shd w:val="clear" w:color="auto" w:fill="auto"/>
          </w:tcPr>
          <w:p w:rsidR="00500131" w:rsidRPr="00572DE9" w:rsidRDefault="00500131" w:rsidP="00572DE9">
            <w:pPr>
              <w:tabs>
                <w:tab w:val="decimal" w:pos="694"/>
              </w:tabs>
              <w:adjustRightInd w:val="0"/>
              <w:snapToGrid w:val="0"/>
              <w:rPr>
                <w:rFonts w:ascii="Arial" w:eastAsia="Microsoft YaHei" w:hAnsi="Arial" w:cs="Arial"/>
                <w:lang w:val="en-GB"/>
              </w:rPr>
            </w:pPr>
            <w:r w:rsidRPr="00572DE9">
              <w:rPr>
                <w:rFonts w:ascii="Arial" w:eastAsia="Microsoft YaHei" w:hAnsi="Arial" w:cs="Arial"/>
                <w:lang w:val="en-GB"/>
              </w:rPr>
              <w:t>2.8</w:t>
            </w:r>
          </w:p>
        </w:tc>
      </w:tr>
      <w:tr w:rsidR="00500131" w:rsidRPr="00F90D5D" w:rsidTr="00572DE9">
        <w:trPr>
          <w:jc w:val="center"/>
        </w:trPr>
        <w:tc>
          <w:tcPr>
            <w:tcW w:w="1561" w:type="dxa"/>
            <w:shd w:val="clear" w:color="auto" w:fill="auto"/>
          </w:tcPr>
          <w:p w:rsidR="00500131" w:rsidRPr="00572DE9" w:rsidRDefault="00500131" w:rsidP="00572DE9">
            <w:pPr>
              <w:adjustRightInd w:val="0"/>
              <w:snapToGrid w:val="0"/>
              <w:rPr>
                <w:rFonts w:ascii="Arial" w:eastAsia="Microsoft YaHei" w:hAnsi="Arial" w:cs="Arial"/>
                <w:lang w:val="en-GB"/>
              </w:rPr>
            </w:pPr>
            <w:r w:rsidRPr="00572DE9">
              <w:rPr>
                <w:rFonts w:ascii="Arial" w:eastAsia="Microsoft YaHei" w:hAnsi="Arial" w:cs="Arial"/>
                <w:lang w:val="en-GB"/>
              </w:rPr>
              <w:t>Chongqing</w:t>
            </w:r>
          </w:p>
        </w:tc>
        <w:tc>
          <w:tcPr>
            <w:tcW w:w="1704" w:type="dxa"/>
            <w:shd w:val="clear" w:color="auto" w:fill="auto"/>
          </w:tcPr>
          <w:p w:rsidR="00500131" w:rsidRPr="00572DE9" w:rsidRDefault="00500131" w:rsidP="00572DE9">
            <w:pPr>
              <w:tabs>
                <w:tab w:val="decimal" w:pos="924"/>
              </w:tabs>
              <w:adjustRightInd w:val="0"/>
              <w:snapToGrid w:val="0"/>
              <w:rPr>
                <w:rFonts w:ascii="Arial" w:eastAsia="Microsoft YaHei" w:hAnsi="Arial" w:cs="Arial"/>
                <w:lang w:val="en-GB"/>
              </w:rPr>
            </w:pPr>
            <w:r w:rsidRPr="00572DE9">
              <w:rPr>
                <w:rFonts w:ascii="Arial" w:eastAsia="Microsoft YaHei" w:hAnsi="Arial" w:cs="Arial"/>
                <w:lang w:val="en-GB"/>
              </w:rPr>
              <w:t>3</w:t>
            </w:r>
          </w:p>
        </w:tc>
        <w:tc>
          <w:tcPr>
            <w:tcW w:w="1560" w:type="dxa"/>
            <w:shd w:val="clear" w:color="auto" w:fill="auto"/>
          </w:tcPr>
          <w:p w:rsidR="00500131" w:rsidRPr="00572DE9" w:rsidRDefault="00500131" w:rsidP="00572DE9">
            <w:pPr>
              <w:tabs>
                <w:tab w:val="decimal" w:pos="979"/>
              </w:tabs>
              <w:adjustRightInd w:val="0"/>
              <w:snapToGrid w:val="0"/>
              <w:rPr>
                <w:rFonts w:ascii="Arial" w:eastAsia="Microsoft YaHei" w:hAnsi="Arial" w:cs="Arial"/>
                <w:lang w:val="en-GB"/>
              </w:rPr>
            </w:pPr>
            <w:r w:rsidRPr="00572DE9">
              <w:rPr>
                <w:rFonts w:ascii="Arial" w:eastAsia="Microsoft YaHei" w:hAnsi="Arial" w:cs="Arial"/>
                <w:lang w:val="en-GB"/>
              </w:rPr>
              <w:t>0</w:t>
            </w:r>
          </w:p>
        </w:tc>
        <w:tc>
          <w:tcPr>
            <w:tcW w:w="1559" w:type="dxa"/>
            <w:shd w:val="clear" w:color="auto" w:fill="auto"/>
          </w:tcPr>
          <w:p w:rsidR="00500131" w:rsidRPr="00572DE9" w:rsidRDefault="00500131" w:rsidP="00572DE9">
            <w:pPr>
              <w:tabs>
                <w:tab w:val="decimal" w:pos="587"/>
              </w:tabs>
              <w:adjustRightInd w:val="0"/>
              <w:snapToGrid w:val="0"/>
              <w:rPr>
                <w:rFonts w:ascii="Arial" w:eastAsia="Microsoft YaHei" w:hAnsi="Arial" w:cs="Arial"/>
                <w:lang w:val="en-GB"/>
              </w:rPr>
            </w:pPr>
            <w:r w:rsidRPr="00572DE9">
              <w:rPr>
                <w:rFonts w:ascii="Arial" w:eastAsia="Microsoft YaHei" w:hAnsi="Arial" w:cs="Arial"/>
                <w:lang w:val="en-GB"/>
              </w:rPr>
              <w:t>3</w:t>
            </w:r>
          </w:p>
        </w:tc>
        <w:tc>
          <w:tcPr>
            <w:tcW w:w="1417" w:type="dxa"/>
            <w:shd w:val="clear" w:color="auto" w:fill="auto"/>
          </w:tcPr>
          <w:p w:rsidR="00500131" w:rsidRPr="00572DE9" w:rsidRDefault="00500131" w:rsidP="00572DE9">
            <w:pPr>
              <w:tabs>
                <w:tab w:val="decimal" w:pos="694"/>
              </w:tabs>
              <w:adjustRightInd w:val="0"/>
              <w:snapToGrid w:val="0"/>
              <w:rPr>
                <w:rFonts w:ascii="Arial" w:eastAsia="Microsoft YaHei" w:hAnsi="Arial" w:cs="Arial"/>
                <w:lang w:val="en-GB"/>
              </w:rPr>
            </w:pPr>
            <w:r w:rsidRPr="00572DE9">
              <w:rPr>
                <w:rFonts w:ascii="Arial" w:eastAsia="Microsoft YaHei" w:hAnsi="Arial" w:cs="Arial"/>
                <w:lang w:val="en-GB"/>
              </w:rPr>
              <w:t>1.7</w:t>
            </w:r>
          </w:p>
        </w:tc>
      </w:tr>
      <w:tr w:rsidR="00500131" w:rsidRPr="00F90D5D" w:rsidTr="00572DE9">
        <w:trPr>
          <w:jc w:val="center"/>
        </w:trPr>
        <w:tc>
          <w:tcPr>
            <w:tcW w:w="1561" w:type="dxa"/>
            <w:shd w:val="clear" w:color="auto" w:fill="auto"/>
          </w:tcPr>
          <w:p w:rsidR="00500131" w:rsidRPr="00572DE9" w:rsidRDefault="00500131" w:rsidP="00572DE9">
            <w:pPr>
              <w:adjustRightInd w:val="0"/>
              <w:snapToGrid w:val="0"/>
              <w:rPr>
                <w:rFonts w:ascii="Arial" w:eastAsia="Microsoft YaHei" w:hAnsi="Arial" w:cs="Arial"/>
                <w:lang w:val="en-GB"/>
              </w:rPr>
            </w:pPr>
            <w:r w:rsidRPr="00572DE9">
              <w:rPr>
                <w:rFonts w:ascii="Arial" w:eastAsia="Microsoft YaHei" w:hAnsi="Arial" w:cs="Arial"/>
                <w:lang w:val="en-GB"/>
              </w:rPr>
              <w:t>North-East</w:t>
            </w:r>
          </w:p>
        </w:tc>
        <w:tc>
          <w:tcPr>
            <w:tcW w:w="1704" w:type="dxa"/>
            <w:shd w:val="clear" w:color="auto" w:fill="auto"/>
          </w:tcPr>
          <w:p w:rsidR="00500131" w:rsidRPr="00572DE9" w:rsidRDefault="00500131" w:rsidP="00572DE9">
            <w:pPr>
              <w:tabs>
                <w:tab w:val="decimal" w:pos="924"/>
              </w:tabs>
              <w:adjustRightInd w:val="0"/>
              <w:snapToGrid w:val="0"/>
              <w:rPr>
                <w:rFonts w:ascii="Arial" w:eastAsia="Microsoft YaHei" w:hAnsi="Arial" w:cs="Arial"/>
                <w:lang w:val="en-GB"/>
              </w:rPr>
            </w:pPr>
            <w:r w:rsidRPr="00572DE9">
              <w:rPr>
                <w:rFonts w:ascii="Arial" w:eastAsia="Microsoft YaHei" w:hAnsi="Arial" w:cs="Arial"/>
                <w:lang w:val="en-GB"/>
              </w:rPr>
              <w:t>8</w:t>
            </w:r>
          </w:p>
        </w:tc>
        <w:tc>
          <w:tcPr>
            <w:tcW w:w="1560" w:type="dxa"/>
            <w:shd w:val="clear" w:color="auto" w:fill="auto"/>
          </w:tcPr>
          <w:p w:rsidR="00500131" w:rsidRPr="00572DE9" w:rsidRDefault="00500131" w:rsidP="00572DE9">
            <w:pPr>
              <w:tabs>
                <w:tab w:val="decimal" w:pos="979"/>
              </w:tabs>
              <w:adjustRightInd w:val="0"/>
              <w:snapToGrid w:val="0"/>
              <w:rPr>
                <w:rFonts w:ascii="Arial" w:eastAsiaTheme="minorEastAsia" w:hAnsi="Arial" w:cs="Arial"/>
                <w:lang w:val="en-GB" w:eastAsia="zh-CN"/>
              </w:rPr>
            </w:pPr>
            <w:r w:rsidRPr="00572DE9">
              <w:rPr>
                <w:rFonts w:ascii="Arial" w:eastAsiaTheme="minorEastAsia" w:hAnsi="Arial" w:cs="Arial"/>
                <w:lang w:val="en-GB" w:eastAsia="zh-CN"/>
              </w:rPr>
              <w:t>8</w:t>
            </w:r>
          </w:p>
        </w:tc>
        <w:tc>
          <w:tcPr>
            <w:tcW w:w="1559" w:type="dxa"/>
            <w:shd w:val="clear" w:color="auto" w:fill="auto"/>
          </w:tcPr>
          <w:p w:rsidR="00500131" w:rsidRPr="00572DE9" w:rsidRDefault="00500131" w:rsidP="00572DE9">
            <w:pPr>
              <w:tabs>
                <w:tab w:val="decimal" w:pos="587"/>
              </w:tabs>
              <w:adjustRightInd w:val="0"/>
              <w:snapToGrid w:val="0"/>
              <w:rPr>
                <w:rFonts w:ascii="Arial" w:eastAsiaTheme="minorEastAsia" w:hAnsi="Arial" w:cs="Arial"/>
                <w:lang w:val="en-GB" w:eastAsia="zh-CN"/>
              </w:rPr>
            </w:pPr>
            <w:r w:rsidRPr="00572DE9">
              <w:rPr>
                <w:rFonts w:ascii="Arial" w:eastAsia="Microsoft YaHei" w:hAnsi="Arial" w:cs="Arial"/>
                <w:lang w:val="en-GB"/>
              </w:rPr>
              <w:t>1</w:t>
            </w:r>
            <w:r w:rsidRPr="00572DE9">
              <w:rPr>
                <w:rFonts w:ascii="Arial" w:eastAsiaTheme="minorEastAsia" w:hAnsi="Arial" w:cs="Arial"/>
                <w:lang w:val="en-GB" w:eastAsia="zh-CN"/>
              </w:rPr>
              <w:t>6</w:t>
            </w:r>
          </w:p>
        </w:tc>
        <w:tc>
          <w:tcPr>
            <w:tcW w:w="1417" w:type="dxa"/>
            <w:shd w:val="clear" w:color="auto" w:fill="auto"/>
          </w:tcPr>
          <w:p w:rsidR="00500131" w:rsidRPr="00572DE9" w:rsidRDefault="00500131" w:rsidP="00572DE9">
            <w:pPr>
              <w:tabs>
                <w:tab w:val="decimal" w:pos="694"/>
              </w:tabs>
              <w:adjustRightInd w:val="0"/>
              <w:snapToGrid w:val="0"/>
              <w:rPr>
                <w:rFonts w:ascii="Arial" w:eastAsia="Microsoft YaHei" w:hAnsi="Arial" w:cs="Arial"/>
                <w:lang w:val="en-GB"/>
              </w:rPr>
            </w:pPr>
            <w:r w:rsidRPr="00572DE9">
              <w:rPr>
                <w:rFonts w:ascii="Arial" w:eastAsia="Microsoft YaHei" w:hAnsi="Arial" w:cs="Arial"/>
                <w:lang w:val="en-GB"/>
              </w:rPr>
              <w:t>8.</w:t>
            </w:r>
            <w:r w:rsidRPr="00572DE9">
              <w:rPr>
                <w:rFonts w:ascii="Arial" w:eastAsiaTheme="minorEastAsia" w:hAnsi="Arial" w:cs="Arial"/>
                <w:lang w:val="en-GB" w:eastAsia="zh-CN"/>
              </w:rPr>
              <w:t>8</w:t>
            </w:r>
          </w:p>
        </w:tc>
      </w:tr>
      <w:tr w:rsidR="00500131" w:rsidRPr="00F90D5D" w:rsidTr="00572DE9">
        <w:trPr>
          <w:jc w:val="center"/>
        </w:trPr>
        <w:tc>
          <w:tcPr>
            <w:tcW w:w="1561" w:type="dxa"/>
            <w:shd w:val="clear" w:color="auto" w:fill="auto"/>
          </w:tcPr>
          <w:p w:rsidR="00500131" w:rsidRPr="00572DE9" w:rsidRDefault="00500131" w:rsidP="00572DE9">
            <w:pPr>
              <w:adjustRightInd w:val="0"/>
              <w:snapToGrid w:val="0"/>
              <w:rPr>
                <w:rFonts w:ascii="Arial" w:eastAsia="Microsoft YaHei" w:hAnsi="Arial" w:cs="Arial"/>
                <w:lang w:val="en-GB"/>
              </w:rPr>
            </w:pPr>
            <w:r w:rsidRPr="00572DE9">
              <w:rPr>
                <w:rFonts w:ascii="Arial" w:eastAsia="Microsoft YaHei" w:hAnsi="Arial" w:cs="Arial"/>
                <w:lang w:val="en-GB"/>
              </w:rPr>
              <w:t>North-China</w:t>
            </w:r>
          </w:p>
        </w:tc>
        <w:tc>
          <w:tcPr>
            <w:tcW w:w="1704" w:type="dxa"/>
            <w:shd w:val="clear" w:color="auto" w:fill="auto"/>
          </w:tcPr>
          <w:p w:rsidR="00500131" w:rsidRPr="00572DE9" w:rsidRDefault="00500131" w:rsidP="00572DE9">
            <w:pPr>
              <w:tabs>
                <w:tab w:val="decimal" w:pos="924"/>
              </w:tabs>
              <w:adjustRightInd w:val="0"/>
              <w:snapToGrid w:val="0"/>
              <w:rPr>
                <w:rFonts w:ascii="Arial" w:eastAsia="Microsoft YaHei" w:hAnsi="Arial" w:cs="Arial"/>
                <w:lang w:val="en-GB"/>
              </w:rPr>
            </w:pPr>
            <w:r w:rsidRPr="00572DE9">
              <w:rPr>
                <w:rFonts w:ascii="Arial" w:eastAsia="Microsoft YaHei" w:hAnsi="Arial" w:cs="Arial"/>
                <w:lang w:val="en-GB"/>
              </w:rPr>
              <w:t>3</w:t>
            </w:r>
          </w:p>
        </w:tc>
        <w:tc>
          <w:tcPr>
            <w:tcW w:w="1560" w:type="dxa"/>
            <w:shd w:val="clear" w:color="auto" w:fill="auto"/>
          </w:tcPr>
          <w:p w:rsidR="00500131" w:rsidRPr="00572DE9" w:rsidRDefault="00500131" w:rsidP="00572DE9">
            <w:pPr>
              <w:tabs>
                <w:tab w:val="decimal" w:pos="979"/>
              </w:tabs>
              <w:adjustRightInd w:val="0"/>
              <w:snapToGrid w:val="0"/>
              <w:rPr>
                <w:rFonts w:ascii="Arial" w:eastAsiaTheme="minorEastAsia" w:hAnsi="Arial" w:cs="Arial"/>
                <w:lang w:val="en-GB" w:eastAsia="zh-CN"/>
              </w:rPr>
            </w:pPr>
            <w:r w:rsidRPr="00572DE9">
              <w:rPr>
                <w:rFonts w:ascii="Arial" w:eastAsiaTheme="minorEastAsia" w:hAnsi="Arial" w:cs="Arial"/>
                <w:lang w:val="en-GB" w:eastAsia="zh-CN"/>
              </w:rPr>
              <w:t>20</w:t>
            </w:r>
          </w:p>
        </w:tc>
        <w:tc>
          <w:tcPr>
            <w:tcW w:w="1559" w:type="dxa"/>
            <w:shd w:val="clear" w:color="auto" w:fill="auto"/>
          </w:tcPr>
          <w:p w:rsidR="00500131" w:rsidRPr="00572DE9" w:rsidRDefault="00500131" w:rsidP="00572DE9">
            <w:pPr>
              <w:tabs>
                <w:tab w:val="decimal" w:pos="587"/>
              </w:tabs>
              <w:adjustRightInd w:val="0"/>
              <w:snapToGrid w:val="0"/>
              <w:rPr>
                <w:rFonts w:ascii="Arial" w:eastAsiaTheme="minorEastAsia" w:hAnsi="Arial" w:cs="Arial"/>
                <w:lang w:val="en-GB" w:eastAsia="zh-CN"/>
              </w:rPr>
            </w:pPr>
            <w:r w:rsidRPr="00572DE9">
              <w:rPr>
                <w:rFonts w:ascii="Arial" w:eastAsia="Microsoft YaHei" w:hAnsi="Arial" w:cs="Arial"/>
                <w:lang w:val="en-GB"/>
              </w:rPr>
              <w:t>2</w:t>
            </w:r>
            <w:r w:rsidRPr="00572DE9">
              <w:rPr>
                <w:rFonts w:ascii="Arial" w:eastAsiaTheme="minorEastAsia" w:hAnsi="Arial" w:cs="Arial"/>
                <w:lang w:val="en-GB" w:eastAsia="zh-CN"/>
              </w:rPr>
              <w:t>3</w:t>
            </w:r>
          </w:p>
        </w:tc>
        <w:tc>
          <w:tcPr>
            <w:tcW w:w="1417" w:type="dxa"/>
            <w:shd w:val="clear" w:color="auto" w:fill="auto"/>
          </w:tcPr>
          <w:p w:rsidR="00500131" w:rsidRPr="00572DE9" w:rsidRDefault="00500131" w:rsidP="00572DE9">
            <w:pPr>
              <w:tabs>
                <w:tab w:val="decimal" w:pos="694"/>
              </w:tabs>
              <w:adjustRightInd w:val="0"/>
              <w:snapToGrid w:val="0"/>
              <w:rPr>
                <w:rFonts w:ascii="Arial" w:eastAsia="Microsoft YaHei" w:hAnsi="Arial" w:cs="Arial"/>
                <w:lang w:val="en-GB"/>
              </w:rPr>
            </w:pPr>
            <w:r w:rsidRPr="00572DE9">
              <w:rPr>
                <w:rFonts w:ascii="Arial" w:eastAsia="Microsoft YaHei" w:hAnsi="Arial" w:cs="Arial"/>
                <w:lang w:val="en-GB"/>
              </w:rPr>
              <w:t>12.</w:t>
            </w:r>
            <w:r w:rsidRPr="00572DE9">
              <w:rPr>
                <w:rFonts w:ascii="Arial" w:eastAsiaTheme="minorEastAsia" w:hAnsi="Arial" w:cs="Arial"/>
                <w:lang w:val="en-GB" w:eastAsia="zh-CN"/>
              </w:rPr>
              <w:t>7</w:t>
            </w:r>
          </w:p>
        </w:tc>
      </w:tr>
      <w:tr w:rsidR="00500131" w:rsidRPr="00F90D5D" w:rsidTr="00572DE9">
        <w:trPr>
          <w:jc w:val="center"/>
        </w:trPr>
        <w:tc>
          <w:tcPr>
            <w:tcW w:w="1561" w:type="dxa"/>
            <w:shd w:val="clear" w:color="auto" w:fill="auto"/>
          </w:tcPr>
          <w:p w:rsidR="00500131" w:rsidRPr="00572DE9" w:rsidRDefault="00500131" w:rsidP="00572DE9">
            <w:pPr>
              <w:adjustRightInd w:val="0"/>
              <w:snapToGrid w:val="0"/>
              <w:rPr>
                <w:rFonts w:ascii="Arial" w:eastAsia="Microsoft YaHei" w:hAnsi="Arial" w:cs="Arial"/>
                <w:lang w:val="en-GB"/>
              </w:rPr>
            </w:pPr>
            <w:r w:rsidRPr="00572DE9">
              <w:rPr>
                <w:rFonts w:ascii="Arial" w:eastAsia="Microsoft YaHei" w:hAnsi="Arial" w:cs="Arial"/>
                <w:lang w:val="en-GB"/>
              </w:rPr>
              <w:t>East-China</w:t>
            </w:r>
          </w:p>
        </w:tc>
        <w:tc>
          <w:tcPr>
            <w:tcW w:w="1704" w:type="dxa"/>
            <w:shd w:val="clear" w:color="auto" w:fill="auto"/>
          </w:tcPr>
          <w:p w:rsidR="00500131" w:rsidRPr="00572DE9" w:rsidRDefault="00500131" w:rsidP="00572DE9">
            <w:pPr>
              <w:tabs>
                <w:tab w:val="decimal" w:pos="924"/>
              </w:tabs>
              <w:adjustRightInd w:val="0"/>
              <w:snapToGrid w:val="0"/>
              <w:rPr>
                <w:rFonts w:ascii="Arial" w:eastAsia="Microsoft YaHei" w:hAnsi="Arial" w:cs="Arial"/>
                <w:lang w:val="en-GB"/>
              </w:rPr>
            </w:pPr>
            <w:r w:rsidRPr="00572DE9">
              <w:rPr>
                <w:rFonts w:ascii="Arial" w:eastAsia="Microsoft YaHei" w:hAnsi="Arial" w:cs="Arial"/>
                <w:lang w:val="en-GB"/>
              </w:rPr>
              <w:t>13</w:t>
            </w:r>
          </w:p>
        </w:tc>
        <w:tc>
          <w:tcPr>
            <w:tcW w:w="1560" w:type="dxa"/>
            <w:shd w:val="clear" w:color="auto" w:fill="auto"/>
          </w:tcPr>
          <w:p w:rsidR="00500131" w:rsidRPr="00572DE9" w:rsidRDefault="00500131" w:rsidP="00572DE9">
            <w:pPr>
              <w:tabs>
                <w:tab w:val="decimal" w:pos="979"/>
              </w:tabs>
              <w:adjustRightInd w:val="0"/>
              <w:snapToGrid w:val="0"/>
              <w:rPr>
                <w:rFonts w:ascii="Arial" w:eastAsiaTheme="minorEastAsia" w:hAnsi="Arial" w:cs="Arial"/>
                <w:lang w:val="en-GB" w:eastAsia="zh-CN"/>
              </w:rPr>
            </w:pPr>
            <w:r w:rsidRPr="00572DE9">
              <w:rPr>
                <w:rFonts w:ascii="Arial" w:eastAsia="Microsoft YaHei" w:hAnsi="Arial" w:cs="Arial"/>
                <w:lang w:val="en-GB"/>
              </w:rPr>
              <w:t>6</w:t>
            </w:r>
            <w:r w:rsidRPr="00572DE9">
              <w:rPr>
                <w:rFonts w:ascii="Arial" w:eastAsiaTheme="minorEastAsia" w:hAnsi="Arial" w:cs="Arial"/>
                <w:lang w:val="en-GB" w:eastAsia="zh-CN"/>
              </w:rPr>
              <w:t>9</w:t>
            </w:r>
          </w:p>
        </w:tc>
        <w:tc>
          <w:tcPr>
            <w:tcW w:w="1559" w:type="dxa"/>
            <w:shd w:val="clear" w:color="auto" w:fill="auto"/>
          </w:tcPr>
          <w:p w:rsidR="00500131" w:rsidRPr="00572DE9" w:rsidRDefault="00500131" w:rsidP="00572DE9">
            <w:pPr>
              <w:tabs>
                <w:tab w:val="decimal" w:pos="587"/>
              </w:tabs>
              <w:adjustRightInd w:val="0"/>
              <w:snapToGrid w:val="0"/>
              <w:rPr>
                <w:rFonts w:ascii="Arial" w:eastAsiaTheme="minorEastAsia" w:hAnsi="Arial" w:cs="Arial"/>
                <w:lang w:val="en-GB" w:eastAsia="zh-CN"/>
              </w:rPr>
            </w:pPr>
            <w:r w:rsidRPr="00572DE9">
              <w:rPr>
                <w:rFonts w:ascii="Arial" w:eastAsia="Microsoft YaHei" w:hAnsi="Arial" w:cs="Arial"/>
                <w:lang w:val="en-GB"/>
              </w:rPr>
              <w:t>8</w:t>
            </w:r>
            <w:r w:rsidRPr="00572DE9">
              <w:rPr>
                <w:rFonts w:ascii="Arial" w:eastAsiaTheme="minorEastAsia" w:hAnsi="Arial" w:cs="Arial"/>
                <w:lang w:val="en-GB" w:eastAsia="zh-CN"/>
              </w:rPr>
              <w:t>2</w:t>
            </w:r>
          </w:p>
        </w:tc>
        <w:tc>
          <w:tcPr>
            <w:tcW w:w="1417" w:type="dxa"/>
            <w:shd w:val="clear" w:color="auto" w:fill="auto"/>
          </w:tcPr>
          <w:p w:rsidR="00500131" w:rsidRPr="00572DE9" w:rsidRDefault="00500131" w:rsidP="00572DE9">
            <w:pPr>
              <w:tabs>
                <w:tab w:val="decimal" w:pos="694"/>
              </w:tabs>
              <w:adjustRightInd w:val="0"/>
              <w:snapToGrid w:val="0"/>
              <w:rPr>
                <w:rFonts w:ascii="Arial" w:eastAsia="Microsoft YaHei" w:hAnsi="Arial" w:cs="Arial"/>
                <w:lang w:val="en-GB"/>
              </w:rPr>
            </w:pPr>
            <w:r w:rsidRPr="00572DE9">
              <w:rPr>
                <w:rFonts w:ascii="Arial" w:eastAsia="Microsoft YaHei" w:hAnsi="Arial" w:cs="Arial"/>
                <w:lang w:val="en-GB"/>
              </w:rPr>
              <w:t>45.</w:t>
            </w:r>
            <w:r w:rsidRPr="00572DE9">
              <w:rPr>
                <w:rFonts w:ascii="Arial" w:eastAsiaTheme="minorEastAsia" w:hAnsi="Arial" w:cs="Arial"/>
                <w:lang w:val="en-GB" w:eastAsia="zh-CN"/>
              </w:rPr>
              <w:t>3</w:t>
            </w:r>
          </w:p>
        </w:tc>
      </w:tr>
      <w:tr w:rsidR="00500131" w:rsidRPr="00F90D5D" w:rsidTr="00572DE9">
        <w:trPr>
          <w:jc w:val="center"/>
        </w:trPr>
        <w:tc>
          <w:tcPr>
            <w:tcW w:w="1561" w:type="dxa"/>
            <w:shd w:val="clear" w:color="auto" w:fill="auto"/>
          </w:tcPr>
          <w:p w:rsidR="00500131" w:rsidRPr="00572DE9" w:rsidRDefault="00500131" w:rsidP="00572DE9">
            <w:pPr>
              <w:adjustRightInd w:val="0"/>
              <w:snapToGrid w:val="0"/>
              <w:rPr>
                <w:rFonts w:ascii="Arial" w:eastAsia="Microsoft YaHei" w:hAnsi="Arial" w:cs="Arial"/>
                <w:lang w:val="en-GB"/>
              </w:rPr>
            </w:pPr>
            <w:r w:rsidRPr="00572DE9">
              <w:rPr>
                <w:rFonts w:ascii="Arial" w:eastAsia="Microsoft YaHei" w:hAnsi="Arial" w:cs="Arial"/>
                <w:lang w:val="en-GB"/>
              </w:rPr>
              <w:t>Central-China</w:t>
            </w:r>
          </w:p>
        </w:tc>
        <w:tc>
          <w:tcPr>
            <w:tcW w:w="1704" w:type="dxa"/>
            <w:shd w:val="clear" w:color="auto" w:fill="auto"/>
          </w:tcPr>
          <w:p w:rsidR="00500131" w:rsidRPr="00572DE9" w:rsidRDefault="00500131" w:rsidP="00572DE9">
            <w:pPr>
              <w:tabs>
                <w:tab w:val="decimal" w:pos="924"/>
              </w:tabs>
              <w:adjustRightInd w:val="0"/>
              <w:snapToGrid w:val="0"/>
              <w:rPr>
                <w:rFonts w:ascii="Arial" w:eastAsia="Microsoft YaHei" w:hAnsi="Arial" w:cs="Arial"/>
                <w:lang w:val="en-GB"/>
              </w:rPr>
            </w:pPr>
            <w:r w:rsidRPr="00572DE9">
              <w:rPr>
                <w:rFonts w:ascii="Arial" w:eastAsia="Microsoft YaHei" w:hAnsi="Arial" w:cs="Arial"/>
                <w:lang w:val="en-GB"/>
              </w:rPr>
              <w:t>7</w:t>
            </w:r>
          </w:p>
        </w:tc>
        <w:tc>
          <w:tcPr>
            <w:tcW w:w="1560" w:type="dxa"/>
            <w:shd w:val="clear" w:color="auto" w:fill="auto"/>
          </w:tcPr>
          <w:p w:rsidR="00500131" w:rsidRPr="00572DE9" w:rsidRDefault="00500131" w:rsidP="00572DE9">
            <w:pPr>
              <w:tabs>
                <w:tab w:val="decimal" w:pos="979"/>
              </w:tabs>
              <w:adjustRightInd w:val="0"/>
              <w:snapToGrid w:val="0"/>
              <w:rPr>
                <w:rFonts w:ascii="Arial" w:eastAsia="Microsoft YaHei" w:hAnsi="Arial" w:cs="Arial"/>
                <w:lang w:val="en-GB"/>
              </w:rPr>
            </w:pPr>
            <w:r w:rsidRPr="00572DE9">
              <w:rPr>
                <w:rFonts w:ascii="Arial" w:eastAsia="Microsoft YaHei" w:hAnsi="Arial" w:cs="Arial"/>
                <w:lang w:val="en-GB"/>
              </w:rPr>
              <w:t>9</w:t>
            </w:r>
          </w:p>
        </w:tc>
        <w:tc>
          <w:tcPr>
            <w:tcW w:w="1559" w:type="dxa"/>
            <w:shd w:val="clear" w:color="auto" w:fill="auto"/>
          </w:tcPr>
          <w:p w:rsidR="00500131" w:rsidRPr="00572DE9" w:rsidRDefault="00500131" w:rsidP="00572DE9">
            <w:pPr>
              <w:tabs>
                <w:tab w:val="decimal" w:pos="587"/>
              </w:tabs>
              <w:adjustRightInd w:val="0"/>
              <w:snapToGrid w:val="0"/>
              <w:rPr>
                <w:rFonts w:ascii="Arial" w:eastAsia="Microsoft YaHei" w:hAnsi="Arial" w:cs="Arial"/>
                <w:lang w:val="en-GB"/>
              </w:rPr>
            </w:pPr>
            <w:r w:rsidRPr="00572DE9">
              <w:rPr>
                <w:rFonts w:ascii="Arial" w:eastAsia="Microsoft YaHei" w:hAnsi="Arial" w:cs="Arial"/>
                <w:lang w:val="en-GB"/>
              </w:rPr>
              <w:t>16</w:t>
            </w:r>
          </w:p>
        </w:tc>
        <w:tc>
          <w:tcPr>
            <w:tcW w:w="1417" w:type="dxa"/>
            <w:shd w:val="clear" w:color="auto" w:fill="auto"/>
          </w:tcPr>
          <w:p w:rsidR="00500131" w:rsidRPr="00572DE9" w:rsidRDefault="00500131" w:rsidP="00572DE9">
            <w:pPr>
              <w:tabs>
                <w:tab w:val="decimal" w:pos="694"/>
              </w:tabs>
              <w:adjustRightInd w:val="0"/>
              <w:snapToGrid w:val="0"/>
              <w:rPr>
                <w:rFonts w:ascii="Arial" w:eastAsia="Microsoft YaHei" w:hAnsi="Arial" w:cs="Arial"/>
                <w:lang w:val="en-GB"/>
              </w:rPr>
            </w:pPr>
            <w:r w:rsidRPr="00572DE9">
              <w:rPr>
                <w:rFonts w:ascii="Arial" w:eastAsiaTheme="minorEastAsia" w:hAnsi="Arial" w:cs="Arial"/>
                <w:lang w:val="en-GB" w:eastAsia="zh-CN"/>
              </w:rPr>
              <w:t>8.8</w:t>
            </w:r>
          </w:p>
        </w:tc>
      </w:tr>
      <w:tr w:rsidR="00500131" w:rsidRPr="00F90D5D" w:rsidTr="00572DE9">
        <w:trPr>
          <w:jc w:val="center"/>
        </w:trPr>
        <w:tc>
          <w:tcPr>
            <w:tcW w:w="1561" w:type="dxa"/>
            <w:shd w:val="clear" w:color="auto" w:fill="auto"/>
          </w:tcPr>
          <w:p w:rsidR="00500131" w:rsidRPr="00572DE9" w:rsidRDefault="00500131" w:rsidP="00572DE9">
            <w:pPr>
              <w:adjustRightInd w:val="0"/>
              <w:snapToGrid w:val="0"/>
              <w:rPr>
                <w:rFonts w:ascii="Arial" w:eastAsia="Microsoft YaHei" w:hAnsi="Arial" w:cs="Arial"/>
                <w:lang w:val="en-GB"/>
              </w:rPr>
            </w:pPr>
            <w:r w:rsidRPr="00572DE9">
              <w:rPr>
                <w:rFonts w:ascii="Arial" w:eastAsia="Microsoft YaHei" w:hAnsi="Arial" w:cs="Arial"/>
                <w:lang w:val="en-GB"/>
              </w:rPr>
              <w:t>South-China</w:t>
            </w:r>
          </w:p>
        </w:tc>
        <w:tc>
          <w:tcPr>
            <w:tcW w:w="1704" w:type="dxa"/>
            <w:shd w:val="clear" w:color="auto" w:fill="auto"/>
          </w:tcPr>
          <w:p w:rsidR="00500131" w:rsidRPr="00572DE9" w:rsidRDefault="00500131" w:rsidP="00572DE9">
            <w:pPr>
              <w:tabs>
                <w:tab w:val="decimal" w:pos="924"/>
              </w:tabs>
              <w:adjustRightInd w:val="0"/>
              <w:snapToGrid w:val="0"/>
              <w:rPr>
                <w:rFonts w:ascii="Arial" w:eastAsia="Microsoft YaHei" w:hAnsi="Arial" w:cs="Arial"/>
                <w:lang w:val="en-GB"/>
              </w:rPr>
            </w:pPr>
            <w:r w:rsidRPr="00572DE9">
              <w:rPr>
                <w:rFonts w:ascii="Arial" w:eastAsia="Microsoft YaHei" w:hAnsi="Arial" w:cs="Arial"/>
                <w:lang w:val="en-GB"/>
              </w:rPr>
              <w:t>3</w:t>
            </w:r>
          </w:p>
        </w:tc>
        <w:tc>
          <w:tcPr>
            <w:tcW w:w="1560" w:type="dxa"/>
            <w:shd w:val="clear" w:color="auto" w:fill="auto"/>
          </w:tcPr>
          <w:p w:rsidR="00500131" w:rsidRPr="00572DE9" w:rsidRDefault="00500131" w:rsidP="00572DE9">
            <w:pPr>
              <w:tabs>
                <w:tab w:val="decimal" w:pos="979"/>
              </w:tabs>
              <w:adjustRightInd w:val="0"/>
              <w:snapToGrid w:val="0"/>
              <w:rPr>
                <w:rFonts w:ascii="Arial" w:eastAsiaTheme="minorEastAsia" w:hAnsi="Arial" w:cs="Arial"/>
                <w:lang w:val="en-GB" w:eastAsia="zh-CN"/>
              </w:rPr>
            </w:pPr>
            <w:r w:rsidRPr="00572DE9">
              <w:rPr>
                <w:rFonts w:ascii="Arial" w:eastAsiaTheme="minorEastAsia" w:hAnsi="Arial" w:cs="Arial"/>
                <w:lang w:val="en-GB" w:eastAsia="zh-CN"/>
              </w:rPr>
              <w:t>3</w:t>
            </w:r>
          </w:p>
        </w:tc>
        <w:tc>
          <w:tcPr>
            <w:tcW w:w="1559" w:type="dxa"/>
            <w:shd w:val="clear" w:color="auto" w:fill="auto"/>
          </w:tcPr>
          <w:p w:rsidR="00500131" w:rsidRPr="00572DE9" w:rsidRDefault="00500131" w:rsidP="00572DE9">
            <w:pPr>
              <w:tabs>
                <w:tab w:val="decimal" w:pos="587"/>
              </w:tabs>
              <w:adjustRightInd w:val="0"/>
              <w:snapToGrid w:val="0"/>
              <w:rPr>
                <w:rFonts w:ascii="Arial" w:eastAsiaTheme="minorEastAsia" w:hAnsi="Arial" w:cs="Arial"/>
                <w:lang w:val="en-GB" w:eastAsia="zh-CN"/>
              </w:rPr>
            </w:pPr>
            <w:r w:rsidRPr="00572DE9">
              <w:rPr>
                <w:rFonts w:ascii="Arial" w:eastAsiaTheme="minorEastAsia" w:hAnsi="Arial" w:cs="Arial"/>
                <w:lang w:val="en-GB" w:eastAsia="zh-CN"/>
              </w:rPr>
              <w:t>6</w:t>
            </w:r>
          </w:p>
        </w:tc>
        <w:tc>
          <w:tcPr>
            <w:tcW w:w="1417" w:type="dxa"/>
            <w:shd w:val="clear" w:color="auto" w:fill="auto"/>
          </w:tcPr>
          <w:p w:rsidR="00500131" w:rsidRPr="00572DE9" w:rsidRDefault="00500131" w:rsidP="00572DE9">
            <w:pPr>
              <w:tabs>
                <w:tab w:val="decimal" w:pos="694"/>
              </w:tabs>
              <w:adjustRightInd w:val="0"/>
              <w:snapToGrid w:val="0"/>
              <w:rPr>
                <w:rFonts w:ascii="Arial" w:eastAsia="Microsoft YaHei" w:hAnsi="Arial" w:cs="Arial"/>
                <w:lang w:val="en-GB"/>
              </w:rPr>
            </w:pPr>
            <w:r w:rsidRPr="00572DE9">
              <w:rPr>
                <w:rFonts w:ascii="Arial" w:eastAsiaTheme="minorEastAsia" w:hAnsi="Arial" w:cs="Arial"/>
                <w:lang w:val="en-GB" w:eastAsia="zh-CN"/>
              </w:rPr>
              <w:t>3.3</w:t>
            </w:r>
          </w:p>
        </w:tc>
      </w:tr>
      <w:tr w:rsidR="00500131" w:rsidRPr="00F90D5D" w:rsidTr="00572DE9">
        <w:trPr>
          <w:jc w:val="center"/>
        </w:trPr>
        <w:tc>
          <w:tcPr>
            <w:tcW w:w="1561" w:type="dxa"/>
            <w:shd w:val="clear" w:color="auto" w:fill="auto"/>
          </w:tcPr>
          <w:p w:rsidR="00500131" w:rsidRPr="00572DE9" w:rsidRDefault="00500131" w:rsidP="00572DE9">
            <w:pPr>
              <w:adjustRightInd w:val="0"/>
              <w:snapToGrid w:val="0"/>
              <w:rPr>
                <w:rFonts w:ascii="Arial" w:eastAsia="Microsoft YaHei" w:hAnsi="Arial" w:cs="Arial"/>
                <w:lang w:val="en-GB"/>
              </w:rPr>
            </w:pPr>
            <w:r w:rsidRPr="00572DE9">
              <w:rPr>
                <w:rFonts w:ascii="Arial" w:eastAsia="Microsoft YaHei" w:hAnsi="Arial" w:cs="Arial"/>
                <w:lang w:val="en-GB"/>
              </w:rPr>
              <w:t>North-West</w:t>
            </w:r>
          </w:p>
        </w:tc>
        <w:tc>
          <w:tcPr>
            <w:tcW w:w="1704" w:type="dxa"/>
            <w:shd w:val="clear" w:color="auto" w:fill="auto"/>
          </w:tcPr>
          <w:p w:rsidR="00500131" w:rsidRPr="00572DE9" w:rsidRDefault="00500131" w:rsidP="00572DE9">
            <w:pPr>
              <w:tabs>
                <w:tab w:val="decimal" w:pos="924"/>
              </w:tabs>
              <w:adjustRightInd w:val="0"/>
              <w:snapToGrid w:val="0"/>
              <w:rPr>
                <w:rFonts w:ascii="Arial" w:eastAsia="Microsoft YaHei" w:hAnsi="Arial" w:cs="Arial"/>
                <w:lang w:val="en-GB"/>
              </w:rPr>
            </w:pPr>
            <w:r w:rsidRPr="00572DE9">
              <w:rPr>
                <w:rFonts w:ascii="Arial" w:eastAsia="Microsoft YaHei" w:hAnsi="Arial" w:cs="Arial"/>
                <w:lang w:val="en-GB"/>
              </w:rPr>
              <w:t>1</w:t>
            </w:r>
          </w:p>
        </w:tc>
        <w:tc>
          <w:tcPr>
            <w:tcW w:w="1560" w:type="dxa"/>
            <w:shd w:val="clear" w:color="auto" w:fill="auto"/>
          </w:tcPr>
          <w:p w:rsidR="00500131" w:rsidRPr="00572DE9" w:rsidRDefault="00500131" w:rsidP="00572DE9">
            <w:pPr>
              <w:tabs>
                <w:tab w:val="decimal" w:pos="979"/>
              </w:tabs>
              <w:adjustRightInd w:val="0"/>
              <w:snapToGrid w:val="0"/>
              <w:rPr>
                <w:rFonts w:ascii="Arial" w:eastAsia="Microsoft YaHei" w:hAnsi="Arial" w:cs="Arial"/>
                <w:lang w:val="en-GB"/>
              </w:rPr>
            </w:pPr>
            <w:r w:rsidRPr="00572DE9">
              <w:rPr>
                <w:rFonts w:ascii="Arial" w:eastAsia="Microsoft YaHei" w:hAnsi="Arial" w:cs="Arial"/>
                <w:lang w:val="en-GB"/>
              </w:rPr>
              <w:t>8</w:t>
            </w:r>
          </w:p>
        </w:tc>
        <w:tc>
          <w:tcPr>
            <w:tcW w:w="1559" w:type="dxa"/>
            <w:shd w:val="clear" w:color="auto" w:fill="auto"/>
          </w:tcPr>
          <w:p w:rsidR="00500131" w:rsidRPr="00572DE9" w:rsidRDefault="00500131" w:rsidP="00572DE9">
            <w:pPr>
              <w:tabs>
                <w:tab w:val="decimal" w:pos="587"/>
              </w:tabs>
              <w:adjustRightInd w:val="0"/>
              <w:snapToGrid w:val="0"/>
              <w:rPr>
                <w:rFonts w:ascii="Arial" w:eastAsia="Microsoft YaHei" w:hAnsi="Arial" w:cs="Arial"/>
                <w:lang w:val="en-GB"/>
              </w:rPr>
            </w:pPr>
            <w:r w:rsidRPr="00572DE9">
              <w:rPr>
                <w:rFonts w:ascii="Arial" w:eastAsia="Microsoft YaHei" w:hAnsi="Arial" w:cs="Arial"/>
                <w:lang w:val="en-GB"/>
              </w:rPr>
              <w:t>9</w:t>
            </w:r>
          </w:p>
        </w:tc>
        <w:tc>
          <w:tcPr>
            <w:tcW w:w="1417" w:type="dxa"/>
            <w:shd w:val="clear" w:color="auto" w:fill="auto"/>
          </w:tcPr>
          <w:p w:rsidR="00500131" w:rsidRPr="00572DE9" w:rsidRDefault="00500131" w:rsidP="00572DE9">
            <w:pPr>
              <w:tabs>
                <w:tab w:val="decimal" w:pos="694"/>
              </w:tabs>
              <w:adjustRightInd w:val="0"/>
              <w:snapToGrid w:val="0"/>
              <w:rPr>
                <w:rFonts w:ascii="Arial" w:eastAsia="Microsoft YaHei" w:hAnsi="Arial" w:cs="Arial"/>
                <w:lang w:val="en-GB"/>
              </w:rPr>
            </w:pPr>
            <w:r w:rsidRPr="00572DE9">
              <w:rPr>
                <w:rFonts w:ascii="Arial" w:eastAsia="Microsoft YaHei" w:hAnsi="Arial" w:cs="Arial"/>
                <w:lang w:val="en-GB"/>
              </w:rPr>
              <w:t>5.</w:t>
            </w:r>
            <w:r w:rsidRPr="00572DE9">
              <w:rPr>
                <w:rFonts w:ascii="Arial" w:eastAsiaTheme="minorEastAsia" w:hAnsi="Arial" w:cs="Arial"/>
                <w:lang w:val="en-GB" w:eastAsia="zh-CN"/>
              </w:rPr>
              <w:t>0</w:t>
            </w:r>
          </w:p>
        </w:tc>
      </w:tr>
      <w:tr w:rsidR="00500131" w:rsidRPr="00F90D5D" w:rsidTr="00572DE9">
        <w:trPr>
          <w:jc w:val="center"/>
        </w:trPr>
        <w:tc>
          <w:tcPr>
            <w:tcW w:w="1561" w:type="dxa"/>
            <w:shd w:val="clear" w:color="auto" w:fill="auto"/>
          </w:tcPr>
          <w:p w:rsidR="00500131" w:rsidRPr="00572DE9" w:rsidRDefault="00500131" w:rsidP="00572DE9">
            <w:pPr>
              <w:adjustRightInd w:val="0"/>
              <w:snapToGrid w:val="0"/>
              <w:rPr>
                <w:rFonts w:ascii="Arial" w:eastAsia="Microsoft YaHei" w:hAnsi="Arial" w:cs="Arial"/>
                <w:lang w:val="en-GB"/>
              </w:rPr>
            </w:pPr>
            <w:r w:rsidRPr="00572DE9">
              <w:rPr>
                <w:rFonts w:ascii="Arial" w:eastAsia="Microsoft YaHei" w:hAnsi="Arial" w:cs="Arial"/>
                <w:lang w:val="en-GB"/>
              </w:rPr>
              <w:t>South-West</w:t>
            </w:r>
          </w:p>
        </w:tc>
        <w:tc>
          <w:tcPr>
            <w:tcW w:w="1704" w:type="dxa"/>
            <w:shd w:val="clear" w:color="auto" w:fill="auto"/>
          </w:tcPr>
          <w:p w:rsidR="00500131" w:rsidRPr="00572DE9" w:rsidRDefault="00500131" w:rsidP="00572DE9">
            <w:pPr>
              <w:tabs>
                <w:tab w:val="decimal" w:pos="924"/>
              </w:tabs>
              <w:adjustRightInd w:val="0"/>
              <w:snapToGrid w:val="0"/>
              <w:rPr>
                <w:rFonts w:ascii="Arial" w:eastAsia="Microsoft YaHei" w:hAnsi="Arial" w:cs="Arial"/>
                <w:lang w:val="en-GB"/>
              </w:rPr>
            </w:pPr>
            <w:r w:rsidRPr="00572DE9">
              <w:rPr>
                <w:rFonts w:ascii="Arial" w:eastAsia="Microsoft YaHei" w:hAnsi="Arial" w:cs="Arial"/>
                <w:lang w:val="en-GB"/>
              </w:rPr>
              <w:t>3</w:t>
            </w:r>
          </w:p>
        </w:tc>
        <w:tc>
          <w:tcPr>
            <w:tcW w:w="1560" w:type="dxa"/>
            <w:shd w:val="clear" w:color="auto" w:fill="auto"/>
          </w:tcPr>
          <w:p w:rsidR="00500131" w:rsidRPr="00572DE9" w:rsidRDefault="00500131" w:rsidP="00572DE9">
            <w:pPr>
              <w:tabs>
                <w:tab w:val="decimal" w:pos="979"/>
              </w:tabs>
              <w:adjustRightInd w:val="0"/>
              <w:snapToGrid w:val="0"/>
              <w:rPr>
                <w:rFonts w:ascii="Arial" w:eastAsiaTheme="minorEastAsia" w:hAnsi="Arial" w:cs="Arial"/>
                <w:lang w:val="en-GB" w:eastAsia="zh-CN"/>
              </w:rPr>
            </w:pPr>
            <w:r w:rsidRPr="00572DE9">
              <w:rPr>
                <w:rFonts w:ascii="Arial" w:eastAsiaTheme="minorEastAsia" w:hAnsi="Arial" w:cs="Arial"/>
                <w:lang w:val="en-GB" w:eastAsia="zh-CN"/>
              </w:rPr>
              <w:t>6</w:t>
            </w:r>
          </w:p>
        </w:tc>
        <w:tc>
          <w:tcPr>
            <w:tcW w:w="1559" w:type="dxa"/>
            <w:shd w:val="clear" w:color="auto" w:fill="auto"/>
          </w:tcPr>
          <w:p w:rsidR="00500131" w:rsidRPr="00572DE9" w:rsidRDefault="00500131" w:rsidP="00572DE9">
            <w:pPr>
              <w:tabs>
                <w:tab w:val="decimal" w:pos="587"/>
              </w:tabs>
              <w:adjustRightInd w:val="0"/>
              <w:snapToGrid w:val="0"/>
              <w:rPr>
                <w:rFonts w:ascii="Arial" w:eastAsiaTheme="minorEastAsia" w:hAnsi="Arial" w:cs="Arial"/>
                <w:lang w:val="en-GB" w:eastAsia="zh-CN"/>
              </w:rPr>
            </w:pPr>
            <w:r w:rsidRPr="00572DE9">
              <w:rPr>
                <w:rFonts w:ascii="Arial" w:eastAsiaTheme="minorEastAsia" w:hAnsi="Arial" w:cs="Arial"/>
                <w:lang w:val="en-GB" w:eastAsia="zh-CN"/>
              </w:rPr>
              <w:t>9</w:t>
            </w:r>
          </w:p>
        </w:tc>
        <w:tc>
          <w:tcPr>
            <w:tcW w:w="1417" w:type="dxa"/>
            <w:shd w:val="clear" w:color="auto" w:fill="auto"/>
          </w:tcPr>
          <w:p w:rsidR="00500131" w:rsidRPr="00572DE9" w:rsidRDefault="00500131" w:rsidP="00572DE9">
            <w:pPr>
              <w:tabs>
                <w:tab w:val="decimal" w:pos="694"/>
              </w:tabs>
              <w:adjustRightInd w:val="0"/>
              <w:snapToGrid w:val="0"/>
              <w:rPr>
                <w:rFonts w:ascii="Arial" w:eastAsia="Microsoft YaHei" w:hAnsi="Arial" w:cs="Arial"/>
                <w:lang w:val="en-GB"/>
              </w:rPr>
            </w:pPr>
            <w:r w:rsidRPr="00572DE9">
              <w:rPr>
                <w:rFonts w:ascii="Arial" w:eastAsiaTheme="minorEastAsia" w:hAnsi="Arial" w:cs="Arial"/>
                <w:lang w:val="en-GB" w:eastAsia="zh-CN"/>
              </w:rPr>
              <w:t>5.0</w:t>
            </w:r>
          </w:p>
        </w:tc>
      </w:tr>
      <w:tr w:rsidR="00500131" w:rsidRPr="00F90D5D" w:rsidTr="00572DE9">
        <w:trPr>
          <w:jc w:val="center"/>
        </w:trPr>
        <w:tc>
          <w:tcPr>
            <w:tcW w:w="1561" w:type="dxa"/>
            <w:shd w:val="clear" w:color="auto" w:fill="auto"/>
          </w:tcPr>
          <w:p w:rsidR="00500131" w:rsidRPr="00572DE9" w:rsidRDefault="00500131" w:rsidP="00572DE9">
            <w:pPr>
              <w:adjustRightInd w:val="0"/>
              <w:snapToGrid w:val="0"/>
              <w:rPr>
                <w:rFonts w:ascii="Arial" w:eastAsia="Microsoft YaHei" w:hAnsi="Arial" w:cs="Arial"/>
                <w:lang w:val="en-GB"/>
              </w:rPr>
            </w:pPr>
            <w:r w:rsidRPr="00572DE9">
              <w:rPr>
                <w:rFonts w:ascii="Arial" w:eastAsia="Microsoft YaHei" w:hAnsi="Arial" w:cs="Arial"/>
                <w:b/>
                <w:lang w:val="en-GB"/>
              </w:rPr>
              <w:t>Total</w:t>
            </w:r>
          </w:p>
        </w:tc>
        <w:tc>
          <w:tcPr>
            <w:tcW w:w="1704" w:type="dxa"/>
            <w:shd w:val="clear" w:color="auto" w:fill="auto"/>
          </w:tcPr>
          <w:p w:rsidR="00500131" w:rsidRPr="00572DE9" w:rsidRDefault="00500131" w:rsidP="00572DE9">
            <w:pPr>
              <w:tabs>
                <w:tab w:val="decimal" w:pos="924"/>
              </w:tabs>
              <w:adjustRightInd w:val="0"/>
              <w:snapToGrid w:val="0"/>
              <w:rPr>
                <w:rFonts w:ascii="Arial" w:eastAsiaTheme="minorEastAsia" w:hAnsi="Arial" w:cs="Arial"/>
                <w:lang w:val="en-GB" w:eastAsia="zh-CN"/>
              </w:rPr>
            </w:pPr>
            <w:r w:rsidRPr="00572DE9">
              <w:rPr>
                <w:rFonts w:ascii="Arial" w:eastAsia="Microsoft YaHei" w:hAnsi="Arial" w:cs="Arial"/>
                <w:lang w:val="en-GB"/>
              </w:rPr>
              <w:t>5</w:t>
            </w:r>
            <w:r w:rsidRPr="00572DE9">
              <w:rPr>
                <w:rFonts w:ascii="Arial" w:eastAsiaTheme="minorEastAsia" w:hAnsi="Arial" w:cs="Arial"/>
                <w:lang w:val="en-GB" w:eastAsia="zh-CN"/>
              </w:rPr>
              <w:t>6</w:t>
            </w:r>
          </w:p>
        </w:tc>
        <w:tc>
          <w:tcPr>
            <w:tcW w:w="1560" w:type="dxa"/>
            <w:shd w:val="clear" w:color="auto" w:fill="auto"/>
          </w:tcPr>
          <w:p w:rsidR="00500131" w:rsidRPr="00572DE9" w:rsidRDefault="00500131" w:rsidP="00572DE9">
            <w:pPr>
              <w:tabs>
                <w:tab w:val="decimal" w:pos="979"/>
              </w:tabs>
              <w:adjustRightInd w:val="0"/>
              <w:snapToGrid w:val="0"/>
              <w:rPr>
                <w:rFonts w:ascii="Arial" w:eastAsiaTheme="minorEastAsia" w:hAnsi="Arial" w:cs="Arial"/>
                <w:lang w:val="en-GB" w:eastAsia="zh-CN"/>
              </w:rPr>
            </w:pPr>
            <w:r w:rsidRPr="00572DE9">
              <w:rPr>
                <w:rFonts w:ascii="Arial" w:eastAsia="Microsoft YaHei" w:hAnsi="Arial" w:cs="Arial"/>
                <w:lang w:val="en-GB"/>
              </w:rPr>
              <w:t>12</w:t>
            </w:r>
            <w:r w:rsidRPr="00572DE9">
              <w:rPr>
                <w:rFonts w:ascii="Arial" w:eastAsiaTheme="minorEastAsia" w:hAnsi="Arial" w:cs="Arial"/>
                <w:lang w:val="en-GB" w:eastAsia="zh-CN"/>
              </w:rPr>
              <w:t>5</w:t>
            </w:r>
          </w:p>
        </w:tc>
        <w:tc>
          <w:tcPr>
            <w:tcW w:w="1559" w:type="dxa"/>
            <w:shd w:val="clear" w:color="auto" w:fill="auto"/>
          </w:tcPr>
          <w:p w:rsidR="00500131" w:rsidRPr="00572DE9" w:rsidRDefault="00500131" w:rsidP="00572DE9">
            <w:pPr>
              <w:tabs>
                <w:tab w:val="decimal" w:pos="587"/>
              </w:tabs>
              <w:adjustRightInd w:val="0"/>
              <w:snapToGrid w:val="0"/>
              <w:rPr>
                <w:rFonts w:ascii="Arial" w:eastAsiaTheme="minorEastAsia" w:hAnsi="Arial" w:cs="Arial"/>
                <w:lang w:val="en-GB" w:eastAsia="zh-CN"/>
              </w:rPr>
            </w:pPr>
            <w:r w:rsidRPr="00572DE9">
              <w:rPr>
                <w:rFonts w:ascii="Arial" w:eastAsiaTheme="minorEastAsia" w:hAnsi="Arial" w:cs="Arial"/>
                <w:lang w:val="en-GB" w:eastAsia="zh-CN"/>
              </w:rPr>
              <w:t>181</w:t>
            </w:r>
          </w:p>
        </w:tc>
        <w:tc>
          <w:tcPr>
            <w:tcW w:w="1417" w:type="dxa"/>
            <w:shd w:val="clear" w:color="auto" w:fill="auto"/>
          </w:tcPr>
          <w:p w:rsidR="00500131" w:rsidRPr="00572DE9" w:rsidRDefault="00500131" w:rsidP="00572DE9">
            <w:pPr>
              <w:tabs>
                <w:tab w:val="decimal" w:pos="842"/>
              </w:tabs>
              <w:adjustRightInd w:val="0"/>
              <w:snapToGrid w:val="0"/>
              <w:rPr>
                <w:rFonts w:ascii="Arial" w:eastAsia="Microsoft YaHei" w:hAnsi="Arial" w:cs="Arial"/>
                <w:lang w:val="en-GB"/>
              </w:rPr>
            </w:pPr>
            <w:r w:rsidRPr="00572DE9">
              <w:rPr>
                <w:rFonts w:ascii="Arial" w:eastAsia="Microsoft YaHei" w:hAnsi="Arial" w:cs="Arial"/>
                <w:lang w:val="en-GB"/>
              </w:rPr>
              <w:t>100</w:t>
            </w:r>
          </w:p>
        </w:tc>
      </w:tr>
    </w:tbl>
    <w:p w:rsidR="00500131" w:rsidRPr="00F90D5D" w:rsidRDefault="00500131" w:rsidP="00500131">
      <w:pPr>
        <w:pStyle w:val="FootnoteText1"/>
        <w:rPr>
          <w:rFonts w:eastAsia="Microsoft YaHei"/>
          <w:lang w:val="en-GB"/>
        </w:rPr>
      </w:pPr>
    </w:p>
    <w:p w:rsidR="00500131" w:rsidRPr="00F90D5D" w:rsidRDefault="00500131" w:rsidP="00500131">
      <w:pPr>
        <w:pStyle w:val="FootnoteText1"/>
        <w:rPr>
          <w:rFonts w:eastAsiaTheme="minorEastAsia"/>
          <w:lang w:val="en-GB" w:eastAsia="zh-CN"/>
        </w:rPr>
      </w:pPr>
      <w:r w:rsidRPr="00F90D5D">
        <w:rPr>
          <w:rFonts w:eastAsiaTheme="minorEastAsia"/>
          <w:lang w:val="en-GB" w:eastAsia="zh-CN"/>
        </w:rPr>
        <w:t>Source: Company</w:t>
      </w:r>
      <w:r w:rsidRPr="00F90D5D">
        <w:rPr>
          <w:rFonts w:eastAsiaTheme="minorEastAsia" w:hint="eastAsia"/>
          <w:lang w:val="en-GB" w:eastAsia="zh-CN"/>
        </w:rPr>
        <w:t xml:space="preserve"> </w:t>
      </w:r>
      <w:r>
        <w:rPr>
          <w:rFonts w:eastAsiaTheme="minorEastAsia"/>
          <w:lang w:val="en-GB" w:eastAsia="zh-CN"/>
        </w:rPr>
        <w:t>a</w:t>
      </w:r>
      <w:r w:rsidRPr="00F90D5D">
        <w:rPr>
          <w:rFonts w:eastAsiaTheme="minorEastAsia" w:hint="eastAsia"/>
          <w:lang w:val="en-GB" w:eastAsia="zh-CN"/>
        </w:rPr>
        <w:t xml:space="preserve">udited </w:t>
      </w:r>
      <w:r>
        <w:rPr>
          <w:rFonts w:eastAsiaTheme="minorEastAsia"/>
          <w:lang w:val="en-GB" w:eastAsia="zh-CN"/>
        </w:rPr>
        <w:t>f</w:t>
      </w:r>
      <w:r w:rsidRPr="00F90D5D">
        <w:rPr>
          <w:rFonts w:eastAsiaTheme="minorEastAsia" w:hint="eastAsia"/>
          <w:lang w:val="en-GB" w:eastAsia="zh-CN"/>
        </w:rPr>
        <w:t xml:space="preserve">inancial </w:t>
      </w:r>
      <w:r>
        <w:rPr>
          <w:rFonts w:eastAsiaTheme="minorEastAsia"/>
          <w:lang w:val="en-GB" w:eastAsia="zh-CN"/>
        </w:rPr>
        <w:t>r</w:t>
      </w:r>
      <w:r w:rsidRPr="00F90D5D">
        <w:rPr>
          <w:rFonts w:eastAsiaTheme="minorEastAsia" w:hint="eastAsia"/>
          <w:lang w:val="en-GB" w:eastAsia="zh-CN"/>
        </w:rPr>
        <w:t>eport</w:t>
      </w:r>
      <w:r>
        <w:rPr>
          <w:rFonts w:eastAsiaTheme="minorEastAsia"/>
          <w:lang w:val="en-GB" w:eastAsia="zh-CN"/>
        </w:rPr>
        <w:t>, 2016.</w:t>
      </w:r>
    </w:p>
    <w:p w:rsidR="00500131" w:rsidRPr="00F90D5D" w:rsidRDefault="00500131" w:rsidP="00500131">
      <w:pPr>
        <w:rPr>
          <w:sz w:val="22"/>
          <w:szCs w:val="22"/>
          <w:lang w:val="en-GB"/>
        </w:rPr>
      </w:pPr>
    </w:p>
    <w:p w:rsidR="00465348" w:rsidRPr="00500131" w:rsidRDefault="00465348" w:rsidP="000D7091">
      <w:pPr>
        <w:pStyle w:val="BodyTextMain"/>
        <w:rPr>
          <w:lang w:val="en-GB"/>
        </w:rPr>
      </w:pPr>
    </w:p>
    <w:sectPr w:rsidR="00465348" w:rsidRPr="00500131" w:rsidSect="00751E0B">
      <w:headerReference w:type="default" r:id="rId1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Xerox Sans">
    <w:altName w:val="Xerox Sans"/>
    <w:panose1 w:val="00000000000000000000"/>
    <w:charset w:val="00"/>
    <w:family w:val="swiss"/>
    <w:notTrueType/>
    <w:pitch w:val="default"/>
    <w:sig w:usb0="00000003" w:usb1="00000000" w:usb2="00000000" w:usb3="00000000" w:csb0="00000001" w:csb1="00000000"/>
  </w:font>
  <w:font w:name="Minion Pro">
    <w:panose1 w:val="02040503050201020203"/>
    <w:charset w:val="00"/>
    <w:family w:val="roman"/>
    <w:notTrueType/>
    <w:pitch w:val="variable"/>
    <w:sig w:usb0="60000287" w:usb1="00000001"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500131" w:rsidRPr="008E2CC3" w:rsidRDefault="00500131" w:rsidP="00500131">
      <w:pPr>
        <w:pStyle w:val="FootnoteText"/>
        <w:jc w:val="both"/>
        <w:rPr>
          <w:rFonts w:ascii="Arial" w:hAnsi="Arial" w:cs="Arial"/>
          <w:sz w:val="17"/>
          <w:szCs w:val="17"/>
          <w:lang w:val="en-CA"/>
        </w:rPr>
      </w:pPr>
      <w:r w:rsidRPr="008E2CC3">
        <w:rPr>
          <w:rStyle w:val="FootnoteReference"/>
          <w:rFonts w:ascii="Arial" w:hAnsi="Arial" w:cs="Arial"/>
          <w:sz w:val="17"/>
          <w:szCs w:val="17"/>
        </w:rPr>
        <w:footnoteRef/>
      </w:r>
      <w:r>
        <w:rPr>
          <w:rFonts w:ascii="Arial" w:hAnsi="Arial" w:cs="Arial"/>
          <w:sz w:val="17"/>
          <w:szCs w:val="17"/>
          <w:lang w:val="en-CA"/>
        </w:rPr>
        <w:t xml:space="preserve"> </w:t>
      </w:r>
      <w:r w:rsidRPr="008E2CC3">
        <w:rPr>
          <w:rFonts w:ascii="Arial" w:hAnsi="Arial" w:cs="Arial"/>
          <w:sz w:val="17"/>
          <w:szCs w:val="17"/>
          <w:lang w:val="en-CA"/>
        </w:rPr>
        <w:t>David R</w:t>
      </w:r>
      <w:r>
        <w:rPr>
          <w:rFonts w:ascii="Arial" w:hAnsi="Arial" w:cs="Arial"/>
          <w:sz w:val="17"/>
          <w:szCs w:val="17"/>
          <w:lang w:val="en-CA"/>
        </w:rPr>
        <w:t>.</w:t>
      </w:r>
      <w:r w:rsidRPr="008E2CC3">
        <w:rPr>
          <w:rFonts w:ascii="Arial" w:hAnsi="Arial" w:cs="Arial"/>
          <w:sz w:val="17"/>
          <w:szCs w:val="17"/>
          <w:lang w:val="en-CA"/>
        </w:rPr>
        <w:t xml:space="preserve"> </w:t>
      </w:r>
      <w:r>
        <w:rPr>
          <w:rFonts w:ascii="Arial" w:eastAsiaTheme="minorEastAsia" w:hAnsi="Arial" w:cs="Arial" w:hint="eastAsia"/>
          <w:sz w:val="17"/>
          <w:szCs w:val="17"/>
          <w:lang w:val="en-CA" w:eastAsia="zh-CN"/>
        </w:rPr>
        <w:t>B</w:t>
      </w:r>
      <w:r w:rsidRPr="008E2CC3">
        <w:rPr>
          <w:rFonts w:ascii="Arial" w:hAnsi="Arial" w:cs="Arial"/>
          <w:sz w:val="17"/>
          <w:szCs w:val="17"/>
          <w:lang w:val="en-CA"/>
        </w:rPr>
        <w:t xml:space="preserve">ell, </w:t>
      </w:r>
      <w:r>
        <w:rPr>
          <w:rFonts w:ascii="Arial" w:hAnsi="Arial" w:cs="Arial"/>
          <w:sz w:val="17"/>
          <w:szCs w:val="17"/>
          <w:lang w:val="en-CA"/>
        </w:rPr>
        <w:t xml:space="preserve">Santiago </w:t>
      </w:r>
      <w:proofErr w:type="spellStart"/>
      <w:r>
        <w:rPr>
          <w:rFonts w:ascii="Arial" w:hAnsi="Arial" w:cs="Arial"/>
          <w:sz w:val="17"/>
          <w:szCs w:val="17"/>
          <w:lang w:val="en-CA"/>
        </w:rPr>
        <w:t>Gallino</w:t>
      </w:r>
      <w:proofErr w:type="spellEnd"/>
      <w:r>
        <w:rPr>
          <w:rFonts w:ascii="Arial" w:hAnsi="Arial" w:cs="Arial"/>
          <w:sz w:val="17"/>
          <w:szCs w:val="17"/>
          <w:lang w:val="en-CA"/>
        </w:rPr>
        <w:t xml:space="preserve">, and Antonio Moreno, </w:t>
      </w:r>
      <w:r w:rsidRPr="008E2CC3">
        <w:rPr>
          <w:rFonts w:ascii="Arial" w:hAnsi="Arial" w:cs="Arial"/>
          <w:sz w:val="17"/>
          <w:szCs w:val="17"/>
          <w:lang w:val="en-CA"/>
        </w:rPr>
        <w:t xml:space="preserve">“How to </w:t>
      </w:r>
      <w:proofErr w:type="gramStart"/>
      <w:r>
        <w:rPr>
          <w:rFonts w:ascii="Arial" w:hAnsi="Arial" w:cs="Arial"/>
          <w:sz w:val="17"/>
          <w:szCs w:val="17"/>
          <w:lang w:val="en-CA"/>
        </w:rPr>
        <w:t>W</w:t>
      </w:r>
      <w:r w:rsidRPr="008E2CC3">
        <w:rPr>
          <w:rFonts w:ascii="Arial" w:hAnsi="Arial" w:cs="Arial"/>
          <w:sz w:val="17"/>
          <w:szCs w:val="17"/>
          <w:lang w:val="en-CA"/>
        </w:rPr>
        <w:t>in</w:t>
      </w:r>
      <w:proofErr w:type="gramEnd"/>
      <w:r w:rsidRPr="008E2CC3">
        <w:rPr>
          <w:rFonts w:ascii="Arial" w:hAnsi="Arial" w:cs="Arial"/>
          <w:sz w:val="17"/>
          <w:szCs w:val="17"/>
          <w:lang w:val="en-CA"/>
        </w:rPr>
        <w:t xml:space="preserve"> in an Omni-</w:t>
      </w:r>
      <w:r>
        <w:rPr>
          <w:rFonts w:ascii="Arial" w:hAnsi="Arial" w:cs="Arial"/>
          <w:sz w:val="17"/>
          <w:szCs w:val="17"/>
          <w:lang w:val="en-CA"/>
        </w:rPr>
        <w:t>C</w:t>
      </w:r>
      <w:r w:rsidRPr="008E2CC3">
        <w:rPr>
          <w:rFonts w:ascii="Arial" w:hAnsi="Arial" w:cs="Arial"/>
          <w:sz w:val="17"/>
          <w:szCs w:val="17"/>
          <w:lang w:val="en-CA"/>
        </w:rPr>
        <w:t xml:space="preserve">hannel World,” </w:t>
      </w:r>
      <w:r w:rsidRPr="00975229">
        <w:rPr>
          <w:rFonts w:ascii="Arial" w:hAnsi="Arial" w:cs="Arial"/>
          <w:i/>
          <w:sz w:val="17"/>
          <w:szCs w:val="17"/>
          <w:lang w:val="en-CA"/>
        </w:rPr>
        <w:t xml:space="preserve">Sloan Management Review </w:t>
      </w:r>
      <w:r w:rsidRPr="008E2CC3">
        <w:rPr>
          <w:rFonts w:ascii="Arial" w:hAnsi="Arial" w:cs="Arial"/>
          <w:sz w:val="17"/>
          <w:szCs w:val="17"/>
          <w:lang w:val="en-CA"/>
        </w:rPr>
        <w:t>56</w:t>
      </w:r>
      <w:r>
        <w:rPr>
          <w:rFonts w:ascii="Arial" w:hAnsi="Arial" w:cs="Arial"/>
          <w:sz w:val="17"/>
          <w:szCs w:val="17"/>
          <w:lang w:val="en-CA"/>
        </w:rPr>
        <w:t>,</w:t>
      </w:r>
      <w:r w:rsidRPr="008E2CC3">
        <w:rPr>
          <w:rFonts w:ascii="Arial" w:hAnsi="Arial" w:cs="Arial"/>
          <w:sz w:val="17"/>
          <w:szCs w:val="17"/>
          <w:lang w:val="en-CA"/>
        </w:rPr>
        <w:t xml:space="preserve"> </w:t>
      </w:r>
      <w:r>
        <w:rPr>
          <w:rFonts w:ascii="Arial" w:hAnsi="Arial" w:cs="Arial"/>
          <w:sz w:val="17"/>
          <w:szCs w:val="17"/>
          <w:lang w:val="en-CA"/>
        </w:rPr>
        <w:t>n</w:t>
      </w:r>
      <w:r w:rsidRPr="008E2CC3">
        <w:rPr>
          <w:rFonts w:ascii="Arial" w:hAnsi="Arial" w:cs="Arial"/>
          <w:sz w:val="17"/>
          <w:szCs w:val="17"/>
          <w:lang w:val="en-CA"/>
        </w:rPr>
        <w:t>o. 1</w:t>
      </w:r>
      <w:r>
        <w:rPr>
          <w:rFonts w:ascii="Arial" w:hAnsi="Arial" w:cs="Arial"/>
          <w:sz w:val="17"/>
          <w:szCs w:val="17"/>
          <w:lang w:val="en-CA"/>
        </w:rPr>
        <w:t xml:space="preserve"> (fall 2014): 45–53. </w:t>
      </w:r>
      <w:proofErr w:type="gramStart"/>
      <w:r>
        <w:rPr>
          <w:rFonts w:ascii="Arial" w:hAnsi="Arial" w:cs="Arial"/>
          <w:sz w:val="17"/>
          <w:szCs w:val="17"/>
          <w:lang w:val="en-CA"/>
        </w:rPr>
        <w:t>Available from Ivey Publishing, product no.</w:t>
      </w:r>
      <w:proofErr w:type="gramEnd"/>
      <w:r>
        <w:rPr>
          <w:rFonts w:ascii="Arial" w:hAnsi="Arial" w:cs="Arial"/>
          <w:sz w:val="17"/>
          <w:szCs w:val="17"/>
          <w:lang w:val="en-CA"/>
        </w:rPr>
        <w:t xml:space="preserve"> </w:t>
      </w:r>
      <w:r w:rsidRPr="00975229">
        <w:rPr>
          <w:rFonts w:ascii="Arial" w:hAnsi="Arial" w:cs="Arial"/>
          <w:sz w:val="17"/>
          <w:szCs w:val="17"/>
          <w:lang w:val="en-CA"/>
        </w:rPr>
        <w:t>SMR56115</w:t>
      </w:r>
      <w:r>
        <w:rPr>
          <w:rFonts w:ascii="Arial" w:hAnsi="Arial" w:cs="Arial"/>
          <w:sz w:val="17"/>
          <w:szCs w:val="17"/>
          <w:lang w:val="en-CA"/>
        </w:rPr>
        <w:t>.</w:t>
      </w:r>
    </w:p>
  </w:footnote>
  <w:footnote w:id="2">
    <w:p w:rsidR="00500131" w:rsidRDefault="00500131" w:rsidP="00500131">
      <w:pPr>
        <w:pStyle w:val="FootnoteText1"/>
      </w:pPr>
      <w:r>
        <w:rPr>
          <w:rStyle w:val="FootnoteReference"/>
        </w:rPr>
        <w:footnoteRef/>
      </w:r>
      <w:r>
        <w:t xml:space="preserve"> H-shares referred to a Chinese company’s shares that were listed on the Hong Kong Stock Exchange or other non-Chinese stock exchanges. H-shares were regulated by Chinese law, but denominated in Hong Kong dollars.</w:t>
      </w:r>
    </w:p>
  </w:footnote>
  <w:footnote w:id="3">
    <w:p w:rsidR="00500131" w:rsidRPr="00975229" w:rsidRDefault="00500131" w:rsidP="00500131">
      <w:pPr>
        <w:pStyle w:val="FootnoteText1"/>
      </w:pPr>
      <w:r>
        <w:rPr>
          <w:rStyle w:val="FootnoteReference"/>
        </w:rPr>
        <w:footnoteRef/>
      </w:r>
      <w:r>
        <w:t xml:space="preserve"> ¥ = CNY = Chinese renminbi (yuan); all currency amounts are in ¥ or U.S. dollars; US$1 = ¥6.2037 as of January 1, 2015. </w:t>
      </w:r>
    </w:p>
  </w:footnote>
  <w:footnote w:id="4">
    <w:p w:rsidR="00500131" w:rsidRPr="00577B8B" w:rsidRDefault="00500131" w:rsidP="00500131">
      <w:pPr>
        <w:pStyle w:val="FootnoteText1"/>
      </w:pPr>
      <w:r w:rsidRPr="00975229">
        <w:rPr>
          <w:vertAlign w:val="superscript"/>
        </w:rPr>
        <w:footnoteRef/>
      </w:r>
      <w:r w:rsidRPr="00975229">
        <w:t xml:space="preserve"> </w:t>
      </w:r>
      <w:r>
        <w:t>A-shares referred to the shares of Chinese companies that were publicly traded on mainland Chinese stock exchanges.</w:t>
      </w:r>
    </w:p>
  </w:footnote>
  <w:footnote w:id="5">
    <w:p w:rsidR="00500131" w:rsidRPr="00975229" w:rsidRDefault="00500131" w:rsidP="00500131">
      <w:pPr>
        <w:pStyle w:val="FootnoteText"/>
        <w:jc w:val="both"/>
        <w:rPr>
          <w:rFonts w:ascii="Arial" w:hAnsi="Arial" w:cs="Arial"/>
          <w:sz w:val="17"/>
          <w:szCs w:val="17"/>
          <w:lang w:val="en-CA"/>
        </w:rPr>
      </w:pPr>
      <w:r w:rsidRPr="0000190A">
        <w:rPr>
          <w:rStyle w:val="FootnoteReference"/>
          <w:rFonts w:ascii="Arial" w:hAnsi="Arial" w:cs="Arial"/>
          <w:sz w:val="17"/>
          <w:szCs w:val="17"/>
        </w:rPr>
        <w:footnoteRef/>
      </w:r>
      <w:r>
        <w:rPr>
          <w:rFonts w:ascii="Arial" w:hAnsi="Arial" w:cs="Arial"/>
          <w:sz w:val="17"/>
          <w:szCs w:val="17"/>
          <w:lang w:val="en-CA"/>
        </w:rPr>
        <w:t xml:space="preserve"> Based on a study conducted by Frost and Sullivan for Red Star </w:t>
      </w:r>
      <w:proofErr w:type="spellStart"/>
      <w:r>
        <w:rPr>
          <w:rFonts w:ascii="Arial" w:hAnsi="Arial" w:cs="Arial"/>
          <w:sz w:val="17"/>
          <w:szCs w:val="17"/>
          <w:lang w:val="en-CA"/>
        </w:rPr>
        <w:t>Macalline</w:t>
      </w:r>
      <w:proofErr w:type="spellEnd"/>
      <w:r>
        <w:rPr>
          <w:rFonts w:ascii="Arial" w:hAnsi="Arial" w:cs="Arial"/>
          <w:sz w:val="17"/>
          <w:szCs w:val="17"/>
          <w:lang w:val="en-CA"/>
        </w:rPr>
        <w:t xml:space="preserve"> and cited in the company’s initial public offering (IPO) </w:t>
      </w:r>
      <w:proofErr w:type="gramStart"/>
      <w:r>
        <w:rPr>
          <w:rFonts w:ascii="Arial" w:hAnsi="Arial" w:cs="Arial"/>
          <w:sz w:val="17"/>
          <w:szCs w:val="17"/>
          <w:lang w:val="en-CA"/>
        </w:rPr>
        <w:t>prospectus,</w:t>
      </w:r>
      <w:proofErr w:type="gramEnd"/>
      <w:r w:rsidRPr="002A32C4">
        <w:rPr>
          <w:rFonts w:ascii="Arial" w:hAnsi="Arial" w:cs="Arial"/>
          <w:sz w:val="17"/>
          <w:szCs w:val="17"/>
          <w:lang w:val="en-CA"/>
        </w:rPr>
        <w:t xml:space="preserve"> </w:t>
      </w:r>
      <w:r>
        <w:rPr>
          <w:rFonts w:ascii="Arial" w:hAnsi="Arial" w:cs="Arial"/>
          <w:sz w:val="17"/>
          <w:szCs w:val="17"/>
          <w:lang w:val="en-CA"/>
        </w:rPr>
        <w:t xml:space="preserve">accessed September 12, 2016, </w:t>
      </w:r>
      <w:r w:rsidRPr="009D657A">
        <w:rPr>
          <w:rFonts w:ascii="Arial" w:hAnsi="Arial" w:cs="Arial"/>
          <w:sz w:val="17"/>
          <w:szCs w:val="17"/>
          <w:lang w:val="en-CA"/>
        </w:rPr>
        <w:t>http://corpsv.etnet.com.hk/data/documents/ipo/20150616/HKEX-EPS_20150616_002232180_0.PDF</w:t>
      </w:r>
      <w:r>
        <w:rPr>
          <w:rFonts w:ascii="Arial" w:hAnsi="Arial" w:cs="Arial"/>
          <w:sz w:val="17"/>
          <w:szCs w:val="17"/>
          <w:lang w:val="en-CA"/>
        </w:rPr>
        <w:t>.</w:t>
      </w:r>
    </w:p>
  </w:footnote>
  <w:footnote w:id="6">
    <w:p w:rsidR="00500131" w:rsidRPr="000F67C0" w:rsidRDefault="00500131" w:rsidP="00500131">
      <w:pPr>
        <w:pStyle w:val="FootnoteText"/>
        <w:rPr>
          <w:rFonts w:ascii="Arial" w:hAnsi="Arial" w:cs="Arial"/>
          <w:sz w:val="17"/>
          <w:szCs w:val="17"/>
          <w:lang w:val="en-CA"/>
        </w:rPr>
      </w:pPr>
      <w:r w:rsidRPr="000F67C0">
        <w:rPr>
          <w:rStyle w:val="FootnoteReference"/>
          <w:rFonts w:ascii="Arial" w:hAnsi="Arial" w:cs="Arial"/>
          <w:sz w:val="17"/>
          <w:szCs w:val="17"/>
        </w:rPr>
        <w:footnoteRef/>
      </w:r>
      <w:r>
        <w:rPr>
          <w:rFonts w:ascii="Arial" w:hAnsi="Arial" w:cs="Arial"/>
          <w:sz w:val="17"/>
          <w:szCs w:val="17"/>
          <w:lang w:val="en-CA"/>
        </w:rPr>
        <w:t xml:space="preserve"> Ibid.</w:t>
      </w:r>
    </w:p>
  </w:footnote>
  <w:footnote w:id="7">
    <w:p w:rsidR="00500131" w:rsidRPr="000F67C0" w:rsidRDefault="00500131" w:rsidP="00500131">
      <w:pPr>
        <w:pStyle w:val="FootnoteText"/>
        <w:rPr>
          <w:rFonts w:ascii="Arial" w:hAnsi="Arial" w:cs="Arial"/>
          <w:sz w:val="17"/>
          <w:szCs w:val="17"/>
          <w:lang w:val="en-CA"/>
        </w:rPr>
      </w:pPr>
      <w:r w:rsidRPr="000F67C0">
        <w:rPr>
          <w:rStyle w:val="FootnoteReference"/>
          <w:rFonts w:ascii="Arial" w:hAnsi="Arial" w:cs="Arial"/>
          <w:sz w:val="17"/>
          <w:szCs w:val="17"/>
        </w:rPr>
        <w:footnoteRef/>
      </w:r>
      <w:r>
        <w:rPr>
          <w:rFonts w:ascii="Arial" w:hAnsi="Arial" w:cs="Arial"/>
          <w:sz w:val="17"/>
          <w:szCs w:val="17"/>
          <w:lang w:val="en-CA"/>
        </w:rPr>
        <w:t xml:space="preserve"> Ibid.</w:t>
      </w:r>
    </w:p>
  </w:footnote>
  <w:footnote w:id="8">
    <w:p w:rsidR="00500131" w:rsidRPr="00BB5A28" w:rsidRDefault="00500131" w:rsidP="00500131">
      <w:pPr>
        <w:pStyle w:val="FootnoteText"/>
        <w:rPr>
          <w:rFonts w:ascii="Arial" w:hAnsi="Arial" w:cs="Arial"/>
          <w:sz w:val="17"/>
          <w:szCs w:val="17"/>
          <w:lang w:val="en-CA"/>
        </w:rPr>
      </w:pPr>
      <w:r w:rsidRPr="00C062D8">
        <w:rPr>
          <w:rStyle w:val="FootnoteReference"/>
          <w:rFonts w:ascii="Arial" w:hAnsi="Arial" w:cs="Arial"/>
          <w:sz w:val="17"/>
          <w:szCs w:val="17"/>
        </w:rPr>
        <w:footnoteRef/>
      </w:r>
      <w:r w:rsidRPr="00BB5A28">
        <w:rPr>
          <w:rFonts w:ascii="Arial" w:hAnsi="Arial" w:cs="Arial"/>
          <w:sz w:val="17"/>
          <w:szCs w:val="17"/>
          <w:lang w:val="en-CA"/>
        </w:rPr>
        <w:t xml:space="preserve"> Ibid.</w:t>
      </w:r>
    </w:p>
  </w:footnote>
  <w:footnote w:id="9">
    <w:p w:rsidR="00500131" w:rsidRPr="000F67C0" w:rsidRDefault="00500131" w:rsidP="00500131">
      <w:pPr>
        <w:pStyle w:val="FootnoteText"/>
        <w:rPr>
          <w:lang w:val="en-CA"/>
        </w:rPr>
      </w:pPr>
      <w:r w:rsidRPr="00C062D8">
        <w:rPr>
          <w:rStyle w:val="FootnoteReference"/>
          <w:rFonts w:ascii="Arial" w:hAnsi="Arial" w:cs="Arial"/>
          <w:sz w:val="17"/>
          <w:szCs w:val="17"/>
        </w:rPr>
        <w:footnoteRef/>
      </w:r>
      <w:r w:rsidRPr="00BB5A28">
        <w:rPr>
          <w:rFonts w:ascii="Arial" w:hAnsi="Arial" w:cs="Arial"/>
          <w:sz w:val="17"/>
          <w:szCs w:val="17"/>
          <w:lang w:val="en-CA"/>
        </w:rPr>
        <w:t xml:space="preserve"> </w:t>
      </w:r>
      <w:r>
        <w:rPr>
          <w:rFonts w:ascii="Arial" w:hAnsi="Arial" w:cs="Arial"/>
          <w:sz w:val="17"/>
          <w:szCs w:val="17"/>
          <w:lang w:val="en-CA"/>
        </w:rPr>
        <w:t>Ibid.</w:t>
      </w:r>
    </w:p>
  </w:footnote>
  <w:footnote w:id="10">
    <w:p w:rsidR="00500131" w:rsidRPr="00527C75" w:rsidRDefault="00500131" w:rsidP="00500131">
      <w:pPr>
        <w:pStyle w:val="FootnoteText"/>
        <w:jc w:val="both"/>
        <w:rPr>
          <w:rFonts w:ascii="Arial" w:eastAsiaTheme="minorEastAsia" w:hAnsi="Arial" w:cs="Arial"/>
          <w:sz w:val="17"/>
          <w:szCs w:val="17"/>
          <w:lang w:eastAsia="zh-CN"/>
        </w:rPr>
      </w:pPr>
      <w:r w:rsidRPr="00527C75">
        <w:rPr>
          <w:rStyle w:val="FootnoteReference"/>
          <w:rFonts w:ascii="Arial" w:hAnsi="Arial" w:cs="Arial"/>
          <w:sz w:val="17"/>
          <w:szCs w:val="17"/>
        </w:rPr>
        <w:footnoteRef/>
      </w:r>
      <w:r w:rsidRPr="00527C75">
        <w:rPr>
          <w:rFonts w:ascii="Arial" w:hAnsi="Arial" w:cs="Arial"/>
          <w:sz w:val="17"/>
          <w:szCs w:val="17"/>
        </w:rPr>
        <w:t xml:space="preserve"> </w:t>
      </w:r>
      <w:r>
        <w:rPr>
          <w:rFonts w:ascii="Arial" w:hAnsi="Arial" w:cs="Arial"/>
          <w:sz w:val="17"/>
          <w:szCs w:val="17"/>
        </w:rPr>
        <w:t>“</w:t>
      </w:r>
      <w:r w:rsidRPr="00572DE9">
        <w:rPr>
          <w:rFonts w:ascii="Arial" w:eastAsiaTheme="minorEastAsia" w:hAnsi="Arial" w:cs="Arial"/>
          <w:sz w:val="17"/>
          <w:szCs w:val="17"/>
          <w:lang w:eastAsia="zh-CN"/>
        </w:rPr>
        <w:t>National Human Rights Action Plan of China (2016–2020)</w:t>
      </w:r>
      <w:r w:rsidRPr="00681B52">
        <w:rPr>
          <w:rFonts w:ascii="Arial" w:eastAsiaTheme="minorEastAsia" w:hAnsi="Arial" w:cs="Arial"/>
          <w:sz w:val="17"/>
          <w:szCs w:val="17"/>
          <w:lang w:eastAsia="zh-CN"/>
        </w:rPr>
        <w:t>,</w:t>
      </w:r>
      <w:r>
        <w:rPr>
          <w:rFonts w:ascii="Arial" w:eastAsiaTheme="minorEastAsia" w:hAnsi="Arial" w:cs="Arial"/>
          <w:sz w:val="17"/>
          <w:szCs w:val="17"/>
          <w:lang w:eastAsia="zh-CN"/>
        </w:rPr>
        <w:t>”</w:t>
      </w:r>
      <w:r w:rsidRPr="00527C75">
        <w:rPr>
          <w:rFonts w:ascii="Arial" w:eastAsiaTheme="minorEastAsia" w:hAnsi="Arial" w:cs="Arial"/>
          <w:sz w:val="17"/>
          <w:szCs w:val="17"/>
          <w:lang w:eastAsia="zh-CN"/>
        </w:rPr>
        <w:t xml:space="preserve"> China </w:t>
      </w:r>
      <w:r w:rsidRPr="00527C75">
        <w:rPr>
          <w:rFonts w:ascii="Arial" w:hAnsi="Arial" w:cs="Arial"/>
          <w:sz w:val="17"/>
          <w:szCs w:val="17"/>
        </w:rPr>
        <w:t>State Council Information Office</w:t>
      </w:r>
      <w:r>
        <w:rPr>
          <w:rFonts w:ascii="Arial" w:hAnsi="Arial" w:cs="Arial"/>
          <w:sz w:val="17"/>
          <w:szCs w:val="17"/>
        </w:rPr>
        <w:t xml:space="preserve">, </w:t>
      </w:r>
      <w:r>
        <w:rPr>
          <w:rFonts w:ascii="Arial" w:eastAsiaTheme="minorEastAsia" w:hAnsi="Arial" w:cs="Arial"/>
          <w:sz w:val="17"/>
          <w:szCs w:val="17"/>
          <w:lang w:eastAsia="zh-CN"/>
        </w:rPr>
        <w:t xml:space="preserve">2016, accessed March 27, 2017, </w:t>
      </w:r>
      <w:r w:rsidRPr="000D48EE">
        <w:rPr>
          <w:rFonts w:ascii="Arial" w:eastAsiaTheme="minorEastAsia" w:hAnsi="Arial" w:cs="Arial"/>
          <w:sz w:val="17"/>
          <w:szCs w:val="17"/>
          <w:lang w:eastAsia="zh-CN"/>
        </w:rPr>
        <w:t>http://english.gov.cn/archive/publications/2016/09/29/content_281475454482622.htm</w:t>
      </w:r>
      <w:r w:rsidRPr="00527C75">
        <w:rPr>
          <w:rFonts w:ascii="Arial" w:eastAsiaTheme="minorEastAsia" w:hAnsi="Arial" w:cs="Arial"/>
          <w:sz w:val="17"/>
          <w:szCs w:val="17"/>
          <w:lang w:eastAsia="zh-CN"/>
        </w:rPr>
        <w:t>.</w:t>
      </w:r>
      <w:r>
        <w:rPr>
          <w:rFonts w:ascii="Arial" w:eastAsiaTheme="minorEastAsia" w:hAnsi="Arial" w:cs="Arial"/>
          <w:sz w:val="17"/>
          <w:szCs w:val="17"/>
          <w:lang w:eastAsia="zh-CN"/>
        </w:rPr>
        <w:t xml:space="preserve"> </w:t>
      </w:r>
    </w:p>
  </w:footnote>
  <w:footnote w:id="11">
    <w:p w:rsidR="00500131" w:rsidRPr="00527C75" w:rsidRDefault="00500131" w:rsidP="00500131">
      <w:pPr>
        <w:pStyle w:val="FootnoteText"/>
        <w:jc w:val="both"/>
        <w:rPr>
          <w:rFonts w:eastAsiaTheme="minorEastAsia"/>
          <w:lang w:eastAsia="zh-CN"/>
        </w:rPr>
      </w:pPr>
      <w:r w:rsidRPr="00527C75">
        <w:rPr>
          <w:rStyle w:val="FootnoteReference"/>
          <w:rFonts w:ascii="Arial" w:hAnsi="Arial" w:cs="Arial"/>
          <w:sz w:val="17"/>
          <w:szCs w:val="17"/>
        </w:rPr>
        <w:footnoteRef/>
      </w:r>
      <w:r w:rsidRPr="00527C75">
        <w:rPr>
          <w:rFonts w:ascii="Arial" w:hAnsi="Arial" w:cs="Arial"/>
          <w:sz w:val="17"/>
          <w:szCs w:val="17"/>
        </w:rPr>
        <w:t xml:space="preserve"> </w:t>
      </w:r>
      <w:r w:rsidRPr="00975229">
        <w:rPr>
          <w:rFonts w:ascii="Arial" w:hAnsi="Arial" w:cs="Arial"/>
          <w:sz w:val="17"/>
          <w:szCs w:val="17"/>
        </w:rPr>
        <w:t xml:space="preserve">Yuval </w:t>
      </w:r>
      <w:proofErr w:type="spellStart"/>
      <w:r w:rsidRPr="00975229">
        <w:rPr>
          <w:rFonts w:ascii="Arial" w:hAnsi="Arial" w:cs="Arial"/>
          <w:sz w:val="17"/>
          <w:szCs w:val="17"/>
        </w:rPr>
        <w:t>Atsmon</w:t>
      </w:r>
      <w:proofErr w:type="spellEnd"/>
      <w:r w:rsidRPr="00975229">
        <w:rPr>
          <w:rFonts w:ascii="Arial" w:hAnsi="Arial" w:cs="Arial"/>
          <w:sz w:val="17"/>
          <w:szCs w:val="17"/>
        </w:rPr>
        <w:t xml:space="preserve">, Max </w:t>
      </w:r>
      <w:proofErr w:type="spellStart"/>
      <w:r w:rsidRPr="00975229">
        <w:rPr>
          <w:rFonts w:ascii="Arial" w:hAnsi="Arial" w:cs="Arial"/>
          <w:sz w:val="17"/>
          <w:szCs w:val="17"/>
        </w:rPr>
        <w:t>Magni</w:t>
      </w:r>
      <w:proofErr w:type="spellEnd"/>
      <w:r w:rsidRPr="00975229">
        <w:rPr>
          <w:rFonts w:ascii="Arial" w:hAnsi="Arial" w:cs="Arial"/>
          <w:sz w:val="17"/>
          <w:szCs w:val="17"/>
        </w:rPr>
        <w:t xml:space="preserve">, </w:t>
      </w:r>
      <w:proofErr w:type="spellStart"/>
      <w:r w:rsidRPr="00975229">
        <w:rPr>
          <w:rFonts w:ascii="Arial" w:hAnsi="Arial" w:cs="Arial"/>
          <w:sz w:val="17"/>
          <w:szCs w:val="17"/>
        </w:rPr>
        <w:t>Lihua</w:t>
      </w:r>
      <w:proofErr w:type="spellEnd"/>
      <w:r w:rsidRPr="00975229">
        <w:rPr>
          <w:rFonts w:ascii="Arial" w:hAnsi="Arial" w:cs="Arial"/>
          <w:sz w:val="17"/>
          <w:szCs w:val="17"/>
        </w:rPr>
        <w:t xml:space="preserve"> Li, </w:t>
      </w:r>
      <w:r>
        <w:rPr>
          <w:rFonts w:ascii="Arial" w:hAnsi="Arial" w:cs="Arial"/>
          <w:sz w:val="17"/>
          <w:szCs w:val="17"/>
        </w:rPr>
        <w:t xml:space="preserve">and </w:t>
      </w:r>
      <w:proofErr w:type="spellStart"/>
      <w:r w:rsidRPr="00975229">
        <w:rPr>
          <w:rFonts w:ascii="Arial" w:hAnsi="Arial" w:cs="Arial"/>
          <w:sz w:val="17"/>
          <w:szCs w:val="17"/>
        </w:rPr>
        <w:t>Wenkan</w:t>
      </w:r>
      <w:proofErr w:type="spellEnd"/>
      <w:r w:rsidRPr="00975229">
        <w:rPr>
          <w:rFonts w:ascii="Arial" w:hAnsi="Arial" w:cs="Arial"/>
          <w:sz w:val="17"/>
          <w:szCs w:val="17"/>
        </w:rPr>
        <w:t xml:space="preserve"> Liao</w:t>
      </w:r>
      <w:r>
        <w:rPr>
          <w:rFonts w:ascii="Arial" w:hAnsi="Arial" w:cs="Arial"/>
          <w:sz w:val="17"/>
          <w:szCs w:val="17"/>
        </w:rPr>
        <w:t>,</w:t>
      </w:r>
      <w:r w:rsidRPr="00527C75" w:rsidDel="000D48EE">
        <w:rPr>
          <w:rFonts w:ascii="Arial" w:hAnsi="Arial" w:cs="Arial" w:hint="eastAsia"/>
          <w:sz w:val="17"/>
          <w:szCs w:val="17"/>
        </w:rPr>
        <w:t xml:space="preserve"> </w:t>
      </w:r>
      <w:r w:rsidRPr="00975229">
        <w:rPr>
          <w:rFonts w:ascii="Arial" w:hAnsi="Arial" w:cs="Arial"/>
          <w:i/>
          <w:sz w:val="17"/>
          <w:szCs w:val="17"/>
        </w:rPr>
        <w:t>Meet the 2020 Chinese Consumer</w:t>
      </w:r>
      <w:r w:rsidRPr="00527C75">
        <w:rPr>
          <w:rFonts w:ascii="Arial" w:eastAsiaTheme="minorEastAsia" w:hAnsi="Arial" w:cs="Arial"/>
          <w:sz w:val="17"/>
          <w:szCs w:val="17"/>
          <w:lang w:eastAsia="zh-CN"/>
        </w:rPr>
        <w:t xml:space="preserve"> </w:t>
      </w:r>
      <w:r>
        <w:rPr>
          <w:rFonts w:ascii="Arial" w:eastAsiaTheme="minorEastAsia" w:hAnsi="Arial" w:cs="Arial"/>
          <w:sz w:val="17"/>
          <w:szCs w:val="17"/>
          <w:lang w:eastAsia="zh-CN"/>
        </w:rPr>
        <w:t>(</w:t>
      </w:r>
      <w:r w:rsidRPr="00527C75">
        <w:rPr>
          <w:rFonts w:ascii="Arial" w:hAnsi="Arial" w:cs="Arial"/>
          <w:sz w:val="17"/>
          <w:szCs w:val="17"/>
        </w:rPr>
        <w:t>McKinsey Insights China</w:t>
      </w:r>
      <w:r>
        <w:rPr>
          <w:rFonts w:ascii="Arial" w:hAnsi="Arial" w:cs="Arial"/>
          <w:sz w:val="17"/>
          <w:szCs w:val="17"/>
        </w:rPr>
        <w:t xml:space="preserve">, March 2012), accessed March 27, 2017, </w:t>
      </w:r>
      <w:r w:rsidRPr="00921068">
        <w:rPr>
          <w:rFonts w:ascii="Arial" w:hAnsi="Arial" w:cs="Arial"/>
          <w:sz w:val="17"/>
          <w:szCs w:val="17"/>
        </w:rPr>
        <w:t>www.mckinseychina.com/wp-content/uploads/2012/05/McKinsey-China-Meet-The-2020-Chinese-Consumer.pdf</w:t>
      </w:r>
      <w:r w:rsidRPr="00527C75">
        <w:rPr>
          <w:rFonts w:ascii="Arial" w:eastAsiaTheme="minorEastAsia" w:hAnsi="Arial" w:cs="Arial"/>
          <w:sz w:val="17"/>
          <w:szCs w:val="17"/>
          <w:lang w:eastAsia="zh-CN"/>
        </w:rPr>
        <w:t>.</w:t>
      </w:r>
    </w:p>
  </w:footnote>
  <w:footnote w:id="12">
    <w:p w:rsidR="00500131" w:rsidRPr="00527C75" w:rsidRDefault="00500131" w:rsidP="00500131">
      <w:pPr>
        <w:pStyle w:val="FootnoteText"/>
        <w:jc w:val="both"/>
        <w:rPr>
          <w:rFonts w:ascii="Arial" w:eastAsiaTheme="minorEastAsia" w:hAnsi="Arial" w:cs="Arial"/>
          <w:sz w:val="17"/>
          <w:szCs w:val="17"/>
          <w:lang w:eastAsia="zh-CN"/>
        </w:rPr>
      </w:pPr>
      <w:r w:rsidRPr="00527C75">
        <w:rPr>
          <w:rStyle w:val="FootnoteReference"/>
          <w:rFonts w:ascii="Arial" w:hAnsi="Arial" w:cs="Arial"/>
          <w:sz w:val="17"/>
          <w:szCs w:val="17"/>
        </w:rPr>
        <w:footnoteRef/>
      </w:r>
      <w:r w:rsidRPr="00527C75">
        <w:rPr>
          <w:rFonts w:ascii="Arial" w:hAnsi="Arial" w:cs="Arial"/>
          <w:sz w:val="17"/>
          <w:szCs w:val="17"/>
        </w:rPr>
        <w:t xml:space="preserve"> </w:t>
      </w:r>
      <w:r w:rsidRPr="00975229">
        <w:rPr>
          <w:rFonts w:ascii="Arial" w:hAnsi="Arial" w:cs="Arial"/>
          <w:i/>
          <w:sz w:val="17"/>
          <w:szCs w:val="17"/>
        </w:rPr>
        <w:t xml:space="preserve">China’s </w:t>
      </w:r>
      <w:proofErr w:type="spellStart"/>
      <w:r>
        <w:rPr>
          <w:rFonts w:ascii="Arial" w:hAnsi="Arial" w:cs="Arial"/>
          <w:i/>
          <w:sz w:val="17"/>
          <w:szCs w:val="17"/>
        </w:rPr>
        <w:t>i</w:t>
      </w:r>
      <w:r w:rsidRPr="00975229">
        <w:rPr>
          <w:rFonts w:ascii="Arial" w:hAnsi="Arial" w:cs="Arial"/>
          <w:i/>
          <w:sz w:val="17"/>
          <w:szCs w:val="17"/>
        </w:rPr>
        <w:t>Consumer</w:t>
      </w:r>
      <w:proofErr w:type="spellEnd"/>
      <w:r w:rsidRPr="00975229">
        <w:rPr>
          <w:rFonts w:ascii="Arial" w:hAnsi="Arial" w:cs="Arial"/>
          <w:i/>
          <w:sz w:val="17"/>
          <w:szCs w:val="17"/>
        </w:rPr>
        <w:t xml:space="preserve"> 2015: A Growing Appetite for Change</w:t>
      </w:r>
      <w:r>
        <w:rPr>
          <w:rFonts w:ascii="Arial" w:eastAsiaTheme="minorEastAsia" w:hAnsi="Arial" w:cs="Arial"/>
          <w:sz w:val="17"/>
          <w:szCs w:val="17"/>
          <w:lang w:eastAsia="zh-CN"/>
        </w:rPr>
        <w:t xml:space="preserve"> (</w:t>
      </w:r>
      <w:r w:rsidRPr="00527C75">
        <w:rPr>
          <w:rFonts w:ascii="Arial" w:hAnsi="Arial" w:cs="Arial"/>
          <w:sz w:val="17"/>
          <w:szCs w:val="17"/>
        </w:rPr>
        <w:t>McKinsey</w:t>
      </w:r>
      <w:r>
        <w:rPr>
          <w:rFonts w:ascii="Arial" w:hAnsi="Arial" w:cs="Arial"/>
          <w:sz w:val="17"/>
          <w:szCs w:val="17"/>
        </w:rPr>
        <w:t xml:space="preserve"> &amp; Company, February 10, 2015), accessed March 27, 2017, </w:t>
      </w:r>
      <w:r w:rsidRPr="005F54AB">
        <w:rPr>
          <w:rFonts w:ascii="Arial" w:hAnsi="Arial" w:cs="Arial"/>
          <w:sz w:val="17"/>
          <w:szCs w:val="17"/>
        </w:rPr>
        <w:t>http://mckinseychina.com/chinas-iconsumer-2015-a-growing-appetite-for-change</w:t>
      </w:r>
      <w:r w:rsidRPr="00527C75">
        <w:rPr>
          <w:rFonts w:ascii="Arial" w:eastAsiaTheme="minorEastAsia" w:hAnsi="Arial" w:cs="Arial"/>
          <w:sz w:val="17"/>
          <w:szCs w:val="17"/>
          <w:lang w:eastAsia="zh-CN"/>
        </w:rPr>
        <w:t>.</w:t>
      </w:r>
    </w:p>
  </w:footnote>
  <w:footnote w:id="13">
    <w:p w:rsidR="00500131" w:rsidRDefault="00500131" w:rsidP="00500131">
      <w:pPr>
        <w:pStyle w:val="FootnoteText1"/>
      </w:pPr>
      <w:r>
        <w:rPr>
          <w:rStyle w:val="FootnoteReference"/>
        </w:rPr>
        <w:footnoteRef/>
      </w:r>
      <w:r>
        <w:t xml:space="preserve"> Last-mile services referred to the final processes before delivering products to consumers.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06891">
      <w:rPr>
        <w:rFonts w:ascii="Arial" w:hAnsi="Arial"/>
        <w:b/>
        <w:noProof/>
      </w:rPr>
      <w:t>11</w:t>
    </w:r>
    <w:r>
      <w:rPr>
        <w:rFonts w:ascii="Arial" w:hAnsi="Arial"/>
        <w:b/>
      </w:rPr>
      <w:fldChar w:fldCharType="end"/>
    </w:r>
    <w:r>
      <w:rPr>
        <w:rFonts w:ascii="Arial" w:hAnsi="Arial"/>
        <w:b/>
      </w:rPr>
      <w:tab/>
    </w:r>
    <w:r w:rsidR="00500131">
      <w:rPr>
        <w:rFonts w:ascii="Arial" w:hAnsi="Arial"/>
        <w:b/>
      </w:rPr>
      <w:t>9B17M086</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3480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208826"/>
    <w:lvl w:ilvl="0">
      <w:start w:val="1"/>
      <w:numFmt w:val="decimal"/>
      <w:lvlText w:val="%1."/>
      <w:lvlJc w:val="left"/>
      <w:pPr>
        <w:tabs>
          <w:tab w:val="num" w:pos="1800"/>
        </w:tabs>
        <w:ind w:left="1800" w:hanging="360"/>
      </w:pPr>
    </w:lvl>
  </w:abstractNum>
  <w:abstractNum w:abstractNumId="2">
    <w:nsid w:val="FFFFFF7D"/>
    <w:multiLevelType w:val="singleLevel"/>
    <w:tmpl w:val="99AE3286"/>
    <w:lvl w:ilvl="0">
      <w:start w:val="1"/>
      <w:numFmt w:val="decimal"/>
      <w:lvlText w:val="%1."/>
      <w:lvlJc w:val="left"/>
      <w:pPr>
        <w:tabs>
          <w:tab w:val="num" w:pos="1440"/>
        </w:tabs>
        <w:ind w:left="1440" w:hanging="360"/>
      </w:pPr>
    </w:lvl>
  </w:abstractNum>
  <w:abstractNum w:abstractNumId="3">
    <w:nsid w:val="FFFFFF7E"/>
    <w:multiLevelType w:val="singleLevel"/>
    <w:tmpl w:val="8EC6CBE6"/>
    <w:lvl w:ilvl="0">
      <w:start w:val="1"/>
      <w:numFmt w:val="decimal"/>
      <w:lvlText w:val="%1."/>
      <w:lvlJc w:val="left"/>
      <w:pPr>
        <w:tabs>
          <w:tab w:val="num" w:pos="1080"/>
        </w:tabs>
        <w:ind w:left="1080" w:hanging="360"/>
      </w:pPr>
    </w:lvl>
  </w:abstractNum>
  <w:abstractNum w:abstractNumId="4">
    <w:nsid w:val="FFFFFF7F"/>
    <w:multiLevelType w:val="singleLevel"/>
    <w:tmpl w:val="1866533E"/>
    <w:lvl w:ilvl="0">
      <w:start w:val="1"/>
      <w:numFmt w:val="decimal"/>
      <w:lvlText w:val="%1."/>
      <w:lvlJc w:val="left"/>
      <w:pPr>
        <w:tabs>
          <w:tab w:val="num" w:pos="720"/>
        </w:tabs>
        <w:ind w:left="720" w:hanging="360"/>
      </w:pPr>
    </w:lvl>
  </w:abstractNum>
  <w:abstractNum w:abstractNumId="5">
    <w:nsid w:val="FFFFFF80"/>
    <w:multiLevelType w:val="singleLevel"/>
    <w:tmpl w:val="429608C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D08EFE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798141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EAEB03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9822B56"/>
    <w:lvl w:ilvl="0">
      <w:start w:val="1"/>
      <w:numFmt w:val="decimal"/>
      <w:lvlText w:val="%1."/>
      <w:lvlJc w:val="left"/>
      <w:pPr>
        <w:tabs>
          <w:tab w:val="num" w:pos="360"/>
        </w:tabs>
        <w:ind w:left="360" w:hanging="360"/>
      </w:pPr>
    </w:lvl>
  </w:abstractNum>
  <w:abstractNum w:abstractNumId="10">
    <w:nsid w:val="FFFFFF89"/>
    <w:multiLevelType w:val="singleLevel"/>
    <w:tmpl w:val="4A9E20C6"/>
    <w:lvl w:ilvl="0">
      <w:start w:val="1"/>
      <w:numFmt w:val="bullet"/>
      <w:lvlText w:val=""/>
      <w:lvlJc w:val="left"/>
      <w:pPr>
        <w:tabs>
          <w:tab w:val="num" w:pos="360"/>
        </w:tabs>
        <w:ind w:left="360" w:hanging="360"/>
      </w:pPr>
      <w:rPr>
        <w:rFonts w:ascii="Symbol" w:hAnsi="Symbol" w:hint="default"/>
      </w:rPr>
    </w:lvl>
  </w:abstractNum>
  <w:abstractNum w:abstractNumId="11">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2D7B89"/>
    <w:multiLevelType w:val="singleLevel"/>
    <w:tmpl w:val="0409000F"/>
    <w:lvl w:ilvl="0">
      <w:start w:val="1"/>
      <w:numFmt w:val="decimal"/>
      <w:lvlText w:val="%1."/>
      <w:lvlJc w:val="left"/>
      <w:pPr>
        <w:tabs>
          <w:tab w:val="num" w:pos="360"/>
        </w:tabs>
        <w:ind w:left="360" w:hanging="360"/>
      </w:pPr>
    </w:lvl>
  </w:abstractNum>
  <w:abstractNum w:abstractNumId="25">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8A32951"/>
    <w:multiLevelType w:val="hybridMultilevel"/>
    <w:tmpl w:val="678CE1C2"/>
    <w:lvl w:ilvl="0" w:tplc="5B9C04A4">
      <w:start w:val="8"/>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5"/>
  </w:num>
  <w:num w:numId="3">
    <w:abstractNumId w:val="32"/>
  </w:num>
  <w:num w:numId="4">
    <w:abstractNumId w:val="15"/>
  </w:num>
  <w:num w:numId="5">
    <w:abstractNumId w:val="26"/>
  </w:num>
  <w:num w:numId="6">
    <w:abstractNumId w:val="30"/>
  </w:num>
  <w:num w:numId="7">
    <w:abstractNumId w:val="23"/>
  </w:num>
  <w:num w:numId="8">
    <w:abstractNumId w:val="31"/>
  </w:num>
  <w:num w:numId="9">
    <w:abstractNumId w:val="12"/>
  </w:num>
  <w:num w:numId="10">
    <w:abstractNumId w:val="19"/>
  </w:num>
  <w:num w:numId="11">
    <w:abstractNumId w:val="13"/>
  </w:num>
  <w:num w:numId="12">
    <w:abstractNumId w:val="37"/>
  </w:num>
  <w:num w:numId="13">
    <w:abstractNumId w:val="16"/>
  </w:num>
  <w:num w:numId="14">
    <w:abstractNumId w:val="29"/>
  </w:num>
  <w:num w:numId="15">
    <w:abstractNumId w:val="38"/>
  </w:num>
  <w:num w:numId="16">
    <w:abstractNumId w:val="18"/>
  </w:num>
  <w:num w:numId="17">
    <w:abstractNumId w:val="25"/>
  </w:num>
  <w:num w:numId="18">
    <w:abstractNumId w:val="17"/>
  </w:num>
  <w:num w:numId="19">
    <w:abstractNumId w:val="21"/>
  </w:num>
  <w:num w:numId="20">
    <w:abstractNumId w:val="36"/>
  </w:num>
  <w:num w:numId="21">
    <w:abstractNumId w:val="27"/>
  </w:num>
  <w:num w:numId="22">
    <w:abstractNumId w:val="28"/>
  </w:num>
  <w:num w:numId="23">
    <w:abstractNumId w:val="11"/>
  </w:num>
  <w:num w:numId="24">
    <w:abstractNumId w:val="14"/>
  </w:num>
  <w:num w:numId="25">
    <w:abstractNumId w:val="39"/>
  </w:num>
  <w:num w:numId="26">
    <w:abstractNumId w:val="40"/>
  </w:num>
  <w:num w:numId="27">
    <w:abstractNumId w:val="20"/>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3"/>
  </w:num>
  <w:num w:numId="39">
    <w:abstractNumId w:val="24"/>
  </w:num>
  <w:num w:numId="40">
    <w:abstractNumId w:val="34"/>
  </w:num>
  <w:num w:numId="4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22A8"/>
    <w:rsid w:val="004D3FB1"/>
    <w:rsid w:val="004D6F21"/>
    <w:rsid w:val="004D73A5"/>
    <w:rsid w:val="00500131"/>
    <w:rsid w:val="005160F1"/>
    <w:rsid w:val="00524F2F"/>
    <w:rsid w:val="00527E5C"/>
    <w:rsid w:val="00532CF5"/>
    <w:rsid w:val="005528CB"/>
    <w:rsid w:val="00566771"/>
    <w:rsid w:val="00581E2E"/>
    <w:rsid w:val="00584F15"/>
    <w:rsid w:val="0059514B"/>
    <w:rsid w:val="005A1B0F"/>
    <w:rsid w:val="005C2918"/>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3D6E"/>
    <w:rsid w:val="009A5348"/>
    <w:rsid w:val="009B0AB7"/>
    <w:rsid w:val="009C76D5"/>
    <w:rsid w:val="009F7AA4"/>
    <w:rsid w:val="00A06891"/>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2299"/>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C291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olorfulList-Accent11">
    <w:name w:val="Colorful List - Accent 11"/>
    <w:basedOn w:val="Normal"/>
    <w:uiPriority w:val="34"/>
    <w:qFormat/>
    <w:rsid w:val="00500131"/>
    <w:pPr>
      <w:ind w:left="720"/>
      <w:contextualSpacing/>
      <w:jc w:val="both"/>
    </w:pPr>
    <w:rPr>
      <w:rFonts w:eastAsia="Calibri"/>
      <w:sz w:val="22"/>
      <w:szCs w:val="22"/>
    </w:rPr>
  </w:style>
  <w:style w:type="character" w:customStyle="1" w:styleId="IntenseReference1">
    <w:name w:val="Intense Reference1"/>
    <w:uiPriority w:val="32"/>
    <w:qFormat/>
    <w:rsid w:val="00500131"/>
    <w:rPr>
      <w:b/>
      <w:bCs/>
      <w:smallCaps/>
      <w:color w:val="C0504D"/>
      <w:spacing w:val="5"/>
      <w:u w:val="single"/>
    </w:rPr>
  </w:style>
  <w:style w:type="paragraph" w:customStyle="1" w:styleId="MediumGrid21">
    <w:name w:val="Medium Grid 21"/>
    <w:link w:val="MediumGrid2Char"/>
    <w:uiPriority w:val="1"/>
    <w:qFormat/>
    <w:rsid w:val="00500131"/>
    <w:pPr>
      <w:spacing w:after="0" w:line="240" w:lineRule="auto"/>
    </w:pPr>
    <w:rPr>
      <w:rFonts w:ascii="Calibri" w:eastAsiaTheme="minorEastAsia" w:hAnsi="Calibri" w:cs="Times New Roman"/>
      <w:lang w:val="en-IN"/>
    </w:rPr>
  </w:style>
  <w:style w:type="character" w:customStyle="1" w:styleId="MediumGrid2Char">
    <w:name w:val="Medium Grid 2 Char"/>
    <w:link w:val="MediumGrid21"/>
    <w:uiPriority w:val="1"/>
    <w:rsid w:val="00500131"/>
    <w:rPr>
      <w:rFonts w:ascii="Calibri" w:eastAsiaTheme="minorEastAsia" w:hAnsi="Calibri" w:cs="Times New Roman"/>
      <w:lang w:val="en-IN"/>
    </w:rPr>
  </w:style>
  <w:style w:type="paragraph" w:customStyle="1" w:styleId="Default">
    <w:name w:val="Default"/>
    <w:rsid w:val="00500131"/>
    <w:pPr>
      <w:autoSpaceDE w:val="0"/>
      <w:autoSpaceDN w:val="0"/>
      <w:adjustRightInd w:val="0"/>
      <w:spacing w:after="0" w:line="240" w:lineRule="auto"/>
    </w:pPr>
    <w:rPr>
      <w:rFonts w:ascii="Verdana" w:eastAsiaTheme="minorEastAsia" w:hAnsi="Verdana" w:cs="Verdana"/>
      <w:color w:val="000000"/>
      <w:sz w:val="24"/>
      <w:szCs w:val="24"/>
    </w:rPr>
  </w:style>
  <w:style w:type="character" w:styleId="HTMLCite">
    <w:name w:val="HTML Cite"/>
    <w:uiPriority w:val="99"/>
    <w:semiHidden/>
    <w:unhideWhenUsed/>
    <w:rsid w:val="00500131"/>
    <w:rPr>
      <w:i/>
      <w:iCs/>
    </w:rPr>
  </w:style>
  <w:style w:type="paragraph" w:customStyle="1" w:styleId="AutoCorrect">
    <w:name w:val="AutoCorrect"/>
    <w:rsid w:val="00500131"/>
    <w:rPr>
      <w:rFonts w:ascii="Calibri" w:eastAsia="Times New Roman" w:hAnsi="Calibri" w:cs="Times New Roman"/>
    </w:rPr>
  </w:style>
  <w:style w:type="paragraph" w:customStyle="1" w:styleId="ColorfulShading-Accent11">
    <w:name w:val="Colorful Shading - Accent 11"/>
    <w:hidden/>
    <w:uiPriority w:val="99"/>
    <w:semiHidden/>
    <w:rsid w:val="00500131"/>
    <w:pPr>
      <w:spacing w:after="0" w:line="240" w:lineRule="auto"/>
    </w:pPr>
    <w:rPr>
      <w:rFonts w:ascii="Times New Roman" w:eastAsia="Times New Roman" w:hAnsi="Times New Roman" w:cs="Times New Roman"/>
      <w:sz w:val="20"/>
      <w:szCs w:val="20"/>
    </w:rPr>
  </w:style>
  <w:style w:type="character" w:customStyle="1" w:styleId="A1">
    <w:name w:val="A1"/>
    <w:uiPriority w:val="99"/>
    <w:rsid w:val="00500131"/>
    <w:rPr>
      <w:rFonts w:cs="Xerox Sans"/>
      <w:color w:val="000000"/>
      <w:sz w:val="20"/>
      <w:szCs w:val="20"/>
    </w:rPr>
  </w:style>
  <w:style w:type="paragraph" w:customStyle="1" w:styleId="ecxmsonormal">
    <w:name w:val="ecxmsonormal"/>
    <w:basedOn w:val="Normal"/>
    <w:rsid w:val="00500131"/>
    <w:pPr>
      <w:spacing w:before="100" w:beforeAutospacing="1" w:after="100" w:afterAutospacing="1"/>
    </w:pPr>
    <w:rPr>
      <w:sz w:val="24"/>
      <w:szCs w:val="24"/>
    </w:rPr>
  </w:style>
  <w:style w:type="paragraph" w:customStyle="1" w:styleId="Pa7">
    <w:name w:val="Pa7"/>
    <w:basedOn w:val="Default"/>
    <w:next w:val="Default"/>
    <w:uiPriority w:val="99"/>
    <w:rsid w:val="00500131"/>
    <w:pPr>
      <w:spacing w:line="196" w:lineRule="atLeast"/>
    </w:pPr>
    <w:rPr>
      <w:rFonts w:ascii="Minion Pro" w:hAnsi="Minion Pro" w:cs="Times New Roman"/>
      <w:color w:val="auto"/>
    </w:rPr>
  </w:style>
  <w:style w:type="character" w:customStyle="1" w:styleId="A15">
    <w:name w:val="A15"/>
    <w:uiPriority w:val="99"/>
    <w:rsid w:val="00500131"/>
    <w:rPr>
      <w:rFonts w:ascii="Franklin Gothic Book" w:hAnsi="Franklin Gothic Book" w:cs="Franklin Gothic Book" w:hint="default"/>
      <w:color w:val="000000"/>
      <w:sz w:val="18"/>
      <w:szCs w:val="18"/>
    </w:rPr>
  </w:style>
  <w:style w:type="paragraph" w:customStyle="1" w:styleId="-11">
    <w:name w:val="彩色列表 - 强调文字颜色 11"/>
    <w:basedOn w:val="Normal"/>
    <w:uiPriority w:val="34"/>
    <w:qFormat/>
    <w:rsid w:val="00500131"/>
    <w:pPr>
      <w:ind w:left="720"/>
      <w:contextualSpacing/>
    </w:pPr>
  </w:style>
  <w:style w:type="paragraph" w:customStyle="1" w:styleId="-110">
    <w:name w:val="彩色底纹 - 强调文字颜色 11"/>
    <w:hidden/>
    <w:uiPriority w:val="99"/>
    <w:semiHidden/>
    <w:rsid w:val="00500131"/>
    <w:pPr>
      <w:spacing w:after="0" w:line="240" w:lineRule="auto"/>
    </w:pPr>
    <w:rPr>
      <w:rFonts w:ascii="Times New Roman" w:eastAsia="Times New Roman" w:hAnsi="Times New Roman" w:cs="Times New Roman"/>
      <w:sz w:val="20"/>
      <w:szCs w:val="20"/>
    </w:rPr>
  </w:style>
  <w:style w:type="paragraph" w:customStyle="1" w:styleId="StyleCasehead1Centered">
    <w:name w:val="Style Casehead 1 + Centered"/>
    <w:basedOn w:val="Casehead1"/>
    <w:rsid w:val="00500131"/>
    <w:pPr>
      <w:jc w:val="center"/>
    </w:pPr>
    <w:rPr>
      <w:rFonts w:cs="Times New Roman"/>
      <w:bCs/>
    </w:rPr>
  </w:style>
  <w:style w:type="table" w:customStyle="1" w:styleId="TableGrid1">
    <w:name w:val="Table Grid1"/>
    <w:basedOn w:val="TableNormal"/>
    <w:next w:val="TableGrid"/>
    <w:uiPriority w:val="59"/>
    <w:rsid w:val="004D22A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C291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olorfulList-Accent11">
    <w:name w:val="Colorful List - Accent 11"/>
    <w:basedOn w:val="Normal"/>
    <w:uiPriority w:val="34"/>
    <w:qFormat/>
    <w:rsid w:val="00500131"/>
    <w:pPr>
      <w:ind w:left="720"/>
      <w:contextualSpacing/>
      <w:jc w:val="both"/>
    </w:pPr>
    <w:rPr>
      <w:rFonts w:eastAsia="Calibri"/>
      <w:sz w:val="22"/>
      <w:szCs w:val="22"/>
    </w:rPr>
  </w:style>
  <w:style w:type="character" w:customStyle="1" w:styleId="IntenseReference1">
    <w:name w:val="Intense Reference1"/>
    <w:uiPriority w:val="32"/>
    <w:qFormat/>
    <w:rsid w:val="00500131"/>
    <w:rPr>
      <w:b/>
      <w:bCs/>
      <w:smallCaps/>
      <w:color w:val="C0504D"/>
      <w:spacing w:val="5"/>
      <w:u w:val="single"/>
    </w:rPr>
  </w:style>
  <w:style w:type="paragraph" w:customStyle="1" w:styleId="MediumGrid21">
    <w:name w:val="Medium Grid 21"/>
    <w:link w:val="MediumGrid2Char"/>
    <w:uiPriority w:val="1"/>
    <w:qFormat/>
    <w:rsid w:val="00500131"/>
    <w:pPr>
      <w:spacing w:after="0" w:line="240" w:lineRule="auto"/>
    </w:pPr>
    <w:rPr>
      <w:rFonts w:ascii="Calibri" w:eastAsiaTheme="minorEastAsia" w:hAnsi="Calibri" w:cs="Times New Roman"/>
      <w:lang w:val="en-IN"/>
    </w:rPr>
  </w:style>
  <w:style w:type="character" w:customStyle="1" w:styleId="MediumGrid2Char">
    <w:name w:val="Medium Grid 2 Char"/>
    <w:link w:val="MediumGrid21"/>
    <w:uiPriority w:val="1"/>
    <w:rsid w:val="00500131"/>
    <w:rPr>
      <w:rFonts w:ascii="Calibri" w:eastAsiaTheme="minorEastAsia" w:hAnsi="Calibri" w:cs="Times New Roman"/>
      <w:lang w:val="en-IN"/>
    </w:rPr>
  </w:style>
  <w:style w:type="paragraph" w:customStyle="1" w:styleId="Default">
    <w:name w:val="Default"/>
    <w:rsid w:val="00500131"/>
    <w:pPr>
      <w:autoSpaceDE w:val="0"/>
      <w:autoSpaceDN w:val="0"/>
      <w:adjustRightInd w:val="0"/>
      <w:spacing w:after="0" w:line="240" w:lineRule="auto"/>
    </w:pPr>
    <w:rPr>
      <w:rFonts w:ascii="Verdana" w:eastAsiaTheme="minorEastAsia" w:hAnsi="Verdana" w:cs="Verdana"/>
      <w:color w:val="000000"/>
      <w:sz w:val="24"/>
      <w:szCs w:val="24"/>
    </w:rPr>
  </w:style>
  <w:style w:type="character" w:styleId="HTMLCite">
    <w:name w:val="HTML Cite"/>
    <w:uiPriority w:val="99"/>
    <w:semiHidden/>
    <w:unhideWhenUsed/>
    <w:rsid w:val="00500131"/>
    <w:rPr>
      <w:i/>
      <w:iCs/>
    </w:rPr>
  </w:style>
  <w:style w:type="paragraph" w:customStyle="1" w:styleId="AutoCorrect">
    <w:name w:val="AutoCorrect"/>
    <w:rsid w:val="00500131"/>
    <w:rPr>
      <w:rFonts w:ascii="Calibri" w:eastAsia="Times New Roman" w:hAnsi="Calibri" w:cs="Times New Roman"/>
    </w:rPr>
  </w:style>
  <w:style w:type="paragraph" w:customStyle="1" w:styleId="ColorfulShading-Accent11">
    <w:name w:val="Colorful Shading - Accent 11"/>
    <w:hidden/>
    <w:uiPriority w:val="99"/>
    <w:semiHidden/>
    <w:rsid w:val="00500131"/>
    <w:pPr>
      <w:spacing w:after="0" w:line="240" w:lineRule="auto"/>
    </w:pPr>
    <w:rPr>
      <w:rFonts w:ascii="Times New Roman" w:eastAsia="Times New Roman" w:hAnsi="Times New Roman" w:cs="Times New Roman"/>
      <w:sz w:val="20"/>
      <w:szCs w:val="20"/>
    </w:rPr>
  </w:style>
  <w:style w:type="character" w:customStyle="1" w:styleId="A1">
    <w:name w:val="A1"/>
    <w:uiPriority w:val="99"/>
    <w:rsid w:val="00500131"/>
    <w:rPr>
      <w:rFonts w:cs="Xerox Sans"/>
      <w:color w:val="000000"/>
      <w:sz w:val="20"/>
      <w:szCs w:val="20"/>
    </w:rPr>
  </w:style>
  <w:style w:type="paragraph" w:customStyle="1" w:styleId="ecxmsonormal">
    <w:name w:val="ecxmsonormal"/>
    <w:basedOn w:val="Normal"/>
    <w:rsid w:val="00500131"/>
    <w:pPr>
      <w:spacing w:before="100" w:beforeAutospacing="1" w:after="100" w:afterAutospacing="1"/>
    </w:pPr>
    <w:rPr>
      <w:sz w:val="24"/>
      <w:szCs w:val="24"/>
    </w:rPr>
  </w:style>
  <w:style w:type="paragraph" w:customStyle="1" w:styleId="Pa7">
    <w:name w:val="Pa7"/>
    <w:basedOn w:val="Default"/>
    <w:next w:val="Default"/>
    <w:uiPriority w:val="99"/>
    <w:rsid w:val="00500131"/>
    <w:pPr>
      <w:spacing w:line="196" w:lineRule="atLeast"/>
    </w:pPr>
    <w:rPr>
      <w:rFonts w:ascii="Minion Pro" w:hAnsi="Minion Pro" w:cs="Times New Roman"/>
      <w:color w:val="auto"/>
    </w:rPr>
  </w:style>
  <w:style w:type="character" w:customStyle="1" w:styleId="A15">
    <w:name w:val="A15"/>
    <w:uiPriority w:val="99"/>
    <w:rsid w:val="00500131"/>
    <w:rPr>
      <w:rFonts w:ascii="Franklin Gothic Book" w:hAnsi="Franklin Gothic Book" w:cs="Franklin Gothic Book" w:hint="default"/>
      <w:color w:val="000000"/>
      <w:sz w:val="18"/>
      <w:szCs w:val="18"/>
    </w:rPr>
  </w:style>
  <w:style w:type="paragraph" w:customStyle="1" w:styleId="-11">
    <w:name w:val="彩色列表 - 强调文字颜色 11"/>
    <w:basedOn w:val="Normal"/>
    <w:uiPriority w:val="34"/>
    <w:qFormat/>
    <w:rsid w:val="00500131"/>
    <w:pPr>
      <w:ind w:left="720"/>
      <w:contextualSpacing/>
    </w:pPr>
  </w:style>
  <w:style w:type="paragraph" w:customStyle="1" w:styleId="-110">
    <w:name w:val="彩色底纹 - 强调文字颜色 11"/>
    <w:hidden/>
    <w:uiPriority w:val="99"/>
    <w:semiHidden/>
    <w:rsid w:val="00500131"/>
    <w:pPr>
      <w:spacing w:after="0" w:line="240" w:lineRule="auto"/>
    </w:pPr>
    <w:rPr>
      <w:rFonts w:ascii="Times New Roman" w:eastAsia="Times New Roman" w:hAnsi="Times New Roman" w:cs="Times New Roman"/>
      <w:sz w:val="20"/>
      <w:szCs w:val="20"/>
    </w:rPr>
  </w:style>
  <w:style w:type="paragraph" w:customStyle="1" w:styleId="StyleCasehead1Centered">
    <w:name w:val="Style Casehead 1 + Centered"/>
    <w:basedOn w:val="Casehead1"/>
    <w:rsid w:val="00500131"/>
    <w:pPr>
      <w:jc w:val="center"/>
    </w:pPr>
    <w:rPr>
      <w:rFonts w:cs="Times New Roman"/>
      <w:bCs/>
    </w:rPr>
  </w:style>
  <w:style w:type="table" w:customStyle="1" w:styleId="TableGrid1">
    <w:name w:val="Table Grid1"/>
    <w:basedOn w:val="TableNormal"/>
    <w:next w:val="TableGrid"/>
    <w:uiPriority w:val="59"/>
    <w:rsid w:val="004D22A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iveycases.com" TargetMode="Externa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B6B3D-D4E2-42C0-BBF3-E8AEFA612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4636</Words>
  <Characters>26427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2015-03-04T20:39:00Z</dcterms:created>
  <dcterms:modified xsi:type="dcterms:W3CDTF">2017-06-08T16:19:00Z</dcterms:modified>
</cp:coreProperties>
</file>