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07C1D" w14:textId="38876FED" w:rsidR="00856D9F" w:rsidRPr="003E75D7" w:rsidRDefault="008E3ECF" w:rsidP="008E3ECF">
      <w:pPr>
        <w:tabs>
          <w:tab w:val="left" w:pos="-1440"/>
          <w:tab w:val="left" w:pos="-720"/>
          <w:tab w:val="left" w:pos="1"/>
          <w:tab w:val="right" w:pos="9360"/>
        </w:tabs>
        <w:jc w:val="both"/>
        <w:rPr>
          <w:rFonts w:ascii="Arial" w:hAnsi="Arial"/>
          <w:b/>
          <w:sz w:val="24"/>
        </w:rPr>
      </w:pPr>
      <w:r w:rsidRPr="00A569EA">
        <w:rPr>
          <w:rFonts w:ascii="Arial" w:hAnsi="Arial"/>
          <w:b/>
          <w:noProof/>
          <w:sz w:val="24"/>
          <w:lang w:val="en-US"/>
        </w:rPr>
        <w:drawing>
          <wp:inline distT="0" distB="0" distL="0" distR="0" wp14:anchorId="6D71FB84" wp14:editId="48CAD70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7B61850" w14:textId="77777777" w:rsidR="00856D9F" w:rsidRPr="003E75D7" w:rsidRDefault="00856D9F" w:rsidP="008467D5">
      <w:pPr>
        <w:pBdr>
          <w:bottom w:val="single" w:sz="18" w:space="1" w:color="auto"/>
        </w:pBdr>
        <w:tabs>
          <w:tab w:val="left" w:pos="-1440"/>
          <w:tab w:val="left" w:pos="-720"/>
          <w:tab w:val="left" w:pos="1"/>
        </w:tabs>
        <w:jc w:val="both"/>
        <w:rPr>
          <w:rFonts w:ascii="Arial" w:hAnsi="Arial"/>
          <w:b/>
          <w:sz w:val="24"/>
        </w:rPr>
      </w:pPr>
    </w:p>
    <w:p w14:paraId="6FCF7C3E" w14:textId="34FB6E93" w:rsidR="00D75295" w:rsidRPr="003E75D7" w:rsidRDefault="00C85615" w:rsidP="00F105B7">
      <w:pPr>
        <w:pStyle w:val="ProductNumber"/>
      </w:pPr>
      <w:r>
        <w:t>9B17M091</w:t>
      </w:r>
    </w:p>
    <w:p w14:paraId="05DE514C" w14:textId="77777777" w:rsidR="00D75295" w:rsidRPr="003E75D7" w:rsidRDefault="00D75295" w:rsidP="00D75295">
      <w:pPr>
        <w:jc w:val="right"/>
        <w:rPr>
          <w:rFonts w:ascii="Arial" w:hAnsi="Arial"/>
          <w:b/>
          <w:sz w:val="28"/>
          <w:szCs w:val="28"/>
        </w:rPr>
      </w:pPr>
    </w:p>
    <w:p w14:paraId="3CE188BB" w14:textId="77777777" w:rsidR="00866F6D" w:rsidRPr="003E75D7" w:rsidRDefault="00866F6D" w:rsidP="00D75295">
      <w:pPr>
        <w:jc w:val="right"/>
        <w:rPr>
          <w:rFonts w:ascii="Arial" w:hAnsi="Arial"/>
          <w:b/>
          <w:sz w:val="28"/>
          <w:szCs w:val="28"/>
        </w:rPr>
      </w:pPr>
    </w:p>
    <w:p w14:paraId="334749A6" w14:textId="77777777" w:rsidR="00013360" w:rsidRPr="003E75D7" w:rsidRDefault="00D759DA" w:rsidP="00013360">
      <w:pPr>
        <w:pStyle w:val="CaseTitle"/>
        <w:spacing w:after="0" w:line="240" w:lineRule="auto"/>
      </w:pPr>
      <w:r w:rsidRPr="003E75D7">
        <w:t>CO-OPTEX: REINVENTING ITSELF</w:t>
      </w:r>
    </w:p>
    <w:p w14:paraId="50E1255E" w14:textId="77777777" w:rsidR="00013360" w:rsidRPr="003E75D7" w:rsidRDefault="00013360" w:rsidP="00013360">
      <w:pPr>
        <w:pStyle w:val="CaseTitle"/>
        <w:spacing w:after="0" w:line="240" w:lineRule="auto"/>
        <w:rPr>
          <w:sz w:val="20"/>
          <w:szCs w:val="20"/>
        </w:rPr>
      </w:pPr>
    </w:p>
    <w:p w14:paraId="68636C99" w14:textId="77777777" w:rsidR="00CA3976" w:rsidRPr="003E75D7" w:rsidRDefault="00CA3976" w:rsidP="00013360">
      <w:pPr>
        <w:pStyle w:val="CaseTitle"/>
        <w:spacing w:after="0" w:line="240" w:lineRule="auto"/>
        <w:rPr>
          <w:sz w:val="20"/>
          <w:szCs w:val="20"/>
        </w:rPr>
      </w:pPr>
    </w:p>
    <w:p w14:paraId="494A2789" w14:textId="77777777" w:rsidR="00013360" w:rsidRPr="003E75D7" w:rsidRDefault="00013360" w:rsidP="00013360">
      <w:pPr>
        <w:pStyle w:val="CaseTitle"/>
        <w:spacing w:after="0" w:line="240" w:lineRule="auto"/>
        <w:rPr>
          <w:sz w:val="20"/>
          <w:szCs w:val="20"/>
        </w:rPr>
      </w:pPr>
    </w:p>
    <w:p w14:paraId="3CDB9992" w14:textId="1531E306" w:rsidR="00013360" w:rsidRPr="003E75D7" w:rsidRDefault="00AE60AC" w:rsidP="00104567">
      <w:pPr>
        <w:pStyle w:val="StyleCopyrightStatementAfter0ptBottomSinglesolidline1"/>
      </w:pPr>
      <w:r w:rsidRPr="003E75D7">
        <w:t xml:space="preserve">Tulsi Jayakumar </w:t>
      </w:r>
      <w:r w:rsidR="007E5921" w:rsidRPr="003E75D7">
        <w:t>wrote this case sol</w:t>
      </w:r>
      <w:r w:rsidR="00D75295" w:rsidRPr="003E75D7">
        <w:t>ely to provide material for class discussion. The author do</w:t>
      </w:r>
      <w:r w:rsidR="00461262" w:rsidRPr="003E75D7">
        <w:t>es</w:t>
      </w:r>
      <w:r w:rsidR="00D75295" w:rsidRPr="003E75D7">
        <w:t xml:space="preserve"> not intend to illustrate either effective or ineffective handling of a managerial situation. The author may have disguised certain names and other identifying information to protect confidentiality.</w:t>
      </w:r>
    </w:p>
    <w:p w14:paraId="4F9F57F8" w14:textId="77777777" w:rsidR="00013360" w:rsidRPr="003E75D7" w:rsidRDefault="00013360" w:rsidP="00104567">
      <w:pPr>
        <w:pStyle w:val="StyleCopyrightStatementAfter0ptBottomSinglesolidline1"/>
      </w:pPr>
    </w:p>
    <w:p w14:paraId="4EE913A2" w14:textId="77777777" w:rsidR="008E3ECF" w:rsidRPr="00E23AB7" w:rsidRDefault="008E3ECF" w:rsidP="008E3EC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EA310E8" w14:textId="77777777" w:rsidR="008E3ECF" w:rsidRPr="00E23AB7" w:rsidRDefault="008E3ECF" w:rsidP="008E3EC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BEEB5E7" w14:textId="2D53BA1D" w:rsidR="003B7EF2" w:rsidRPr="003E75D7" w:rsidRDefault="008E3ECF" w:rsidP="008E3ECF">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00065D">
        <w:t>06-</w:t>
      </w:r>
      <w:r w:rsidR="005065E0">
        <w:t>13</w:t>
      </w:r>
    </w:p>
    <w:p w14:paraId="2FC51D8F" w14:textId="77777777" w:rsidR="003B7EF2" w:rsidRPr="003E75D7" w:rsidRDefault="003B7EF2" w:rsidP="00104567">
      <w:pPr>
        <w:pStyle w:val="StyleCopyrightStatementAfter0ptBottomSinglesolidline1"/>
        <w:rPr>
          <w:rFonts w:ascii="Times New Roman" w:hAnsi="Times New Roman"/>
          <w:sz w:val="20"/>
        </w:rPr>
      </w:pPr>
    </w:p>
    <w:p w14:paraId="380BCB18" w14:textId="77777777" w:rsidR="003B7EF2" w:rsidRPr="003E75D7" w:rsidRDefault="003B7EF2" w:rsidP="006F1D9E">
      <w:pPr>
        <w:pStyle w:val="Footnote"/>
      </w:pPr>
    </w:p>
    <w:p w14:paraId="377B30E2" w14:textId="67CF76C0" w:rsidR="00D759DA" w:rsidRPr="003E75D7" w:rsidRDefault="00D759DA" w:rsidP="00D759DA">
      <w:pPr>
        <w:jc w:val="both"/>
        <w:rPr>
          <w:sz w:val="22"/>
          <w:szCs w:val="22"/>
        </w:rPr>
      </w:pPr>
      <w:r w:rsidRPr="003E75D7">
        <w:rPr>
          <w:sz w:val="22"/>
          <w:szCs w:val="22"/>
        </w:rPr>
        <w:t>On August 7, 2015, T. N. Venkatesh, an Indian bureaucrat and managing director</w:t>
      </w:r>
      <w:r w:rsidR="00252CAF" w:rsidRPr="003E75D7">
        <w:rPr>
          <w:sz w:val="22"/>
          <w:szCs w:val="22"/>
        </w:rPr>
        <w:t xml:space="preserve"> </w:t>
      </w:r>
      <w:r w:rsidRPr="003E75D7">
        <w:rPr>
          <w:sz w:val="22"/>
          <w:szCs w:val="22"/>
        </w:rPr>
        <w:t>of the Tamil Nadu Handloom Weavers’ Co</w:t>
      </w:r>
      <w:r w:rsidR="006A7B4B" w:rsidRPr="003E75D7">
        <w:rPr>
          <w:sz w:val="22"/>
          <w:szCs w:val="22"/>
        </w:rPr>
        <w:t>-</w:t>
      </w:r>
      <w:r w:rsidRPr="003E75D7">
        <w:rPr>
          <w:sz w:val="22"/>
          <w:szCs w:val="22"/>
        </w:rPr>
        <w:t>operative Society</w:t>
      </w:r>
      <w:r w:rsidR="00791FB7" w:rsidRPr="003E75D7">
        <w:rPr>
          <w:sz w:val="22"/>
          <w:szCs w:val="22"/>
        </w:rPr>
        <w:t xml:space="preserve"> </w:t>
      </w:r>
      <w:r w:rsidR="001D749E" w:rsidRPr="003E75D7">
        <w:rPr>
          <w:sz w:val="22"/>
          <w:szCs w:val="22"/>
        </w:rPr>
        <w:t xml:space="preserve">Ltd. </w:t>
      </w:r>
      <w:r w:rsidR="00791FB7" w:rsidRPr="003E75D7">
        <w:rPr>
          <w:sz w:val="22"/>
          <w:szCs w:val="22"/>
        </w:rPr>
        <w:t xml:space="preserve">(Co-optex) </w:t>
      </w:r>
      <w:r w:rsidRPr="003E75D7">
        <w:rPr>
          <w:sz w:val="22"/>
          <w:szCs w:val="22"/>
        </w:rPr>
        <w:t xml:space="preserve">prepared for an important event. </w:t>
      </w:r>
      <w:r w:rsidR="00791FB7" w:rsidRPr="003E75D7">
        <w:rPr>
          <w:sz w:val="22"/>
          <w:szCs w:val="22"/>
        </w:rPr>
        <w:t xml:space="preserve">The society was </w:t>
      </w:r>
      <w:r w:rsidR="001D749E" w:rsidRPr="003E75D7">
        <w:rPr>
          <w:sz w:val="22"/>
          <w:szCs w:val="22"/>
        </w:rPr>
        <w:t>a</w:t>
      </w:r>
      <w:r w:rsidR="00791FB7" w:rsidRPr="003E75D7">
        <w:rPr>
          <w:sz w:val="22"/>
          <w:szCs w:val="22"/>
        </w:rPr>
        <w:t xml:space="preserve"> handloom marketing co</w:t>
      </w:r>
      <w:r w:rsidR="001D749E" w:rsidRPr="003E75D7">
        <w:rPr>
          <w:sz w:val="22"/>
          <w:szCs w:val="22"/>
        </w:rPr>
        <w:t>-</w:t>
      </w:r>
      <w:r w:rsidR="00791FB7" w:rsidRPr="003E75D7">
        <w:rPr>
          <w:sz w:val="22"/>
          <w:szCs w:val="22"/>
        </w:rPr>
        <w:t xml:space="preserve">operative in the state of Tamil Nadu. </w:t>
      </w:r>
      <w:r w:rsidRPr="003E75D7">
        <w:rPr>
          <w:sz w:val="22"/>
          <w:szCs w:val="22"/>
        </w:rPr>
        <w:t>One of Co-optex’s product</w:t>
      </w:r>
      <w:r w:rsidR="00423C08" w:rsidRPr="003E75D7">
        <w:rPr>
          <w:sz w:val="22"/>
          <w:szCs w:val="22"/>
        </w:rPr>
        <w:t>s—</w:t>
      </w:r>
      <w:r w:rsidRPr="003E75D7">
        <w:rPr>
          <w:sz w:val="22"/>
          <w:szCs w:val="22"/>
        </w:rPr>
        <w:t xml:space="preserve">a soft and shiny silk </w:t>
      </w:r>
      <w:r w:rsidR="00423C08" w:rsidRPr="003E75D7">
        <w:rPr>
          <w:sz w:val="22"/>
          <w:szCs w:val="22"/>
        </w:rPr>
        <w:t xml:space="preserve">called </w:t>
      </w:r>
      <w:r w:rsidR="00423C08" w:rsidRPr="003E75D7">
        <w:rPr>
          <w:i/>
          <w:sz w:val="22"/>
          <w:szCs w:val="22"/>
        </w:rPr>
        <w:t>venpattu</w:t>
      </w:r>
      <w:r w:rsidR="00423C08" w:rsidRPr="003E75D7">
        <w:rPr>
          <w:sz w:val="22"/>
          <w:szCs w:val="22"/>
        </w:rPr>
        <w:t xml:space="preserve"> (“butter silk”), </w:t>
      </w:r>
      <w:r w:rsidRPr="003E75D7">
        <w:rPr>
          <w:sz w:val="22"/>
          <w:szCs w:val="22"/>
        </w:rPr>
        <w:t xml:space="preserve">woven by weavers </w:t>
      </w:r>
      <w:r w:rsidR="00423C08" w:rsidRPr="003E75D7">
        <w:rPr>
          <w:sz w:val="22"/>
          <w:szCs w:val="22"/>
        </w:rPr>
        <w:t xml:space="preserve">in </w:t>
      </w:r>
      <w:r w:rsidRPr="003E75D7">
        <w:rPr>
          <w:sz w:val="22"/>
          <w:szCs w:val="22"/>
        </w:rPr>
        <w:t>the Salem district of Tamil Nadu</w:t>
      </w:r>
      <w:r w:rsidR="00423C08" w:rsidRPr="003E75D7">
        <w:rPr>
          <w:sz w:val="22"/>
          <w:szCs w:val="22"/>
        </w:rPr>
        <w:t>—</w:t>
      </w:r>
      <w:r w:rsidRPr="003E75D7">
        <w:rPr>
          <w:sz w:val="22"/>
          <w:szCs w:val="22"/>
        </w:rPr>
        <w:t xml:space="preserve">was to be awarded the </w:t>
      </w:r>
      <w:r w:rsidR="00423C08" w:rsidRPr="003E75D7">
        <w:rPr>
          <w:sz w:val="22"/>
          <w:szCs w:val="22"/>
        </w:rPr>
        <w:t xml:space="preserve">first </w:t>
      </w:r>
      <w:r w:rsidRPr="003E75D7">
        <w:rPr>
          <w:sz w:val="22"/>
          <w:szCs w:val="22"/>
        </w:rPr>
        <w:t xml:space="preserve">India Handloom Brand Certificate by the </w:t>
      </w:r>
      <w:r w:rsidR="00461262" w:rsidRPr="003E75D7">
        <w:rPr>
          <w:sz w:val="22"/>
          <w:szCs w:val="22"/>
        </w:rPr>
        <w:t xml:space="preserve">prime minister </w:t>
      </w:r>
      <w:r w:rsidRPr="003E75D7">
        <w:rPr>
          <w:sz w:val="22"/>
          <w:szCs w:val="22"/>
        </w:rPr>
        <w:t>of India on the occasion of the first National Handloom Day</w:t>
      </w:r>
      <w:r w:rsidR="00423C08" w:rsidRPr="003E75D7">
        <w:rPr>
          <w:sz w:val="22"/>
          <w:szCs w:val="22"/>
        </w:rPr>
        <w:t>.</w:t>
      </w:r>
      <w:r w:rsidRPr="003E75D7">
        <w:rPr>
          <w:rStyle w:val="EndnoteReference"/>
          <w:sz w:val="22"/>
          <w:szCs w:val="22"/>
        </w:rPr>
        <w:endnoteReference w:id="1"/>
      </w:r>
      <w:r w:rsidRPr="003E75D7">
        <w:rPr>
          <w:sz w:val="22"/>
          <w:szCs w:val="22"/>
        </w:rPr>
        <w:t xml:space="preserve"> The certificate, awarded to the best handloom products in India, was a validation of </w:t>
      </w:r>
      <w:r w:rsidR="00423C08" w:rsidRPr="003E75D7">
        <w:rPr>
          <w:sz w:val="22"/>
          <w:szCs w:val="22"/>
        </w:rPr>
        <w:t xml:space="preserve">Venkatesh’s </w:t>
      </w:r>
      <w:r w:rsidRPr="003E75D7">
        <w:rPr>
          <w:sz w:val="22"/>
          <w:szCs w:val="22"/>
        </w:rPr>
        <w:t>efforts to revive Co-optex</w:t>
      </w:r>
      <w:r w:rsidR="00423C08" w:rsidRPr="003E75D7">
        <w:rPr>
          <w:sz w:val="22"/>
          <w:szCs w:val="22"/>
        </w:rPr>
        <w:t>, which had</w:t>
      </w:r>
      <w:r w:rsidRPr="003E75D7">
        <w:rPr>
          <w:sz w:val="22"/>
          <w:szCs w:val="22"/>
        </w:rPr>
        <w:t xml:space="preserve"> </w:t>
      </w:r>
      <w:r w:rsidR="00423C08" w:rsidRPr="003E75D7">
        <w:rPr>
          <w:sz w:val="22"/>
          <w:szCs w:val="22"/>
        </w:rPr>
        <w:t>accumulated significant</w:t>
      </w:r>
      <w:r w:rsidRPr="003E75D7">
        <w:rPr>
          <w:sz w:val="22"/>
          <w:szCs w:val="22"/>
        </w:rPr>
        <w:t xml:space="preserve"> losses for almost </w:t>
      </w:r>
      <w:r w:rsidR="00461262" w:rsidRPr="003E75D7">
        <w:rPr>
          <w:sz w:val="22"/>
          <w:szCs w:val="22"/>
        </w:rPr>
        <w:t xml:space="preserve">13 </w:t>
      </w:r>
      <w:r w:rsidRPr="003E75D7">
        <w:rPr>
          <w:sz w:val="22"/>
          <w:szCs w:val="22"/>
        </w:rPr>
        <w:t xml:space="preserve">years until 2013. Co-optex had achieved sales worth </w:t>
      </w:r>
      <w:r w:rsidR="003B7D14">
        <w:rPr>
          <w:sz w:val="22"/>
          <w:szCs w:val="22"/>
        </w:rPr>
        <w:t>U.S.</w:t>
      </w:r>
      <w:r w:rsidRPr="003E75D7">
        <w:rPr>
          <w:sz w:val="22"/>
          <w:szCs w:val="22"/>
        </w:rPr>
        <w:t>$50.14 million</w:t>
      </w:r>
      <w:r w:rsidRPr="003E75D7">
        <w:rPr>
          <w:rStyle w:val="EndnoteReference"/>
          <w:sz w:val="22"/>
          <w:szCs w:val="22"/>
        </w:rPr>
        <w:endnoteReference w:id="2"/>
      </w:r>
      <w:r w:rsidRPr="003E75D7">
        <w:rPr>
          <w:sz w:val="22"/>
          <w:szCs w:val="22"/>
        </w:rPr>
        <w:t xml:space="preserve"> in </w:t>
      </w:r>
      <w:r w:rsidR="00ED6C77" w:rsidRPr="003E75D7">
        <w:rPr>
          <w:sz w:val="22"/>
          <w:szCs w:val="22"/>
        </w:rPr>
        <w:t xml:space="preserve">fiscal year (FY) </w:t>
      </w:r>
      <w:r w:rsidRPr="003E75D7">
        <w:rPr>
          <w:sz w:val="22"/>
          <w:szCs w:val="22"/>
        </w:rPr>
        <w:t>2014</w:t>
      </w:r>
      <w:r w:rsidR="00423C08" w:rsidRPr="003E75D7">
        <w:rPr>
          <w:sz w:val="22"/>
          <w:szCs w:val="22"/>
        </w:rPr>
        <w:t>–</w:t>
      </w:r>
      <w:r w:rsidRPr="003E75D7">
        <w:rPr>
          <w:sz w:val="22"/>
          <w:szCs w:val="22"/>
        </w:rPr>
        <w:t xml:space="preserve">15. This was a 54.8 per cent </w:t>
      </w:r>
      <w:r w:rsidR="00A503E1" w:rsidRPr="003E75D7">
        <w:rPr>
          <w:sz w:val="22"/>
          <w:szCs w:val="22"/>
        </w:rPr>
        <w:t xml:space="preserve">increase </w:t>
      </w:r>
      <w:r w:rsidR="00423C08" w:rsidRPr="003E75D7">
        <w:rPr>
          <w:sz w:val="22"/>
          <w:szCs w:val="22"/>
        </w:rPr>
        <w:t xml:space="preserve">in rupee terms </w:t>
      </w:r>
      <w:r w:rsidRPr="003E75D7">
        <w:rPr>
          <w:sz w:val="22"/>
          <w:szCs w:val="22"/>
        </w:rPr>
        <w:t xml:space="preserve">compared to sales in </w:t>
      </w:r>
      <w:r w:rsidR="00ED6C77" w:rsidRPr="003E75D7">
        <w:rPr>
          <w:sz w:val="22"/>
          <w:szCs w:val="22"/>
        </w:rPr>
        <w:t xml:space="preserve">FY </w:t>
      </w:r>
      <w:r w:rsidRPr="003E75D7">
        <w:rPr>
          <w:sz w:val="22"/>
          <w:szCs w:val="22"/>
        </w:rPr>
        <w:t>2010</w:t>
      </w:r>
      <w:r w:rsidR="00423C08" w:rsidRPr="003E75D7">
        <w:rPr>
          <w:sz w:val="22"/>
          <w:szCs w:val="22"/>
        </w:rPr>
        <w:t>–</w:t>
      </w:r>
      <w:r w:rsidRPr="003E75D7">
        <w:rPr>
          <w:sz w:val="22"/>
          <w:szCs w:val="22"/>
        </w:rPr>
        <w:t>11</w:t>
      </w:r>
      <w:r w:rsidRPr="003E75D7">
        <w:rPr>
          <w:rStyle w:val="EndnoteReference"/>
          <w:sz w:val="22"/>
          <w:szCs w:val="22"/>
        </w:rPr>
        <w:endnoteReference w:id="3"/>
      </w:r>
      <w:r w:rsidRPr="003E75D7">
        <w:rPr>
          <w:sz w:val="22"/>
          <w:szCs w:val="22"/>
        </w:rPr>
        <w:t xml:space="preserve"> </w:t>
      </w:r>
      <w:r w:rsidR="00423C08" w:rsidRPr="003E75D7">
        <w:rPr>
          <w:sz w:val="22"/>
          <w:szCs w:val="22"/>
        </w:rPr>
        <w:t xml:space="preserve">and was </w:t>
      </w:r>
      <w:r w:rsidRPr="003E75D7">
        <w:rPr>
          <w:sz w:val="22"/>
          <w:szCs w:val="22"/>
        </w:rPr>
        <w:t xml:space="preserve">also much higher than </w:t>
      </w:r>
      <w:r w:rsidR="006A7B4B" w:rsidRPr="003E75D7">
        <w:rPr>
          <w:sz w:val="22"/>
          <w:szCs w:val="22"/>
        </w:rPr>
        <w:t>those</w:t>
      </w:r>
      <w:r w:rsidR="00423C08" w:rsidRPr="003E75D7">
        <w:rPr>
          <w:sz w:val="22"/>
          <w:szCs w:val="22"/>
        </w:rPr>
        <w:t xml:space="preserve"> of </w:t>
      </w:r>
      <w:r w:rsidRPr="003E75D7">
        <w:rPr>
          <w:sz w:val="22"/>
          <w:szCs w:val="22"/>
        </w:rPr>
        <w:t>any of the other top state handloom co</w:t>
      </w:r>
      <w:r w:rsidR="006A7B4B" w:rsidRPr="003E75D7">
        <w:rPr>
          <w:sz w:val="22"/>
          <w:szCs w:val="22"/>
        </w:rPr>
        <w:t>-</w:t>
      </w:r>
      <w:r w:rsidRPr="003E75D7">
        <w:rPr>
          <w:sz w:val="22"/>
          <w:szCs w:val="22"/>
        </w:rPr>
        <w:t>operatives in India</w:t>
      </w:r>
      <w:r w:rsidR="00423C08" w:rsidRPr="003E75D7">
        <w:rPr>
          <w:sz w:val="22"/>
          <w:szCs w:val="22"/>
        </w:rPr>
        <w:t>.</w:t>
      </w:r>
      <w:r w:rsidRPr="003E75D7">
        <w:rPr>
          <w:rStyle w:val="EndnoteReference"/>
          <w:sz w:val="22"/>
          <w:szCs w:val="22"/>
        </w:rPr>
        <w:endnoteReference w:id="4"/>
      </w:r>
      <w:r w:rsidRPr="003E75D7">
        <w:rPr>
          <w:sz w:val="22"/>
          <w:szCs w:val="22"/>
        </w:rPr>
        <w:t xml:space="preserve"> However, much as it seemed to herald the beginning of a new dawn, Venkatesh was worried. </w:t>
      </w:r>
    </w:p>
    <w:p w14:paraId="0C0F2DCA" w14:textId="77777777" w:rsidR="00D759DA" w:rsidRPr="003E75D7" w:rsidRDefault="00D759DA" w:rsidP="00D759DA">
      <w:pPr>
        <w:jc w:val="both"/>
        <w:rPr>
          <w:szCs w:val="22"/>
        </w:rPr>
      </w:pPr>
    </w:p>
    <w:p w14:paraId="6DC29C7D" w14:textId="5E98879C" w:rsidR="00B339C0" w:rsidRPr="003E75D7" w:rsidRDefault="00B339C0" w:rsidP="00D759DA">
      <w:pPr>
        <w:jc w:val="both"/>
        <w:rPr>
          <w:sz w:val="22"/>
          <w:szCs w:val="22"/>
        </w:rPr>
      </w:pPr>
      <w:r w:rsidRPr="003E75D7">
        <w:rPr>
          <w:sz w:val="22"/>
          <w:szCs w:val="22"/>
        </w:rPr>
        <w:t>The h</w:t>
      </w:r>
      <w:r w:rsidR="00D759DA" w:rsidRPr="003E75D7">
        <w:rPr>
          <w:sz w:val="22"/>
          <w:szCs w:val="22"/>
        </w:rPr>
        <w:t xml:space="preserve">andloom </w:t>
      </w:r>
      <w:r w:rsidRPr="003E75D7">
        <w:rPr>
          <w:sz w:val="22"/>
          <w:szCs w:val="22"/>
        </w:rPr>
        <w:t>category of</w:t>
      </w:r>
      <w:r w:rsidR="00D759DA" w:rsidRPr="003E75D7">
        <w:rPr>
          <w:sz w:val="22"/>
          <w:szCs w:val="22"/>
        </w:rPr>
        <w:t xml:space="preserve"> textile</w:t>
      </w:r>
      <w:r w:rsidRPr="003E75D7">
        <w:rPr>
          <w:sz w:val="22"/>
          <w:szCs w:val="22"/>
        </w:rPr>
        <w:t>s</w:t>
      </w:r>
      <w:r w:rsidR="00D759DA" w:rsidRPr="003E75D7">
        <w:rPr>
          <w:sz w:val="22"/>
          <w:szCs w:val="22"/>
        </w:rPr>
        <w:t xml:space="preserve"> continued to </w:t>
      </w:r>
      <w:r w:rsidRPr="003E75D7">
        <w:rPr>
          <w:sz w:val="22"/>
          <w:szCs w:val="22"/>
        </w:rPr>
        <w:t xml:space="preserve">experience </w:t>
      </w:r>
      <w:r w:rsidR="00D759DA" w:rsidRPr="003E75D7">
        <w:rPr>
          <w:sz w:val="22"/>
          <w:szCs w:val="22"/>
        </w:rPr>
        <w:t xml:space="preserve">serious challenges </w:t>
      </w:r>
      <w:r w:rsidRPr="003E75D7">
        <w:rPr>
          <w:sz w:val="22"/>
          <w:szCs w:val="22"/>
        </w:rPr>
        <w:t xml:space="preserve">from </w:t>
      </w:r>
      <w:r w:rsidR="00D759DA" w:rsidRPr="003E75D7">
        <w:rPr>
          <w:sz w:val="22"/>
          <w:szCs w:val="22"/>
        </w:rPr>
        <w:t>both the demand and supply side</w:t>
      </w:r>
      <w:r w:rsidRPr="003E75D7">
        <w:rPr>
          <w:sz w:val="22"/>
          <w:szCs w:val="22"/>
        </w:rPr>
        <w:t>s</w:t>
      </w:r>
      <w:r w:rsidR="00D759DA" w:rsidRPr="003E75D7">
        <w:rPr>
          <w:sz w:val="22"/>
          <w:szCs w:val="22"/>
        </w:rPr>
        <w:t>. On the demand side, problems pertaining to the poor brand image of handloom</w:t>
      </w:r>
      <w:r w:rsidR="007110FF" w:rsidRPr="003E75D7">
        <w:rPr>
          <w:sz w:val="22"/>
          <w:szCs w:val="22"/>
        </w:rPr>
        <w:t xml:space="preserve"> product</w:t>
      </w:r>
      <w:r w:rsidR="00D759DA" w:rsidRPr="003E75D7">
        <w:rPr>
          <w:sz w:val="22"/>
          <w:szCs w:val="22"/>
        </w:rPr>
        <w:t>s</w:t>
      </w:r>
      <w:r w:rsidR="001E4E00">
        <w:rPr>
          <w:sz w:val="22"/>
          <w:szCs w:val="22"/>
        </w:rPr>
        <w:t xml:space="preserve"> included</w:t>
      </w:r>
      <w:r w:rsidR="00D759DA" w:rsidRPr="003E75D7">
        <w:rPr>
          <w:sz w:val="22"/>
          <w:szCs w:val="22"/>
        </w:rPr>
        <w:t xml:space="preserve"> the decline in the popularity of saris</w:t>
      </w:r>
      <w:r w:rsidR="00D759DA" w:rsidRPr="003E75D7">
        <w:rPr>
          <w:rStyle w:val="EndnoteReference"/>
          <w:sz w:val="22"/>
          <w:szCs w:val="22"/>
        </w:rPr>
        <w:endnoteReference w:id="5"/>
      </w:r>
      <w:r w:rsidRPr="003E75D7">
        <w:rPr>
          <w:sz w:val="22"/>
          <w:szCs w:val="22"/>
        </w:rPr>
        <w:t>—</w:t>
      </w:r>
      <w:r w:rsidR="00D759DA" w:rsidRPr="003E75D7">
        <w:rPr>
          <w:sz w:val="22"/>
          <w:szCs w:val="22"/>
        </w:rPr>
        <w:t>the main product of Co-optex</w:t>
      </w:r>
      <w:r w:rsidRPr="003E75D7">
        <w:rPr>
          <w:sz w:val="22"/>
          <w:szCs w:val="22"/>
        </w:rPr>
        <w:t>—</w:t>
      </w:r>
      <w:r w:rsidR="00D759DA" w:rsidRPr="003E75D7">
        <w:rPr>
          <w:sz w:val="22"/>
          <w:szCs w:val="22"/>
        </w:rPr>
        <w:t xml:space="preserve">among young Indian women who preferred Western or other Indian wear; the emergence of e-commerce portals </w:t>
      </w:r>
      <w:r w:rsidRPr="003E75D7">
        <w:rPr>
          <w:sz w:val="22"/>
          <w:szCs w:val="22"/>
        </w:rPr>
        <w:t>that sold</w:t>
      </w:r>
      <w:r w:rsidR="00D759DA" w:rsidRPr="003E75D7">
        <w:rPr>
          <w:sz w:val="22"/>
          <w:szCs w:val="22"/>
        </w:rPr>
        <w:t xml:space="preserve"> textiles and niche garments</w:t>
      </w:r>
      <w:r w:rsidR="00D30D30" w:rsidRPr="003E75D7">
        <w:rPr>
          <w:sz w:val="22"/>
          <w:szCs w:val="22"/>
        </w:rPr>
        <w:t>,</w:t>
      </w:r>
      <w:r w:rsidR="00D759DA" w:rsidRPr="003E75D7">
        <w:rPr>
          <w:sz w:val="22"/>
          <w:szCs w:val="22"/>
        </w:rPr>
        <w:t xml:space="preserve"> including saris; </w:t>
      </w:r>
      <w:r w:rsidRPr="003E75D7">
        <w:rPr>
          <w:sz w:val="22"/>
          <w:szCs w:val="22"/>
        </w:rPr>
        <w:t xml:space="preserve">the existence in metropolitan areas of </w:t>
      </w:r>
      <w:r w:rsidR="00D759DA" w:rsidRPr="003E75D7">
        <w:rPr>
          <w:sz w:val="22"/>
          <w:szCs w:val="22"/>
        </w:rPr>
        <w:t>brick-and-mortar competitors</w:t>
      </w:r>
      <w:r w:rsidRPr="003E75D7">
        <w:rPr>
          <w:sz w:val="22"/>
          <w:szCs w:val="22"/>
        </w:rPr>
        <w:t xml:space="preserve"> such as</w:t>
      </w:r>
      <w:r w:rsidR="00D759DA" w:rsidRPr="003E75D7">
        <w:rPr>
          <w:sz w:val="22"/>
          <w:szCs w:val="22"/>
        </w:rPr>
        <w:t xml:space="preserve"> large retail stores</w:t>
      </w:r>
      <w:r w:rsidRPr="003E75D7">
        <w:rPr>
          <w:sz w:val="22"/>
          <w:szCs w:val="22"/>
        </w:rPr>
        <w:t xml:space="preserve"> that</w:t>
      </w:r>
      <w:r w:rsidR="00D759DA" w:rsidRPr="003E75D7">
        <w:rPr>
          <w:sz w:val="22"/>
          <w:szCs w:val="22"/>
        </w:rPr>
        <w:t xml:space="preserve"> offered one-stop solutions for all varieties of textiles, especially saris; and the higher relative prices of handloom </w:t>
      </w:r>
      <w:r w:rsidRPr="003E75D7">
        <w:rPr>
          <w:sz w:val="22"/>
          <w:szCs w:val="22"/>
        </w:rPr>
        <w:t xml:space="preserve">products </w:t>
      </w:r>
      <w:r w:rsidR="00D759DA" w:rsidRPr="003E75D7">
        <w:rPr>
          <w:sz w:val="22"/>
          <w:szCs w:val="22"/>
        </w:rPr>
        <w:t xml:space="preserve">compared to </w:t>
      </w:r>
      <w:r w:rsidRPr="003E75D7">
        <w:rPr>
          <w:sz w:val="22"/>
          <w:szCs w:val="22"/>
        </w:rPr>
        <w:t xml:space="preserve">those created on </w:t>
      </w:r>
      <w:r w:rsidR="00D759DA" w:rsidRPr="003E75D7">
        <w:rPr>
          <w:sz w:val="22"/>
          <w:szCs w:val="22"/>
        </w:rPr>
        <w:t>power</w:t>
      </w:r>
      <w:r w:rsidRPr="003E75D7">
        <w:rPr>
          <w:sz w:val="22"/>
          <w:szCs w:val="22"/>
        </w:rPr>
        <w:t xml:space="preserve"> </w:t>
      </w:r>
      <w:r w:rsidR="00D759DA" w:rsidRPr="003E75D7">
        <w:rPr>
          <w:sz w:val="22"/>
          <w:szCs w:val="22"/>
        </w:rPr>
        <w:t>loom</w:t>
      </w:r>
      <w:r w:rsidRPr="003E75D7">
        <w:rPr>
          <w:sz w:val="22"/>
          <w:szCs w:val="22"/>
        </w:rPr>
        <w:t>s</w:t>
      </w:r>
      <w:r w:rsidR="00D759DA" w:rsidRPr="003E75D7">
        <w:rPr>
          <w:sz w:val="22"/>
          <w:szCs w:val="22"/>
        </w:rPr>
        <w:t xml:space="preserve">. On the supply side, there were issues pertaining to </w:t>
      </w:r>
      <w:r w:rsidRPr="003E75D7">
        <w:rPr>
          <w:sz w:val="22"/>
          <w:szCs w:val="22"/>
        </w:rPr>
        <w:t xml:space="preserve">a </w:t>
      </w:r>
      <w:r w:rsidR="00D759DA" w:rsidRPr="003E75D7">
        <w:rPr>
          <w:sz w:val="22"/>
          <w:szCs w:val="22"/>
        </w:rPr>
        <w:t xml:space="preserve">lack of </w:t>
      </w:r>
      <w:r w:rsidRPr="003E75D7">
        <w:rPr>
          <w:sz w:val="22"/>
          <w:szCs w:val="22"/>
        </w:rPr>
        <w:t xml:space="preserve">available </w:t>
      </w:r>
      <w:r w:rsidR="00D759DA" w:rsidRPr="003E75D7">
        <w:rPr>
          <w:sz w:val="22"/>
          <w:szCs w:val="22"/>
        </w:rPr>
        <w:t xml:space="preserve">skilled weavers, poor motivation, </w:t>
      </w:r>
      <w:r w:rsidRPr="003E75D7">
        <w:rPr>
          <w:sz w:val="22"/>
          <w:szCs w:val="22"/>
        </w:rPr>
        <w:t>and a</w:t>
      </w:r>
      <w:r w:rsidR="00D759DA" w:rsidRPr="003E75D7">
        <w:rPr>
          <w:sz w:val="22"/>
          <w:szCs w:val="22"/>
        </w:rPr>
        <w:t xml:space="preserve"> lack of interest in innovation among existing workers. </w:t>
      </w:r>
    </w:p>
    <w:p w14:paraId="67356882" w14:textId="77777777" w:rsidR="00B339C0" w:rsidRPr="003E75D7" w:rsidRDefault="00B339C0" w:rsidP="00D759DA">
      <w:pPr>
        <w:jc w:val="both"/>
        <w:rPr>
          <w:sz w:val="22"/>
          <w:szCs w:val="22"/>
        </w:rPr>
      </w:pPr>
    </w:p>
    <w:p w14:paraId="3D5C5023" w14:textId="52A63D16" w:rsidR="00D759DA" w:rsidRPr="003E75D7" w:rsidRDefault="00B339C0" w:rsidP="00D759DA">
      <w:pPr>
        <w:jc w:val="both"/>
        <w:rPr>
          <w:sz w:val="22"/>
          <w:szCs w:val="22"/>
        </w:rPr>
      </w:pPr>
      <w:r w:rsidRPr="003E75D7">
        <w:rPr>
          <w:sz w:val="22"/>
          <w:szCs w:val="22"/>
        </w:rPr>
        <w:t xml:space="preserve">Co-optex’s </w:t>
      </w:r>
      <w:r w:rsidR="00D759DA" w:rsidRPr="003E75D7">
        <w:rPr>
          <w:sz w:val="22"/>
          <w:szCs w:val="22"/>
        </w:rPr>
        <w:t>organizational culture</w:t>
      </w:r>
      <w:r w:rsidRPr="003E75D7">
        <w:rPr>
          <w:sz w:val="22"/>
          <w:szCs w:val="22"/>
        </w:rPr>
        <w:t xml:space="preserve"> was </w:t>
      </w:r>
      <w:r w:rsidR="00D759DA" w:rsidRPr="003E75D7">
        <w:rPr>
          <w:sz w:val="22"/>
          <w:szCs w:val="22"/>
        </w:rPr>
        <w:t xml:space="preserve">essentially that of a </w:t>
      </w:r>
      <w:r w:rsidR="006A7B4B" w:rsidRPr="003E75D7">
        <w:rPr>
          <w:sz w:val="22"/>
          <w:szCs w:val="22"/>
        </w:rPr>
        <w:t>public-</w:t>
      </w:r>
      <w:r w:rsidR="00D759DA" w:rsidRPr="003E75D7">
        <w:rPr>
          <w:sz w:val="22"/>
          <w:szCs w:val="22"/>
        </w:rPr>
        <w:t xml:space="preserve">sector </w:t>
      </w:r>
      <w:r w:rsidRPr="003E75D7">
        <w:rPr>
          <w:sz w:val="22"/>
          <w:szCs w:val="22"/>
        </w:rPr>
        <w:t xml:space="preserve">organization; it </w:t>
      </w:r>
      <w:r w:rsidR="00D759DA" w:rsidRPr="003E75D7">
        <w:rPr>
          <w:sz w:val="22"/>
          <w:szCs w:val="22"/>
        </w:rPr>
        <w:t xml:space="preserve">was marked by bureaucracy and inflexibility. </w:t>
      </w:r>
      <w:r w:rsidRPr="003E75D7">
        <w:rPr>
          <w:sz w:val="22"/>
          <w:szCs w:val="22"/>
        </w:rPr>
        <w:t xml:space="preserve">The organization’s </w:t>
      </w:r>
      <w:r w:rsidR="00D759DA" w:rsidRPr="003E75D7">
        <w:rPr>
          <w:sz w:val="22"/>
          <w:szCs w:val="22"/>
        </w:rPr>
        <w:t xml:space="preserve">profits in </w:t>
      </w:r>
      <w:r w:rsidR="00ED6C77" w:rsidRPr="003E75D7">
        <w:rPr>
          <w:sz w:val="22"/>
          <w:szCs w:val="22"/>
        </w:rPr>
        <w:t xml:space="preserve">FY </w:t>
      </w:r>
      <w:r w:rsidR="00D759DA" w:rsidRPr="003E75D7">
        <w:rPr>
          <w:sz w:val="22"/>
          <w:szCs w:val="22"/>
        </w:rPr>
        <w:t>2014</w:t>
      </w:r>
      <w:r w:rsidRPr="003E75D7">
        <w:rPr>
          <w:sz w:val="22"/>
          <w:szCs w:val="22"/>
        </w:rPr>
        <w:t>–</w:t>
      </w:r>
      <w:r w:rsidR="00D759DA" w:rsidRPr="003E75D7">
        <w:rPr>
          <w:sz w:val="22"/>
          <w:szCs w:val="22"/>
        </w:rPr>
        <w:t>15 had declined by 77 per cent compared to the previous year. Did the</w:t>
      </w:r>
      <w:r w:rsidRPr="003E75D7">
        <w:rPr>
          <w:sz w:val="22"/>
          <w:szCs w:val="22"/>
        </w:rPr>
        <w:t>se</w:t>
      </w:r>
      <w:r w:rsidR="00D759DA" w:rsidRPr="003E75D7">
        <w:rPr>
          <w:sz w:val="22"/>
          <w:szCs w:val="22"/>
        </w:rPr>
        <w:t xml:space="preserve"> financial indicators hide a greater story of decline? How could Co-optex stem the decline and reinvent itself so as to stay ahead of </w:t>
      </w:r>
      <w:r w:rsidRPr="003E75D7">
        <w:rPr>
          <w:sz w:val="22"/>
          <w:szCs w:val="22"/>
        </w:rPr>
        <w:t xml:space="preserve">the </w:t>
      </w:r>
      <w:r w:rsidR="00D759DA" w:rsidRPr="003E75D7">
        <w:rPr>
          <w:sz w:val="22"/>
          <w:szCs w:val="22"/>
        </w:rPr>
        <w:t xml:space="preserve">competition and remain relevant </w:t>
      </w:r>
      <w:r w:rsidR="00461262" w:rsidRPr="003E75D7">
        <w:rPr>
          <w:sz w:val="22"/>
          <w:szCs w:val="22"/>
        </w:rPr>
        <w:t>in the context of</w:t>
      </w:r>
      <w:r w:rsidR="00D759DA" w:rsidRPr="003E75D7">
        <w:rPr>
          <w:sz w:val="22"/>
          <w:szCs w:val="22"/>
        </w:rPr>
        <w:t xml:space="preserve"> </w:t>
      </w:r>
      <w:r w:rsidR="00461262" w:rsidRPr="003E75D7">
        <w:rPr>
          <w:sz w:val="22"/>
          <w:szCs w:val="22"/>
        </w:rPr>
        <w:t xml:space="preserve">the </w:t>
      </w:r>
      <w:r w:rsidR="00D759DA" w:rsidRPr="003E75D7">
        <w:rPr>
          <w:sz w:val="22"/>
          <w:szCs w:val="22"/>
        </w:rPr>
        <w:t>changing profile of Indian customer</w:t>
      </w:r>
      <w:r w:rsidR="00461262" w:rsidRPr="003E75D7">
        <w:rPr>
          <w:sz w:val="22"/>
          <w:szCs w:val="22"/>
        </w:rPr>
        <w:t>s</w:t>
      </w:r>
      <w:r w:rsidR="00D759DA" w:rsidRPr="003E75D7">
        <w:rPr>
          <w:sz w:val="22"/>
          <w:szCs w:val="22"/>
        </w:rPr>
        <w:t>?</w:t>
      </w:r>
    </w:p>
    <w:p w14:paraId="197B1992" w14:textId="77777777" w:rsidR="00D759DA" w:rsidRPr="003E75D7" w:rsidRDefault="00D759DA" w:rsidP="00D759DA">
      <w:pPr>
        <w:jc w:val="both"/>
        <w:rPr>
          <w:szCs w:val="22"/>
        </w:rPr>
      </w:pPr>
    </w:p>
    <w:p w14:paraId="2290BB20" w14:textId="77777777" w:rsidR="004F40C4" w:rsidRPr="003E75D7" w:rsidRDefault="004F40C4" w:rsidP="00D759DA">
      <w:pPr>
        <w:jc w:val="both"/>
        <w:rPr>
          <w:szCs w:val="22"/>
        </w:rPr>
      </w:pPr>
    </w:p>
    <w:p w14:paraId="2567803C" w14:textId="5B06933C" w:rsidR="00D759DA" w:rsidRPr="003E75D7" w:rsidRDefault="00D759DA" w:rsidP="003F4F77">
      <w:pPr>
        <w:keepNext/>
        <w:jc w:val="both"/>
        <w:rPr>
          <w:rFonts w:ascii="Arial" w:hAnsi="Arial" w:cs="Arial"/>
          <w:b/>
        </w:rPr>
      </w:pPr>
      <w:r w:rsidRPr="003E75D7">
        <w:rPr>
          <w:rFonts w:ascii="Arial" w:hAnsi="Arial" w:cs="Arial"/>
          <w:b/>
        </w:rPr>
        <w:lastRenderedPageBreak/>
        <w:t>THE INDIAN HANDLOOM TEXTILE SECTOR</w:t>
      </w:r>
    </w:p>
    <w:p w14:paraId="0EAF4DD3" w14:textId="77777777" w:rsidR="00D759DA" w:rsidRPr="003E75D7" w:rsidRDefault="00D759DA" w:rsidP="003F4F77">
      <w:pPr>
        <w:keepNext/>
        <w:jc w:val="both"/>
        <w:rPr>
          <w:szCs w:val="22"/>
        </w:rPr>
      </w:pPr>
    </w:p>
    <w:p w14:paraId="068D8EFE" w14:textId="1C975699" w:rsidR="002D0252" w:rsidRPr="003E75D7" w:rsidRDefault="00D759DA" w:rsidP="006C4E55">
      <w:pPr>
        <w:jc w:val="both"/>
        <w:rPr>
          <w:sz w:val="22"/>
          <w:szCs w:val="22"/>
        </w:rPr>
      </w:pPr>
      <w:r w:rsidRPr="003E75D7">
        <w:rPr>
          <w:sz w:val="22"/>
          <w:szCs w:val="22"/>
        </w:rPr>
        <w:t>The handloom sector in India was an important constituent of the Indian textile industry</w:t>
      </w:r>
      <w:r w:rsidR="00B339C0" w:rsidRPr="003E75D7">
        <w:rPr>
          <w:sz w:val="22"/>
          <w:szCs w:val="22"/>
        </w:rPr>
        <w:t xml:space="preserve">, which </w:t>
      </w:r>
      <w:r w:rsidRPr="003E75D7">
        <w:rPr>
          <w:sz w:val="22"/>
          <w:szCs w:val="22"/>
        </w:rPr>
        <w:t>comprised two broad segments. The large, unorgani</w:t>
      </w:r>
      <w:r w:rsidR="002D0252" w:rsidRPr="003E75D7">
        <w:rPr>
          <w:sz w:val="22"/>
          <w:szCs w:val="22"/>
        </w:rPr>
        <w:t>z</w:t>
      </w:r>
      <w:r w:rsidRPr="003E75D7">
        <w:rPr>
          <w:sz w:val="22"/>
          <w:szCs w:val="22"/>
        </w:rPr>
        <w:t>ed handloom sector</w:t>
      </w:r>
      <w:r w:rsidR="002D0252" w:rsidRPr="003E75D7">
        <w:rPr>
          <w:sz w:val="22"/>
          <w:szCs w:val="22"/>
        </w:rPr>
        <w:t>, which</w:t>
      </w:r>
      <w:r w:rsidRPr="003E75D7">
        <w:rPr>
          <w:sz w:val="22"/>
          <w:szCs w:val="22"/>
        </w:rPr>
        <w:t xml:space="preserve"> consisted of handloom</w:t>
      </w:r>
      <w:r w:rsidR="002D0252" w:rsidRPr="003E75D7">
        <w:rPr>
          <w:sz w:val="22"/>
          <w:szCs w:val="22"/>
        </w:rPr>
        <w:t xml:space="preserve"> fabrics</w:t>
      </w:r>
      <w:r w:rsidRPr="003E75D7">
        <w:rPr>
          <w:sz w:val="22"/>
          <w:szCs w:val="22"/>
        </w:rPr>
        <w:t>, handicrafts</w:t>
      </w:r>
      <w:r w:rsidR="002D0252" w:rsidRPr="003E75D7">
        <w:rPr>
          <w:sz w:val="22"/>
          <w:szCs w:val="22"/>
        </w:rPr>
        <w:t>,</w:t>
      </w:r>
      <w:r w:rsidRPr="003E75D7">
        <w:rPr>
          <w:sz w:val="22"/>
          <w:szCs w:val="22"/>
        </w:rPr>
        <w:t xml:space="preserve"> and sericulture</w:t>
      </w:r>
      <w:r w:rsidR="002D0252" w:rsidRPr="003E75D7">
        <w:rPr>
          <w:sz w:val="22"/>
          <w:szCs w:val="22"/>
        </w:rPr>
        <w:t xml:space="preserve"> (silk farming)</w:t>
      </w:r>
      <w:r w:rsidRPr="003E75D7">
        <w:rPr>
          <w:sz w:val="22"/>
          <w:szCs w:val="22"/>
        </w:rPr>
        <w:t xml:space="preserve">, involved </w:t>
      </w:r>
      <w:r w:rsidR="002D0252" w:rsidRPr="003E75D7">
        <w:rPr>
          <w:sz w:val="22"/>
          <w:szCs w:val="22"/>
        </w:rPr>
        <w:t>small-</w:t>
      </w:r>
      <w:r w:rsidRPr="003E75D7">
        <w:rPr>
          <w:sz w:val="22"/>
          <w:szCs w:val="22"/>
        </w:rPr>
        <w:t>scale operations and used traditional tools and methods. The organi</w:t>
      </w:r>
      <w:r w:rsidR="002D0252" w:rsidRPr="003E75D7">
        <w:rPr>
          <w:sz w:val="22"/>
          <w:szCs w:val="22"/>
        </w:rPr>
        <w:t>z</w:t>
      </w:r>
      <w:r w:rsidRPr="003E75D7">
        <w:rPr>
          <w:sz w:val="22"/>
          <w:szCs w:val="22"/>
        </w:rPr>
        <w:t xml:space="preserve">ed </w:t>
      </w:r>
      <w:r w:rsidR="002D0252" w:rsidRPr="003E75D7">
        <w:rPr>
          <w:sz w:val="22"/>
          <w:szCs w:val="22"/>
        </w:rPr>
        <w:t xml:space="preserve">textile </w:t>
      </w:r>
      <w:r w:rsidRPr="003E75D7">
        <w:rPr>
          <w:sz w:val="22"/>
          <w:szCs w:val="22"/>
        </w:rPr>
        <w:t>sector, on the other hand, consisted of spinning, apparel</w:t>
      </w:r>
      <w:r w:rsidR="002D0252" w:rsidRPr="003E75D7">
        <w:rPr>
          <w:sz w:val="22"/>
          <w:szCs w:val="22"/>
        </w:rPr>
        <w:t>,</w:t>
      </w:r>
      <w:r w:rsidRPr="003E75D7">
        <w:rPr>
          <w:sz w:val="22"/>
          <w:szCs w:val="22"/>
        </w:rPr>
        <w:t xml:space="preserve"> and garments segment</w:t>
      </w:r>
      <w:r w:rsidR="002D0252" w:rsidRPr="003E75D7">
        <w:rPr>
          <w:sz w:val="22"/>
          <w:szCs w:val="22"/>
        </w:rPr>
        <w:t>,</w:t>
      </w:r>
      <w:r w:rsidRPr="003E75D7">
        <w:rPr>
          <w:sz w:val="22"/>
          <w:szCs w:val="22"/>
        </w:rPr>
        <w:t xml:space="preserve"> which applied modern machinery and </w:t>
      </w:r>
      <w:r w:rsidR="002D0252" w:rsidRPr="003E75D7">
        <w:rPr>
          <w:sz w:val="22"/>
          <w:szCs w:val="22"/>
        </w:rPr>
        <w:t xml:space="preserve">were </w:t>
      </w:r>
      <w:r w:rsidRPr="003E75D7">
        <w:rPr>
          <w:sz w:val="22"/>
          <w:szCs w:val="22"/>
        </w:rPr>
        <w:t xml:space="preserve">based on economies of scale. The </w:t>
      </w:r>
      <w:r w:rsidR="002D0252" w:rsidRPr="003E75D7">
        <w:rPr>
          <w:sz w:val="22"/>
          <w:szCs w:val="22"/>
        </w:rPr>
        <w:t xml:space="preserve">annual report </w:t>
      </w:r>
      <w:r w:rsidRPr="003E75D7">
        <w:rPr>
          <w:sz w:val="22"/>
          <w:szCs w:val="22"/>
        </w:rPr>
        <w:t>of the Ministry of Textiles attested to the significance of India’s handloom</w:t>
      </w:r>
      <w:r w:rsidR="00F6658C" w:rsidRPr="003E75D7">
        <w:rPr>
          <w:sz w:val="22"/>
          <w:szCs w:val="22"/>
        </w:rPr>
        <w:t xml:space="preserve"> sector</w:t>
      </w:r>
      <w:r w:rsidR="002D0252" w:rsidRPr="003E75D7">
        <w:rPr>
          <w:sz w:val="22"/>
          <w:szCs w:val="22"/>
        </w:rPr>
        <w:t>:</w:t>
      </w:r>
    </w:p>
    <w:p w14:paraId="102DFB97" w14:textId="77777777" w:rsidR="002D0252" w:rsidRPr="003E75D7" w:rsidRDefault="002D0252" w:rsidP="006C4E55">
      <w:pPr>
        <w:jc w:val="both"/>
        <w:rPr>
          <w:sz w:val="22"/>
          <w:szCs w:val="22"/>
        </w:rPr>
      </w:pPr>
    </w:p>
    <w:p w14:paraId="25348590" w14:textId="74E1E6C6" w:rsidR="002D0252" w:rsidRPr="003E75D7" w:rsidRDefault="00D759DA" w:rsidP="006C4E55">
      <w:pPr>
        <w:ind w:left="720"/>
        <w:jc w:val="both"/>
        <w:rPr>
          <w:sz w:val="22"/>
          <w:szCs w:val="22"/>
        </w:rPr>
      </w:pPr>
      <w:r w:rsidRPr="003E75D7">
        <w:rPr>
          <w:sz w:val="22"/>
          <w:szCs w:val="22"/>
        </w:rPr>
        <w:t>The industry was the second largest employer after agriculture, employing over 45 million workers directly and 60 million indirectly. In 2014</w:t>
      </w:r>
      <w:r w:rsidR="00461262" w:rsidRPr="003E75D7">
        <w:rPr>
          <w:sz w:val="22"/>
          <w:szCs w:val="22"/>
        </w:rPr>
        <w:t>–</w:t>
      </w:r>
      <w:r w:rsidRPr="003E75D7">
        <w:rPr>
          <w:sz w:val="22"/>
          <w:szCs w:val="22"/>
        </w:rPr>
        <w:t xml:space="preserve">15, the $100 billion textile industry contributed approximately </w:t>
      </w:r>
      <w:r w:rsidR="00C538DB">
        <w:rPr>
          <w:sz w:val="22"/>
          <w:szCs w:val="22"/>
        </w:rPr>
        <w:t>5</w:t>
      </w:r>
      <w:r w:rsidRPr="003E75D7">
        <w:rPr>
          <w:sz w:val="22"/>
          <w:szCs w:val="22"/>
        </w:rPr>
        <w:t xml:space="preserve"> per cent to India’s Gross Domestic Product (GDP), and 14 per cent to the overall Index of Industrial Production (IIP)</w:t>
      </w:r>
      <w:r w:rsidR="002D0252" w:rsidRPr="003E75D7">
        <w:rPr>
          <w:sz w:val="22"/>
          <w:szCs w:val="22"/>
        </w:rPr>
        <w:t>.</w:t>
      </w:r>
      <w:r w:rsidRPr="003E75D7">
        <w:rPr>
          <w:rStyle w:val="EndnoteReference"/>
          <w:sz w:val="22"/>
          <w:szCs w:val="22"/>
        </w:rPr>
        <w:endnoteReference w:id="6"/>
      </w:r>
    </w:p>
    <w:p w14:paraId="4F198009" w14:textId="77777777" w:rsidR="002D0252" w:rsidRPr="003E75D7" w:rsidRDefault="002D0252" w:rsidP="006C4E55">
      <w:pPr>
        <w:ind w:left="720"/>
        <w:jc w:val="both"/>
        <w:rPr>
          <w:sz w:val="22"/>
          <w:szCs w:val="22"/>
        </w:rPr>
      </w:pPr>
    </w:p>
    <w:p w14:paraId="76494AD3" w14:textId="3B77F303" w:rsidR="00D759DA" w:rsidRPr="003E75D7" w:rsidRDefault="00D759DA" w:rsidP="006C4E55">
      <w:pPr>
        <w:jc w:val="both"/>
        <w:rPr>
          <w:sz w:val="22"/>
          <w:szCs w:val="22"/>
        </w:rPr>
      </w:pPr>
      <w:r w:rsidRPr="003E75D7">
        <w:rPr>
          <w:sz w:val="22"/>
          <w:szCs w:val="22"/>
        </w:rPr>
        <w:t>India</w:t>
      </w:r>
      <w:r w:rsidR="00CA2F11" w:rsidRPr="003E75D7">
        <w:rPr>
          <w:sz w:val="22"/>
          <w:szCs w:val="22"/>
        </w:rPr>
        <w:t>,</w:t>
      </w:r>
      <w:r w:rsidRPr="003E75D7">
        <w:rPr>
          <w:sz w:val="22"/>
          <w:szCs w:val="22"/>
        </w:rPr>
        <w:t xml:space="preserve"> with overall textile exports of US$40 billion, ranked as the </w:t>
      </w:r>
      <w:r w:rsidR="00461262" w:rsidRPr="003E75D7">
        <w:rPr>
          <w:sz w:val="22"/>
          <w:szCs w:val="22"/>
        </w:rPr>
        <w:t>second-</w:t>
      </w:r>
      <w:r w:rsidRPr="003E75D7">
        <w:rPr>
          <w:sz w:val="22"/>
          <w:szCs w:val="22"/>
        </w:rPr>
        <w:t xml:space="preserve">largest exporter of textiles in the world in </w:t>
      </w:r>
      <w:r w:rsidR="00ED6C77" w:rsidRPr="003E75D7">
        <w:rPr>
          <w:sz w:val="22"/>
          <w:szCs w:val="22"/>
        </w:rPr>
        <w:t xml:space="preserve">FY </w:t>
      </w:r>
      <w:r w:rsidRPr="003E75D7">
        <w:rPr>
          <w:sz w:val="22"/>
          <w:szCs w:val="22"/>
        </w:rPr>
        <w:t>2014</w:t>
      </w:r>
      <w:r w:rsidR="00CA2F11" w:rsidRPr="003E75D7">
        <w:rPr>
          <w:sz w:val="22"/>
          <w:szCs w:val="22"/>
        </w:rPr>
        <w:t>–</w:t>
      </w:r>
      <w:r w:rsidRPr="003E75D7">
        <w:rPr>
          <w:sz w:val="22"/>
          <w:szCs w:val="22"/>
        </w:rPr>
        <w:t>15</w:t>
      </w:r>
      <w:r w:rsidR="00CA2F11" w:rsidRPr="003E75D7">
        <w:rPr>
          <w:sz w:val="22"/>
          <w:szCs w:val="22"/>
        </w:rPr>
        <w:t>.</w:t>
      </w:r>
      <w:r w:rsidRPr="003E75D7">
        <w:rPr>
          <w:rStyle w:val="EndnoteReference"/>
          <w:sz w:val="22"/>
          <w:szCs w:val="22"/>
        </w:rPr>
        <w:endnoteReference w:id="7"/>
      </w:r>
      <w:r w:rsidRPr="003E75D7">
        <w:rPr>
          <w:sz w:val="22"/>
          <w:szCs w:val="22"/>
        </w:rPr>
        <w:t xml:space="preserve"> The industry</w:t>
      </w:r>
      <w:r w:rsidR="00CA2F11" w:rsidRPr="003E75D7">
        <w:rPr>
          <w:sz w:val="22"/>
          <w:szCs w:val="22"/>
        </w:rPr>
        <w:t xml:space="preserve"> had </w:t>
      </w:r>
      <w:r w:rsidRPr="003E75D7">
        <w:rPr>
          <w:sz w:val="22"/>
          <w:szCs w:val="22"/>
        </w:rPr>
        <w:t xml:space="preserve">a 12 per cent compound annual growth rate (CAGR) in domestic sales </w:t>
      </w:r>
      <w:r w:rsidR="00CA2F11" w:rsidRPr="003E75D7">
        <w:rPr>
          <w:sz w:val="22"/>
          <w:szCs w:val="22"/>
        </w:rPr>
        <w:t xml:space="preserve">and </w:t>
      </w:r>
      <w:r w:rsidRPr="003E75D7">
        <w:rPr>
          <w:sz w:val="22"/>
          <w:szCs w:val="22"/>
        </w:rPr>
        <w:t xml:space="preserve">was expected to reach a production level of $250 billion by </w:t>
      </w:r>
      <w:r w:rsidR="00ED6C77" w:rsidRPr="003E75D7">
        <w:rPr>
          <w:sz w:val="22"/>
          <w:szCs w:val="22"/>
        </w:rPr>
        <w:t xml:space="preserve">FY </w:t>
      </w:r>
      <w:r w:rsidRPr="003E75D7">
        <w:rPr>
          <w:sz w:val="22"/>
          <w:szCs w:val="22"/>
        </w:rPr>
        <w:t>2022</w:t>
      </w:r>
      <w:r w:rsidR="00CA2F11" w:rsidRPr="003E75D7">
        <w:rPr>
          <w:sz w:val="22"/>
          <w:szCs w:val="22"/>
        </w:rPr>
        <w:t>–</w:t>
      </w:r>
      <w:r w:rsidRPr="003E75D7">
        <w:rPr>
          <w:sz w:val="22"/>
          <w:szCs w:val="22"/>
        </w:rPr>
        <w:t xml:space="preserve">25 for the domestic market. Similarly, with a 15 per cent CAGR in exports, India was expected to export about $185 billion </w:t>
      </w:r>
      <w:r w:rsidR="00CA2F11" w:rsidRPr="003E75D7">
        <w:rPr>
          <w:sz w:val="22"/>
          <w:szCs w:val="22"/>
        </w:rPr>
        <w:t xml:space="preserve">worth </w:t>
      </w:r>
      <w:r w:rsidRPr="003E75D7">
        <w:rPr>
          <w:sz w:val="22"/>
          <w:szCs w:val="22"/>
        </w:rPr>
        <w:t>of textile</w:t>
      </w:r>
      <w:r w:rsidR="00CA2F11" w:rsidRPr="003E75D7">
        <w:rPr>
          <w:sz w:val="22"/>
          <w:szCs w:val="22"/>
        </w:rPr>
        <w:t>s</w:t>
      </w:r>
      <w:r w:rsidRPr="003E75D7">
        <w:rPr>
          <w:sz w:val="22"/>
          <w:szCs w:val="22"/>
        </w:rPr>
        <w:t xml:space="preserve"> and apparel by </w:t>
      </w:r>
      <w:r w:rsidR="00ED6C77" w:rsidRPr="003E75D7">
        <w:rPr>
          <w:sz w:val="22"/>
          <w:szCs w:val="22"/>
        </w:rPr>
        <w:t xml:space="preserve">FY </w:t>
      </w:r>
      <w:r w:rsidRPr="003E75D7">
        <w:rPr>
          <w:sz w:val="22"/>
          <w:szCs w:val="22"/>
        </w:rPr>
        <w:t>2024</w:t>
      </w:r>
      <w:r w:rsidR="00CA2F11" w:rsidRPr="003E75D7">
        <w:rPr>
          <w:sz w:val="22"/>
          <w:szCs w:val="22"/>
        </w:rPr>
        <w:t>–</w:t>
      </w:r>
      <w:r w:rsidRPr="003E75D7">
        <w:rPr>
          <w:sz w:val="22"/>
          <w:szCs w:val="22"/>
        </w:rPr>
        <w:t xml:space="preserve">25, thereby doubling its share of the global textile and apparel trade from the 5 per cent </w:t>
      </w:r>
      <w:r w:rsidR="00CA2F11" w:rsidRPr="003E75D7">
        <w:rPr>
          <w:sz w:val="22"/>
          <w:szCs w:val="22"/>
        </w:rPr>
        <w:t xml:space="preserve">it held </w:t>
      </w:r>
      <w:r w:rsidRPr="003E75D7">
        <w:rPr>
          <w:sz w:val="22"/>
          <w:szCs w:val="22"/>
        </w:rPr>
        <w:t xml:space="preserve">in </w:t>
      </w:r>
      <w:r w:rsidR="00ED6C77" w:rsidRPr="003E75D7">
        <w:rPr>
          <w:sz w:val="22"/>
          <w:szCs w:val="22"/>
        </w:rPr>
        <w:t xml:space="preserve">FY </w:t>
      </w:r>
      <w:r w:rsidRPr="003E75D7">
        <w:rPr>
          <w:sz w:val="22"/>
          <w:szCs w:val="22"/>
        </w:rPr>
        <w:t>2015</w:t>
      </w:r>
      <w:r w:rsidR="00CA2F11" w:rsidRPr="003E75D7">
        <w:rPr>
          <w:sz w:val="22"/>
          <w:szCs w:val="22"/>
        </w:rPr>
        <w:t>–</w:t>
      </w:r>
      <w:r w:rsidRPr="003E75D7">
        <w:rPr>
          <w:sz w:val="22"/>
          <w:szCs w:val="22"/>
        </w:rPr>
        <w:t>16</w:t>
      </w:r>
      <w:r w:rsidR="00CA2F11" w:rsidRPr="003E75D7">
        <w:rPr>
          <w:sz w:val="22"/>
          <w:szCs w:val="22"/>
        </w:rPr>
        <w:t>.</w:t>
      </w:r>
      <w:r w:rsidRPr="003E75D7">
        <w:rPr>
          <w:rStyle w:val="EndnoteReference"/>
          <w:sz w:val="22"/>
          <w:szCs w:val="22"/>
        </w:rPr>
        <w:endnoteReference w:id="8"/>
      </w:r>
    </w:p>
    <w:p w14:paraId="74C8832D" w14:textId="77777777" w:rsidR="00D759DA" w:rsidRPr="003E75D7" w:rsidRDefault="00D759DA" w:rsidP="00D759DA">
      <w:pPr>
        <w:jc w:val="both"/>
        <w:rPr>
          <w:szCs w:val="22"/>
        </w:rPr>
      </w:pPr>
    </w:p>
    <w:p w14:paraId="21EC05DC" w14:textId="35E2659A" w:rsidR="0002038A" w:rsidRPr="003E75D7" w:rsidRDefault="00D759DA" w:rsidP="00D759DA">
      <w:pPr>
        <w:jc w:val="both"/>
        <w:rPr>
          <w:sz w:val="22"/>
          <w:szCs w:val="22"/>
        </w:rPr>
      </w:pPr>
      <w:r w:rsidRPr="003E75D7">
        <w:rPr>
          <w:sz w:val="22"/>
          <w:szCs w:val="22"/>
        </w:rPr>
        <w:t xml:space="preserve">India accounted for </w:t>
      </w:r>
      <w:r w:rsidR="00E267D3" w:rsidRPr="003E75D7">
        <w:rPr>
          <w:sz w:val="22"/>
          <w:szCs w:val="22"/>
        </w:rPr>
        <w:t>95</w:t>
      </w:r>
      <w:r w:rsidRPr="003E75D7">
        <w:rPr>
          <w:sz w:val="22"/>
          <w:szCs w:val="22"/>
        </w:rPr>
        <w:t xml:space="preserve"> percent of the world’s handwoven fabric in 2015</w:t>
      </w:r>
      <w:r w:rsidR="0002038A" w:rsidRPr="003E75D7">
        <w:rPr>
          <w:sz w:val="22"/>
          <w:szCs w:val="22"/>
        </w:rPr>
        <w:t>,</w:t>
      </w:r>
      <w:r w:rsidRPr="003E75D7">
        <w:rPr>
          <w:rStyle w:val="EndnoteReference"/>
          <w:sz w:val="22"/>
          <w:szCs w:val="22"/>
        </w:rPr>
        <w:endnoteReference w:id="9"/>
      </w:r>
      <w:r w:rsidRPr="003E75D7">
        <w:rPr>
          <w:sz w:val="22"/>
          <w:szCs w:val="22"/>
        </w:rPr>
        <w:t xml:space="preserve"> </w:t>
      </w:r>
      <w:r w:rsidR="0002038A" w:rsidRPr="003E75D7">
        <w:rPr>
          <w:sz w:val="22"/>
          <w:szCs w:val="22"/>
        </w:rPr>
        <w:t xml:space="preserve">and the handloom sector accounted for nearly 15 per cent of the cloth production in the country </w:t>
      </w:r>
      <w:r w:rsidR="006A7B4B" w:rsidRPr="003E75D7">
        <w:rPr>
          <w:sz w:val="22"/>
          <w:szCs w:val="22"/>
        </w:rPr>
        <w:t>and</w:t>
      </w:r>
      <w:r w:rsidR="0002038A" w:rsidRPr="003E75D7">
        <w:rPr>
          <w:sz w:val="22"/>
          <w:szCs w:val="22"/>
        </w:rPr>
        <w:t xml:space="preserve"> also </w:t>
      </w:r>
      <w:r w:rsidR="006A7B4B" w:rsidRPr="003E75D7">
        <w:rPr>
          <w:sz w:val="22"/>
          <w:szCs w:val="22"/>
        </w:rPr>
        <w:t xml:space="preserve">contributed </w:t>
      </w:r>
      <w:r w:rsidR="0002038A" w:rsidRPr="003E75D7">
        <w:rPr>
          <w:sz w:val="22"/>
          <w:szCs w:val="22"/>
        </w:rPr>
        <w:t xml:space="preserve">to the country’s export earnings. </w:t>
      </w:r>
      <w:r w:rsidRPr="003E75D7">
        <w:rPr>
          <w:sz w:val="22"/>
          <w:szCs w:val="22"/>
        </w:rPr>
        <w:t xml:space="preserve">The handloom sector was </w:t>
      </w:r>
      <w:r w:rsidR="0002038A" w:rsidRPr="003E75D7">
        <w:rPr>
          <w:sz w:val="22"/>
          <w:szCs w:val="22"/>
        </w:rPr>
        <w:t xml:space="preserve">not </w:t>
      </w:r>
      <w:r w:rsidRPr="003E75D7">
        <w:rPr>
          <w:sz w:val="22"/>
          <w:szCs w:val="22"/>
        </w:rPr>
        <w:t>capital-intensive, used minimal power, was eco-friendly</w:t>
      </w:r>
      <w:r w:rsidR="00461262" w:rsidRPr="003E75D7">
        <w:rPr>
          <w:sz w:val="22"/>
          <w:szCs w:val="22"/>
        </w:rPr>
        <w:t>,</w:t>
      </w:r>
      <w:r w:rsidRPr="003E75D7">
        <w:rPr>
          <w:sz w:val="22"/>
          <w:szCs w:val="22"/>
        </w:rPr>
        <w:t xml:space="preserve"> and allowed for small-scale production. It was based crucially on the transfer of skills from one generation to </w:t>
      </w:r>
      <w:r w:rsidR="0002038A" w:rsidRPr="003E75D7">
        <w:rPr>
          <w:sz w:val="22"/>
          <w:szCs w:val="22"/>
        </w:rPr>
        <w:t>an</w:t>
      </w:r>
      <w:r w:rsidRPr="003E75D7">
        <w:rPr>
          <w:sz w:val="22"/>
          <w:szCs w:val="22"/>
        </w:rPr>
        <w:t>other, since certain weaves and designs were beyond the scope of modern machines.</w:t>
      </w:r>
      <w:r w:rsidR="00E267D3" w:rsidRPr="003E75D7">
        <w:rPr>
          <w:sz w:val="22"/>
          <w:szCs w:val="22"/>
        </w:rPr>
        <w:t xml:space="preserve"> </w:t>
      </w:r>
    </w:p>
    <w:p w14:paraId="62D63B88" w14:textId="77777777" w:rsidR="0002038A" w:rsidRPr="003E75D7" w:rsidRDefault="0002038A" w:rsidP="00D759DA">
      <w:pPr>
        <w:jc w:val="both"/>
        <w:rPr>
          <w:sz w:val="22"/>
          <w:szCs w:val="22"/>
        </w:rPr>
      </w:pPr>
    </w:p>
    <w:p w14:paraId="4B5D3F5F" w14:textId="197A088C" w:rsidR="00D759DA" w:rsidRPr="003E75D7" w:rsidRDefault="00040219" w:rsidP="00D759DA">
      <w:pPr>
        <w:jc w:val="both"/>
        <w:rPr>
          <w:sz w:val="22"/>
          <w:szCs w:val="22"/>
        </w:rPr>
      </w:pPr>
      <w:r w:rsidRPr="003E75D7">
        <w:rPr>
          <w:sz w:val="22"/>
          <w:szCs w:val="22"/>
        </w:rPr>
        <w:t xml:space="preserve">In </w:t>
      </w:r>
      <w:r w:rsidR="00ED6C77" w:rsidRPr="003E75D7">
        <w:rPr>
          <w:sz w:val="22"/>
          <w:szCs w:val="22"/>
        </w:rPr>
        <w:t xml:space="preserve">FY </w:t>
      </w:r>
      <w:r w:rsidRPr="003E75D7">
        <w:rPr>
          <w:sz w:val="22"/>
          <w:szCs w:val="22"/>
        </w:rPr>
        <w:t xml:space="preserve">2009–10, 4.33 million </w:t>
      </w:r>
      <w:r w:rsidR="00D759DA" w:rsidRPr="003E75D7">
        <w:rPr>
          <w:sz w:val="22"/>
          <w:szCs w:val="22"/>
        </w:rPr>
        <w:t xml:space="preserve">workers </w:t>
      </w:r>
      <w:r w:rsidRPr="003E75D7">
        <w:rPr>
          <w:sz w:val="22"/>
          <w:szCs w:val="22"/>
        </w:rPr>
        <w:t xml:space="preserve">were </w:t>
      </w:r>
      <w:r w:rsidR="00D759DA" w:rsidRPr="003E75D7">
        <w:rPr>
          <w:sz w:val="22"/>
          <w:szCs w:val="22"/>
        </w:rPr>
        <w:t xml:space="preserve">engaged in weaving and allied activities </w:t>
      </w:r>
      <w:r w:rsidRPr="003E75D7">
        <w:rPr>
          <w:sz w:val="22"/>
          <w:szCs w:val="22"/>
        </w:rPr>
        <w:t xml:space="preserve">(down from </w:t>
      </w:r>
      <w:r w:rsidR="00D759DA" w:rsidRPr="003E75D7">
        <w:rPr>
          <w:sz w:val="22"/>
          <w:szCs w:val="22"/>
        </w:rPr>
        <w:t xml:space="preserve">6.55 million in </w:t>
      </w:r>
      <w:r w:rsidR="00ED6C77" w:rsidRPr="003E75D7">
        <w:rPr>
          <w:sz w:val="22"/>
          <w:szCs w:val="22"/>
        </w:rPr>
        <w:t xml:space="preserve">FY </w:t>
      </w:r>
      <w:r w:rsidR="00D759DA" w:rsidRPr="003E75D7">
        <w:rPr>
          <w:sz w:val="22"/>
          <w:szCs w:val="22"/>
        </w:rPr>
        <w:t>1995</w:t>
      </w:r>
      <w:r w:rsidRPr="003E75D7">
        <w:rPr>
          <w:sz w:val="22"/>
          <w:szCs w:val="22"/>
        </w:rPr>
        <w:t>–</w:t>
      </w:r>
      <w:r w:rsidR="00D759DA" w:rsidRPr="003E75D7">
        <w:rPr>
          <w:sz w:val="22"/>
          <w:szCs w:val="22"/>
        </w:rPr>
        <w:t>96</w:t>
      </w:r>
      <w:r w:rsidRPr="003E75D7">
        <w:rPr>
          <w:sz w:val="22"/>
          <w:szCs w:val="22"/>
        </w:rPr>
        <w:t>)</w:t>
      </w:r>
      <w:r w:rsidR="00D759DA" w:rsidRPr="003E75D7">
        <w:rPr>
          <w:sz w:val="22"/>
          <w:szCs w:val="22"/>
        </w:rPr>
        <w:t>. Of these, 3.63 million were located in rural areas and 0.69 million in urban areas</w:t>
      </w:r>
      <w:r w:rsidRPr="003E75D7">
        <w:rPr>
          <w:sz w:val="22"/>
          <w:szCs w:val="22"/>
        </w:rPr>
        <w:t xml:space="preserve">; they used </w:t>
      </w:r>
      <w:r w:rsidR="00D759DA" w:rsidRPr="003E75D7">
        <w:rPr>
          <w:sz w:val="22"/>
          <w:szCs w:val="22"/>
        </w:rPr>
        <w:t xml:space="preserve">2.37 million looms, of which 2.06 </w:t>
      </w:r>
      <w:r w:rsidRPr="003E75D7">
        <w:rPr>
          <w:sz w:val="22"/>
          <w:szCs w:val="22"/>
        </w:rPr>
        <w:t xml:space="preserve">million </w:t>
      </w:r>
      <w:r w:rsidR="00D759DA" w:rsidRPr="003E75D7">
        <w:rPr>
          <w:sz w:val="22"/>
          <w:szCs w:val="22"/>
        </w:rPr>
        <w:t xml:space="preserve">were in rural areas and 0.31 </w:t>
      </w:r>
      <w:r w:rsidRPr="003E75D7">
        <w:rPr>
          <w:sz w:val="22"/>
          <w:szCs w:val="22"/>
        </w:rPr>
        <w:t xml:space="preserve">million </w:t>
      </w:r>
      <w:r w:rsidR="00D759DA" w:rsidRPr="003E75D7">
        <w:rPr>
          <w:sz w:val="22"/>
          <w:szCs w:val="22"/>
        </w:rPr>
        <w:t>in urban areas</w:t>
      </w:r>
      <w:r w:rsidRPr="003E75D7">
        <w:rPr>
          <w:sz w:val="22"/>
          <w:szCs w:val="22"/>
        </w:rPr>
        <w:t>.</w:t>
      </w:r>
      <w:r w:rsidR="00D759DA" w:rsidRPr="003E75D7">
        <w:rPr>
          <w:rStyle w:val="EndnoteReference"/>
          <w:sz w:val="22"/>
          <w:szCs w:val="22"/>
        </w:rPr>
        <w:endnoteReference w:id="10"/>
      </w:r>
      <w:r w:rsidR="00D759DA" w:rsidRPr="003E75D7">
        <w:rPr>
          <w:sz w:val="22"/>
          <w:szCs w:val="22"/>
        </w:rPr>
        <w:t xml:space="preserve"> The handloom sector provided employment to the weak and vulnerable sections of the society. </w:t>
      </w:r>
      <w:r w:rsidRPr="003E75D7">
        <w:rPr>
          <w:sz w:val="22"/>
          <w:szCs w:val="22"/>
        </w:rPr>
        <w:t>O</w:t>
      </w:r>
      <w:r w:rsidR="00D759DA" w:rsidRPr="003E75D7">
        <w:rPr>
          <w:sz w:val="22"/>
          <w:szCs w:val="22"/>
        </w:rPr>
        <w:t>f the 3.84 million adult weavers and allied workers, 77 per cent were women</w:t>
      </w:r>
      <w:r w:rsidRPr="003E75D7">
        <w:rPr>
          <w:sz w:val="22"/>
          <w:szCs w:val="22"/>
        </w:rPr>
        <w:t xml:space="preserve"> </w:t>
      </w:r>
      <w:r w:rsidR="00D759DA" w:rsidRPr="003E75D7">
        <w:rPr>
          <w:sz w:val="22"/>
          <w:szCs w:val="22"/>
        </w:rPr>
        <w:t xml:space="preserve">and 73 per cent belonged to economically and socially deprived castes. </w:t>
      </w:r>
      <w:r w:rsidRPr="003E75D7">
        <w:rPr>
          <w:sz w:val="22"/>
          <w:szCs w:val="22"/>
        </w:rPr>
        <w:t xml:space="preserve">Weavers each worked an </w:t>
      </w:r>
      <w:r w:rsidR="00D759DA" w:rsidRPr="003E75D7">
        <w:rPr>
          <w:sz w:val="22"/>
          <w:szCs w:val="22"/>
        </w:rPr>
        <w:t xml:space="preserve">average of </w:t>
      </w:r>
      <w:r w:rsidRPr="003E75D7">
        <w:rPr>
          <w:sz w:val="22"/>
          <w:szCs w:val="22"/>
        </w:rPr>
        <w:t xml:space="preserve">234 days </w:t>
      </w:r>
      <w:r w:rsidR="00D759DA" w:rsidRPr="003E75D7">
        <w:rPr>
          <w:sz w:val="22"/>
          <w:szCs w:val="22"/>
        </w:rPr>
        <w:t xml:space="preserve">per </w:t>
      </w:r>
      <w:r w:rsidRPr="003E75D7">
        <w:rPr>
          <w:sz w:val="22"/>
          <w:szCs w:val="22"/>
        </w:rPr>
        <w:t>year.</w:t>
      </w:r>
      <w:r w:rsidR="00D759DA" w:rsidRPr="003E75D7">
        <w:rPr>
          <w:rStyle w:val="EndnoteReference"/>
          <w:sz w:val="22"/>
          <w:szCs w:val="22"/>
        </w:rPr>
        <w:endnoteReference w:id="11"/>
      </w:r>
      <w:r w:rsidR="00D759DA" w:rsidRPr="003E75D7">
        <w:rPr>
          <w:sz w:val="22"/>
          <w:szCs w:val="22"/>
        </w:rPr>
        <w:t xml:space="preserve"> </w:t>
      </w:r>
    </w:p>
    <w:p w14:paraId="5354FA40" w14:textId="60E14131" w:rsidR="00D759DA" w:rsidRPr="003E75D7" w:rsidRDefault="00D759DA" w:rsidP="00D759DA">
      <w:pPr>
        <w:jc w:val="both"/>
        <w:rPr>
          <w:szCs w:val="22"/>
        </w:rPr>
      </w:pPr>
    </w:p>
    <w:p w14:paraId="7E1141D0" w14:textId="195F26CE" w:rsidR="00D759DA" w:rsidRPr="003E75D7" w:rsidRDefault="00D759DA" w:rsidP="00D759DA">
      <w:pPr>
        <w:jc w:val="both"/>
        <w:rPr>
          <w:sz w:val="22"/>
          <w:szCs w:val="22"/>
        </w:rPr>
      </w:pPr>
      <w:r w:rsidRPr="003E75D7">
        <w:rPr>
          <w:sz w:val="22"/>
          <w:szCs w:val="22"/>
        </w:rPr>
        <w:t xml:space="preserve">The production and export of handlooms (in dollar terms) had stagnated </w:t>
      </w:r>
      <w:r w:rsidR="00457805" w:rsidRPr="003E75D7">
        <w:rPr>
          <w:sz w:val="22"/>
          <w:szCs w:val="22"/>
        </w:rPr>
        <w:t>between</w:t>
      </w:r>
      <w:r w:rsidRPr="003E75D7">
        <w:rPr>
          <w:sz w:val="22"/>
          <w:szCs w:val="22"/>
        </w:rPr>
        <w:t xml:space="preserve"> </w:t>
      </w:r>
      <w:r w:rsidR="00ED6C77" w:rsidRPr="003E75D7">
        <w:rPr>
          <w:sz w:val="22"/>
          <w:szCs w:val="22"/>
        </w:rPr>
        <w:t xml:space="preserve">FY </w:t>
      </w:r>
      <w:r w:rsidRPr="003E75D7">
        <w:rPr>
          <w:sz w:val="22"/>
          <w:szCs w:val="22"/>
        </w:rPr>
        <w:t>2008</w:t>
      </w:r>
      <w:r w:rsidR="00457805" w:rsidRPr="003E75D7">
        <w:rPr>
          <w:sz w:val="22"/>
          <w:szCs w:val="22"/>
        </w:rPr>
        <w:t>–</w:t>
      </w:r>
      <w:r w:rsidRPr="003E75D7">
        <w:rPr>
          <w:sz w:val="22"/>
          <w:szCs w:val="22"/>
        </w:rPr>
        <w:t xml:space="preserve">09 </w:t>
      </w:r>
      <w:r w:rsidR="00457805" w:rsidRPr="003E75D7">
        <w:rPr>
          <w:sz w:val="22"/>
          <w:szCs w:val="22"/>
        </w:rPr>
        <w:t xml:space="preserve">and </w:t>
      </w:r>
      <w:r w:rsidR="00ED6C77" w:rsidRPr="003E75D7">
        <w:rPr>
          <w:sz w:val="22"/>
          <w:szCs w:val="22"/>
        </w:rPr>
        <w:t xml:space="preserve">FY </w:t>
      </w:r>
      <w:r w:rsidRPr="003E75D7">
        <w:rPr>
          <w:sz w:val="22"/>
          <w:szCs w:val="22"/>
        </w:rPr>
        <w:t>2014</w:t>
      </w:r>
      <w:r w:rsidR="00457805" w:rsidRPr="003E75D7">
        <w:rPr>
          <w:sz w:val="22"/>
          <w:szCs w:val="22"/>
        </w:rPr>
        <w:t>–</w:t>
      </w:r>
      <w:r w:rsidRPr="003E75D7">
        <w:rPr>
          <w:sz w:val="22"/>
          <w:szCs w:val="22"/>
        </w:rPr>
        <w:t>15 although the rupee value of exports had increased (</w:t>
      </w:r>
      <w:r w:rsidR="00457805" w:rsidRPr="003E75D7">
        <w:rPr>
          <w:sz w:val="22"/>
          <w:szCs w:val="22"/>
        </w:rPr>
        <w:t>s</w:t>
      </w:r>
      <w:r w:rsidRPr="003E75D7">
        <w:rPr>
          <w:sz w:val="22"/>
          <w:szCs w:val="22"/>
        </w:rPr>
        <w:t xml:space="preserve">ee Exhibit 1). </w:t>
      </w:r>
      <w:r w:rsidR="00457805" w:rsidRPr="003E75D7">
        <w:rPr>
          <w:sz w:val="22"/>
          <w:szCs w:val="22"/>
        </w:rPr>
        <w:t xml:space="preserve">In 2015, </w:t>
      </w:r>
      <w:r w:rsidRPr="003E75D7">
        <w:rPr>
          <w:sz w:val="22"/>
          <w:szCs w:val="22"/>
        </w:rPr>
        <w:t xml:space="preserve">trends in the handloom sector </w:t>
      </w:r>
      <w:r w:rsidR="00457805" w:rsidRPr="003E75D7">
        <w:rPr>
          <w:sz w:val="22"/>
          <w:szCs w:val="22"/>
        </w:rPr>
        <w:t>included</w:t>
      </w:r>
      <w:r w:rsidRPr="003E75D7">
        <w:rPr>
          <w:sz w:val="22"/>
          <w:szCs w:val="22"/>
        </w:rPr>
        <w:t xml:space="preserve"> value addition, improvement in </w:t>
      </w:r>
      <w:r w:rsidR="00457805" w:rsidRPr="003E75D7">
        <w:rPr>
          <w:sz w:val="22"/>
          <w:szCs w:val="22"/>
        </w:rPr>
        <w:t xml:space="preserve">the </w:t>
      </w:r>
      <w:r w:rsidRPr="003E75D7">
        <w:rPr>
          <w:sz w:val="22"/>
          <w:szCs w:val="22"/>
        </w:rPr>
        <w:t xml:space="preserve">quality of handloom products, increased adoption of other full-time professions by weavers, export by many </w:t>
      </w:r>
      <w:r w:rsidR="00461262" w:rsidRPr="003E75D7">
        <w:rPr>
          <w:sz w:val="22"/>
          <w:szCs w:val="22"/>
        </w:rPr>
        <w:t>special-</w:t>
      </w:r>
      <w:r w:rsidR="00457805" w:rsidRPr="003E75D7">
        <w:rPr>
          <w:sz w:val="22"/>
          <w:szCs w:val="22"/>
        </w:rPr>
        <w:t>purpose vehicles</w:t>
      </w:r>
      <w:r w:rsidRPr="003E75D7">
        <w:rPr>
          <w:sz w:val="22"/>
          <w:szCs w:val="22"/>
        </w:rPr>
        <w:t xml:space="preserve"> </w:t>
      </w:r>
      <w:r w:rsidR="00457805" w:rsidRPr="003E75D7">
        <w:rPr>
          <w:sz w:val="22"/>
          <w:szCs w:val="22"/>
        </w:rPr>
        <w:t xml:space="preserve">and self-help groups, </w:t>
      </w:r>
      <w:r w:rsidRPr="003E75D7">
        <w:rPr>
          <w:sz w:val="22"/>
          <w:szCs w:val="22"/>
        </w:rPr>
        <w:t xml:space="preserve">and the entry of several </w:t>
      </w:r>
      <w:r w:rsidR="00457805" w:rsidRPr="003E75D7">
        <w:rPr>
          <w:sz w:val="22"/>
          <w:szCs w:val="22"/>
        </w:rPr>
        <w:t>high-</w:t>
      </w:r>
      <w:r w:rsidRPr="003E75D7">
        <w:rPr>
          <w:sz w:val="22"/>
          <w:szCs w:val="22"/>
        </w:rPr>
        <w:t>end retailers into the sector</w:t>
      </w:r>
      <w:r w:rsidR="00457805" w:rsidRPr="003E75D7">
        <w:rPr>
          <w:sz w:val="22"/>
          <w:szCs w:val="22"/>
        </w:rPr>
        <w:t>.</w:t>
      </w:r>
      <w:r w:rsidRPr="003E75D7">
        <w:rPr>
          <w:rStyle w:val="EndnoteReference"/>
          <w:sz w:val="22"/>
          <w:szCs w:val="22"/>
        </w:rPr>
        <w:endnoteReference w:id="12"/>
      </w:r>
      <w:r w:rsidRPr="003E75D7">
        <w:rPr>
          <w:sz w:val="22"/>
          <w:szCs w:val="22"/>
        </w:rPr>
        <w:t xml:space="preserve"> The sector enjoyed the support of the government of India, in the form of </w:t>
      </w:r>
      <w:r w:rsidR="00461262" w:rsidRPr="003E75D7">
        <w:rPr>
          <w:sz w:val="22"/>
          <w:szCs w:val="22"/>
        </w:rPr>
        <w:t xml:space="preserve">both </w:t>
      </w:r>
      <w:r w:rsidRPr="003E75D7">
        <w:rPr>
          <w:sz w:val="22"/>
          <w:szCs w:val="22"/>
        </w:rPr>
        <w:t>input and marketing support.</w:t>
      </w:r>
    </w:p>
    <w:p w14:paraId="7716BD39" w14:textId="77777777" w:rsidR="00D759DA" w:rsidRPr="003E75D7" w:rsidRDefault="00D759DA" w:rsidP="00D759DA">
      <w:pPr>
        <w:jc w:val="both"/>
        <w:rPr>
          <w:szCs w:val="22"/>
        </w:rPr>
      </w:pPr>
    </w:p>
    <w:p w14:paraId="3E662CDE" w14:textId="75EE73A5" w:rsidR="00D759DA" w:rsidRPr="003E75D7" w:rsidRDefault="00D759DA" w:rsidP="00D759DA">
      <w:pPr>
        <w:jc w:val="both"/>
        <w:rPr>
          <w:sz w:val="22"/>
          <w:szCs w:val="22"/>
        </w:rPr>
      </w:pPr>
      <w:r w:rsidRPr="003E75D7">
        <w:rPr>
          <w:sz w:val="22"/>
          <w:szCs w:val="22"/>
        </w:rPr>
        <w:t>The Indian handloom sector’s strengths included versatility</w:t>
      </w:r>
      <w:r w:rsidR="00457805" w:rsidRPr="003E75D7">
        <w:rPr>
          <w:sz w:val="22"/>
          <w:szCs w:val="22"/>
        </w:rPr>
        <w:t>,</w:t>
      </w:r>
      <w:r w:rsidRPr="003E75D7">
        <w:rPr>
          <w:sz w:val="22"/>
          <w:szCs w:val="22"/>
        </w:rPr>
        <w:t xml:space="preserve"> wide variety</w:t>
      </w:r>
      <w:r w:rsidR="00457805" w:rsidRPr="003E75D7">
        <w:rPr>
          <w:sz w:val="22"/>
          <w:szCs w:val="22"/>
        </w:rPr>
        <w:t>, and a diverse design base.</w:t>
      </w:r>
      <w:r w:rsidRPr="003E75D7">
        <w:rPr>
          <w:sz w:val="22"/>
          <w:szCs w:val="22"/>
        </w:rPr>
        <w:t xml:space="preserve"> Indian </w:t>
      </w:r>
      <w:r w:rsidR="00457805" w:rsidRPr="003E75D7">
        <w:rPr>
          <w:sz w:val="22"/>
          <w:szCs w:val="22"/>
        </w:rPr>
        <w:t>weavers, who were highly skilled and had been trained in the craft through generations,</w:t>
      </w:r>
      <w:r w:rsidRPr="003E75D7">
        <w:rPr>
          <w:sz w:val="22"/>
          <w:szCs w:val="22"/>
        </w:rPr>
        <w:t xml:space="preserve"> </w:t>
      </w:r>
      <w:r w:rsidR="00457805" w:rsidRPr="003E75D7">
        <w:rPr>
          <w:sz w:val="22"/>
          <w:szCs w:val="22"/>
        </w:rPr>
        <w:t>were</w:t>
      </w:r>
      <w:r w:rsidRPr="003E75D7">
        <w:rPr>
          <w:sz w:val="22"/>
          <w:szCs w:val="22"/>
        </w:rPr>
        <w:t xml:space="preserve"> </w:t>
      </w:r>
      <w:r w:rsidR="00457805" w:rsidRPr="003E75D7">
        <w:rPr>
          <w:sz w:val="22"/>
          <w:szCs w:val="22"/>
        </w:rPr>
        <w:t xml:space="preserve">capable </w:t>
      </w:r>
      <w:r w:rsidRPr="003E75D7">
        <w:rPr>
          <w:sz w:val="22"/>
          <w:szCs w:val="22"/>
        </w:rPr>
        <w:t>of switch</w:t>
      </w:r>
      <w:r w:rsidR="00457805" w:rsidRPr="003E75D7">
        <w:rPr>
          <w:sz w:val="22"/>
          <w:szCs w:val="22"/>
        </w:rPr>
        <w:t>ing</w:t>
      </w:r>
      <w:r w:rsidRPr="003E75D7">
        <w:rPr>
          <w:sz w:val="22"/>
          <w:szCs w:val="22"/>
        </w:rPr>
        <w:t xml:space="preserve"> over to new designs</w:t>
      </w:r>
      <w:r w:rsidR="00DF3FCC" w:rsidRPr="003E75D7">
        <w:rPr>
          <w:sz w:val="22"/>
          <w:szCs w:val="22"/>
        </w:rPr>
        <w:t xml:space="preserve"> and of</w:t>
      </w:r>
      <w:r w:rsidRPr="003E75D7">
        <w:rPr>
          <w:sz w:val="22"/>
          <w:szCs w:val="22"/>
        </w:rPr>
        <w:t xml:space="preserve"> </w:t>
      </w:r>
      <w:r w:rsidR="00DF3FCC" w:rsidRPr="003E75D7">
        <w:rPr>
          <w:sz w:val="22"/>
          <w:szCs w:val="22"/>
        </w:rPr>
        <w:t xml:space="preserve">producing </w:t>
      </w:r>
      <w:r w:rsidRPr="003E75D7">
        <w:rPr>
          <w:sz w:val="22"/>
          <w:szCs w:val="22"/>
        </w:rPr>
        <w:t xml:space="preserve">unique weaves </w:t>
      </w:r>
      <w:r w:rsidR="00DF3FCC" w:rsidRPr="003E75D7">
        <w:rPr>
          <w:sz w:val="22"/>
          <w:szCs w:val="22"/>
        </w:rPr>
        <w:t xml:space="preserve">that </w:t>
      </w:r>
      <w:r w:rsidRPr="003E75D7">
        <w:rPr>
          <w:sz w:val="22"/>
          <w:szCs w:val="22"/>
        </w:rPr>
        <w:t>could not be produced by power</w:t>
      </w:r>
      <w:r w:rsidR="00DF3FCC" w:rsidRPr="003E75D7">
        <w:rPr>
          <w:sz w:val="22"/>
          <w:szCs w:val="22"/>
        </w:rPr>
        <w:t xml:space="preserve"> </w:t>
      </w:r>
      <w:r w:rsidRPr="003E75D7">
        <w:rPr>
          <w:sz w:val="22"/>
          <w:szCs w:val="22"/>
        </w:rPr>
        <w:t>looms</w:t>
      </w:r>
      <w:r w:rsidR="00DF3FCC" w:rsidRPr="003E75D7">
        <w:rPr>
          <w:sz w:val="22"/>
          <w:szCs w:val="22"/>
        </w:rPr>
        <w:t>.</w:t>
      </w:r>
      <w:r w:rsidRPr="003E75D7">
        <w:rPr>
          <w:rStyle w:val="EndnoteReference"/>
          <w:sz w:val="22"/>
          <w:szCs w:val="22"/>
        </w:rPr>
        <w:endnoteReference w:id="13"/>
      </w:r>
      <w:r w:rsidRPr="003E75D7">
        <w:rPr>
          <w:sz w:val="22"/>
          <w:szCs w:val="22"/>
        </w:rPr>
        <w:t xml:space="preserve"> </w:t>
      </w:r>
      <w:r w:rsidR="00DF3FCC" w:rsidRPr="003E75D7">
        <w:rPr>
          <w:sz w:val="22"/>
          <w:szCs w:val="22"/>
        </w:rPr>
        <w:t xml:space="preserve">The low technology, low power intensity, and eco-friendly processes of the sector conformed with India’s resource availability. </w:t>
      </w:r>
      <w:r w:rsidRPr="003E75D7">
        <w:rPr>
          <w:sz w:val="22"/>
          <w:szCs w:val="22"/>
        </w:rPr>
        <w:t xml:space="preserve">At the same time, the </w:t>
      </w:r>
      <w:r w:rsidR="00DF3FCC" w:rsidRPr="003E75D7">
        <w:rPr>
          <w:sz w:val="22"/>
          <w:szCs w:val="22"/>
        </w:rPr>
        <w:t xml:space="preserve">sector faced </w:t>
      </w:r>
      <w:r w:rsidRPr="003E75D7">
        <w:rPr>
          <w:sz w:val="22"/>
          <w:szCs w:val="22"/>
        </w:rPr>
        <w:t>challenges</w:t>
      </w:r>
      <w:r w:rsidR="00DF3FCC" w:rsidRPr="003E75D7">
        <w:rPr>
          <w:sz w:val="22"/>
          <w:szCs w:val="22"/>
        </w:rPr>
        <w:t>,</w:t>
      </w:r>
      <w:r w:rsidRPr="003E75D7">
        <w:rPr>
          <w:sz w:val="22"/>
          <w:szCs w:val="22"/>
        </w:rPr>
        <w:t xml:space="preserve"> </w:t>
      </w:r>
      <w:r w:rsidR="00DF3FCC" w:rsidRPr="003E75D7">
        <w:rPr>
          <w:sz w:val="22"/>
          <w:szCs w:val="22"/>
        </w:rPr>
        <w:t xml:space="preserve">including </w:t>
      </w:r>
      <w:r w:rsidRPr="003E75D7">
        <w:rPr>
          <w:sz w:val="22"/>
          <w:szCs w:val="22"/>
        </w:rPr>
        <w:t>lower productivity compared to the power</w:t>
      </w:r>
      <w:r w:rsidR="006A7B4B" w:rsidRPr="003E75D7">
        <w:rPr>
          <w:sz w:val="22"/>
          <w:szCs w:val="22"/>
        </w:rPr>
        <w:t>-</w:t>
      </w:r>
      <w:r w:rsidRPr="003E75D7">
        <w:rPr>
          <w:sz w:val="22"/>
          <w:szCs w:val="22"/>
        </w:rPr>
        <w:t>loom and mill sectors; the shifting of skilled labour to other sectors</w:t>
      </w:r>
      <w:r w:rsidR="00461262" w:rsidRPr="003E75D7">
        <w:rPr>
          <w:sz w:val="22"/>
          <w:szCs w:val="22"/>
        </w:rPr>
        <w:t>;</w:t>
      </w:r>
      <w:r w:rsidRPr="003E75D7">
        <w:rPr>
          <w:sz w:val="22"/>
          <w:szCs w:val="22"/>
        </w:rPr>
        <w:t xml:space="preserve"> </w:t>
      </w:r>
      <w:r w:rsidR="00461262" w:rsidRPr="003E75D7">
        <w:rPr>
          <w:sz w:val="22"/>
          <w:szCs w:val="22"/>
        </w:rPr>
        <w:t xml:space="preserve">and a </w:t>
      </w:r>
      <w:r w:rsidRPr="003E75D7">
        <w:rPr>
          <w:sz w:val="22"/>
          <w:szCs w:val="22"/>
        </w:rPr>
        <w:t>reluctance on the part of the younger generation to adopt weaving professionally</w:t>
      </w:r>
      <w:r w:rsidR="00461262" w:rsidRPr="003E75D7">
        <w:rPr>
          <w:sz w:val="22"/>
          <w:szCs w:val="22"/>
        </w:rPr>
        <w:t xml:space="preserve">. </w:t>
      </w:r>
      <w:r w:rsidR="00C0177D">
        <w:rPr>
          <w:sz w:val="22"/>
          <w:szCs w:val="22"/>
        </w:rPr>
        <w:t>Both l</w:t>
      </w:r>
      <w:r w:rsidRPr="003E75D7">
        <w:rPr>
          <w:sz w:val="22"/>
          <w:szCs w:val="22"/>
        </w:rPr>
        <w:t>ow wages and tough working conditions</w:t>
      </w:r>
      <w:r w:rsidR="00DF3FCC" w:rsidRPr="003E75D7">
        <w:rPr>
          <w:sz w:val="22"/>
          <w:szCs w:val="22"/>
        </w:rPr>
        <w:t xml:space="preserve"> had </w:t>
      </w:r>
      <w:r w:rsidRPr="003E75D7">
        <w:rPr>
          <w:sz w:val="22"/>
          <w:szCs w:val="22"/>
        </w:rPr>
        <w:t xml:space="preserve">resulted in </w:t>
      </w:r>
      <w:r w:rsidR="00DF3FCC" w:rsidRPr="003E75D7">
        <w:rPr>
          <w:sz w:val="22"/>
          <w:szCs w:val="22"/>
        </w:rPr>
        <w:t xml:space="preserve">a </w:t>
      </w:r>
      <w:r w:rsidRPr="003E75D7">
        <w:rPr>
          <w:sz w:val="22"/>
          <w:szCs w:val="22"/>
        </w:rPr>
        <w:t>sharp decline in the number of handloom weavers</w:t>
      </w:r>
      <w:r w:rsidR="00461262" w:rsidRPr="003E75D7">
        <w:rPr>
          <w:sz w:val="22"/>
          <w:szCs w:val="22"/>
        </w:rPr>
        <w:t xml:space="preserve">. The sector also faced </w:t>
      </w:r>
      <w:r w:rsidR="00461262" w:rsidRPr="003E75D7">
        <w:rPr>
          <w:sz w:val="22"/>
          <w:szCs w:val="22"/>
        </w:rPr>
        <w:lastRenderedPageBreak/>
        <w:t xml:space="preserve">challenges related to </w:t>
      </w:r>
      <w:r w:rsidRPr="003E75D7">
        <w:rPr>
          <w:sz w:val="22"/>
          <w:szCs w:val="22"/>
        </w:rPr>
        <w:t xml:space="preserve">limited technological </w:t>
      </w:r>
      <w:r w:rsidR="00DF3FCC" w:rsidRPr="003E75D7">
        <w:rPr>
          <w:sz w:val="22"/>
          <w:szCs w:val="22"/>
        </w:rPr>
        <w:t xml:space="preserve">upgrades </w:t>
      </w:r>
      <w:r w:rsidRPr="003E75D7">
        <w:rPr>
          <w:sz w:val="22"/>
          <w:szCs w:val="22"/>
        </w:rPr>
        <w:t>and improvement</w:t>
      </w:r>
      <w:r w:rsidR="00DF3FCC" w:rsidRPr="003E75D7">
        <w:rPr>
          <w:sz w:val="22"/>
          <w:szCs w:val="22"/>
        </w:rPr>
        <w:t>s</w:t>
      </w:r>
      <w:r w:rsidRPr="003E75D7">
        <w:rPr>
          <w:sz w:val="22"/>
          <w:szCs w:val="22"/>
        </w:rPr>
        <w:t xml:space="preserve"> and serious constraints </w:t>
      </w:r>
      <w:r w:rsidR="00DF3FCC" w:rsidRPr="003E75D7">
        <w:rPr>
          <w:sz w:val="22"/>
          <w:szCs w:val="22"/>
        </w:rPr>
        <w:t xml:space="preserve">on </w:t>
      </w:r>
      <w:r w:rsidRPr="003E75D7">
        <w:rPr>
          <w:sz w:val="22"/>
          <w:szCs w:val="22"/>
        </w:rPr>
        <w:t>the availability of credit</w:t>
      </w:r>
      <w:r w:rsidR="00DF3FCC" w:rsidRPr="003E75D7">
        <w:rPr>
          <w:sz w:val="22"/>
          <w:szCs w:val="22"/>
        </w:rPr>
        <w:t>.</w:t>
      </w:r>
      <w:r w:rsidRPr="003E75D7">
        <w:rPr>
          <w:rStyle w:val="EndnoteReference"/>
          <w:sz w:val="22"/>
          <w:szCs w:val="22"/>
        </w:rPr>
        <w:endnoteReference w:id="14"/>
      </w:r>
    </w:p>
    <w:p w14:paraId="70D40F8C" w14:textId="77777777" w:rsidR="00D759DA" w:rsidRPr="003E75D7" w:rsidRDefault="00D759DA" w:rsidP="00120B50">
      <w:pPr>
        <w:pStyle w:val="BodyTextMain"/>
        <w:rPr>
          <w:sz w:val="20"/>
        </w:rPr>
      </w:pPr>
    </w:p>
    <w:p w14:paraId="126551F7" w14:textId="77777777" w:rsidR="005932D6" w:rsidRPr="003E75D7" w:rsidRDefault="005932D6" w:rsidP="00120B50">
      <w:pPr>
        <w:pStyle w:val="BodyTextMain"/>
        <w:rPr>
          <w:sz w:val="20"/>
        </w:rPr>
      </w:pPr>
    </w:p>
    <w:p w14:paraId="54063DFB" w14:textId="203D496E" w:rsidR="00D759DA" w:rsidRPr="003E75D7" w:rsidRDefault="00D759DA" w:rsidP="005932D6">
      <w:pPr>
        <w:pStyle w:val="Casehead1"/>
      </w:pPr>
      <w:r w:rsidRPr="003E75D7">
        <w:t>CO-OPTEX</w:t>
      </w:r>
      <w:r w:rsidR="00D62FFF" w:rsidRPr="003E75D7">
        <w:t xml:space="preserve"> History and Organization</w:t>
      </w:r>
    </w:p>
    <w:p w14:paraId="0E84AA71" w14:textId="77777777" w:rsidR="00D759DA" w:rsidRPr="003E75D7" w:rsidRDefault="00D759DA" w:rsidP="00D759DA">
      <w:pPr>
        <w:jc w:val="both"/>
        <w:rPr>
          <w:szCs w:val="22"/>
        </w:rPr>
      </w:pPr>
    </w:p>
    <w:p w14:paraId="128B65E1" w14:textId="4477072B" w:rsidR="00D759DA" w:rsidRPr="003E75D7" w:rsidRDefault="00D759DA" w:rsidP="00D759DA">
      <w:pPr>
        <w:pStyle w:val="NoSpacing"/>
        <w:jc w:val="both"/>
        <w:rPr>
          <w:rFonts w:ascii="Times New Roman" w:hAnsi="Times New Roman" w:cs="Times New Roman"/>
          <w:lang w:val="en-GB"/>
        </w:rPr>
      </w:pPr>
      <w:r w:rsidRPr="003E75D7">
        <w:rPr>
          <w:rFonts w:ascii="Times New Roman" w:hAnsi="Times New Roman" w:cs="Times New Roman"/>
          <w:lang w:val="en-GB"/>
        </w:rPr>
        <w:t>The Tamil</w:t>
      </w:r>
      <w:r w:rsidR="001D749E" w:rsidRPr="003E75D7">
        <w:rPr>
          <w:rFonts w:ascii="Times New Roman" w:hAnsi="Times New Roman" w:cs="Times New Roman"/>
          <w:lang w:val="en-GB"/>
        </w:rPr>
        <w:t xml:space="preserve"> N</w:t>
      </w:r>
      <w:r w:rsidRPr="003E75D7">
        <w:rPr>
          <w:rFonts w:ascii="Times New Roman" w:hAnsi="Times New Roman" w:cs="Times New Roman"/>
          <w:lang w:val="en-GB"/>
        </w:rPr>
        <w:t>adu Handloom Weavers</w:t>
      </w:r>
      <w:r w:rsidR="001D749E" w:rsidRPr="003E75D7">
        <w:rPr>
          <w:rFonts w:ascii="Times New Roman" w:hAnsi="Times New Roman" w:cs="Times New Roman"/>
          <w:lang w:val="en-GB"/>
        </w:rPr>
        <w:t>’</w:t>
      </w:r>
      <w:r w:rsidRPr="003E75D7">
        <w:rPr>
          <w:rFonts w:ascii="Times New Roman" w:hAnsi="Times New Roman" w:cs="Times New Roman"/>
          <w:lang w:val="en-GB"/>
        </w:rPr>
        <w:t xml:space="preserve"> Co-operative Society Ltd. (Co-optex) was established in 1935. Its logo</w:t>
      </w:r>
      <w:r w:rsidR="001D749E" w:rsidRPr="003E75D7">
        <w:rPr>
          <w:rFonts w:ascii="Times New Roman" w:hAnsi="Times New Roman" w:cs="Times New Roman"/>
          <w:lang w:val="en-GB"/>
        </w:rPr>
        <w:t>—</w:t>
      </w:r>
      <w:r w:rsidRPr="003E75D7">
        <w:rPr>
          <w:rFonts w:ascii="Times New Roman" w:hAnsi="Times New Roman" w:cs="Times New Roman"/>
          <w:lang w:val="en-GB"/>
        </w:rPr>
        <w:t xml:space="preserve">the multi-hued </w:t>
      </w:r>
      <w:r w:rsidR="001D749E" w:rsidRPr="003E75D7">
        <w:rPr>
          <w:rFonts w:ascii="Times New Roman" w:hAnsi="Times New Roman" w:cs="Times New Roman"/>
          <w:lang w:val="en-GB"/>
        </w:rPr>
        <w:t>b</w:t>
      </w:r>
      <w:r w:rsidRPr="003E75D7">
        <w:rPr>
          <w:rFonts w:ascii="Times New Roman" w:hAnsi="Times New Roman" w:cs="Times New Roman"/>
          <w:lang w:val="en-GB"/>
        </w:rPr>
        <w:t>utterfly</w:t>
      </w:r>
      <w:r w:rsidR="001D749E" w:rsidRPr="003E75D7">
        <w:rPr>
          <w:rFonts w:ascii="Times New Roman" w:hAnsi="Times New Roman" w:cs="Times New Roman"/>
          <w:lang w:val="en-GB"/>
        </w:rPr>
        <w:t>—</w:t>
      </w:r>
      <w:r w:rsidRPr="003E75D7">
        <w:rPr>
          <w:rFonts w:ascii="Times New Roman" w:hAnsi="Times New Roman" w:cs="Times New Roman"/>
          <w:lang w:val="en-GB"/>
        </w:rPr>
        <w:t>was well recogni</w:t>
      </w:r>
      <w:r w:rsidR="001D749E" w:rsidRPr="003E75D7">
        <w:rPr>
          <w:rFonts w:ascii="Times New Roman" w:hAnsi="Times New Roman" w:cs="Times New Roman"/>
          <w:lang w:val="en-GB"/>
        </w:rPr>
        <w:t>z</w:t>
      </w:r>
      <w:r w:rsidRPr="003E75D7">
        <w:rPr>
          <w:rFonts w:ascii="Times New Roman" w:hAnsi="Times New Roman" w:cs="Times New Roman"/>
          <w:lang w:val="en-GB"/>
        </w:rPr>
        <w:t>ed in India and was synonymous with quality, durability</w:t>
      </w:r>
      <w:r w:rsidR="001D749E" w:rsidRPr="003E75D7">
        <w:rPr>
          <w:rFonts w:ascii="Times New Roman" w:hAnsi="Times New Roman" w:cs="Times New Roman"/>
          <w:lang w:val="en-GB"/>
        </w:rPr>
        <w:t>,</w:t>
      </w:r>
      <w:r w:rsidRPr="003E75D7">
        <w:rPr>
          <w:rFonts w:ascii="Times New Roman" w:hAnsi="Times New Roman" w:cs="Times New Roman"/>
          <w:lang w:val="en-GB"/>
        </w:rPr>
        <w:t xml:space="preserve"> and fair trade. </w:t>
      </w:r>
      <w:r w:rsidR="00C46273" w:rsidRPr="003E75D7">
        <w:rPr>
          <w:rFonts w:ascii="Times New Roman" w:hAnsi="Times New Roman" w:cs="Times New Roman"/>
          <w:lang w:val="en-GB"/>
        </w:rPr>
        <w:t xml:space="preserve">Co-optex aimed to organize production and promote the handloom industry in Tamil Nadu, thereby creating continuous employment opportunities for the handloom weavers in the state. </w:t>
      </w:r>
      <w:r w:rsidRPr="003E75D7">
        <w:rPr>
          <w:rFonts w:ascii="Times New Roman" w:hAnsi="Times New Roman" w:cs="Times New Roman"/>
          <w:lang w:val="en-GB"/>
        </w:rPr>
        <w:t>By 2015, Co-optex had expanded its network to 200 showrooms spread all over India, with an annual turnover of $50.14 million. More than 0.27 million of the 0.4 million handlooms in the state were under the co</w:t>
      </w:r>
      <w:r w:rsidR="001D749E" w:rsidRPr="003E75D7">
        <w:rPr>
          <w:rFonts w:ascii="Times New Roman" w:hAnsi="Times New Roman" w:cs="Times New Roman"/>
          <w:lang w:val="en-GB"/>
        </w:rPr>
        <w:t>-</w:t>
      </w:r>
      <w:r w:rsidRPr="003E75D7">
        <w:rPr>
          <w:rFonts w:ascii="Times New Roman" w:hAnsi="Times New Roman" w:cs="Times New Roman"/>
          <w:lang w:val="en-GB"/>
        </w:rPr>
        <w:t>operative</w:t>
      </w:r>
      <w:r w:rsidR="001D749E" w:rsidRPr="003E75D7">
        <w:rPr>
          <w:rFonts w:ascii="Times New Roman" w:hAnsi="Times New Roman" w:cs="Times New Roman"/>
          <w:lang w:val="en-GB"/>
        </w:rPr>
        <w:t>’s</w:t>
      </w:r>
      <w:r w:rsidRPr="003E75D7">
        <w:rPr>
          <w:rFonts w:ascii="Times New Roman" w:hAnsi="Times New Roman" w:cs="Times New Roman"/>
          <w:lang w:val="en-GB"/>
        </w:rPr>
        <w:t xml:space="preserve"> fold. The state</w:t>
      </w:r>
      <w:r w:rsidR="001D749E" w:rsidRPr="003E75D7">
        <w:rPr>
          <w:rFonts w:ascii="Times New Roman" w:hAnsi="Times New Roman" w:cs="Times New Roman"/>
          <w:lang w:val="en-GB"/>
        </w:rPr>
        <w:t>’s</w:t>
      </w:r>
      <w:r w:rsidRPr="003E75D7">
        <w:rPr>
          <w:rFonts w:ascii="Times New Roman" w:hAnsi="Times New Roman" w:cs="Times New Roman"/>
          <w:lang w:val="en-GB"/>
        </w:rPr>
        <w:t xml:space="preserve"> weavers were organized through </w:t>
      </w:r>
      <w:r w:rsidRPr="003E75D7">
        <w:rPr>
          <w:rFonts w:ascii="Times New Roman" w:hAnsi="Times New Roman" w:cs="Times New Roman"/>
          <w:bCs/>
          <w:lang w:val="en-GB"/>
        </w:rPr>
        <w:t>1</w:t>
      </w:r>
      <w:r w:rsidR="001D749E" w:rsidRPr="003E75D7">
        <w:rPr>
          <w:rFonts w:ascii="Times New Roman" w:hAnsi="Times New Roman" w:cs="Times New Roman"/>
          <w:bCs/>
          <w:lang w:val="en-GB"/>
        </w:rPr>
        <w:t>,</w:t>
      </w:r>
      <w:r w:rsidRPr="003E75D7">
        <w:rPr>
          <w:rFonts w:ascii="Times New Roman" w:hAnsi="Times New Roman" w:cs="Times New Roman"/>
          <w:bCs/>
          <w:lang w:val="en-GB"/>
        </w:rPr>
        <w:t>354</w:t>
      </w:r>
      <w:r w:rsidRPr="003E75D7">
        <w:rPr>
          <w:rFonts w:ascii="Times New Roman" w:hAnsi="Times New Roman" w:cs="Times New Roman"/>
          <w:lang w:val="en-GB"/>
        </w:rPr>
        <w:t xml:space="preserve"> handloom weavers’ co</w:t>
      </w:r>
      <w:r w:rsidR="001D749E" w:rsidRPr="003E75D7">
        <w:rPr>
          <w:rFonts w:ascii="Times New Roman" w:hAnsi="Times New Roman" w:cs="Times New Roman"/>
          <w:lang w:val="en-GB"/>
        </w:rPr>
        <w:t>-</w:t>
      </w:r>
      <w:r w:rsidRPr="003E75D7">
        <w:rPr>
          <w:rFonts w:ascii="Times New Roman" w:hAnsi="Times New Roman" w:cs="Times New Roman"/>
          <w:lang w:val="en-GB"/>
        </w:rPr>
        <w:t xml:space="preserve">operative societies. Since these societies were scattered and unable to market their handloom products individually, Co-optex acted as the </w:t>
      </w:r>
      <w:r w:rsidR="001D749E" w:rsidRPr="003E75D7">
        <w:rPr>
          <w:rFonts w:ascii="Times New Roman" w:hAnsi="Times New Roman" w:cs="Times New Roman"/>
          <w:lang w:val="en-GB"/>
        </w:rPr>
        <w:t>state-</w:t>
      </w:r>
      <w:r w:rsidRPr="003E75D7">
        <w:rPr>
          <w:rFonts w:ascii="Times New Roman" w:hAnsi="Times New Roman" w:cs="Times New Roman"/>
          <w:lang w:val="en-GB"/>
        </w:rPr>
        <w:t>level marketing co</w:t>
      </w:r>
      <w:r w:rsidR="001D749E" w:rsidRPr="003E75D7">
        <w:rPr>
          <w:rFonts w:ascii="Times New Roman" w:hAnsi="Times New Roman" w:cs="Times New Roman"/>
          <w:lang w:val="en-GB"/>
        </w:rPr>
        <w:t>-</w:t>
      </w:r>
      <w:r w:rsidRPr="003E75D7">
        <w:rPr>
          <w:rFonts w:ascii="Times New Roman" w:hAnsi="Times New Roman" w:cs="Times New Roman"/>
          <w:lang w:val="en-GB"/>
        </w:rPr>
        <w:t xml:space="preserve">operative. In this role, it provided marketing support to weavers’ societies by marketing procured handloom products through </w:t>
      </w:r>
      <w:r w:rsidR="001D749E" w:rsidRPr="003E75D7">
        <w:rPr>
          <w:rFonts w:ascii="Times New Roman" w:hAnsi="Times New Roman" w:cs="Times New Roman"/>
          <w:lang w:val="en-GB"/>
        </w:rPr>
        <w:t xml:space="preserve">a </w:t>
      </w:r>
      <w:r w:rsidRPr="003E75D7">
        <w:rPr>
          <w:rFonts w:ascii="Times New Roman" w:hAnsi="Times New Roman" w:cs="Times New Roman"/>
          <w:lang w:val="en-GB"/>
        </w:rPr>
        <w:t xml:space="preserve">network of outlets </w:t>
      </w:r>
      <w:r w:rsidR="001D749E" w:rsidRPr="003E75D7">
        <w:rPr>
          <w:rFonts w:ascii="Times New Roman" w:hAnsi="Times New Roman" w:cs="Times New Roman"/>
          <w:lang w:val="en-GB"/>
        </w:rPr>
        <w:t xml:space="preserve">within </w:t>
      </w:r>
      <w:r w:rsidRPr="003E75D7">
        <w:rPr>
          <w:rFonts w:ascii="Times New Roman" w:hAnsi="Times New Roman" w:cs="Times New Roman"/>
          <w:lang w:val="en-GB"/>
        </w:rPr>
        <w:t>and outside of Tamil</w:t>
      </w:r>
      <w:r w:rsidR="001D749E" w:rsidRPr="003E75D7">
        <w:rPr>
          <w:rFonts w:ascii="Times New Roman" w:hAnsi="Times New Roman" w:cs="Times New Roman"/>
          <w:lang w:val="en-GB"/>
        </w:rPr>
        <w:t xml:space="preserve"> Nadu</w:t>
      </w:r>
      <w:r w:rsidRPr="003E75D7">
        <w:rPr>
          <w:rFonts w:ascii="Times New Roman" w:hAnsi="Times New Roman" w:cs="Times New Roman"/>
          <w:lang w:val="en-GB"/>
        </w:rPr>
        <w:t xml:space="preserve">. It provided input support to these societies </w:t>
      </w:r>
      <w:r w:rsidR="001D749E" w:rsidRPr="003E75D7">
        <w:rPr>
          <w:rFonts w:ascii="Times New Roman" w:hAnsi="Times New Roman" w:cs="Times New Roman"/>
          <w:lang w:val="en-GB"/>
        </w:rPr>
        <w:t>by procuring</w:t>
      </w:r>
      <w:r w:rsidRPr="003E75D7">
        <w:rPr>
          <w:rFonts w:ascii="Times New Roman" w:hAnsi="Times New Roman" w:cs="Times New Roman"/>
          <w:lang w:val="en-GB"/>
        </w:rPr>
        <w:t xml:space="preserve"> yarn from 14 state-level co</w:t>
      </w:r>
      <w:r w:rsidR="001D749E" w:rsidRPr="003E75D7">
        <w:rPr>
          <w:rFonts w:ascii="Times New Roman" w:hAnsi="Times New Roman" w:cs="Times New Roman"/>
          <w:lang w:val="en-GB"/>
        </w:rPr>
        <w:t>-</w:t>
      </w:r>
      <w:r w:rsidRPr="003E75D7">
        <w:rPr>
          <w:rFonts w:ascii="Times New Roman" w:hAnsi="Times New Roman" w:cs="Times New Roman"/>
          <w:lang w:val="en-GB"/>
        </w:rPr>
        <w:t xml:space="preserve">operative spinning mills and the National Handlooms Development Corporation </w:t>
      </w:r>
      <w:r w:rsidR="001D749E" w:rsidRPr="003E75D7">
        <w:rPr>
          <w:rFonts w:ascii="Times New Roman" w:hAnsi="Times New Roman" w:cs="Times New Roman"/>
          <w:lang w:val="en-GB"/>
        </w:rPr>
        <w:t xml:space="preserve">Ltd. </w:t>
      </w:r>
      <w:r w:rsidRPr="003E75D7">
        <w:rPr>
          <w:rFonts w:ascii="Times New Roman" w:hAnsi="Times New Roman" w:cs="Times New Roman"/>
          <w:lang w:val="en-GB"/>
        </w:rPr>
        <w:t xml:space="preserve">(NHDC). </w:t>
      </w:r>
      <w:r w:rsidR="00C46273" w:rsidRPr="003E75D7">
        <w:rPr>
          <w:rFonts w:ascii="Times New Roman" w:hAnsi="Times New Roman" w:cs="Times New Roman"/>
          <w:lang w:val="en-GB"/>
        </w:rPr>
        <w:t>I</w:t>
      </w:r>
      <w:r w:rsidRPr="003E75D7">
        <w:rPr>
          <w:rFonts w:ascii="Times New Roman" w:hAnsi="Times New Roman" w:cs="Times New Roman"/>
          <w:lang w:val="en-GB"/>
        </w:rPr>
        <w:t xml:space="preserve">t </w:t>
      </w:r>
      <w:r w:rsidR="00C46273" w:rsidRPr="003E75D7">
        <w:rPr>
          <w:rFonts w:ascii="Times New Roman" w:hAnsi="Times New Roman" w:cs="Times New Roman"/>
          <w:lang w:val="en-GB"/>
        </w:rPr>
        <w:t xml:space="preserve">also </w:t>
      </w:r>
      <w:r w:rsidRPr="003E75D7">
        <w:rPr>
          <w:rFonts w:ascii="Times New Roman" w:hAnsi="Times New Roman" w:cs="Times New Roman"/>
          <w:lang w:val="en-GB"/>
        </w:rPr>
        <w:t xml:space="preserve">provided technical and financial help to weavers. </w:t>
      </w:r>
    </w:p>
    <w:p w14:paraId="08D01E64" w14:textId="77777777" w:rsidR="00D759DA" w:rsidRPr="003E75D7" w:rsidRDefault="00D759DA" w:rsidP="00D759DA">
      <w:pPr>
        <w:jc w:val="both"/>
        <w:rPr>
          <w:szCs w:val="22"/>
        </w:rPr>
      </w:pPr>
    </w:p>
    <w:p w14:paraId="332A97E7" w14:textId="00358923" w:rsidR="00D759DA" w:rsidRPr="003E75D7" w:rsidRDefault="00D759DA" w:rsidP="00D759DA">
      <w:pPr>
        <w:pStyle w:val="NoSpacing"/>
        <w:jc w:val="both"/>
        <w:rPr>
          <w:rFonts w:ascii="Times New Roman" w:hAnsi="Times New Roman" w:cs="Times New Roman"/>
          <w:lang w:val="en-GB"/>
        </w:rPr>
      </w:pPr>
      <w:r w:rsidRPr="003E75D7">
        <w:rPr>
          <w:rFonts w:ascii="Times New Roman" w:hAnsi="Times New Roman" w:cs="Times New Roman"/>
          <w:lang w:val="en-GB"/>
        </w:rPr>
        <w:t>Co-optex marketed its handloom products through its retail showrooms</w:t>
      </w:r>
      <w:r w:rsidR="000B5C44" w:rsidRPr="003E75D7">
        <w:rPr>
          <w:rFonts w:ascii="Times New Roman" w:hAnsi="Times New Roman" w:cs="Times New Roman"/>
          <w:lang w:val="en-GB"/>
        </w:rPr>
        <w:t>, which were grouped under 11 regional offices</w:t>
      </w:r>
      <w:r w:rsidRPr="003E75D7">
        <w:rPr>
          <w:rFonts w:ascii="Times New Roman" w:hAnsi="Times New Roman" w:cs="Times New Roman"/>
          <w:lang w:val="en-GB"/>
        </w:rPr>
        <w:t xml:space="preserve"> </w:t>
      </w:r>
      <w:r w:rsidR="000B5C44" w:rsidRPr="003E75D7">
        <w:rPr>
          <w:rFonts w:ascii="Times New Roman" w:hAnsi="Times New Roman" w:cs="Times New Roman"/>
          <w:lang w:val="en-GB"/>
        </w:rPr>
        <w:t xml:space="preserve">and </w:t>
      </w:r>
      <w:r w:rsidRPr="003E75D7">
        <w:rPr>
          <w:rFonts w:ascii="Times New Roman" w:hAnsi="Times New Roman" w:cs="Times New Roman"/>
          <w:lang w:val="en-GB"/>
        </w:rPr>
        <w:t>located all over the country. The regional offices controlled the day-to-day administrative activities of the respective showrooms, including selling handloom products directly to end-users</w:t>
      </w:r>
      <w:r w:rsidR="00C46273" w:rsidRPr="003E75D7">
        <w:rPr>
          <w:rFonts w:ascii="Times New Roman" w:hAnsi="Times New Roman" w:cs="Times New Roman"/>
          <w:lang w:val="en-GB"/>
        </w:rPr>
        <w:t>;</w:t>
      </w:r>
      <w:r w:rsidR="000B5C44" w:rsidRPr="003E75D7">
        <w:rPr>
          <w:rFonts w:ascii="Times New Roman" w:hAnsi="Times New Roman" w:cs="Times New Roman"/>
          <w:lang w:val="en-GB"/>
        </w:rPr>
        <w:t xml:space="preserve"> </w:t>
      </w:r>
      <w:r w:rsidRPr="003E75D7">
        <w:rPr>
          <w:rFonts w:ascii="Times New Roman" w:hAnsi="Times New Roman" w:cs="Times New Roman"/>
          <w:lang w:val="en-GB"/>
        </w:rPr>
        <w:t>providing bulk supplies to government departments, schools, colleges and other organi</w:t>
      </w:r>
      <w:r w:rsidR="00C46273" w:rsidRPr="003E75D7">
        <w:rPr>
          <w:rFonts w:ascii="Times New Roman" w:hAnsi="Times New Roman" w:cs="Times New Roman"/>
          <w:lang w:val="en-GB"/>
        </w:rPr>
        <w:t>z</w:t>
      </w:r>
      <w:r w:rsidRPr="003E75D7">
        <w:rPr>
          <w:rFonts w:ascii="Times New Roman" w:hAnsi="Times New Roman" w:cs="Times New Roman"/>
          <w:lang w:val="en-GB"/>
        </w:rPr>
        <w:t>ations</w:t>
      </w:r>
      <w:r w:rsidR="00C46273" w:rsidRPr="003E75D7">
        <w:rPr>
          <w:rFonts w:ascii="Times New Roman" w:hAnsi="Times New Roman" w:cs="Times New Roman"/>
          <w:lang w:val="en-GB"/>
        </w:rPr>
        <w:t>;</w:t>
      </w:r>
      <w:r w:rsidRPr="003E75D7">
        <w:rPr>
          <w:rFonts w:ascii="Times New Roman" w:hAnsi="Times New Roman" w:cs="Times New Roman"/>
          <w:lang w:val="en-GB"/>
        </w:rPr>
        <w:t xml:space="preserve"> and conducting exhibition</w:t>
      </w:r>
      <w:r w:rsidR="00C46273" w:rsidRPr="003E75D7">
        <w:rPr>
          <w:rFonts w:ascii="Times New Roman" w:hAnsi="Times New Roman" w:cs="Times New Roman"/>
          <w:lang w:val="en-GB"/>
        </w:rPr>
        <w:t>s and</w:t>
      </w:r>
      <w:r w:rsidRPr="003E75D7">
        <w:rPr>
          <w:rFonts w:ascii="Times New Roman" w:hAnsi="Times New Roman" w:cs="Times New Roman"/>
          <w:lang w:val="en-GB"/>
        </w:rPr>
        <w:t xml:space="preserve"> sales in the main cities. The government, through various welfare schemes, provided an important captive business worth $1.</w:t>
      </w:r>
      <w:r w:rsidR="00C46273" w:rsidRPr="003E75D7">
        <w:rPr>
          <w:rFonts w:ascii="Times New Roman" w:hAnsi="Times New Roman" w:cs="Times New Roman"/>
          <w:lang w:val="en-GB"/>
        </w:rPr>
        <w:t xml:space="preserve">96 </w:t>
      </w:r>
      <w:r w:rsidRPr="003E75D7">
        <w:rPr>
          <w:rFonts w:ascii="Times New Roman" w:hAnsi="Times New Roman" w:cs="Times New Roman"/>
          <w:lang w:val="en-GB"/>
        </w:rPr>
        <w:t xml:space="preserve">million to about $2 million </w:t>
      </w:r>
      <w:r w:rsidR="00C46273" w:rsidRPr="003E75D7">
        <w:rPr>
          <w:rFonts w:ascii="Times New Roman" w:hAnsi="Times New Roman" w:cs="Times New Roman"/>
          <w:lang w:val="en-GB"/>
        </w:rPr>
        <w:t xml:space="preserve">to Co-optex </w:t>
      </w:r>
      <w:r w:rsidRPr="003E75D7">
        <w:rPr>
          <w:rFonts w:ascii="Times New Roman" w:hAnsi="Times New Roman" w:cs="Times New Roman"/>
          <w:lang w:val="en-GB"/>
        </w:rPr>
        <w:t>every year. These welfare schemes included the supply of saris and dhothis</w:t>
      </w:r>
      <w:r w:rsidRPr="003E75D7">
        <w:rPr>
          <w:rStyle w:val="EndnoteReference"/>
          <w:rFonts w:ascii="Times New Roman" w:hAnsi="Times New Roman" w:cs="Times New Roman"/>
          <w:lang w:val="en-GB"/>
        </w:rPr>
        <w:endnoteReference w:id="15"/>
      </w:r>
      <w:r w:rsidRPr="003E75D7">
        <w:rPr>
          <w:rFonts w:ascii="Times New Roman" w:hAnsi="Times New Roman" w:cs="Times New Roman"/>
          <w:lang w:val="en-GB"/>
        </w:rPr>
        <w:t xml:space="preserve"> under the government’s </w:t>
      </w:r>
      <w:r w:rsidR="00C46273" w:rsidRPr="003E75D7">
        <w:rPr>
          <w:rFonts w:ascii="Times New Roman" w:hAnsi="Times New Roman" w:cs="Times New Roman"/>
          <w:lang w:val="en-GB"/>
        </w:rPr>
        <w:t>p</w:t>
      </w:r>
      <w:r w:rsidRPr="003E75D7">
        <w:rPr>
          <w:rFonts w:ascii="Times New Roman" w:hAnsi="Times New Roman" w:cs="Times New Roman"/>
          <w:lang w:val="en-GB"/>
        </w:rPr>
        <w:t xml:space="preserve">ublic </w:t>
      </w:r>
      <w:r w:rsidR="00C46273" w:rsidRPr="003E75D7">
        <w:rPr>
          <w:rFonts w:ascii="Times New Roman" w:hAnsi="Times New Roman" w:cs="Times New Roman"/>
          <w:lang w:val="en-GB"/>
        </w:rPr>
        <w:t>d</w:t>
      </w:r>
      <w:r w:rsidRPr="003E75D7">
        <w:rPr>
          <w:rFonts w:ascii="Times New Roman" w:hAnsi="Times New Roman" w:cs="Times New Roman"/>
          <w:lang w:val="en-GB"/>
        </w:rPr>
        <w:t xml:space="preserve">istribution </w:t>
      </w:r>
      <w:r w:rsidR="00C46273" w:rsidRPr="003E75D7">
        <w:rPr>
          <w:rFonts w:ascii="Times New Roman" w:hAnsi="Times New Roman" w:cs="Times New Roman"/>
          <w:lang w:val="en-GB"/>
        </w:rPr>
        <w:t>s</w:t>
      </w:r>
      <w:r w:rsidRPr="003E75D7">
        <w:rPr>
          <w:rFonts w:ascii="Times New Roman" w:hAnsi="Times New Roman" w:cs="Times New Roman"/>
          <w:lang w:val="en-GB"/>
        </w:rPr>
        <w:t>ystem, the free distribution of school uniforms under noon meal schemes, the supply of saris and dhothis to pensioners</w:t>
      </w:r>
      <w:r w:rsidR="00C46273" w:rsidRPr="003E75D7">
        <w:rPr>
          <w:rFonts w:ascii="Times New Roman" w:hAnsi="Times New Roman" w:cs="Times New Roman"/>
          <w:lang w:val="en-GB"/>
        </w:rPr>
        <w:t>,</w:t>
      </w:r>
      <w:r w:rsidRPr="003E75D7">
        <w:rPr>
          <w:rFonts w:ascii="Times New Roman" w:hAnsi="Times New Roman" w:cs="Times New Roman"/>
          <w:lang w:val="en-GB"/>
        </w:rPr>
        <w:t xml:space="preserve"> and </w:t>
      </w:r>
      <w:r w:rsidR="00C46273" w:rsidRPr="003E75D7">
        <w:rPr>
          <w:rFonts w:ascii="Times New Roman" w:hAnsi="Times New Roman" w:cs="Times New Roman"/>
          <w:lang w:val="en-GB"/>
        </w:rPr>
        <w:t xml:space="preserve">the </w:t>
      </w:r>
      <w:r w:rsidRPr="003E75D7">
        <w:rPr>
          <w:rFonts w:ascii="Times New Roman" w:hAnsi="Times New Roman" w:cs="Times New Roman"/>
          <w:lang w:val="en-GB"/>
        </w:rPr>
        <w:t>supply of cloth to Sri Lankan refugees</w:t>
      </w:r>
      <w:r w:rsidR="00C46273" w:rsidRPr="003E75D7">
        <w:rPr>
          <w:rFonts w:ascii="Times New Roman" w:hAnsi="Times New Roman" w:cs="Times New Roman"/>
          <w:lang w:val="en-GB"/>
        </w:rPr>
        <w:t>.</w:t>
      </w:r>
      <w:r w:rsidRPr="003E75D7">
        <w:rPr>
          <w:rFonts w:ascii="Times New Roman" w:hAnsi="Times New Roman" w:cs="Times New Roman"/>
          <w:lang w:val="en-GB"/>
        </w:rPr>
        <w:t xml:space="preserve"> </w:t>
      </w:r>
    </w:p>
    <w:p w14:paraId="04124DE4" w14:textId="77777777" w:rsidR="00D759DA" w:rsidRPr="003E75D7" w:rsidRDefault="00D759DA" w:rsidP="00D759DA">
      <w:pPr>
        <w:pStyle w:val="NoSpacing"/>
        <w:jc w:val="both"/>
        <w:rPr>
          <w:rFonts w:ascii="Times New Roman" w:hAnsi="Times New Roman" w:cs="Times New Roman"/>
          <w:sz w:val="20"/>
          <w:lang w:val="en-GB"/>
        </w:rPr>
      </w:pPr>
    </w:p>
    <w:p w14:paraId="4D42D68E" w14:textId="72DDE45D" w:rsidR="00D759DA" w:rsidRPr="003E75D7" w:rsidRDefault="00D759DA" w:rsidP="00D759DA">
      <w:pPr>
        <w:pStyle w:val="NoSpacing"/>
        <w:jc w:val="both"/>
        <w:rPr>
          <w:rFonts w:ascii="Times New Roman" w:hAnsi="Times New Roman" w:cs="Times New Roman"/>
          <w:lang w:val="en-GB"/>
        </w:rPr>
      </w:pPr>
      <w:r w:rsidRPr="003E75D7">
        <w:rPr>
          <w:rFonts w:ascii="Times New Roman" w:hAnsi="Times New Roman" w:cs="Times New Roman"/>
          <w:lang w:val="en-GB"/>
        </w:rPr>
        <w:t xml:space="preserve">Co-optex was </w:t>
      </w:r>
      <w:r w:rsidR="00C46273" w:rsidRPr="003E75D7">
        <w:rPr>
          <w:rFonts w:ascii="Times New Roman" w:hAnsi="Times New Roman" w:cs="Times New Roman"/>
          <w:lang w:val="en-GB"/>
        </w:rPr>
        <w:t>operated by a</w:t>
      </w:r>
      <w:r w:rsidRPr="003E75D7">
        <w:rPr>
          <w:rFonts w:ascii="Times New Roman" w:hAnsi="Times New Roman" w:cs="Times New Roman"/>
          <w:lang w:val="en-GB"/>
        </w:rPr>
        <w:t xml:space="preserve"> </w:t>
      </w:r>
      <w:r w:rsidR="00791FB7" w:rsidRPr="003E75D7">
        <w:rPr>
          <w:rFonts w:ascii="Times New Roman" w:hAnsi="Times New Roman" w:cs="Times New Roman"/>
          <w:lang w:val="en-GB"/>
        </w:rPr>
        <w:t>managing director</w:t>
      </w:r>
      <w:r w:rsidRPr="003E75D7">
        <w:rPr>
          <w:rFonts w:ascii="Times New Roman" w:hAnsi="Times New Roman" w:cs="Times New Roman"/>
          <w:lang w:val="en-GB"/>
        </w:rPr>
        <w:t>, who was from the Indian Administrative Services (IAS)</w:t>
      </w:r>
      <w:r w:rsidR="00C46273" w:rsidRPr="003E75D7">
        <w:rPr>
          <w:rFonts w:ascii="Times New Roman" w:hAnsi="Times New Roman" w:cs="Times New Roman"/>
          <w:lang w:val="en-GB"/>
        </w:rPr>
        <w:t>.</w:t>
      </w:r>
      <w:r w:rsidRPr="003E75D7">
        <w:rPr>
          <w:rStyle w:val="EndnoteReference"/>
          <w:rFonts w:ascii="Times New Roman" w:hAnsi="Times New Roman" w:cs="Times New Roman"/>
          <w:lang w:val="en-GB"/>
        </w:rPr>
        <w:endnoteReference w:id="16"/>
      </w:r>
      <w:r w:rsidRPr="003E75D7">
        <w:rPr>
          <w:rFonts w:ascii="Times New Roman" w:hAnsi="Times New Roman" w:cs="Times New Roman"/>
          <w:lang w:val="en-GB"/>
        </w:rPr>
        <w:t xml:space="preserve"> </w:t>
      </w:r>
      <w:r w:rsidR="00C46273" w:rsidRPr="003E75D7">
        <w:rPr>
          <w:rFonts w:ascii="Times New Roman" w:hAnsi="Times New Roman" w:cs="Times New Roman"/>
          <w:lang w:val="en-GB"/>
        </w:rPr>
        <w:t>This person</w:t>
      </w:r>
      <w:r w:rsidRPr="003E75D7">
        <w:rPr>
          <w:rFonts w:ascii="Times New Roman" w:hAnsi="Times New Roman" w:cs="Times New Roman"/>
          <w:lang w:val="en-GB"/>
        </w:rPr>
        <w:t xml:space="preserve"> was appointed by the government, was answerable to the government of the state</w:t>
      </w:r>
      <w:r w:rsidR="00C46273" w:rsidRPr="003E75D7">
        <w:rPr>
          <w:rFonts w:ascii="Times New Roman" w:hAnsi="Times New Roman" w:cs="Times New Roman"/>
          <w:lang w:val="en-GB"/>
        </w:rPr>
        <w:t>,</w:t>
      </w:r>
      <w:r w:rsidRPr="003E75D7">
        <w:rPr>
          <w:rFonts w:ascii="Times New Roman" w:hAnsi="Times New Roman" w:cs="Times New Roman"/>
          <w:lang w:val="en-GB"/>
        </w:rPr>
        <w:t xml:space="preserve"> and acted according to the directions received from the state government</w:t>
      </w:r>
      <w:r w:rsidR="00C46273" w:rsidRPr="003E75D7">
        <w:rPr>
          <w:rFonts w:ascii="Times New Roman" w:hAnsi="Times New Roman" w:cs="Times New Roman"/>
          <w:lang w:val="en-GB"/>
        </w:rPr>
        <w:t xml:space="preserve"> (see</w:t>
      </w:r>
      <w:r w:rsidRPr="003E75D7">
        <w:rPr>
          <w:rFonts w:ascii="Times New Roman" w:hAnsi="Times New Roman" w:cs="Times New Roman"/>
          <w:lang w:val="en-GB"/>
        </w:rPr>
        <w:t xml:space="preserve"> Exhibit 2</w:t>
      </w:r>
      <w:r w:rsidR="00C46273" w:rsidRPr="003E75D7">
        <w:rPr>
          <w:rFonts w:ascii="Times New Roman" w:hAnsi="Times New Roman" w:cs="Times New Roman"/>
          <w:lang w:val="en-GB"/>
        </w:rPr>
        <w:t>)</w:t>
      </w:r>
      <w:r w:rsidRPr="003E75D7">
        <w:rPr>
          <w:rFonts w:ascii="Times New Roman" w:hAnsi="Times New Roman" w:cs="Times New Roman"/>
          <w:lang w:val="en-GB"/>
        </w:rPr>
        <w:t xml:space="preserve">. </w:t>
      </w:r>
    </w:p>
    <w:p w14:paraId="182DDE4E" w14:textId="77777777" w:rsidR="00D759DA" w:rsidRPr="003E75D7" w:rsidRDefault="00D759DA" w:rsidP="0019116A">
      <w:pPr>
        <w:pStyle w:val="BodyTextMain"/>
        <w:rPr>
          <w:sz w:val="20"/>
        </w:rPr>
      </w:pPr>
    </w:p>
    <w:p w14:paraId="32B60C36" w14:textId="77777777" w:rsidR="00D759DA" w:rsidRPr="003E75D7" w:rsidRDefault="00D759DA" w:rsidP="0019116A">
      <w:pPr>
        <w:pStyle w:val="BodyTextMain"/>
        <w:rPr>
          <w:sz w:val="20"/>
        </w:rPr>
      </w:pPr>
    </w:p>
    <w:p w14:paraId="0CFF3E19" w14:textId="0F246821" w:rsidR="00D759DA" w:rsidRPr="003E75D7" w:rsidRDefault="00D759DA" w:rsidP="0019116A">
      <w:pPr>
        <w:pStyle w:val="BodyTextMain"/>
        <w:rPr>
          <w:rFonts w:ascii="Arial" w:hAnsi="Arial" w:cs="Arial"/>
          <w:b/>
          <w:sz w:val="20"/>
          <w:szCs w:val="20"/>
        </w:rPr>
      </w:pPr>
      <w:r w:rsidRPr="003E75D7">
        <w:rPr>
          <w:rFonts w:ascii="Arial" w:hAnsi="Arial" w:cs="Arial"/>
          <w:b/>
          <w:sz w:val="20"/>
          <w:szCs w:val="20"/>
        </w:rPr>
        <w:t>THE RESTRUCTURING EXERCISE</w:t>
      </w:r>
    </w:p>
    <w:p w14:paraId="36FE0DB0" w14:textId="77777777" w:rsidR="0019116A" w:rsidRPr="003E75D7" w:rsidRDefault="0019116A" w:rsidP="0019116A">
      <w:pPr>
        <w:pStyle w:val="BodyTextMain"/>
        <w:rPr>
          <w:sz w:val="20"/>
        </w:rPr>
      </w:pPr>
    </w:p>
    <w:p w14:paraId="4B5FF327" w14:textId="58846F54" w:rsidR="00D759DA" w:rsidRPr="003E75D7" w:rsidRDefault="00D759DA" w:rsidP="0019116A">
      <w:pPr>
        <w:pStyle w:val="BodyTextMain"/>
      </w:pPr>
      <w:r w:rsidRPr="003E75D7">
        <w:t>Co-optex experienc</w:t>
      </w:r>
      <w:r w:rsidR="00A359C4" w:rsidRPr="003E75D7">
        <w:t xml:space="preserve">ed losses and </w:t>
      </w:r>
      <w:r w:rsidRPr="003E75D7">
        <w:t>a decline in sales</w:t>
      </w:r>
      <w:r w:rsidR="00A359C4" w:rsidRPr="003E75D7">
        <w:t xml:space="preserve"> beginning in </w:t>
      </w:r>
      <w:r w:rsidR="00ED6C77" w:rsidRPr="003E75D7">
        <w:t xml:space="preserve">FY </w:t>
      </w:r>
      <w:r w:rsidRPr="003E75D7">
        <w:t>2000</w:t>
      </w:r>
      <w:r w:rsidR="00A359C4" w:rsidRPr="003E75D7">
        <w:t>–</w:t>
      </w:r>
      <w:r w:rsidRPr="003E75D7">
        <w:t>01 (</w:t>
      </w:r>
      <w:r w:rsidR="00A359C4" w:rsidRPr="003E75D7">
        <w:t>s</w:t>
      </w:r>
      <w:r w:rsidRPr="003E75D7">
        <w:t>ee Exhibit 3). The co</w:t>
      </w:r>
      <w:r w:rsidR="00A359C4" w:rsidRPr="003E75D7">
        <w:t>-</w:t>
      </w:r>
      <w:r w:rsidRPr="003E75D7">
        <w:t>operative</w:t>
      </w:r>
      <w:r w:rsidR="00A359C4" w:rsidRPr="003E75D7">
        <w:t xml:space="preserve"> undertook</w:t>
      </w:r>
      <w:r w:rsidRPr="003E75D7">
        <w:t xml:space="preserve"> an internal </w:t>
      </w:r>
      <w:r w:rsidR="000B5C44" w:rsidRPr="003E75D7">
        <w:t>root-</w:t>
      </w:r>
      <w:r w:rsidRPr="003E75D7">
        <w:t>cause analysis</w:t>
      </w:r>
      <w:r w:rsidR="00A359C4" w:rsidRPr="003E75D7">
        <w:t xml:space="preserve"> </w:t>
      </w:r>
      <w:r w:rsidR="00DB003C" w:rsidRPr="003E75D7">
        <w:t>and</w:t>
      </w:r>
      <w:r w:rsidR="00A359C4" w:rsidRPr="003E75D7">
        <w:t xml:space="preserve"> determine</w:t>
      </w:r>
      <w:r w:rsidR="00DB003C" w:rsidRPr="003E75D7">
        <w:t>d</w:t>
      </w:r>
      <w:r w:rsidR="00A359C4" w:rsidRPr="003E75D7">
        <w:t xml:space="preserve"> that</w:t>
      </w:r>
      <w:r w:rsidRPr="003E75D7">
        <w:t xml:space="preserve"> its problems </w:t>
      </w:r>
      <w:r w:rsidR="00A359C4" w:rsidRPr="003E75D7">
        <w:t xml:space="preserve">were </w:t>
      </w:r>
      <w:r w:rsidRPr="003E75D7">
        <w:t xml:space="preserve">weaknesses in marketing activity, procurement </w:t>
      </w:r>
      <w:r w:rsidR="00DB003C" w:rsidRPr="003E75D7">
        <w:t xml:space="preserve">that was </w:t>
      </w:r>
      <w:r w:rsidRPr="003E75D7">
        <w:t xml:space="preserve">not in tune with market needs, a lack of control in production and marketing, </w:t>
      </w:r>
      <w:r w:rsidR="00DB003C" w:rsidRPr="003E75D7">
        <w:t xml:space="preserve">a </w:t>
      </w:r>
      <w:r w:rsidRPr="003E75D7">
        <w:t xml:space="preserve">lack of availability of skilled </w:t>
      </w:r>
      <w:r w:rsidR="00DB003C" w:rsidRPr="003E75D7">
        <w:t>workers,</w:t>
      </w:r>
      <w:r w:rsidRPr="003E75D7">
        <w:t xml:space="preserve"> and over-dependence on bulk orders from the government. Consequently, it embarked on a restructuring exercise in 2002, with the objective of wiping out the accumulated losses and </w:t>
      </w:r>
      <w:r w:rsidR="00DB003C" w:rsidRPr="003E75D7">
        <w:t xml:space="preserve">making its </w:t>
      </w:r>
      <w:r w:rsidRPr="003E75D7">
        <w:t>operations profitable over a five-year period. Such restructuring was expected to benefit the members of the handloom co</w:t>
      </w:r>
      <w:r w:rsidR="00DB003C" w:rsidRPr="003E75D7">
        <w:t>-</w:t>
      </w:r>
      <w:r w:rsidRPr="003E75D7">
        <w:t>operative societies, support those dependent on allied activities, preserve handlooms</w:t>
      </w:r>
      <w:r w:rsidR="00DB003C" w:rsidRPr="003E75D7">
        <w:t xml:space="preserve">—which were </w:t>
      </w:r>
      <w:r w:rsidRPr="003E75D7">
        <w:t>considered a part of the rich heritage of the state and the country</w:t>
      </w:r>
      <w:r w:rsidR="00DB003C" w:rsidRPr="003E75D7">
        <w:t>—</w:t>
      </w:r>
      <w:r w:rsidRPr="003E75D7">
        <w:t>and increase export earnings. As part of the restructuring exercise, Co-optex embarked on various short-term and medium-term measures in 2002.</w:t>
      </w:r>
    </w:p>
    <w:p w14:paraId="3AFFED52" w14:textId="77777777" w:rsidR="00D759DA" w:rsidRPr="003E75D7" w:rsidRDefault="00D759DA" w:rsidP="0019116A">
      <w:pPr>
        <w:pStyle w:val="BodyTextMain"/>
        <w:rPr>
          <w:sz w:val="20"/>
        </w:rPr>
      </w:pPr>
    </w:p>
    <w:p w14:paraId="34BCA601" w14:textId="77777777" w:rsidR="00DB003C" w:rsidRPr="003E75D7" w:rsidRDefault="00DB003C" w:rsidP="0019116A">
      <w:pPr>
        <w:pStyle w:val="BodyTextMain"/>
        <w:rPr>
          <w:sz w:val="20"/>
        </w:rPr>
      </w:pPr>
    </w:p>
    <w:p w14:paraId="023E766A" w14:textId="2FB92190" w:rsidR="00DB003C" w:rsidRPr="006C4E55" w:rsidRDefault="00D759DA" w:rsidP="00834633">
      <w:pPr>
        <w:pStyle w:val="Casehead2"/>
        <w:keepNext/>
        <w:keepLines/>
      </w:pPr>
      <w:r w:rsidRPr="006C4E55">
        <w:lastRenderedPageBreak/>
        <w:t xml:space="preserve">Collection of </w:t>
      </w:r>
      <w:r w:rsidR="00DB003C" w:rsidRPr="006C4E55">
        <w:t xml:space="preserve">Credit Sales </w:t>
      </w:r>
      <w:r w:rsidR="000B5C44" w:rsidRPr="006C4E55">
        <w:t>Balances</w:t>
      </w:r>
    </w:p>
    <w:p w14:paraId="5096C784" w14:textId="77777777" w:rsidR="00A430C8" w:rsidRPr="006C4E55" w:rsidRDefault="00A430C8" w:rsidP="00834633">
      <w:pPr>
        <w:pStyle w:val="Casehead2"/>
        <w:keepNext/>
        <w:keepLines/>
        <w:rPr>
          <w:i/>
        </w:rPr>
      </w:pPr>
    </w:p>
    <w:p w14:paraId="07402794" w14:textId="248E5701" w:rsidR="00D759DA" w:rsidRPr="003E75D7" w:rsidRDefault="00D759DA" w:rsidP="00834633">
      <w:pPr>
        <w:pStyle w:val="BodyTextMain"/>
        <w:keepNext/>
        <w:keepLines/>
        <w:rPr>
          <w:rFonts w:ascii="Arial" w:hAnsi="Arial" w:cs="Arial"/>
          <w:i/>
          <w:sz w:val="20"/>
          <w:szCs w:val="20"/>
        </w:rPr>
      </w:pPr>
      <w:r w:rsidRPr="003E75D7">
        <w:t xml:space="preserve">As of March 31, 2002, Co-optex had outstanding </w:t>
      </w:r>
      <w:r w:rsidR="00A430C8" w:rsidRPr="003E75D7">
        <w:t xml:space="preserve">balances </w:t>
      </w:r>
      <w:r w:rsidRPr="003E75D7">
        <w:t xml:space="preserve">of approximately $14.55 million on credit sales it had made to employees of various government departments and agencies, banks, </w:t>
      </w:r>
      <w:r w:rsidR="00A145DC">
        <w:t xml:space="preserve">and </w:t>
      </w:r>
      <w:r w:rsidRPr="003E75D7">
        <w:t>colleges</w:t>
      </w:r>
      <w:r w:rsidR="00A145DC">
        <w:t>.</w:t>
      </w:r>
      <w:r w:rsidR="00DB003C" w:rsidRPr="003E75D7">
        <w:t xml:space="preserve"> </w:t>
      </w:r>
      <w:r w:rsidRPr="003E75D7">
        <w:t>Co-optex organi</w:t>
      </w:r>
      <w:r w:rsidR="00A430C8" w:rsidRPr="003E75D7">
        <w:t>z</w:t>
      </w:r>
      <w:r w:rsidRPr="003E75D7">
        <w:t xml:space="preserve">ed a </w:t>
      </w:r>
      <w:r w:rsidR="00A430C8" w:rsidRPr="003E75D7">
        <w:t>campaign to collect these balances</w:t>
      </w:r>
      <w:r w:rsidRPr="003E75D7">
        <w:t xml:space="preserve"> throughout the state to realize </w:t>
      </w:r>
      <w:r w:rsidR="00A430C8" w:rsidRPr="003E75D7">
        <w:t xml:space="preserve">the </w:t>
      </w:r>
      <w:r w:rsidRPr="003E75D7">
        <w:t xml:space="preserve">outstanding </w:t>
      </w:r>
      <w:r w:rsidR="00A430C8" w:rsidRPr="003E75D7">
        <w:t>amounts</w:t>
      </w:r>
      <w:r w:rsidRPr="003E75D7">
        <w:t>.</w:t>
      </w:r>
    </w:p>
    <w:p w14:paraId="433B0280" w14:textId="77777777" w:rsidR="00D759DA" w:rsidRPr="003E75D7" w:rsidRDefault="00D759DA" w:rsidP="0019116A">
      <w:pPr>
        <w:pStyle w:val="BodyTextMain"/>
        <w:rPr>
          <w:sz w:val="20"/>
        </w:rPr>
      </w:pPr>
    </w:p>
    <w:p w14:paraId="417F1DF2" w14:textId="77777777" w:rsidR="00DB003C" w:rsidRPr="003E75D7" w:rsidRDefault="00DB003C" w:rsidP="0019116A">
      <w:pPr>
        <w:pStyle w:val="BodyTextMain"/>
        <w:rPr>
          <w:sz w:val="20"/>
        </w:rPr>
      </w:pPr>
    </w:p>
    <w:p w14:paraId="2A8D549D" w14:textId="4E4DFD8C" w:rsidR="00DB003C" w:rsidRPr="006C4E55" w:rsidRDefault="00D759DA" w:rsidP="00834633">
      <w:pPr>
        <w:pStyle w:val="Casehead2"/>
      </w:pPr>
      <w:r w:rsidRPr="006C4E55">
        <w:t xml:space="preserve">Closure of </w:t>
      </w:r>
      <w:r w:rsidR="00DB003C" w:rsidRPr="006C4E55">
        <w:t>Uneconomic Showrooms</w:t>
      </w:r>
    </w:p>
    <w:p w14:paraId="45700749" w14:textId="77777777" w:rsidR="00DB003C" w:rsidRPr="003E75D7" w:rsidRDefault="00DB003C" w:rsidP="0019116A">
      <w:pPr>
        <w:pStyle w:val="BodyTextMain"/>
        <w:rPr>
          <w:i/>
        </w:rPr>
      </w:pPr>
    </w:p>
    <w:p w14:paraId="49DBC902" w14:textId="64054F48" w:rsidR="00D759DA" w:rsidRPr="003E75D7" w:rsidRDefault="00D759DA" w:rsidP="0019116A">
      <w:pPr>
        <w:pStyle w:val="BodyTextMain"/>
        <w:rPr>
          <w:i/>
        </w:rPr>
      </w:pPr>
      <w:r w:rsidRPr="003E75D7">
        <w:t>In 2002, Co-optex had 268 showrooms</w:t>
      </w:r>
      <w:r w:rsidR="00A430C8" w:rsidRPr="003E75D7">
        <w:t xml:space="preserve">, </w:t>
      </w:r>
      <w:r w:rsidRPr="003E75D7">
        <w:t>many in prime areas in various Indian cities</w:t>
      </w:r>
      <w:r w:rsidR="00A430C8" w:rsidRPr="003E75D7">
        <w:t xml:space="preserve">; </w:t>
      </w:r>
      <w:r w:rsidRPr="003E75D7">
        <w:t xml:space="preserve">196 </w:t>
      </w:r>
      <w:r w:rsidR="00A430C8" w:rsidRPr="003E75D7">
        <w:t xml:space="preserve">of these </w:t>
      </w:r>
      <w:r w:rsidRPr="003E75D7">
        <w:t xml:space="preserve">showrooms showed no profits. Co-optex decided to close down showrooms </w:t>
      </w:r>
      <w:r w:rsidR="00A430C8" w:rsidRPr="003E75D7">
        <w:t>that s</w:t>
      </w:r>
      <w:r w:rsidRPr="003E75D7">
        <w:t>how</w:t>
      </w:r>
      <w:r w:rsidR="00A430C8" w:rsidRPr="003E75D7">
        <w:t>ed</w:t>
      </w:r>
      <w:r w:rsidRPr="003E75D7">
        <w:t xml:space="preserve"> dismal performance, including some of its prime properties. However, this was managed without lay</w:t>
      </w:r>
      <w:r w:rsidR="00A430C8" w:rsidRPr="003E75D7">
        <w:t xml:space="preserve">ing </w:t>
      </w:r>
      <w:r w:rsidRPr="003E75D7">
        <w:t xml:space="preserve">off staff. A </w:t>
      </w:r>
      <w:r w:rsidR="00A430C8" w:rsidRPr="003E75D7">
        <w:t xml:space="preserve">voluntary retirement scheme </w:t>
      </w:r>
      <w:r w:rsidRPr="003E75D7">
        <w:t>was offered</w:t>
      </w:r>
      <w:r w:rsidR="00A430C8" w:rsidRPr="003E75D7">
        <w:t>,</w:t>
      </w:r>
      <w:r w:rsidRPr="003E75D7">
        <w:t xml:space="preserve"> and 500 employees </w:t>
      </w:r>
      <w:r w:rsidR="00A430C8" w:rsidRPr="003E75D7">
        <w:t>accepted this</w:t>
      </w:r>
      <w:r w:rsidRPr="003E75D7">
        <w:t xml:space="preserve">. The surplus staff </w:t>
      </w:r>
      <w:r w:rsidR="00A430C8" w:rsidRPr="003E75D7">
        <w:t>members were</w:t>
      </w:r>
      <w:r w:rsidRPr="003E75D7">
        <w:t xml:space="preserve"> transferred to </w:t>
      </w:r>
      <w:r w:rsidR="00A430C8" w:rsidRPr="003E75D7">
        <w:t xml:space="preserve">vacant positions </w:t>
      </w:r>
      <w:r w:rsidRPr="003E75D7">
        <w:t xml:space="preserve">arising either out of natural retirements or the </w:t>
      </w:r>
      <w:r w:rsidR="00A430C8" w:rsidRPr="003E75D7">
        <w:t>retirement scheme</w:t>
      </w:r>
      <w:r w:rsidRPr="003E75D7">
        <w:t xml:space="preserve">. At the same time, </w:t>
      </w:r>
      <w:r w:rsidR="00A430C8" w:rsidRPr="003E75D7">
        <w:t xml:space="preserve">the organization introduced </w:t>
      </w:r>
      <w:r w:rsidRPr="003E75D7">
        <w:t xml:space="preserve">incentive schemes to motivate </w:t>
      </w:r>
      <w:r w:rsidR="00A430C8" w:rsidRPr="003E75D7">
        <w:t xml:space="preserve">and improve the performance of </w:t>
      </w:r>
      <w:r w:rsidRPr="003E75D7">
        <w:t>sales staff and officers at various levels.</w:t>
      </w:r>
    </w:p>
    <w:p w14:paraId="0FBB29C5" w14:textId="77777777" w:rsidR="00D759DA" w:rsidRPr="003E75D7" w:rsidRDefault="00D759DA" w:rsidP="0019116A">
      <w:pPr>
        <w:pStyle w:val="BodyTextMain"/>
        <w:rPr>
          <w:sz w:val="20"/>
        </w:rPr>
      </w:pPr>
    </w:p>
    <w:p w14:paraId="193523DA" w14:textId="77777777" w:rsidR="00DB003C" w:rsidRPr="003E75D7" w:rsidRDefault="00DB003C" w:rsidP="0019116A">
      <w:pPr>
        <w:pStyle w:val="BodyTextMain"/>
        <w:rPr>
          <w:sz w:val="20"/>
        </w:rPr>
      </w:pPr>
    </w:p>
    <w:p w14:paraId="07971E7C" w14:textId="7ADFB8D3" w:rsidR="00DB003C" w:rsidRPr="006C4E55" w:rsidRDefault="00D759DA" w:rsidP="00834633">
      <w:pPr>
        <w:pStyle w:val="Casehead2"/>
      </w:pPr>
      <w:r w:rsidRPr="006C4E55">
        <w:t>Tie</w:t>
      </w:r>
      <w:r w:rsidR="00DB003C" w:rsidRPr="006C4E55">
        <w:t>-Ins</w:t>
      </w:r>
      <w:r w:rsidRPr="006C4E55">
        <w:t xml:space="preserve"> with Fashion Schools and Specialist </w:t>
      </w:r>
      <w:r w:rsidR="00DB003C" w:rsidRPr="006C4E55">
        <w:t>Organizations</w:t>
      </w:r>
    </w:p>
    <w:p w14:paraId="049E4979" w14:textId="77777777" w:rsidR="00DB003C" w:rsidRPr="003E75D7" w:rsidRDefault="00DB003C" w:rsidP="0019116A">
      <w:pPr>
        <w:pStyle w:val="BodyTextMain"/>
        <w:rPr>
          <w:i/>
        </w:rPr>
      </w:pPr>
    </w:p>
    <w:p w14:paraId="1A3E2E74" w14:textId="75BF481C" w:rsidR="00D759DA" w:rsidRPr="003E75D7" w:rsidRDefault="00D759DA" w:rsidP="0019116A">
      <w:pPr>
        <w:pStyle w:val="BodyTextMain"/>
        <w:rPr>
          <w:i/>
        </w:rPr>
      </w:pPr>
      <w:r w:rsidRPr="003E75D7">
        <w:t xml:space="preserve">Co-optex </w:t>
      </w:r>
      <w:r w:rsidR="00A430C8" w:rsidRPr="003E75D7">
        <w:t>worked</w:t>
      </w:r>
      <w:r w:rsidRPr="003E75D7">
        <w:t xml:space="preserve"> with prestigious fashion and design schools in India</w:t>
      </w:r>
      <w:r w:rsidR="00E01CBB" w:rsidRPr="003E75D7">
        <w:t>—</w:t>
      </w:r>
      <w:r w:rsidRPr="003E75D7">
        <w:t>the National Institute of Fashion Technology (NIFT) and the National Institute of Design</w:t>
      </w:r>
      <w:r w:rsidR="00E01CBB" w:rsidRPr="003E75D7">
        <w:t>—</w:t>
      </w:r>
      <w:r w:rsidRPr="003E75D7">
        <w:t xml:space="preserve">to introduce new designs </w:t>
      </w:r>
      <w:r w:rsidR="00E01CBB" w:rsidRPr="003E75D7">
        <w:t xml:space="preserve">for </w:t>
      </w:r>
      <w:r w:rsidRPr="003E75D7">
        <w:t>cotton and silk saris. It also experimented with customization through an “</w:t>
      </w:r>
      <w:r w:rsidR="00270D3E" w:rsidRPr="003E75D7">
        <w:t>o</w:t>
      </w:r>
      <w:r w:rsidRPr="003E75D7">
        <w:t xml:space="preserve">rder your design sari” scheme at one of its showrooms in Chennai. Co-optex reworked its product mix strategy following demand forecasting and scientific product development and diversification. Such product development and diversification initiatives were undertaken </w:t>
      </w:r>
      <w:r w:rsidR="00270D3E" w:rsidRPr="003E75D7">
        <w:t xml:space="preserve">separately </w:t>
      </w:r>
      <w:r w:rsidRPr="003E75D7">
        <w:t>for the domestic market and for export markets.</w:t>
      </w:r>
    </w:p>
    <w:p w14:paraId="5E88E158" w14:textId="77777777" w:rsidR="00D759DA" w:rsidRPr="003E75D7" w:rsidRDefault="00D759DA" w:rsidP="0019116A">
      <w:pPr>
        <w:pStyle w:val="BodyTextMain"/>
        <w:rPr>
          <w:sz w:val="20"/>
        </w:rPr>
      </w:pPr>
    </w:p>
    <w:p w14:paraId="26AD252F" w14:textId="77777777" w:rsidR="00DB003C" w:rsidRPr="003E75D7" w:rsidRDefault="00DB003C" w:rsidP="0019116A">
      <w:pPr>
        <w:pStyle w:val="BodyTextMain"/>
        <w:rPr>
          <w:sz w:val="20"/>
        </w:rPr>
      </w:pPr>
    </w:p>
    <w:p w14:paraId="6C606EF8" w14:textId="165FCF69" w:rsidR="00DB003C" w:rsidRPr="006C4E55" w:rsidRDefault="00D759DA" w:rsidP="00A145DC">
      <w:pPr>
        <w:pStyle w:val="Casehead2"/>
      </w:pPr>
      <w:r w:rsidRPr="006C4E55">
        <w:t xml:space="preserve">Establishment of </w:t>
      </w:r>
      <w:r w:rsidR="00DB003C" w:rsidRPr="006C4E55">
        <w:t>Computer-</w:t>
      </w:r>
      <w:r w:rsidRPr="006C4E55">
        <w:t xml:space="preserve">Aided Design </w:t>
      </w:r>
      <w:r w:rsidR="00DB003C" w:rsidRPr="006C4E55">
        <w:t>Centres</w:t>
      </w:r>
    </w:p>
    <w:p w14:paraId="44F36966" w14:textId="77777777" w:rsidR="00DB003C" w:rsidRPr="003E75D7" w:rsidRDefault="00DB003C" w:rsidP="0019116A">
      <w:pPr>
        <w:pStyle w:val="BodyTextMain"/>
        <w:rPr>
          <w:i/>
        </w:rPr>
      </w:pPr>
    </w:p>
    <w:p w14:paraId="4439D891" w14:textId="01E9B589" w:rsidR="00D759DA" w:rsidRPr="003E75D7" w:rsidRDefault="00D759DA" w:rsidP="0019116A">
      <w:pPr>
        <w:pStyle w:val="BodyTextMain"/>
        <w:rPr>
          <w:i/>
        </w:rPr>
      </w:pPr>
      <w:r w:rsidRPr="003E75D7">
        <w:t xml:space="preserve">With a view to generate new designs, Co-optex initiated two </w:t>
      </w:r>
      <w:r w:rsidR="00DB003C" w:rsidRPr="003E75D7">
        <w:t xml:space="preserve">computer-aided design </w:t>
      </w:r>
      <w:r w:rsidRPr="003E75D7">
        <w:t>centres in Tamil</w:t>
      </w:r>
      <w:r w:rsidR="00270D3E" w:rsidRPr="003E75D7">
        <w:t xml:space="preserve"> Nadu</w:t>
      </w:r>
      <w:r w:rsidRPr="003E75D7">
        <w:t xml:space="preserve">. It sought the help of NIFT and </w:t>
      </w:r>
      <w:r w:rsidR="00270D3E" w:rsidRPr="003E75D7">
        <w:t xml:space="preserve">the </w:t>
      </w:r>
      <w:r w:rsidRPr="003E75D7">
        <w:t xml:space="preserve">Weavers Service Centre </w:t>
      </w:r>
      <w:r w:rsidR="00270D3E" w:rsidRPr="003E75D7">
        <w:t xml:space="preserve">to </w:t>
      </w:r>
      <w:r w:rsidRPr="003E75D7">
        <w:t xml:space="preserve">train </w:t>
      </w:r>
      <w:r w:rsidR="00270D3E" w:rsidRPr="003E75D7">
        <w:t xml:space="preserve">its </w:t>
      </w:r>
      <w:r w:rsidRPr="003E75D7">
        <w:t xml:space="preserve">design staff in </w:t>
      </w:r>
      <w:r w:rsidR="00270D3E" w:rsidRPr="003E75D7">
        <w:t>computer-</w:t>
      </w:r>
      <w:r w:rsidRPr="003E75D7">
        <w:t xml:space="preserve">aided designs. Further, with a view to </w:t>
      </w:r>
      <w:r w:rsidR="00270D3E" w:rsidRPr="003E75D7">
        <w:t xml:space="preserve">upgrading the </w:t>
      </w:r>
      <w:r w:rsidRPr="003E75D7">
        <w:t>technological and weaving skills of women weavers, Co-optex initiated training programs on weaving, designing</w:t>
      </w:r>
      <w:r w:rsidR="00270D3E" w:rsidRPr="003E75D7">
        <w:t>,</w:t>
      </w:r>
      <w:r w:rsidRPr="003E75D7">
        <w:t xml:space="preserve"> and dyeing for about 1</w:t>
      </w:r>
      <w:r w:rsidR="00270D3E" w:rsidRPr="003E75D7">
        <w:t>,</w:t>
      </w:r>
      <w:r w:rsidRPr="003E75D7">
        <w:t>000 women weavers</w:t>
      </w:r>
      <w:r w:rsidR="00270D3E" w:rsidRPr="003E75D7">
        <w:t>,</w:t>
      </w:r>
      <w:r w:rsidRPr="003E75D7">
        <w:t xml:space="preserve"> in batches of 50.</w:t>
      </w:r>
    </w:p>
    <w:p w14:paraId="7A360638" w14:textId="77777777" w:rsidR="00D759DA" w:rsidRPr="003E75D7" w:rsidRDefault="00D759DA" w:rsidP="0019116A">
      <w:pPr>
        <w:pStyle w:val="BodyTextMain"/>
        <w:rPr>
          <w:sz w:val="20"/>
        </w:rPr>
      </w:pPr>
    </w:p>
    <w:p w14:paraId="5B783E62" w14:textId="77777777" w:rsidR="00DB003C" w:rsidRPr="003E75D7" w:rsidRDefault="00DB003C" w:rsidP="0019116A">
      <w:pPr>
        <w:pStyle w:val="BodyTextMain"/>
        <w:rPr>
          <w:sz w:val="20"/>
        </w:rPr>
      </w:pPr>
    </w:p>
    <w:p w14:paraId="24E19089" w14:textId="56DB94BF" w:rsidR="00DB003C" w:rsidRPr="006C4E55" w:rsidRDefault="00D759DA" w:rsidP="00A145DC">
      <w:pPr>
        <w:pStyle w:val="Casehead2"/>
      </w:pPr>
      <w:r w:rsidRPr="006C4E55">
        <w:t>New Showrooms</w:t>
      </w:r>
    </w:p>
    <w:p w14:paraId="545CDEA4" w14:textId="77777777" w:rsidR="00DB003C" w:rsidRPr="003E75D7" w:rsidRDefault="00DB003C" w:rsidP="0019116A">
      <w:pPr>
        <w:pStyle w:val="BodyTextMain"/>
        <w:rPr>
          <w:i/>
        </w:rPr>
      </w:pPr>
    </w:p>
    <w:p w14:paraId="0599807E" w14:textId="7DE607DB" w:rsidR="00D759DA" w:rsidRPr="003E75D7" w:rsidRDefault="00D759DA" w:rsidP="0019116A">
      <w:pPr>
        <w:pStyle w:val="BodyTextMain"/>
        <w:rPr>
          <w:i/>
        </w:rPr>
      </w:pPr>
      <w:r w:rsidRPr="003E75D7">
        <w:t>Co-optex, which had been limited to the southern part of India, expanded its showrooms to other Indian states</w:t>
      </w:r>
      <w:r w:rsidR="00270D3E" w:rsidRPr="003E75D7">
        <w:t>,</w:t>
      </w:r>
      <w:r w:rsidRPr="003E75D7">
        <w:t xml:space="preserve"> chiefly </w:t>
      </w:r>
      <w:r w:rsidR="00270D3E" w:rsidRPr="003E75D7">
        <w:t xml:space="preserve">in </w:t>
      </w:r>
      <w:r w:rsidRPr="003E75D7">
        <w:t>northern and central India</w:t>
      </w:r>
      <w:r w:rsidR="00270D3E" w:rsidRPr="003E75D7">
        <w:t xml:space="preserve">, </w:t>
      </w:r>
      <w:r w:rsidRPr="003E75D7">
        <w:t xml:space="preserve">as part of the restructuring exercise in 2002. After the </w:t>
      </w:r>
      <w:r w:rsidR="00270D3E" w:rsidRPr="003E75D7">
        <w:t>g</w:t>
      </w:r>
      <w:r w:rsidRPr="003E75D7">
        <w:t>overnment of Tamil</w:t>
      </w:r>
      <w:r w:rsidR="00270D3E" w:rsidRPr="003E75D7">
        <w:t xml:space="preserve"> Nadu </w:t>
      </w:r>
      <w:r w:rsidRPr="003E75D7">
        <w:t>permitted co</w:t>
      </w:r>
      <w:r w:rsidR="006A7B4B" w:rsidRPr="003E75D7">
        <w:t>-</w:t>
      </w:r>
      <w:r w:rsidRPr="003E75D7">
        <w:t>operative power</w:t>
      </w:r>
      <w:r w:rsidR="006A7B4B" w:rsidRPr="003E75D7">
        <w:t>-</w:t>
      </w:r>
      <w:r w:rsidRPr="003E75D7">
        <w:t>loom weavers’ societies to become Co-optex members, Co-optex set up a showroom to market power</w:t>
      </w:r>
      <w:r w:rsidR="006A7B4B" w:rsidRPr="003E75D7">
        <w:t>-</w:t>
      </w:r>
      <w:r w:rsidRPr="003E75D7">
        <w:t>loom fabrics in 2002. Power</w:t>
      </w:r>
      <w:r w:rsidR="006A7B4B" w:rsidRPr="003E75D7">
        <w:t>-</w:t>
      </w:r>
      <w:r w:rsidRPr="003E75D7">
        <w:t xml:space="preserve">loom </w:t>
      </w:r>
      <w:r w:rsidR="00270D3E" w:rsidRPr="003E75D7">
        <w:t xml:space="preserve">production </w:t>
      </w:r>
      <w:r w:rsidRPr="003E75D7">
        <w:t xml:space="preserve">was an important area of diversification for Co-optex, since it helped </w:t>
      </w:r>
      <w:r w:rsidR="00270D3E" w:rsidRPr="003E75D7">
        <w:t>these weavers</w:t>
      </w:r>
      <w:r w:rsidRPr="003E75D7">
        <w:t xml:space="preserve"> boost their institutional sales through their cost competitiveness.</w:t>
      </w:r>
    </w:p>
    <w:p w14:paraId="6CE315D9" w14:textId="77777777" w:rsidR="00D759DA" w:rsidRPr="003E75D7" w:rsidRDefault="00D759DA" w:rsidP="0019116A">
      <w:pPr>
        <w:pStyle w:val="BodyTextMain"/>
        <w:rPr>
          <w:sz w:val="20"/>
        </w:rPr>
      </w:pPr>
    </w:p>
    <w:p w14:paraId="2EFE2C4A" w14:textId="77777777" w:rsidR="00DB003C" w:rsidRPr="003E75D7" w:rsidRDefault="00DB003C" w:rsidP="0019116A">
      <w:pPr>
        <w:pStyle w:val="BodyTextMain"/>
        <w:rPr>
          <w:sz w:val="20"/>
        </w:rPr>
      </w:pPr>
    </w:p>
    <w:p w14:paraId="78C1573D" w14:textId="58121ABB" w:rsidR="00DB003C" w:rsidRPr="006C4E55" w:rsidRDefault="00D759DA" w:rsidP="00A145DC">
      <w:pPr>
        <w:pStyle w:val="Casehead2"/>
        <w:keepNext/>
        <w:keepLines/>
      </w:pPr>
      <w:r w:rsidRPr="006C4E55">
        <w:lastRenderedPageBreak/>
        <w:t xml:space="preserve">Reduction in </w:t>
      </w:r>
      <w:r w:rsidR="00DB003C" w:rsidRPr="006C4E55">
        <w:t>Expenditure</w:t>
      </w:r>
      <w:r w:rsidR="00270D3E" w:rsidRPr="006C4E55">
        <w:t>s</w:t>
      </w:r>
      <w:r w:rsidR="00DB003C" w:rsidRPr="006C4E55">
        <w:t xml:space="preserve"> on Discounts, Commissions</w:t>
      </w:r>
      <w:r w:rsidR="000B5C44" w:rsidRPr="006C4E55">
        <w:t>,</w:t>
      </w:r>
      <w:r w:rsidR="00DB003C" w:rsidRPr="006C4E55">
        <w:t xml:space="preserve"> and Interest Charges</w:t>
      </w:r>
    </w:p>
    <w:p w14:paraId="2FDCB7AC" w14:textId="77777777" w:rsidR="00DB003C" w:rsidRPr="003E75D7" w:rsidRDefault="00DB003C" w:rsidP="00A145DC">
      <w:pPr>
        <w:pStyle w:val="BodyTextMain"/>
        <w:keepNext/>
        <w:keepLines/>
        <w:rPr>
          <w:i/>
        </w:rPr>
      </w:pPr>
    </w:p>
    <w:p w14:paraId="5ECA08E3" w14:textId="653CCA08" w:rsidR="00D759DA" w:rsidRPr="003E75D7" w:rsidRDefault="00D759DA" w:rsidP="00A145DC">
      <w:pPr>
        <w:pStyle w:val="BodyTextMain"/>
        <w:keepNext/>
        <w:keepLines/>
        <w:rPr>
          <w:i/>
        </w:rPr>
      </w:pPr>
      <w:r w:rsidRPr="003E75D7">
        <w:t>As part of the restructuring exercise, Co-optex sought to reduce expenditures on discounts, commissions</w:t>
      </w:r>
      <w:r w:rsidR="00270D3E" w:rsidRPr="003E75D7">
        <w:t>,</w:t>
      </w:r>
      <w:r w:rsidRPr="003E75D7">
        <w:t xml:space="preserve"> and interest charges </w:t>
      </w:r>
      <w:r w:rsidR="00270D3E" w:rsidRPr="003E75D7">
        <w:t>by</w:t>
      </w:r>
      <w:r w:rsidRPr="003E75D7">
        <w:t xml:space="preserve"> $2.1 million by adopting measures including effective inventory control, prudent product indenting, procurement of products </w:t>
      </w:r>
      <w:r w:rsidR="000B5C44" w:rsidRPr="003E75D7">
        <w:t>that aligned</w:t>
      </w:r>
      <w:r w:rsidRPr="003E75D7">
        <w:t xml:space="preserve"> with customers’ tastes, effective transfer of surplus stocks from the excess to the deficit showrooms, effective stock maintenance</w:t>
      </w:r>
      <w:r w:rsidR="00270D3E" w:rsidRPr="003E75D7">
        <w:t>,</w:t>
      </w:r>
      <w:r w:rsidRPr="003E75D7">
        <w:t xml:space="preserve"> and stock handling at counters and warehouses.</w:t>
      </w:r>
    </w:p>
    <w:p w14:paraId="07C3CB67" w14:textId="77777777" w:rsidR="00D759DA" w:rsidRPr="003E75D7" w:rsidRDefault="00D759DA" w:rsidP="0019116A">
      <w:pPr>
        <w:pStyle w:val="BodyTextMain"/>
        <w:rPr>
          <w:sz w:val="20"/>
        </w:rPr>
      </w:pPr>
    </w:p>
    <w:p w14:paraId="7D5EE736" w14:textId="7CC85A83" w:rsidR="00D759DA" w:rsidRPr="003E75D7" w:rsidRDefault="00D759DA" w:rsidP="0019116A">
      <w:pPr>
        <w:pStyle w:val="BodyTextMain"/>
      </w:pPr>
      <w:r w:rsidRPr="003E75D7">
        <w:t xml:space="preserve">The restructuring exercise bore fruit. In </w:t>
      </w:r>
      <w:r w:rsidR="00ED6C77" w:rsidRPr="003E75D7">
        <w:t xml:space="preserve">FY </w:t>
      </w:r>
      <w:r w:rsidRPr="003E75D7">
        <w:t>2005</w:t>
      </w:r>
      <w:r w:rsidR="00270D3E" w:rsidRPr="003E75D7">
        <w:t>–</w:t>
      </w:r>
      <w:r w:rsidRPr="003E75D7">
        <w:t xml:space="preserve">06, Co-optex was able to achieve both positive sales of $95.37 million and profits of $0.48 million. However, its accumulated losses, which had reached a peak of $19.03 million in </w:t>
      </w:r>
      <w:r w:rsidR="00ED6C77" w:rsidRPr="003E75D7">
        <w:t xml:space="preserve">FY </w:t>
      </w:r>
      <w:r w:rsidRPr="003E75D7">
        <w:t>2004</w:t>
      </w:r>
      <w:r w:rsidR="00270D3E" w:rsidRPr="003E75D7">
        <w:t>–</w:t>
      </w:r>
      <w:r w:rsidRPr="003E75D7">
        <w:t>05, remained worrisome</w:t>
      </w:r>
      <w:r w:rsidR="00270D3E" w:rsidRPr="003E75D7">
        <w:t xml:space="preserve"> even though they were declining</w:t>
      </w:r>
      <w:r w:rsidRPr="003E75D7">
        <w:t xml:space="preserve">. In </w:t>
      </w:r>
      <w:r w:rsidR="00ED6C77" w:rsidRPr="003E75D7">
        <w:t xml:space="preserve">FY </w:t>
      </w:r>
      <w:r w:rsidRPr="003E75D7">
        <w:t>2011</w:t>
      </w:r>
      <w:r w:rsidR="00270D3E" w:rsidRPr="003E75D7">
        <w:t>–</w:t>
      </w:r>
      <w:r w:rsidRPr="003E75D7">
        <w:t>12, the co</w:t>
      </w:r>
      <w:r w:rsidR="00270D3E" w:rsidRPr="003E75D7">
        <w:t>-</w:t>
      </w:r>
      <w:r w:rsidRPr="003E75D7">
        <w:t>operative experienced a sharp decline in profits</w:t>
      </w:r>
      <w:r w:rsidR="00270D3E" w:rsidRPr="003E75D7">
        <w:t>—</w:t>
      </w:r>
      <w:r w:rsidRPr="003E75D7">
        <w:t>to $1.1 million from $6.5 million in the previous year. In 2013, with sales of $44.97 million and profits of $2.61 million</w:t>
      </w:r>
      <w:r w:rsidR="00270D3E" w:rsidRPr="003E75D7">
        <w:t>—</w:t>
      </w:r>
      <w:r w:rsidRPr="003E75D7">
        <w:t>better than any other state handloom co</w:t>
      </w:r>
      <w:r w:rsidR="005035A0" w:rsidRPr="003E75D7">
        <w:t>-</w:t>
      </w:r>
      <w:r w:rsidRPr="003E75D7">
        <w:t>operative society in India</w:t>
      </w:r>
      <w:r w:rsidR="005035A0" w:rsidRPr="003E75D7">
        <w:t>—</w:t>
      </w:r>
      <w:r w:rsidRPr="003E75D7">
        <w:t xml:space="preserve">Co-optex was declared the </w:t>
      </w:r>
      <w:r w:rsidR="005035A0" w:rsidRPr="003E75D7">
        <w:t>number</w:t>
      </w:r>
      <w:r w:rsidRPr="003E75D7">
        <w:t xml:space="preserve"> 1 apex handloom co-operative society in the country (</w:t>
      </w:r>
      <w:r w:rsidR="005035A0" w:rsidRPr="003E75D7">
        <w:t>s</w:t>
      </w:r>
      <w:r w:rsidRPr="003E75D7">
        <w:t>ee Exhibit 4). However, profits again dipped by 77 per cent in</w:t>
      </w:r>
      <w:r w:rsidR="00ED6C77" w:rsidRPr="003E75D7">
        <w:t xml:space="preserve"> FY </w:t>
      </w:r>
      <w:r w:rsidRPr="003E75D7">
        <w:t>2014</w:t>
      </w:r>
      <w:r w:rsidR="005035A0" w:rsidRPr="003E75D7">
        <w:t>–</w:t>
      </w:r>
      <w:r w:rsidRPr="003E75D7">
        <w:t xml:space="preserve">15, creating </w:t>
      </w:r>
      <w:r w:rsidR="005035A0" w:rsidRPr="003E75D7">
        <w:t xml:space="preserve">the </w:t>
      </w:r>
      <w:r w:rsidRPr="003E75D7">
        <w:t>spectre of another period of financial decline and erosion of net worth.</w:t>
      </w:r>
    </w:p>
    <w:p w14:paraId="3CD8F6AE" w14:textId="77777777" w:rsidR="00D759DA" w:rsidRPr="003E75D7" w:rsidRDefault="00D759DA" w:rsidP="0019116A">
      <w:pPr>
        <w:pStyle w:val="BodyTextMain"/>
        <w:rPr>
          <w:sz w:val="20"/>
        </w:rPr>
      </w:pPr>
    </w:p>
    <w:p w14:paraId="6A7C58FC" w14:textId="77777777" w:rsidR="00D759DA" w:rsidRPr="003E75D7" w:rsidRDefault="00D759DA" w:rsidP="0019116A">
      <w:pPr>
        <w:pStyle w:val="BodyTextMain"/>
        <w:rPr>
          <w:sz w:val="20"/>
        </w:rPr>
      </w:pPr>
    </w:p>
    <w:p w14:paraId="3F6EAB57" w14:textId="0350E9AE" w:rsidR="00D759DA" w:rsidRPr="003E75D7" w:rsidRDefault="00D759DA" w:rsidP="0019116A">
      <w:pPr>
        <w:pStyle w:val="BodyTextMain"/>
        <w:rPr>
          <w:rFonts w:ascii="Arial" w:hAnsi="Arial" w:cs="Arial"/>
          <w:b/>
          <w:sz w:val="20"/>
          <w:szCs w:val="20"/>
        </w:rPr>
      </w:pPr>
      <w:r w:rsidRPr="003E75D7">
        <w:rPr>
          <w:rFonts w:ascii="Arial" w:hAnsi="Arial" w:cs="Arial"/>
          <w:b/>
          <w:sz w:val="20"/>
          <w:szCs w:val="20"/>
        </w:rPr>
        <w:t>THE TURNAROUND STRATEGY</w:t>
      </w:r>
    </w:p>
    <w:p w14:paraId="13B002BF" w14:textId="77777777" w:rsidR="00D759DA" w:rsidRPr="003E75D7" w:rsidRDefault="00D759DA" w:rsidP="0019116A">
      <w:pPr>
        <w:pStyle w:val="BodyTextMain"/>
        <w:rPr>
          <w:sz w:val="20"/>
        </w:rPr>
      </w:pPr>
    </w:p>
    <w:p w14:paraId="62662091" w14:textId="2D455165" w:rsidR="00D759DA" w:rsidRPr="003E75D7" w:rsidRDefault="00D759DA" w:rsidP="0019116A">
      <w:pPr>
        <w:pStyle w:val="BodyTextMain"/>
      </w:pPr>
      <w:r w:rsidRPr="003E75D7">
        <w:t xml:space="preserve">Venkatesh decided to understand the problems Co-optex faced in depth before working out a strategy to turn </w:t>
      </w:r>
      <w:r w:rsidR="005035A0" w:rsidRPr="003E75D7">
        <w:t xml:space="preserve">the co-operative </w:t>
      </w:r>
      <w:r w:rsidRPr="003E75D7">
        <w:t xml:space="preserve">around. He went back to a study that Co-optex had commissioned in 2011 to identify the key problems. On the basis of the study and by talking to weavers directly, Venkatesh </w:t>
      </w:r>
      <w:r w:rsidR="005035A0" w:rsidRPr="003E75D7">
        <w:t xml:space="preserve">identified </w:t>
      </w:r>
      <w:r w:rsidRPr="003E75D7">
        <w:t xml:space="preserve">the problems faced by handlooms on </w:t>
      </w:r>
      <w:r w:rsidR="00DC0291">
        <w:t xml:space="preserve">both </w:t>
      </w:r>
      <w:r w:rsidRPr="003E75D7">
        <w:t>the demand and supply side.</w:t>
      </w:r>
    </w:p>
    <w:p w14:paraId="02FC49F3" w14:textId="77777777" w:rsidR="00D759DA" w:rsidRPr="003E75D7" w:rsidRDefault="00D759DA" w:rsidP="0019116A">
      <w:pPr>
        <w:pStyle w:val="BodyTextMain"/>
        <w:rPr>
          <w:sz w:val="20"/>
        </w:rPr>
      </w:pPr>
    </w:p>
    <w:p w14:paraId="23AD98A4" w14:textId="10B5C8D4" w:rsidR="00D759DA" w:rsidRPr="003E75D7" w:rsidRDefault="005035A0" w:rsidP="0019116A">
      <w:pPr>
        <w:pStyle w:val="BodyTextMain"/>
      </w:pPr>
      <w:r w:rsidRPr="003E75D7">
        <w:t>Through</w:t>
      </w:r>
      <w:r w:rsidR="00D759DA" w:rsidRPr="003E75D7">
        <w:t xml:space="preserve"> the </w:t>
      </w:r>
      <w:r w:rsidR="00D759DA" w:rsidRPr="00A145DC">
        <w:rPr>
          <w:i/>
        </w:rPr>
        <w:t>Handlooms (Reservation of Articles for Production) Act</w:t>
      </w:r>
      <w:r w:rsidRPr="00A145DC">
        <w:rPr>
          <w:i/>
        </w:rPr>
        <w:t>,</w:t>
      </w:r>
      <w:r w:rsidR="00D759DA" w:rsidRPr="00A145DC">
        <w:rPr>
          <w:i/>
        </w:rPr>
        <w:t xml:space="preserve"> 1985</w:t>
      </w:r>
      <w:r w:rsidRPr="00A145DC">
        <w:t>, the government</w:t>
      </w:r>
      <w:r w:rsidR="00D759DA" w:rsidRPr="003E75D7">
        <w:t xml:space="preserve"> had prevented power</w:t>
      </w:r>
      <w:r w:rsidR="006A7B4B" w:rsidRPr="003E75D7">
        <w:t>-</w:t>
      </w:r>
      <w:r w:rsidR="00D759DA" w:rsidRPr="003E75D7">
        <w:t>loom</w:t>
      </w:r>
      <w:r w:rsidRPr="003E75D7">
        <w:t xml:space="preserve"> weaver</w:t>
      </w:r>
      <w:r w:rsidR="00D759DA" w:rsidRPr="003E75D7">
        <w:t xml:space="preserve">s from weaving </w:t>
      </w:r>
      <w:r w:rsidR="00DC0291">
        <w:t>or</w:t>
      </w:r>
      <w:r w:rsidRPr="003E75D7">
        <w:t xml:space="preserve"> copying the designs of </w:t>
      </w:r>
      <w:r w:rsidR="00D759DA" w:rsidRPr="003E75D7">
        <w:t xml:space="preserve">22 </w:t>
      </w:r>
      <w:r w:rsidRPr="003E75D7">
        <w:t xml:space="preserve">handloom </w:t>
      </w:r>
      <w:r w:rsidR="00D759DA" w:rsidRPr="003E75D7">
        <w:t>items</w:t>
      </w:r>
      <w:r w:rsidRPr="003E75D7">
        <w:t>,</w:t>
      </w:r>
      <w:r w:rsidR="00D759DA" w:rsidRPr="003E75D7">
        <w:t xml:space="preserve"> including cotton</w:t>
      </w:r>
      <w:r w:rsidRPr="003E75D7">
        <w:t>,</w:t>
      </w:r>
      <w:r w:rsidR="00D759DA" w:rsidRPr="003E75D7">
        <w:t xml:space="preserve"> silk</w:t>
      </w:r>
      <w:r w:rsidRPr="003E75D7">
        <w:t>, and blended</w:t>
      </w:r>
      <w:r w:rsidR="00D759DA" w:rsidRPr="003E75D7">
        <w:t xml:space="preserve"> saris</w:t>
      </w:r>
      <w:r w:rsidRPr="003E75D7">
        <w:t>;</w:t>
      </w:r>
      <w:r w:rsidR="00D759DA" w:rsidRPr="003E75D7">
        <w:t xml:space="preserve"> dhotis</w:t>
      </w:r>
      <w:r w:rsidRPr="003E75D7">
        <w:t xml:space="preserve">; </w:t>
      </w:r>
      <w:r w:rsidR="00D759DA" w:rsidRPr="003E75D7">
        <w:t>lungis</w:t>
      </w:r>
      <w:r w:rsidRPr="003E75D7">
        <w:t xml:space="preserve">; </w:t>
      </w:r>
      <w:r w:rsidR="00D759DA" w:rsidRPr="003E75D7">
        <w:t>bedsheets</w:t>
      </w:r>
      <w:r w:rsidRPr="003E75D7">
        <w:t xml:space="preserve">; </w:t>
      </w:r>
      <w:r w:rsidR="00D759DA" w:rsidRPr="003E75D7">
        <w:t>bedcovers</w:t>
      </w:r>
      <w:r w:rsidRPr="003E75D7">
        <w:t>;</w:t>
      </w:r>
      <w:r w:rsidR="00D759DA" w:rsidRPr="003E75D7">
        <w:t xml:space="preserve"> and furnishings</w:t>
      </w:r>
      <w:r w:rsidRPr="003E75D7">
        <w:t>.</w:t>
      </w:r>
      <w:r w:rsidR="00D759DA" w:rsidRPr="003E75D7">
        <w:rPr>
          <w:rStyle w:val="EndnoteReference"/>
        </w:rPr>
        <w:endnoteReference w:id="17"/>
      </w:r>
      <w:r w:rsidR="00D759DA" w:rsidRPr="003E75D7">
        <w:t xml:space="preserve"> However, lax regulatory norms meant that power</w:t>
      </w:r>
      <w:r w:rsidR="006A7B4B" w:rsidRPr="003E75D7">
        <w:t>-</w:t>
      </w:r>
      <w:r w:rsidR="00D759DA" w:rsidRPr="003E75D7">
        <w:t>loom</w:t>
      </w:r>
      <w:r w:rsidRPr="003E75D7">
        <w:t xml:space="preserve"> weaver</w:t>
      </w:r>
      <w:r w:rsidR="00D759DA" w:rsidRPr="003E75D7">
        <w:t xml:space="preserve">s regularly imitated the designs of handloom products and produced such products much </w:t>
      </w:r>
      <w:r w:rsidRPr="003E75D7">
        <w:t>more cheaply and</w:t>
      </w:r>
      <w:r w:rsidR="00D759DA" w:rsidRPr="003E75D7">
        <w:t xml:space="preserve"> </w:t>
      </w:r>
      <w:r w:rsidRPr="003E75D7">
        <w:t>quickly</w:t>
      </w:r>
      <w:r w:rsidR="00D759DA" w:rsidRPr="003E75D7">
        <w:t xml:space="preserve">. Thus, for instance, a handloom weaver spent a minimum of </w:t>
      </w:r>
      <w:r w:rsidRPr="003E75D7">
        <w:t>four to five</w:t>
      </w:r>
      <w:r w:rsidR="00D759DA" w:rsidRPr="003E75D7">
        <w:t xml:space="preserve"> days weaving a sari, for which he was paid </w:t>
      </w:r>
      <w:r w:rsidRPr="00A145DC">
        <w:rPr>
          <w:rFonts w:ascii="Arial" w:hAnsi="Arial" w:cs="Arial"/>
          <w:sz w:val="20"/>
          <w:szCs w:val="20"/>
        </w:rPr>
        <w:t>₹</w:t>
      </w:r>
      <w:r w:rsidR="00D759DA" w:rsidRPr="003E75D7">
        <w:t>300</w:t>
      </w:r>
      <w:r w:rsidRPr="003E75D7">
        <w:t>–</w:t>
      </w:r>
      <w:r w:rsidRPr="003E75D7">
        <w:rPr>
          <w:rFonts w:ascii="Arial" w:hAnsi="Arial" w:cs="Arial"/>
          <w:sz w:val="20"/>
          <w:szCs w:val="20"/>
        </w:rPr>
        <w:t>₹</w:t>
      </w:r>
      <w:r w:rsidR="00D759DA" w:rsidRPr="003E75D7">
        <w:t>500 ($5</w:t>
      </w:r>
      <w:r w:rsidRPr="003E75D7">
        <w:t>–$</w:t>
      </w:r>
      <w:r w:rsidR="00D759DA" w:rsidRPr="003E75D7">
        <w:t>8). A power</w:t>
      </w:r>
      <w:r w:rsidR="006A7B4B" w:rsidRPr="003E75D7">
        <w:t>-</w:t>
      </w:r>
      <w:r w:rsidR="00D759DA" w:rsidRPr="003E75D7">
        <w:t xml:space="preserve">loom weaver, on the other hand, could weave a maximum of </w:t>
      </w:r>
      <w:r w:rsidRPr="003E75D7">
        <w:t>four to five</w:t>
      </w:r>
      <w:r w:rsidR="00D759DA" w:rsidRPr="003E75D7">
        <w:t xml:space="preserve"> saris per day if faced with no power cuts. Such a weaver was paid </w:t>
      </w:r>
      <w:r w:rsidRPr="003E75D7">
        <w:rPr>
          <w:rFonts w:ascii="Arial" w:hAnsi="Arial" w:cs="Arial"/>
          <w:sz w:val="20"/>
          <w:szCs w:val="20"/>
        </w:rPr>
        <w:t>₹</w:t>
      </w:r>
      <w:r w:rsidR="00D759DA" w:rsidRPr="003E75D7">
        <w:t>5</w:t>
      </w:r>
      <w:r w:rsidRPr="003E75D7">
        <w:t>–</w:t>
      </w:r>
      <w:r w:rsidRPr="003E75D7">
        <w:rPr>
          <w:rFonts w:ascii="Arial" w:hAnsi="Arial" w:cs="Arial"/>
          <w:sz w:val="20"/>
          <w:szCs w:val="20"/>
        </w:rPr>
        <w:t>₹</w:t>
      </w:r>
      <w:r w:rsidR="00D759DA" w:rsidRPr="003E75D7">
        <w:t>10 ($0.08</w:t>
      </w:r>
      <w:r w:rsidRPr="003E75D7">
        <w:t>–$</w:t>
      </w:r>
      <w:r w:rsidR="0072262D">
        <w:t>0</w:t>
      </w:r>
      <w:r w:rsidR="00D759DA" w:rsidRPr="003E75D7">
        <w:t>.16) per metre</w:t>
      </w:r>
      <w:r w:rsidR="005F2EAA" w:rsidRPr="003E75D7">
        <w:t xml:space="preserve"> on average</w:t>
      </w:r>
      <w:r w:rsidR="00D759DA" w:rsidRPr="003E75D7">
        <w:t xml:space="preserve">. Thus, weaving </w:t>
      </w:r>
      <w:r w:rsidR="00757FDD" w:rsidRPr="003E75D7">
        <w:t>four to five</w:t>
      </w:r>
      <w:r w:rsidR="00D759DA" w:rsidRPr="003E75D7">
        <w:t xml:space="preserve"> saris</w:t>
      </w:r>
      <w:r w:rsidR="00757FDD" w:rsidRPr="003E75D7">
        <w:t xml:space="preserve"> per day, </w:t>
      </w:r>
      <w:r w:rsidR="00D759DA" w:rsidRPr="003E75D7">
        <w:t xml:space="preserve">each measuring </w:t>
      </w:r>
      <w:r w:rsidR="00757FDD" w:rsidRPr="003E75D7">
        <w:t xml:space="preserve">six </w:t>
      </w:r>
      <w:r w:rsidR="00D759DA" w:rsidRPr="003E75D7">
        <w:t>metres in length</w:t>
      </w:r>
      <w:r w:rsidR="00757FDD" w:rsidRPr="003E75D7">
        <w:t xml:space="preserve">, </w:t>
      </w:r>
      <w:r w:rsidR="00D759DA" w:rsidRPr="003E75D7">
        <w:t xml:space="preserve">a weaver could expect to earn anywhere between </w:t>
      </w:r>
      <w:r w:rsidR="00757FDD" w:rsidRPr="003E75D7">
        <w:rPr>
          <w:rFonts w:ascii="Arial" w:hAnsi="Arial" w:cs="Arial"/>
          <w:sz w:val="20"/>
          <w:szCs w:val="20"/>
        </w:rPr>
        <w:t>₹</w:t>
      </w:r>
      <w:r w:rsidR="00D759DA" w:rsidRPr="003E75D7">
        <w:t>3</w:t>
      </w:r>
      <w:r w:rsidR="00757FDD" w:rsidRPr="003E75D7">
        <w:t>,</w:t>
      </w:r>
      <w:r w:rsidR="00D759DA" w:rsidRPr="003E75D7">
        <w:t>600</w:t>
      </w:r>
      <w:r w:rsidR="00757FDD" w:rsidRPr="003E75D7">
        <w:t xml:space="preserve"> and </w:t>
      </w:r>
      <w:r w:rsidR="00757FDD" w:rsidRPr="003E75D7">
        <w:rPr>
          <w:rFonts w:ascii="Arial" w:hAnsi="Arial" w:cs="Arial"/>
          <w:sz w:val="20"/>
          <w:szCs w:val="20"/>
        </w:rPr>
        <w:t>₹</w:t>
      </w:r>
      <w:r w:rsidR="00D759DA" w:rsidRPr="003E75D7">
        <w:t>9</w:t>
      </w:r>
      <w:r w:rsidR="00757FDD" w:rsidRPr="003E75D7">
        <w:t>,</w:t>
      </w:r>
      <w:r w:rsidR="00D759DA" w:rsidRPr="003E75D7">
        <w:t>000 ($</w:t>
      </w:r>
      <w:r w:rsidR="00EA75AE">
        <w:t>57</w:t>
      </w:r>
      <w:r w:rsidR="00757FDD" w:rsidRPr="003E75D7">
        <w:t>–$</w:t>
      </w:r>
      <w:r w:rsidR="00EA75AE">
        <w:t>144</w:t>
      </w:r>
      <w:r w:rsidR="00D759DA" w:rsidRPr="003E75D7">
        <w:t xml:space="preserve">) per month, as opposed to the maximum earning potential of </w:t>
      </w:r>
      <w:r w:rsidR="00757FDD" w:rsidRPr="003E75D7">
        <w:rPr>
          <w:rFonts w:ascii="Arial" w:hAnsi="Arial" w:cs="Arial"/>
          <w:sz w:val="20"/>
          <w:szCs w:val="20"/>
        </w:rPr>
        <w:t>₹</w:t>
      </w:r>
      <w:r w:rsidR="00D759DA" w:rsidRPr="003E75D7">
        <w:t>1</w:t>
      </w:r>
      <w:r w:rsidR="00757FDD" w:rsidRPr="003E75D7">
        <w:t>,</w:t>
      </w:r>
      <w:r w:rsidR="00D759DA" w:rsidRPr="003E75D7">
        <w:t>800</w:t>
      </w:r>
      <w:r w:rsidR="00757FDD" w:rsidRPr="003E75D7">
        <w:t>–</w:t>
      </w:r>
      <w:r w:rsidR="00757FDD" w:rsidRPr="003E75D7">
        <w:rPr>
          <w:rFonts w:ascii="Arial" w:hAnsi="Arial" w:cs="Arial"/>
          <w:sz w:val="20"/>
          <w:szCs w:val="20"/>
        </w:rPr>
        <w:t>₹</w:t>
      </w:r>
      <w:r w:rsidR="00D759DA" w:rsidRPr="003E75D7">
        <w:t>3</w:t>
      </w:r>
      <w:r w:rsidR="00757FDD" w:rsidRPr="003E75D7">
        <w:t>,</w:t>
      </w:r>
      <w:r w:rsidR="00D759DA" w:rsidRPr="003E75D7">
        <w:t>000 ($29</w:t>
      </w:r>
      <w:r w:rsidR="00757FDD" w:rsidRPr="003E75D7">
        <w:t>–$</w:t>
      </w:r>
      <w:r w:rsidR="00D759DA" w:rsidRPr="003E75D7">
        <w:t>4</w:t>
      </w:r>
      <w:r w:rsidR="000342AA">
        <w:t>8</w:t>
      </w:r>
      <w:r w:rsidR="00D759DA" w:rsidRPr="003E75D7">
        <w:t xml:space="preserve">) per month for </w:t>
      </w:r>
      <w:r w:rsidR="00757FDD" w:rsidRPr="003E75D7">
        <w:t xml:space="preserve">a </w:t>
      </w:r>
      <w:r w:rsidR="00D759DA" w:rsidRPr="003E75D7">
        <w:t>handloom sari weaver</w:t>
      </w:r>
      <w:r w:rsidR="004F608A">
        <w:t>.</w:t>
      </w:r>
      <w:r w:rsidR="00D759DA" w:rsidRPr="003E75D7">
        <w:t xml:space="preserve"> Further, whereas handloom</w:t>
      </w:r>
      <w:r w:rsidR="00757FDD" w:rsidRPr="003E75D7">
        <w:t xml:space="preserve"> weaving</w:t>
      </w:r>
      <w:r w:rsidR="00D759DA" w:rsidRPr="003E75D7">
        <w:t xml:space="preserve"> was a labo</w:t>
      </w:r>
      <w:r w:rsidR="004F4F6E" w:rsidRPr="003E75D7">
        <w:t>u</w:t>
      </w:r>
      <w:r w:rsidR="00D759DA" w:rsidRPr="003E75D7">
        <w:t>r-intensive activity</w:t>
      </w:r>
      <w:r w:rsidR="00757FDD" w:rsidRPr="003E75D7">
        <w:t xml:space="preserve"> that required </w:t>
      </w:r>
      <w:r w:rsidR="00D759DA" w:rsidRPr="003E75D7">
        <w:t>skills during both the weaving and post-weaving stages, power</w:t>
      </w:r>
      <w:r w:rsidR="006A7B4B" w:rsidRPr="003E75D7">
        <w:t>-</w:t>
      </w:r>
      <w:r w:rsidR="00D759DA" w:rsidRPr="003E75D7">
        <w:t xml:space="preserve">loom </w:t>
      </w:r>
      <w:r w:rsidR="00757FDD" w:rsidRPr="003E75D7">
        <w:t xml:space="preserve">weaving </w:t>
      </w:r>
      <w:r w:rsidR="00D759DA" w:rsidRPr="003E75D7">
        <w:t xml:space="preserve">required little </w:t>
      </w:r>
      <w:r w:rsidR="004F608A">
        <w:t xml:space="preserve">to </w:t>
      </w:r>
      <w:r w:rsidR="00D759DA" w:rsidRPr="003E75D7">
        <w:t xml:space="preserve">no skill. To add to the handloom weavers’ woes, </w:t>
      </w:r>
      <w:r w:rsidR="00757FDD" w:rsidRPr="003E75D7">
        <w:t xml:space="preserve">in 2015, </w:t>
      </w:r>
      <w:r w:rsidR="00D759DA" w:rsidRPr="003E75D7">
        <w:t>the government</w:t>
      </w:r>
      <w:r w:rsidR="00757FDD" w:rsidRPr="003E75D7">
        <w:t xml:space="preserve"> was</w:t>
      </w:r>
      <w:r w:rsidR="00D759DA" w:rsidRPr="003E75D7">
        <w:t xml:space="preserve"> under intense lobbying from the power</w:t>
      </w:r>
      <w:r w:rsidR="006A7B4B" w:rsidRPr="003E75D7">
        <w:t>-</w:t>
      </w:r>
      <w:r w:rsidR="00D759DA" w:rsidRPr="003E75D7">
        <w:t>loom sector</w:t>
      </w:r>
      <w:r w:rsidR="00757FDD" w:rsidRPr="003E75D7">
        <w:t xml:space="preserve"> and </w:t>
      </w:r>
      <w:r w:rsidR="00D759DA" w:rsidRPr="003E75D7">
        <w:t xml:space="preserve">was contemplating repealing the 1985 </w:t>
      </w:r>
      <w:r w:rsidRPr="003E75D7">
        <w:t>a</w:t>
      </w:r>
      <w:r w:rsidR="00D759DA" w:rsidRPr="003E75D7">
        <w:t>ct</w:t>
      </w:r>
      <w:r w:rsidRPr="003E75D7">
        <w:t>.</w:t>
      </w:r>
      <w:r w:rsidR="00D759DA" w:rsidRPr="003E75D7">
        <w:rPr>
          <w:rStyle w:val="EndnoteReference"/>
        </w:rPr>
        <w:endnoteReference w:id="18"/>
      </w:r>
      <w:r w:rsidR="00D759DA" w:rsidRPr="003E75D7">
        <w:t xml:space="preserve"> </w:t>
      </w:r>
    </w:p>
    <w:p w14:paraId="55C5893F" w14:textId="60AB965B" w:rsidR="00D759DA" w:rsidRPr="003E75D7" w:rsidRDefault="00D759DA" w:rsidP="0019116A">
      <w:pPr>
        <w:pStyle w:val="BodyTextMain"/>
        <w:rPr>
          <w:sz w:val="20"/>
        </w:rPr>
      </w:pPr>
    </w:p>
    <w:p w14:paraId="162F132D" w14:textId="6CD6412D" w:rsidR="00D759DA" w:rsidRPr="003E75D7" w:rsidRDefault="00D759DA" w:rsidP="0019116A">
      <w:pPr>
        <w:pStyle w:val="BodyTextMain"/>
      </w:pPr>
      <w:r w:rsidRPr="003E75D7">
        <w:t>The differences in production manifest</w:t>
      </w:r>
      <w:r w:rsidR="00BE66DB" w:rsidRPr="003E75D7">
        <w:t>ed</w:t>
      </w:r>
      <w:r w:rsidRPr="003E75D7">
        <w:t xml:space="preserve"> themselves in pricing </w:t>
      </w:r>
      <w:r w:rsidR="00BE66DB" w:rsidRPr="003E75D7">
        <w:t xml:space="preserve">differences </w:t>
      </w:r>
      <w:r w:rsidRPr="003E75D7">
        <w:t>between handloom and power</w:t>
      </w:r>
      <w:r w:rsidR="006A7B4B" w:rsidRPr="003E75D7">
        <w:t>-</w:t>
      </w:r>
      <w:r w:rsidRPr="003E75D7">
        <w:t>loom saris. While handloom sari</w:t>
      </w:r>
      <w:r w:rsidR="00BE66DB" w:rsidRPr="003E75D7">
        <w:t>s</w:t>
      </w:r>
      <w:r w:rsidRPr="003E75D7">
        <w:t xml:space="preserve"> sold at </w:t>
      </w:r>
      <w:r w:rsidR="00BE66DB" w:rsidRPr="003E75D7">
        <w:rPr>
          <w:rFonts w:ascii="Arial" w:hAnsi="Arial" w:cs="Arial"/>
          <w:sz w:val="20"/>
          <w:szCs w:val="20"/>
        </w:rPr>
        <w:t>₹</w:t>
      </w:r>
      <w:r w:rsidRPr="003E75D7">
        <w:t>2</w:t>
      </w:r>
      <w:r w:rsidR="00BE66DB" w:rsidRPr="003E75D7">
        <w:t>,</w:t>
      </w:r>
      <w:r w:rsidRPr="003E75D7">
        <w:t>000 ($32.7</w:t>
      </w:r>
      <w:r w:rsidR="00BE66DB" w:rsidRPr="003E75D7">
        <w:t>0</w:t>
      </w:r>
      <w:r w:rsidRPr="003E75D7">
        <w:t>)</w:t>
      </w:r>
      <w:r w:rsidR="00BE66DB" w:rsidRPr="003E75D7">
        <w:t xml:space="preserve"> each</w:t>
      </w:r>
      <w:r w:rsidRPr="003E75D7">
        <w:t>, power</w:t>
      </w:r>
      <w:r w:rsidR="006A7B4B" w:rsidRPr="003E75D7">
        <w:t>-</w:t>
      </w:r>
      <w:r w:rsidRPr="003E75D7">
        <w:t>loom sari</w:t>
      </w:r>
      <w:r w:rsidR="00BE66DB" w:rsidRPr="003E75D7">
        <w:t>s</w:t>
      </w:r>
      <w:r w:rsidRPr="003E75D7">
        <w:t xml:space="preserve"> sold at a fraction of the price</w:t>
      </w:r>
      <w:r w:rsidR="00BE66DB" w:rsidRPr="003E75D7">
        <w:t>—</w:t>
      </w:r>
      <w:r w:rsidRPr="003E75D7">
        <w:t xml:space="preserve">only </w:t>
      </w:r>
      <w:r w:rsidR="00BE66DB" w:rsidRPr="003E75D7">
        <w:rPr>
          <w:rFonts w:ascii="Arial" w:hAnsi="Arial" w:cs="Arial"/>
          <w:sz w:val="20"/>
          <w:szCs w:val="20"/>
        </w:rPr>
        <w:t>₹</w:t>
      </w:r>
      <w:r w:rsidRPr="003E75D7">
        <w:t>300 ($5</w:t>
      </w:r>
      <w:r w:rsidR="00BE66DB" w:rsidRPr="003E75D7">
        <w:t>.00</w:t>
      </w:r>
      <w:r w:rsidRPr="003E75D7">
        <w:t>)</w:t>
      </w:r>
      <w:r w:rsidR="00BE66DB" w:rsidRPr="003E75D7">
        <w:t>—to</w:t>
      </w:r>
      <w:r w:rsidRPr="003E75D7">
        <w:t xml:space="preserve"> price-sensitive </w:t>
      </w:r>
      <w:r w:rsidR="00BE66DB" w:rsidRPr="003E75D7">
        <w:t>customers</w:t>
      </w:r>
      <w:r w:rsidRPr="003E75D7">
        <w:t xml:space="preserve">. </w:t>
      </w:r>
      <w:r w:rsidR="00BE66DB" w:rsidRPr="003E75D7">
        <w:t>P</w:t>
      </w:r>
      <w:r w:rsidRPr="003E75D7">
        <w:t>ower</w:t>
      </w:r>
      <w:r w:rsidR="006A7B4B" w:rsidRPr="003E75D7">
        <w:t>-</w:t>
      </w:r>
      <w:r w:rsidRPr="003E75D7">
        <w:t>loom saris</w:t>
      </w:r>
      <w:r w:rsidR="00BE66DB" w:rsidRPr="003E75D7">
        <w:t xml:space="preserve"> that</w:t>
      </w:r>
      <w:r w:rsidRPr="003E75D7">
        <w:t xml:space="preserve"> copied the designs of handloom</w:t>
      </w:r>
      <w:r w:rsidR="00BE66DB" w:rsidRPr="003E75D7">
        <w:t xml:space="preserve"> product</w:t>
      </w:r>
      <w:r w:rsidRPr="003E75D7">
        <w:t xml:space="preserve">s </w:t>
      </w:r>
      <w:r w:rsidR="00BE66DB" w:rsidRPr="003E75D7">
        <w:t>could be sold</w:t>
      </w:r>
      <w:r w:rsidRPr="003E75D7">
        <w:t xml:space="preserve"> at a fraction of the price of the original handloom</w:t>
      </w:r>
      <w:r w:rsidR="00BE66DB" w:rsidRPr="003E75D7">
        <w:t xml:space="preserve"> work, and b</w:t>
      </w:r>
      <w:r w:rsidRPr="003E75D7">
        <w:t xml:space="preserve">uyers were tricked into buying </w:t>
      </w:r>
      <w:r w:rsidR="00BE66DB" w:rsidRPr="003E75D7">
        <w:t>them</w:t>
      </w:r>
      <w:r w:rsidRPr="003E75D7">
        <w:t xml:space="preserve"> since they </w:t>
      </w:r>
      <w:r w:rsidR="00BE66DB" w:rsidRPr="003E75D7">
        <w:t xml:space="preserve">so </w:t>
      </w:r>
      <w:r w:rsidRPr="003E75D7">
        <w:t xml:space="preserve">closely resembled handwoven work. </w:t>
      </w:r>
    </w:p>
    <w:p w14:paraId="26FF5E4C" w14:textId="77777777" w:rsidR="00D759DA" w:rsidRPr="003E75D7" w:rsidRDefault="00D759DA" w:rsidP="0019116A">
      <w:pPr>
        <w:pStyle w:val="BodyTextMain"/>
        <w:rPr>
          <w:sz w:val="20"/>
        </w:rPr>
      </w:pPr>
    </w:p>
    <w:p w14:paraId="2DD13EE3" w14:textId="3E587880" w:rsidR="00D759DA" w:rsidRDefault="00D759DA" w:rsidP="0019116A">
      <w:pPr>
        <w:pStyle w:val="BodyTextMain"/>
      </w:pPr>
      <w:r w:rsidRPr="003E75D7">
        <w:t>Over time, in order to compete with the large-scale power</w:t>
      </w:r>
      <w:r w:rsidR="00BE66DB" w:rsidRPr="003E75D7">
        <w:t xml:space="preserve"> </w:t>
      </w:r>
      <w:r w:rsidRPr="003E75D7">
        <w:t xml:space="preserve">looms, </w:t>
      </w:r>
      <w:r w:rsidR="00BE66DB" w:rsidRPr="003E75D7">
        <w:t xml:space="preserve">handloom weavers </w:t>
      </w:r>
      <w:r w:rsidRPr="003E75D7">
        <w:t xml:space="preserve">had turned away from producing high-quality cloth to </w:t>
      </w:r>
      <w:r w:rsidR="00BE66DB" w:rsidRPr="003E75D7">
        <w:t xml:space="preserve">create </w:t>
      </w:r>
      <w:r w:rsidRPr="003E75D7">
        <w:t xml:space="preserve">lower-quality products </w:t>
      </w:r>
      <w:r w:rsidR="00BE66DB" w:rsidRPr="003E75D7">
        <w:t>using</w:t>
      </w:r>
      <w:r w:rsidRPr="003E75D7">
        <w:t xml:space="preserve"> substandard raw material</w:t>
      </w:r>
      <w:r w:rsidR="00BE66DB" w:rsidRPr="003E75D7">
        <w:t>s</w:t>
      </w:r>
      <w:r w:rsidRPr="003E75D7">
        <w:t xml:space="preserve">, </w:t>
      </w:r>
      <w:r w:rsidR="00BE66DB" w:rsidRPr="003E75D7">
        <w:t xml:space="preserve">and </w:t>
      </w:r>
      <w:r w:rsidRPr="003E75D7">
        <w:t xml:space="preserve">they sold </w:t>
      </w:r>
      <w:r w:rsidR="00BE66DB" w:rsidRPr="003E75D7">
        <w:t xml:space="preserve">these products </w:t>
      </w:r>
      <w:r w:rsidRPr="003E75D7">
        <w:t xml:space="preserve">at low prices. This created further problems, since </w:t>
      </w:r>
      <w:r w:rsidR="00BE66DB" w:rsidRPr="003E75D7">
        <w:t xml:space="preserve">buyers began to perceive </w:t>
      </w:r>
      <w:r w:rsidR="00575976" w:rsidRPr="003E75D7">
        <w:t xml:space="preserve">of </w:t>
      </w:r>
      <w:r w:rsidRPr="003E75D7">
        <w:t>handloom</w:t>
      </w:r>
      <w:r w:rsidR="00575976" w:rsidRPr="003E75D7">
        <w:t xml:space="preserve"> work as</w:t>
      </w:r>
      <w:r w:rsidRPr="003E75D7">
        <w:t xml:space="preserve"> </w:t>
      </w:r>
      <w:r w:rsidR="00575976" w:rsidRPr="003E75D7">
        <w:t>poor-</w:t>
      </w:r>
      <w:r w:rsidRPr="003E75D7">
        <w:t>quality products</w:t>
      </w:r>
      <w:r w:rsidR="00575976" w:rsidRPr="003E75D7">
        <w:t xml:space="preserve"> that</w:t>
      </w:r>
      <w:r w:rsidRPr="003E75D7">
        <w:t xml:space="preserve"> bled colour and shrunk on washing. </w:t>
      </w:r>
    </w:p>
    <w:p w14:paraId="213AAE86" w14:textId="40EF6B24" w:rsidR="00D759DA" w:rsidRPr="003E75D7" w:rsidRDefault="00D759DA" w:rsidP="0019116A">
      <w:pPr>
        <w:pStyle w:val="BodyTextMain"/>
      </w:pPr>
      <w:r w:rsidRPr="003E75D7">
        <w:lastRenderedPageBreak/>
        <w:t>Venkatesh was also aware of the decline in the popularity of saris</w:t>
      </w:r>
      <w:r w:rsidR="00575976" w:rsidRPr="003E75D7">
        <w:t>—</w:t>
      </w:r>
      <w:r w:rsidRPr="003E75D7">
        <w:t>Co-optex’s main product</w:t>
      </w:r>
      <w:r w:rsidR="00575976" w:rsidRPr="003E75D7">
        <w:t>—</w:t>
      </w:r>
      <w:r w:rsidRPr="003E75D7">
        <w:t>among young Indian women</w:t>
      </w:r>
      <w:r w:rsidR="00575976" w:rsidRPr="003E75D7">
        <w:t xml:space="preserve">. Young women in metropolitan areas, smaller towns, and cities—including in </w:t>
      </w:r>
      <w:r w:rsidR="001732FE" w:rsidRPr="003E75D7">
        <w:t>s</w:t>
      </w:r>
      <w:r w:rsidR="00575976" w:rsidRPr="003E75D7">
        <w:t>outh India—</w:t>
      </w:r>
      <w:r w:rsidRPr="003E75D7">
        <w:t xml:space="preserve">increasingly preferred </w:t>
      </w:r>
      <w:r w:rsidR="00575976" w:rsidRPr="003E75D7">
        <w:t xml:space="preserve">Western </w:t>
      </w:r>
      <w:r w:rsidRPr="003E75D7">
        <w:t>wear</w:t>
      </w:r>
      <w:r w:rsidR="00575976" w:rsidRPr="003E75D7">
        <w:t>.</w:t>
      </w:r>
      <w:r w:rsidRPr="003E75D7">
        <w:rPr>
          <w:rStyle w:val="EndnoteReference"/>
        </w:rPr>
        <w:endnoteReference w:id="19"/>
      </w:r>
      <w:r w:rsidR="00D12BE8" w:rsidRPr="003E75D7">
        <w:t xml:space="preserve"> I</w:t>
      </w:r>
      <w:r w:rsidRPr="003E75D7">
        <w:t xml:space="preserve">t was estimated that </w:t>
      </w:r>
      <w:r w:rsidR="00D12BE8" w:rsidRPr="003E75D7">
        <w:t xml:space="preserve">one impact of globalization </w:t>
      </w:r>
      <w:r w:rsidRPr="003E75D7">
        <w:t xml:space="preserve">had been a decline in the ratio of </w:t>
      </w:r>
      <w:r w:rsidR="000B72D9" w:rsidRPr="003E75D7">
        <w:t xml:space="preserve">traditional </w:t>
      </w:r>
      <w:r w:rsidRPr="003E75D7">
        <w:t xml:space="preserve">Indian wear to </w:t>
      </w:r>
      <w:r w:rsidR="00D12BE8" w:rsidRPr="003E75D7">
        <w:t xml:space="preserve">Western </w:t>
      </w:r>
      <w:r w:rsidRPr="003E75D7">
        <w:t>wear from 70:30 to 50:50</w:t>
      </w:r>
      <w:r w:rsidR="00D12BE8" w:rsidRPr="003E75D7">
        <w:t>, and t</w:t>
      </w:r>
      <w:r w:rsidRPr="003E75D7">
        <w:t xml:space="preserve">his proportion was expected to decline </w:t>
      </w:r>
      <w:r w:rsidR="00D12BE8" w:rsidRPr="003E75D7">
        <w:t xml:space="preserve">further, </w:t>
      </w:r>
      <w:r w:rsidRPr="003E75D7">
        <w:t>to 30:70 or even lower</w:t>
      </w:r>
      <w:r w:rsidR="00D12BE8" w:rsidRPr="003E75D7">
        <w:t>.</w:t>
      </w:r>
      <w:r w:rsidRPr="003E75D7">
        <w:rPr>
          <w:rStyle w:val="EndnoteReference"/>
        </w:rPr>
        <w:endnoteReference w:id="20"/>
      </w:r>
      <w:r w:rsidRPr="003E75D7">
        <w:t xml:space="preserve"> </w:t>
      </w:r>
    </w:p>
    <w:p w14:paraId="634621E5" w14:textId="77777777" w:rsidR="00D759DA" w:rsidRPr="003E75D7" w:rsidRDefault="00D759DA" w:rsidP="0019116A">
      <w:pPr>
        <w:pStyle w:val="BodyTextMain"/>
        <w:rPr>
          <w:sz w:val="20"/>
        </w:rPr>
      </w:pPr>
    </w:p>
    <w:p w14:paraId="148F3885" w14:textId="6B82FB1E" w:rsidR="00D759DA" w:rsidRPr="003E75D7" w:rsidRDefault="00D759DA" w:rsidP="0019116A">
      <w:pPr>
        <w:pStyle w:val="BodyTextMain"/>
      </w:pPr>
      <w:r w:rsidRPr="003E75D7">
        <w:t xml:space="preserve">Meanwhile, the sari was being revived by several Indian designers </w:t>
      </w:r>
      <w:r w:rsidR="000B72D9" w:rsidRPr="003E75D7">
        <w:t>and</w:t>
      </w:r>
      <w:r w:rsidRPr="003E75D7">
        <w:t xml:space="preserve"> large retail stores across India.</w:t>
      </w:r>
      <w:r w:rsidR="00A145DC" w:rsidRPr="003E75D7">
        <w:rPr>
          <w:rStyle w:val="EndnoteReference"/>
        </w:rPr>
        <w:endnoteReference w:id="21"/>
      </w:r>
      <w:r w:rsidRPr="003E75D7">
        <w:t xml:space="preserve"> South India, in particular, saw </w:t>
      </w:r>
      <w:r w:rsidR="000B72D9" w:rsidRPr="003E75D7">
        <w:t xml:space="preserve">a </w:t>
      </w:r>
      <w:r w:rsidRPr="003E75D7">
        <w:t>proliferation of several large retail players who offered one-stop solutions for all varieties of textiles, especially saris</w:t>
      </w:r>
      <w:r w:rsidR="000B72D9" w:rsidRPr="003E75D7">
        <w:t>.</w:t>
      </w:r>
      <w:r w:rsidRPr="003E75D7">
        <w:rPr>
          <w:rStyle w:val="EndnoteReference"/>
        </w:rPr>
        <w:endnoteReference w:id="22"/>
      </w:r>
      <w:r w:rsidRPr="003E75D7">
        <w:t xml:space="preserve"> These players had showrooms in various metro</w:t>
      </w:r>
      <w:r w:rsidR="000B72D9" w:rsidRPr="003E75D7">
        <w:t>politan area</w:t>
      </w:r>
      <w:r w:rsidRPr="003E75D7">
        <w:t>s</w:t>
      </w:r>
      <w:r w:rsidR="000B72D9" w:rsidRPr="003E75D7">
        <w:t xml:space="preserve"> in India and around the world</w:t>
      </w:r>
      <w:r w:rsidRPr="003E75D7">
        <w:t xml:space="preserve">. Moreover, almost all </w:t>
      </w:r>
      <w:r w:rsidR="000B72D9" w:rsidRPr="003E75D7">
        <w:t xml:space="preserve">of </w:t>
      </w:r>
      <w:r w:rsidRPr="003E75D7">
        <w:t xml:space="preserve">these players had established online shopping portals. One such player was the heritage brand Nalli, which </w:t>
      </w:r>
      <w:r w:rsidR="000B72D9" w:rsidRPr="003E75D7">
        <w:t>was</w:t>
      </w:r>
      <w:r w:rsidRPr="003E75D7">
        <w:t xml:space="preserve"> established in 1928 and was reputed for its handwoven silk saris. Run by 32-</w:t>
      </w:r>
      <w:r w:rsidR="000B72D9" w:rsidRPr="003E75D7">
        <w:t xml:space="preserve">year-old </w:t>
      </w:r>
      <w:r w:rsidRPr="003E75D7">
        <w:t xml:space="preserve">Lavanya Nalli, the company had annual revenues of more than $100 million in </w:t>
      </w:r>
      <w:r w:rsidR="00ED6C77" w:rsidRPr="003E75D7">
        <w:t xml:space="preserve">FY </w:t>
      </w:r>
      <w:r w:rsidRPr="003E75D7">
        <w:t>2015</w:t>
      </w:r>
      <w:r w:rsidR="00B91566" w:rsidRPr="003E75D7">
        <w:t>–</w:t>
      </w:r>
      <w:r w:rsidRPr="003E75D7">
        <w:t xml:space="preserve">16 </w:t>
      </w:r>
      <w:r w:rsidR="00B91566" w:rsidRPr="003E75D7">
        <w:t xml:space="preserve">and had </w:t>
      </w:r>
      <w:r w:rsidRPr="003E75D7">
        <w:t xml:space="preserve">29 stores across India </w:t>
      </w:r>
      <w:r w:rsidR="00B04762" w:rsidRPr="003E75D7">
        <w:t>and</w:t>
      </w:r>
      <w:r w:rsidRPr="003E75D7">
        <w:t xml:space="preserve"> outlets in California and Singapore. In response to the changing tastes of Indian women, Nalli had </w:t>
      </w:r>
      <w:r w:rsidR="00B91566" w:rsidRPr="003E75D7">
        <w:t>introduced</w:t>
      </w:r>
      <w:r w:rsidRPr="003E75D7">
        <w:t xml:space="preserve"> new product lines</w:t>
      </w:r>
      <w:r w:rsidR="00B04762" w:rsidRPr="003E75D7">
        <w:t xml:space="preserve"> </w:t>
      </w:r>
      <w:r w:rsidR="00B91566" w:rsidRPr="003E75D7">
        <w:t>and offered online shopping.</w:t>
      </w:r>
      <w:r w:rsidRPr="003E75D7">
        <w:rPr>
          <w:rStyle w:val="EndnoteReference"/>
        </w:rPr>
        <w:endnoteReference w:id="23"/>
      </w:r>
      <w:r w:rsidRPr="003E75D7">
        <w:t xml:space="preserve"> </w:t>
      </w:r>
    </w:p>
    <w:p w14:paraId="5577F020" w14:textId="77777777" w:rsidR="005932D6" w:rsidRPr="003E75D7" w:rsidRDefault="005932D6" w:rsidP="0019116A">
      <w:pPr>
        <w:pStyle w:val="BodyTextMain"/>
        <w:rPr>
          <w:sz w:val="20"/>
        </w:rPr>
      </w:pPr>
    </w:p>
    <w:p w14:paraId="7543E319" w14:textId="1C5C8769" w:rsidR="00D759DA" w:rsidRPr="003E75D7" w:rsidRDefault="00D759DA" w:rsidP="0019116A">
      <w:pPr>
        <w:pStyle w:val="BodyTextMain"/>
      </w:pPr>
      <w:r w:rsidRPr="003E75D7">
        <w:t xml:space="preserve">The Co-optex study, carried out by design and business experts, had identified the current target </w:t>
      </w:r>
      <w:r w:rsidR="00B91566" w:rsidRPr="003E75D7">
        <w:t xml:space="preserve">market </w:t>
      </w:r>
      <w:r w:rsidRPr="003E75D7">
        <w:t>and the ambience of existing showrooms as key issue</w:t>
      </w:r>
      <w:r w:rsidR="00B91566" w:rsidRPr="003E75D7">
        <w:t>s</w:t>
      </w:r>
      <w:r w:rsidRPr="003E75D7">
        <w:t xml:space="preserve">. Co-optex showrooms were dull places with poor lighting and décor. Moreover, the age group of </w:t>
      </w:r>
      <w:r w:rsidR="00B91566" w:rsidRPr="003E75D7">
        <w:t>the co-operative’s main customers</w:t>
      </w:r>
      <w:r w:rsidRPr="003E75D7">
        <w:t xml:space="preserve"> had remained stagnant for too long. As Venkatesh </w:t>
      </w:r>
      <w:r w:rsidR="00B91566" w:rsidRPr="003E75D7">
        <w:t>noted</w:t>
      </w:r>
      <w:r w:rsidRPr="003E75D7">
        <w:t xml:space="preserve">, </w:t>
      </w:r>
      <w:r w:rsidR="00B91566" w:rsidRPr="003E75D7">
        <w:t>“</w:t>
      </w:r>
      <w:r w:rsidRPr="003E75D7">
        <w:t>If your customers are all 60</w:t>
      </w:r>
      <w:r w:rsidR="00B91566" w:rsidRPr="003E75D7">
        <w:t xml:space="preserve"> </w:t>
      </w:r>
      <w:r w:rsidRPr="003E75D7">
        <w:t>year</w:t>
      </w:r>
      <w:r w:rsidR="00B91566" w:rsidRPr="003E75D7">
        <w:t xml:space="preserve"> </w:t>
      </w:r>
      <w:r w:rsidRPr="003E75D7">
        <w:t>olds, then it</w:t>
      </w:r>
      <w:r w:rsidR="00B91566" w:rsidRPr="003E75D7">
        <w:t>’</w:t>
      </w:r>
      <w:r w:rsidRPr="003E75D7">
        <w:t>s going to be hard to survive. You need to capture the 30-somethings</w:t>
      </w:r>
      <w:r w:rsidR="00B91566" w:rsidRPr="003E75D7">
        <w:t>.</w:t>
      </w:r>
      <w:r w:rsidRPr="003E75D7">
        <w:t>”</w:t>
      </w:r>
      <w:r w:rsidRPr="003E75D7">
        <w:rPr>
          <w:rStyle w:val="EndnoteReference"/>
        </w:rPr>
        <w:endnoteReference w:id="24"/>
      </w:r>
      <w:r w:rsidRPr="003E75D7">
        <w:t xml:space="preserve"> This was particularly true since India was becoming younger, with the median age of </w:t>
      </w:r>
      <w:r w:rsidR="001732FE" w:rsidRPr="003E75D7">
        <w:t xml:space="preserve">the </w:t>
      </w:r>
      <w:r w:rsidRPr="003E75D7">
        <w:t>population estimated to be 27</w:t>
      </w:r>
      <w:r w:rsidR="00B91566" w:rsidRPr="003E75D7">
        <w:t>.</w:t>
      </w:r>
      <w:r w:rsidRPr="003E75D7">
        <w:rPr>
          <w:rStyle w:val="EndnoteReference"/>
        </w:rPr>
        <w:endnoteReference w:id="25"/>
      </w:r>
      <w:r w:rsidRPr="003E75D7">
        <w:t xml:space="preserve"> Venkatesh also spent time understanding the </w:t>
      </w:r>
      <w:r w:rsidR="00B91566" w:rsidRPr="003E75D7">
        <w:t xml:space="preserve">profile of </w:t>
      </w:r>
      <w:r w:rsidRPr="003E75D7">
        <w:t>weaver</w:t>
      </w:r>
      <w:r w:rsidR="00B91566" w:rsidRPr="003E75D7">
        <w:t>s</w:t>
      </w:r>
      <w:r w:rsidRPr="003E75D7">
        <w:t xml:space="preserve"> and their lack of interest and motivation in pursuing weaving as an occupation (</w:t>
      </w:r>
      <w:r w:rsidR="00B91566" w:rsidRPr="003E75D7">
        <w:t>s</w:t>
      </w:r>
      <w:r w:rsidRPr="003E75D7">
        <w:t>ee Exhibit 5).</w:t>
      </w:r>
    </w:p>
    <w:p w14:paraId="6DECD45B" w14:textId="77777777" w:rsidR="00B91566" w:rsidRPr="003E75D7" w:rsidRDefault="00B91566" w:rsidP="0019116A">
      <w:pPr>
        <w:pStyle w:val="BodyTextMain"/>
      </w:pPr>
    </w:p>
    <w:p w14:paraId="486C305D" w14:textId="292F5278" w:rsidR="00D759DA" w:rsidRPr="003E75D7" w:rsidRDefault="00D759DA" w:rsidP="0019116A">
      <w:pPr>
        <w:pStyle w:val="BodyTextMain"/>
      </w:pPr>
      <w:r w:rsidRPr="003E75D7">
        <w:t>He knew that</w:t>
      </w:r>
      <w:r w:rsidR="00B91566" w:rsidRPr="003E75D7">
        <w:t>,</w:t>
      </w:r>
      <w:r w:rsidRPr="003E75D7">
        <w:t xml:space="preserve"> while the </w:t>
      </w:r>
      <w:r w:rsidR="00B91566" w:rsidRPr="003E75D7">
        <w:t xml:space="preserve">organization’s </w:t>
      </w:r>
      <w:r w:rsidRPr="003E75D7">
        <w:t xml:space="preserve">financial indicators had dipped, </w:t>
      </w:r>
      <w:r w:rsidR="00B91566" w:rsidRPr="003E75D7">
        <w:t xml:space="preserve">there could be several </w:t>
      </w:r>
      <w:r w:rsidRPr="003E75D7">
        <w:t>causes for organizational failure</w:t>
      </w:r>
      <w:r w:rsidR="00085FD8" w:rsidRPr="003E75D7">
        <w:t xml:space="preserve">, or </w:t>
      </w:r>
      <w:r w:rsidRPr="003E75D7">
        <w:t xml:space="preserve">an </w:t>
      </w:r>
      <w:r w:rsidR="00085FD8" w:rsidRPr="003E75D7">
        <w:t>“</w:t>
      </w:r>
      <w:r w:rsidRPr="003E75D7">
        <w:t xml:space="preserve">existence-threatening </w:t>
      </w:r>
      <w:r w:rsidR="00085FD8" w:rsidRPr="003E75D7">
        <w:t>decline”</w:t>
      </w:r>
      <w:r w:rsidRPr="003E75D7">
        <w:rPr>
          <w:rStyle w:val="EndnoteReference"/>
        </w:rPr>
        <w:endnoteReference w:id="26"/>
      </w:r>
      <w:r w:rsidRPr="003E75D7">
        <w:t xml:space="preserve"> in performance, </w:t>
      </w:r>
      <w:r w:rsidR="00085FD8" w:rsidRPr="003E75D7">
        <w:t xml:space="preserve">and that this could be </w:t>
      </w:r>
      <w:r w:rsidRPr="003E75D7">
        <w:t xml:space="preserve">sudden or gradual. </w:t>
      </w:r>
      <w:r w:rsidR="00085FD8" w:rsidRPr="003E75D7">
        <w:t>Such a failure could</w:t>
      </w:r>
      <w:r w:rsidRPr="003E75D7">
        <w:t xml:space="preserve"> be caused by “internal action/inaction or by external circumstances and failure to change</w:t>
      </w:r>
      <w:r w:rsidR="00085FD8" w:rsidRPr="003E75D7">
        <w:t>.</w:t>
      </w:r>
      <w:r w:rsidRPr="003E75D7">
        <w:t>”</w:t>
      </w:r>
      <w:r w:rsidRPr="003E75D7">
        <w:rPr>
          <w:rStyle w:val="EndnoteReference"/>
        </w:rPr>
        <w:endnoteReference w:id="27"/>
      </w:r>
      <w:r w:rsidRPr="003E75D7">
        <w:t xml:space="preserve"> </w:t>
      </w:r>
      <w:r w:rsidR="00085FD8" w:rsidRPr="003E75D7">
        <w:t xml:space="preserve">Its </w:t>
      </w:r>
      <w:r w:rsidRPr="003E75D7">
        <w:t xml:space="preserve">symptoms </w:t>
      </w:r>
      <w:r w:rsidR="00085FD8" w:rsidRPr="003E75D7">
        <w:t>could</w:t>
      </w:r>
      <w:r w:rsidRPr="003E75D7">
        <w:t xml:space="preserve"> include not </w:t>
      </w:r>
      <w:r w:rsidR="00085FD8" w:rsidRPr="003E75D7">
        <w:t xml:space="preserve">only </w:t>
      </w:r>
      <w:r w:rsidRPr="003E75D7">
        <w:t>financial indicators such as “falling profits and market shares, increasing debt burdens, failed attempts to raise finance and increasing financial competition</w:t>
      </w:r>
      <w:r w:rsidR="00085FD8" w:rsidRPr="003E75D7">
        <w:t>,</w:t>
      </w:r>
      <w:r w:rsidRPr="003E75D7">
        <w:t xml:space="preserve">” </w:t>
      </w:r>
      <w:r w:rsidR="00085FD8" w:rsidRPr="003E75D7">
        <w:t>but also</w:t>
      </w:r>
      <w:r w:rsidRPr="003E75D7">
        <w:t xml:space="preserve"> physical indicators such as product failures or supply problems, managerial symptoms such as lack of leadership and poor decision making, </w:t>
      </w:r>
      <w:r w:rsidR="00085FD8" w:rsidRPr="003E75D7">
        <w:t>and</w:t>
      </w:r>
      <w:r w:rsidRPr="003E75D7">
        <w:t xml:space="preserve"> behavioural symptoms </w:t>
      </w:r>
      <w:r w:rsidR="00085FD8" w:rsidRPr="003E75D7">
        <w:t xml:space="preserve">such as </w:t>
      </w:r>
      <w:r w:rsidRPr="003E75D7">
        <w:t>poor organizational culture and attitudes</w:t>
      </w:r>
      <w:r w:rsidR="00085FD8" w:rsidRPr="003E75D7">
        <w:t>.</w:t>
      </w:r>
      <w:r w:rsidRPr="003E75D7">
        <w:rPr>
          <w:rStyle w:val="EndnoteReference"/>
        </w:rPr>
        <w:endnoteReference w:id="28"/>
      </w:r>
      <w:r w:rsidRPr="003E75D7">
        <w:t xml:space="preserve"> Turnaround strategies to deal with such organizational failure</w:t>
      </w:r>
      <w:r w:rsidR="00085FD8" w:rsidRPr="003E75D7">
        <w:t>s</w:t>
      </w:r>
      <w:r w:rsidRPr="003E75D7">
        <w:t xml:space="preserve"> typically revolved </w:t>
      </w:r>
      <w:r w:rsidR="00085FD8" w:rsidRPr="003E75D7">
        <w:t>a</w:t>
      </w:r>
      <w:r w:rsidRPr="003E75D7">
        <w:t xml:space="preserve">round the </w:t>
      </w:r>
      <w:r w:rsidR="00085FD8" w:rsidRPr="003E75D7">
        <w:t>“</w:t>
      </w:r>
      <w:r w:rsidRPr="003E75D7">
        <w:t xml:space="preserve">three </w:t>
      </w:r>
      <w:proofErr w:type="spellStart"/>
      <w:r w:rsidRPr="003E75D7">
        <w:t>Rs</w:t>
      </w:r>
      <w:proofErr w:type="spellEnd"/>
      <w:r w:rsidR="00085FD8" w:rsidRPr="003E75D7">
        <w:t>”</w:t>
      </w:r>
      <w:r w:rsidRPr="003E75D7">
        <w:t>: replacement</w:t>
      </w:r>
      <w:r w:rsidR="00964C66">
        <w:t xml:space="preserve"> </w:t>
      </w:r>
      <w:r w:rsidR="005065E0">
        <w:t>or</w:t>
      </w:r>
      <w:r w:rsidR="00964C66">
        <w:t xml:space="preserve"> </w:t>
      </w:r>
      <w:r w:rsidRPr="003E75D7">
        <w:t>reorganization, repositioning</w:t>
      </w:r>
      <w:r w:rsidR="00085FD8" w:rsidRPr="003E75D7">
        <w:t>,</w:t>
      </w:r>
      <w:r w:rsidRPr="003E75D7">
        <w:t xml:space="preserve"> and retrenchment (</w:t>
      </w:r>
      <w:r w:rsidR="00085FD8" w:rsidRPr="003E75D7">
        <w:t xml:space="preserve">see </w:t>
      </w:r>
      <w:r w:rsidRPr="003E75D7">
        <w:t xml:space="preserve">Exhibit 6). </w:t>
      </w:r>
    </w:p>
    <w:p w14:paraId="79884A68" w14:textId="77777777" w:rsidR="00D759DA" w:rsidRPr="003E75D7" w:rsidRDefault="00D759DA" w:rsidP="0019116A">
      <w:pPr>
        <w:pStyle w:val="BodyTextMain"/>
        <w:rPr>
          <w:sz w:val="20"/>
        </w:rPr>
      </w:pPr>
    </w:p>
    <w:p w14:paraId="1E865376" w14:textId="06D41922" w:rsidR="00085FD8" w:rsidRPr="003E75D7" w:rsidRDefault="00D759DA" w:rsidP="0019116A">
      <w:pPr>
        <w:pStyle w:val="BodyTextMain"/>
      </w:pPr>
      <w:r w:rsidRPr="003E75D7">
        <w:t xml:space="preserve">As a leader, Venkatesh knew that he would need to go beyond smart financial and strategic decision making. He would also need to focus on organizational transformation. Co-optex, like most </w:t>
      </w:r>
      <w:r w:rsidR="00085FD8" w:rsidRPr="003E75D7">
        <w:t>public-</w:t>
      </w:r>
      <w:r w:rsidRPr="003E75D7">
        <w:t>sector organizations</w:t>
      </w:r>
      <w:r w:rsidR="00085FD8" w:rsidRPr="003E75D7">
        <w:t>,</w:t>
      </w:r>
      <w:r w:rsidRPr="003E75D7">
        <w:t xml:space="preserve"> was characterized by a hierarchical culture with </w:t>
      </w:r>
      <w:r w:rsidR="00085FD8" w:rsidRPr="003E75D7">
        <w:t xml:space="preserve">a </w:t>
      </w:r>
      <w:r w:rsidRPr="003E75D7">
        <w:t>bureaucracy and relative</w:t>
      </w:r>
      <w:r w:rsidR="00085FD8" w:rsidRPr="003E75D7">
        <w:t>ly</w:t>
      </w:r>
      <w:r w:rsidRPr="003E75D7">
        <w:t xml:space="preserve"> </w:t>
      </w:r>
      <w:r w:rsidR="00085FD8" w:rsidRPr="003E75D7">
        <w:t xml:space="preserve">inflexible </w:t>
      </w:r>
      <w:r w:rsidRPr="003E75D7">
        <w:t xml:space="preserve">formal rules and procedures </w:t>
      </w:r>
      <w:r w:rsidR="00085FD8" w:rsidRPr="003E75D7">
        <w:t xml:space="preserve">that acted </w:t>
      </w:r>
      <w:r w:rsidRPr="003E75D7">
        <w:t>as control mechanisms. Such an organizational culture would need to give way to a group</w:t>
      </w:r>
      <w:r w:rsidR="00085FD8" w:rsidRPr="003E75D7">
        <w:t xml:space="preserve"> </w:t>
      </w:r>
      <w:r w:rsidRPr="003E75D7">
        <w:t>culture based on personal ties, loyalty</w:t>
      </w:r>
      <w:r w:rsidR="00085FD8" w:rsidRPr="003E75D7">
        <w:t>,</w:t>
      </w:r>
      <w:r w:rsidRPr="003E75D7">
        <w:t xml:space="preserve"> tradition, cohesion</w:t>
      </w:r>
      <w:r w:rsidR="00085FD8" w:rsidRPr="003E75D7">
        <w:t>,</w:t>
      </w:r>
      <w:r w:rsidRPr="003E75D7">
        <w:t xml:space="preserve"> morale, </w:t>
      </w:r>
      <w:r w:rsidR="00085FD8" w:rsidRPr="003E75D7">
        <w:t>and</w:t>
      </w:r>
      <w:r w:rsidRPr="003E75D7">
        <w:t xml:space="preserve"> equity</w:t>
      </w:r>
      <w:r w:rsidR="00085FD8" w:rsidRPr="003E75D7">
        <w:t>.</w:t>
      </w:r>
      <w:r w:rsidRPr="003E75D7">
        <w:rPr>
          <w:rStyle w:val="EndnoteReference"/>
        </w:rPr>
        <w:endnoteReference w:id="29"/>
      </w:r>
      <w:r w:rsidRPr="003E75D7">
        <w:t xml:space="preserve"> He recalled </w:t>
      </w:r>
      <w:r w:rsidR="00085FD8" w:rsidRPr="003E75D7">
        <w:t xml:space="preserve">a passage from </w:t>
      </w:r>
      <w:r w:rsidRPr="003E75D7">
        <w:t xml:space="preserve">an article he had read on turnaround leadership </w:t>
      </w:r>
      <w:r w:rsidR="00B04762" w:rsidRPr="003E75D7">
        <w:t xml:space="preserve">by </w:t>
      </w:r>
      <w:r w:rsidRPr="003E75D7">
        <w:t>Rosabeth Moss Kanter</w:t>
      </w:r>
      <w:r w:rsidR="00085FD8" w:rsidRPr="003E75D7">
        <w:t>:</w:t>
      </w:r>
    </w:p>
    <w:p w14:paraId="4CABFEE8" w14:textId="77777777" w:rsidR="00085FD8" w:rsidRPr="003E75D7" w:rsidRDefault="00085FD8" w:rsidP="0019116A">
      <w:pPr>
        <w:pStyle w:val="BodyTextMain"/>
      </w:pPr>
    </w:p>
    <w:p w14:paraId="7C9B63D3" w14:textId="2F26922A" w:rsidR="00D759DA" w:rsidRPr="003E75D7" w:rsidRDefault="00D759DA" w:rsidP="00085FD8">
      <w:pPr>
        <w:pStyle w:val="BodyTextMain"/>
        <w:ind w:left="720"/>
      </w:pPr>
      <w:r w:rsidRPr="003E75D7">
        <w:t>In the end, the only way a CEO can reverse a corporate decline is to change the momentum and empower people anew, replacing secrecy and denial with dialogue, blame and scorn with respect, avoidance and turf protection with collaboration, and passivity and helplessness with initiative.</w:t>
      </w:r>
      <w:r w:rsidRPr="003E75D7">
        <w:rPr>
          <w:rStyle w:val="EndnoteReference"/>
        </w:rPr>
        <w:endnoteReference w:id="30"/>
      </w:r>
      <w:r w:rsidRPr="003E75D7">
        <w:t xml:space="preserve"> </w:t>
      </w:r>
    </w:p>
    <w:p w14:paraId="70519328" w14:textId="77777777" w:rsidR="00D759DA" w:rsidRPr="003E75D7" w:rsidRDefault="00D759DA" w:rsidP="0019116A">
      <w:pPr>
        <w:pStyle w:val="BodyTextMain"/>
        <w:rPr>
          <w:i/>
          <w:sz w:val="20"/>
        </w:rPr>
      </w:pPr>
    </w:p>
    <w:p w14:paraId="048748F7" w14:textId="08324986" w:rsidR="00D759DA" w:rsidRPr="003E75D7" w:rsidRDefault="00D759DA" w:rsidP="0019116A">
      <w:pPr>
        <w:pStyle w:val="BodyTextMain"/>
      </w:pPr>
      <w:r w:rsidRPr="003E75D7">
        <w:t>One of the first tasks for Venkatesh in 2014 was to bring about organizational changes. While Co-optex had dedicated personnel who had put in 30</w:t>
      </w:r>
      <w:r w:rsidR="00085FD8" w:rsidRPr="003E75D7">
        <w:t>–</w:t>
      </w:r>
      <w:r w:rsidRPr="003E75D7">
        <w:t>35 years of service with the co</w:t>
      </w:r>
      <w:r w:rsidR="00085FD8" w:rsidRPr="003E75D7">
        <w:t>-</w:t>
      </w:r>
      <w:r w:rsidRPr="003E75D7">
        <w:t xml:space="preserve">operative, most departments did not talk to each other. Venkatesh began by integrating the various departments and setting priorities. He </w:t>
      </w:r>
      <w:r w:rsidRPr="003E75D7">
        <w:lastRenderedPageBreak/>
        <w:t xml:space="preserve">believed in lauding and awarding employees to maintain their morale. An </w:t>
      </w:r>
      <w:r w:rsidR="00085FD8" w:rsidRPr="003E75D7">
        <w:t>open-</w:t>
      </w:r>
      <w:r w:rsidRPr="003E75D7">
        <w:t>door policy</w:t>
      </w:r>
      <w:r w:rsidR="005E4D63" w:rsidRPr="003E75D7">
        <w:t xml:space="preserve">—including </w:t>
      </w:r>
      <w:r w:rsidRPr="003E75D7">
        <w:t xml:space="preserve">being open to suggestions from all levels of employees and interacting with customers and weavers in the exhibitions, on weaver </w:t>
      </w:r>
      <w:r w:rsidR="00741BD5" w:rsidRPr="003E75D7">
        <w:t>tours</w:t>
      </w:r>
      <w:r w:rsidR="005E4D63" w:rsidRPr="003E75D7">
        <w:t>,</w:t>
      </w:r>
      <w:r w:rsidRPr="003E75D7">
        <w:t xml:space="preserve"> and through social media</w:t>
      </w:r>
      <w:r w:rsidR="005E4D63" w:rsidRPr="003E75D7">
        <w:t>—</w:t>
      </w:r>
      <w:r w:rsidRPr="003E75D7">
        <w:t xml:space="preserve">helped him stay in touch with all the relevant stakeholders. </w:t>
      </w:r>
    </w:p>
    <w:p w14:paraId="5506E0B4" w14:textId="77777777" w:rsidR="00D759DA" w:rsidRPr="003E75D7" w:rsidRDefault="00D759DA" w:rsidP="0019116A">
      <w:pPr>
        <w:pStyle w:val="BodyTextMain"/>
        <w:rPr>
          <w:i/>
          <w:sz w:val="20"/>
        </w:rPr>
      </w:pPr>
    </w:p>
    <w:p w14:paraId="03E74358" w14:textId="77777777" w:rsidR="008C1ED2" w:rsidRPr="003E75D7" w:rsidRDefault="008C1ED2" w:rsidP="0019116A">
      <w:pPr>
        <w:pStyle w:val="BodyTextMain"/>
        <w:rPr>
          <w:i/>
          <w:sz w:val="20"/>
        </w:rPr>
      </w:pPr>
    </w:p>
    <w:p w14:paraId="5A0F344D" w14:textId="0C3B4059" w:rsidR="00D759DA" w:rsidRPr="003E75D7" w:rsidRDefault="00D759DA" w:rsidP="008C1ED2">
      <w:pPr>
        <w:pStyle w:val="Casehead2"/>
      </w:pPr>
      <w:r w:rsidRPr="003E75D7">
        <w:t xml:space="preserve">Marketing </w:t>
      </w:r>
      <w:r w:rsidR="005E4D63" w:rsidRPr="003E75D7">
        <w:t>Efforts</w:t>
      </w:r>
    </w:p>
    <w:p w14:paraId="145643B2" w14:textId="77777777" w:rsidR="00D759DA" w:rsidRPr="003E75D7" w:rsidRDefault="00D759DA" w:rsidP="0019116A">
      <w:pPr>
        <w:pStyle w:val="BodyTextMain"/>
        <w:rPr>
          <w:i/>
          <w:sz w:val="20"/>
        </w:rPr>
      </w:pPr>
    </w:p>
    <w:p w14:paraId="4C6FAF59" w14:textId="04598843" w:rsidR="00D759DA" w:rsidRPr="003E75D7" w:rsidRDefault="00D759DA" w:rsidP="0019116A">
      <w:pPr>
        <w:pStyle w:val="BodyTextMain"/>
      </w:pPr>
      <w:r w:rsidRPr="003E75D7">
        <w:t xml:space="preserve">The new phase of turnaround gave substantial importance to marketing activities. Venkatesh believed he must </w:t>
      </w:r>
      <w:r w:rsidR="005E4D63" w:rsidRPr="003E75D7">
        <w:t xml:space="preserve">build strong relationships with customers by reinvigorating </w:t>
      </w:r>
      <w:r w:rsidRPr="003E75D7">
        <w:t xml:space="preserve">and </w:t>
      </w:r>
      <w:r w:rsidR="005E4D63" w:rsidRPr="003E75D7">
        <w:t xml:space="preserve">rejuvenating </w:t>
      </w:r>
      <w:r w:rsidRPr="003E75D7">
        <w:t>customer</w:t>
      </w:r>
      <w:r w:rsidR="005E4D63" w:rsidRPr="003E75D7">
        <w:t>s’</w:t>
      </w:r>
      <w:r w:rsidRPr="003E75D7">
        <w:t xml:space="preserve"> experience with Co-optex.</w:t>
      </w:r>
    </w:p>
    <w:p w14:paraId="73A6BF32" w14:textId="77777777" w:rsidR="00D759DA" w:rsidRPr="003E75D7" w:rsidRDefault="00D759DA" w:rsidP="0019116A">
      <w:pPr>
        <w:pStyle w:val="BodyTextMain"/>
        <w:rPr>
          <w:sz w:val="20"/>
        </w:rPr>
      </w:pPr>
    </w:p>
    <w:p w14:paraId="5F01E782" w14:textId="132D9AC7" w:rsidR="00D759DA" w:rsidRPr="003E75D7" w:rsidRDefault="00D759DA" w:rsidP="0019116A">
      <w:pPr>
        <w:pStyle w:val="BodyTextMain"/>
      </w:pPr>
      <w:r w:rsidRPr="003E75D7">
        <w:t xml:space="preserve">The market research study Co-optex </w:t>
      </w:r>
      <w:r w:rsidR="005E4D63" w:rsidRPr="003E75D7">
        <w:t xml:space="preserve">had commissioned </w:t>
      </w:r>
      <w:r w:rsidRPr="003E75D7">
        <w:t xml:space="preserve">in 2011 identified </w:t>
      </w:r>
      <w:r w:rsidR="005E4D63" w:rsidRPr="003E75D7">
        <w:t xml:space="preserve">a preference of </w:t>
      </w:r>
      <w:r w:rsidRPr="003E75D7">
        <w:t>consumer</w:t>
      </w:r>
      <w:r w:rsidR="005E4D63" w:rsidRPr="003E75D7">
        <w:t>s</w:t>
      </w:r>
      <w:r w:rsidRPr="003E75D7">
        <w:t xml:space="preserve"> </w:t>
      </w:r>
      <w:r w:rsidR="005E4D63" w:rsidRPr="003E75D7">
        <w:t xml:space="preserve">in major Indian cities </w:t>
      </w:r>
      <w:r w:rsidRPr="003E75D7">
        <w:t>for handloom</w:t>
      </w:r>
      <w:r w:rsidR="005E4D63" w:rsidRPr="003E75D7">
        <w:t xml:space="preserve"> work</w:t>
      </w:r>
      <w:r w:rsidRPr="003E75D7">
        <w:t xml:space="preserve"> over synthetics. Co-optex decided to compete with growing retail brands like Nalli through niche and innovative products sold in “Co-optex boutiques</w:t>
      </w:r>
      <w:r w:rsidR="005E4D63" w:rsidRPr="003E75D7">
        <w:t>.</w:t>
      </w:r>
      <w:r w:rsidRPr="003E75D7">
        <w:t xml:space="preserve">” With assistance </w:t>
      </w:r>
      <w:r w:rsidR="005E4D63" w:rsidRPr="003E75D7">
        <w:t xml:space="preserve">from </w:t>
      </w:r>
      <w:r w:rsidRPr="003E75D7">
        <w:t>the Tamil Nadu Innovation Initiative Scheme, Co-optex converted existing showrooms in four cities into niche boutiques. The</w:t>
      </w:r>
      <w:r w:rsidR="005E4D63" w:rsidRPr="003E75D7">
        <w:t>se</w:t>
      </w:r>
      <w:r w:rsidRPr="003E75D7">
        <w:t xml:space="preserve"> boutiques witnessed </w:t>
      </w:r>
      <w:r w:rsidR="005E4D63" w:rsidRPr="003E75D7">
        <w:t xml:space="preserve">a </w:t>
      </w:r>
      <w:r w:rsidRPr="003E75D7">
        <w:t>significant increase in footfalls</w:t>
      </w:r>
      <w:r w:rsidR="005E4D63" w:rsidRPr="003E75D7">
        <w:t xml:space="preserve"> and</w:t>
      </w:r>
      <w:r w:rsidRPr="003E75D7">
        <w:t xml:space="preserve"> cash sales.</w:t>
      </w:r>
    </w:p>
    <w:p w14:paraId="671B5A4A" w14:textId="77777777" w:rsidR="00D759DA" w:rsidRPr="003E75D7" w:rsidRDefault="00D759DA" w:rsidP="0019116A">
      <w:pPr>
        <w:pStyle w:val="BodyTextMain"/>
        <w:rPr>
          <w:sz w:val="20"/>
        </w:rPr>
      </w:pPr>
    </w:p>
    <w:p w14:paraId="1F63B096" w14:textId="1DF26509" w:rsidR="00D759DA" w:rsidRPr="003E75D7" w:rsidRDefault="00D759DA" w:rsidP="0019116A">
      <w:pPr>
        <w:pStyle w:val="BodyTextMain"/>
      </w:pPr>
      <w:r w:rsidRPr="003E75D7">
        <w:t xml:space="preserve">Co-optex tried to build interest around its products during key </w:t>
      </w:r>
      <w:r w:rsidR="005E4D63" w:rsidRPr="003E75D7">
        <w:t>national and</w:t>
      </w:r>
      <w:r w:rsidRPr="003E75D7">
        <w:t xml:space="preserve"> regional festivals by introducing contests</w:t>
      </w:r>
      <w:r w:rsidR="005E4D63" w:rsidRPr="003E75D7">
        <w:t xml:space="preserve"> and </w:t>
      </w:r>
      <w:r w:rsidRPr="003E75D7">
        <w:t>schemes</w:t>
      </w:r>
      <w:r w:rsidR="00946A09" w:rsidRPr="003E75D7">
        <w:t>.</w:t>
      </w:r>
      <w:r w:rsidR="005E4D63" w:rsidRPr="003E75D7">
        <w:t xml:space="preserve"> </w:t>
      </w:r>
      <w:r w:rsidR="00946A09" w:rsidRPr="003E75D7">
        <w:t>For example</w:t>
      </w:r>
      <w:r w:rsidR="005E4D63" w:rsidRPr="003E75D7">
        <w:t xml:space="preserve">, </w:t>
      </w:r>
      <w:r w:rsidR="00946A09" w:rsidRPr="003E75D7">
        <w:t xml:space="preserve">Co-optex distributed 1,100 grams of gold as part of </w:t>
      </w:r>
      <w:r w:rsidR="005E4D63" w:rsidRPr="003E75D7">
        <w:t>a</w:t>
      </w:r>
      <w:r w:rsidRPr="003E75D7">
        <w:t xml:space="preserve"> </w:t>
      </w:r>
      <w:r w:rsidR="005E4D63" w:rsidRPr="003E75D7">
        <w:t>g</w:t>
      </w:r>
      <w:r w:rsidRPr="003E75D7">
        <w:t xml:space="preserve">old </w:t>
      </w:r>
      <w:r w:rsidR="005E4D63" w:rsidRPr="003E75D7">
        <w:t xml:space="preserve">coin </w:t>
      </w:r>
      <w:r w:rsidRPr="003E75D7">
        <w:t>contest</w:t>
      </w:r>
      <w:r w:rsidR="005E4D63" w:rsidRPr="003E75D7">
        <w:t xml:space="preserve"> that</w:t>
      </w:r>
      <w:r w:rsidRPr="003E75D7">
        <w:t xml:space="preserve"> </w:t>
      </w:r>
      <w:r w:rsidR="005E4D63" w:rsidRPr="003E75D7">
        <w:t>award</w:t>
      </w:r>
      <w:r w:rsidR="00946A09" w:rsidRPr="003E75D7">
        <w:t>ed</w:t>
      </w:r>
      <w:r w:rsidR="005E4D63" w:rsidRPr="003E75D7">
        <w:t xml:space="preserve"> </w:t>
      </w:r>
      <w:r w:rsidRPr="003E75D7">
        <w:t xml:space="preserve">gold coins on cash purchases exceeding </w:t>
      </w:r>
      <w:r w:rsidR="005E4D63" w:rsidRPr="00C14D7C">
        <w:rPr>
          <w:rFonts w:ascii="Arial" w:hAnsi="Arial" w:cs="Arial"/>
          <w:sz w:val="20"/>
          <w:szCs w:val="20"/>
        </w:rPr>
        <w:t>₹</w:t>
      </w:r>
      <w:r w:rsidRPr="003E75D7">
        <w:t>2</w:t>
      </w:r>
      <w:r w:rsidR="005E4D63" w:rsidRPr="003E75D7">
        <w:t>,</w:t>
      </w:r>
      <w:r w:rsidRPr="003E75D7">
        <w:t xml:space="preserve">000, </w:t>
      </w:r>
      <w:r w:rsidR="005E4D63" w:rsidRPr="003E75D7">
        <w:t xml:space="preserve">which </w:t>
      </w:r>
      <w:r w:rsidRPr="003E75D7">
        <w:t xml:space="preserve">increased the excitement around Co-optex products. Co-optex achieved about 30 per cent of </w:t>
      </w:r>
      <w:r w:rsidR="00946A09" w:rsidRPr="003E75D7">
        <w:t xml:space="preserve">its </w:t>
      </w:r>
      <w:r w:rsidRPr="003E75D7">
        <w:t xml:space="preserve">yearly sales </w:t>
      </w:r>
      <w:r w:rsidR="00946A09" w:rsidRPr="003E75D7">
        <w:t>during the festival period between October and January from</w:t>
      </w:r>
      <w:r w:rsidRPr="003E75D7">
        <w:t xml:space="preserve"> </w:t>
      </w:r>
      <w:r w:rsidR="00ED6C77" w:rsidRPr="003E75D7">
        <w:t xml:space="preserve">FY </w:t>
      </w:r>
      <w:r w:rsidRPr="003E75D7">
        <w:t>2012</w:t>
      </w:r>
      <w:r w:rsidR="00946A09" w:rsidRPr="003E75D7">
        <w:t>–</w:t>
      </w:r>
      <w:r w:rsidRPr="003E75D7">
        <w:t xml:space="preserve">13 to </w:t>
      </w:r>
      <w:r w:rsidR="00ED6C77" w:rsidRPr="003E75D7">
        <w:t xml:space="preserve">FY </w:t>
      </w:r>
      <w:r w:rsidRPr="003E75D7">
        <w:t>2015</w:t>
      </w:r>
      <w:r w:rsidR="00946A09" w:rsidRPr="003E75D7">
        <w:t>–</w:t>
      </w:r>
      <w:r w:rsidRPr="003E75D7">
        <w:t>16. The co</w:t>
      </w:r>
      <w:r w:rsidR="006A7B4B" w:rsidRPr="003E75D7">
        <w:t>-</w:t>
      </w:r>
      <w:r w:rsidRPr="003E75D7">
        <w:t xml:space="preserve">operative also launched a </w:t>
      </w:r>
      <w:r w:rsidR="00946A09" w:rsidRPr="003E75D7">
        <w:t>“</w:t>
      </w:r>
      <w:r w:rsidR="008B7724">
        <w:t>b</w:t>
      </w:r>
      <w:r w:rsidRPr="003E75D7">
        <w:t xml:space="preserve">uy </w:t>
      </w:r>
      <w:r w:rsidR="00946A09" w:rsidRPr="003E75D7">
        <w:t>two,</w:t>
      </w:r>
      <w:r w:rsidRPr="003E75D7">
        <w:t xml:space="preserve"> </w:t>
      </w:r>
      <w:r w:rsidR="00946A09" w:rsidRPr="003E75D7">
        <w:t xml:space="preserve">get one free” </w:t>
      </w:r>
      <w:r w:rsidRPr="003E75D7">
        <w:t xml:space="preserve">scheme in </w:t>
      </w:r>
      <w:r w:rsidR="00ED6C77" w:rsidRPr="003E75D7">
        <w:t xml:space="preserve">FY </w:t>
      </w:r>
      <w:r w:rsidRPr="003E75D7">
        <w:t>2011</w:t>
      </w:r>
      <w:r w:rsidR="00946A09" w:rsidRPr="003E75D7">
        <w:t>–</w:t>
      </w:r>
      <w:r w:rsidRPr="003E75D7">
        <w:t xml:space="preserve">12, which continued over the next four years. </w:t>
      </w:r>
    </w:p>
    <w:p w14:paraId="4E7A2CF4" w14:textId="77777777" w:rsidR="00D759DA" w:rsidRPr="003E75D7" w:rsidRDefault="00D759DA" w:rsidP="0019116A">
      <w:pPr>
        <w:pStyle w:val="BodyTextMain"/>
        <w:rPr>
          <w:sz w:val="20"/>
        </w:rPr>
      </w:pPr>
    </w:p>
    <w:p w14:paraId="401B6AE7" w14:textId="77ECFC4F" w:rsidR="00D759DA" w:rsidRPr="003E75D7" w:rsidRDefault="00D759DA" w:rsidP="0019116A">
      <w:pPr>
        <w:pStyle w:val="BodyTextMain"/>
      </w:pPr>
      <w:r w:rsidRPr="003E75D7">
        <w:t xml:space="preserve">Further, Venkatesh expanded </w:t>
      </w:r>
      <w:r w:rsidR="00946A09" w:rsidRPr="003E75D7">
        <w:t xml:space="preserve">Co-optex’s </w:t>
      </w:r>
      <w:r w:rsidRPr="003E75D7">
        <w:t xml:space="preserve">reach </w:t>
      </w:r>
      <w:r w:rsidR="00946A09" w:rsidRPr="003E75D7">
        <w:t xml:space="preserve">by organizing </w:t>
      </w:r>
      <w:r w:rsidRPr="003E75D7">
        <w:t xml:space="preserve">exhibitions all across India. In </w:t>
      </w:r>
      <w:r w:rsidR="00ED6C77" w:rsidRPr="003E75D7">
        <w:t xml:space="preserve">FY </w:t>
      </w:r>
      <w:r w:rsidRPr="003E75D7">
        <w:t>2015</w:t>
      </w:r>
      <w:r w:rsidR="00946A09" w:rsidRPr="003E75D7">
        <w:t>–</w:t>
      </w:r>
      <w:r w:rsidRPr="003E75D7">
        <w:t>16, Co-optex organi</w:t>
      </w:r>
      <w:r w:rsidR="00946A09" w:rsidRPr="003E75D7">
        <w:t>z</w:t>
      </w:r>
      <w:r w:rsidRPr="003E75D7">
        <w:t xml:space="preserve">ed 75 exhibitions, fetching revenues </w:t>
      </w:r>
      <w:r w:rsidR="00946A09" w:rsidRPr="003E75D7">
        <w:t xml:space="preserve">of </w:t>
      </w:r>
      <w:r w:rsidR="00946A09" w:rsidRPr="003E75D7">
        <w:rPr>
          <w:rFonts w:ascii="Arial" w:hAnsi="Arial" w:cs="Arial"/>
          <w:sz w:val="20"/>
          <w:szCs w:val="20"/>
        </w:rPr>
        <w:t>₹</w:t>
      </w:r>
      <w:r w:rsidRPr="003E75D7">
        <w:t xml:space="preserve">51.5 million ($0.78 million). Venkatesh personally </w:t>
      </w:r>
      <w:r w:rsidR="00946A09" w:rsidRPr="003E75D7">
        <w:t>dressed and acted</w:t>
      </w:r>
      <w:r w:rsidRPr="003E75D7">
        <w:t xml:space="preserve"> a</w:t>
      </w:r>
      <w:r w:rsidR="008B7724">
        <w:t>s a</w:t>
      </w:r>
      <w:r w:rsidRPr="003E75D7">
        <w:t xml:space="preserve"> salesperson during these exhibitions, transforming them into events that </w:t>
      </w:r>
      <w:r w:rsidR="00946A09" w:rsidRPr="003E75D7">
        <w:t xml:space="preserve">generated enthusiasm among </w:t>
      </w:r>
      <w:r w:rsidRPr="003E75D7">
        <w:t>both customers and staff.</w:t>
      </w:r>
    </w:p>
    <w:p w14:paraId="76E0E6B9" w14:textId="77777777" w:rsidR="00D759DA" w:rsidRPr="003E75D7" w:rsidRDefault="00D759DA" w:rsidP="0019116A">
      <w:pPr>
        <w:pStyle w:val="BodyTextMain"/>
        <w:rPr>
          <w:sz w:val="20"/>
        </w:rPr>
      </w:pPr>
    </w:p>
    <w:p w14:paraId="2D003A00" w14:textId="7CE403E4" w:rsidR="00D759DA" w:rsidRPr="003E75D7" w:rsidRDefault="00D759DA" w:rsidP="0019116A">
      <w:pPr>
        <w:pStyle w:val="BodyTextMain"/>
      </w:pPr>
      <w:r w:rsidRPr="003E75D7">
        <w:t xml:space="preserve">In December 2014, Co-optex launched </w:t>
      </w:r>
      <w:r w:rsidR="00946A09" w:rsidRPr="003E75D7">
        <w:t xml:space="preserve">an </w:t>
      </w:r>
      <w:r w:rsidRPr="003E75D7">
        <w:t xml:space="preserve">e-shopping portal to </w:t>
      </w:r>
      <w:r w:rsidR="00946A09" w:rsidRPr="003E75D7">
        <w:t>attract</w:t>
      </w:r>
      <w:r w:rsidRPr="003E75D7">
        <w:t xml:space="preserve"> online customers</w:t>
      </w:r>
      <w:r w:rsidR="00946A09" w:rsidRPr="003E75D7">
        <w:t xml:space="preserve"> and</w:t>
      </w:r>
      <w:r w:rsidRPr="003E75D7">
        <w:t xml:space="preserve"> to offer its existing customer base online shopping options. </w:t>
      </w:r>
      <w:r w:rsidR="00946A09" w:rsidRPr="003E75D7">
        <w:t xml:space="preserve">While </w:t>
      </w:r>
      <w:r w:rsidRPr="003E75D7">
        <w:t xml:space="preserve">the e-portal </w:t>
      </w:r>
      <w:r w:rsidR="00946A09" w:rsidRPr="003E75D7">
        <w:t xml:space="preserve">initially </w:t>
      </w:r>
      <w:r w:rsidRPr="003E75D7">
        <w:t>offered only silk and cotton saris</w:t>
      </w:r>
      <w:r w:rsidR="00946A09" w:rsidRPr="003E75D7">
        <w:t>, t</w:t>
      </w:r>
      <w:r w:rsidRPr="003E75D7">
        <w:t>he product range was later extended to 1</w:t>
      </w:r>
      <w:r w:rsidR="00946A09" w:rsidRPr="003E75D7">
        <w:t>,</w:t>
      </w:r>
      <w:r w:rsidRPr="003E75D7">
        <w:t>931 products</w:t>
      </w:r>
      <w:r w:rsidR="00946A09" w:rsidRPr="003E75D7">
        <w:t>,</w:t>
      </w:r>
      <w:r w:rsidRPr="003E75D7">
        <w:t xml:space="preserve"> including silk and cotton shirts, dhothis, </w:t>
      </w:r>
      <w:r w:rsidR="00946A09" w:rsidRPr="003E75D7">
        <w:t xml:space="preserve">and </w:t>
      </w:r>
      <w:r w:rsidRPr="003E75D7">
        <w:t xml:space="preserve">bedspreads. In 2016, Co-optex achieved online sales </w:t>
      </w:r>
      <w:r w:rsidR="00946A09" w:rsidRPr="003E75D7">
        <w:t>of</w:t>
      </w:r>
      <w:r w:rsidRPr="003E75D7">
        <w:t xml:space="preserve"> </w:t>
      </w:r>
      <w:r w:rsidR="00946A09" w:rsidRPr="003E75D7">
        <w:rPr>
          <w:rFonts w:ascii="Arial" w:hAnsi="Arial" w:cs="Arial"/>
          <w:sz w:val="20"/>
          <w:szCs w:val="20"/>
        </w:rPr>
        <w:t>₹</w:t>
      </w:r>
      <w:r w:rsidRPr="003E75D7">
        <w:t>6.22 million ($0.09 million). The e-portal enabled international sales as well</w:t>
      </w:r>
      <w:r w:rsidR="00946A09" w:rsidRPr="003E75D7">
        <w:t xml:space="preserve">, and </w:t>
      </w:r>
      <w:r w:rsidRPr="003E75D7">
        <w:t>Co-optex began selling on other e-commerce portals, including Flipkart, Snapdeal</w:t>
      </w:r>
      <w:r w:rsidR="00946A09" w:rsidRPr="003E75D7">
        <w:t>,</w:t>
      </w:r>
      <w:r w:rsidRPr="003E75D7">
        <w:t xml:space="preserve"> and Craftsvilla, thereby expanding its sales reach. The marketing efforts also included special weaver </w:t>
      </w:r>
      <w:r w:rsidR="00741BD5" w:rsidRPr="003E75D7">
        <w:t>t</w:t>
      </w:r>
      <w:r w:rsidR="00203A4D">
        <w:t>rails</w:t>
      </w:r>
      <w:r w:rsidRPr="003E75D7">
        <w:t xml:space="preserve"> organi</w:t>
      </w:r>
      <w:r w:rsidR="00946A09" w:rsidRPr="003E75D7">
        <w:t>z</w:t>
      </w:r>
      <w:r w:rsidRPr="003E75D7">
        <w:t>ed for groups of sari enthusiasts.</w:t>
      </w:r>
    </w:p>
    <w:p w14:paraId="7CBDCFF6" w14:textId="77777777" w:rsidR="00D759DA" w:rsidRPr="003E75D7" w:rsidRDefault="00D759DA" w:rsidP="0019116A">
      <w:pPr>
        <w:pStyle w:val="BodyTextMain"/>
        <w:rPr>
          <w:sz w:val="20"/>
        </w:rPr>
      </w:pPr>
    </w:p>
    <w:p w14:paraId="18E018E4" w14:textId="4B017DC4" w:rsidR="00D759DA" w:rsidRPr="003E75D7" w:rsidRDefault="0074752B" w:rsidP="0019116A">
      <w:pPr>
        <w:pStyle w:val="BodyTextMain"/>
      </w:pPr>
      <w:r w:rsidRPr="003E75D7">
        <w:t xml:space="preserve">As </w:t>
      </w:r>
      <w:r w:rsidR="00D759DA" w:rsidRPr="003E75D7">
        <w:t>a government co</w:t>
      </w:r>
      <w:r w:rsidR="006A7B4B" w:rsidRPr="003E75D7">
        <w:t>-</w:t>
      </w:r>
      <w:r w:rsidR="00D759DA" w:rsidRPr="003E75D7">
        <w:t xml:space="preserve">operative, Co-optex </w:t>
      </w:r>
      <w:r w:rsidRPr="003E75D7">
        <w:t xml:space="preserve">faced budget </w:t>
      </w:r>
      <w:r w:rsidR="00D759DA" w:rsidRPr="003E75D7">
        <w:t xml:space="preserve">constraints </w:t>
      </w:r>
      <w:r w:rsidRPr="003E75D7">
        <w:t xml:space="preserve">and sanctions </w:t>
      </w:r>
      <w:r w:rsidR="00D759DA" w:rsidRPr="003E75D7">
        <w:t xml:space="preserve">with regard to its </w:t>
      </w:r>
      <w:r w:rsidRPr="003E75D7">
        <w:t>advertising</w:t>
      </w:r>
      <w:r w:rsidR="00D759DA" w:rsidRPr="003E75D7">
        <w:t xml:space="preserve">. Venkatesh found Facebook marketing handy. He became a member of several handloom sari enthusiast groups, including the #100saree pact and #W3 (Women Weave World). </w:t>
      </w:r>
      <w:r w:rsidRPr="003E75D7">
        <w:t xml:space="preserve">One group </w:t>
      </w:r>
      <w:r w:rsidR="00D759DA" w:rsidRPr="003E75D7">
        <w:t xml:space="preserve">was keen </w:t>
      </w:r>
      <w:r w:rsidRPr="003E75D7">
        <w:t xml:space="preserve">to revive </w:t>
      </w:r>
      <w:r w:rsidR="00D759DA" w:rsidRPr="003E75D7">
        <w:t xml:space="preserve">the sari and had decided to wear saris 100 times before the end of 2015. </w:t>
      </w:r>
      <w:r w:rsidRPr="003E75D7">
        <w:t xml:space="preserve">Another </w:t>
      </w:r>
      <w:r w:rsidR="00D759DA" w:rsidRPr="003E75D7">
        <w:t xml:space="preserve">was a group of sari enthusiasts who had bonded over their love for saris. These groups </w:t>
      </w:r>
      <w:r w:rsidR="00917827" w:rsidRPr="003E75D7">
        <w:t>included</w:t>
      </w:r>
      <w:r w:rsidR="00D759DA" w:rsidRPr="003E75D7">
        <w:t xml:space="preserve"> </w:t>
      </w:r>
      <w:r w:rsidRPr="003E75D7">
        <w:t xml:space="preserve">professional </w:t>
      </w:r>
      <w:r w:rsidR="00D759DA" w:rsidRPr="003E75D7">
        <w:t xml:space="preserve">women working in several industries </w:t>
      </w:r>
      <w:r w:rsidR="00917827" w:rsidRPr="003E75D7">
        <w:t xml:space="preserve">across </w:t>
      </w:r>
      <w:r w:rsidR="00D759DA" w:rsidRPr="003E75D7">
        <w:t xml:space="preserve">India, who wished to make a difference to the community of weavers. </w:t>
      </w:r>
      <w:r w:rsidR="00917827" w:rsidRPr="003E75D7">
        <w:t>The Co</w:t>
      </w:r>
      <w:r w:rsidR="00917827" w:rsidRPr="003E75D7">
        <w:noBreakHyphen/>
        <w:t>optex Facebook page, which had about</w:t>
      </w:r>
      <w:r w:rsidR="00D759DA" w:rsidRPr="003E75D7">
        <w:t xml:space="preserve"> 2,000 likes when Venkatesh took over, recorded more than 10,000 likes in 2016. His posts educated enthusiasts </w:t>
      </w:r>
      <w:r w:rsidR="00917827" w:rsidRPr="003E75D7">
        <w:t xml:space="preserve">about </w:t>
      </w:r>
      <w:r w:rsidR="00D759DA" w:rsidRPr="003E75D7">
        <w:t xml:space="preserve">various kinds of weaves, the efforts </w:t>
      </w:r>
      <w:r w:rsidR="00917827" w:rsidRPr="003E75D7">
        <w:t xml:space="preserve">of </w:t>
      </w:r>
      <w:r w:rsidR="00D759DA" w:rsidRPr="003E75D7">
        <w:t xml:space="preserve">weavers, </w:t>
      </w:r>
      <w:r w:rsidR="00917827" w:rsidRPr="003E75D7">
        <w:t xml:space="preserve">and </w:t>
      </w:r>
      <w:r w:rsidR="00D759DA" w:rsidRPr="003E75D7">
        <w:t>Co-optex itself, and led to happy customers taking to social media to express their satisfaction</w:t>
      </w:r>
      <w:r w:rsidR="00917827" w:rsidRPr="003E75D7">
        <w:t>.</w:t>
      </w:r>
      <w:r w:rsidR="00D759DA" w:rsidRPr="0000065D">
        <w:rPr>
          <w:rStyle w:val="EndnoteReference"/>
        </w:rPr>
        <w:endnoteReference w:id="31"/>
      </w:r>
      <w:r w:rsidR="00D759DA" w:rsidRPr="003E75D7">
        <w:t xml:space="preserve"> As a result of Venkatesh’s efforts, Co-optex’s social media presence was extended to </w:t>
      </w:r>
      <w:r w:rsidR="00917827" w:rsidRPr="003E75D7">
        <w:t>include</w:t>
      </w:r>
      <w:r w:rsidR="00D759DA" w:rsidRPr="003E75D7">
        <w:t xml:space="preserve"> Twitter as well, and its digital marketing efforts received responses from youth</w:t>
      </w:r>
      <w:r w:rsidR="00917827" w:rsidRPr="003E75D7">
        <w:t xml:space="preserve"> and</w:t>
      </w:r>
      <w:r w:rsidR="00D759DA" w:rsidRPr="003E75D7">
        <w:t xml:space="preserve"> from Indians settled abroad. </w:t>
      </w:r>
    </w:p>
    <w:p w14:paraId="68279481" w14:textId="77777777" w:rsidR="00D759DA" w:rsidRPr="003E75D7" w:rsidRDefault="00D759DA" w:rsidP="0019116A">
      <w:pPr>
        <w:pStyle w:val="BodyTextMain"/>
        <w:rPr>
          <w:sz w:val="20"/>
        </w:rPr>
      </w:pPr>
    </w:p>
    <w:p w14:paraId="5179031C" w14:textId="46BB85F9" w:rsidR="00D759DA" w:rsidRPr="003E75D7" w:rsidRDefault="00D759DA" w:rsidP="0019116A">
      <w:pPr>
        <w:pStyle w:val="BodyTextMain"/>
      </w:pPr>
      <w:r w:rsidRPr="003E75D7">
        <w:lastRenderedPageBreak/>
        <w:t xml:space="preserve">Besides extensive domestic marketing, Co-optex started </w:t>
      </w:r>
      <w:r w:rsidR="00917827" w:rsidRPr="003E75D7">
        <w:t xml:space="preserve">to </w:t>
      </w:r>
      <w:r w:rsidRPr="003E75D7">
        <w:t>focus on overseas markets, especially for its range of home textile products</w:t>
      </w:r>
      <w:r w:rsidR="00917827" w:rsidRPr="003E75D7">
        <w:t>,</w:t>
      </w:r>
      <w:r w:rsidRPr="003E75D7">
        <w:t xml:space="preserve"> including bed, bath</w:t>
      </w:r>
      <w:r w:rsidR="00917827" w:rsidRPr="003E75D7">
        <w:t>,</w:t>
      </w:r>
      <w:r w:rsidRPr="003E75D7">
        <w:t xml:space="preserve"> and table linen</w:t>
      </w:r>
      <w:r w:rsidR="00917827" w:rsidRPr="003E75D7">
        <w:t>s and</w:t>
      </w:r>
      <w:r w:rsidRPr="003E75D7">
        <w:t xml:space="preserve"> furnishing fabric. The major export </w:t>
      </w:r>
      <w:r w:rsidR="00917827" w:rsidRPr="003E75D7">
        <w:t xml:space="preserve">destinations </w:t>
      </w:r>
      <w:r w:rsidRPr="003E75D7">
        <w:t xml:space="preserve">included Germany, France, </w:t>
      </w:r>
      <w:r w:rsidR="00917827" w:rsidRPr="003E75D7">
        <w:t xml:space="preserve">the </w:t>
      </w:r>
      <w:r w:rsidRPr="003E75D7">
        <w:t xml:space="preserve">Netherlands, Belgium, Denmark, Sweden, Switzerland, Spain, </w:t>
      </w:r>
      <w:r w:rsidR="00917827" w:rsidRPr="003E75D7">
        <w:t xml:space="preserve">the </w:t>
      </w:r>
      <w:r w:rsidRPr="003E75D7">
        <w:t>United Kingdom</w:t>
      </w:r>
      <w:r w:rsidR="00917827" w:rsidRPr="003E75D7">
        <w:t>,</w:t>
      </w:r>
      <w:r w:rsidRPr="003E75D7">
        <w:t xml:space="preserve"> and Hong Kong. </w:t>
      </w:r>
      <w:r w:rsidR="00917827" w:rsidRPr="003E75D7">
        <w:t xml:space="preserve">Co-optex </w:t>
      </w:r>
      <w:r w:rsidRPr="003E75D7">
        <w:t xml:space="preserve">began to pay greater attention to exports </w:t>
      </w:r>
      <w:r w:rsidR="00917827" w:rsidRPr="003E75D7">
        <w:t xml:space="preserve">by </w:t>
      </w:r>
      <w:r w:rsidRPr="003E75D7">
        <w:t xml:space="preserve">participating in international textile fairs, and </w:t>
      </w:r>
      <w:r w:rsidR="00917827" w:rsidRPr="003E75D7">
        <w:t xml:space="preserve">it </w:t>
      </w:r>
      <w:r w:rsidRPr="003E75D7">
        <w:t xml:space="preserve">opened exclusive </w:t>
      </w:r>
      <w:r w:rsidR="00917827" w:rsidRPr="003E75D7">
        <w:t xml:space="preserve">“Hometex” </w:t>
      </w:r>
      <w:r w:rsidRPr="003E75D7">
        <w:t xml:space="preserve">showrooms to sell handloom </w:t>
      </w:r>
      <w:r w:rsidR="00917827" w:rsidRPr="003E75D7">
        <w:t xml:space="preserve">home textiles </w:t>
      </w:r>
      <w:r w:rsidRPr="003E75D7">
        <w:t xml:space="preserve">products </w:t>
      </w:r>
      <w:r w:rsidR="00917827" w:rsidRPr="003E75D7">
        <w:t>for export</w:t>
      </w:r>
      <w:r w:rsidRPr="003E75D7">
        <w:t xml:space="preserve">. In </w:t>
      </w:r>
      <w:r w:rsidR="00ED6C77" w:rsidRPr="003E75D7">
        <w:t xml:space="preserve">FY </w:t>
      </w:r>
      <w:r w:rsidRPr="003E75D7">
        <w:t>2014</w:t>
      </w:r>
      <w:r w:rsidR="00917827" w:rsidRPr="003E75D7">
        <w:t>–</w:t>
      </w:r>
      <w:r w:rsidRPr="003E75D7">
        <w:t xml:space="preserve">15, Co-optex received </w:t>
      </w:r>
      <w:r w:rsidR="00917827" w:rsidRPr="003E75D7">
        <w:t xml:space="preserve">an award for </w:t>
      </w:r>
      <w:r w:rsidRPr="003E75D7">
        <w:t>Best Handloom Exporter from among all handloom co</w:t>
      </w:r>
      <w:r w:rsidR="00917827" w:rsidRPr="003E75D7">
        <w:t>-</w:t>
      </w:r>
      <w:r w:rsidRPr="003E75D7">
        <w:t>operatives in Tamil Nadu.</w:t>
      </w:r>
    </w:p>
    <w:p w14:paraId="2A7938BE" w14:textId="77777777" w:rsidR="00D759DA" w:rsidRPr="003E75D7" w:rsidRDefault="00D759DA" w:rsidP="0019116A">
      <w:pPr>
        <w:pStyle w:val="BodyTextMain"/>
        <w:rPr>
          <w:i/>
          <w:sz w:val="20"/>
        </w:rPr>
      </w:pPr>
    </w:p>
    <w:p w14:paraId="07829643" w14:textId="77777777" w:rsidR="008C1ED2" w:rsidRPr="003E75D7" w:rsidRDefault="008C1ED2" w:rsidP="0019116A">
      <w:pPr>
        <w:pStyle w:val="BodyTextMain"/>
        <w:rPr>
          <w:i/>
          <w:sz w:val="20"/>
        </w:rPr>
      </w:pPr>
    </w:p>
    <w:p w14:paraId="37CB3586" w14:textId="1C4BF58B" w:rsidR="00D759DA" w:rsidRPr="003E75D7" w:rsidRDefault="00D759DA" w:rsidP="008C1ED2">
      <w:pPr>
        <w:pStyle w:val="Casehead2"/>
      </w:pPr>
      <w:r w:rsidRPr="003E75D7">
        <w:t>New and Revival</w:t>
      </w:r>
      <w:r w:rsidR="00917827" w:rsidRPr="003E75D7">
        <w:t xml:space="preserve"> </w:t>
      </w:r>
      <w:r w:rsidRPr="003E75D7">
        <w:t>Products</w:t>
      </w:r>
    </w:p>
    <w:p w14:paraId="09D11D77" w14:textId="77777777" w:rsidR="00D759DA" w:rsidRPr="003E75D7" w:rsidRDefault="00D759DA" w:rsidP="0019116A">
      <w:pPr>
        <w:pStyle w:val="BodyTextMain"/>
        <w:rPr>
          <w:sz w:val="20"/>
        </w:rPr>
      </w:pPr>
    </w:p>
    <w:p w14:paraId="36641228" w14:textId="24170B1F" w:rsidR="00D759DA" w:rsidRPr="003E75D7" w:rsidRDefault="00917827" w:rsidP="0019116A">
      <w:pPr>
        <w:pStyle w:val="BodyTextMain"/>
      </w:pPr>
      <w:r w:rsidRPr="003E75D7">
        <w:t xml:space="preserve">As part of the turnaround, </w:t>
      </w:r>
      <w:r w:rsidR="00D759DA" w:rsidRPr="003E75D7">
        <w:t>Co-optex introduced a variety of new products</w:t>
      </w:r>
      <w:r w:rsidRPr="003E75D7">
        <w:t>,</w:t>
      </w:r>
      <w:r w:rsidR="00D759DA" w:rsidRPr="003E75D7">
        <w:t xml:space="preserve"> including organic cotton saris and linen shirts. Organic cotton saris were environmental</w:t>
      </w:r>
      <w:r w:rsidRPr="003E75D7">
        <w:t>ly</w:t>
      </w:r>
      <w:r w:rsidR="00D759DA" w:rsidRPr="003E75D7">
        <w:t xml:space="preserve"> friendly products introduced with a view to encourage zero environmental pollution and protect ecological balance. Co-optex was India’s only apex handloom weaving society producing organic cotton saris. It also introduced linen shirts in the men’s category under the brand names LICO and Linens by Co-optex</w:t>
      </w:r>
      <w:r w:rsidRPr="003E75D7">
        <w:t xml:space="preserve"> (see</w:t>
      </w:r>
      <w:r w:rsidR="00D759DA" w:rsidRPr="003E75D7">
        <w:t xml:space="preserve"> Exhibit 7</w:t>
      </w:r>
      <w:r w:rsidRPr="003E75D7">
        <w:t>).</w:t>
      </w:r>
      <w:r w:rsidR="00D759DA" w:rsidRPr="003E75D7">
        <w:t xml:space="preserve"> </w:t>
      </w:r>
    </w:p>
    <w:p w14:paraId="38195DA7" w14:textId="77777777" w:rsidR="00D759DA" w:rsidRPr="003E75D7" w:rsidRDefault="00D759DA" w:rsidP="0019116A">
      <w:pPr>
        <w:pStyle w:val="BodyTextMain"/>
        <w:rPr>
          <w:i/>
          <w:sz w:val="20"/>
        </w:rPr>
      </w:pPr>
    </w:p>
    <w:p w14:paraId="402A9055" w14:textId="57950660" w:rsidR="00D759DA" w:rsidRPr="003E75D7" w:rsidRDefault="00D759DA" w:rsidP="0019116A">
      <w:pPr>
        <w:pStyle w:val="BodyTextMain"/>
      </w:pPr>
      <w:r w:rsidRPr="003E75D7">
        <w:t>Through his social media interaction</w:t>
      </w:r>
      <w:r w:rsidR="00917827" w:rsidRPr="003E75D7">
        <w:t>s</w:t>
      </w:r>
      <w:r w:rsidRPr="003E75D7">
        <w:t xml:space="preserve">, Venkatesh realized that there </w:t>
      </w:r>
      <w:r w:rsidR="00917827" w:rsidRPr="003E75D7">
        <w:t xml:space="preserve">was </w:t>
      </w:r>
      <w:r w:rsidRPr="003E75D7">
        <w:t>a niche market for vintage products such as Kanjeevar</w:t>
      </w:r>
      <w:r w:rsidR="0093483E">
        <w:t>u</w:t>
      </w:r>
      <w:r w:rsidRPr="003E75D7">
        <w:t>m silk saris in traditional motifs and patterns. The Kanjeevar</w:t>
      </w:r>
      <w:r w:rsidR="0093483E">
        <w:t>u</w:t>
      </w:r>
      <w:r w:rsidRPr="003E75D7">
        <w:t>m was a type of silk sari woven in the Kanchipuram region of Tamil Nadu</w:t>
      </w:r>
      <w:r w:rsidR="00613AE0" w:rsidRPr="003E75D7">
        <w:t xml:space="preserve">, which </w:t>
      </w:r>
      <w:r w:rsidRPr="003E75D7">
        <w:t xml:space="preserve">was </w:t>
      </w:r>
      <w:r w:rsidR="00613AE0" w:rsidRPr="003E75D7">
        <w:t xml:space="preserve">recognized </w:t>
      </w:r>
      <w:r w:rsidRPr="003E75D7">
        <w:t xml:space="preserve">as a </w:t>
      </w:r>
      <w:r w:rsidR="00613AE0" w:rsidRPr="003E75D7">
        <w:t xml:space="preserve">geographical indication </w:t>
      </w:r>
      <w:r w:rsidRPr="003E75D7">
        <w:t xml:space="preserve">by the </w:t>
      </w:r>
      <w:r w:rsidR="00613AE0" w:rsidRPr="003E75D7">
        <w:t xml:space="preserve">government </w:t>
      </w:r>
      <w:r w:rsidRPr="003E75D7">
        <w:t xml:space="preserve">of India in </w:t>
      </w:r>
      <w:r w:rsidR="00ED6C77" w:rsidRPr="003E75D7">
        <w:t xml:space="preserve">FY </w:t>
      </w:r>
      <w:r w:rsidRPr="003E75D7">
        <w:t>2005</w:t>
      </w:r>
      <w:r w:rsidR="00613AE0" w:rsidRPr="003E75D7">
        <w:t>–</w:t>
      </w:r>
      <w:r w:rsidRPr="003E75D7">
        <w:t xml:space="preserve">06. </w:t>
      </w:r>
      <w:r w:rsidRPr="00834633">
        <w:t>Worn</w:t>
      </w:r>
      <w:r w:rsidRPr="003E75D7">
        <w:t xml:space="preserve"> during </w:t>
      </w:r>
      <w:r w:rsidR="00613AE0" w:rsidRPr="003E75D7">
        <w:t xml:space="preserve">weddings </w:t>
      </w:r>
      <w:r w:rsidRPr="003E75D7">
        <w:t xml:space="preserve">and </w:t>
      </w:r>
      <w:r w:rsidR="00613AE0" w:rsidRPr="003E75D7">
        <w:t>festivals</w:t>
      </w:r>
      <w:r w:rsidRPr="003E75D7">
        <w:t xml:space="preserve">, it had been losing its significance to the large youth population in India, which had preferred to move towards lighter, more contemporary designs. Venkatesh decided to introduce </w:t>
      </w:r>
      <w:r w:rsidR="00613AE0" w:rsidRPr="003E75D7">
        <w:t>v</w:t>
      </w:r>
      <w:r w:rsidRPr="003E75D7">
        <w:t>intage Kanjeevar</w:t>
      </w:r>
      <w:r w:rsidR="001710F4">
        <w:t>u</w:t>
      </w:r>
      <w:r w:rsidRPr="003E75D7">
        <w:t>ms</w:t>
      </w:r>
      <w:r w:rsidR="00613AE0" w:rsidRPr="003E75D7">
        <w:t>—</w:t>
      </w:r>
      <w:r w:rsidRPr="003E75D7">
        <w:t xml:space="preserve">silk saris </w:t>
      </w:r>
      <w:r w:rsidR="00613AE0" w:rsidRPr="003E75D7">
        <w:t>that</w:t>
      </w:r>
      <w:r w:rsidRPr="003E75D7">
        <w:t xml:space="preserve"> </w:t>
      </w:r>
      <w:r w:rsidR="00613AE0" w:rsidRPr="003E75D7">
        <w:t xml:space="preserve">revived </w:t>
      </w:r>
      <w:r w:rsidRPr="003E75D7">
        <w:t>traditional motifs and weav</w:t>
      </w:r>
      <w:r w:rsidR="00613AE0" w:rsidRPr="003E75D7">
        <w:t>ing</w:t>
      </w:r>
      <w:r w:rsidRPr="003E75D7">
        <w:t xml:space="preserve"> patterns</w:t>
      </w:r>
      <w:r w:rsidR="00613AE0" w:rsidRPr="003E75D7">
        <w:t xml:space="preserve"> that</w:t>
      </w:r>
      <w:r w:rsidRPr="003E75D7">
        <w:t xml:space="preserve"> were on the verge of extinction </w:t>
      </w:r>
      <w:r w:rsidR="00613AE0" w:rsidRPr="003E75D7">
        <w:t xml:space="preserve">because of a </w:t>
      </w:r>
      <w:r w:rsidRPr="003E75D7">
        <w:t xml:space="preserve">lack of connoisseurs. Exclusive </w:t>
      </w:r>
      <w:r w:rsidR="00613AE0" w:rsidRPr="003E75D7">
        <w:t xml:space="preserve">vintage </w:t>
      </w:r>
      <w:r w:rsidRPr="003E75D7">
        <w:t>Kanjeevar</w:t>
      </w:r>
      <w:r w:rsidR="001710F4">
        <w:t>u</w:t>
      </w:r>
      <w:r w:rsidRPr="003E75D7">
        <w:t>m exhibitions were organi</w:t>
      </w:r>
      <w:r w:rsidR="00613AE0" w:rsidRPr="003E75D7">
        <w:t>z</w:t>
      </w:r>
      <w:r w:rsidRPr="003E75D7">
        <w:t>ed for sari lovers in Mumbai, Bengaluru</w:t>
      </w:r>
      <w:r w:rsidR="00613AE0" w:rsidRPr="003E75D7">
        <w:t>,</w:t>
      </w:r>
      <w:r w:rsidRPr="003E75D7">
        <w:t xml:space="preserve"> and Chennai. These and other revival saris were a big hit with sari lovers</w:t>
      </w:r>
      <w:r w:rsidR="00613AE0" w:rsidRPr="003E75D7">
        <w:t xml:space="preserve"> and</w:t>
      </w:r>
      <w:r w:rsidRPr="003E75D7">
        <w:t xml:space="preserve"> sold out at exhibitions and when posted online.</w:t>
      </w:r>
    </w:p>
    <w:p w14:paraId="3BEFDD5A" w14:textId="77777777" w:rsidR="00D759DA" w:rsidRPr="003E75D7" w:rsidRDefault="00D759DA" w:rsidP="0019116A">
      <w:pPr>
        <w:pStyle w:val="BodyTextMain"/>
        <w:rPr>
          <w:sz w:val="20"/>
        </w:rPr>
      </w:pPr>
    </w:p>
    <w:p w14:paraId="7C0BA2AE" w14:textId="77777777" w:rsidR="008C1ED2" w:rsidRPr="003E75D7" w:rsidRDefault="008C1ED2" w:rsidP="0019116A">
      <w:pPr>
        <w:pStyle w:val="BodyTextMain"/>
        <w:rPr>
          <w:sz w:val="20"/>
        </w:rPr>
      </w:pPr>
    </w:p>
    <w:p w14:paraId="656CD702" w14:textId="5A455E68" w:rsidR="00D759DA" w:rsidRPr="003E75D7" w:rsidRDefault="00D759DA" w:rsidP="008C1ED2">
      <w:pPr>
        <w:pStyle w:val="Casehead2"/>
      </w:pPr>
      <w:r w:rsidRPr="003E75D7">
        <w:t xml:space="preserve">Weavers’ </w:t>
      </w:r>
      <w:r w:rsidR="00613AE0" w:rsidRPr="003E75D7">
        <w:t xml:space="preserve">Identity Cards </w:t>
      </w:r>
      <w:r w:rsidRPr="003E75D7">
        <w:t>and Exposure Visits</w:t>
      </w:r>
    </w:p>
    <w:p w14:paraId="1B8153DA" w14:textId="77777777" w:rsidR="008C1ED2" w:rsidRPr="003E75D7" w:rsidRDefault="008C1ED2" w:rsidP="0019116A">
      <w:pPr>
        <w:pStyle w:val="BodyTextMain"/>
        <w:rPr>
          <w:sz w:val="20"/>
        </w:rPr>
      </w:pPr>
    </w:p>
    <w:p w14:paraId="4B7A89CB" w14:textId="0EF5B342" w:rsidR="00D759DA" w:rsidRPr="003E75D7" w:rsidRDefault="00D759DA" w:rsidP="0019116A">
      <w:pPr>
        <w:pStyle w:val="BodyTextMain"/>
      </w:pPr>
      <w:r w:rsidRPr="003E75D7">
        <w:t xml:space="preserve">Venkatesh was aware </w:t>
      </w:r>
      <w:r w:rsidR="00613AE0" w:rsidRPr="003E75D7">
        <w:t>that</w:t>
      </w:r>
      <w:r w:rsidRPr="003E75D7">
        <w:t xml:space="preserve"> weavers</w:t>
      </w:r>
      <w:r w:rsidR="00613AE0" w:rsidRPr="003E75D7">
        <w:t xml:space="preserve"> were</w:t>
      </w:r>
      <w:r w:rsidRPr="003E75D7">
        <w:t xml:space="preserve"> </w:t>
      </w:r>
      <w:r w:rsidR="00613AE0" w:rsidRPr="003E75D7">
        <w:t xml:space="preserve">disillusioned </w:t>
      </w:r>
      <w:r w:rsidRPr="003E75D7">
        <w:t xml:space="preserve">with handlooms and </w:t>
      </w:r>
      <w:r w:rsidRPr="00A145DC">
        <w:t>migrati</w:t>
      </w:r>
      <w:r w:rsidR="00613AE0" w:rsidRPr="00A145DC">
        <w:t>ng</w:t>
      </w:r>
      <w:r w:rsidRPr="00A145DC">
        <w:t xml:space="preserve"> to power</w:t>
      </w:r>
      <w:r w:rsidR="00613AE0" w:rsidRPr="00A145DC">
        <w:t xml:space="preserve"> </w:t>
      </w:r>
      <w:r w:rsidRPr="00A145DC">
        <w:t xml:space="preserve">looms or even </w:t>
      </w:r>
      <w:r w:rsidR="00613AE0" w:rsidRPr="00A145DC">
        <w:t xml:space="preserve">to </w:t>
      </w:r>
      <w:r w:rsidRPr="00A145DC">
        <w:t xml:space="preserve">other occupations. He improvised </w:t>
      </w:r>
      <w:r w:rsidR="00033016">
        <w:t xml:space="preserve">the </w:t>
      </w:r>
      <w:r w:rsidRPr="00A145DC">
        <w:t>weavers’ photo identity cards</w:t>
      </w:r>
      <w:r w:rsidR="0013308E" w:rsidRPr="00A145DC">
        <w:t>,</w:t>
      </w:r>
      <w:r w:rsidR="0013308E" w:rsidRPr="003E75D7">
        <w:t xml:space="preserve"> which</w:t>
      </w:r>
      <w:r w:rsidRPr="003E75D7">
        <w:t xml:space="preserve"> had been introduced by the Ministry of Handloom and Textiles in 2010 with the objective of tracing product</w:t>
      </w:r>
      <w:r w:rsidR="0013308E" w:rsidRPr="003E75D7">
        <w:t>s</w:t>
      </w:r>
      <w:r w:rsidRPr="003E75D7">
        <w:t xml:space="preserve"> back to the original weaver. </w:t>
      </w:r>
      <w:r w:rsidR="0013308E" w:rsidRPr="003E75D7">
        <w:t>E</w:t>
      </w:r>
      <w:r w:rsidRPr="003E75D7">
        <w:t xml:space="preserve">ach Co-optex product began to carry a </w:t>
      </w:r>
      <w:r w:rsidR="0013308E" w:rsidRPr="003E75D7">
        <w:t xml:space="preserve">weaver’s </w:t>
      </w:r>
      <w:r w:rsidRPr="003E75D7">
        <w:t xml:space="preserve">card with </w:t>
      </w:r>
      <w:r w:rsidR="0013308E" w:rsidRPr="003E75D7">
        <w:t xml:space="preserve">a </w:t>
      </w:r>
      <w:r w:rsidRPr="003E75D7">
        <w:t xml:space="preserve">photograph </w:t>
      </w:r>
      <w:r w:rsidR="0013308E" w:rsidRPr="003E75D7">
        <w:t xml:space="preserve">and details about </w:t>
      </w:r>
      <w:r w:rsidRPr="003E75D7">
        <w:t>the producing weaver</w:t>
      </w:r>
      <w:r w:rsidR="00BE1278">
        <w:t>,</w:t>
      </w:r>
      <w:r w:rsidRPr="003E75D7">
        <w:t xml:space="preserve"> along with </w:t>
      </w:r>
      <w:r w:rsidR="0013308E" w:rsidRPr="003E75D7">
        <w:t>information about</w:t>
      </w:r>
      <w:r w:rsidRPr="003E75D7">
        <w:t xml:space="preserve"> the weaving technique used </w:t>
      </w:r>
      <w:r w:rsidR="0013308E" w:rsidRPr="003E75D7">
        <w:t xml:space="preserve">to produce </w:t>
      </w:r>
      <w:r w:rsidRPr="003E75D7">
        <w:t xml:space="preserve">the </w:t>
      </w:r>
      <w:r w:rsidRPr="00A145DC">
        <w:t xml:space="preserve">sari. While </w:t>
      </w:r>
      <w:r w:rsidR="0013308E" w:rsidRPr="00A145DC">
        <w:t>the</w:t>
      </w:r>
      <w:r w:rsidR="0013308E" w:rsidRPr="003E75D7">
        <w:t xml:space="preserve"> card was initially </w:t>
      </w:r>
      <w:r w:rsidRPr="003E75D7">
        <w:t xml:space="preserve">introduced for handloom sari weavers, Co-optex proposed to extend </w:t>
      </w:r>
      <w:r w:rsidR="0013308E" w:rsidRPr="003E75D7">
        <w:t>its use</w:t>
      </w:r>
      <w:r w:rsidRPr="003E75D7">
        <w:t xml:space="preserve"> to other handloom product weavers in the future. While this </w:t>
      </w:r>
      <w:r w:rsidR="0013308E" w:rsidRPr="003E75D7">
        <w:t xml:space="preserve">recognized </w:t>
      </w:r>
      <w:r w:rsidRPr="003E75D7">
        <w:t xml:space="preserve">and </w:t>
      </w:r>
      <w:r w:rsidR="002A3224" w:rsidRPr="003E75D7">
        <w:t>honoured</w:t>
      </w:r>
      <w:r w:rsidRPr="003E75D7">
        <w:t xml:space="preserve"> weaver</w:t>
      </w:r>
      <w:r w:rsidR="0013308E" w:rsidRPr="003E75D7">
        <w:t>s</w:t>
      </w:r>
      <w:r w:rsidRPr="003E75D7">
        <w:t>, it also created an aspirational product for discerning customer</w:t>
      </w:r>
      <w:r w:rsidR="0013308E" w:rsidRPr="003E75D7">
        <w:t>s</w:t>
      </w:r>
      <w:r w:rsidRPr="003E75D7">
        <w:t xml:space="preserve">. By 2015, Co-optex had </w:t>
      </w:r>
      <w:r w:rsidR="003B7D14" w:rsidRPr="003E75D7">
        <w:t xml:space="preserve">digitally </w:t>
      </w:r>
      <w:r w:rsidRPr="003E75D7">
        <w:t xml:space="preserve">mapped 90,000 weavers’ identity cards. </w:t>
      </w:r>
    </w:p>
    <w:p w14:paraId="3705020B" w14:textId="77777777" w:rsidR="00D759DA" w:rsidRPr="003E75D7" w:rsidRDefault="00D759DA" w:rsidP="0019116A">
      <w:pPr>
        <w:pStyle w:val="BodyTextMain"/>
        <w:rPr>
          <w:i/>
          <w:sz w:val="20"/>
        </w:rPr>
      </w:pPr>
    </w:p>
    <w:p w14:paraId="2331E96B" w14:textId="02EAA161" w:rsidR="00D759DA" w:rsidRPr="003E75D7" w:rsidRDefault="00D759DA" w:rsidP="0019116A">
      <w:pPr>
        <w:pStyle w:val="BodyTextMain"/>
      </w:pPr>
      <w:r w:rsidRPr="003E75D7">
        <w:t>An</w:t>
      </w:r>
      <w:r w:rsidR="0013308E" w:rsidRPr="003E75D7">
        <w:t>other</w:t>
      </w:r>
      <w:r w:rsidRPr="003E75D7">
        <w:t xml:space="preserve"> important component of the turnaround strategy was </w:t>
      </w:r>
      <w:r w:rsidR="00BE1278">
        <w:t xml:space="preserve">the </w:t>
      </w:r>
      <w:r w:rsidRPr="003E75D7">
        <w:t>exposure visits initiated by Venkatesh. Under this initiative, handloom weavers, Co-optex technical personnel</w:t>
      </w:r>
      <w:r w:rsidR="0013308E" w:rsidRPr="003E75D7">
        <w:t>,</w:t>
      </w:r>
      <w:r w:rsidRPr="003E75D7">
        <w:t xml:space="preserve"> and designers were taken on trips to various other handloom clusters both within and outside the state</w:t>
      </w:r>
      <w:r w:rsidR="0013308E" w:rsidRPr="003E75D7">
        <w:t xml:space="preserve"> in order to</w:t>
      </w:r>
      <w:r w:rsidRPr="003E75D7">
        <w:t xml:space="preserve"> gain knowledge on improved production techniques</w:t>
      </w:r>
      <w:r w:rsidR="0013308E" w:rsidRPr="003E75D7">
        <w:t xml:space="preserve"> and</w:t>
      </w:r>
      <w:r w:rsidRPr="003E75D7">
        <w:t xml:space="preserve"> the development of novel designs. The deliverables of this initiative included improved awareness </w:t>
      </w:r>
      <w:r w:rsidR="00D049B2" w:rsidRPr="003E75D7">
        <w:t xml:space="preserve">among weavers </w:t>
      </w:r>
      <w:r w:rsidRPr="003E75D7">
        <w:t xml:space="preserve">of </w:t>
      </w:r>
      <w:r w:rsidR="00D049B2" w:rsidRPr="003E75D7">
        <w:t xml:space="preserve">the </w:t>
      </w:r>
      <w:r w:rsidRPr="003E75D7">
        <w:t xml:space="preserve">latest weaving </w:t>
      </w:r>
      <w:r w:rsidRPr="00C14D7C">
        <w:t>techniques</w:t>
      </w:r>
      <w:r w:rsidR="00D049B2" w:rsidRPr="00C14D7C">
        <w:t>,</w:t>
      </w:r>
      <w:r w:rsidRPr="00C14D7C">
        <w:t xml:space="preserve"> implementation of novel designs and colour combinations in existing products</w:t>
      </w:r>
      <w:r w:rsidR="00D049B2" w:rsidRPr="00C14D7C">
        <w:t xml:space="preserve">, a </w:t>
      </w:r>
      <w:r w:rsidRPr="00C14D7C">
        <w:t xml:space="preserve">movement towards </w:t>
      </w:r>
      <w:r w:rsidR="00D049B2" w:rsidRPr="00C14D7C">
        <w:t>higher-value-</w:t>
      </w:r>
      <w:r w:rsidRPr="00C14D7C">
        <w:t>added products</w:t>
      </w:r>
      <w:r w:rsidR="00D049B2" w:rsidRPr="00C14D7C">
        <w:t xml:space="preserve">, </w:t>
      </w:r>
      <w:r w:rsidRPr="00C14D7C">
        <w:t>improved motivation</w:t>
      </w:r>
      <w:r w:rsidR="00D049B2" w:rsidRPr="00C14D7C">
        <w:t>,</w:t>
      </w:r>
      <w:r w:rsidRPr="00C14D7C">
        <w:t xml:space="preserve"> </w:t>
      </w:r>
      <w:r w:rsidR="00D049B2" w:rsidRPr="00C14D7C">
        <w:t>an</w:t>
      </w:r>
      <w:r w:rsidRPr="00C14D7C">
        <w:t xml:space="preserve"> ability among weavers to venture into new products</w:t>
      </w:r>
      <w:r w:rsidR="00D049B2" w:rsidRPr="00C14D7C">
        <w:t>,</w:t>
      </w:r>
      <w:r w:rsidRPr="00C14D7C">
        <w:t xml:space="preserve"> and increased sales of handloom products by around 10 per cent per annum</w:t>
      </w:r>
      <w:r w:rsidRPr="003E75D7">
        <w:t>.</w:t>
      </w:r>
    </w:p>
    <w:p w14:paraId="4CD4653E" w14:textId="77777777" w:rsidR="00D759DA" w:rsidRPr="003E75D7" w:rsidRDefault="00D759DA" w:rsidP="0019116A">
      <w:pPr>
        <w:pStyle w:val="BodyTextMain"/>
        <w:rPr>
          <w:sz w:val="20"/>
        </w:rPr>
      </w:pPr>
    </w:p>
    <w:p w14:paraId="0B3CDE48" w14:textId="362D0F95" w:rsidR="00D759DA" w:rsidRPr="003E75D7" w:rsidRDefault="00D759DA" w:rsidP="0019116A">
      <w:pPr>
        <w:pStyle w:val="BodyTextMain"/>
      </w:pPr>
      <w:r w:rsidRPr="003E75D7">
        <w:lastRenderedPageBreak/>
        <w:t>Tamil</w:t>
      </w:r>
      <w:r w:rsidR="00741BD5" w:rsidRPr="003E75D7">
        <w:t xml:space="preserve"> Nadu </w:t>
      </w:r>
      <w:r w:rsidRPr="003E75D7">
        <w:t>weavers were taken to Orissa, Madhya Pradesh</w:t>
      </w:r>
      <w:r w:rsidR="00D049B2" w:rsidRPr="003E75D7">
        <w:t>,</w:t>
      </w:r>
      <w:r w:rsidRPr="003E75D7">
        <w:t xml:space="preserve"> and Maharashtra as part of these weaver </w:t>
      </w:r>
      <w:r w:rsidR="00741BD5" w:rsidRPr="003E75D7">
        <w:t>tours</w:t>
      </w:r>
      <w:r w:rsidRPr="003E75D7">
        <w:t xml:space="preserve">. The handlooms of each of these states had their own distinct identities. Weavers who </w:t>
      </w:r>
      <w:r w:rsidR="00D049B2" w:rsidRPr="003E75D7">
        <w:t>were</w:t>
      </w:r>
      <w:r w:rsidRPr="003E75D7">
        <w:t xml:space="preserve"> part of these visits incorporated the influences of the other state handlooms into their own weaving, and this led to the creation of new designer-like saris. The </w:t>
      </w:r>
      <w:r w:rsidR="00D049B2" w:rsidRPr="003E75D7">
        <w:t xml:space="preserve">sharing of </w:t>
      </w:r>
      <w:r w:rsidRPr="003E75D7">
        <w:t xml:space="preserve">experience was expected to result in the overall growth of the handloom industry. Further, it increased the </w:t>
      </w:r>
      <w:r w:rsidR="00D049B2" w:rsidRPr="003E75D7">
        <w:t>wage-</w:t>
      </w:r>
      <w:r w:rsidRPr="003E75D7">
        <w:t>earning capacity of the weavers considerably, as they began to supply 15</w:t>
      </w:r>
      <w:r w:rsidR="00D049B2" w:rsidRPr="003E75D7">
        <w:t>–</w:t>
      </w:r>
      <w:r w:rsidRPr="003E75D7">
        <w:t xml:space="preserve">20 saris per month, instead of the usual six to nine saris. </w:t>
      </w:r>
    </w:p>
    <w:p w14:paraId="39283311" w14:textId="77777777" w:rsidR="00D759DA" w:rsidRPr="003E75D7" w:rsidRDefault="00D759DA" w:rsidP="0019116A">
      <w:pPr>
        <w:pStyle w:val="BodyTextMain"/>
        <w:rPr>
          <w:sz w:val="20"/>
        </w:rPr>
      </w:pPr>
    </w:p>
    <w:p w14:paraId="563BF4E2" w14:textId="0E896B3F" w:rsidR="00D759DA" w:rsidRPr="003E75D7" w:rsidRDefault="00D049B2" w:rsidP="0019116A">
      <w:pPr>
        <w:pStyle w:val="BodyTextMain"/>
      </w:pPr>
      <w:r w:rsidRPr="003E75D7">
        <w:t xml:space="preserve">Co-optex had managed to change its image from staid to market savvy through these various </w:t>
      </w:r>
      <w:r w:rsidR="00D759DA" w:rsidRPr="003E75D7">
        <w:t>efforts</w:t>
      </w:r>
      <w:r w:rsidRPr="003E75D7">
        <w:t>:</w:t>
      </w:r>
      <w:r w:rsidR="00D759DA" w:rsidRPr="003E75D7">
        <w:t xml:space="preserve"> changing the demographic profile of the Co-optex customer</w:t>
      </w:r>
      <w:r w:rsidRPr="003E75D7">
        <w:t>;</w:t>
      </w:r>
      <w:r w:rsidR="00D759DA" w:rsidRPr="003E75D7">
        <w:t xml:space="preserve"> introducing new colours, </w:t>
      </w:r>
      <w:r w:rsidR="00D759DA" w:rsidRPr="006C4E55">
        <w:t>patterns</w:t>
      </w:r>
      <w:r w:rsidRPr="006C4E55">
        <w:t>,</w:t>
      </w:r>
      <w:r w:rsidR="00D759DA" w:rsidRPr="006C4E55">
        <w:t xml:space="preserve"> designs</w:t>
      </w:r>
      <w:r w:rsidRPr="006C4E55">
        <w:t>, and</w:t>
      </w:r>
      <w:r w:rsidR="00D759DA" w:rsidRPr="006C4E55">
        <w:t xml:space="preserve"> </w:t>
      </w:r>
      <w:r w:rsidRPr="006C4E55">
        <w:t>products</w:t>
      </w:r>
      <w:r w:rsidRPr="003E75D7">
        <w:t xml:space="preserve"> </w:t>
      </w:r>
      <w:r w:rsidR="00D759DA" w:rsidRPr="003E75D7">
        <w:t>preferred by the new demographic</w:t>
      </w:r>
      <w:r w:rsidRPr="003E75D7">
        <w:t>;</w:t>
      </w:r>
      <w:r w:rsidR="00D759DA" w:rsidRPr="003E75D7">
        <w:t xml:space="preserve"> using e-commerce portals and social media to be in sync with contemporary trends</w:t>
      </w:r>
      <w:r w:rsidRPr="003E75D7">
        <w:t>;</w:t>
      </w:r>
      <w:r w:rsidR="00D759DA" w:rsidRPr="003E75D7">
        <w:t xml:space="preserve"> and motivating weavers to weave the new products designed by students of design. How could Co-optex continue to be relevant to a population</w:t>
      </w:r>
      <w:r w:rsidRPr="003E75D7">
        <w:t xml:space="preserve"> that was</w:t>
      </w:r>
      <w:r w:rsidR="00D759DA" w:rsidRPr="003E75D7">
        <w:t xml:space="preserve"> exposed to growing </w:t>
      </w:r>
      <w:r w:rsidRPr="003E75D7">
        <w:t xml:space="preserve">Westernization, </w:t>
      </w:r>
      <w:r w:rsidR="00D759DA" w:rsidRPr="003E75D7">
        <w:t xml:space="preserve">large </w:t>
      </w:r>
      <w:r w:rsidRPr="003E75D7">
        <w:t xml:space="preserve">availability of </w:t>
      </w:r>
      <w:r w:rsidR="00D759DA" w:rsidRPr="003E75D7">
        <w:t xml:space="preserve">options in clothing and textiles, </w:t>
      </w:r>
      <w:r w:rsidRPr="003E75D7">
        <w:t xml:space="preserve">and continuously </w:t>
      </w:r>
      <w:r w:rsidR="00D759DA" w:rsidRPr="003E75D7">
        <w:t>changing tastes and preferences?</w:t>
      </w:r>
    </w:p>
    <w:p w14:paraId="552E568B" w14:textId="77777777" w:rsidR="00D759DA" w:rsidRPr="003E75D7" w:rsidRDefault="00D759DA" w:rsidP="008C1ED2">
      <w:pPr>
        <w:pStyle w:val="BodyTextMain"/>
        <w:rPr>
          <w:sz w:val="20"/>
        </w:rPr>
      </w:pPr>
    </w:p>
    <w:p w14:paraId="6DBB0788" w14:textId="77777777" w:rsidR="008C1ED2" w:rsidRPr="003E75D7" w:rsidRDefault="008C1ED2">
      <w:pPr>
        <w:spacing w:after="200" w:line="276" w:lineRule="auto"/>
        <w:rPr>
          <w:sz w:val="22"/>
          <w:szCs w:val="22"/>
        </w:rPr>
      </w:pPr>
      <w:r w:rsidRPr="003E75D7">
        <w:br w:type="page"/>
      </w:r>
    </w:p>
    <w:p w14:paraId="3B1CE1F8" w14:textId="62E1ACE8" w:rsidR="00D759DA" w:rsidRPr="003E75D7" w:rsidRDefault="00D759DA" w:rsidP="008C1ED2">
      <w:pPr>
        <w:pStyle w:val="ExhibitHeading"/>
      </w:pPr>
      <w:r w:rsidRPr="003E75D7">
        <w:lastRenderedPageBreak/>
        <w:t xml:space="preserve">EXHIBIT 1: </w:t>
      </w:r>
      <w:r w:rsidR="005065E0">
        <w:t>Yearly</w:t>
      </w:r>
      <w:r w:rsidRPr="003E75D7">
        <w:t xml:space="preserve"> PRODUCTION OF HANDLOOM CLOTH AND EXPORT OF HANDLOOM PRODUCTS FROM INDIA</w:t>
      </w:r>
    </w:p>
    <w:p w14:paraId="5E15C0C8" w14:textId="77777777" w:rsidR="00D759DA" w:rsidRPr="003E75D7" w:rsidRDefault="00D759DA" w:rsidP="00D759DA">
      <w:pPr>
        <w:jc w:val="both"/>
        <w:rPr>
          <w:rFonts w:ascii="Arial" w:hAnsi="Arial" w:cs="Arial"/>
          <w:sz w:val="18"/>
        </w:rPr>
      </w:pPr>
    </w:p>
    <w:tbl>
      <w:tblPr>
        <w:tblStyle w:val="TableGrid"/>
        <w:tblW w:w="0" w:type="auto"/>
        <w:jc w:val="center"/>
        <w:tblLook w:val="04A0" w:firstRow="1" w:lastRow="0" w:firstColumn="1" w:lastColumn="0" w:noHBand="0" w:noVBand="1"/>
      </w:tblPr>
      <w:tblGrid>
        <w:gridCol w:w="1384"/>
        <w:gridCol w:w="2931"/>
        <w:gridCol w:w="2520"/>
      </w:tblGrid>
      <w:tr w:rsidR="00D759DA" w:rsidRPr="003E75D7" w14:paraId="31D49074" w14:textId="77777777" w:rsidTr="00AB7ACB">
        <w:trPr>
          <w:trHeight w:val="344"/>
          <w:jc w:val="center"/>
        </w:trPr>
        <w:tc>
          <w:tcPr>
            <w:tcW w:w="1384" w:type="dxa"/>
          </w:tcPr>
          <w:p w14:paraId="0391A2C2" w14:textId="707E7139" w:rsidR="00D759DA" w:rsidRPr="003E75D7" w:rsidRDefault="00D759DA" w:rsidP="008C1ED2">
            <w:pPr>
              <w:jc w:val="center"/>
              <w:rPr>
                <w:rFonts w:ascii="Arial" w:hAnsi="Arial" w:cs="Arial"/>
                <w:b/>
              </w:rPr>
            </w:pPr>
            <w:r w:rsidRPr="003E75D7">
              <w:rPr>
                <w:rFonts w:ascii="Arial" w:hAnsi="Arial" w:cs="Arial"/>
                <w:b/>
              </w:rPr>
              <w:t>Year</w:t>
            </w:r>
          </w:p>
        </w:tc>
        <w:tc>
          <w:tcPr>
            <w:tcW w:w="2931" w:type="dxa"/>
          </w:tcPr>
          <w:p w14:paraId="051DA7C0" w14:textId="267DCE30" w:rsidR="00D759DA" w:rsidRPr="003E75D7" w:rsidRDefault="00D759DA" w:rsidP="00471732">
            <w:pPr>
              <w:jc w:val="center"/>
              <w:rPr>
                <w:rFonts w:ascii="Arial" w:hAnsi="Arial" w:cs="Arial"/>
                <w:b/>
              </w:rPr>
            </w:pPr>
            <w:r w:rsidRPr="003E75D7">
              <w:rPr>
                <w:rFonts w:ascii="Arial" w:hAnsi="Arial" w:cs="Arial"/>
                <w:b/>
              </w:rPr>
              <w:t xml:space="preserve">Handloom </w:t>
            </w:r>
            <w:r w:rsidR="003411F3" w:rsidRPr="003E75D7">
              <w:rPr>
                <w:rFonts w:ascii="Arial" w:hAnsi="Arial" w:cs="Arial"/>
                <w:b/>
              </w:rPr>
              <w:t xml:space="preserve">Cloth Production </w:t>
            </w:r>
            <w:r w:rsidRPr="003E75D7">
              <w:rPr>
                <w:rFonts w:ascii="Arial" w:hAnsi="Arial" w:cs="Arial"/>
                <w:b/>
              </w:rPr>
              <w:t>(</w:t>
            </w:r>
            <w:r w:rsidR="003411F3" w:rsidRPr="003E75D7">
              <w:rPr>
                <w:rFonts w:ascii="Arial" w:hAnsi="Arial" w:cs="Arial"/>
                <w:b/>
              </w:rPr>
              <w:t xml:space="preserve">in </w:t>
            </w:r>
            <w:r w:rsidRPr="003E75D7">
              <w:rPr>
                <w:rFonts w:ascii="Arial" w:hAnsi="Arial" w:cs="Arial"/>
                <w:b/>
              </w:rPr>
              <w:t>million sq</w:t>
            </w:r>
            <w:r w:rsidR="003411F3" w:rsidRPr="003E75D7">
              <w:rPr>
                <w:rFonts w:ascii="Arial" w:hAnsi="Arial" w:cs="Arial"/>
                <w:b/>
              </w:rPr>
              <w:t xml:space="preserve">uare </w:t>
            </w:r>
            <w:r w:rsidRPr="003E75D7">
              <w:rPr>
                <w:rFonts w:ascii="Arial" w:hAnsi="Arial" w:cs="Arial"/>
                <w:b/>
              </w:rPr>
              <w:t>metres)</w:t>
            </w:r>
          </w:p>
        </w:tc>
        <w:tc>
          <w:tcPr>
            <w:tcW w:w="2520" w:type="dxa"/>
          </w:tcPr>
          <w:p w14:paraId="5DB917DC" w14:textId="435BCF4B" w:rsidR="00D759DA" w:rsidRPr="003E75D7" w:rsidRDefault="00D759DA" w:rsidP="008C1ED2">
            <w:pPr>
              <w:jc w:val="center"/>
              <w:rPr>
                <w:rFonts w:ascii="Arial" w:hAnsi="Arial" w:cs="Arial"/>
                <w:b/>
              </w:rPr>
            </w:pPr>
            <w:r w:rsidRPr="003E75D7">
              <w:rPr>
                <w:rFonts w:ascii="Arial" w:hAnsi="Arial" w:cs="Arial"/>
                <w:b/>
              </w:rPr>
              <w:t xml:space="preserve">Handloom </w:t>
            </w:r>
            <w:r w:rsidR="003411F3" w:rsidRPr="003E75D7">
              <w:rPr>
                <w:rFonts w:ascii="Arial" w:hAnsi="Arial" w:cs="Arial"/>
                <w:b/>
              </w:rPr>
              <w:t>Exports</w:t>
            </w:r>
          </w:p>
          <w:p w14:paraId="20D54C15" w14:textId="342C5181" w:rsidR="00D759DA" w:rsidRPr="003E75D7" w:rsidRDefault="00D759DA" w:rsidP="00471732">
            <w:pPr>
              <w:jc w:val="center"/>
              <w:rPr>
                <w:rFonts w:ascii="Arial" w:hAnsi="Arial" w:cs="Arial"/>
                <w:b/>
              </w:rPr>
            </w:pPr>
            <w:r w:rsidRPr="003E75D7">
              <w:rPr>
                <w:rFonts w:ascii="Arial" w:hAnsi="Arial" w:cs="Arial"/>
                <w:b/>
              </w:rPr>
              <w:t>(</w:t>
            </w:r>
            <w:r w:rsidR="003411F3" w:rsidRPr="003E75D7">
              <w:rPr>
                <w:rFonts w:ascii="Arial" w:hAnsi="Arial" w:cs="Arial"/>
                <w:b/>
              </w:rPr>
              <w:t xml:space="preserve">in </w:t>
            </w:r>
            <w:r w:rsidRPr="003E75D7">
              <w:rPr>
                <w:rFonts w:ascii="Arial" w:hAnsi="Arial" w:cs="Arial"/>
                <w:b/>
              </w:rPr>
              <w:t>$ million</w:t>
            </w:r>
            <w:r w:rsidR="003411F3" w:rsidRPr="003E75D7">
              <w:rPr>
                <w:rFonts w:ascii="Arial" w:hAnsi="Arial" w:cs="Arial"/>
                <w:b/>
              </w:rPr>
              <w:t>s</w:t>
            </w:r>
            <w:r w:rsidRPr="003E75D7">
              <w:rPr>
                <w:rFonts w:ascii="Arial" w:hAnsi="Arial" w:cs="Arial"/>
                <w:b/>
              </w:rPr>
              <w:t>)</w:t>
            </w:r>
          </w:p>
        </w:tc>
      </w:tr>
      <w:tr w:rsidR="00D759DA" w:rsidRPr="003E75D7" w14:paraId="7618D87F" w14:textId="77777777" w:rsidTr="00AB7ACB">
        <w:trPr>
          <w:jc w:val="center"/>
        </w:trPr>
        <w:tc>
          <w:tcPr>
            <w:tcW w:w="1384" w:type="dxa"/>
          </w:tcPr>
          <w:p w14:paraId="42B68F47" w14:textId="233F92DD" w:rsidR="00D759DA" w:rsidRPr="003E75D7" w:rsidRDefault="00D759DA" w:rsidP="00471732">
            <w:pPr>
              <w:jc w:val="both"/>
              <w:rPr>
                <w:rFonts w:ascii="Arial" w:hAnsi="Arial" w:cs="Arial"/>
              </w:rPr>
            </w:pPr>
            <w:r w:rsidRPr="003E75D7">
              <w:rPr>
                <w:rFonts w:ascii="Arial" w:hAnsi="Arial" w:cs="Arial"/>
              </w:rPr>
              <w:t>2007</w:t>
            </w:r>
            <w:r w:rsidR="003411F3" w:rsidRPr="003E75D7">
              <w:rPr>
                <w:rFonts w:ascii="Arial" w:hAnsi="Arial" w:cs="Arial"/>
              </w:rPr>
              <w:t>–</w:t>
            </w:r>
            <w:r w:rsidRPr="003E75D7">
              <w:rPr>
                <w:rFonts w:ascii="Arial" w:hAnsi="Arial" w:cs="Arial"/>
              </w:rPr>
              <w:t>08</w:t>
            </w:r>
          </w:p>
        </w:tc>
        <w:tc>
          <w:tcPr>
            <w:tcW w:w="2931" w:type="dxa"/>
          </w:tcPr>
          <w:p w14:paraId="70A3682A" w14:textId="4FEB64B1" w:rsidR="00D759DA" w:rsidRPr="003E75D7" w:rsidRDefault="00D759DA" w:rsidP="00C14D7C">
            <w:pPr>
              <w:jc w:val="right"/>
              <w:rPr>
                <w:rFonts w:ascii="Arial" w:hAnsi="Arial" w:cs="Arial"/>
              </w:rPr>
            </w:pPr>
            <w:r w:rsidRPr="003E75D7">
              <w:rPr>
                <w:rFonts w:ascii="Arial" w:hAnsi="Arial" w:cs="Arial"/>
              </w:rPr>
              <w:t>6</w:t>
            </w:r>
            <w:r w:rsidR="003411F3" w:rsidRPr="003E75D7">
              <w:rPr>
                <w:rFonts w:ascii="Arial" w:hAnsi="Arial" w:cs="Arial"/>
              </w:rPr>
              <w:t>,</w:t>
            </w:r>
            <w:r w:rsidRPr="003E75D7">
              <w:rPr>
                <w:rFonts w:ascii="Arial" w:hAnsi="Arial" w:cs="Arial"/>
              </w:rPr>
              <w:t>947</w:t>
            </w:r>
          </w:p>
        </w:tc>
        <w:tc>
          <w:tcPr>
            <w:tcW w:w="2520" w:type="dxa"/>
          </w:tcPr>
          <w:p w14:paraId="47DFF723" w14:textId="77777777" w:rsidR="00D759DA" w:rsidRPr="003E75D7" w:rsidRDefault="00D759DA" w:rsidP="00C14D7C">
            <w:pPr>
              <w:jc w:val="right"/>
              <w:rPr>
                <w:rFonts w:ascii="Arial" w:hAnsi="Arial" w:cs="Arial"/>
              </w:rPr>
            </w:pPr>
            <w:r w:rsidRPr="003E75D7">
              <w:rPr>
                <w:rFonts w:ascii="Arial" w:hAnsi="Arial" w:cs="Arial"/>
              </w:rPr>
              <w:t>N.A.</w:t>
            </w:r>
          </w:p>
        </w:tc>
      </w:tr>
      <w:tr w:rsidR="00D759DA" w:rsidRPr="003E75D7" w14:paraId="45EEAE22" w14:textId="77777777" w:rsidTr="00AB7ACB">
        <w:trPr>
          <w:jc w:val="center"/>
        </w:trPr>
        <w:tc>
          <w:tcPr>
            <w:tcW w:w="1384" w:type="dxa"/>
          </w:tcPr>
          <w:p w14:paraId="323677B9" w14:textId="58F1E952" w:rsidR="00D759DA" w:rsidRPr="003E75D7" w:rsidRDefault="00D759DA" w:rsidP="00471732">
            <w:pPr>
              <w:jc w:val="both"/>
              <w:rPr>
                <w:rFonts w:ascii="Arial" w:hAnsi="Arial" w:cs="Arial"/>
              </w:rPr>
            </w:pPr>
            <w:r w:rsidRPr="003E75D7">
              <w:rPr>
                <w:rFonts w:ascii="Arial" w:hAnsi="Arial" w:cs="Arial"/>
              </w:rPr>
              <w:t>2008</w:t>
            </w:r>
            <w:r w:rsidR="003411F3" w:rsidRPr="003E75D7">
              <w:rPr>
                <w:rFonts w:ascii="Arial" w:hAnsi="Arial" w:cs="Arial"/>
              </w:rPr>
              <w:t>–</w:t>
            </w:r>
            <w:r w:rsidRPr="003E75D7">
              <w:rPr>
                <w:rFonts w:ascii="Arial" w:hAnsi="Arial" w:cs="Arial"/>
              </w:rPr>
              <w:t>09</w:t>
            </w:r>
          </w:p>
        </w:tc>
        <w:tc>
          <w:tcPr>
            <w:tcW w:w="2931" w:type="dxa"/>
          </w:tcPr>
          <w:p w14:paraId="6E9BCA26" w14:textId="1482C335" w:rsidR="00D759DA" w:rsidRPr="003E75D7" w:rsidRDefault="00D759DA" w:rsidP="00C14D7C">
            <w:pPr>
              <w:jc w:val="right"/>
              <w:rPr>
                <w:rFonts w:ascii="Arial" w:hAnsi="Arial" w:cs="Arial"/>
              </w:rPr>
            </w:pPr>
            <w:r w:rsidRPr="003E75D7">
              <w:rPr>
                <w:rFonts w:ascii="Arial" w:hAnsi="Arial" w:cs="Arial"/>
              </w:rPr>
              <w:t>6</w:t>
            </w:r>
            <w:r w:rsidR="003411F3" w:rsidRPr="003E75D7">
              <w:rPr>
                <w:rFonts w:ascii="Arial" w:hAnsi="Arial" w:cs="Arial"/>
              </w:rPr>
              <w:t>,</w:t>
            </w:r>
            <w:r w:rsidRPr="003E75D7">
              <w:rPr>
                <w:rFonts w:ascii="Arial" w:hAnsi="Arial" w:cs="Arial"/>
              </w:rPr>
              <w:t>677</w:t>
            </w:r>
          </w:p>
        </w:tc>
        <w:tc>
          <w:tcPr>
            <w:tcW w:w="2520" w:type="dxa"/>
          </w:tcPr>
          <w:p w14:paraId="69A6FAC1" w14:textId="77777777" w:rsidR="00D759DA" w:rsidRPr="003E75D7" w:rsidRDefault="00D759DA" w:rsidP="00C14D7C">
            <w:pPr>
              <w:jc w:val="right"/>
              <w:rPr>
                <w:rFonts w:ascii="Arial" w:hAnsi="Arial" w:cs="Arial"/>
              </w:rPr>
            </w:pPr>
            <w:r w:rsidRPr="003E75D7">
              <w:rPr>
                <w:rFonts w:ascii="Arial" w:hAnsi="Arial" w:cs="Arial"/>
              </w:rPr>
              <w:t>N.A.</w:t>
            </w:r>
          </w:p>
        </w:tc>
      </w:tr>
      <w:tr w:rsidR="00D759DA" w:rsidRPr="003E75D7" w14:paraId="39BD6DFF" w14:textId="77777777" w:rsidTr="00AB7ACB">
        <w:trPr>
          <w:jc w:val="center"/>
        </w:trPr>
        <w:tc>
          <w:tcPr>
            <w:tcW w:w="1384" w:type="dxa"/>
          </w:tcPr>
          <w:p w14:paraId="709B1708" w14:textId="5390E21A" w:rsidR="00D759DA" w:rsidRPr="003E75D7" w:rsidRDefault="00D759DA" w:rsidP="00471732">
            <w:pPr>
              <w:jc w:val="both"/>
              <w:rPr>
                <w:rFonts w:ascii="Arial" w:hAnsi="Arial" w:cs="Arial"/>
              </w:rPr>
            </w:pPr>
            <w:r w:rsidRPr="003E75D7">
              <w:rPr>
                <w:rFonts w:ascii="Arial" w:hAnsi="Arial" w:cs="Arial"/>
              </w:rPr>
              <w:t>2009</w:t>
            </w:r>
            <w:r w:rsidR="003411F3" w:rsidRPr="003E75D7">
              <w:rPr>
                <w:rFonts w:ascii="Arial" w:hAnsi="Arial" w:cs="Arial"/>
              </w:rPr>
              <w:t>–</w:t>
            </w:r>
            <w:r w:rsidRPr="003E75D7">
              <w:rPr>
                <w:rFonts w:ascii="Arial" w:hAnsi="Arial" w:cs="Arial"/>
              </w:rPr>
              <w:t>10</w:t>
            </w:r>
          </w:p>
        </w:tc>
        <w:tc>
          <w:tcPr>
            <w:tcW w:w="2931" w:type="dxa"/>
          </w:tcPr>
          <w:p w14:paraId="08CF6F18" w14:textId="778777C1" w:rsidR="00D759DA" w:rsidRPr="003E75D7" w:rsidRDefault="00D759DA" w:rsidP="00C14D7C">
            <w:pPr>
              <w:jc w:val="right"/>
              <w:rPr>
                <w:rFonts w:ascii="Arial" w:hAnsi="Arial" w:cs="Arial"/>
              </w:rPr>
            </w:pPr>
            <w:r w:rsidRPr="003E75D7">
              <w:rPr>
                <w:rFonts w:ascii="Arial" w:hAnsi="Arial" w:cs="Arial"/>
              </w:rPr>
              <w:t>6</w:t>
            </w:r>
            <w:r w:rsidR="003411F3" w:rsidRPr="003E75D7">
              <w:rPr>
                <w:rFonts w:ascii="Arial" w:hAnsi="Arial" w:cs="Arial"/>
              </w:rPr>
              <w:t>,</w:t>
            </w:r>
            <w:r w:rsidRPr="003E75D7">
              <w:rPr>
                <w:rFonts w:ascii="Arial" w:hAnsi="Arial" w:cs="Arial"/>
              </w:rPr>
              <w:t>806</w:t>
            </w:r>
          </w:p>
        </w:tc>
        <w:tc>
          <w:tcPr>
            <w:tcW w:w="2520" w:type="dxa"/>
          </w:tcPr>
          <w:p w14:paraId="18E58F76" w14:textId="44121CB1" w:rsidR="00D759DA" w:rsidRPr="003E75D7" w:rsidRDefault="00D759DA" w:rsidP="00C14D7C">
            <w:pPr>
              <w:jc w:val="right"/>
              <w:rPr>
                <w:rFonts w:ascii="Arial" w:hAnsi="Arial" w:cs="Arial"/>
              </w:rPr>
            </w:pPr>
            <w:r w:rsidRPr="003E75D7">
              <w:rPr>
                <w:rFonts w:ascii="Arial" w:hAnsi="Arial" w:cs="Arial"/>
              </w:rPr>
              <w:t>1</w:t>
            </w:r>
            <w:r w:rsidR="003411F3" w:rsidRPr="003E75D7">
              <w:rPr>
                <w:rFonts w:ascii="Arial" w:hAnsi="Arial" w:cs="Arial"/>
              </w:rPr>
              <w:t>,</w:t>
            </w:r>
            <w:r w:rsidRPr="003E75D7">
              <w:rPr>
                <w:rFonts w:ascii="Arial" w:hAnsi="Arial" w:cs="Arial"/>
              </w:rPr>
              <w:t>434.65</w:t>
            </w:r>
          </w:p>
        </w:tc>
      </w:tr>
      <w:tr w:rsidR="00D759DA" w:rsidRPr="003E75D7" w14:paraId="0CF22BF2" w14:textId="77777777" w:rsidTr="00AB7ACB">
        <w:trPr>
          <w:jc w:val="center"/>
        </w:trPr>
        <w:tc>
          <w:tcPr>
            <w:tcW w:w="1384" w:type="dxa"/>
          </w:tcPr>
          <w:p w14:paraId="33319818" w14:textId="783EEE30" w:rsidR="00D759DA" w:rsidRPr="003E75D7" w:rsidRDefault="00D759DA" w:rsidP="00471732">
            <w:pPr>
              <w:jc w:val="both"/>
              <w:rPr>
                <w:rFonts w:ascii="Arial" w:hAnsi="Arial" w:cs="Arial"/>
              </w:rPr>
            </w:pPr>
            <w:r w:rsidRPr="003E75D7">
              <w:rPr>
                <w:rFonts w:ascii="Arial" w:hAnsi="Arial" w:cs="Arial"/>
              </w:rPr>
              <w:t>2010</w:t>
            </w:r>
            <w:r w:rsidR="003411F3" w:rsidRPr="003E75D7">
              <w:rPr>
                <w:rFonts w:ascii="Arial" w:hAnsi="Arial" w:cs="Arial"/>
              </w:rPr>
              <w:t>–</w:t>
            </w:r>
            <w:r w:rsidRPr="003E75D7">
              <w:rPr>
                <w:rFonts w:ascii="Arial" w:hAnsi="Arial" w:cs="Arial"/>
              </w:rPr>
              <w:t>11</w:t>
            </w:r>
          </w:p>
        </w:tc>
        <w:tc>
          <w:tcPr>
            <w:tcW w:w="2931" w:type="dxa"/>
          </w:tcPr>
          <w:p w14:paraId="10A49D00" w14:textId="230A2D76" w:rsidR="00D759DA" w:rsidRPr="003E75D7" w:rsidRDefault="00D759DA" w:rsidP="00C14D7C">
            <w:pPr>
              <w:jc w:val="right"/>
              <w:rPr>
                <w:rFonts w:ascii="Arial" w:hAnsi="Arial" w:cs="Arial"/>
              </w:rPr>
            </w:pPr>
            <w:r w:rsidRPr="003E75D7">
              <w:rPr>
                <w:rFonts w:ascii="Arial" w:hAnsi="Arial" w:cs="Arial"/>
              </w:rPr>
              <w:t>6</w:t>
            </w:r>
            <w:r w:rsidR="003411F3" w:rsidRPr="003E75D7">
              <w:rPr>
                <w:rFonts w:ascii="Arial" w:hAnsi="Arial" w:cs="Arial"/>
              </w:rPr>
              <w:t>,</w:t>
            </w:r>
            <w:r w:rsidRPr="003E75D7">
              <w:rPr>
                <w:rFonts w:ascii="Arial" w:hAnsi="Arial" w:cs="Arial"/>
              </w:rPr>
              <w:t>907</w:t>
            </w:r>
          </w:p>
        </w:tc>
        <w:tc>
          <w:tcPr>
            <w:tcW w:w="2520" w:type="dxa"/>
          </w:tcPr>
          <w:p w14:paraId="1627B908" w14:textId="05E37EBB" w:rsidR="00D759DA" w:rsidRPr="003E75D7" w:rsidRDefault="00D759DA" w:rsidP="00C14D7C">
            <w:pPr>
              <w:jc w:val="right"/>
              <w:rPr>
                <w:rFonts w:ascii="Arial" w:hAnsi="Arial" w:cs="Arial"/>
              </w:rPr>
            </w:pPr>
            <w:r w:rsidRPr="003E75D7">
              <w:rPr>
                <w:rFonts w:ascii="Arial" w:hAnsi="Arial" w:cs="Arial"/>
              </w:rPr>
              <w:t>1</w:t>
            </w:r>
            <w:r w:rsidR="003411F3" w:rsidRPr="003E75D7">
              <w:rPr>
                <w:rFonts w:ascii="Arial" w:hAnsi="Arial" w:cs="Arial"/>
              </w:rPr>
              <w:t>,</w:t>
            </w:r>
            <w:r w:rsidRPr="003E75D7">
              <w:rPr>
                <w:rFonts w:ascii="Arial" w:hAnsi="Arial" w:cs="Arial"/>
              </w:rPr>
              <w:t>516.02</w:t>
            </w:r>
          </w:p>
        </w:tc>
      </w:tr>
      <w:tr w:rsidR="00D759DA" w:rsidRPr="003E75D7" w14:paraId="211B0442" w14:textId="77777777" w:rsidTr="00AB7ACB">
        <w:trPr>
          <w:jc w:val="center"/>
        </w:trPr>
        <w:tc>
          <w:tcPr>
            <w:tcW w:w="1384" w:type="dxa"/>
          </w:tcPr>
          <w:p w14:paraId="418C93B1" w14:textId="2144931D" w:rsidR="00D759DA" w:rsidRPr="003E75D7" w:rsidRDefault="00D759DA" w:rsidP="00471732">
            <w:pPr>
              <w:jc w:val="both"/>
              <w:rPr>
                <w:rFonts w:ascii="Arial" w:hAnsi="Arial" w:cs="Arial"/>
              </w:rPr>
            </w:pPr>
            <w:r w:rsidRPr="003E75D7">
              <w:rPr>
                <w:rFonts w:ascii="Arial" w:hAnsi="Arial" w:cs="Arial"/>
              </w:rPr>
              <w:t>2011</w:t>
            </w:r>
            <w:r w:rsidR="003411F3" w:rsidRPr="003E75D7">
              <w:rPr>
                <w:rFonts w:ascii="Arial" w:hAnsi="Arial" w:cs="Arial"/>
              </w:rPr>
              <w:t>–</w:t>
            </w:r>
            <w:r w:rsidRPr="003E75D7">
              <w:rPr>
                <w:rFonts w:ascii="Arial" w:hAnsi="Arial" w:cs="Arial"/>
              </w:rPr>
              <w:t>12</w:t>
            </w:r>
          </w:p>
        </w:tc>
        <w:tc>
          <w:tcPr>
            <w:tcW w:w="2931" w:type="dxa"/>
          </w:tcPr>
          <w:p w14:paraId="490AD0A8" w14:textId="587ED591" w:rsidR="00D759DA" w:rsidRPr="003E75D7" w:rsidRDefault="00D759DA" w:rsidP="00C14D7C">
            <w:pPr>
              <w:jc w:val="right"/>
              <w:rPr>
                <w:rFonts w:ascii="Arial" w:hAnsi="Arial" w:cs="Arial"/>
              </w:rPr>
            </w:pPr>
            <w:r w:rsidRPr="003E75D7">
              <w:rPr>
                <w:rFonts w:ascii="Arial" w:hAnsi="Arial" w:cs="Arial"/>
              </w:rPr>
              <w:t>6</w:t>
            </w:r>
            <w:r w:rsidR="003411F3" w:rsidRPr="003E75D7">
              <w:rPr>
                <w:rFonts w:ascii="Arial" w:hAnsi="Arial" w:cs="Arial"/>
              </w:rPr>
              <w:t>,</w:t>
            </w:r>
            <w:r w:rsidRPr="003E75D7">
              <w:rPr>
                <w:rFonts w:ascii="Arial" w:hAnsi="Arial" w:cs="Arial"/>
              </w:rPr>
              <w:t>901</w:t>
            </w:r>
          </w:p>
        </w:tc>
        <w:tc>
          <w:tcPr>
            <w:tcW w:w="2520" w:type="dxa"/>
          </w:tcPr>
          <w:p w14:paraId="3EF39153" w14:textId="038189E7" w:rsidR="00D759DA" w:rsidRPr="003E75D7" w:rsidRDefault="00D759DA" w:rsidP="00C14D7C">
            <w:pPr>
              <w:jc w:val="right"/>
              <w:rPr>
                <w:rFonts w:ascii="Arial" w:hAnsi="Arial" w:cs="Arial"/>
              </w:rPr>
            </w:pPr>
            <w:r w:rsidRPr="003E75D7">
              <w:rPr>
                <w:rFonts w:ascii="Arial" w:hAnsi="Arial" w:cs="Arial"/>
              </w:rPr>
              <w:t>1</w:t>
            </w:r>
            <w:r w:rsidR="003411F3" w:rsidRPr="003E75D7">
              <w:rPr>
                <w:rFonts w:ascii="Arial" w:hAnsi="Arial" w:cs="Arial"/>
              </w:rPr>
              <w:t>,</w:t>
            </w:r>
            <w:r w:rsidRPr="003E75D7">
              <w:rPr>
                <w:rFonts w:ascii="Arial" w:hAnsi="Arial" w:cs="Arial"/>
              </w:rPr>
              <w:t>440.11</w:t>
            </w:r>
          </w:p>
        </w:tc>
      </w:tr>
      <w:tr w:rsidR="00D759DA" w:rsidRPr="003E75D7" w14:paraId="44AD0E61" w14:textId="77777777" w:rsidTr="00AB7ACB">
        <w:trPr>
          <w:jc w:val="center"/>
        </w:trPr>
        <w:tc>
          <w:tcPr>
            <w:tcW w:w="1384" w:type="dxa"/>
          </w:tcPr>
          <w:p w14:paraId="247F090E" w14:textId="5ECC73C2" w:rsidR="00D759DA" w:rsidRPr="003E75D7" w:rsidRDefault="00D759DA" w:rsidP="00471732">
            <w:pPr>
              <w:jc w:val="both"/>
              <w:rPr>
                <w:rFonts w:ascii="Arial" w:hAnsi="Arial" w:cs="Arial"/>
              </w:rPr>
            </w:pPr>
            <w:r w:rsidRPr="003E75D7">
              <w:rPr>
                <w:rFonts w:ascii="Arial" w:hAnsi="Arial" w:cs="Arial"/>
              </w:rPr>
              <w:t>2012</w:t>
            </w:r>
            <w:r w:rsidR="003411F3" w:rsidRPr="003E75D7">
              <w:rPr>
                <w:rFonts w:ascii="Arial" w:hAnsi="Arial" w:cs="Arial"/>
              </w:rPr>
              <w:t>–</w:t>
            </w:r>
            <w:r w:rsidRPr="003E75D7">
              <w:rPr>
                <w:rFonts w:ascii="Arial" w:hAnsi="Arial" w:cs="Arial"/>
              </w:rPr>
              <w:t>13</w:t>
            </w:r>
          </w:p>
        </w:tc>
        <w:tc>
          <w:tcPr>
            <w:tcW w:w="2931" w:type="dxa"/>
          </w:tcPr>
          <w:p w14:paraId="388B36F4" w14:textId="14D40361" w:rsidR="00D759DA" w:rsidRPr="003E75D7" w:rsidRDefault="00D759DA" w:rsidP="00C14D7C">
            <w:pPr>
              <w:jc w:val="right"/>
              <w:rPr>
                <w:rFonts w:ascii="Arial" w:hAnsi="Arial" w:cs="Arial"/>
              </w:rPr>
            </w:pPr>
            <w:r w:rsidRPr="003E75D7">
              <w:rPr>
                <w:rFonts w:ascii="Arial" w:hAnsi="Arial" w:cs="Arial"/>
              </w:rPr>
              <w:t>6</w:t>
            </w:r>
            <w:r w:rsidR="003411F3" w:rsidRPr="003E75D7">
              <w:rPr>
                <w:rFonts w:ascii="Arial" w:hAnsi="Arial" w:cs="Arial"/>
              </w:rPr>
              <w:t>,</w:t>
            </w:r>
            <w:r w:rsidRPr="003E75D7">
              <w:rPr>
                <w:rFonts w:ascii="Arial" w:hAnsi="Arial" w:cs="Arial"/>
              </w:rPr>
              <w:t>952</w:t>
            </w:r>
          </w:p>
        </w:tc>
        <w:tc>
          <w:tcPr>
            <w:tcW w:w="2520" w:type="dxa"/>
          </w:tcPr>
          <w:p w14:paraId="4FC7F273" w14:textId="1B941EB7" w:rsidR="00D759DA" w:rsidRPr="003E75D7" w:rsidRDefault="00D759DA" w:rsidP="00C14D7C">
            <w:pPr>
              <w:jc w:val="right"/>
              <w:rPr>
                <w:rFonts w:ascii="Arial" w:hAnsi="Arial" w:cs="Arial"/>
              </w:rPr>
            </w:pPr>
            <w:r w:rsidRPr="003E75D7">
              <w:rPr>
                <w:rFonts w:ascii="Arial" w:hAnsi="Arial" w:cs="Arial"/>
              </w:rPr>
              <w:t>1</w:t>
            </w:r>
            <w:r w:rsidR="003411F3" w:rsidRPr="003E75D7">
              <w:rPr>
                <w:rFonts w:ascii="Arial" w:hAnsi="Arial" w:cs="Arial"/>
              </w:rPr>
              <w:t>,</w:t>
            </w:r>
            <w:r w:rsidRPr="003E75D7">
              <w:rPr>
                <w:rFonts w:ascii="Arial" w:hAnsi="Arial" w:cs="Arial"/>
              </w:rPr>
              <w:t>277.94</w:t>
            </w:r>
          </w:p>
        </w:tc>
      </w:tr>
      <w:tr w:rsidR="00D759DA" w:rsidRPr="003E75D7" w14:paraId="78EF4C61" w14:textId="77777777" w:rsidTr="00AB7ACB">
        <w:trPr>
          <w:jc w:val="center"/>
        </w:trPr>
        <w:tc>
          <w:tcPr>
            <w:tcW w:w="1384" w:type="dxa"/>
          </w:tcPr>
          <w:p w14:paraId="3E0D6898" w14:textId="6481CA77" w:rsidR="00D759DA" w:rsidRPr="003E75D7" w:rsidRDefault="00D759DA" w:rsidP="00471732">
            <w:pPr>
              <w:jc w:val="both"/>
              <w:rPr>
                <w:rFonts w:ascii="Arial" w:hAnsi="Arial" w:cs="Arial"/>
              </w:rPr>
            </w:pPr>
            <w:r w:rsidRPr="003E75D7">
              <w:rPr>
                <w:rFonts w:ascii="Arial" w:hAnsi="Arial" w:cs="Arial"/>
              </w:rPr>
              <w:t>2013</w:t>
            </w:r>
            <w:r w:rsidR="003411F3" w:rsidRPr="003E75D7">
              <w:rPr>
                <w:rFonts w:ascii="Arial" w:hAnsi="Arial" w:cs="Arial"/>
              </w:rPr>
              <w:t>–</w:t>
            </w:r>
            <w:r w:rsidRPr="003E75D7">
              <w:rPr>
                <w:rFonts w:ascii="Arial" w:hAnsi="Arial" w:cs="Arial"/>
              </w:rPr>
              <w:t>14</w:t>
            </w:r>
          </w:p>
        </w:tc>
        <w:tc>
          <w:tcPr>
            <w:tcW w:w="2931" w:type="dxa"/>
          </w:tcPr>
          <w:p w14:paraId="23726264" w14:textId="249262B4" w:rsidR="00D759DA" w:rsidRPr="003E75D7" w:rsidRDefault="00D759DA" w:rsidP="00C14D7C">
            <w:pPr>
              <w:jc w:val="right"/>
              <w:rPr>
                <w:rFonts w:ascii="Arial" w:hAnsi="Arial" w:cs="Arial"/>
              </w:rPr>
            </w:pPr>
            <w:r w:rsidRPr="003E75D7">
              <w:rPr>
                <w:rFonts w:ascii="Arial" w:hAnsi="Arial" w:cs="Arial"/>
              </w:rPr>
              <w:t>7</w:t>
            </w:r>
            <w:r w:rsidR="003411F3" w:rsidRPr="003E75D7">
              <w:rPr>
                <w:rFonts w:ascii="Arial" w:hAnsi="Arial" w:cs="Arial"/>
              </w:rPr>
              <w:t>,</w:t>
            </w:r>
            <w:r w:rsidRPr="003E75D7">
              <w:rPr>
                <w:rFonts w:ascii="Arial" w:hAnsi="Arial" w:cs="Arial"/>
              </w:rPr>
              <w:t>104</w:t>
            </w:r>
          </w:p>
        </w:tc>
        <w:tc>
          <w:tcPr>
            <w:tcW w:w="2520" w:type="dxa"/>
          </w:tcPr>
          <w:p w14:paraId="763561A1" w14:textId="1C6B0403" w:rsidR="00D759DA" w:rsidRPr="003E75D7" w:rsidRDefault="00D759DA" w:rsidP="00C14D7C">
            <w:pPr>
              <w:jc w:val="right"/>
              <w:rPr>
                <w:rFonts w:ascii="Arial" w:hAnsi="Arial" w:cs="Arial"/>
              </w:rPr>
            </w:pPr>
            <w:r w:rsidRPr="003E75D7">
              <w:rPr>
                <w:rFonts w:ascii="Arial" w:hAnsi="Arial" w:cs="Arial"/>
              </w:rPr>
              <w:t>1</w:t>
            </w:r>
            <w:r w:rsidR="003411F3" w:rsidRPr="003E75D7">
              <w:rPr>
                <w:rFonts w:ascii="Arial" w:hAnsi="Arial" w:cs="Arial"/>
              </w:rPr>
              <w:t>,</w:t>
            </w:r>
            <w:r w:rsidRPr="003E75D7">
              <w:rPr>
                <w:rFonts w:ascii="Arial" w:hAnsi="Arial" w:cs="Arial"/>
              </w:rPr>
              <w:t>174.21</w:t>
            </w:r>
          </w:p>
        </w:tc>
      </w:tr>
      <w:tr w:rsidR="00D759DA" w:rsidRPr="003E75D7" w14:paraId="443616DB" w14:textId="77777777" w:rsidTr="00AB7ACB">
        <w:trPr>
          <w:jc w:val="center"/>
        </w:trPr>
        <w:tc>
          <w:tcPr>
            <w:tcW w:w="1384" w:type="dxa"/>
          </w:tcPr>
          <w:p w14:paraId="0F521EDA" w14:textId="62413422" w:rsidR="00D759DA" w:rsidRPr="003E75D7" w:rsidRDefault="00D759DA" w:rsidP="00471732">
            <w:pPr>
              <w:jc w:val="both"/>
              <w:rPr>
                <w:rFonts w:ascii="Arial" w:hAnsi="Arial" w:cs="Arial"/>
              </w:rPr>
            </w:pPr>
            <w:r w:rsidRPr="003E75D7">
              <w:rPr>
                <w:rFonts w:ascii="Arial" w:hAnsi="Arial" w:cs="Arial"/>
              </w:rPr>
              <w:t>2014</w:t>
            </w:r>
            <w:r w:rsidR="003411F3" w:rsidRPr="003E75D7">
              <w:rPr>
                <w:rFonts w:ascii="Arial" w:hAnsi="Arial" w:cs="Arial"/>
              </w:rPr>
              <w:t>–</w:t>
            </w:r>
            <w:r w:rsidRPr="003E75D7">
              <w:rPr>
                <w:rFonts w:ascii="Arial" w:hAnsi="Arial" w:cs="Arial"/>
              </w:rPr>
              <w:t>15</w:t>
            </w:r>
          </w:p>
        </w:tc>
        <w:tc>
          <w:tcPr>
            <w:tcW w:w="2931" w:type="dxa"/>
          </w:tcPr>
          <w:p w14:paraId="5C763D2D" w14:textId="1EE14B4A" w:rsidR="00D759DA" w:rsidRPr="003E75D7" w:rsidRDefault="00D759DA" w:rsidP="00C14D7C">
            <w:pPr>
              <w:jc w:val="right"/>
              <w:rPr>
                <w:rFonts w:ascii="Arial" w:hAnsi="Arial" w:cs="Arial"/>
              </w:rPr>
            </w:pPr>
            <w:r w:rsidRPr="003E75D7">
              <w:rPr>
                <w:rFonts w:ascii="Arial" w:hAnsi="Arial" w:cs="Arial"/>
              </w:rPr>
              <w:t>7</w:t>
            </w:r>
            <w:r w:rsidR="003411F3" w:rsidRPr="003E75D7">
              <w:rPr>
                <w:rFonts w:ascii="Arial" w:hAnsi="Arial" w:cs="Arial"/>
              </w:rPr>
              <w:t>,</w:t>
            </w:r>
            <w:r w:rsidRPr="003E75D7">
              <w:rPr>
                <w:rFonts w:ascii="Arial" w:hAnsi="Arial" w:cs="Arial"/>
              </w:rPr>
              <w:t>203</w:t>
            </w:r>
          </w:p>
        </w:tc>
        <w:tc>
          <w:tcPr>
            <w:tcW w:w="2520" w:type="dxa"/>
          </w:tcPr>
          <w:p w14:paraId="3F15D917" w14:textId="50859D0A" w:rsidR="00D759DA" w:rsidRPr="003E75D7" w:rsidRDefault="00D759DA" w:rsidP="00C14D7C">
            <w:pPr>
              <w:jc w:val="right"/>
              <w:rPr>
                <w:rFonts w:ascii="Arial" w:hAnsi="Arial" w:cs="Arial"/>
              </w:rPr>
            </w:pPr>
            <w:r w:rsidRPr="003E75D7">
              <w:rPr>
                <w:rFonts w:ascii="Arial" w:hAnsi="Arial" w:cs="Arial"/>
              </w:rPr>
              <w:t>1</w:t>
            </w:r>
            <w:r w:rsidR="003411F3" w:rsidRPr="003E75D7">
              <w:rPr>
                <w:rFonts w:ascii="Arial" w:hAnsi="Arial" w:cs="Arial"/>
              </w:rPr>
              <w:t>,</w:t>
            </w:r>
            <w:r w:rsidRPr="003E75D7">
              <w:rPr>
                <w:rFonts w:ascii="Arial" w:hAnsi="Arial" w:cs="Arial"/>
              </w:rPr>
              <w:t>178.12</w:t>
            </w:r>
          </w:p>
        </w:tc>
      </w:tr>
    </w:tbl>
    <w:p w14:paraId="6A179EAE" w14:textId="77777777" w:rsidR="00D759DA" w:rsidRPr="003E75D7" w:rsidRDefault="00D759DA" w:rsidP="008C1ED2">
      <w:pPr>
        <w:pStyle w:val="BodyTextMain"/>
        <w:rPr>
          <w:sz w:val="20"/>
        </w:rPr>
      </w:pPr>
    </w:p>
    <w:p w14:paraId="272F7239" w14:textId="33ACD2D7" w:rsidR="00D759DA" w:rsidRPr="003E75D7" w:rsidRDefault="00D759DA" w:rsidP="008C1ED2">
      <w:pPr>
        <w:pStyle w:val="Footnote"/>
      </w:pPr>
      <w:r w:rsidRPr="003E75D7">
        <w:t xml:space="preserve">Source: </w:t>
      </w:r>
      <w:r w:rsidR="008C1ED2" w:rsidRPr="003E75D7">
        <w:t>Government of India</w:t>
      </w:r>
      <w:r w:rsidR="00471732" w:rsidRPr="003E75D7">
        <w:t>,</w:t>
      </w:r>
      <w:r w:rsidR="008C1ED2" w:rsidRPr="003E75D7">
        <w:t xml:space="preserve"> Ministry of Textiles, </w:t>
      </w:r>
      <w:r w:rsidR="00471732" w:rsidRPr="00C14D7C">
        <w:rPr>
          <w:i/>
        </w:rPr>
        <w:t>Note on Handloom Sector</w:t>
      </w:r>
      <w:r w:rsidR="00471732" w:rsidRPr="003E75D7">
        <w:t xml:space="preserve">, </w:t>
      </w:r>
      <w:r w:rsidR="00D27B94" w:rsidRPr="003E75D7">
        <w:t xml:space="preserve">3, </w:t>
      </w:r>
      <w:r w:rsidR="008C1ED2" w:rsidRPr="003E75D7">
        <w:t xml:space="preserve">December 30, 2015, </w:t>
      </w:r>
      <w:r w:rsidR="00471732" w:rsidRPr="003E75D7">
        <w:t xml:space="preserve">accessed April 26, </w:t>
      </w:r>
      <w:r w:rsidR="00D27B94" w:rsidRPr="003E75D7">
        <w:t>201</w:t>
      </w:r>
      <w:r w:rsidR="00471732" w:rsidRPr="003E75D7">
        <w:t xml:space="preserve">7, </w:t>
      </w:r>
      <w:r w:rsidRPr="003E75D7">
        <w:t>http://handlooms.nic.in/writereaddata/2486.pdf</w:t>
      </w:r>
      <w:r w:rsidR="008C1ED2" w:rsidRPr="003E75D7">
        <w:t>.</w:t>
      </w:r>
    </w:p>
    <w:p w14:paraId="623DB598" w14:textId="77777777" w:rsidR="00D759DA" w:rsidRPr="003E75D7" w:rsidRDefault="00D759DA" w:rsidP="008C1ED2">
      <w:pPr>
        <w:pStyle w:val="BodyTextMain"/>
        <w:rPr>
          <w:sz w:val="20"/>
        </w:rPr>
      </w:pPr>
    </w:p>
    <w:p w14:paraId="746C6D98" w14:textId="77777777" w:rsidR="00D759DA" w:rsidRPr="003E75D7" w:rsidRDefault="00D759DA" w:rsidP="008C1ED2">
      <w:pPr>
        <w:pStyle w:val="BodyTextMain"/>
        <w:rPr>
          <w:sz w:val="20"/>
        </w:rPr>
      </w:pPr>
    </w:p>
    <w:p w14:paraId="7EB55734" w14:textId="41403390" w:rsidR="00D759DA" w:rsidRPr="006C4E55" w:rsidRDefault="00D759DA" w:rsidP="00C14D7C">
      <w:pPr>
        <w:pStyle w:val="ExhibitHeading"/>
      </w:pPr>
      <w:r w:rsidRPr="006C4E55">
        <w:t>EXHIBIT 2: LIST OF MANAGING DIRECTORS OF CO-OPT</w:t>
      </w:r>
      <w:r w:rsidR="008C7C9A" w:rsidRPr="006C4E55">
        <w:t>EX SINCE 2000</w:t>
      </w:r>
      <w:r w:rsidR="005602A5" w:rsidRPr="006C4E55">
        <w:t>,</w:t>
      </w:r>
      <w:r w:rsidR="008C7C9A" w:rsidRPr="006C4E55">
        <w:t xml:space="preserve"> WITH THEIR TENURE</w:t>
      </w:r>
      <w:r w:rsidR="00471732" w:rsidRPr="006C4E55">
        <w:t>S</w:t>
      </w:r>
    </w:p>
    <w:p w14:paraId="0DDF50D1" w14:textId="77777777" w:rsidR="008C7C9A" w:rsidRPr="003E75D7" w:rsidRDefault="008C7C9A" w:rsidP="00CC0800">
      <w:pPr>
        <w:pStyle w:val="BodyTextMain"/>
        <w:rPr>
          <w:sz w:val="20"/>
        </w:rPr>
      </w:pPr>
    </w:p>
    <w:tbl>
      <w:tblPr>
        <w:tblStyle w:val="TableGrid"/>
        <w:tblW w:w="0" w:type="auto"/>
        <w:jc w:val="center"/>
        <w:tblLook w:val="04A0" w:firstRow="1" w:lastRow="0" w:firstColumn="1" w:lastColumn="0" w:noHBand="0" w:noVBand="1"/>
      </w:tblPr>
      <w:tblGrid>
        <w:gridCol w:w="2430"/>
        <w:gridCol w:w="3965"/>
        <w:gridCol w:w="2028"/>
      </w:tblGrid>
      <w:tr w:rsidR="00C14D7C" w:rsidRPr="003E75D7" w14:paraId="5FB70185" w14:textId="77777777" w:rsidTr="003411F3">
        <w:trPr>
          <w:jc w:val="center"/>
        </w:trPr>
        <w:tc>
          <w:tcPr>
            <w:tcW w:w="2430" w:type="dxa"/>
          </w:tcPr>
          <w:p w14:paraId="2EB26A60" w14:textId="27F79651" w:rsidR="00C14D7C" w:rsidRPr="003E75D7" w:rsidRDefault="00C14D7C" w:rsidP="001E18A9">
            <w:pPr>
              <w:jc w:val="center"/>
              <w:rPr>
                <w:rFonts w:ascii="Arial" w:hAnsi="Arial" w:cs="Arial"/>
                <w:b/>
              </w:rPr>
            </w:pPr>
            <w:r w:rsidRPr="003E75D7">
              <w:rPr>
                <w:rFonts w:ascii="Arial" w:hAnsi="Arial" w:cs="Arial"/>
                <w:b/>
              </w:rPr>
              <w:t>Managing Director</w:t>
            </w:r>
          </w:p>
        </w:tc>
        <w:tc>
          <w:tcPr>
            <w:tcW w:w="3965" w:type="dxa"/>
          </w:tcPr>
          <w:p w14:paraId="0DA7B3C7" w14:textId="77777777" w:rsidR="00C14D7C" w:rsidRPr="003E75D7" w:rsidRDefault="00C14D7C" w:rsidP="001E18A9">
            <w:pPr>
              <w:jc w:val="center"/>
              <w:rPr>
                <w:rFonts w:ascii="Arial" w:hAnsi="Arial" w:cs="Arial"/>
                <w:b/>
              </w:rPr>
            </w:pPr>
            <w:r w:rsidRPr="003E75D7">
              <w:rPr>
                <w:rFonts w:ascii="Arial" w:hAnsi="Arial" w:cs="Arial"/>
                <w:b/>
              </w:rPr>
              <w:t>Tenure</w:t>
            </w:r>
          </w:p>
        </w:tc>
        <w:tc>
          <w:tcPr>
            <w:tcW w:w="2028" w:type="dxa"/>
          </w:tcPr>
          <w:p w14:paraId="75A89708" w14:textId="18EB54B6" w:rsidR="00C14D7C" w:rsidRPr="003E75D7" w:rsidRDefault="00C14D7C" w:rsidP="005602A5">
            <w:pPr>
              <w:jc w:val="center"/>
              <w:rPr>
                <w:rFonts w:ascii="Arial" w:hAnsi="Arial" w:cs="Arial"/>
                <w:b/>
              </w:rPr>
            </w:pPr>
            <w:r w:rsidRPr="003E75D7">
              <w:rPr>
                <w:rFonts w:ascii="Arial" w:hAnsi="Arial" w:cs="Arial"/>
                <w:b/>
              </w:rPr>
              <w:t>Duration of Tenure</w:t>
            </w:r>
          </w:p>
        </w:tc>
      </w:tr>
      <w:tr w:rsidR="00C14D7C" w:rsidRPr="003E75D7" w14:paraId="1EBD8404" w14:textId="77777777" w:rsidTr="005065E0">
        <w:trPr>
          <w:trHeight w:val="197"/>
          <w:jc w:val="center"/>
        </w:trPr>
        <w:tc>
          <w:tcPr>
            <w:tcW w:w="2430" w:type="dxa"/>
          </w:tcPr>
          <w:p w14:paraId="56AAAF19" w14:textId="77777777" w:rsidR="00C14D7C" w:rsidRPr="003E75D7" w:rsidRDefault="00C14D7C" w:rsidP="003705A1">
            <w:pPr>
              <w:jc w:val="both"/>
              <w:rPr>
                <w:rFonts w:ascii="Arial" w:hAnsi="Arial" w:cs="Arial"/>
              </w:rPr>
            </w:pPr>
            <w:r w:rsidRPr="003E75D7">
              <w:rPr>
                <w:rFonts w:ascii="Arial" w:hAnsi="Arial" w:cs="Arial"/>
              </w:rPr>
              <w:t>R. Balakrishnan</w:t>
            </w:r>
          </w:p>
        </w:tc>
        <w:tc>
          <w:tcPr>
            <w:tcW w:w="3965" w:type="dxa"/>
          </w:tcPr>
          <w:p w14:paraId="6D0C29F8" w14:textId="79EC5C11" w:rsidR="00C14D7C" w:rsidRPr="003E75D7" w:rsidRDefault="00C14D7C" w:rsidP="005065E0">
            <w:pPr>
              <w:rPr>
                <w:rFonts w:ascii="Arial" w:hAnsi="Arial" w:cs="Arial"/>
              </w:rPr>
            </w:pPr>
            <w:r w:rsidRPr="003E75D7">
              <w:rPr>
                <w:rFonts w:ascii="Arial" w:hAnsi="Arial" w:cs="Arial"/>
              </w:rPr>
              <w:t>September 15, 1997</w:t>
            </w:r>
            <w:r>
              <w:rPr>
                <w:rFonts w:ascii="Arial" w:hAnsi="Arial" w:cs="Arial"/>
              </w:rPr>
              <w:t xml:space="preserve"> to</w:t>
            </w:r>
            <w:r w:rsidRPr="003E75D7">
              <w:rPr>
                <w:rFonts w:ascii="Arial" w:hAnsi="Arial" w:cs="Arial"/>
              </w:rPr>
              <w:t xml:space="preserve"> January 14, 2001</w:t>
            </w:r>
          </w:p>
        </w:tc>
        <w:tc>
          <w:tcPr>
            <w:tcW w:w="2028" w:type="dxa"/>
          </w:tcPr>
          <w:p w14:paraId="06B311C6" w14:textId="1FB7FF3A" w:rsidR="00C14D7C" w:rsidRPr="003E75D7" w:rsidRDefault="00C14D7C" w:rsidP="00C14D7C">
            <w:pPr>
              <w:jc w:val="right"/>
              <w:rPr>
                <w:rFonts w:ascii="Arial" w:hAnsi="Arial" w:cs="Arial"/>
              </w:rPr>
            </w:pPr>
            <w:r w:rsidRPr="003E75D7">
              <w:rPr>
                <w:rFonts w:ascii="Arial" w:hAnsi="Arial" w:cs="Arial"/>
              </w:rPr>
              <w:t>3 years, 4 months</w:t>
            </w:r>
          </w:p>
        </w:tc>
      </w:tr>
      <w:tr w:rsidR="00C14D7C" w:rsidRPr="003E75D7" w14:paraId="2FE60BC4" w14:textId="77777777" w:rsidTr="003411F3">
        <w:trPr>
          <w:jc w:val="center"/>
        </w:trPr>
        <w:tc>
          <w:tcPr>
            <w:tcW w:w="2430" w:type="dxa"/>
          </w:tcPr>
          <w:p w14:paraId="741A3EC6" w14:textId="77777777" w:rsidR="00C14D7C" w:rsidRPr="003E75D7" w:rsidRDefault="00C14D7C" w:rsidP="003705A1">
            <w:pPr>
              <w:jc w:val="both"/>
              <w:rPr>
                <w:rFonts w:ascii="Arial" w:hAnsi="Arial" w:cs="Arial"/>
              </w:rPr>
            </w:pPr>
            <w:proofErr w:type="spellStart"/>
            <w:r w:rsidRPr="003E75D7">
              <w:rPr>
                <w:rFonts w:ascii="Arial" w:hAnsi="Arial" w:cs="Arial"/>
              </w:rPr>
              <w:t>Viswanath</w:t>
            </w:r>
            <w:proofErr w:type="spellEnd"/>
            <w:r w:rsidRPr="003E75D7">
              <w:rPr>
                <w:rFonts w:ascii="Arial" w:hAnsi="Arial" w:cs="Arial"/>
              </w:rPr>
              <w:t xml:space="preserve"> </w:t>
            </w:r>
            <w:proofErr w:type="spellStart"/>
            <w:r w:rsidRPr="003E75D7">
              <w:rPr>
                <w:rFonts w:ascii="Arial" w:hAnsi="Arial" w:cs="Arial"/>
              </w:rPr>
              <w:t>Shegoankar</w:t>
            </w:r>
            <w:proofErr w:type="spellEnd"/>
          </w:p>
        </w:tc>
        <w:tc>
          <w:tcPr>
            <w:tcW w:w="3965" w:type="dxa"/>
          </w:tcPr>
          <w:p w14:paraId="2DE722EC" w14:textId="413BD532" w:rsidR="00C14D7C" w:rsidRPr="003E75D7" w:rsidRDefault="00C14D7C" w:rsidP="005065E0">
            <w:pPr>
              <w:rPr>
                <w:rFonts w:ascii="Arial" w:hAnsi="Arial" w:cs="Arial"/>
              </w:rPr>
            </w:pPr>
            <w:r w:rsidRPr="003E75D7">
              <w:rPr>
                <w:rFonts w:ascii="Arial" w:hAnsi="Arial" w:cs="Arial"/>
              </w:rPr>
              <w:t xml:space="preserve">February 9, 2001 </w:t>
            </w:r>
            <w:r>
              <w:rPr>
                <w:rFonts w:ascii="Arial" w:hAnsi="Arial" w:cs="Arial"/>
              </w:rPr>
              <w:t>to</w:t>
            </w:r>
            <w:r w:rsidRPr="003E75D7">
              <w:rPr>
                <w:rFonts w:ascii="Arial" w:hAnsi="Arial" w:cs="Arial"/>
              </w:rPr>
              <w:t xml:space="preserve"> September 9, 2003</w:t>
            </w:r>
          </w:p>
        </w:tc>
        <w:tc>
          <w:tcPr>
            <w:tcW w:w="2028" w:type="dxa"/>
          </w:tcPr>
          <w:p w14:paraId="17338E48" w14:textId="70C72A29" w:rsidR="00C14D7C" w:rsidRPr="003E75D7" w:rsidRDefault="00C14D7C" w:rsidP="00C14D7C">
            <w:pPr>
              <w:jc w:val="right"/>
              <w:rPr>
                <w:rFonts w:ascii="Arial" w:hAnsi="Arial" w:cs="Arial"/>
              </w:rPr>
            </w:pPr>
            <w:r w:rsidRPr="003E75D7">
              <w:rPr>
                <w:rFonts w:ascii="Arial" w:hAnsi="Arial" w:cs="Arial"/>
              </w:rPr>
              <w:t>2 years, 7 months</w:t>
            </w:r>
          </w:p>
        </w:tc>
      </w:tr>
      <w:tr w:rsidR="00C14D7C" w:rsidRPr="003E75D7" w14:paraId="73F1A8F4" w14:textId="77777777" w:rsidTr="003411F3">
        <w:trPr>
          <w:jc w:val="center"/>
        </w:trPr>
        <w:tc>
          <w:tcPr>
            <w:tcW w:w="2430" w:type="dxa"/>
          </w:tcPr>
          <w:p w14:paraId="62F5228C" w14:textId="17163FB1" w:rsidR="00C14D7C" w:rsidRPr="003E75D7" w:rsidRDefault="00C14D7C" w:rsidP="003705A1">
            <w:pPr>
              <w:jc w:val="both"/>
              <w:rPr>
                <w:rFonts w:ascii="Arial" w:hAnsi="Arial" w:cs="Arial"/>
              </w:rPr>
            </w:pPr>
            <w:r w:rsidRPr="003E75D7">
              <w:rPr>
                <w:rFonts w:ascii="Arial" w:hAnsi="Arial" w:cs="Arial"/>
              </w:rPr>
              <w:t>P. M. Basheer Ahmed</w:t>
            </w:r>
          </w:p>
        </w:tc>
        <w:tc>
          <w:tcPr>
            <w:tcW w:w="3965" w:type="dxa"/>
          </w:tcPr>
          <w:p w14:paraId="713B4879" w14:textId="0399F4CF" w:rsidR="00C14D7C" w:rsidRPr="003E75D7" w:rsidRDefault="00C14D7C" w:rsidP="005065E0">
            <w:pPr>
              <w:rPr>
                <w:rFonts w:ascii="Arial" w:hAnsi="Arial" w:cs="Arial"/>
              </w:rPr>
            </w:pPr>
            <w:r w:rsidRPr="003E75D7">
              <w:rPr>
                <w:rFonts w:ascii="Arial" w:hAnsi="Arial" w:cs="Arial"/>
              </w:rPr>
              <w:t xml:space="preserve">March 24, 2004 </w:t>
            </w:r>
            <w:r>
              <w:rPr>
                <w:rFonts w:ascii="Arial" w:hAnsi="Arial" w:cs="Arial"/>
              </w:rPr>
              <w:t>to</w:t>
            </w:r>
            <w:r w:rsidRPr="003E75D7">
              <w:rPr>
                <w:rFonts w:ascii="Arial" w:hAnsi="Arial" w:cs="Arial"/>
              </w:rPr>
              <w:t xml:space="preserve"> September 27, 2004</w:t>
            </w:r>
          </w:p>
        </w:tc>
        <w:tc>
          <w:tcPr>
            <w:tcW w:w="2028" w:type="dxa"/>
          </w:tcPr>
          <w:p w14:paraId="0A582E37" w14:textId="77777777" w:rsidR="00C14D7C" w:rsidRPr="003E75D7" w:rsidRDefault="00C14D7C" w:rsidP="00C14D7C">
            <w:pPr>
              <w:jc w:val="right"/>
              <w:rPr>
                <w:rFonts w:ascii="Arial" w:hAnsi="Arial" w:cs="Arial"/>
              </w:rPr>
            </w:pPr>
            <w:r w:rsidRPr="003E75D7">
              <w:rPr>
                <w:rFonts w:ascii="Arial" w:hAnsi="Arial" w:cs="Arial"/>
              </w:rPr>
              <w:t>6 months</w:t>
            </w:r>
          </w:p>
        </w:tc>
      </w:tr>
      <w:tr w:rsidR="00C14D7C" w:rsidRPr="003E75D7" w14:paraId="6029C2DB" w14:textId="77777777" w:rsidTr="003411F3">
        <w:trPr>
          <w:jc w:val="center"/>
        </w:trPr>
        <w:tc>
          <w:tcPr>
            <w:tcW w:w="2430" w:type="dxa"/>
          </w:tcPr>
          <w:p w14:paraId="1DFDAEB4" w14:textId="77777777" w:rsidR="00C14D7C" w:rsidRPr="003E75D7" w:rsidRDefault="00C14D7C" w:rsidP="003705A1">
            <w:pPr>
              <w:jc w:val="both"/>
              <w:rPr>
                <w:rFonts w:ascii="Arial" w:hAnsi="Arial" w:cs="Arial"/>
              </w:rPr>
            </w:pPr>
            <w:r w:rsidRPr="003E75D7">
              <w:rPr>
                <w:rFonts w:ascii="Arial" w:hAnsi="Arial" w:cs="Arial"/>
              </w:rPr>
              <w:t>Dr. Varaprasada Rao</w:t>
            </w:r>
          </w:p>
        </w:tc>
        <w:tc>
          <w:tcPr>
            <w:tcW w:w="3965" w:type="dxa"/>
          </w:tcPr>
          <w:p w14:paraId="2823ECAF" w14:textId="52E280E9" w:rsidR="00C14D7C" w:rsidRPr="003E75D7" w:rsidRDefault="00C14D7C" w:rsidP="005065E0">
            <w:pPr>
              <w:rPr>
                <w:rFonts w:ascii="Arial" w:hAnsi="Arial" w:cs="Arial"/>
              </w:rPr>
            </w:pPr>
            <w:r w:rsidRPr="003E75D7">
              <w:rPr>
                <w:rFonts w:ascii="Arial" w:hAnsi="Arial" w:cs="Arial"/>
              </w:rPr>
              <w:t xml:space="preserve">September 27, 2004 </w:t>
            </w:r>
            <w:r>
              <w:rPr>
                <w:rFonts w:ascii="Arial" w:hAnsi="Arial" w:cs="Arial"/>
              </w:rPr>
              <w:t>to</w:t>
            </w:r>
            <w:r w:rsidRPr="003E75D7">
              <w:rPr>
                <w:rFonts w:ascii="Arial" w:hAnsi="Arial" w:cs="Arial"/>
              </w:rPr>
              <w:t xml:space="preserve"> January 15, 2006</w:t>
            </w:r>
          </w:p>
        </w:tc>
        <w:tc>
          <w:tcPr>
            <w:tcW w:w="2028" w:type="dxa"/>
          </w:tcPr>
          <w:p w14:paraId="053BBF62" w14:textId="23A95BC9" w:rsidR="00C14D7C" w:rsidRPr="003E75D7" w:rsidRDefault="00C14D7C" w:rsidP="00C14D7C">
            <w:pPr>
              <w:jc w:val="right"/>
              <w:rPr>
                <w:rFonts w:ascii="Arial" w:hAnsi="Arial" w:cs="Arial"/>
              </w:rPr>
            </w:pPr>
            <w:r w:rsidRPr="003E75D7">
              <w:rPr>
                <w:rFonts w:ascii="Arial" w:hAnsi="Arial" w:cs="Arial"/>
              </w:rPr>
              <w:t>1 year, 3 months</w:t>
            </w:r>
          </w:p>
        </w:tc>
      </w:tr>
      <w:tr w:rsidR="00C14D7C" w:rsidRPr="003E75D7" w14:paraId="1DE9C88C" w14:textId="77777777" w:rsidTr="003411F3">
        <w:trPr>
          <w:jc w:val="center"/>
        </w:trPr>
        <w:tc>
          <w:tcPr>
            <w:tcW w:w="2430" w:type="dxa"/>
          </w:tcPr>
          <w:p w14:paraId="54F60D47" w14:textId="77777777" w:rsidR="00C14D7C" w:rsidRPr="003E75D7" w:rsidRDefault="00C14D7C" w:rsidP="003705A1">
            <w:pPr>
              <w:jc w:val="both"/>
              <w:rPr>
                <w:rFonts w:ascii="Arial" w:hAnsi="Arial" w:cs="Arial"/>
              </w:rPr>
            </w:pPr>
            <w:r w:rsidRPr="003E75D7">
              <w:rPr>
                <w:rFonts w:ascii="Arial" w:hAnsi="Arial" w:cs="Arial"/>
              </w:rPr>
              <w:t>Rajiv Nayan Choubey</w:t>
            </w:r>
          </w:p>
        </w:tc>
        <w:tc>
          <w:tcPr>
            <w:tcW w:w="3965" w:type="dxa"/>
          </w:tcPr>
          <w:p w14:paraId="7E684145" w14:textId="161E7857" w:rsidR="00C14D7C" w:rsidRPr="003E75D7" w:rsidRDefault="00C14D7C" w:rsidP="005065E0">
            <w:pPr>
              <w:rPr>
                <w:rFonts w:ascii="Arial" w:hAnsi="Arial" w:cs="Arial"/>
              </w:rPr>
            </w:pPr>
            <w:r w:rsidRPr="003E75D7">
              <w:rPr>
                <w:rFonts w:ascii="Arial" w:hAnsi="Arial" w:cs="Arial"/>
              </w:rPr>
              <w:t xml:space="preserve">January 16, 2006 </w:t>
            </w:r>
            <w:r>
              <w:rPr>
                <w:rFonts w:ascii="Arial" w:hAnsi="Arial" w:cs="Arial"/>
              </w:rPr>
              <w:t>to</w:t>
            </w:r>
            <w:r w:rsidRPr="003E75D7">
              <w:rPr>
                <w:rFonts w:ascii="Arial" w:hAnsi="Arial" w:cs="Arial"/>
              </w:rPr>
              <w:t xml:space="preserve"> July 31, 2006</w:t>
            </w:r>
          </w:p>
        </w:tc>
        <w:tc>
          <w:tcPr>
            <w:tcW w:w="2028" w:type="dxa"/>
          </w:tcPr>
          <w:p w14:paraId="009CE42A" w14:textId="77777777" w:rsidR="00C14D7C" w:rsidRPr="003E75D7" w:rsidRDefault="00C14D7C" w:rsidP="00C14D7C">
            <w:pPr>
              <w:jc w:val="right"/>
              <w:rPr>
                <w:rFonts w:ascii="Arial" w:hAnsi="Arial" w:cs="Arial"/>
              </w:rPr>
            </w:pPr>
            <w:r w:rsidRPr="003E75D7">
              <w:rPr>
                <w:rFonts w:ascii="Arial" w:hAnsi="Arial" w:cs="Arial"/>
              </w:rPr>
              <w:t>6 months</w:t>
            </w:r>
          </w:p>
        </w:tc>
      </w:tr>
      <w:tr w:rsidR="00C14D7C" w:rsidRPr="003E75D7" w14:paraId="014B38F8" w14:textId="77777777" w:rsidTr="003411F3">
        <w:trPr>
          <w:jc w:val="center"/>
        </w:trPr>
        <w:tc>
          <w:tcPr>
            <w:tcW w:w="2430" w:type="dxa"/>
          </w:tcPr>
          <w:p w14:paraId="43DB98DB" w14:textId="77777777" w:rsidR="00C14D7C" w:rsidRPr="003E75D7" w:rsidRDefault="00C14D7C" w:rsidP="003705A1">
            <w:pPr>
              <w:jc w:val="both"/>
              <w:rPr>
                <w:rFonts w:ascii="Arial" w:hAnsi="Arial" w:cs="Arial"/>
              </w:rPr>
            </w:pPr>
            <w:r w:rsidRPr="003E75D7">
              <w:rPr>
                <w:rFonts w:ascii="Arial" w:hAnsi="Arial" w:cs="Arial"/>
              </w:rPr>
              <w:t>M. P. Nirmala</w:t>
            </w:r>
          </w:p>
        </w:tc>
        <w:tc>
          <w:tcPr>
            <w:tcW w:w="3965" w:type="dxa"/>
          </w:tcPr>
          <w:p w14:paraId="5A83D9D8" w14:textId="4265A0AE" w:rsidR="00C14D7C" w:rsidRPr="003E75D7" w:rsidRDefault="00C14D7C" w:rsidP="005065E0">
            <w:pPr>
              <w:rPr>
                <w:rFonts w:ascii="Arial" w:hAnsi="Arial" w:cs="Arial"/>
              </w:rPr>
            </w:pPr>
            <w:r w:rsidRPr="003E75D7">
              <w:rPr>
                <w:rFonts w:ascii="Arial" w:hAnsi="Arial" w:cs="Arial"/>
              </w:rPr>
              <w:t xml:space="preserve">August 21, 2006 </w:t>
            </w:r>
            <w:r>
              <w:rPr>
                <w:rFonts w:ascii="Arial" w:hAnsi="Arial" w:cs="Arial"/>
              </w:rPr>
              <w:t>to</w:t>
            </w:r>
            <w:r w:rsidRPr="003E75D7">
              <w:rPr>
                <w:rFonts w:ascii="Arial" w:hAnsi="Arial" w:cs="Arial"/>
              </w:rPr>
              <w:t xml:space="preserve"> January 8, 2009</w:t>
            </w:r>
          </w:p>
        </w:tc>
        <w:tc>
          <w:tcPr>
            <w:tcW w:w="2028" w:type="dxa"/>
          </w:tcPr>
          <w:p w14:paraId="0F49122E" w14:textId="3332EF48" w:rsidR="00C14D7C" w:rsidRPr="003E75D7" w:rsidRDefault="00C14D7C" w:rsidP="00C14D7C">
            <w:pPr>
              <w:jc w:val="right"/>
              <w:rPr>
                <w:rFonts w:ascii="Arial" w:hAnsi="Arial" w:cs="Arial"/>
              </w:rPr>
            </w:pPr>
            <w:r w:rsidRPr="003E75D7">
              <w:rPr>
                <w:rFonts w:ascii="Arial" w:hAnsi="Arial" w:cs="Arial"/>
              </w:rPr>
              <w:t>2 years, 4 months</w:t>
            </w:r>
          </w:p>
        </w:tc>
      </w:tr>
      <w:tr w:rsidR="00C14D7C" w:rsidRPr="003E75D7" w14:paraId="0B2A9846" w14:textId="77777777" w:rsidTr="003411F3">
        <w:trPr>
          <w:jc w:val="center"/>
        </w:trPr>
        <w:tc>
          <w:tcPr>
            <w:tcW w:w="2430" w:type="dxa"/>
          </w:tcPr>
          <w:p w14:paraId="377D9353" w14:textId="77777777" w:rsidR="00C14D7C" w:rsidRPr="003E75D7" w:rsidRDefault="00C14D7C" w:rsidP="003705A1">
            <w:pPr>
              <w:jc w:val="both"/>
              <w:rPr>
                <w:rFonts w:ascii="Arial" w:hAnsi="Arial" w:cs="Arial"/>
              </w:rPr>
            </w:pPr>
            <w:r w:rsidRPr="003E75D7">
              <w:rPr>
                <w:rFonts w:ascii="Arial" w:hAnsi="Arial" w:cs="Arial"/>
              </w:rPr>
              <w:t>R. Jaya</w:t>
            </w:r>
          </w:p>
        </w:tc>
        <w:tc>
          <w:tcPr>
            <w:tcW w:w="3965" w:type="dxa"/>
          </w:tcPr>
          <w:p w14:paraId="6789AFA4" w14:textId="2B4093FD" w:rsidR="00C14D7C" w:rsidRPr="003E75D7" w:rsidRDefault="00C14D7C" w:rsidP="005065E0">
            <w:pPr>
              <w:rPr>
                <w:rFonts w:ascii="Arial" w:hAnsi="Arial" w:cs="Arial"/>
              </w:rPr>
            </w:pPr>
            <w:r w:rsidRPr="003E75D7">
              <w:rPr>
                <w:rFonts w:ascii="Arial" w:hAnsi="Arial" w:cs="Arial"/>
              </w:rPr>
              <w:t xml:space="preserve">January 8, 2009 </w:t>
            </w:r>
            <w:r>
              <w:rPr>
                <w:rFonts w:ascii="Arial" w:hAnsi="Arial" w:cs="Arial"/>
              </w:rPr>
              <w:t>to</w:t>
            </w:r>
            <w:r w:rsidRPr="003E75D7">
              <w:rPr>
                <w:rFonts w:ascii="Arial" w:hAnsi="Arial" w:cs="Arial"/>
              </w:rPr>
              <w:t xml:space="preserve"> July 24, 2009</w:t>
            </w:r>
          </w:p>
        </w:tc>
        <w:tc>
          <w:tcPr>
            <w:tcW w:w="2028" w:type="dxa"/>
          </w:tcPr>
          <w:p w14:paraId="28241446" w14:textId="77777777" w:rsidR="00C14D7C" w:rsidRPr="003E75D7" w:rsidRDefault="00C14D7C" w:rsidP="00C14D7C">
            <w:pPr>
              <w:jc w:val="right"/>
              <w:rPr>
                <w:rFonts w:ascii="Arial" w:hAnsi="Arial" w:cs="Arial"/>
              </w:rPr>
            </w:pPr>
            <w:r w:rsidRPr="003E75D7">
              <w:rPr>
                <w:rFonts w:ascii="Arial" w:hAnsi="Arial" w:cs="Arial"/>
              </w:rPr>
              <w:t>6 months</w:t>
            </w:r>
          </w:p>
        </w:tc>
      </w:tr>
      <w:tr w:rsidR="00C14D7C" w:rsidRPr="003E75D7" w14:paraId="2A065585" w14:textId="77777777" w:rsidTr="003411F3">
        <w:trPr>
          <w:jc w:val="center"/>
        </w:trPr>
        <w:tc>
          <w:tcPr>
            <w:tcW w:w="2430" w:type="dxa"/>
          </w:tcPr>
          <w:p w14:paraId="0564DB6D" w14:textId="77777777" w:rsidR="00C14D7C" w:rsidRPr="003E75D7" w:rsidRDefault="00C14D7C" w:rsidP="003705A1">
            <w:pPr>
              <w:jc w:val="both"/>
              <w:rPr>
                <w:rFonts w:ascii="Arial" w:hAnsi="Arial" w:cs="Arial"/>
              </w:rPr>
            </w:pPr>
            <w:r w:rsidRPr="003E75D7">
              <w:rPr>
                <w:rFonts w:ascii="Arial" w:hAnsi="Arial" w:cs="Arial"/>
              </w:rPr>
              <w:t>V. Chandrasekaran</w:t>
            </w:r>
          </w:p>
        </w:tc>
        <w:tc>
          <w:tcPr>
            <w:tcW w:w="3965" w:type="dxa"/>
          </w:tcPr>
          <w:p w14:paraId="0942A3EA" w14:textId="520A3B98" w:rsidR="00C14D7C" w:rsidRPr="003E75D7" w:rsidRDefault="00C14D7C" w:rsidP="005065E0">
            <w:pPr>
              <w:rPr>
                <w:rFonts w:ascii="Arial" w:hAnsi="Arial" w:cs="Arial"/>
              </w:rPr>
            </w:pPr>
            <w:r w:rsidRPr="003E75D7">
              <w:rPr>
                <w:rFonts w:ascii="Arial" w:hAnsi="Arial" w:cs="Arial"/>
              </w:rPr>
              <w:t xml:space="preserve">July 24, 2009 </w:t>
            </w:r>
            <w:r>
              <w:rPr>
                <w:rFonts w:ascii="Arial" w:hAnsi="Arial" w:cs="Arial"/>
              </w:rPr>
              <w:t>to</w:t>
            </w:r>
            <w:r w:rsidRPr="003E75D7">
              <w:rPr>
                <w:rFonts w:ascii="Arial" w:hAnsi="Arial" w:cs="Arial"/>
              </w:rPr>
              <w:t xml:space="preserve"> September 30, 2010</w:t>
            </w:r>
          </w:p>
        </w:tc>
        <w:tc>
          <w:tcPr>
            <w:tcW w:w="2028" w:type="dxa"/>
          </w:tcPr>
          <w:p w14:paraId="5C970E24" w14:textId="44127F03" w:rsidR="00C14D7C" w:rsidRPr="003E75D7" w:rsidRDefault="00C14D7C" w:rsidP="00C14D7C">
            <w:pPr>
              <w:jc w:val="right"/>
              <w:rPr>
                <w:rFonts w:ascii="Arial" w:hAnsi="Arial" w:cs="Arial"/>
              </w:rPr>
            </w:pPr>
            <w:r w:rsidRPr="003E75D7">
              <w:rPr>
                <w:rFonts w:ascii="Arial" w:hAnsi="Arial" w:cs="Arial"/>
              </w:rPr>
              <w:t>1 year, 2 months</w:t>
            </w:r>
          </w:p>
        </w:tc>
      </w:tr>
      <w:tr w:rsidR="00C14D7C" w:rsidRPr="003E75D7" w14:paraId="11813DD1" w14:textId="77777777" w:rsidTr="003411F3">
        <w:trPr>
          <w:jc w:val="center"/>
        </w:trPr>
        <w:tc>
          <w:tcPr>
            <w:tcW w:w="2430" w:type="dxa"/>
          </w:tcPr>
          <w:p w14:paraId="66070782" w14:textId="7B8201A1" w:rsidR="00C14D7C" w:rsidRPr="003E75D7" w:rsidRDefault="00C14D7C" w:rsidP="005602A5">
            <w:pPr>
              <w:jc w:val="both"/>
              <w:rPr>
                <w:rFonts w:ascii="Arial" w:hAnsi="Arial" w:cs="Arial"/>
              </w:rPr>
            </w:pPr>
            <w:r w:rsidRPr="003E75D7">
              <w:rPr>
                <w:rFonts w:ascii="Arial" w:hAnsi="Arial" w:cs="Arial"/>
              </w:rPr>
              <w:t>Dr. Shanthini Kapoor</w:t>
            </w:r>
          </w:p>
        </w:tc>
        <w:tc>
          <w:tcPr>
            <w:tcW w:w="3965" w:type="dxa"/>
          </w:tcPr>
          <w:p w14:paraId="36B7FDD0" w14:textId="685F80AD" w:rsidR="00C14D7C" w:rsidRPr="003E75D7" w:rsidRDefault="00C14D7C" w:rsidP="005065E0">
            <w:pPr>
              <w:rPr>
                <w:rFonts w:ascii="Arial" w:hAnsi="Arial" w:cs="Arial"/>
              </w:rPr>
            </w:pPr>
            <w:r w:rsidRPr="003E75D7">
              <w:rPr>
                <w:rFonts w:ascii="Arial" w:hAnsi="Arial" w:cs="Arial"/>
              </w:rPr>
              <w:t xml:space="preserve">October 1, 2010 </w:t>
            </w:r>
            <w:r>
              <w:rPr>
                <w:rFonts w:ascii="Arial" w:hAnsi="Arial" w:cs="Arial"/>
              </w:rPr>
              <w:t>to</w:t>
            </w:r>
            <w:r w:rsidRPr="003E75D7">
              <w:rPr>
                <w:rFonts w:ascii="Arial" w:hAnsi="Arial" w:cs="Arial"/>
              </w:rPr>
              <w:t xml:space="preserve"> May 25, 2011</w:t>
            </w:r>
          </w:p>
        </w:tc>
        <w:tc>
          <w:tcPr>
            <w:tcW w:w="2028" w:type="dxa"/>
          </w:tcPr>
          <w:p w14:paraId="4B90EA81" w14:textId="77777777" w:rsidR="00C14D7C" w:rsidRPr="003E75D7" w:rsidRDefault="00C14D7C" w:rsidP="00C14D7C">
            <w:pPr>
              <w:jc w:val="right"/>
              <w:rPr>
                <w:rFonts w:ascii="Arial" w:hAnsi="Arial" w:cs="Arial"/>
              </w:rPr>
            </w:pPr>
            <w:r w:rsidRPr="003E75D7">
              <w:rPr>
                <w:rFonts w:ascii="Arial" w:hAnsi="Arial" w:cs="Arial"/>
              </w:rPr>
              <w:t>7 months</w:t>
            </w:r>
          </w:p>
        </w:tc>
      </w:tr>
      <w:tr w:rsidR="00C14D7C" w:rsidRPr="003E75D7" w14:paraId="3DF9F86C" w14:textId="77777777" w:rsidTr="003411F3">
        <w:trPr>
          <w:jc w:val="center"/>
        </w:trPr>
        <w:tc>
          <w:tcPr>
            <w:tcW w:w="2430" w:type="dxa"/>
          </w:tcPr>
          <w:p w14:paraId="31A71112" w14:textId="77777777" w:rsidR="00C14D7C" w:rsidRPr="003E75D7" w:rsidRDefault="00C14D7C" w:rsidP="003705A1">
            <w:pPr>
              <w:jc w:val="both"/>
              <w:rPr>
                <w:rFonts w:ascii="Arial" w:hAnsi="Arial" w:cs="Arial"/>
              </w:rPr>
            </w:pPr>
            <w:r w:rsidRPr="003E75D7">
              <w:rPr>
                <w:rFonts w:ascii="Arial" w:hAnsi="Arial" w:cs="Arial"/>
              </w:rPr>
              <w:t>C. Umasankar</w:t>
            </w:r>
          </w:p>
        </w:tc>
        <w:tc>
          <w:tcPr>
            <w:tcW w:w="3965" w:type="dxa"/>
          </w:tcPr>
          <w:p w14:paraId="7146A299" w14:textId="23FEF5A9" w:rsidR="00C14D7C" w:rsidRPr="003E75D7" w:rsidRDefault="00C14D7C" w:rsidP="005065E0">
            <w:pPr>
              <w:rPr>
                <w:rFonts w:ascii="Arial" w:hAnsi="Arial" w:cs="Arial"/>
              </w:rPr>
            </w:pPr>
            <w:r w:rsidRPr="003E75D7">
              <w:rPr>
                <w:rFonts w:ascii="Arial" w:hAnsi="Arial" w:cs="Arial"/>
              </w:rPr>
              <w:t xml:space="preserve">May 30, 2011 </w:t>
            </w:r>
            <w:r>
              <w:rPr>
                <w:rFonts w:ascii="Arial" w:hAnsi="Arial" w:cs="Arial"/>
              </w:rPr>
              <w:t>to</w:t>
            </w:r>
            <w:r w:rsidRPr="003E75D7">
              <w:rPr>
                <w:rFonts w:ascii="Arial" w:hAnsi="Arial" w:cs="Arial"/>
              </w:rPr>
              <w:t xml:space="preserve"> September 12, 2011</w:t>
            </w:r>
          </w:p>
        </w:tc>
        <w:tc>
          <w:tcPr>
            <w:tcW w:w="2028" w:type="dxa"/>
          </w:tcPr>
          <w:p w14:paraId="3DD8B73A" w14:textId="77777777" w:rsidR="00C14D7C" w:rsidRPr="003E75D7" w:rsidRDefault="00C14D7C" w:rsidP="00C14D7C">
            <w:pPr>
              <w:jc w:val="right"/>
              <w:rPr>
                <w:rFonts w:ascii="Arial" w:hAnsi="Arial" w:cs="Arial"/>
              </w:rPr>
            </w:pPr>
            <w:r w:rsidRPr="003E75D7">
              <w:rPr>
                <w:rFonts w:ascii="Arial" w:hAnsi="Arial" w:cs="Arial"/>
              </w:rPr>
              <w:t>3 months</w:t>
            </w:r>
          </w:p>
        </w:tc>
      </w:tr>
      <w:tr w:rsidR="00C14D7C" w:rsidRPr="003E75D7" w14:paraId="1FA1958F" w14:textId="77777777" w:rsidTr="003411F3">
        <w:trPr>
          <w:jc w:val="center"/>
        </w:trPr>
        <w:tc>
          <w:tcPr>
            <w:tcW w:w="2430" w:type="dxa"/>
          </w:tcPr>
          <w:p w14:paraId="01D4C180" w14:textId="77777777" w:rsidR="00C14D7C" w:rsidRPr="003E75D7" w:rsidRDefault="00C14D7C" w:rsidP="003705A1">
            <w:pPr>
              <w:jc w:val="both"/>
              <w:rPr>
                <w:rFonts w:ascii="Arial" w:hAnsi="Arial" w:cs="Arial"/>
              </w:rPr>
            </w:pPr>
            <w:r w:rsidRPr="003E75D7">
              <w:rPr>
                <w:rFonts w:ascii="Arial" w:hAnsi="Arial" w:cs="Arial"/>
              </w:rPr>
              <w:t>Vijay Pingale</w:t>
            </w:r>
          </w:p>
        </w:tc>
        <w:tc>
          <w:tcPr>
            <w:tcW w:w="3965" w:type="dxa"/>
          </w:tcPr>
          <w:p w14:paraId="5A0FFCA7" w14:textId="2736A781" w:rsidR="00C14D7C" w:rsidRPr="003E75D7" w:rsidRDefault="00C14D7C" w:rsidP="005065E0">
            <w:pPr>
              <w:rPr>
                <w:rFonts w:ascii="Arial" w:hAnsi="Arial" w:cs="Arial"/>
              </w:rPr>
            </w:pPr>
            <w:r w:rsidRPr="003E75D7">
              <w:rPr>
                <w:rFonts w:ascii="Arial" w:hAnsi="Arial" w:cs="Arial"/>
              </w:rPr>
              <w:t xml:space="preserve">September 19, 2011 </w:t>
            </w:r>
            <w:r>
              <w:rPr>
                <w:rFonts w:ascii="Arial" w:hAnsi="Arial" w:cs="Arial"/>
              </w:rPr>
              <w:t>to</w:t>
            </w:r>
            <w:r w:rsidRPr="003E75D7">
              <w:rPr>
                <w:rFonts w:ascii="Arial" w:hAnsi="Arial" w:cs="Arial"/>
              </w:rPr>
              <w:t xml:space="preserve"> May 28, 2012</w:t>
            </w:r>
          </w:p>
        </w:tc>
        <w:tc>
          <w:tcPr>
            <w:tcW w:w="2028" w:type="dxa"/>
          </w:tcPr>
          <w:p w14:paraId="325C7281" w14:textId="77777777" w:rsidR="00C14D7C" w:rsidRPr="003E75D7" w:rsidRDefault="00C14D7C" w:rsidP="00C14D7C">
            <w:pPr>
              <w:jc w:val="right"/>
              <w:rPr>
                <w:rFonts w:ascii="Arial" w:hAnsi="Arial" w:cs="Arial"/>
              </w:rPr>
            </w:pPr>
            <w:r w:rsidRPr="003E75D7">
              <w:rPr>
                <w:rFonts w:ascii="Arial" w:hAnsi="Arial" w:cs="Arial"/>
              </w:rPr>
              <w:t>8 months</w:t>
            </w:r>
          </w:p>
        </w:tc>
      </w:tr>
      <w:tr w:rsidR="00C14D7C" w:rsidRPr="003E75D7" w14:paraId="6FAB89A6" w14:textId="77777777" w:rsidTr="003411F3">
        <w:trPr>
          <w:jc w:val="center"/>
        </w:trPr>
        <w:tc>
          <w:tcPr>
            <w:tcW w:w="2430" w:type="dxa"/>
          </w:tcPr>
          <w:p w14:paraId="5430F6CB" w14:textId="77777777" w:rsidR="00C14D7C" w:rsidRPr="003E75D7" w:rsidRDefault="00C14D7C" w:rsidP="003705A1">
            <w:pPr>
              <w:jc w:val="both"/>
              <w:rPr>
                <w:rFonts w:ascii="Arial" w:hAnsi="Arial" w:cs="Arial"/>
              </w:rPr>
            </w:pPr>
            <w:r w:rsidRPr="003E75D7">
              <w:rPr>
                <w:rFonts w:ascii="Arial" w:hAnsi="Arial" w:cs="Arial"/>
              </w:rPr>
              <w:t>U. Sagayam</w:t>
            </w:r>
          </w:p>
        </w:tc>
        <w:tc>
          <w:tcPr>
            <w:tcW w:w="3965" w:type="dxa"/>
          </w:tcPr>
          <w:p w14:paraId="7578AE99" w14:textId="3E5B5658" w:rsidR="00C14D7C" w:rsidRPr="003E75D7" w:rsidRDefault="00C14D7C" w:rsidP="005065E0">
            <w:pPr>
              <w:rPr>
                <w:rFonts w:ascii="Arial" w:hAnsi="Arial" w:cs="Arial"/>
              </w:rPr>
            </w:pPr>
            <w:r w:rsidRPr="003E75D7">
              <w:rPr>
                <w:rFonts w:ascii="Arial" w:hAnsi="Arial" w:cs="Arial"/>
              </w:rPr>
              <w:t xml:space="preserve">June 6, 2012 </w:t>
            </w:r>
            <w:r>
              <w:rPr>
                <w:rFonts w:ascii="Arial" w:hAnsi="Arial" w:cs="Arial"/>
              </w:rPr>
              <w:t>to</w:t>
            </w:r>
            <w:r w:rsidRPr="003E75D7">
              <w:rPr>
                <w:rFonts w:ascii="Arial" w:hAnsi="Arial" w:cs="Arial"/>
              </w:rPr>
              <w:t xml:space="preserve"> September 9, 2014</w:t>
            </w:r>
          </w:p>
        </w:tc>
        <w:tc>
          <w:tcPr>
            <w:tcW w:w="2028" w:type="dxa"/>
          </w:tcPr>
          <w:p w14:paraId="31CF1028" w14:textId="149F7879" w:rsidR="00C14D7C" w:rsidRPr="003E75D7" w:rsidRDefault="00C14D7C" w:rsidP="00C14D7C">
            <w:pPr>
              <w:jc w:val="right"/>
              <w:rPr>
                <w:rFonts w:ascii="Arial" w:hAnsi="Arial" w:cs="Arial"/>
              </w:rPr>
            </w:pPr>
            <w:r w:rsidRPr="003E75D7">
              <w:rPr>
                <w:rFonts w:ascii="Arial" w:hAnsi="Arial" w:cs="Arial"/>
              </w:rPr>
              <w:t>2 years, 3 months</w:t>
            </w:r>
          </w:p>
        </w:tc>
      </w:tr>
      <w:tr w:rsidR="00C14D7C" w:rsidRPr="003E75D7" w14:paraId="6AB77150" w14:textId="77777777" w:rsidTr="003411F3">
        <w:trPr>
          <w:jc w:val="center"/>
        </w:trPr>
        <w:tc>
          <w:tcPr>
            <w:tcW w:w="2430" w:type="dxa"/>
          </w:tcPr>
          <w:p w14:paraId="1C054B4B" w14:textId="0D4B26A5" w:rsidR="00C14D7C" w:rsidRPr="003E75D7" w:rsidRDefault="00C14D7C" w:rsidP="003705A1">
            <w:pPr>
              <w:jc w:val="both"/>
              <w:rPr>
                <w:rFonts w:ascii="Arial" w:hAnsi="Arial" w:cs="Arial"/>
              </w:rPr>
            </w:pPr>
            <w:r w:rsidRPr="003E75D7">
              <w:rPr>
                <w:rFonts w:ascii="Arial" w:hAnsi="Arial" w:cs="Arial"/>
              </w:rPr>
              <w:t>T. N. Venkatesh</w:t>
            </w:r>
          </w:p>
        </w:tc>
        <w:tc>
          <w:tcPr>
            <w:tcW w:w="3965" w:type="dxa"/>
          </w:tcPr>
          <w:p w14:paraId="12264A53" w14:textId="59ED13AB" w:rsidR="00C14D7C" w:rsidRPr="003E75D7" w:rsidRDefault="00C14D7C" w:rsidP="005065E0">
            <w:pPr>
              <w:rPr>
                <w:rFonts w:ascii="Arial" w:hAnsi="Arial" w:cs="Arial"/>
              </w:rPr>
            </w:pPr>
            <w:r w:rsidRPr="003E75D7">
              <w:rPr>
                <w:rFonts w:ascii="Arial" w:hAnsi="Arial" w:cs="Arial"/>
              </w:rPr>
              <w:t>September 9, 2014 to date</w:t>
            </w:r>
          </w:p>
        </w:tc>
        <w:tc>
          <w:tcPr>
            <w:tcW w:w="2028" w:type="dxa"/>
          </w:tcPr>
          <w:p w14:paraId="61FE0FF7" w14:textId="77777777" w:rsidR="00C14D7C" w:rsidRPr="003E75D7" w:rsidRDefault="00C14D7C" w:rsidP="00C14D7C">
            <w:pPr>
              <w:jc w:val="right"/>
              <w:rPr>
                <w:rFonts w:ascii="Arial" w:hAnsi="Arial" w:cs="Arial"/>
              </w:rPr>
            </w:pPr>
            <w:r w:rsidRPr="003E75D7">
              <w:rPr>
                <w:rFonts w:ascii="Arial" w:hAnsi="Arial" w:cs="Arial"/>
              </w:rPr>
              <w:t>-</w:t>
            </w:r>
          </w:p>
        </w:tc>
      </w:tr>
    </w:tbl>
    <w:p w14:paraId="13EEEE50" w14:textId="77777777" w:rsidR="00C14D7C" w:rsidRDefault="00C14D7C" w:rsidP="001E18A9">
      <w:pPr>
        <w:pStyle w:val="Footnote"/>
      </w:pPr>
    </w:p>
    <w:p w14:paraId="2B5F5BBA" w14:textId="54BD1B3D" w:rsidR="00D759DA" w:rsidRPr="003E75D7" w:rsidRDefault="00D759DA" w:rsidP="001E18A9">
      <w:pPr>
        <w:pStyle w:val="Footnote"/>
      </w:pPr>
      <w:r w:rsidRPr="003E75D7">
        <w:t xml:space="preserve">Source: </w:t>
      </w:r>
      <w:r w:rsidR="00751EF7">
        <w:t>Company files</w:t>
      </w:r>
      <w:r w:rsidR="001E18A9" w:rsidRPr="003E75D7">
        <w:t xml:space="preserve">. </w:t>
      </w:r>
    </w:p>
    <w:p w14:paraId="044EC711" w14:textId="77777777" w:rsidR="001E18A9" w:rsidRPr="003E75D7" w:rsidRDefault="001E18A9" w:rsidP="001E18A9">
      <w:pPr>
        <w:pStyle w:val="Footnote"/>
      </w:pPr>
    </w:p>
    <w:p w14:paraId="5D377825" w14:textId="77777777" w:rsidR="00BC06DC" w:rsidRPr="003E75D7" w:rsidRDefault="00BC06DC">
      <w:pPr>
        <w:spacing w:after="200" w:line="276" w:lineRule="auto"/>
        <w:rPr>
          <w:rFonts w:ascii="Arial" w:hAnsi="Arial" w:cs="Arial"/>
          <w:sz w:val="17"/>
          <w:szCs w:val="17"/>
        </w:rPr>
      </w:pPr>
      <w:r w:rsidRPr="003E75D7">
        <w:br w:type="page"/>
      </w:r>
    </w:p>
    <w:p w14:paraId="3408FA49" w14:textId="6EA36F29" w:rsidR="00D759DA" w:rsidRPr="003E75D7" w:rsidRDefault="00D759DA" w:rsidP="00BC06DC">
      <w:pPr>
        <w:pStyle w:val="ExhibitHeading"/>
      </w:pPr>
      <w:r w:rsidRPr="003E75D7">
        <w:lastRenderedPageBreak/>
        <w:t>EXHIBIT 3: SALES AND PROFIT/LOSS OF CO-OPTEX</w:t>
      </w:r>
      <w:r w:rsidR="00A849D6" w:rsidRPr="003E75D7">
        <w:t xml:space="preserve"> by YEAR</w:t>
      </w:r>
    </w:p>
    <w:p w14:paraId="57768A00" w14:textId="77777777" w:rsidR="00BC06DC" w:rsidRPr="003E75D7" w:rsidRDefault="00BC06DC" w:rsidP="00BC06DC">
      <w:pPr>
        <w:pStyle w:val="ExhibitHeading"/>
      </w:pPr>
    </w:p>
    <w:tbl>
      <w:tblPr>
        <w:tblW w:w="6210" w:type="dxa"/>
        <w:jc w:val="center"/>
        <w:tblLook w:val="04A0" w:firstRow="1" w:lastRow="0" w:firstColumn="1" w:lastColumn="0" w:noHBand="0" w:noVBand="1"/>
      </w:tblPr>
      <w:tblGrid>
        <w:gridCol w:w="1345"/>
        <w:gridCol w:w="1260"/>
        <w:gridCol w:w="1535"/>
        <w:gridCol w:w="2070"/>
      </w:tblGrid>
      <w:tr w:rsidR="00D759DA" w:rsidRPr="003E75D7" w14:paraId="49AB1DF8" w14:textId="77777777" w:rsidTr="00932528">
        <w:trPr>
          <w:trHeight w:val="643"/>
          <w:tblHeader/>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906C6" w14:textId="69D4D9E7" w:rsidR="00D759DA" w:rsidRPr="003E75D7" w:rsidRDefault="00ED6C77" w:rsidP="00932528">
            <w:pPr>
              <w:jc w:val="center"/>
              <w:rPr>
                <w:rFonts w:ascii="Arial" w:hAnsi="Arial" w:cs="Arial"/>
                <w:b/>
                <w:color w:val="000000"/>
                <w:sz w:val="19"/>
                <w:szCs w:val="19"/>
              </w:rPr>
            </w:pPr>
            <w:r w:rsidRPr="003E75D7">
              <w:rPr>
                <w:rFonts w:ascii="Arial" w:hAnsi="Arial" w:cs="Arial"/>
                <w:b/>
                <w:color w:val="000000"/>
                <w:sz w:val="19"/>
                <w:szCs w:val="19"/>
              </w:rPr>
              <w:t xml:space="preserve">Fiscal </w:t>
            </w:r>
            <w:r w:rsidR="00D759DA" w:rsidRPr="003E75D7">
              <w:rPr>
                <w:rFonts w:ascii="Arial" w:hAnsi="Arial" w:cs="Arial"/>
                <w:b/>
                <w:color w:val="000000"/>
                <w:sz w:val="19"/>
                <w:szCs w:val="19"/>
              </w:rPr>
              <w:t>Year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EA5E5E4" w14:textId="7CC3EF3D" w:rsidR="00D759DA" w:rsidRPr="003E75D7" w:rsidRDefault="00D759DA" w:rsidP="00932528">
            <w:pPr>
              <w:jc w:val="center"/>
              <w:rPr>
                <w:rFonts w:ascii="Arial" w:hAnsi="Arial" w:cs="Arial"/>
                <w:b/>
                <w:color w:val="000000"/>
                <w:sz w:val="19"/>
                <w:szCs w:val="19"/>
              </w:rPr>
            </w:pPr>
            <w:r w:rsidRPr="003E75D7">
              <w:rPr>
                <w:rFonts w:ascii="Arial" w:hAnsi="Arial" w:cs="Arial"/>
                <w:b/>
                <w:color w:val="000000"/>
                <w:sz w:val="19"/>
                <w:szCs w:val="19"/>
              </w:rPr>
              <w:t>Sales (in $ million</w:t>
            </w:r>
            <w:r w:rsidR="00A849D6" w:rsidRPr="003E75D7">
              <w:rPr>
                <w:rFonts w:ascii="Arial" w:hAnsi="Arial" w:cs="Arial"/>
                <w:b/>
                <w:color w:val="000000"/>
                <w:sz w:val="19"/>
                <w:szCs w:val="19"/>
              </w:rPr>
              <w:t>s</w:t>
            </w:r>
            <w:r w:rsidRPr="003E75D7">
              <w:rPr>
                <w:rFonts w:ascii="Arial" w:hAnsi="Arial" w:cs="Arial"/>
                <w:b/>
                <w:color w:val="000000"/>
                <w:sz w:val="19"/>
                <w:szCs w:val="19"/>
              </w:rPr>
              <w:t>)</w:t>
            </w:r>
          </w:p>
        </w:tc>
        <w:tc>
          <w:tcPr>
            <w:tcW w:w="1535" w:type="dxa"/>
            <w:tcBorders>
              <w:top w:val="single" w:sz="4" w:space="0" w:color="auto"/>
              <w:left w:val="nil"/>
              <w:bottom w:val="single" w:sz="4" w:space="0" w:color="auto"/>
              <w:right w:val="single" w:sz="4" w:space="0" w:color="auto"/>
            </w:tcBorders>
            <w:shd w:val="clear" w:color="auto" w:fill="auto"/>
            <w:vAlign w:val="center"/>
            <w:hideMark/>
          </w:tcPr>
          <w:p w14:paraId="3D7167B8" w14:textId="566D9F4C" w:rsidR="00D759DA" w:rsidRPr="003E75D7" w:rsidRDefault="00D759DA" w:rsidP="00932528">
            <w:pPr>
              <w:jc w:val="center"/>
              <w:rPr>
                <w:rFonts w:ascii="Arial" w:hAnsi="Arial" w:cs="Arial"/>
                <w:b/>
                <w:color w:val="000000"/>
                <w:sz w:val="19"/>
                <w:szCs w:val="19"/>
              </w:rPr>
            </w:pPr>
            <w:r w:rsidRPr="003E75D7">
              <w:rPr>
                <w:rFonts w:ascii="Arial" w:hAnsi="Arial" w:cs="Arial"/>
                <w:b/>
                <w:color w:val="000000"/>
                <w:sz w:val="19"/>
                <w:szCs w:val="19"/>
              </w:rPr>
              <w:t>Profit/Loss (in $ million</w:t>
            </w:r>
            <w:r w:rsidR="00A849D6" w:rsidRPr="003E75D7">
              <w:rPr>
                <w:rFonts w:ascii="Arial" w:hAnsi="Arial" w:cs="Arial"/>
                <w:b/>
                <w:color w:val="000000"/>
                <w:sz w:val="19"/>
                <w:szCs w:val="19"/>
              </w:rPr>
              <w:t>s</w:t>
            </w:r>
            <w:r w:rsidRPr="003E75D7">
              <w:rPr>
                <w:rFonts w:ascii="Arial" w:hAnsi="Arial" w:cs="Arial"/>
                <w:b/>
                <w:color w:val="000000"/>
                <w:sz w:val="19"/>
                <w:szCs w:val="19"/>
              </w:rPr>
              <w:t>)</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42A4DC7A" w14:textId="12DB39A5" w:rsidR="00D759DA" w:rsidRPr="003E75D7" w:rsidRDefault="00D759DA" w:rsidP="007C7AED">
            <w:pPr>
              <w:jc w:val="center"/>
              <w:rPr>
                <w:rFonts w:ascii="Arial" w:hAnsi="Arial" w:cs="Arial"/>
                <w:b/>
                <w:color w:val="000000"/>
                <w:sz w:val="19"/>
                <w:szCs w:val="19"/>
              </w:rPr>
            </w:pPr>
            <w:r w:rsidRPr="003E75D7">
              <w:rPr>
                <w:rFonts w:ascii="Arial" w:hAnsi="Arial" w:cs="Arial"/>
                <w:b/>
                <w:color w:val="000000"/>
                <w:sz w:val="19"/>
                <w:szCs w:val="19"/>
              </w:rPr>
              <w:t xml:space="preserve">Net </w:t>
            </w:r>
            <w:r w:rsidR="00A849D6" w:rsidRPr="003E75D7">
              <w:rPr>
                <w:rFonts w:ascii="Arial" w:hAnsi="Arial" w:cs="Arial"/>
                <w:b/>
                <w:color w:val="000000"/>
                <w:sz w:val="19"/>
                <w:szCs w:val="19"/>
              </w:rPr>
              <w:t>Accumulated Profits</w:t>
            </w:r>
            <w:r w:rsidRPr="003E75D7">
              <w:rPr>
                <w:rFonts w:ascii="Arial" w:hAnsi="Arial" w:cs="Arial"/>
                <w:b/>
                <w:color w:val="000000"/>
                <w:sz w:val="19"/>
                <w:szCs w:val="19"/>
              </w:rPr>
              <w:t>/</w:t>
            </w:r>
            <w:r w:rsidR="00A849D6" w:rsidRPr="003E75D7">
              <w:rPr>
                <w:rFonts w:ascii="Arial" w:hAnsi="Arial" w:cs="Arial"/>
                <w:b/>
                <w:color w:val="000000"/>
                <w:sz w:val="19"/>
                <w:szCs w:val="19"/>
              </w:rPr>
              <w:t>Losses (</w:t>
            </w:r>
            <w:r w:rsidRPr="003E75D7">
              <w:rPr>
                <w:rFonts w:ascii="Arial" w:hAnsi="Arial" w:cs="Arial"/>
                <w:b/>
                <w:color w:val="000000"/>
                <w:sz w:val="19"/>
                <w:szCs w:val="19"/>
              </w:rPr>
              <w:t>in $ million</w:t>
            </w:r>
            <w:r w:rsidR="00A849D6" w:rsidRPr="003E75D7">
              <w:rPr>
                <w:rFonts w:ascii="Arial" w:hAnsi="Arial" w:cs="Arial"/>
                <w:b/>
                <w:color w:val="000000"/>
                <w:sz w:val="19"/>
                <w:szCs w:val="19"/>
              </w:rPr>
              <w:t>s)</w:t>
            </w:r>
          </w:p>
        </w:tc>
      </w:tr>
      <w:tr w:rsidR="00D759DA" w:rsidRPr="003E75D7" w14:paraId="64455238" w14:textId="77777777" w:rsidTr="00057C3E">
        <w:trPr>
          <w:trHeight w:val="224"/>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44A99147" w14:textId="37626EA7"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1999</w:t>
            </w:r>
            <w:r w:rsidR="005602A5" w:rsidRPr="003E75D7">
              <w:rPr>
                <w:rFonts w:ascii="Arial" w:hAnsi="Arial" w:cs="Arial"/>
                <w:color w:val="000000"/>
                <w:sz w:val="19"/>
                <w:szCs w:val="19"/>
              </w:rPr>
              <w:t>–</w:t>
            </w:r>
            <w:r w:rsidR="003411F3" w:rsidRPr="003E75D7">
              <w:rPr>
                <w:rFonts w:ascii="Arial" w:hAnsi="Arial" w:cs="Arial"/>
                <w:color w:val="000000"/>
                <w:sz w:val="19"/>
                <w:szCs w:val="19"/>
              </w:rPr>
              <w:t>20</w:t>
            </w:r>
            <w:r w:rsidRPr="003E75D7">
              <w:rPr>
                <w:rFonts w:ascii="Arial" w:hAnsi="Arial" w:cs="Arial"/>
                <w:color w:val="000000"/>
                <w:sz w:val="19"/>
                <w:szCs w:val="19"/>
              </w:rPr>
              <w:t>00</w:t>
            </w:r>
          </w:p>
        </w:tc>
        <w:tc>
          <w:tcPr>
            <w:tcW w:w="1260" w:type="dxa"/>
            <w:tcBorders>
              <w:top w:val="nil"/>
              <w:left w:val="nil"/>
              <w:bottom w:val="single" w:sz="4" w:space="0" w:color="auto"/>
              <w:right w:val="single" w:sz="4" w:space="0" w:color="auto"/>
            </w:tcBorders>
            <w:shd w:val="clear" w:color="auto" w:fill="auto"/>
            <w:noWrap/>
            <w:hideMark/>
          </w:tcPr>
          <w:p w14:paraId="383736FF" w14:textId="52D3C962"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75.4</w:t>
            </w:r>
            <w:r w:rsidR="005602A5" w:rsidRPr="003E75D7">
              <w:rPr>
                <w:rFonts w:ascii="Arial" w:hAnsi="Arial" w:cs="Arial"/>
                <w:color w:val="000000"/>
                <w:sz w:val="19"/>
                <w:szCs w:val="19"/>
              </w:rPr>
              <w:t>0</w:t>
            </w:r>
          </w:p>
        </w:tc>
        <w:tc>
          <w:tcPr>
            <w:tcW w:w="1535" w:type="dxa"/>
            <w:tcBorders>
              <w:top w:val="nil"/>
              <w:left w:val="nil"/>
              <w:bottom w:val="single" w:sz="4" w:space="0" w:color="auto"/>
              <w:right w:val="single" w:sz="4" w:space="0" w:color="auto"/>
            </w:tcBorders>
            <w:shd w:val="clear" w:color="auto" w:fill="auto"/>
            <w:noWrap/>
            <w:hideMark/>
          </w:tcPr>
          <w:p w14:paraId="3945A52F"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0.24</w:t>
            </w:r>
          </w:p>
        </w:tc>
        <w:tc>
          <w:tcPr>
            <w:tcW w:w="2070" w:type="dxa"/>
            <w:tcBorders>
              <w:top w:val="nil"/>
              <w:left w:val="nil"/>
              <w:bottom w:val="single" w:sz="4" w:space="0" w:color="auto"/>
              <w:right w:val="single" w:sz="4" w:space="0" w:color="auto"/>
            </w:tcBorders>
            <w:shd w:val="clear" w:color="auto" w:fill="auto"/>
            <w:hideMark/>
          </w:tcPr>
          <w:p w14:paraId="3FDEE007"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1.05</w:t>
            </w:r>
          </w:p>
        </w:tc>
      </w:tr>
      <w:tr w:rsidR="00D759DA" w:rsidRPr="003E75D7" w14:paraId="78E760F2" w14:textId="77777777" w:rsidTr="00057C3E">
        <w:trPr>
          <w:trHeight w:val="188"/>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52701AD7" w14:textId="563BC3EC"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2000</w:t>
            </w:r>
            <w:r w:rsidR="005602A5" w:rsidRPr="003E75D7">
              <w:rPr>
                <w:rFonts w:ascii="Arial" w:hAnsi="Arial" w:cs="Arial"/>
                <w:color w:val="000000"/>
                <w:sz w:val="19"/>
                <w:szCs w:val="19"/>
              </w:rPr>
              <w:t>–</w:t>
            </w:r>
            <w:r w:rsidRPr="003E75D7">
              <w:rPr>
                <w:rFonts w:ascii="Arial" w:hAnsi="Arial" w:cs="Arial"/>
                <w:color w:val="000000"/>
                <w:sz w:val="19"/>
                <w:szCs w:val="19"/>
              </w:rPr>
              <w:t>01</w:t>
            </w:r>
          </w:p>
        </w:tc>
        <w:tc>
          <w:tcPr>
            <w:tcW w:w="1260" w:type="dxa"/>
            <w:tcBorders>
              <w:top w:val="nil"/>
              <w:left w:val="nil"/>
              <w:bottom w:val="single" w:sz="4" w:space="0" w:color="auto"/>
              <w:right w:val="single" w:sz="4" w:space="0" w:color="auto"/>
            </w:tcBorders>
            <w:shd w:val="clear" w:color="auto" w:fill="auto"/>
            <w:noWrap/>
            <w:hideMark/>
          </w:tcPr>
          <w:p w14:paraId="31C2848C"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70.03</w:t>
            </w:r>
          </w:p>
        </w:tc>
        <w:tc>
          <w:tcPr>
            <w:tcW w:w="1535" w:type="dxa"/>
            <w:tcBorders>
              <w:top w:val="nil"/>
              <w:left w:val="nil"/>
              <w:bottom w:val="single" w:sz="4" w:space="0" w:color="auto"/>
              <w:right w:val="single" w:sz="4" w:space="0" w:color="auto"/>
            </w:tcBorders>
            <w:shd w:val="clear" w:color="auto" w:fill="auto"/>
            <w:noWrap/>
            <w:hideMark/>
          </w:tcPr>
          <w:p w14:paraId="0E63AB8E" w14:textId="4DD82AF8" w:rsidR="00D759DA" w:rsidRPr="003E75D7" w:rsidRDefault="005602A5" w:rsidP="00932528">
            <w:pPr>
              <w:jc w:val="right"/>
              <w:rPr>
                <w:rFonts w:ascii="Arial" w:hAnsi="Arial" w:cs="Arial"/>
                <w:color w:val="000000"/>
                <w:sz w:val="19"/>
                <w:szCs w:val="19"/>
              </w:rPr>
            </w:pPr>
            <w:r w:rsidRPr="003E75D7">
              <w:rPr>
                <w:rFonts w:ascii="Arial" w:hAnsi="Arial" w:cs="Arial"/>
                <w:color w:val="000000"/>
                <w:sz w:val="19"/>
                <w:szCs w:val="19"/>
              </w:rPr>
              <w:t>−</w:t>
            </w:r>
            <w:r w:rsidR="00D759DA" w:rsidRPr="003E75D7">
              <w:rPr>
                <w:rFonts w:ascii="Arial" w:hAnsi="Arial" w:cs="Arial"/>
                <w:color w:val="000000"/>
                <w:sz w:val="19"/>
                <w:szCs w:val="19"/>
              </w:rPr>
              <w:t>3.61</w:t>
            </w:r>
          </w:p>
        </w:tc>
        <w:tc>
          <w:tcPr>
            <w:tcW w:w="2070" w:type="dxa"/>
            <w:tcBorders>
              <w:top w:val="nil"/>
              <w:left w:val="nil"/>
              <w:bottom w:val="single" w:sz="4" w:space="0" w:color="auto"/>
              <w:right w:val="single" w:sz="4" w:space="0" w:color="auto"/>
            </w:tcBorders>
            <w:shd w:val="clear" w:color="auto" w:fill="auto"/>
            <w:hideMark/>
          </w:tcPr>
          <w:p w14:paraId="20B91F02"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4.61</w:t>
            </w:r>
          </w:p>
        </w:tc>
      </w:tr>
      <w:tr w:rsidR="00D759DA" w:rsidRPr="003E75D7" w14:paraId="4C096E34" w14:textId="77777777" w:rsidTr="00057C3E">
        <w:trPr>
          <w:trHeight w:val="215"/>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5F7F2038" w14:textId="78F55E0E"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2001</w:t>
            </w:r>
            <w:r w:rsidR="005602A5" w:rsidRPr="003E75D7">
              <w:rPr>
                <w:rFonts w:ascii="Arial" w:hAnsi="Arial" w:cs="Arial"/>
                <w:color w:val="000000"/>
                <w:sz w:val="19"/>
                <w:szCs w:val="19"/>
              </w:rPr>
              <w:t>–</w:t>
            </w:r>
            <w:r w:rsidRPr="003E75D7">
              <w:rPr>
                <w:rFonts w:ascii="Arial" w:hAnsi="Arial" w:cs="Arial"/>
                <w:color w:val="000000"/>
                <w:sz w:val="19"/>
                <w:szCs w:val="19"/>
              </w:rPr>
              <w:t>02</w:t>
            </w:r>
          </w:p>
        </w:tc>
        <w:tc>
          <w:tcPr>
            <w:tcW w:w="1260" w:type="dxa"/>
            <w:tcBorders>
              <w:top w:val="nil"/>
              <w:left w:val="nil"/>
              <w:bottom w:val="single" w:sz="4" w:space="0" w:color="auto"/>
              <w:right w:val="single" w:sz="4" w:space="0" w:color="auto"/>
            </w:tcBorders>
            <w:shd w:val="clear" w:color="auto" w:fill="auto"/>
            <w:noWrap/>
            <w:hideMark/>
          </w:tcPr>
          <w:p w14:paraId="2B03EB5F"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39.86</w:t>
            </w:r>
          </w:p>
        </w:tc>
        <w:tc>
          <w:tcPr>
            <w:tcW w:w="1535" w:type="dxa"/>
            <w:tcBorders>
              <w:top w:val="nil"/>
              <w:left w:val="nil"/>
              <w:bottom w:val="single" w:sz="4" w:space="0" w:color="auto"/>
              <w:right w:val="single" w:sz="4" w:space="0" w:color="auto"/>
            </w:tcBorders>
            <w:shd w:val="clear" w:color="auto" w:fill="auto"/>
            <w:noWrap/>
            <w:hideMark/>
          </w:tcPr>
          <w:p w14:paraId="50696BFC" w14:textId="782649DA" w:rsidR="00D759DA" w:rsidRPr="003E75D7" w:rsidRDefault="005602A5" w:rsidP="00932528">
            <w:pPr>
              <w:jc w:val="right"/>
              <w:rPr>
                <w:rFonts w:ascii="Arial" w:hAnsi="Arial" w:cs="Arial"/>
                <w:color w:val="000000"/>
                <w:sz w:val="19"/>
                <w:szCs w:val="19"/>
              </w:rPr>
            </w:pPr>
            <w:r w:rsidRPr="003E75D7">
              <w:rPr>
                <w:rFonts w:ascii="Arial" w:hAnsi="Arial" w:cs="Arial"/>
                <w:color w:val="000000"/>
                <w:sz w:val="19"/>
                <w:szCs w:val="19"/>
              </w:rPr>
              <w:t>−</w:t>
            </w:r>
            <w:r w:rsidR="00D759DA" w:rsidRPr="003E75D7">
              <w:rPr>
                <w:rFonts w:ascii="Arial" w:hAnsi="Arial" w:cs="Arial"/>
                <w:color w:val="000000"/>
                <w:sz w:val="19"/>
                <w:szCs w:val="19"/>
              </w:rPr>
              <w:t>3.13</w:t>
            </w:r>
          </w:p>
        </w:tc>
        <w:tc>
          <w:tcPr>
            <w:tcW w:w="2070" w:type="dxa"/>
            <w:tcBorders>
              <w:top w:val="nil"/>
              <w:left w:val="nil"/>
              <w:bottom w:val="single" w:sz="4" w:space="0" w:color="auto"/>
              <w:right w:val="single" w:sz="4" w:space="0" w:color="auto"/>
            </w:tcBorders>
            <w:shd w:val="clear" w:color="auto" w:fill="auto"/>
            <w:noWrap/>
            <w:hideMark/>
          </w:tcPr>
          <w:p w14:paraId="77607F88"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7.55</w:t>
            </w:r>
          </w:p>
        </w:tc>
      </w:tr>
      <w:tr w:rsidR="00D759DA" w:rsidRPr="003E75D7" w14:paraId="6E262466" w14:textId="77777777" w:rsidTr="00057C3E">
        <w:trPr>
          <w:trHeight w:val="161"/>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20D5AD04" w14:textId="6FEC1951"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2002</w:t>
            </w:r>
            <w:r w:rsidR="005602A5" w:rsidRPr="003E75D7">
              <w:rPr>
                <w:rFonts w:ascii="Arial" w:hAnsi="Arial" w:cs="Arial"/>
                <w:color w:val="000000"/>
                <w:sz w:val="19"/>
                <w:szCs w:val="19"/>
              </w:rPr>
              <w:t>–</w:t>
            </w:r>
            <w:r w:rsidRPr="003E75D7">
              <w:rPr>
                <w:rFonts w:ascii="Arial" w:hAnsi="Arial" w:cs="Arial"/>
                <w:color w:val="000000"/>
                <w:sz w:val="19"/>
                <w:szCs w:val="19"/>
              </w:rPr>
              <w:t>03</w:t>
            </w:r>
          </w:p>
        </w:tc>
        <w:tc>
          <w:tcPr>
            <w:tcW w:w="1260" w:type="dxa"/>
            <w:tcBorders>
              <w:top w:val="nil"/>
              <w:left w:val="nil"/>
              <w:bottom w:val="single" w:sz="4" w:space="0" w:color="auto"/>
              <w:right w:val="single" w:sz="4" w:space="0" w:color="auto"/>
            </w:tcBorders>
            <w:shd w:val="clear" w:color="auto" w:fill="auto"/>
            <w:noWrap/>
            <w:hideMark/>
          </w:tcPr>
          <w:p w14:paraId="405B2A0D" w14:textId="21E191AA"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56.9</w:t>
            </w:r>
            <w:r w:rsidR="005602A5" w:rsidRPr="003E75D7">
              <w:rPr>
                <w:rFonts w:ascii="Arial" w:hAnsi="Arial" w:cs="Arial"/>
                <w:color w:val="000000"/>
                <w:sz w:val="19"/>
                <w:szCs w:val="19"/>
              </w:rPr>
              <w:t>0</w:t>
            </w:r>
          </w:p>
        </w:tc>
        <w:tc>
          <w:tcPr>
            <w:tcW w:w="1535" w:type="dxa"/>
            <w:tcBorders>
              <w:top w:val="nil"/>
              <w:left w:val="nil"/>
              <w:bottom w:val="single" w:sz="4" w:space="0" w:color="auto"/>
              <w:right w:val="single" w:sz="4" w:space="0" w:color="auto"/>
            </w:tcBorders>
            <w:shd w:val="clear" w:color="auto" w:fill="auto"/>
            <w:noWrap/>
            <w:hideMark/>
          </w:tcPr>
          <w:p w14:paraId="04690606" w14:textId="4F9432A2" w:rsidR="00D759DA" w:rsidRPr="003E75D7" w:rsidRDefault="005602A5" w:rsidP="00932528">
            <w:pPr>
              <w:jc w:val="right"/>
              <w:rPr>
                <w:rFonts w:ascii="Arial" w:hAnsi="Arial" w:cs="Arial"/>
                <w:color w:val="000000"/>
                <w:sz w:val="19"/>
                <w:szCs w:val="19"/>
              </w:rPr>
            </w:pPr>
            <w:r w:rsidRPr="003E75D7">
              <w:rPr>
                <w:rFonts w:ascii="Arial" w:hAnsi="Arial" w:cs="Arial"/>
                <w:color w:val="000000"/>
                <w:sz w:val="19"/>
                <w:szCs w:val="19"/>
              </w:rPr>
              <w:t>−</w:t>
            </w:r>
            <w:r w:rsidR="00D759DA" w:rsidRPr="003E75D7">
              <w:rPr>
                <w:rFonts w:ascii="Arial" w:hAnsi="Arial" w:cs="Arial"/>
                <w:color w:val="000000"/>
                <w:sz w:val="19"/>
                <w:szCs w:val="19"/>
              </w:rPr>
              <w:t>5.85</w:t>
            </w:r>
          </w:p>
        </w:tc>
        <w:tc>
          <w:tcPr>
            <w:tcW w:w="2070" w:type="dxa"/>
            <w:tcBorders>
              <w:top w:val="nil"/>
              <w:left w:val="nil"/>
              <w:bottom w:val="single" w:sz="4" w:space="0" w:color="auto"/>
              <w:right w:val="single" w:sz="4" w:space="0" w:color="auto"/>
            </w:tcBorders>
            <w:shd w:val="clear" w:color="auto" w:fill="auto"/>
            <w:hideMark/>
          </w:tcPr>
          <w:p w14:paraId="4C18CABA"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13.29</w:t>
            </w:r>
          </w:p>
        </w:tc>
      </w:tr>
      <w:tr w:rsidR="00D759DA" w:rsidRPr="003E75D7" w14:paraId="13AA6E65" w14:textId="77777777" w:rsidTr="00057C3E">
        <w:trPr>
          <w:trHeight w:val="215"/>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484F4D4C" w14:textId="03675496"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2003</w:t>
            </w:r>
            <w:r w:rsidR="005602A5" w:rsidRPr="003E75D7">
              <w:rPr>
                <w:rFonts w:ascii="Arial" w:hAnsi="Arial" w:cs="Arial"/>
                <w:color w:val="000000"/>
                <w:sz w:val="19"/>
                <w:szCs w:val="19"/>
              </w:rPr>
              <w:t>–</w:t>
            </w:r>
            <w:r w:rsidRPr="003E75D7">
              <w:rPr>
                <w:rFonts w:ascii="Arial" w:hAnsi="Arial" w:cs="Arial"/>
                <w:color w:val="000000"/>
                <w:sz w:val="19"/>
                <w:szCs w:val="19"/>
              </w:rPr>
              <w:t>04</w:t>
            </w:r>
          </w:p>
        </w:tc>
        <w:tc>
          <w:tcPr>
            <w:tcW w:w="1260" w:type="dxa"/>
            <w:tcBorders>
              <w:top w:val="nil"/>
              <w:left w:val="nil"/>
              <w:bottom w:val="single" w:sz="4" w:space="0" w:color="auto"/>
              <w:right w:val="single" w:sz="4" w:space="0" w:color="auto"/>
            </w:tcBorders>
            <w:shd w:val="clear" w:color="auto" w:fill="auto"/>
            <w:noWrap/>
            <w:hideMark/>
          </w:tcPr>
          <w:p w14:paraId="25553A59"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74.25</w:t>
            </w:r>
          </w:p>
        </w:tc>
        <w:tc>
          <w:tcPr>
            <w:tcW w:w="1535" w:type="dxa"/>
            <w:tcBorders>
              <w:top w:val="nil"/>
              <w:left w:val="nil"/>
              <w:bottom w:val="single" w:sz="4" w:space="0" w:color="auto"/>
              <w:right w:val="single" w:sz="4" w:space="0" w:color="auto"/>
            </w:tcBorders>
            <w:shd w:val="clear" w:color="auto" w:fill="auto"/>
            <w:noWrap/>
            <w:hideMark/>
          </w:tcPr>
          <w:p w14:paraId="51AC24B9" w14:textId="2E24A8E7" w:rsidR="00D759DA" w:rsidRPr="003E75D7" w:rsidRDefault="005602A5" w:rsidP="00932528">
            <w:pPr>
              <w:jc w:val="right"/>
              <w:rPr>
                <w:rFonts w:ascii="Arial" w:hAnsi="Arial" w:cs="Arial"/>
                <w:color w:val="000000"/>
                <w:sz w:val="19"/>
                <w:szCs w:val="19"/>
              </w:rPr>
            </w:pPr>
            <w:r w:rsidRPr="003E75D7">
              <w:rPr>
                <w:rFonts w:ascii="Arial" w:hAnsi="Arial" w:cs="Arial"/>
                <w:color w:val="000000"/>
                <w:sz w:val="19"/>
                <w:szCs w:val="19"/>
              </w:rPr>
              <w:t>−</w:t>
            </w:r>
            <w:r w:rsidR="00D759DA" w:rsidRPr="003E75D7">
              <w:rPr>
                <w:rFonts w:ascii="Arial" w:hAnsi="Arial" w:cs="Arial"/>
                <w:color w:val="000000"/>
                <w:sz w:val="19"/>
                <w:szCs w:val="19"/>
              </w:rPr>
              <w:t>2.92</w:t>
            </w:r>
          </w:p>
        </w:tc>
        <w:tc>
          <w:tcPr>
            <w:tcW w:w="2070" w:type="dxa"/>
            <w:tcBorders>
              <w:top w:val="nil"/>
              <w:left w:val="nil"/>
              <w:bottom w:val="single" w:sz="4" w:space="0" w:color="auto"/>
              <w:right w:val="single" w:sz="4" w:space="0" w:color="auto"/>
            </w:tcBorders>
            <w:shd w:val="clear" w:color="auto" w:fill="auto"/>
            <w:hideMark/>
          </w:tcPr>
          <w:p w14:paraId="5409B67B"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16.91</w:t>
            </w:r>
          </w:p>
        </w:tc>
      </w:tr>
      <w:tr w:rsidR="00D759DA" w:rsidRPr="003E75D7" w14:paraId="1C6F982F" w14:textId="77777777" w:rsidTr="00057C3E">
        <w:trPr>
          <w:trHeight w:val="161"/>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0C59C6C7" w14:textId="4F70786A"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2004</w:t>
            </w:r>
            <w:r w:rsidR="005602A5" w:rsidRPr="003E75D7">
              <w:rPr>
                <w:rFonts w:ascii="Arial" w:hAnsi="Arial" w:cs="Arial"/>
                <w:color w:val="000000"/>
                <w:sz w:val="19"/>
                <w:szCs w:val="19"/>
              </w:rPr>
              <w:t>–</w:t>
            </w:r>
            <w:r w:rsidRPr="003E75D7">
              <w:rPr>
                <w:rFonts w:ascii="Arial" w:hAnsi="Arial" w:cs="Arial"/>
                <w:color w:val="000000"/>
                <w:sz w:val="19"/>
                <w:szCs w:val="19"/>
              </w:rPr>
              <w:t>05</w:t>
            </w:r>
          </w:p>
        </w:tc>
        <w:tc>
          <w:tcPr>
            <w:tcW w:w="1260" w:type="dxa"/>
            <w:tcBorders>
              <w:top w:val="nil"/>
              <w:left w:val="nil"/>
              <w:bottom w:val="single" w:sz="4" w:space="0" w:color="auto"/>
              <w:right w:val="single" w:sz="4" w:space="0" w:color="auto"/>
            </w:tcBorders>
            <w:shd w:val="clear" w:color="auto" w:fill="auto"/>
            <w:noWrap/>
            <w:hideMark/>
          </w:tcPr>
          <w:p w14:paraId="6B2B689A"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76.08</w:t>
            </w:r>
          </w:p>
        </w:tc>
        <w:tc>
          <w:tcPr>
            <w:tcW w:w="1535" w:type="dxa"/>
            <w:tcBorders>
              <w:top w:val="nil"/>
              <w:left w:val="nil"/>
              <w:bottom w:val="single" w:sz="4" w:space="0" w:color="auto"/>
              <w:right w:val="single" w:sz="4" w:space="0" w:color="auto"/>
            </w:tcBorders>
            <w:shd w:val="clear" w:color="auto" w:fill="auto"/>
            <w:noWrap/>
            <w:hideMark/>
          </w:tcPr>
          <w:p w14:paraId="7B58D181" w14:textId="28C853D3" w:rsidR="00D759DA" w:rsidRPr="003E75D7" w:rsidRDefault="005602A5" w:rsidP="00932528">
            <w:pPr>
              <w:jc w:val="right"/>
              <w:rPr>
                <w:rFonts w:ascii="Arial" w:hAnsi="Arial" w:cs="Arial"/>
                <w:color w:val="000000"/>
                <w:sz w:val="19"/>
                <w:szCs w:val="19"/>
              </w:rPr>
            </w:pPr>
            <w:r w:rsidRPr="003E75D7">
              <w:rPr>
                <w:rFonts w:ascii="Arial" w:hAnsi="Arial" w:cs="Arial"/>
                <w:color w:val="000000"/>
                <w:sz w:val="19"/>
                <w:szCs w:val="19"/>
              </w:rPr>
              <w:t>−</w:t>
            </w:r>
            <w:r w:rsidR="00D759DA" w:rsidRPr="003E75D7">
              <w:rPr>
                <w:rFonts w:ascii="Arial" w:hAnsi="Arial" w:cs="Arial"/>
                <w:color w:val="000000"/>
                <w:sz w:val="19"/>
                <w:szCs w:val="19"/>
              </w:rPr>
              <w:t>1.73</w:t>
            </w:r>
          </w:p>
        </w:tc>
        <w:tc>
          <w:tcPr>
            <w:tcW w:w="2070" w:type="dxa"/>
            <w:tcBorders>
              <w:top w:val="nil"/>
              <w:left w:val="nil"/>
              <w:bottom w:val="single" w:sz="4" w:space="0" w:color="auto"/>
              <w:right w:val="single" w:sz="4" w:space="0" w:color="auto"/>
            </w:tcBorders>
            <w:shd w:val="clear" w:color="auto" w:fill="auto"/>
            <w:noWrap/>
            <w:hideMark/>
          </w:tcPr>
          <w:p w14:paraId="196A41EB"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19.03</w:t>
            </w:r>
          </w:p>
        </w:tc>
      </w:tr>
      <w:tr w:rsidR="00D759DA" w:rsidRPr="003E75D7" w14:paraId="301A7745" w14:textId="77777777" w:rsidTr="00057C3E">
        <w:trPr>
          <w:trHeight w:val="206"/>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002E0551" w14:textId="28448CE9"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2005</w:t>
            </w:r>
            <w:r w:rsidR="005602A5" w:rsidRPr="003E75D7">
              <w:rPr>
                <w:rFonts w:ascii="Arial" w:hAnsi="Arial" w:cs="Arial"/>
                <w:color w:val="000000"/>
                <w:sz w:val="19"/>
                <w:szCs w:val="19"/>
              </w:rPr>
              <w:t>–</w:t>
            </w:r>
            <w:r w:rsidRPr="003E75D7">
              <w:rPr>
                <w:rFonts w:ascii="Arial" w:hAnsi="Arial" w:cs="Arial"/>
                <w:color w:val="000000"/>
                <w:sz w:val="19"/>
                <w:szCs w:val="19"/>
              </w:rPr>
              <w:t>06</w:t>
            </w:r>
          </w:p>
        </w:tc>
        <w:tc>
          <w:tcPr>
            <w:tcW w:w="1260" w:type="dxa"/>
            <w:tcBorders>
              <w:top w:val="nil"/>
              <w:left w:val="nil"/>
              <w:bottom w:val="single" w:sz="4" w:space="0" w:color="auto"/>
              <w:right w:val="single" w:sz="4" w:space="0" w:color="auto"/>
            </w:tcBorders>
            <w:shd w:val="clear" w:color="auto" w:fill="auto"/>
            <w:noWrap/>
            <w:hideMark/>
          </w:tcPr>
          <w:p w14:paraId="008E976C"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95.37</w:t>
            </w:r>
          </w:p>
        </w:tc>
        <w:tc>
          <w:tcPr>
            <w:tcW w:w="1535" w:type="dxa"/>
            <w:tcBorders>
              <w:top w:val="nil"/>
              <w:left w:val="nil"/>
              <w:bottom w:val="single" w:sz="4" w:space="0" w:color="auto"/>
              <w:right w:val="single" w:sz="4" w:space="0" w:color="auto"/>
            </w:tcBorders>
            <w:shd w:val="clear" w:color="auto" w:fill="auto"/>
            <w:noWrap/>
            <w:hideMark/>
          </w:tcPr>
          <w:p w14:paraId="7953B70A"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0.48</w:t>
            </w:r>
          </w:p>
        </w:tc>
        <w:tc>
          <w:tcPr>
            <w:tcW w:w="2070" w:type="dxa"/>
            <w:tcBorders>
              <w:top w:val="nil"/>
              <w:left w:val="nil"/>
              <w:bottom w:val="single" w:sz="4" w:space="0" w:color="auto"/>
              <w:right w:val="single" w:sz="4" w:space="0" w:color="auto"/>
            </w:tcBorders>
            <w:shd w:val="clear" w:color="auto" w:fill="auto"/>
            <w:noWrap/>
            <w:hideMark/>
          </w:tcPr>
          <w:p w14:paraId="1BA1FAAD"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18.83</w:t>
            </w:r>
          </w:p>
        </w:tc>
      </w:tr>
      <w:tr w:rsidR="00D759DA" w:rsidRPr="003E75D7" w14:paraId="470957D6" w14:textId="77777777" w:rsidTr="00057C3E">
        <w:trPr>
          <w:trHeight w:val="242"/>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025E634B" w14:textId="68DE9684"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2006</w:t>
            </w:r>
            <w:r w:rsidR="005602A5" w:rsidRPr="003E75D7">
              <w:rPr>
                <w:rFonts w:ascii="Arial" w:hAnsi="Arial" w:cs="Arial"/>
                <w:color w:val="000000"/>
                <w:sz w:val="19"/>
                <w:szCs w:val="19"/>
              </w:rPr>
              <w:t>–0</w:t>
            </w:r>
            <w:r w:rsidRPr="003E75D7">
              <w:rPr>
                <w:rFonts w:ascii="Arial" w:hAnsi="Arial" w:cs="Arial"/>
                <w:color w:val="000000"/>
                <w:sz w:val="19"/>
                <w:szCs w:val="19"/>
              </w:rPr>
              <w:t>7</w:t>
            </w:r>
          </w:p>
        </w:tc>
        <w:tc>
          <w:tcPr>
            <w:tcW w:w="1260" w:type="dxa"/>
            <w:tcBorders>
              <w:top w:val="nil"/>
              <w:left w:val="nil"/>
              <w:bottom w:val="single" w:sz="4" w:space="0" w:color="auto"/>
              <w:right w:val="single" w:sz="4" w:space="0" w:color="auto"/>
            </w:tcBorders>
            <w:shd w:val="clear" w:color="auto" w:fill="auto"/>
            <w:noWrap/>
            <w:hideMark/>
          </w:tcPr>
          <w:p w14:paraId="7A13E3D3" w14:textId="659DF129"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117.9</w:t>
            </w:r>
            <w:r w:rsidR="005602A5" w:rsidRPr="003E75D7">
              <w:rPr>
                <w:rFonts w:ascii="Arial" w:hAnsi="Arial" w:cs="Arial"/>
                <w:color w:val="000000"/>
                <w:sz w:val="19"/>
                <w:szCs w:val="19"/>
              </w:rPr>
              <w:t>0</w:t>
            </w:r>
          </w:p>
        </w:tc>
        <w:tc>
          <w:tcPr>
            <w:tcW w:w="1535" w:type="dxa"/>
            <w:tcBorders>
              <w:top w:val="nil"/>
              <w:left w:val="nil"/>
              <w:bottom w:val="single" w:sz="4" w:space="0" w:color="auto"/>
              <w:right w:val="single" w:sz="4" w:space="0" w:color="auto"/>
            </w:tcBorders>
            <w:shd w:val="clear" w:color="auto" w:fill="auto"/>
            <w:noWrap/>
            <w:hideMark/>
          </w:tcPr>
          <w:p w14:paraId="6817FC9B"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0.61</w:t>
            </w:r>
          </w:p>
        </w:tc>
        <w:tc>
          <w:tcPr>
            <w:tcW w:w="2070" w:type="dxa"/>
            <w:tcBorders>
              <w:top w:val="nil"/>
              <w:left w:val="nil"/>
              <w:bottom w:val="single" w:sz="4" w:space="0" w:color="auto"/>
              <w:right w:val="single" w:sz="4" w:space="0" w:color="auto"/>
            </w:tcBorders>
            <w:shd w:val="clear" w:color="auto" w:fill="auto"/>
            <w:noWrap/>
            <w:hideMark/>
          </w:tcPr>
          <w:p w14:paraId="7B42A6E3"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17.82</w:t>
            </w:r>
          </w:p>
        </w:tc>
      </w:tr>
      <w:tr w:rsidR="00D759DA" w:rsidRPr="003E75D7" w14:paraId="187D19DC" w14:textId="77777777" w:rsidTr="00057C3E">
        <w:trPr>
          <w:trHeight w:val="179"/>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4C7B92DE" w14:textId="3E4137EB"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2007</w:t>
            </w:r>
            <w:r w:rsidR="005602A5" w:rsidRPr="003E75D7">
              <w:rPr>
                <w:rFonts w:ascii="Arial" w:hAnsi="Arial" w:cs="Arial"/>
                <w:color w:val="000000"/>
                <w:sz w:val="19"/>
                <w:szCs w:val="19"/>
              </w:rPr>
              <w:t>–</w:t>
            </w:r>
            <w:r w:rsidRPr="003E75D7">
              <w:rPr>
                <w:rFonts w:ascii="Arial" w:hAnsi="Arial" w:cs="Arial"/>
                <w:color w:val="000000"/>
                <w:sz w:val="19"/>
                <w:szCs w:val="19"/>
              </w:rPr>
              <w:t>08</w:t>
            </w:r>
          </w:p>
        </w:tc>
        <w:tc>
          <w:tcPr>
            <w:tcW w:w="1260" w:type="dxa"/>
            <w:tcBorders>
              <w:top w:val="nil"/>
              <w:left w:val="nil"/>
              <w:bottom w:val="single" w:sz="4" w:space="0" w:color="auto"/>
              <w:right w:val="single" w:sz="4" w:space="0" w:color="auto"/>
            </w:tcBorders>
            <w:shd w:val="clear" w:color="auto" w:fill="auto"/>
            <w:noWrap/>
            <w:hideMark/>
          </w:tcPr>
          <w:p w14:paraId="3BBE3E98"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150.77</w:t>
            </w:r>
          </w:p>
        </w:tc>
        <w:tc>
          <w:tcPr>
            <w:tcW w:w="1535" w:type="dxa"/>
            <w:tcBorders>
              <w:top w:val="nil"/>
              <w:left w:val="nil"/>
              <w:bottom w:val="single" w:sz="4" w:space="0" w:color="auto"/>
              <w:right w:val="single" w:sz="4" w:space="0" w:color="auto"/>
            </w:tcBorders>
            <w:shd w:val="clear" w:color="auto" w:fill="auto"/>
            <w:noWrap/>
            <w:hideMark/>
          </w:tcPr>
          <w:p w14:paraId="0C740EEF"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3.07</w:t>
            </w:r>
          </w:p>
        </w:tc>
        <w:tc>
          <w:tcPr>
            <w:tcW w:w="2070" w:type="dxa"/>
            <w:tcBorders>
              <w:top w:val="nil"/>
              <w:left w:val="nil"/>
              <w:bottom w:val="single" w:sz="4" w:space="0" w:color="auto"/>
              <w:right w:val="single" w:sz="4" w:space="0" w:color="auto"/>
            </w:tcBorders>
            <w:shd w:val="clear" w:color="auto" w:fill="auto"/>
            <w:hideMark/>
          </w:tcPr>
          <w:p w14:paraId="5B6DA5C3"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16.95</w:t>
            </w:r>
          </w:p>
        </w:tc>
      </w:tr>
      <w:tr w:rsidR="00D759DA" w:rsidRPr="003E75D7" w14:paraId="3C4D9867" w14:textId="77777777" w:rsidTr="00057C3E">
        <w:trPr>
          <w:trHeight w:val="215"/>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1255D59B" w14:textId="670B16C6"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2008</w:t>
            </w:r>
            <w:r w:rsidR="005602A5" w:rsidRPr="003E75D7">
              <w:rPr>
                <w:rFonts w:ascii="Arial" w:hAnsi="Arial" w:cs="Arial"/>
                <w:color w:val="000000"/>
                <w:sz w:val="19"/>
                <w:szCs w:val="19"/>
              </w:rPr>
              <w:t>–</w:t>
            </w:r>
            <w:r w:rsidRPr="003E75D7">
              <w:rPr>
                <w:rFonts w:ascii="Arial" w:hAnsi="Arial" w:cs="Arial"/>
                <w:color w:val="000000"/>
                <w:sz w:val="19"/>
                <w:szCs w:val="19"/>
              </w:rPr>
              <w:t>09</w:t>
            </w:r>
          </w:p>
        </w:tc>
        <w:tc>
          <w:tcPr>
            <w:tcW w:w="1260" w:type="dxa"/>
            <w:tcBorders>
              <w:top w:val="nil"/>
              <w:left w:val="nil"/>
              <w:bottom w:val="single" w:sz="4" w:space="0" w:color="auto"/>
              <w:right w:val="single" w:sz="4" w:space="0" w:color="auto"/>
            </w:tcBorders>
            <w:shd w:val="clear" w:color="auto" w:fill="auto"/>
            <w:noWrap/>
            <w:hideMark/>
          </w:tcPr>
          <w:p w14:paraId="01F05622" w14:textId="773999E4"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135</w:t>
            </w:r>
            <w:r w:rsidR="005602A5" w:rsidRPr="003E75D7">
              <w:rPr>
                <w:rFonts w:ascii="Arial" w:hAnsi="Arial" w:cs="Arial"/>
                <w:color w:val="000000"/>
                <w:sz w:val="19"/>
                <w:szCs w:val="19"/>
              </w:rPr>
              <w:t>.00</w:t>
            </w:r>
          </w:p>
        </w:tc>
        <w:tc>
          <w:tcPr>
            <w:tcW w:w="1535" w:type="dxa"/>
            <w:tcBorders>
              <w:top w:val="nil"/>
              <w:left w:val="nil"/>
              <w:bottom w:val="single" w:sz="4" w:space="0" w:color="auto"/>
              <w:right w:val="single" w:sz="4" w:space="0" w:color="auto"/>
            </w:tcBorders>
            <w:shd w:val="clear" w:color="auto" w:fill="auto"/>
            <w:noWrap/>
            <w:hideMark/>
          </w:tcPr>
          <w:p w14:paraId="7C24FA04"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3.59</w:t>
            </w:r>
          </w:p>
        </w:tc>
        <w:tc>
          <w:tcPr>
            <w:tcW w:w="2070" w:type="dxa"/>
            <w:tcBorders>
              <w:top w:val="nil"/>
              <w:left w:val="nil"/>
              <w:bottom w:val="single" w:sz="4" w:space="0" w:color="auto"/>
              <w:right w:val="single" w:sz="4" w:space="0" w:color="auto"/>
            </w:tcBorders>
            <w:shd w:val="clear" w:color="auto" w:fill="auto"/>
            <w:hideMark/>
          </w:tcPr>
          <w:p w14:paraId="319856FB"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11.25</w:t>
            </w:r>
          </w:p>
        </w:tc>
      </w:tr>
      <w:tr w:rsidR="00D759DA" w:rsidRPr="003E75D7" w14:paraId="49B91D4C" w14:textId="77777777" w:rsidTr="00057C3E">
        <w:trPr>
          <w:trHeight w:val="170"/>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07DC6A42" w14:textId="2F75930E"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2009</w:t>
            </w:r>
            <w:r w:rsidR="005602A5" w:rsidRPr="003E75D7">
              <w:rPr>
                <w:rFonts w:ascii="Arial" w:hAnsi="Arial" w:cs="Arial"/>
                <w:color w:val="000000"/>
                <w:sz w:val="19"/>
                <w:szCs w:val="19"/>
              </w:rPr>
              <w:t>–</w:t>
            </w:r>
            <w:r w:rsidRPr="003E75D7">
              <w:rPr>
                <w:rFonts w:ascii="Arial" w:hAnsi="Arial" w:cs="Arial"/>
                <w:color w:val="000000"/>
                <w:sz w:val="19"/>
                <w:szCs w:val="19"/>
              </w:rPr>
              <w:t>10</w:t>
            </w:r>
          </w:p>
        </w:tc>
        <w:tc>
          <w:tcPr>
            <w:tcW w:w="1260" w:type="dxa"/>
            <w:tcBorders>
              <w:top w:val="nil"/>
              <w:left w:val="nil"/>
              <w:bottom w:val="single" w:sz="4" w:space="0" w:color="auto"/>
              <w:right w:val="single" w:sz="4" w:space="0" w:color="auto"/>
            </w:tcBorders>
            <w:shd w:val="clear" w:color="auto" w:fill="auto"/>
            <w:noWrap/>
            <w:hideMark/>
          </w:tcPr>
          <w:p w14:paraId="2DE51A5A" w14:textId="77D1C486"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154.3</w:t>
            </w:r>
            <w:r w:rsidR="005602A5" w:rsidRPr="003E75D7">
              <w:rPr>
                <w:rFonts w:ascii="Arial" w:hAnsi="Arial" w:cs="Arial"/>
                <w:color w:val="000000"/>
                <w:sz w:val="19"/>
                <w:szCs w:val="19"/>
              </w:rPr>
              <w:t>0</w:t>
            </w:r>
          </w:p>
        </w:tc>
        <w:tc>
          <w:tcPr>
            <w:tcW w:w="1535" w:type="dxa"/>
            <w:tcBorders>
              <w:top w:val="nil"/>
              <w:left w:val="nil"/>
              <w:bottom w:val="single" w:sz="4" w:space="0" w:color="auto"/>
              <w:right w:val="single" w:sz="4" w:space="0" w:color="auto"/>
            </w:tcBorders>
            <w:shd w:val="clear" w:color="auto" w:fill="auto"/>
            <w:noWrap/>
            <w:hideMark/>
          </w:tcPr>
          <w:p w14:paraId="4930C743"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4.64</w:t>
            </w:r>
          </w:p>
        </w:tc>
        <w:tc>
          <w:tcPr>
            <w:tcW w:w="2070" w:type="dxa"/>
            <w:tcBorders>
              <w:top w:val="nil"/>
              <w:left w:val="nil"/>
              <w:bottom w:val="single" w:sz="4" w:space="0" w:color="auto"/>
              <w:right w:val="single" w:sz="4" w:space="0" w:color="auto"/>
            </w:tcBorders>
            <w:shd w:val="clear" w:color="auto" w:fill="auto"/>
            <w:noWrap/>
            <w:hideMark/>
          </w:tcPr>
          <w:p w14:paraId="6F5923A3"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6.27</w:t>
            </w:r>
          </w:p>
        </w:tc>
      </w:tr>
      <w:tr w:rsidR="00D759DA" w:rsidRPr="003E75D7" w14:paraId="22486BF4" w14:textId="77777777" w:rsidTr="00057C3E">
        <w:trPr>
          <w:trHeight w:val="206"/>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5DA5DAD4" w14:textId="4C9753DB"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2010</w:t>
            </w:r>
            <w:r w:rsidR="005602A5" w:rsidRPr="003E75D7">
              <w:rPr>
                <w:rFonts w:ascii="Arial" w:hAnsi="Arial" w:cs="Arial"/>
                <w:color w:val="000000"/>
                <w:sz w:val="19"/>
                <w:szCs w:val="19"/>
              </w:rPr>
              <w:t>–</w:t>
            </w:r>
            <w:r w:rsidRPr="003E75D7">
              <w:rPr>
                <w:rFonts w:ascii="Arial" w:hAnsi="Arial" w:cs="Arial"/>
                <w:color w:val="000000"/>
                <w:sz w:val="19"/>
                <w:szCs w:val="19"/>
              </w:rPr>
              <w:t>11</w:t>
            </w:r>
          </w:p>
        </w:tc>
        <w:tc>
          <w:tcPr>
            <w:tcW w:w="1260" w:type="dxa"/>
            <w:tcBorders>
              <w:top w:val="nil"/>
              <w:left w:val="nil"/>
              <w:bottom w:val="single" w:sz="4" w:space="0" w:color="auto"/>
              <w:right w:val="single" w:sz="4" w:space="0" w:color="auto"/>
            </w:tcBorders>
            <w:shd w:val="clear" w:color="auto" w:fill="auto"/>
            <w:noWrap/>
            <w:vAlign w:val="center"/>
            <w:hideMark/>
          </w:tcPr>
          <w:p w14:paraId="3EC8D846"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43.45</w:t>
            </w:r>
          </w:p>
        </w:tc>
        <w:tc>
          <w:tcPr>
            <w:tcW w:w="1535" w:type="dxa"/>
            <w:tcBorders>
              <w:top w:val="nil"/>
              <w:left w:val="nil"/>
              <w:bottom w:val="single" w:sz="4" w:space="0" w:color="auto"/>
              <w:right w:val="single" w:sz="4" w:space="0" w:color="auto"/>
            </w:tcBorders>
            <w:shd w:val="clear" w:color="auto" w:fill="auto"/>
            <w:noWrap/>
            <w:hideMark/>
          </w:tcPr>
          <w:p w14:paraId="3A1DC66E"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6.53</w:t>
            </w:r>
          </w:p>
        </w:tc>
        <w:tc>
          <w:tcPr>
            <w:tcW w:w="2070" w:type="dxa"/>
            <w:tcBorders>
              <w:top w:val="nil"/>
              <w:left w:val="nil"/>
              <w:bottom w:val="single" w:sz="4" w:space="0" w:color="auto"/>
              <w:right w:val="single" w:sz="4" w:space="0" w:color="auto"/>
            </w:tcBorders>
            <w:shd w:val="clear" w:color="auto" w:fill="auto"/>
            <w:hideMark/>
          </w:tcPr>
          <w:p w14:paraId="23522B00"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3.69</w:t>
            </w:r>
          </w:p>
        </w:tc>
      </w:tr>
      <w:tr w:rsidR="00D759DA" w:rsidRPr="003E75D7" w14:paraId="679EC423" w14:textId="77777777" w:rsidTr="00057C3E">
        <w:trPr>
          <w:trHeight w:val="242"/>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4F623805" w14:textId="6478D53E"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2011</w:t>
            </w:r>
            <w:r w:rsidR="005602A5" w:rsidRPr="003E75D7">
              <w:rPr>
                <w:rFonts w:ascii="Arial" w:hAnsi="Arial" w:cs="Arial"/>
                <w:color w:val="000000"/>
                <w:sz w:val="19"/>
                <w:szCs w:val="19"/>
              </w:rPr>
              <w:t>–</w:t>
            </w:r>
            <w:r w:rsidRPr="003E75D7">
              <w:rPr>
                <w:rFonts w:ascii="Arial" w:hAnsi="Arial" w:cs="Arial"/>
                <w:color w:val="000000"/>
                <w:sz w:val="19"/>
                <w:szCs w:val="19"/>
              </w:rPr>
              <w:t>12</w:t>
            </w:r>
          </w:p>
        </w:tc>
        <w:tc>
          <w:tcPr>
            <w:tcW w:w="1260" w:type="dxa"/>
            <w:tcBorders>
              <w:top w:val="nil"/>
              <w:left w:val="nil"/>
              <w:bottom w:val="single" w:sz="4" w:space="0" w:color="auto"/>
              <w:right w:val="single" w:sz="4" w:space="0" w:color="auto"/>
            </w:tcBorders>
            <w:shd w:val="clear" w:color="auto" w:fill="auto"/>
            <w:noWrap/>
            <w:hideMark/>
          </w:tcPr>
          <w:p w14:paraId="060C037E"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45.47</w:t>
            </w:r>
          </w:p>
        </w:tc>
        <w:tc>
          <w:tcPr>
            <w:tcW w:w="1535" w:type="dxa"/>
            <w:tcBorders>
              <w:top w:val="nil"/>
              <w:left w:val="nil"/>
              <w:bottom w:val="single" w:sz="4" w:space="0" w:color="auto"/>
              <w:right w:val="single" w:sz="4" w:space="0" w:color="auto"/>
            </w:tcBorders>
            <w:shd w:val="clear" w:color="auto" w:fill="auto"/>
            <w:noWrap/>
            <w:hideMark/>
          </w:tcPr>
          <w:p w14:paraId="15EEACED" w14:textId="709EDAE4"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1.1</w:t>
            </w:r>
            <w:r w:rsidR="005602A5" w:rsidRPr="003E75D7">
              <w:rPr>
                <w:rFonts w:ascii="Arial" w:hAnsi="Arial" w:cs="Arial"/>
                <w:color w:val="000000"/>
                <w:sz w:val="19"/>
                <w:szCs w:val="19"/>
              </w:rPr>
              <w:t>0</w:t>
            </w:r>
          </w:p>
        </w:tc>
        <w:tc>
          <w:tcPr>
            <w:tcW w:w="2070" w:type="dxa"/>
            <w:tcBorders>
              <w:top w:val="nil"/>
              <w:left w:val="nil"/>
              <w:bottom w:val="single" w:sz="4" w:space="0" w:color="auto"/>
              <w:right w:val="single" w:sz="4" w:space="0" w:color="auto"/>
            </w:tcBorders>
            <w:shd w:val="clear" w:color="auto" w:fill="auto"/>
            <w:hideMark/>
          </w:tcPr>
          <w:p w14:paraId="006CC3C3" w14:textId="19404CEC"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2.4</w:t>
            </w:r>
            <w:r w:rsidR="005602A5" w:rsidRPr="003E75D7">
              <w:rPr>
                <w:rFonts w:ascii="Arial" w:hAnsi="Arial" w:cs="Arial"/>
                <w:color w:val="000000"/>
                <w:sz w:val="19"/>
                <w:szCs w:val="19"/>
              </w:rPr>
              <w:t>0</w:t>
            </w:r>
          </w:p>
        </w:tc>
      </w:tr>
      <w:tr w:rsidR="00D759DA" w:rsidRPr="003E75D7" w14:paraId="49D511FD" w14:textId="77777777" w:rsidTr="00057C3E">
        <w:trPr>
          <w:trHeight w:val="170"/>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50D76AAD" w14:textId="0A999FD1"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2012</w:t>
            </w:r>
            <w:r w:rsidR="005602A5" w:rsidRPr="003E75D7">
              <w:rPr>
                <w:rFonts w:ascii="Arial" w:hAnsi="Arial" w:cs="Arial"/>
                <w:color w:val="000000"/>
                <w:sz w:val="19"/>
                <w:szCs w:val="19"/>
              </w:rPr>
              <w:t>–</w:t>
            </w:r>
            <w:r w:rsidRPr="003E75D7">
              <w:rPr>
                <w:rFonts w:ascii="Arial" w:hAnsi="Arial" w:cs="Arial"/>
                <w:color w:val="000000"/>
                <w:sz w:val="19"/>
                <w:szCs w:val="19"/>
              </w:rPr>
              <w:t>13</w:t>
            </w:r>
          </w:p>
        </w:tc>
        <w:tc>
          <w:tcPr>
            <w:tcW w:w="1260" w:type="dxa"/>
            <w:tcBorders>
              <w:top w:val="nil"/>
              <w:left w:val="nil"/>
              <w:bottom w:val="single" w:sz="4" w:space="0" w:color="auto"/>
              <w:right w:val="single" w:sz="4" w:space="0" w:color="auto"/>
            </w:tcBorders>
            <w:shd w:val="clear" w:color="auto" w:fill="auto"/>
            <w:noWrap/>
            <w:hideMark/>
          </w:tcPr>
          <w:p w14:paraId="73244CBB"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44.97</w:t>
            </w:r>
          </w:p>
        </w:tc>
        <w:tc>
          <w:tcPr>
            <w:tcW w:w="1535" w:type="dxa"/>
            <w:tcBorders>
              <w:top w:val="nil"/>
              <w:left w:val="nil"/>
              <w:bottom w:val="single" w:sz="4" w:space="0" w:color="auto"/>
              <w:right w:val="single" w:sz="4" w:space="0" w:color="auto"/>
            </w:tcBorders>
            <w:shd w:val="clear" w:color="auto" w:fill="auto"/>
            <w:noWrap/>
            <w:hideMark/>
          </w:tcPr>
          <w:p w14:paraId="52A092A0"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2.61</w:t>
            </w:r>
          </w:p>
        </w:tc>
        <w:tc>
          <w:tcPr>
            <w:tcW w:w="2070" w:type="dxa"/>
            <w:tcBorders>
              <w:top w:val="nil"/>
              <w:left w:val="nil"/>
              <w:bottom w:val="single" w:sz="4" w:space="0" w:color="auto"/>
              <w:right w:val="single" w:sz="4" w:space="0" w:color="auto"/>
            </w:tcBorders>
            <w:shd w:val="clear" w:color="auto" w:fill="auto"/>
            <w:hideMark/>
          </w:tcPr>
          <w:p w14:paraId="7525E527"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w:t>
            </w:r>
          </w:p>
        </w:tc>
      </w:tr>
      <w:tr w:rsidR="00D759DA" w:rsidRPr="003E75D7" w14:paraId="3B3E02CE" w14:textId="77777777" w:rsidTr="00057C3E">
        <w:trPr>
          <w:trHeight w:val="206"/>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0E1FE477" w14:textId="4294C4CE"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2013</w:t>
            </w:r>
            <w:r w:rsidR="005602A5" w:rsidRPr="003E75D7">
              <w:rPr>
                <w:rFonts w:ascii="Arial" w:hAnsi="Arial" w:cs="Arial"/>
                <w:color w:val="000000"/>
                <w:sz w:val="19"/>
                <w:szCs w:val="19"/>
              </w:rPr>
              <w:t>–</w:t>
            </w:r>
            <w:r w:rsidRPr="003E75D7">
              <w:rPr>
                <w:rFonts w:ascii="Arial" w:hAnsi="Arial" w:cs="Arial"/>
                <w:color w:val="000000"/>
                <w:sz w:val="19"/>
                <w:szCs w:val="19"/>
              </w:rPr>
              <w:t>14</w:t>
            </w:r>
          </w:p>
        </w:tc>
        <w:tc>
          <w:tcPr>
            <w:tcW w:w="1260" w:type="dxa"/>
            <w:tcBorders>
              <w:top w:val="nil"/>
              <w:left w:val="nil"/>
              <w:bottom w:val="single" w:sz="4" w:space="0" w:color="auto"/>
              <w:right w:val="single" w:sz="4" w:space="0" w:color="auto"/>
            </w:tcBorders>
            <w:shd w:val="clear" w:color="auto" w:fill="auto"/>
            <w:noWrap/>
            <w:hideMark/>
          </w:tcPr>
          <w:p w14:paraId="788C5CA1"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49.82</w:t>
            </w:r>
          </w:p>
        </w:tc>
        <w:tc>
          <w:tcPr>
            <w:tcW w:w="1535" w:type="dxa"/>
            <w:tcBorders>
              <w:top w:val="nil"/>
              <w:left w:val="nil"/>
              <w:bottom w:val="single" w:sz="4" w:space="0" w:color="auto"/>
              <w:right w:val="single" w:sz="4" w:space="0" w:color="auto"/>
            </w:tcBorders>
            <w:shd w:val="clear" w:color="auto" w:fill="auto"/>
            <w:noWrap/>
            <w:hideMark/>
          </w:tcPr>
          <w:p w14:paraId="3BCA7D8E"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1.68</w:t>
            </w:r>
          </w:p>
        </w:tc>
        <w:tc>
          <w:tcPr>
            <w:tcW w:w="2070" w:type="dxa"/>
            <w:tcBorders>
              <w:top w:val="nil"/>
              <w:left w:val="nil"/>
              <w:bottom w:val="single" w:sz="4" w:space="0" w:color="auto"/>
              <w:right w:val="single" w:sz="4" w:space="0" w:color="auto"/>
            </w:tcBorders>
            <w:shd w:val="clear" w:color="auto" w:fill="auto"/>
            <w:hideMark/>
          </w:tcPr>
          <w:p w14:paraId="623F8E2B"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w:t>
            </w:r>
          </w:p>
        </w:tc>
      </w:tr>
      <w:tr w:rsidR="00D759DA" w:rsidRPr="003E75D7" w14:paraId="352EA49D" w14:textId="77777777" w:rsidTr="00057C3E">
        <w:trPr>
          <w:trHeight w:val="170"/>
          <w:jc w:val="center"/>
        </w:trPr>
        <w:tc>
          <w:tcPr>
            <w:tcW w:w="1345" w:type="dxa"/>
            <w:tcBorders>
              <w:top w:val="nil"/>
              <w:left w:val="single" w:sz="4" w:space="0" w:color="auto"/>
              <w:bottom w:val="single" w:sz="4" w:space="0" w:color="auto"/>
              <w:right w:val="single" w:sz="4" w:space="0" w:color="auto"/>
            </w:tcBorders>
            <w:shd w:val="clear" w:color="auto" w:fill="auto"/>
            <w:noWrap/>
            <w:hideMark/>
          </w:tcPr>
          <w:p w14:paraId="54FE63FD" w14:textId="604EEF4C" w:rsidR="00D759DA" w:rsidRPr="003E75D7" w:rsidRDefault="00D759DA" w:rsidP="00471732">
            <w:pPr>
              <w:rPr>
                <w:rFonts w:ascii="Arial" w:hAnsi="Arial" w:cs="Arial"/>
                <w:color w:val="000000"/>
                <w:sz w:val="19"/>
                <w:szCs w:val="19"/>
              </w:rPr>
            </w:pPr>
            <w:r w:rsidRPr="003E75D7">
              <w:rPr>
                <w:rFonts w:ascii="Arial" w:hAnsi="Arial" w:cs="Arial"/>
                <w:color w:val="000000"/>
                <w:sz w:val="19"/>
                <w:szCs w:val="19"/>
              </w:rPr>
              <w:t>2014</w:t>
            </w:r>
            <w:r w:rsidR="005602A5" w:rsidRPr="003E75D7">
              <w:rPr>
                <w:rFonts w:ascii="Arial" w:hAnsi="Arial" w:cs="Arial"/>
                <w:color w:val="000000"/>
                <w:sz w:val="19"/>
                <w:szCs w:val="19"/>
              </w:rPr>
              <w:t>–</w:t>
            </w:r>
            <w:r w:rsidRPr="003E75D7">
              <w:rPr>
                <w:rFonts w:ascii="Arial" w:hAnsi="Arial" w:cs="Arial"/>
                <w:color w:val="000000"/>
                <w:sz w:val="19"/>
                <w:szCs w:val="19"/>
              </w:rPr>
              <w:t>15</w:t>
            </w:r>
          </w:p>
        </w:tc>
        <w:tc>
          <w:tcPr>
            <w:tcW w:w="1260" w:type="dxa"/>
            <w:tcBorders>
              <w:top w:val="nil"/>
              <w:left w:val="nil"/>
              <w:bottom w:val="single" w:sz="4" w:space="0" w:color="auto"/>
              <w:right w:val="single" w:sz="4" w:space="0" w:color="auto"/>
            </w:tcBorders>
            <w:shd w:val="clear" w:color="auto" w:fill="auto"/>
            <w:noWrap/>
            <w:hideMark/>
          </w:tcPr>
          <w:p w14:paraId="3E4EC1DE"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50.14</w:t>
            </w:r>
          </w:p>
        </w:tc>
        <w:tc>
          <w:tcPr>
            <w:tcW w:w="1535" w:type="dxa"/>
            <w:tcBorders>
              <w:top w:val="nil"/>
              <w:left w:val="nil"/>
              <w:bottom w:val="single" w:sz="4" w:space="0" w:color="auto"/>
              <w:right w:val="single" w:sz="4" w:space="0" w:color="auto"/>
            </w:tcBorders>
            <w:shd w:val="clear" w:color="auto" w:fill="auto"/>
            <w:noWrap/>
            <w:hideMark/>
          </w:tcPr>
          <w:p w14:paraId="6E703D22"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0.46</w:t>
            </w:r>
          </w:p>
        </w:tc>
        <w:tc>
          <w:tcPr>
            <w:tcW w:w="2070" w:type="dxa"/>
            <w:tcBorders>
              <w:top w:val="nil"/>
              <w:left w:val="nil"/>
              <w:bottom w:val="single" w:sz="4" w:space="0" w:color="auto"/>
              <w:right w:val="single" w:sz="4" w:space="0" w:color="auto"/>
            </w:tcBorders>
            <w:shd w:val="clear" w:color="auto" w:fill="auto"/>
            <w:hideMark/>
          </w:tcPr>
          <w:p w14:paraId="62E6393C" w14:textId="77777777" w:rsidR="00D759DA" w:rsidRPr="003E75D7" w:rsidRDefault="00D759DA" w:rsidP="00932528">
            <w:pPr>
              <w:jc w:val="right"/>
              <w:rPr>
                <w:rFonts w:ascii="Arial" w:hAnsi="Arial" w:cs="Arial"/>
                <w:color w:val="000000"/>
                <w:sz w:val="19"/>
                <w:szCs w:val="19"/>
              </w:rPr>
            </w:pPr>
            <w:r w:rsidRPr="003E75D7">
              <w:rPr>
                <w:rFonts w:ascii="Arial" w:hAnsi="Arial" w:cs="Arial"/>
                <w:color w:val="000000"/>
                <w:sz w:val="19"/>
                <w:szCs w:val="19"/>
              </w:rPr>
              <w:t>-</w:t>
            </w:r>
          </w:p>
        </w:tc>
      </w:tr>
    </w:tbl>
    <w:p w14:paraId="596DF180" w14:textId="77777777" w:rsidR="00D759DA" w:rsidRPr="003E75D7" w:rsidRDefault="00D759DA" w:rsidP="00471929">
      <w:pPr>
        <w:pStyle w:val="Footnote"/>
        <w:rPr>
          <w:sz w:val="15"/>
        </w:rPr>
      </w:pPr>
    </w:p>
    <w:p w14:paraId="69D6ACDD" w14:textId="02A4FA14" w:rsidR="00D759DA" w:rsidRPr="003E75D7" w:rsidRDefault="00A849D6" w:rsidP="00471929">
      <w:pPr>
        <w:pStyle w:val="Footnote"/>
      </w:pPr>
      <w:r w:rsidRPr="003E75D7">
        <w:t>Note: U.S. dollar amounts were b</w:t>
      </w:r>
      <w:r w:rsidR="00D759DA" w:rsidRPr="003E75D7">
        <w:t xml:space="preserve">ased on the </w:t>
      </w:r>
      <w:r w:rsidRPr="003E75D7">
        <w:t>INR–USD</w:t>
      </w:r>
      <w:r w:rsidR="00D759DA" w:rsidRPr="003E75D7">
        <w:t xml:space="preserve"> exchange rates </w:t>
      </w:r>
      <w:r w:rsidRPr="003E75D7">
        <w:t xml:space="preserve">for </w:t>
      </w:r>
      <w:r w:rsidR="00D759DA" w:rsidRPr="003E75D7">
        <w:t>each year</w:t>
      </w:r>
      <w:r w:rsidR="00471929" w:rsidRPr="003E75D7">
        <w:t>.</w:t>
      </w:r>
    </w:p>
    <w:p w14:paraId="6BB293AB" w14:textId="598C118C" w:rsidR="00D759DA" w:rsidRPr="003E75D7" w:rsidRDefault="00D759DA" w:rsidP="00471929">
      <w:pPr>
        <w:pStyle w:val="Footnote"/>
      </w:pPr>
      <w:r w:rsidRPr="003E75D7">
        <w:t>Source: Co</w:t>
      </w:r>
      <w:r w:rsidR="006C4E55">
        <w:t>mpany files.</w:t>
      </w:r>
    </w:p>
    <w:p w14:paraId="3CD7EADA" w14:textId="77777777" w:rsidR="00D759DA" w:rsidRPr="003E75D7" w:rsidRDefault="00D759DA" w:rsidP="00057C3E">
      <w:pPr>
        <w:pStyle w:val="BodyTextMain"/>
        <w:rPr>
          <w:sz w:val="18"/>
        </w:rPr>
      </w:pPr>
    </w:p>
    <w:p w14:paraId="42597E0B" w14:textId="77777777" w:rsidR="00D759DA" w:rsidRPr="003E75D7" w:rsidRDefault="00D759DA" w:rsidP="00057C3E">
      <w:pPr>
        <w:pStyle w:val="BodyTextMain"/>
        <w:rPr>
          <w:sz w:val="18"/>
        </w:rPr>
      </w:pPr>
    </w:p>
    <w:p w14:paraId="7E454575" w14:textId="7A64C41A" w:rsidR="00D759DA" w:rsidRPr="003E75D7" w:rsidRDefault="00D759DA" w:rsidP="00057C3E">
      <w:pPr>
        <w:pStyle w:val="ExhibitHeading"/>
      </w:pPr>
      <w:r w:rsidRPr="003E75D7">
        <w:t xml:space="preserve">EXHIBIT 4: CO-OPTEX </w:t>
      </w:r>
      <w:r w:rsidR="00A849D6" w:rsidRPr="003E75D7">
        <w:t>Versus</w:t>
      </w:r>
      <w:r w:rsidRPr="003E75D7">
        <w:t xml:space="preserve"> OTHER TOP </w:t>
      </w:r>
      <w:r w:rsidR="007110FF" w:rsidRPr="003E75D7">
        <w:t xml:space="preserve">five </w:t>
      </w:r>
      <w:r w:rsidRPr="003E75D7">
        <w:t>STATE HANDLOOM</w:t>
      </w:r>
      <w:r w:rsidR="00A849D6" w:rsidRPr="003E75D7">
        <w:t xml:space="preserve"> Co-operative</w:t>
      </w:r>
      <w:r w:rsidRPr="003E75D7">
        <w:t>S IN INDIA</w:t>
      </w:r>
    </w:p>
    <w:p w14:paraId="42869510" w14:textId="77777777" w:rsidR="00D759DA" w:rsidRPr="003E75D7" w:rsidRDefault="00D759DA" w:rsidP="007D5348">
      <w:pPr>
        <w:pStyle w:val="BodyTextMain"/>
        <w:rPr>
          <w:sz w:val="16"/>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268"/>
        <w:gridCol w:w="1800"/>
        <w:gridCol w:w="1530"/>
        <w:gridCol w:w="2160"/>
      </w:tblGrid>
      <w:tr w:rsidR="00D759DA" w:rsidRPr="003E75D7" w14:paraId="007ED362" w14:textId="77777777" w:rsidTr="007D5348">
        <w:trPr>
          <w:trHeight w:val="529"/>
        </w:trPr>
        <w:tc>
          <w:tcPr>
            <w:tcW w:w="2268" w:type="dxa"/>
          </w:tcPr>
          <w:p w14:paraId="40114E85" w14:textId="2BF368CF" w:rsidR="00D759DA" w:rsidRPr="003E75D7" w:rsidRDefault="00D759DA" w:rsidP="007C7AED">
            <w:pPr>
              <w:jc w:val="center"/>
              <w:rPr>
                <w:rFonts w:ascii="Arial" w:hAnsi="Arial" w:cs="Arial"/>
                <w:b/>
                <w:sz w:val="19"/>
                <w:szCs w:val="19"/>
              </w:rPr>
            </w:pPr>
            <w:r w:rsidRPr="003E75D7">
              <w:rPr>
                <w:rFonts w:ascii="Arial" w:hAnsi="Arial" w:cs="Arial"/>
                <w:b/>
                <w:sz w:val="19"/>
                <w:szCs w:val="19"/>
              </w:rPr>
              <w:t>Organi</w:t>
            </w:r>
            <w:r w:rsidR="00944D15" w:rsidRPr="003E75D7">
              <w:rPr>
                <w:rFonts w:ascii="Arial" w:hAnsi="Arial" w:cs="Arial"/>
                <w:b/>
                <w:sz w:val="19"/>
                <w:szCs w:val="19"/>
              </w:rPr>
              <w:t>z</w:t>
            </w:r>
            <w:r w:rsidRPr="003E75D7">
              <w:rPr>
                <w:rFonts w:ascii="Arial" w:hAnsi="Arial" w:cs="Arial"/>
                <w:b/>
                <w:sz w:val="19"/>
                <w:szCs w:val="19"/>
              </w:rPr>
              <w:t>ation</w:t>
            </w:r>
            <w:r w:rsidR="007C7AED" w:rsidRPr="003E75D7">
              <w:rPr>
                <w:rFonts w:ascii="Arial" w:hAnsi="Arial" w:cs="Arial"/>
                <w:b/>
                <w:sz w:val="19"/>
                <w:szCs w:val="19"/>
              </w:rPr>
              <w:t>/</w:t>
            </w:r>
            <w:r w:rsidR="00ED6C77" w:rsidRPr="003E75D7">
              <w:rPr>
                <w:rFonts w:ascii="Arial" w:hAnsi="Arial" w:cs="Arial"/>
                <w:b/>
                <w:sz w:val="19"/>
                <w:szCs w:val="19"/>
              </w:rPr>
              <w:t xml:space="preserve">Fiscal </w:t>
            </w:r>
            <w:r w:rsidR="007C7AED" w:rsidRPr="003E75D7">
              <w:rPr>
                <w:rFonts w:ascii="Arial" w:hAnsi="Arial" w:cs="Arial"/>
                <w:b/>
                <w:sz w:val="19"/>
                <w:szCs w:val="19"/>
              </w:rPr>
              <w:t>Year</w:t>
            </w:r>
          </w:p>
        </w:tc>
        <w:tc>
          <w:tcPr>
            <w:tcW w:w="1800" w:type="dxa"/>
          </w:tcPr>
          <w:p w14:paraId="72FE17A2" w14:textId="77777777" w:rsidR="00D759DA" w:rsidRPr="003E75D7" w:rsidRDefault="00D759DA" w:rsidP="003705A1">
            <w:pPr>
              <w:jc w:val="center"/>
              <w:rPr>
                <w:rFonts w:ascii="Arial" w:hAnsi="Arial" w:cs="Arial"/>
                <w:b/>
                <w:sz w:val="19"/>
                <w:szCs w:val="19"/>
              </w:rPr>
            </w:pPr>
            <w:r w:rsidRPr="003E75D7">
              <w:rPr>
                <w:rFonts w:ascii="Arial" w:hAnsi="Arial" w:cs="Arial"/>
                <w:b/>
                <w:sz w:val="19"/>
                <w:szCs w:val="19"/>
              </w:rPr>
              <w:t>Sales</w:t>
            </w:r>
          </w:p>
          <w:p w14:paraId="18DDA175" w14:textId="77777777" w:rsidR="00D759DA" w:rsidRPr="003E75D7" w:rsidRDefault="00D759DA" w:rsidP="003705A1">
            <w:pPr>
              <w:jc w:val="center"/>
              <w:rPr>
                <w:rFonts w:ascii="Arial" w:hAnsi="Arial" w:cs="Arial"/>
                <w:b/>
                <w:sz w:val="19"/>
                <w:szCs w:val="19"/>
              </w:rPr>
            </w:pPr>
            <w:r w:rsidRPr="003E75D7">
              <w:rPr>
                <w:rFonts w:ascii="Arial" w:hAnsi="Arial" w:cs="Arial"/>
                <w:b/>
                <w:sz w:val="19"/>
                <w:szCs w:val="19"/>
              </w:rPr>
              <w:t>(in $ million)</w:t>
            </w:r>
          </w:p>
        </w:tc>
        <w:tc>
          <w:tcPr>
            <w:tcW w:w="1530" w:type="dxa"/>
          </w:tcPr>
          <w:p w14:paraId="0987C5DF" w14:textId="1D66EFD5" w:rsidR="00D759DA" w:rsidRPr="003E75D7" w:rsidRDefault="00D759DA" w:rsidP="003705A1">
            <w:pPr>
              <w:jc w:val="center"/>
              <w:rPr>
                <w:rFonts w:ascii="Arial" w:hAnsi="Arial" w:cs="Arial"/>
                <w:b/>
                <w:sz w:val="19"/>
                <w:szCs w:val="19"/>
              </w:rPr>
            </w:pPr>
            <w:r w:rsidRPr="003E75D7">
              <w:rPr>
                <w:rFonts w:ascii="Arial" w:hAnsi="Arial" w:cs="Arial"/>
                <w:b/>
                <w:sz w:val="19"/>
                <w:szCs w:val="19"/>
              </w:rPr>
              <w:t>Profit/Loss</w:t>
            </w:r>
          </w:p>
          <w:p w14:paraId="38BEB09D" w14:textId="77777777" w:rsidR="00D759DA" w:rsidRPr="003E75D7" w:rsidRDefault="00D759DA" w:rsidP="003705A1">
            <w:pPr>
              <w:jc w:val="center"/>
              <w:rPr>
                <w:rFonts w:ascii="Arial" w:hAnsi="Arial" w:cs="Arial"/>
                <w:b/>
                <w:sz w:val="19"/>
                <w:szCs w:val="19"/>
              </w:rPr>
            </w:pPr>
            <w:r w:rsidRPr="003E75D7">
              <w:rPr>
                <w:rFonts w:ascii="Arial" w:hAnsi="Arial" w:cs="Arial"/>
                <w:b/>
                <w:sz w:val="19"/>
                <w:szCs w:val="19"/>
              </w:rPr>
              <w:t>(in $ million)</w:t>
            </w:r>
          </w:p>
        </w:tc>
        <w:tc>
          <w:tcPr>
            <w:tcW w:w="2160" w:type="dxa"/>
          </w:tcPr>
          <w:p w14:paraId="068A3E25" w14:textId="77777777" w:rsidR="00D759DA" w:rsidRPr="003E75D7" w:rsidRDefault="00D759DA" w:rsidP="003705A1">
            <w:pPr>
              <w:jc w:val="center"/>
              <w:rPr>
                <w:rFonts w:ascii="Arial" w:hAnsi="Arial" w:cs="Arial"/>
                <w:b/>
                <w:sz w:val="19"/>
                <w:szCs w:val="19"/>
              </w:rPr>
            </w:pPr>
            <w:r w:rsidRPr="003E75D7">
              <w:rPr>
                <w:rFonts w:ascii="Arial" w:hAnsi="Arial" w:cs="Arial"/>
                <w:b/>
                <w:sz w:val="19"/>
                <w:szCs w:val="19"/>
              </w:rPr>
              <w:t>No. of Showrooms</w:t>
            </w:r>
          </w:p>
        </w:tc>
      </w:tr>
      <w:tr w:rsidR="00D759DA" w:rsidRPr="003E75D7" w14:paraId="76297D48" w14:textId="77777777" w:rsidTr="003705A1">
        <w:trPr>
          <w:trHeight w:val="135"/>
        </w:trPr>
        <w:tc>
          <w:tcPr>
            <w:tcW w:w="7758" w:type="dxa"/>
            <w:gridSpan w:val="4"/>
            <w:tcBorders>
              <w:bottom w:val="single" w:sz="4" w:space="0" w:color="auto"/>
            </w:tcBorders>
          </w:tcPr>
          <w:p w14:paraId="1C800416" w14:textId="2E3341DC" w:rsidR="00D759DA" w:rsidRPr="003E75D7" w:rsidRDefault="00D759DA" w:rsidP="003705A1">
            <w:pPr>
              <w:jc w:val="center"/>
              <w:rPr>
                <w:rFonts w:ascii="Arial" w:hAnsi="Arial" w:cs="Arial"/>
                <w:sz w:val="19"/>
                <w:szCs w:val="19"/>
              </w:rPr>
            </w:pPr>
            <w:r w:rsidRPr="003E75D7">
              <w:rPr>
                <w:rFonts w:ascii="Arial" w:hAnsi="Arial" w:cs="Arial"/>
                <w:b/>
                <w:sz w:val="19"/>
                <w:szCs w:val="19"/>
              </w:rPr>
              <w:t xml:space="preserve">BOYONIKA (Orissa </w:t>
            </w:r>
            <w:r w:rsidR="007C7AED" w:rsidRPr="003E75D7">
              <w:rPr>
                <w:rFonts w:ascii="Arial" w:hAnsi="Arial" w:cs="Arial"/>
                <w:b/>
                <w:sz w:val="19"/>
                <w:szCs w:val="19"/>
              </w:rPr>
              <w:t>State Handloom Co-Operatives</w:t>
            </w:r>
            <w:r w:rsidRPr="003E75D7">
              <w:rPr>
                <w:rFonts w:ascii="Arial" w:hAnsi="Arial" w:cs="Arial"/>
                <w:b/>
                <w:sz w:val="19"/>
                <w:szCs w:val="19"/>
              </w:rPr>
              <w:t>)</w:t>
            </w:r>
          </w:p>
        </w:tc>
      </w:tr>
      <w:tr w:rsidR="00D759DA" w:rsidRPr="003E75D7" w14:paraId="70CFD349" w14:textId="77777777" w:rsidTr="003705A1">
        <w:trPr>
          <w:trHeight w:val="135"/>
        </w:trPr>
        <w:tc>
          <w:tcPr>
            <w:tcW w:w="2268" w:type="dxa"/>
            <w:tcBorders>
              <w:top w:val="single" w:sz="4" w:space="0" w:color="auto"/>
              <w:bottom w:val="single" w:sz="4" w:space="0" w:color="auto"/>
            </w:tcBorders>
          </w:tcPr>
          <w:p w14:paraId="30B82ED4" w14:textId="34089D60" w:rsidR="00D759DA" w:rsidRPr="003E75D7" w:rsidRDefault="00D759DA" w:rsidP="00471732">
            <w:pPr>
              <w:rPr>
                <w:rFonts w:ascii="Arial" w:hAnsi="Arial" w:cs="Arial"/>
                <w:sz w:val="19"/>
                <w:szCs w:val="19"/>
              </w:rPr>
            </w:pPr>
            <w:r w:rsidRPr="003E75D7">
              <w:rPr>
                <w:rFonts w:ascii="Arial" w:hAnsi="Arial" w:cs="Arial"/>
                <w:sz w:val="19"/>
                <w:szCs w:val="19"/>
              </w:rPr>
              <w:t>2013</w:t>
            </w:r>
            <w:r w:rsidR="007C7AED" w:rsidRPr="003E75D7">
              <w:rPr>
                <w:rFonts w:ascii="Arial" w:hAnsi="Arial" w:cs="Arial"/>
                <w:sz w:val="19"/>
                <w:szCs w:val="19"/>
              </w:rPr>
              <w:t>–</w:t>
            </w:r>
            <w:r w:rsidRPr="003E75D7">
              <w:rPr>
                <w:rFonts w:ascii="Arial" w:hAnsi="Arial" w:cs="Arial"/>
                <w:sz w:val="19"/>
                <w:szCs w:val="19"/>
              </w:rPr>
              <w:t xml:space="preserve">14 </w:t>
            </w:r>
          </w:p>
        </w:tc>
        <w:tc>
          <w:tcPr>
            <w:tcW w:w="1800" w:type="dxa"/>
            <w:tcBorders>
              <w:top w:val="single" w:sz="4" w:space="0" w:color="auto"/>
              <w:bottom w:val="single" w:sz="4" w:space="0" w:color="auto"/>
            </w:tcBorders>
          </w:tcPr>
          <w:p w14:paraId="24E93A08"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12.69</w:t>
            </w:r>
          </w:p>
        </w:tc>
        <w:tc>
          <w:tcPr>
            <w:tcW w:w="1530" w:type="dxa"/>
            <w:tcBorders>
              <w:top w:val="single" w:sz="4" w:space="0" w:color="auto"/>
              <w:bottom w:val="single" w:sz="4" w:space="0" w:color="auto"/>
            </w:tcBorders>
          </w:tcPr>
          <w:p w14:paraId="22641588"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N.A.</w:t>
            </w:r>
          </w:p>
        </w:tc>
        <w:tc>
          <w:tcPr>
            <w:tcW w:w="2160" w:type="dxa"/>
            <w:tcBorders>
              <w:top w:val="single" w:sz="4" w:space="0" w:color="auto"/>
              <w:bottom w:val="single" w:sz="4" w:space="0" w:color="auto"/>
            </w:tcBorders>
          </w:tcPr>
          <w:p w14:paraId="749AC6F6"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45</w:t>
            </w:r>
          </w:p>
        </w:tc>
      </w:tr>
      <w:tr w:rsidR="00D759DA" w:rsidRPr="003E75D7" w14:paraId="7672D73B" w14:textId="77777777" w:rsidTr="003705A1">
        <w:trPr>
          <w:trHeight w:val="135"/>
        </w:trPr>
        <w:tc>
          <w:tcPr>
            <w:tcW w:w="2268" w:type="dxa"/>
            <w:tcBorders>
              <w:top w:val="single" w:sz="4" w:space="0" w:color="auto"/>
              <w:bottom w:val="single" w:sz="4" w:space="0" w:color="auto"/>
            </w:tcBorders>
          </w:tcPr>
          <w:p w14:paraId="6FE9848A" w14:textId="498A2CFD" w:rsidR="00D759DA" w:rsidRPr="003E75D7" w:rsidRDefault="00D759DA" w:rsidP="00471732">
            <w:pPr>
              <w:rPr>
                <w:rFonts w:ascii="Arial" w:hAnsi="Arial" w:cs="Arial"/>
                <w:sz w:val="19"/>
                <w:szCs w:val="19"/>
              </w:rPr>
            </w:pPr>
            <w:r w:rsidRPr="003E75D7">
              <w:rPr>
                <w:rFonts w:ascii="Arial" w:hAnsi="Arial" w:cs="Arial"/>
                <w:sz w:val="19"/>
                <w:szCs w:val="19"/>
              </w:rPr>
              <w:t>2014</w:t>
            </w:r>
            <w:r w:rsidR="007C7AED" w:rsidRPr="003E75D7">
              <w:rPr>
                <w:rFonts w:ascii="Arial" w:hAnsi="Arial" w:cs="Arial"/>
                <w:sz w:val="19"/>
                <w:szCs w:val="19"/>
              </w:rPr>
              <w:t>–</w:t>
            </w:r>
            <w:r w:rsidRPr="003E75D7">
              <w:rPr>
                <w:rFonts w:ascii="Arial" w:hAnsi="Arial" w:cs="Arial"/>
                <w:sz w:val="19"/>
                <w:szCs w:val="19"/>
              </w:rPr>
              <w:t xml:space="preserve">15 </w:t>
            </w:r>
          </w:p>
        </w:tc>
        <w:tc>
          <w:tcPr>
            <w:tcW w:w="1800" w:type="dxa"/>
            <w:tcBorders>
              <w:top w:val="single" w:sz="4" w:space="0" w:color="auto"/>
              <w:bottom w:val="single" w:sz="4" w:space="0" w:color="auto"/>
            </w:tcBorders>
          </w:tcPr>
          <w:p w14:paraId="6C8E870F"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12.64</w:t>
            </w:r>
          </w:p>
        </w:tc>
        <w:tc>
          <w:tcPr>
            <w:tcW w:w="1530" w:type="dxa"/>
            <w:tcBorders>
              <w:top w:val="single" w:sz="4" w:space="0" w:color="auto"/>
              <w:bottom w:val="single" w:sz="4" w:space="0" w:color="auto"/>
            </w:tcBorders>
          </w:tcPr>
          <w:p w14:paraId="32E03E11"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N.A.</w:t>
            </w:r>
          </w:p>
        </w:tc>
        <w:tc>
          <w:tcPr>
            <w:tcW w:w="2160" w:type="dxa"/>
            <w:tcBorders>
              <w:top w:val="single" w:sz="4" w:space="0" w:color="auto"/>
              <w:bottom w:val="single" w:sz="4" w:space="0" w:color="auto"/>
            </w:tcBorders>
          </w:tcPr>
          <w:p w14:paraId="5FB9D024"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45</w:t>
            </w:r>
          </w:p>
        </w:tc>
      </w:tr>
      <w:tr w:rsidR="00D759DA" w:rsidRPr="003E75D7" w14:paraId="0BF76B62" w14:textId="77777777" w:rsidTr="003705A1">
        <w:trPr>
          <w:trHeight w:val="135"/>
        </w:trPr>
        <w:tc>
          <w:tcPr>
            <w:tcW w:w="2268" w:type="dxa"/>
            <w:tcBorders>
              <w:top w:val="single" w:sz="4" w:space="0" w:color="auto"/>
              <w:bottom w:val="single" w:sz="4" w:space="0" w:color="auto"/>
            </w:tcBorders>
          </w:tcPr>
          <w:p w14:paraId="2EB7F0B0" w14:textId="77777777" w:rsidR="00D759DA" w:rsidRPr="003E75D7" w:rsidRDefault="00D759DA" w:rsidP="003705A1">
            <w:pPr>
              <w:rPr>
                <w:rFonts w:ascii="Arial" w:hAnsi="Arial" w:cs="Arial"/>
                <w:sz w:val="13"/>
                <w:szCs w:val="19"/>
              </w:rPr>
            </w:pPr>
          </w:p>
        </w:tc>
        <w:tc>
          <w:tcPr>
            <w:tcW w:w="1800" w:type="dxa"/>
            <w:tcBorders>
              <w:top w:val="single" w:sz="4" w:space="0" w:color="auto"/>
              <w:bottom w:val="single" w:sz="4" w:space="0" w:color="auto"/>
            </w:tcBorders>
          </w:tcPr>
          <w:p w14:paraId="61996C53" w14:textId="77777777" w:rsidR="00D759DA" w:rsidRPr="003E75D7" w:rsidRDefault="00D759DA" w:rsidP="003705A1">
            <w:pPr>
              <w:jc w:val="center"/>
              <w:rPr>
                <w:rFonts w:ascii="Arial" w:hAnsi="Arial" w:cs="Arial"/>
                <w:sz w:val="13"/>
                <w:szCs w:val="19"/>
              </w:rPr>
            </w:pPr>
          </w:p>
        </w:tc>
        <w:tc>
          <w:tcPr>
            <w:tcW w:w="1530" w:type="dxa"/>
            <w:tcBorders>
              <w:top w:val="single" w:sz="4" w:space="0" w:color="auto"/>
              <w:bottom w:val="single" w:sz="4" w:space="0" w:color="auto"/>
            </w:tcBorders>
          </w:tcPr>
          <w:p w14:paraId="55DD8491" w14:textId="77777777" w:rsidR="00D759DA" w:rsidRPr="003E75D7" w:rsidRDefault="00D759DA" w:rsidP="003705A1">
            <w:pPr>
              <w:jc w:val="center"/>
              <w:rPr>
                <w:rFonts w:ascii="Arial" w:hAnsi="Arial" w:cs="Arial"/>
                <w:sz w:val="13"/>
                <w:szCs w:val="19"/>
              </w:rPr>
            </w:pPr>
          </w:p>
        </w:tc>
        <w:tc>
          <w:tcPr>
            <w:tcW w:w="2160" w:type="dxa"/>
            <w:tcBorders>
              <w:top w:val="single" w:sz="4" w:space="0" w:color="auto"/>
              <w:bottom w:val="single" w:sz="4" w:space="0" w:color="auto"/>
            </w:tcBorders>
          </w:tcPr>
          <w:p w14:paraId="2E339567" w14:textId="77777777" w:rsidR="00D759DA" w:rsidRPr="003E75D7" w:rsidRDefault="00D759DA" w:rsidP="003705A1">
            <w:pPr>
              <w:jc w:val="center"/>
              <w:rPr>
                <w:rFonts w:ascii="Arial" w:hAnsi="Arial" w:cs="Arial"/>
                <w:sz w:val="13"/>
                <w:szCs w:val="19"/>
              </w:rPr>
            </w:pPr>
          </w:p>
        </w:tc>
      </w:tr>
      <w:tr w:rsidR="00D759DA" w:rsidRPr="003E75D7" w14:paraId="6BE7E90D" w14:textId="77777777" w:rsidTr="003705A1">
        <w:trPr>
          <w:trHeight w:val="135"/>
        </w:trPr>
        <w:tc>
          <w:tcPr>
            <w:tcW w:w="7758" w:type="dxa"/>
            <w:gridSpan w:val="4"/>
            <w:tcBorders>
              <w:top w:val="single" w:sz="4" w:space="0" w:color="auto"/>
              <w:bottom w:val="single" w:sz="4" w:space="0" w:color="auto"/>
            </w:tcBorders>
          </w:tcPr>
          <w:p w14:paraId="2DDF55B6" w14:textId="3C85EF6E" w:rsidR="00D759DA" w:rsidRPr="003E75D7" w:rsidRDefault="00D759DA" w:rsidP="003705A1">
            <w:pPr>
              <w:rPr>
                <w:rFonts w:ascii="Arial" w:hAnsi="Arial" w:cs="Arial"/>
                <w:sz w:val="19"/>
                <w:szCs w:val="19"/>
              </w:rPr>
            </w:pPr>
            <w:r w:rsidRPr="003E75D7">
              <w:rPr>
                <w:rFonts w:ascii="Arial" w:hAnsi="Arial" w:cs="Arial"/>
                <w:b/>
                <w:sz w:val="19"/>
                <w:szCs w:val="19"/>
              </w:rPr>
              <w:t>Andhra Pradesh State Handloom Weavers Co</w:t>
            </w:r>
            <w:r w:rsidR="006A7B4B" w:rsidRPr="003E75D7">
              <w:rPr>
                <w:rFonts w:ascii="Arial" w:hAnsi="Arial" w:cs="Arial"/>
                <w:b/>
                <w:sz w:val="19"/>
                <w:szCs w:val="19"/>
              </w:rPr>
              <w:t>-</w:t>
            </w:r>
            <w:r w:rsidRPr="003E75D7">
              <w:rPr>
                <w:rFonts w:ascii="Arial" w:hAnsi="Arial" w:cs="Arial"/>
                <w:b/>
                <w:sz w:val="19"/>
                <w:szCs w:val="19"/>
              </w:rPr>
              <w:t>operatives (APCO)</w:t>
            </w:r>
          </w:p>
        </w:tc>
      </w:tr>
      <w:tr w:rsidR="00D759DA" w:rsidRPr="003E75D7" w14:paraId="4B43749C" w14:textId="77777777" w:rsidTr="003705A1">
        <w:trPr>
          <w:trHeight w:val="135"/>
        </w:trPr>
        <w:tc>
          <w:tcPr>
            <w:tcW w:w="2268" w:type="dxa"/>
            <w:tcBorders>
              <w:top w:val="single" w:sz="4" w:space="0" w:color="auto"/>
              <w:bottom w:val="single" w:sz="4" w:space="0" w:color="auto"/>
            </w:tcBorders>
          </w:tcPr>
          <w:p w14:paraId="3AE491EE" w14:textId="54ECB9D4" w:rsidR="00D759DA" w:rsidRPr="003E75D7" w:rsidRDefault="00D759DA" w:rsidP="00471732">
            <w:pPr>
              <w:rPr>
                <w:rFonts w:ascii="Arial" w:hAnsi="Arial" w:cs="Arial"/>
                <w:sz w:val="19"/>
                <w:szCs w:val="19"/>
              </w:rPr>
            </w:pPr>
            <w:r w:rsidRPr="003E75D7">
              <w:rPr>
                <w:rFonts w:ascii="Arial" w:hAnsi="Arial" w:cs="Arial"/>
                <w:sz w:val="19"/>
                <w:szCs w:val="19"/>
              </w:rPr>
              <w:t>2013</w:t>
            </w:r>
            <w:r w:rsidR="007C7AED" w:rsidRPr="003E75D7">
              <w:rPr>
                <w:rFonts w:ascii="Arial" w:hAnsi="Arial" w:cs="Arial"/>
                <w:sz w:val="19"/>
                <w:szCs w:val="19"/>
              </w:rPr>
              <w:t>–</w:t>
            </w:r>
            <w:r w:rsidRPr="003E75D7">
              <w:rPr>
                <w:rFonts w:ascii="Arial" w:hAnsi="Arial" w:cs="Arial"/>
                <w:sz w:val="19"/>
                <w:szCs w:val="19"/>
              </w:rPr>
              <w:t xml:space="preserve">14 </w:t>
            </w:r>
          </w:p>
        </w:tc>
        <w:tc>
          <w:tcPr>
            <w:tcW w:w="1800" w:type="dxa"/>
            <w:tcBorders>
              <w:top w:val="single" w:sz="4" w:space="0" w:color="auto"/>
              <w:bottom w:val="single" w:sz="4" w:space="0" w:color="auto"/>
            </w:tcBorders>
          </w:tcPr>
          <w:p w14:paraId="6DBF3B30" w14:textId="56B46395" w:rsidR="00D759DA" w:rsidRPr="003E75D7" w:rsidRDefault="00D759DA" w:rsidP="006C4E55">
            <w:pPr>
              <w:jc w:val="right"/>
              <w:rPr>
                <w:rFonts w:ascii="Arial" w:hAnsi="Arial" w:cs="Arial"/>
                <w:sz w:val="19"/>
                <w:szCs w:val="19"/>
              </w:rPr>
            </w:pPr>
            <w:r w:rsidRPr="003E75D7">
              <w:rPr>
                <w:rFonts w:ascii="Arial" w:hAnsi="Arial" w:cs="Arial"/>
                <w:sz w:val="19"/>
                <w:szCs w:val="19"/>
              </w:rPr>
              <w:t>11.8</w:t>
            </w:r>
            <w:r w:rsidR="005602A5" w:rsidRPr="003E75D7">
              <w:rPr>
                <w:rFonts w:ascii="Arial" w:hAnsi="Arial" w:cs="Arial"/>
                <w:sz w:val="19"/>
                <w:szCs w:val="19"/>
              </w:rPr>
              <w:t>0</w:t>
            </w:r>
          </w:p>
        </w:tc>
        <w:tc>
          <w:tcPr>
            <w:tcW w:w="1530" w:type="dxa"/>
            <w:tcBorders>
              <w:top w:val="single" w:sz="4" w:space="0" w:color="auto"/>
              <w:bottom w:val="single" w:sz="4" w:space="0" w:color="auto"/>
            </w:tcBorders>
          </w:tcPr>
          <w:p w14:paraId="5C4E9792"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N.A.</w:t>
            </w:r>
          </w:p>
        </w:tc>
        <w:tc>
          <w:tcPr>
            <w:tcW w:w="2160" w:type="dxa"/>
            <w:tcBorders>
              <w:top w:val="single" w:sz="4" w:space="0" w:color="auto"/>
              <w:bottom w:val="single" w:sz="4" w:space="0" w:color="auto"/>
            </w:tcBorders>
          </w:tcPr>
          <w:p w14:paraId="4E19B50C"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198</w:t>
            </w:r>
          </w:p>
        </w:tc>
      </w:tr>
      <w:tr w:rsidR="00D759DA" w:rsidRPr="003E75D7" w14:paraId="41B6BB79" w14:textId="77777777" w:rsidTr="003705A1">
        <w:trPr>
          <w:trHeight w:val="135"/>
        </w:trPr>
        <w:tc>
          <w:tcPr>
            <w:tcW w:w="2268" w:type="dxa"/>
            <w:tcBorders>
              <w:top w:val="single" w:sz="4" w:space="0" w:color="auto"/>
              <w:bottom w:val="single" w:sz="4" w:space="0" w:color="auto"/>
            </w:tcBorders>
          </w:tcPr>
          <w:p w14:paraId="75DD6A0C" w14:textId="18A1E4A4" w:rsidR="00D759DA" w:rsidRPr="003E75D7" w:rsidRDefault="00D759DA" w:rsidP="00471732">
            <w:pPr>
              <w:rPr>
                <w:rFonts w:ascii="Arial" w:hAnsi="Arial" w:cs="Arial"/>
                <w:sz w:val="19"/>
                <w:szCs w:val="19"/>
              </w:rPr>
            </w:pPr>
            <w:r w:rsidRPr="003E75D7">
              <w:rPr>
                <w:rFonts w:ascii="Arial" w:hAnsi="Arial" w:cs="Arial"/>
                <w:sz w:val="19"/>
                <w:szCs w:val="19"/>
              </w:rPr>
              <w:t>2014</w:t>
            </w:r>
            <w:r w:rsidR="007C7AED" w:rsidRPr="003E75D7">
              <w:rPr>
                <w:rFonts w:ascii="Arial" w:hAnsi="Arial" w:cs="Arial"/>
                <w:sz w:val="19"/>
                <w:szCs w:val="19"/>
              </w:rPr>
              <w:t>–</w:t>
            </w:r>
            <w:r w:rsidRPr="003E75D7">
              <w:rPr>
                <w:rFonts w:ascii="Arial" w:hAnsi="Arial" w:cs="Arial"/>
                <w:sz w:val="19"/>
                <w:szCs w:val="19"/>
              </w:rPr>
              <w:t xml:space="preserve">15 </w:t>
            </w:r>
          </w:p>
        </w:tc>
        <w:tc>
          <w:tcPr>
            <w:tcW w:w="1800" w:type="dxa"/>
            <w:tcBorders>
              <w:top w:val="single" w:sz="4" w:space="0" w:color="auto"/>
              <w:bottom w:val="single" w:sz="4" w:space="0" w:color="auto"/>
            </w:tcBorders>
          </w:tcPr>
          <w:p w14:paraId="4A3A4558" w14:textId="63267DC9" w:rsidR="00D759DA" w:rsidRPr="003E75D7" w:rsidRDefault="00D759DA" w:rsidP="006C4E55">
            <w:pPr>
              <w:jc w:val="right"/>
              <w:rPr>
                <w:rFonts w:ascii="Arial" w:hAnsi="Arial" w:cs="Arial"/>
                <w:sz w:val="19"/>
                <w:szCs w:val="19"/>
              </w:rPr>
            </w:pPr>
            <w:r w:rsidRPr="003E75D7">
              <w:rPr>
                <w:rFonts w:ascii="Arial" w:hAnsi="Arial" w:cs="Arial"/>
                <w:sz w:val="19"/>
                <w:szCs w:val="19"/>
              </w:rPr>
              <w:t>9.9</w:t>
            </w:r>
            <w:r w:rsidR="005602A5" w:rsidRPr="003E75D7">
              <w:rPr>
                <w:rFonts w:ascii="Arial" w:hAnsi="Arial" w:cs="Arial"/>
                <w:sz w:val="19"/>
                <w:szCs w:val="19"/>
              </w:rPr>
              <w:t>0</w:t>
            </w:r>
          </w:p>
        </w:tc>
        <w:tc>
          <w:tcPr>
            <w:tcW w:w="1530" w:type="dxa"/>
            <w:tcBorders>
              <w:top w:val="single" w:sz="4" w:space="0" w:color="auto"/>
              <w:bottom w:val="single" w:sz="4" w:space="0" w:color="auto"/>
            </w:tcBorders>
          </w:tcPr>
          <w:p w14:paraId="38832BE4"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N.A.</w:t>
            </w:r>
          </w:p>
        </w:tc>
        <w:tc>
          <w:tcPr>
            <w:tcW w:w="2160" w:type="dxa"/>
            <w:tcBorders>
              <w:top w:val="single" w:sz="4" w:space="0" w:color="auto"/>
              <w:bottom w:val="single" w:sz="4" w:space="0" w:color="auto"/>
            </w:tcBorders>
          </w:tcPr>
          <w:p w14:paraId="1B37AB63"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198</w:t>
            </w:r>
          </w:p>
        </w:tc>
      </w:tr>
      <w:tr w:rsidR="00D759DA" w:rsidRPr="003E75D7" w14:paraId="5A6D43DA" w14:textId="77777777" w:rsidTr="003705A1">
        <w:trPr>
          <w:trHeight w:val="135"/>
        </w:trPr>
        <w:tc>
          <w:tcPr>
            <w:tcW w:w="2268" w:type="dxa"/>
            <w:tcBorders>
              <w:top w:val="single" w:sz="4" w:space="0" w:color="auto"/>
              <w:bottom w:val="single" w:sz="4" w:space="0" w:color="auto"/>
            </w:tcBorders>
          </w:tcPr>
          <w:p w14:paraId="1A42E7E0" w14:textId="77777777" w:rsidR="00D759DA" w:rsidRPr="003E75D7" w:rsidRDefault="00D759DA" w:rsidP="003705A1">
            <w:pPr>
              <w:rPr>
                <w:rFonts w:ascii="Arial" w:hAnsi="Arial" w:cs="Arial"/>
                <w:sz w:val="15"/>
                <w:szCs w:val="19"/>
              </w:rPr>
            </w:pPr>
          </w:p>
        </w:tc>
        <w:tc>
          <w:tcPr>
            <w:tcW w:w="1800" w:type="dxa"/>
            <w:tcBorders>
              <w:top w:val="single" w:sz="4" w:space="0" w:color="auto"/>
              <w:bottom w:val="single" w:sz="4" w:space="0" w:color="auto"/>
            </w:tcBorders>
          </w:tcPr>
          <w:p w14:paraId="13C64AD4" w14:textId="77777777" w:rsidR="00D759DA" w:rsidRPr="003E75D7" w:rsidRDefault="00D759DA" w:rsidP="003705A1">
            <w:pPr>
              <w:jc w:val="center"/>
              <w:rPr>
                <w:rFonts w:ascii="Arial" w:hAnsi="Arial" w:cs="Arial"/>
                <w:sz w:val="15"/>
                <w:szCs w:val="19"/>
              </w:rPr>
            </w:pPr>
          </w:p>
        </w:tc>
        <w:tc>
          <w:tcPr>
            <w:tcW w:w="1530" w:type="dxa"/>
            <w:tcBorders>
              <w:top w:val="single" w:sz="4" w:space="0" w:color="auto"/>
              <w:bottom w:val="single" w:sz="4" w:space="0" w:color="auto"/>
            </w:tcBorders>
          </w:tcPr>
          <w:p w14:paraId="39316150" w14:textId="77777777" w:rsidR="00D759DA" w:rsidRPr="003E75D7" w:rsidRDefault="00D759DA" w:rsidP="003705A1">
            <w:pPr>
              <w:jc w:val="center"/>
              <w:rPr>
                <w:rFonts w:ascii="Arial" w:hAnsi="Arial" w:cs="Arial"/>
                <w:sz w:val="15"/>
                <w:szCs w:val="19"/>
              </w:rPr>
            </w:pPr>
          </w:p>
        </w:tc>
        <w:tc>
          <w:tcPr>
            <w:tcW w:w="2160" w:type="dxa"/>
            <w:tcBorders>
              <w:top w:val="single" w:sz="4" w:space="0" w:color="auto"/>
              <w:bottom w:val="single" w:sz="4" w:space="0" w:color="auto"/>
            </w:tcBorders>
          </w:tcPr>
          <w:p w14:paraId="366EF9AD" w14:textId="77777777" w:rsidR="00D759DA" w:rsidRPr="003E75D7" w:rsidRDefault="00D759DA" w:rsidP="003705A1">
            <w:pPr>
              <w:jc w:val="center"/>
              <w:rPr>
                <w:rFonts w:ascii="Arial" w:hAnsi="Arial" w:cs="Arial"/>
                <w:sz w:val="15"/>
                <w:szCs w:val="19"/>
              </w:rPr>
            </w:pPr>
          </w:p>
        </w:tc>
      </w:tr>
      <w:tr w:rsidR="00D759DA" w:rsidRPr="003E75D7" w14:paraId="66F47024" w14:textId="77777777" w:rsidTr="003705A1">
        <w:trPr>
          <w:trHeight w:val="135"/>
        </w:trPr>
        <w:tc>
          <w:tcPr>
            <w:tcW w:w="7758" w:type="dxa"/>
            <w:gridSpan w:val="4"/>
            <w:tcBorders>
              <w:top w:val="single" w:sz="4" w:space="0" w:color="auto"/>
              <w:bottom w:val="single" w:sz="4" w:space="0" w:color="auto"/>
            </w:tcBorders>
          </w:tcPr>
          <w:p w14:paraId="2CD0F284" w14:textId="77777777" w:rsidR="00D759DA" w:rsidRPr="003E75D7" w:rsidRDefault="00D759DA" w:rsidP="007D5348">
            <w:pPr>
              <w:rPr>
                <w:rFonts w:ascii="Arial" w:hAnsi="Arial" w:cs="Arial"/>
                <w:b/>
                <w:sz w:val="19"/>
                <w:szCs w:val="19"/>
              </w:rPr>
            </w:pPr>
            <w:r w:rsidRPr="003E75D7">
              <w:rPr>
                <w:rFonts w:ascii="Arial" w:hAnsi="Arial" w:cs="Arial"/>
                <w:b/>
                <w:sz w:val="19"/>
                <w:szCs w:val="19"/>
              </w:rPr>
              <w:t xml:space="preserve">Karnataka Handloom Development Corporation (KHDC) </w:t>
            </w:r>
          </w:p>
        </w:tc>
      </w:tr>
      <w:tr w:rsidR="00D759DA" w:rsidRPr="003E75D7" w14:paraId="77FE0375" w14:textId="77777777" w:rsidTr="003705A1">
        <w:trPr>
          <w:trHeight w:val="135"/>
        </w:trPr>
        <w:tc>
          <w:tcPr>
            <w:tcW w:w="2268" w:type="dxa"/>
            <w:tcBorders>
              <w:top w:val="single" w:sz="4" w:space="0" w:color="auto"/>
              <w:bottom w:val="single" w:sz="4" w:space="0" w:color="auto"/>
            </w:tcBorders>
          </w:tcPr>
          <w:p w14:paraId="4A7F0C24" w14:textId="15CD2D44" w:rsidR="00D759DA" w:rsidRPr="003E75D7" w:rsidRDefault="00D759DA" w:rsidP="00471732">
            <w:pPr>
              <w:rPr>
                <w:rFonts w:ascii="Arial" w:hAnsi="Arial" w:cs="Arial"/>
                <w:sz w:val="19"/>
                <w:szCs w:val="19"/>
              </w:rPr>
            </w:pPr>
            <w:r w:rsidRPr="003E75D7">
              <w:rPr>
                <w:rFonts w:ascii="Arial" w:hAnsi="Arial" w:cs="Arial"/>
                <w:sz w:val="19"/>
                <w:szCs w:val="19"/>
              </w:rPr>
              <w:t>2013</w:t>
            </w:r>
            <w:r w:rsidR="007C7AED" w:rsidRPr="003E75D7">
              <w:rPr>
                <w:rFonts w:ascii="Arial" w:hAnsi="Arial" w:cs="Arial"/>
                <w:sz w:val="19"/>
                <w:szCs w:val="19"/>
              </w:rPr>
              <w:t>–</w:t>
            </w:r>
            <w:r w:rsidRPr="003E75D7">
              <w:rPr>
                <w:rFonts w:ascii="Arial" w:hAnsi="Arial" w:cs="Arial"/>
                <w:sz w:val="19"/>
                <w:szCs w:val="19"/>
              </w:rPr>
              <w:t xml:space="preserve">14 </w:t>
            </w:r>
          </w:p>
        </w:tc>
        <w:tc>
          <w:tcPr>
            <w:tcW w:w="1800" w:type="dxa"/>
            <w:tcBorders>
              <w:top w:val="single" w:sz="4" w:space="0" w:color="auto"/>
              <w:bottom w:val="single" w:sz="4" w:space="0" w:color="auto"/>
            </w:tcBorders>
          </w:tcPr>
          <w:p w14:paraId="07018C9C" w14:textId="61B40656" w:rsidR="00D759DA" w:rsidRPr="003E75D7" w:rsidRDefault="00D759DA" w:rsidP="006C4E55">
            <w:pPr>
              <w:jc w:val="right"/>
              <w:rPr>
                <w:rFonts w:ascii="Arial" w:hAnsi="Arial" w:cs="Arial"/>
                <w:sz w:val="19"/>
                <w:szCs w:val="19"/>
              </w:rPr>
            </w:pPr>
            <w:r w:rsidRPr="003E75D7">
              <w:rPr>
                <w:rFonts w:ascii="Arial" w:hAnsi="Arial" w:cs="Arial"/>
                <w:sz w:val="19"/>
                <w:szCs w:val="19"/>
              </w:rPr>
              <w:t>6.6</w:t>
            </w:r>
            <w:r w:rsidR="005602A5" w:rsidRPr="003E75D7">
              <w:rPr>
                <w:rFonts w:ascii="Arial" w:hAnsi="Arial" w:cs="Arial"/>
                <w:sz w:val="19"/>
                <w:szCs w:val="19"/>
              </w:rPr>
              <w:t>0</w:t>
            </w:r>
          </w:p>
        </w:tc>
        <w:tc>
          <w:tcPr>
            <w:tcW w:w="1530" w:type="dxa"/>
            <w:tcBorders>
              <w:top w:val="single" w:sz="4" w:space="0" w:color="auto"/>
              <w:bottom w:val="single" w:sz="4" w:space="0" w:color="auto"/>
            </w:tcBorders>
          </w:tcPr>
          <w:p w14:paraId="617BF3BE" w14:textId="7B4E3A54" w:rsidR="00D759DA" w:rsidRPr="003E75D7" w:rsidRDefault="00D759DA" w:rsidP="006C4E55">
            <w:pPr>
              <w:jc w:val="right"/>
              <w:rPr>
                <w:rFonts w:ascii="Arial" w:hAnsi="Arial" w:cs="Arial"/>
                <w:sz w:val="19"/>
                <w:szCs w:val="19"/>
              </w:rPr>
            </w:pPr>
            <w:r w:rsidRPr="003E75D7">
              <w:rPr>
                <w:rFonts w:ascii="Arial" w:hAnsi="Arial" w:cs="Arial"/>
                <w:sz w:val="19"/>
                <w:szCs w:val="19"/>
              </w:rPr>
              <w:t>0.37</w:t>
            </w:r>
            <w:r w:rsidR="007C7AED" w:rsidRPr="003E75D7">
              <w:rPr>
                <w:rFonts w:ascii="Arial" w:hAnsi="Arial" w:cs="Arial"/>
                <w:sz w:val="19"/>
                <w:szCs w:val="19"/>
              </w:rPr>
              <w:t>0</w:t>
            </w:r>
          </w:p>
        </w:tc>
        <w:tc>
          <w:tcPr>
            <w:tcW w:w="2160" w:type="dxa"/>
            <w:tcBorders>
              <w:top w:val="single" w:sz="4" w:space="0" w:color="auto"/>
              <w:bottom w:val="single" w:sz="4" w:space="0" w:color="auto"/>
            </w:tcBorders>
          </w:tcPr>
          <w:p w14:paraId="6B42AD44"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40</w:t>
            </w:r>
          </w:p>
        </w:tc>
      </w:tr>
      <w:tr w:rsidR="00D759DA" w:rsidRPr="003E75D7" w14:paraId="5E142E68" w14:textId="77777777" w:rsidTr="003705A1">
        <w:trPr>
          <w:trHeight w:val="135"/>
        </w:trPr>
        <w:tc>
          <w:tcPr>
            <w:tcW w:w="2268" w:type="dxa"/>
            <w:tcBorders>
              <w:top w:val="single" w:sz="4" w:space="0" w:color="auto"/>
              <w:bottom w:val="single" w:sz="4" w:space="0" w:color="auto"/>
            </w:tcBorders>
          </w:tcPr>
          <w:p w14:paraId="66D7A626" w14:textId="0320A44D" w:rsidR="00D759DA" w:rsidRPr="003E75D7" w:rsidRDefault="00D759DA" w:rsidP="00471732">
            <w:pPr>
              <w:rPr>
                <w:rFonts w:ascii="Arial" w:hAnsi="Arial" w:cs="Arial"/>
                <w:sz w:val="19"/>
                <w:szCs w:val="19"/>
              </w:rPr>
            </w:pPr>
            <w:r w:rsidRPr="003E75D7">
              <w:rPr>
                <w:rFonts w:ascii="Arial" w:hAnsi="Arial" w:cs="Arial"/>
                <w:sz w:val="19"/>
                <w:szCs w:val="19"/>
              </w:rPr>
              <w:t>2014</w:t>
            </w:r>
            <w:r w:rsidR="007C7AED" w:rsidRPr="003E75D7">
              <w:rPr>
                <w:rFonts w:ascii="Arial" w:hAnsi="Arial" w:cs="Arial"/>
                <w:sz w:val="19"/>
                <w:szCs w:val="19"/>
              </w:rPr>
              <w:t>–</w:t>
            </w:r>
            <w:r w:rsidRPr="003E75D7">
              <w:rPr>
                <w:rFonts w:ascii="Arial" w:hAnsi="Arial" w:cs="Arial"/>
                <w:sz w:val="19"/>
                <w:szCs w:val="19"/>
              </w:rPr>
              <w:t xml:space="preserve">15 </w:t>
            </w:r>
          </w:p>
        </w:tc>
        <w:tc>
          <w:tcPr>
            <w:tcW w:w="1800" w:type="dxa"/>
            <w:tcBorders>
              <w:top w:val="single" w:sz="4" w:space="0" w:color="auto"/>
              <w:bottom w:val="single" w:sz="4" w:space="0" w:color="auto"/>
            </w:tcBorders>
          </w:tcPr>
          <w:p w14:paraId="7A0DE960" w14:textId="52640BD3" w:rsidR="00D759DA" w:rsidRPr="003E75D7" w:rsidRDefault="00D759DA" w:rsidP="006C4E55">
            <w:pPr>
              <w:jc w:val="right"/>
              <w:rPr>
                <w:rFonts w:ascii="Arial" w:hAnsi="Arial" w:cs="Arial"/>
                <w:sz w:val="19"/>
                <w:szCs w:val="19"/>
              </w:rPr>
            </w:pPr>
            <w:r w:rsidRPr="003E75D7">
              <w:rPr>
                <w:rFonts w:ascii="Arial" w:hAnsi="Arial" w:cs="Arial"/>
                <w:sz w:val="19"/>
                <w:szCs w:val="19"/>
              </w:rPr>
              <w:t>4.7</w:t>
            </w:r>
            <w:r w:rsidR="005602A5" w:rsidRPr="003E75D7">
              <w:rPr>
                <w:rFonts w:ascii="Arial" w:hAnsi="Arial" w:cs="Arial"/>
                <w:sz w:val="19"/>
                <w:szCs w:val="19"/>
              </w:rPr>
              <w:t>0</w:t>
            </w:r>
          </w:p>
        </w:tc>
        <w:tc>
          <w:tcPr>
            <w:tcW w:w="1530" w:type="dxa"/>
            <w:tcBorders>
              <w:top w:val="single" w:sz="4" w:space="0" w:color="auto"/>
              <w:bottom w:val="single" w:sz="4" w:space="0" w:color="auto"/>
            </w:tcBorders>
          </w:tcPr>
          <w:p w14:paraId="02BF0575" w14:textId="761675CB" w:rsidR="00D759DA" w:rsidRPr="003E75D7" w:rsidRDefault="007C7AED" w:rsidP="006C4E55">
            <w:pPr>
              <w:jc w:val="right"/>
              <w:rPr>
                <w:rFonts w:ascii="Arial" w:hAnsi="Arial" w:cs="Arial"/>
                <w:sz w:val="19"/>
                <w:szCs w:val="19"/>
              </w:rPr>
            </w:pPr>
            <w:r w:rsidRPr="003E75D7">
              <w:rPr>
                <w:rFonts w:ascii="Arial" w:hAnsi="Arial" w:cs="Arial"/>
                <w:sz w:val="19"/>
                <w:szCs w:val="19"/>
              </w:rPr>
              <w:t>−</w:t>
            </w:r>
            <w:r w:rsidR="00D759DA" w:rsidRPr="003E75D7">
              <w:rPr>
                <w:rFonts w:ascii="Arial" w:hAnsi="Arial" w:cs="Arial"/>
                <w:sz w:val="19"/>
                <w:szCs w:val="19"/>
              </w:rPr>
              <w:t>1.36</w:t>
            </w:r>
            <w:r w:rsidRPr="003E75D7">
              <w:rPr>
                <w:rFonts w:ascii="Arial" w:hAnsi="Arial" w:cs="Arial"/>
                <w:sz w:val="19"/>
                <w:szCs w:val="19"/>
              </w:rPr>
              <w:t>0</w:t>
            </w:r>
          </w:p>
        </w:tc>
        <w:tc>
          <w:tcPr>
            <w:tcW w:w="2160" w:type="dxa"/>
            <w:tcBorders>
              <w:top w:val="single" w:sz="4" w:space="0" w:color="auto"/>
              <w:bottom w:val="single" w:sz="4" w:space="0" w:color="auto"/>
            </w:tcBorders>
          </w:tcPr>
          <w:p w14:paraId="75411D76"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40</w:t>
            </w:r>
          </w:p>
        </w:tc>
      </w:tr>
      <w:tr w:rsidR="00D759DA" w:rsidRPr="003E75D7" w14:paraId="7B787C63" w14:textId="77777777" w:rsidTr="003705A1">
        <w:trPr>
          <w:trHeight w:val="135"/>
        </w:trPr>
        <w:tc>
          <w:tcPr>
            <w:tcW w:w="2268" w:type="dxa"/>
            <w:tcBorders>
              <w:top w:val="single" w:sz="4" w:space="0" w:color="auto"/>
              <w:bottom w:val="single" w:sz="4" w:space="0" w:color="auto"/>
            </w:tcBorders>
          </w:tcPr>
          <w:p w14:paraId="474523F9" w14:textId="77777777" w:rsidR="00D759DA" w:rsidRPr="003E75D7" w:rsidRDefault="00D759DA" w:rsidP="003705A1">
            <w:pPr>
              <w:rPr>
                <w:rFonts w:ascii="Arial" w:hAnsi="Arial" w:cs="Arial"/>
                <w:sz w:val="19"/>
                <w:szCs w:val="19"/>
              </w:rPr>
            </w:pPr>
          </w:p>
        </w:tc>
        <w:tc>
          <w:tcPr>
            <w:tcW w:w="1800" w:type="dxa"/>
            <w:tcBorders>
              <w:top w:val="single" w:sz="4" w:space="0" w:color="auto"/>
              <w:bottom w:val="single" w:sz="4" w:space="0" w:color="auto"/>
            </w:tcBorders>
          </w:tcPr>
          <w:p w14:paraId="4281D947" w14:textId="77777777" w:rsidR="00D759DA" w:rsidRPr="003E75D7" w:rsidRDefault="00D759DA" w:rsidP="003705A1">
            <w:pPr>
              <w:jc w:val="center"/>
              <w:rPr>
                <w:rFonts w:ascii="Arial" w:hAnsi="Arial" w:cs="Arial"/>
                <w:sz w:val="19"/>
                <w:szCs w:val="19"/>
              </w:rPr>
            </w:pPr>
          </w:p>
        </w:tc>
        <w:tc>
          <w:tcPr>
            <w:tcW w:w="1530" w:type="dxa"/>
            <w:tcBorders>
              <w:top w:val="single" w:sz="4" w:space="0" w:color="auto"/>
              <w:bottom w:val="single" w:sz="4" w:space="0" w:color="auto"/>
            </w:tcBorders>
          </w:tcPr>
          <w:p w14:paraId="0A79601F" w14:textId="77777777" w:rsidR="00D759DA" w:rsidRPr="003E75D7" w:rsidRDefault="00D759DA" w:rsidP="003705A1">
            <w:pPr>
              <w:jc w:val="center"/>
              <w:rPr>
                <w:rFonts w:ascii="Arial" w:hAnsi="Arial" w:cs="Arial"/>
                <w:sz w:val="19"/>
                <w:szCs w:val="19"/>
              </w:rPr>
            </w:pPr>
          </w:p>
        </w:tc>
        <w:tc>
          <w:tcPr>
            <w:tcW w:w="2160" w:type="dxa"/>
            <w:tcBorders>
              <w:top w:val="single" w:sz="4" w:space="0" w:color="auto"/>
              <w:bottom w:val="single" w:sz="4" w:space="0" w:color="auto"/>
            </w:tcBorders>
          </w:tcPr>
          <w:p w14:paraId="6D694B3E" w14:textId="77777777" w:rsidR="00D759DA" w:rsidRPr="003E75D7" w:rsidRDefault="00D759DA" w:rsidP="003705A1">
            <w:pPr>
              <w:jc w:val="center"/>
              <w:rPr>
                <w:rFonts w:ascii="Arial" w:hAnsi="Arial" w:cs="Arial"/>
                <w:sz w:val="19"/>
                <w:szCs w:val="19"/>
              </w:rPr>
            </w:pPr>
          </w:p>
        </w:tc>
      </w:tr>
      <w:tr w:rsidR="00D759DA" w:rsidRPr="003E75D7" w14:paraId="7BFA4151" w14:textId="77777777" w:rsidTr="003705A1">
        <w:trPr>
          <w:trHeight w:val="135"/>
        </w:trPr>
        <w:tc>
          <w:tcPr>
            <w:tcW w:w="7758" w:type="dxa"/>
            <w:gridSpan w:val="4"/>
            <w:tcBorders>
              <w:top w:val="single" w:sz="4" w:space="0" w:color="auto"/>
              <w:bottom w:val="single" w:sz="4" w:space="0" w:color="auto"/>
            </w:tcBorders>
          </w:tcPr>
          <w:p w14:paraId="5848CD56" w14:textId="76559985" w:rsidR="00D759DA" w:rsidRPr="003E75D7" w:rsidRDefault="00D759DA" w:rsidP="003705A1">
            <w:pPr>
              <w:jc w:val="center"/>
              <w:rPr>
                <w:rFonts w:ascii="Arial" w:hAnsi="Arial" w:cs="Arial"/>
                <w:sz w:val="19"/>
                <w:szCs w:val="19"/>
              </w:rPr>
            </w:pPr>
            <w:r w:rsidRPr="003E75D7">
              <w:rPr>
                <w:rFonts w:ascii="Arial" w:hAnsi="Arial" w:cs="Arial"/>
                <w:b/>
                <w:sz w:val="19"/>
                <w:szCs w:val="19"/>
              </w:rPr>
              <w:t xml:space="preserve">TANTUJA (West Bengal </w:t>
            </w:r>
            <w:r w:rsidR="007C7AED" w:rsidRPr="003E75D7">
              <w:rPr>
                <w:rFonts w:ascii="Arial" w:hAnsi="Arial" w:cs="Arial"/>
                <w:b/>
                <w:sz w:val="19"/>
                <w:szCs w:val="19"/>
              </w:rPr>
              <w:t xml:space="preserve">State </w:t>
            </w:r>
            <w:r w:rsidRPr="003E75D7">
              <w:rPr>
                <w:rFonts w:ascii="Arial" w:hAnsi="Arial" w:cs="Arial"/>
                <w:b/>
                <w:sz w:val="19"/>
                <w:szCs w:val="19"/>
              </w:rPr>
              <w:t>Handloom</w:t>
            </w:r>
            <w:r w:rsidR="007C7AED" w:rsidRPr="003E75D7">
              <w:rPr>
                <w:rFonts w:ascii="Arial" w:hAnsi="Arial" w:cs="Arial"/>
                <w:b/>
                <w:sz w:val="19"/>
                <w:szCs w:val="19"/>
              </w:rPr>
              <w:t xml:space="preserve"> Weavers</w:t>
            </w:r>
            <w:r w:rsidRPr="003E75D7">
              <w:rPr>
                <w:rFonts w:ascii="Arial" w:hAnsi="Arial" w:cs="Arial"/>
                <w:b/>
                <w:sz w:val="19"/>
                <w:szCs w:val="19"/>
              </w:rPr>
              <w:t>)</w:t>
            </w:r>
          </w:p>
        </w:tc>
      </w:tr>
      <w:tr w:rsidR="00D759DA" w:rsidRPr="003E75D7" w14:paraId="66E8A669" w14:textId="77777777" w:rsidTr="003705A1">
        <w:trPr>
          <w:trHeight w:val="135"/>
        </w:trPr>
        <w:tc>
          <w:tcPr>
            <w:tcW w:w="2268" w:type="dxa"/>
            <w:tcBorders>
              <w:top w:val="single" w:sz="4" w:space="0" w:color="auto"/>
              <w:bottom w:val="single" w:sz="4" w:space="0" w:color="auto"/>
            </w:tcBorders>
          </w:tcPr>
          <w:p w14:paraId="4AA8C1E7" w14:textId="56B1E23C" w:rsidR="00D759DA" w:rsidRPr="003E75D7" w:rsidRDefault="00D759DA" w:rsidP="00471732">
            <w:pPr>
              <w:rPr>
                <w:rFonts w:ascii="Arial" w:hAnsi="Arial" w:cs="Arial"/>
                <w:sz w:val="19"/>
                <w:szCs w:val="19"/>
              </w:rPr>
            </w:pPr>
            <w:r w:rsidRPr="003E75D7">
              <w:rPr>
                <w:rFonts w:ascii="Arial" w:hAnsi="Arial" w:cs="Arial"/>
                <w:sz w:val="19"/>
                <w:szCs w:val="19"/>
              </w:rPr>
              <w:t>2013</w:t>
            </w:r>
            <w:r w:rsidR="007C7AED" w:rsidRPr="003E75D7">
              <w:rPr>
                <w:rFonts w:ascii="Arial" w:hAnsi="Arial" w:cs="Arial"/>
                <w:sz w:val="19"/>
                <w:szCs w:val="19"/>
              </w:rPr>
              <w:t>–</w:t>
            </w:r>
            <w:r w:rsidRPr="003E75D7">
              <w:rPr>
                <w:rFonts w:ascii="Arial" w:hAnsi="Arial" w:cs="Arial"/>
                <w:sz w:val="19"/>
                <w:szCs w:val="19"/>
              </w:rPr>
              <w:t xml:space="preserve">14 </w:t>
            </w:r>
          </w:p>
        </w:tc>
        <w:tc>
          <w:tcPr>
            <w:tcW w:w="1800" w:type="dxa"/>
            <w:tcBorders>
              <w:top w:val="single" w:sz="4" w:space="0" w:color="auto"/>
              <w:bottom w:val="single" w:sz="4" w:space="0" w:color="auto"/>
            </w:tcBorders>
          </w:tcPr>
          <w:p w14:paraId="47238FF6" w14:textId="38563990" w:rsidR="00D759DA" w:rsidRPr="003E75D7" w:rsidRDefault="00D759DA" w:rsidP="006C4E55">
            <w:pPr>
              <w:jc w:val="right"/>
              <w:rPr>
                <w:rFonts w:ascii="Arial" w:hAnsi="Arial" w:cs="Arial"/>
                <w:sz w:val="19"/>
                <w:szCs w:val="19"/>
              </w:rPr>
            </w:pPr>
            <w:r w:rsidRPr="003E75D7">
              <w:rPr>
                <w:rFonts w:ascii="Arial" w:hAnsi="Arial" w:cs="Arial"/>
                <w:sz w:val="19"/>
                <w:szCs w:val="19"/>
              </w:rPr>
              <w:t>15</w:t>
            </w:r>
            <w:r w:rsidR="007C7AED" w:rsidRPr="003E75D7">
              <w:rPr>
                <w:rFonts w:ascii="Arial" w:hAnsi="Arial" w:cs="Arial"/>
                <w:sz w:val="19"/>
                <w:szCs w:val="19"/>
              </w:rPr>
              <w:t>.0</w:t>
            </w:r>
            <w:r w:rsidR="005602A5" w:rsidRPr="003E75D7">
              <w:rPr>
                <w:rFonts w:ascii="Arial" w:hAnsi="Arial" w:cs="Arial"/>
                <w:sz w:val="19"/>
                <w:szCs w:val="19"/>
              </w:rPr>
              <w:t>0</w:t>
            </w:r>
          </w:p>
        </w:tc>
        <w:tc>
          <w:tcPr>
            <w:tcW w:w="1530" w:type="dxa"/>
            <w:tcBorders>
              <w:top w:val="single" w:sz="4" w:space="0" w:color="auto"/>
              <w:bottom w:val="single" w:sz="4" w:space="0" w:color="auto"/>
            </w:tcBorders>
          </w:tcPr>
          <w:p w14:paraId="3A56B06D" w14:textId="0140EA72" w:rsidR="00D759DA" w:rsidRPr="003E75D7" w:rsidRDefault="00D759DA" w:rsidP="006C4E55">
            <w:pPr>
              <w:jc w:val="right"/>
              <w:rPr>
                <w:rFonts w:ascii="Arial" w:hAnsi="Arial" w:cs="Arial"/>
                <w:sz w:val="19"/>
                <w:szCs w:val="19"/>
              </w:rPr>
            </w:pPr>
            <w:r w:rsidRPr="003E75D7">
              <w:rPr>
                <w:rFonts w:ascii="Arial" w:hAnsi="Arial" w:cs="Arial"/>
                <w:sz w:val="19"/>
                <w:szCs w:val="19"/>
              </w:rPr>
              <w:t>0.002</w:t>
            </w:r>
          </w:p>
        </w:tc>
        <w:tc>
          <w:tcPr>
            <w:tcW w:w="2160" w:type="dxa"/>
            <w:tcBorders>
              <w:top w:val="single" w:sz="4" w:space="0" w:color="auto"/>
              <w:bottom w:val="single" w:sz="4" w:space="0" w:color="auto"/>
            </w:tcBorders>
          </w:tcPr>
          <w:p w14:paraId="2ABB1A31"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82</w:t>
            </w:r>
          </w:p>
        </w:tc>
      </w:tr>
      <w:tr w:rsidR="00D759DA" w:rsidRPr="003E75D7" w14:paraId="4F278F5F" w14:textId="77777777" w:rsidTr="003705A1">
        <w:trPr>
          <w:trHeight w:val="135"/>
        </w:trPr>
        <w:tc>
          <w:tcPr>
            <w:tcW w:w="2268" w:type="dxa"/>
            <w:tcBorders>
              <w:top w:val="single" w:sz="4" w:space="0" w:color="auto"/>
              <w:bottom w:val="single" w:sz="4" w:space="0" w:color="auto"/>
            </w:tcBorders>
          </w:tcPr>
          <w:p w14:paraId="0644F778" w14:textId="326ED84E" w:rsidR="00D759DA" w:rsidRPr="003E75D7" w:rsidRDefault="00D759DA" w:rsidP="00471732">
            <w:pPr>
              <w:rPr>
                <w:rFonts w:ascii="Arial" w:hAnsi="Arial" w:cs="Arial"/>
                <w:sz w:val="19"/>
                <w:szCs w:val="19"/>
              </w:rPr>
            </w:pPr>
            <w:r w:rsidRPr="003E75D7">
              <w:rPr>
                <w:rFonts w:ascii="Arial" w:hAnsi="Arial" w:cs="Arial"/>
                <w:sz w:val="19"/>
                <w:szCs w:val="19"/>
              </w:rPr>
              <w:t>2014</w:t>
            </w:r>
            <w:r w:rsidR="007C7AED" w:rsidRPr="003E75D7">
              <w:rPr>
                <w:rFonts w:ascii="Arial" w:hAnsi="Arial" w:cs="Arial"/>
                <w:sz w:val="19"/>
                <w:szCs w:val="19"/>
              </w:rPr>
              <w:t>–</w:t>
            </w:r>
            <w:r w:rsidRPr="003E75D7">
              <w:rPr>
                <w:rFonts w:ascii="Arial" w:hAnsi="Arial" w:cs="Arial"/>
                <w:sz w:val="19"/>
                <w:szCs w:val="19"/>
              </w:rPr>
              <w:t xml:space="preserve">15 </w:t>
            </w:r>
          </w:p>
        </w:tc>
        <w:tc>
          <w:tcPr>
            <w:tcW w:w="1800" w:type="dxa"/>
            <w:tcBorders>
              <w:top w:val="single" w:sz="4" w:space="0" w:color="auto"/>
              <w:bottom w:val="single" w:sz="4" w:space="0" w:color="auto"/>
            </w:tcBorders>
          </w:tcPr>
          <w:p w14:paraId="1ED66A99" w14:textId="616CE75A" w:rsidR="00D759DA" w:rsidRPr="003E75D7" w:rsidRDefault="00D759DA" w:rsidP="006C4E55">
            <w:pPr>
              <w:jc w:val="right"/>
              <w:rPr>
                <w:rFonts w:ascii="Arial" w:hAnsi="Arial" w:cs="Arial"/>
                <w:sz w:val="19"/>
                <w:szCs w:val="19"/>
              </w:rPr>
            </w:pPr>
            <w:r w:rsidRPr="003E75D7">
              <w:rPr>
                <w:rFonts w:ascii="Arial" w:hAnsi="Arial" w:cs="Arial"/>
                <w:sz w:val="19"/>
                <w:szCs w:val="19"/>
              </w:rPr>
              <w:t>17.3</w:t>
            </w:r>
            <w:r w:rsidR="005602A5" w:rsidRPr="003E75D7">
              <w:rPr>
                <w:rFonts w:ascii="Arial" w:hAnsi="Arial" w:cs="Arial"/>
                <w:sz w:val="19"/>
                <w:szCs w:val="19"/>
              </w:rPr>
              <w:t>0</w:t>
            </w:r>
          </w:p>
        </w:tc>
        <w:tc>
          <w:tcPr>
            <w:tcW w:w="1530" w:type="dxa"/>
            <w:tcBorders>
              <w:top w:val="single" w:sz="4" w:space="0" w:color="auto"/>
              <w:bottom w:val="single" w:sz="4" w:space="0" w:color="auto"/>
            </w:tcBorders>
          </w:tcPr>
          <w:p w14:paraId="22C4254F" w14:textId="29F443D2" w:rsidR="00D759DA" w:rsidRPr="003E75D7" w:rsidRDefault="00D759DA" w:rsidP="006C4E55">
            <w:pPr>
              <w:jc w:val="right"/>
              <w:rPr>
                <w:rFonts w:ascii="Arial" w:hAnsi="Arial" w:cs="Arial"/>
                <w:sz w:val="19"/>
                <w:szCs w:val="19"/>
              </w:rPr>
            </w:pPr>
            <w:r w:rsidRPr="003E75D7">
              <w:rPr>
                <w:rFonts w:ascii="Arial" w:hAnsi="Arial" w:cs="Arial"/>
                <w:sz w:val="19"/>
                <w:szCs w:val="19"/>
              </w:rPr>
              <w:t>0.335</w:t>
            </w:r>
          </w:p>
        </w:tc>
        <w:tc>
          <w:tcPr>
            <w:tcW w:w="2160" w:type="dxa"/>
            <w:tcBorders>
              <w:top w:val="single" w:sz="4" w:space="0" w:color="auto"/>
              <w:bottom w:val="single" w:sz="4" w:space="0" w:color="auto"/>
            </w:tcBorders>
          </w:tcPr>
          <w:p w14:paraId="59D8043D"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82</w:t>
            </w:r>
          </w:p>
        </w:tc>
      </w:tr>
      <w:tr w:rsidR="00D759DA" w:rsidRPr="003E75D7" w14:paraId="752EF254" w14:textId="77777777" w:rsidTr="003705A1">
        <w:trPr>
          <w:trHeight w:val="135"/>
        </w:trPr>
        <w:tc>
          <w:tcPr>
            <w:tcW w:w="2268" w:type="dxa"/>
            <w:tcBorders>
              <w:top w:val="single" w:sz="4" w:space="0" w:color="auto"/>
              <w:bottom w:val="single" w:sz="4" w:space="0" w:color="auto"/>
            </w:tcBorders>
          </w:tcPr>
          <w:p w14:paraId="3BB408FA" w14:textId="77777777" w:rsidR="00D759DA" w:rsidRPr="003E75D7" w:rsidRDefault="00D759DA" w:rsidP="003705A1">
            <w:pPr>
              <w:rPr>
                <w:rFonts w:ascii="Arial" w:hAnsi="Arial" w:cs="Arial"/>
                <w:sz w:val="19"/>
                <w:szCs w:val="19"/>
              </w:rPr>
            </w:pPr>
          </w:p>
        </w:tc>
        <w:tc>
          <w:tcPr>
            <w:tcW w:w="1800" w:type="dxa"/>
            <w:tcBorders>
              <w:top w:val="single" w:sz="4" w:space="0" w:color="auto"/>
              <w:bottom w:val="single" w:sz="4" w:space="0" w:color="auto"/>
            </w:tcBorders>
          </w:tcPr>
          <w:p w14:paraId="04C93405" w14:textId="77777777" w:rsidR="00D759DA" w:rsidRPr="003E75D7" w:rsidRDefault="00D759DA" w:rsidP="003705A1">
            <w:pPr>
              <w:jc w:val="center"/>
              <w:rPr>
                <w:rFonts w:ascii="Arial" w:hAnsi="Arial" w:cs="Arial"/>
                <w:sz w:val="19"/>
                <w:szCs w:val="19"/>
              </w:rPr>
            </w:pPr>
          </w:p>
        </w:tc>
        <w:tc>
          <w:tcPr>
            <w:tcW w:w="1530" w:type="dxa"/>
            <w:tcBorders>
              <w:top w:val="single" w:sz="4" w:space="0" w:color="auto"/>
              <w:bottom w:val="single" w:sz="4" w:space="0" w:color="auto"/>
            </w:tcBorders>
          </w:tcPr>
          <w:p w14:paraId="35DD4516" w14:textId="77777777" w:rsidR="00D759DA" w:rsidRPr="003E75D7" w:rsidRDefault="00D759DA" w:rsidP="003705A1">
            <w:pPr>
              <w:jc w:val="center"/>
              <w:rPr>
                <w:rFonts w:ascii="Arial" w:hAnsi="Arial" w:cs="Arial"/>
                <w:sz w:val="19"/>
                <w:szCs w:val="19"/>
              </w:rPr>
            </w:pPr>
          </w:p>
        </w:tc>
        <w:tc>
          <w:tcPr>
            <w:tcW w:w="2160" w:type="dxa"/>
            <w:tcBorders>
              <w:top w:val="single" w:sz="4" w:space="0" w:color="auto"/>
              <w:bottom w:val="single" w:sz="4" w:space="0" w:color="auto"/>
            </w:tcBorders>
          </w:tcPr>
          <w:p w14:paraId="04B02959" w14:textId="77777777" w:rsidR="00D759DA" w:rsidRPr="003E75D7" w:rsidRDefault="00D759DA" w:rsidP="003705A1">
            <w:pPr>
              <w:jc w:val="center"/>
              <w:rPr>
                <w:rFonts w:ascii="Arial" w:hAnsi="Arial" w:cs="Arial"/>
                <w:sz w:val="19"/>
                <w:szCs w:val="19"/>
              </w:rPr>
            </w:pPr>
          </w:p>
        </w:tc>
      </w:tr>
      <w:tr w:rsidR="00D759DA" w:rsidRPr="003E75D7" w14:paraId="745B5156" w14:textId="77777777" w:rsidTr="003705A1">
        <w:trPr>
          <w:trHeight w:val="135"/>
        </w:trPr>
        <w:tc>
          <w:tcPr>
            <w:tcW w:w="7758" w:type="dxa"/>
            <w:gridSpan w:val="4"/>
            <w:tcBorders>
              <w:top w:val="single" w:sz="4" w:space="0" w:color="auto"/>
              <w:bottom w:val="single" w:sz="4" w:space="0" w:color="auto"/>
            </w:tcBorders>
          </w:tcPr>
          <w:p w14:paraId="251366CB" w14:textId="77777777" w:rsidR="00D759DA" w:rsidRPr="003E75D7" w:rsidRDefault="00D759DA" w:rsidP="003705A1">
            <w:pPr>
              <w:jc w:val="center"/>
              <w:rPr>
                <w:rFonts w:ascii="Arial" w:hAnsi="Arial" w:cs="Arial"/>
                <w:sz w:val="19"/>
                <w:szCs w:val="19"/>
              </w:rPr>
            </w:pPr>
            <w:r w:rsidRPr="003E75D7">
              <w:rPr>
                <w:rFonts w:ascii="Arial" w:hAnsi="Arial" w:cs="Arial"/>
                <w:b/>
                <w:sz w:val="19"/>
                <w:szCs w:val="19"/>
              </w:rPr>
              <w:t>MRIGNAYANI (Madhya Pradesh Handloom)</w:t>
            </w:r>
          </w:p>
        </w:tc>
      </w:tr>
      <w:tr w:rsidR="00D759DA" w:rsidRPr="003E75D7" w14:paraId="7F8BF183" w14:textId="77777777" w:rsidTr="003705A1">
        <w:trPr>
          <w:trHeight w:val="135"/>
        </w:trPr>
        <w:tc>
          <w:tcPr>
            <w:tcW w:w="2268" w:type="dxa"/>
            <w:tcBorders>
              <w:top w:val="single" w:sz="4" w:space="0" w:color="auto"/>
              <w:bottom w:val="single" w:sz="4" w:space="0" w:color="auto"/>
            </w:tcBorders>
          </w:tcPr>
          <w:p w14:paraId="6E4C370B" w14:textId="1ADAA276" w:rsidR="00D759DA" w:rsidRPr="003E75D7" w:rsidRDefault="00D759DA" w:rsidP="00471732">
            <w:pPr>
              <w:rPr>
                <w:rFonts w:ascii="Arial" w:hAnsi="Arial" w:cs="Arial"/>
                <w:sz w:val="19"/>
                <w:szCs w:val="19"/>
              </w:rPr>
            </w:pPr>
            <w:r w:rsidRPr="003E75D7">
              <w:rPr>
                <w:rFonts w:ascii="Arial" w:hAnsi="Arial" w:cs="Arial"/>
                <w:sz w:val="19"/>
                <w:szCs w:val="19"/>
              </w:rPr>
              <w:t>2013</w:t>
            </w:r>
            <w:r w:rsidR="007C7AED" w:rsidRPr="003E75D7">
              <w:rPr>
                <w:rFonts w:ascii="Arial" w:hAnsi="Arial" w:cs="Arial"/>
                <w:sz w:val="19"/>
                <w:szCs w:val="19"/>
              </w:rPr>
              <w:t>–</w:t>
            </w:r>
            <w:r w:rsidRPr="003E75D7">
              <w:rPr>
                <w:rFonts w:ascii="Arial" w:hAnsi="Arial" w:cs="Arial"/>
                <w:sz w:val="19"/>
                <w:szCs w:val="19"/>
              </w:rPr>
              <w:t xml:space="preserve">14 </w:t>
            </w:r>
          </w:p>
        </w:tc>
        <w:tc>
          <w:tcPr>
            <w:tcW w:w="1800" w:type="dxa"/>
            <w:tcBorders>
              <w:top w:val="single" w:sz="4" w:space="0" w:color="auto"/>
              <w:bottom w:val="single" w:sz="4" w:space="0" w:color="auto"/>
            </w:tcBorders>
          </w:tcPr>
          <w:p w14:paraId="7CE882ED"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5.61</w:t>
            </w:r>
          </w:p>
        </w:tc>
        <w:tc>
          <w:tcPr>
            <w:tcW w:w="1530" w:type="dxa"/>
            <w:tcBorders>
              <w:top w:val="single" w:sz="4" w:space="0" w:color="auto"/>
              <w:bottom w:val="single" w:sz="4" w:space="0" w:color="auto"/>
            </w:tcBorders>
            <w:vAlign w:val="bottom"/>
          </w:tcPr>
          <w:p w14:paraId="7EF3A785" w14:textId="77777777" w:rsidR="00D759DA" w:rsidRPr="003E75D7" w:rsidRDefault="00D759DA" w:rsidP="006C4E55">
            <w:pPr>
              <w:jc w:val="right"/>
              <w:rPr>
                <w:rFonts w:ascii="Arial" w:hAnsi="Arial" w:cs="Arial"/>
                <w:sz w:val="19"/>
                <w:szCs w:val="19"/>
              </w:rPr>
            </w:pPr>
            <w:r w:rsidRPr="003E75D7">
              <w:rPr>
                <w:rFonts w:ascii="Arial" w:hAnsi="Arial" w:cs="Arial"/>
                <w:color w:val="000000"/>
                <w:sz w:val="19"/>
                <w:szCs w:val="19"/>
              </w:rPr>
              <w:t>0.012</w:t>
            </w:r>
          </w:p>
        </w:tc>
        <w:tc>
          <w:tcPr>
            <w:tcW w:w="2160" w:type="dxa"/>
            <w:tcBorders>
              <w:top w:val="single" w:sz="4" w:space="0" w:color="auto"/>
              <w:bottom w:val="single" w:sz="4" w:space="0" w:color="auto"/>
            </w:tcBorders>
          </w:tcPr>
          <w:p w14:paraId="646E8908"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23</w:t>
            </w:r>
          </w:p>
        </w:tc>
      </w:tr>
      <w:tr w:rsidR="00D759DA" w:rsidRPr="003E75D7" w14:paraId="1E9ED791" w14:textId="77777777" w:rsidTr="003705A1">
        <w:trPr>
          <w:trHeight w:val="135"/>
        </w:trPr>
        <w:tc>
          <w:tcPr>
            <w:tcW w:w="2268" w:type="dxa"/>
            <w:tcBorders>
              <w:top w:val="single" w:sz="4" w:space="0" w:color="auto"/>
              <w:bottom w:val="single" w:sz="4" w:space="0" w:color="auto"/>
            </w:tcBorders>
          </w:tcPr>
          <w:p w14:paraId="36BD273A" w14:textId="5884E484" w:rsidR="00D759DA" w:rsidRPr="003E75D7" w:rsidRDefault="00D759DA" w:rsidP="00471732">
            <w:pPr>
              <w:rPr>
                <w:rFonts w:ascii="Arial" w:hAnsi="Arial" w:cs="Arial"/>
                <w:sz w:val="19"/>
                <w:szCs w:val="19"/>
              </w:rPr>
            </w:pPr>
            <w:r w:rsidRPr="003E75D7">
              <w:rPr>
                <w:rFonts w:ascii="Arial" w:hAnsi="Arial" w:cs="Arial"/>
                <w:sz w:val="19"/>
                <w:szCs w:val="19"/>
              </w:rPr>
              <w:t>2014</w:t>
            </w:r>
            <w:r w:rsidR="007C7AED" w:rsidRPr="003E75D7">
              <w:rPr>
                <w:rFonts w:ascii="Arial" w:hAnsi="Arial" w:cs="Arial"/>
                <w:sz w:val="19"/>
                <w:szCs w:val="19"/>
              </w:rPr>
              <w:t>–</w:t>
            </w:r>
            <w:r w:rsidRPr="003E75D7">
              <w:rPr>
                <w:rFonts w:ascii="Arial" w:hAnsi="Arial" w:cs="Arial"/>
                <w:sz w:val="19"/>
                <w:szCs w:val="19"/>
              </w:rPr>
              <w:t xml:space="preserve">15 </w:t>
            </w:r>
          </w:p>
        </w:tc>
        <w:tc>
          <w:tcPr>
            <w:tcW w:w="1800" w:type="dxa"/>
            <w:tcBorders>
              <w:top w:val="single" w:sz="4" w:space="0" w:color="auto"/>
              <w:bottom w:val="single" w:sz="4" w:space="0" w:color="auto"/>
            </w:tcBorders>
          </w:tcPr>
          <w:p w14:paraId="1196A0A2"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4.89</w:t>
            </w:r>
          </w:p>
        </w:tc>
        <w:tc>
          <w:tcPr>
            <w:tcW w:w="1530" w:type="dxa"/>
            <w:tcBorders>
              <w:top w:val="single" w:sz="4" w:space="0" w:color="auto"/>
              <w:bottom w:val="single" w:sz="4" w:space="0" w:color="auto"/>
            </w:tcBorders>
            <w:vAlign w:val="bottom"/>
          </w:tcPr>
          <w:p w14:paraId="5A9D220B" w14:textId="77777777" w:rsidR="00D759DA" w:rsidRPr="003E75D7" w:rsidRDefault="00D759DA" w:rsidP="006C4E55">
            <w:pPr>
              <w:jc w:val="right"/>
              <w:rPr>
                <w:rFonts w:ascii="Arial" w:hAnsi="Arial" w:cs="Arial"/>
                <w:sz w:val="19"/>
                <w:szCs w:val="19"/>
              </w:rPr>
            </w:pPr>
            <w:r w:rsidRPr="003E75D7">
              <w:rPr>
                <w:rFonts w:ascii="Arial" w:hAnsi="Arial" w:cs="Arial"/>
                <w:color w:val="000000"/>
                <w:sz w:val="19"/>
                <w:szCs w:val="19"/>
              </w:rPr>
              <w:t>0.013</w:t>
            </w:r>
          </w:p>
        </w:tc>
        <w:tc>
          <w:tcPr>
            <w:tcW w:w="2160" w:type="dxa"/>
            <w:tcBorders>
              <w:top w:val="single" w:sz="4" w:space="0" w:color="auto"/>
              <w:bottom w:val="single" w:sz="4" w:space="0" w:color="auto"/>
            </w:tcBorders>
          </w:tcPr>
          <w:p w14:paraId="592FECDE"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23</w:t>
            </w:r>
          </w:p>
        </w:tc>
      </w:tr>
      <w:tr w:rsidR="00D759DA" w:rsidRPr="003E75D7" w14:paraId="1541D561" w14:textId="77777777" w:rsidTr="003705A1">
        <w:trPr>
          <w:trHeight w:val="135"/>
        </w:trPr>
        <w:tc>
          <w:tcPr>
            <w:tcW w:w="2268" w:type="dxa"/>
            <w:tcBorders>
              <w:top w:val="single" w:sz="4" w:space="0" w:color="auto"/>
              <w:bottom w:val="single" w:sz="4" w:space="0" w:color="auto"/>
            </w:tcBorders>
          </w:tcPr>
          <w:p w14:paraId="4EC0A420" w14:textId="77777777" w:rsidR="00D759DA" w:rsidRPr="003E75D7" w:rsidRDefault="00D759DA" w:rsidP="003705A1">
            <w:pPr>
              <w:rPr>
                <w:rFonts w:ascii="Arial" w:hAnsi="Arial" w:cs="Arial"/>
                <w:sz w:val="19"/>
                <w:szCs w:val="19"/>
              </w:rPr>
            </w:pPr>
          </w:p>
        </w:tc>
        <w:tc>
          <w:tcPr>
            <w:tcW w:w="1800" w:type="dxa"/>
            <w:tcBorders>
              <w:top w:val="single" w:sz="4" w:space="0" w:color="auto"/>
              <w:bottom w:val="single" w:sz="4" w:space="0" w:color="auto"/>
            </w:tcBorders>
          </w:tcPr>
          <w:p w14:paraId="4F654048" w14:textId="77777777" w:rsidR="00D759DA" w:rsidRPr="003E75D7" w:rsidRDefault="00D759DA" w:rsidP="003705A1">
            <w:pPr>
              <w:rPr>
                <w:rFonts w:ascii="Arial" w:hAnsi="Arial" w:cs="Arial"/>
                <w:sz w:val="19"/>
                <w:szCs w:val="19"/>
              </w:rPr>
            </w:pPr>
          </w:p>
        </w:tc>
        <w:tc>
          <w:tcPr>
            <w:tcW w:w="1530" w:type="dxa"/>
            <w:tcBorders>
              <w:top w:val="single" w:sz="4" w:space="0" w:color="auto"/>
              <w:bottom w:val="single" w:sz="4" w:space="0" w:color="auto"/>
            </w:tcBorders>
            <w:vAlign w:val="bottom"/>
          </w:tcPr>
          <w:p w14:paraId="7A5FF021" w14:textId="77777777" w:rsidR="00D759DA" w:rsidRPr="003E75D7" w:rsidRDefault="00D759DA" w:rsidP="003705A1">
            <w:pPr>
              <w:jc w:val="center"/>
              <w:rPr>
                <w:rFonts w:ascii="Arial" w:hAnsi="Arial" w:cs="Arial"/>
                <w:color w:val="000000"/>
                <w:sz w:val="19"/>
                <w:szCs w:val="19"/>
              </w:rPr>
            </w:pPr>
          </w:p>
        </w:tc>
        <w:tc>
          <w:tcPr>
            <w:tcW w:w="2160" w:type="dxa"/>
            <w:tcBorders>
              <w:top w:val="single" w:sz="4" w:space="0" w:color="auto"/>
              <w:bottom w:val="single" w:sz="4" w:space="0" w:color="auto"/>
            </w:tcBorders>
          </w:tcPr>
          <w:p w14:paraId="4D8C2A5B" w14:textId="77777777" w:rsidR="00D759DA" w:rsidRPr="003E75D7" w:rsidRDefault="00D759DA" w:rsidP="003705A1">
            <w:pPr>
              <w:jc w:val="center"/>
              <w:rPr>
                <w:rFonts w:ascii="Arial" w:hAnsi="Arial" w:cs="Arial"/>
                <w:sz w:val="19"/>
                <w:szCs w:val="19"/>
              </w:rPr>
            </w:pPr>
          </w:p>
        </w:tc>
      </w:tr>
      <w:tr w:rsidR="00D759DA" w:rsidRPr="003E75D7" w14:paraId="368154A9" w14:textId="77777777" w:rsidTr="003705A1">
        <w:trPr>
          <w:trHeight w:val="135"/>
        </w:trPr>
        <w:tc>
          <w:tcPr>
            <w:tcW w:w="7758" w:type="dxa"/>
            <w:gridSpan w:val="4"/>
            <w:tcBorders>
              <w:top w:val="single" w:sz="4" w:space="0" w:color="auto"/>
              <w:bottom w:val="single" w:sz="4" w:space="0" w:color="auto"/>
            </w:tcBorders>
          </w:tcPr>
          <w:p w14:paraId="19A3A86E" w14:textId="77777777" w:rsidR="00D759DA" w:rsidRPr="003E75D7" w:rsidRDefault="00D759DA" w:rsidP="003705A1">
            <w:pPr>
              <w:jc w:val="center"/>
              <w:rPr>
                <w:rFonts w:ascii="Arial" w:hAnsi="Arial" w:cs="Arial"/>
                <w:b/>
                <w:sz w:val="19"/>
                <w:szCs w:val="19"/>
              </w:rPr>
            </w:pPr>
            <w:r w:rsidRPr="003E75D7">
              <w:rPr>
                <w:rFonts w:ascii="Arial" w:hAnsi="Arial" w:cs="Arial"/>
                <w:b/>
                <w:sz w:val="19"/>
                <w:szCs w:val="19"/>
              </w:rPr>
              <w:t>CO-OPTEX</w:t>
            </w:r>
          </w:p>
        </w:tc>
      </w:tr>
      <w:tr w:rsidR="00D759DA" w:rsidRPr="003E75D7" w14:paraId="219C7535" w14:textId="77777777" w:rsidTr="003705A1">
        <w:trPr>
          <w:trHeight w:val="135"/>
        </w:trPr>
        <w:tc>
          <w:tcPr>
            <w:tcW w:w="2268" w:type="dxa"/>
            <w:tcBorders>
              <w:top w:val="single" w:sz="4" w:space="0" w:color="auto"/>
              <w:bottom w:val="single" w:sz="4" w:space="0" w:color="auto"/>
            </w:tcBorders>
          </w:tcPr>
          <w:p w14:paraId="1A99A2ED" w14:textId="7D3F6F32" w:rsidR="00D759DA" w:rsidRPr="003E75D7" w:rsidRDefault="00D759DA" w:rsidP="00471732">
            <w:pPr>
              <w:rPr>
                <w:rFonts w:ascii="Arial" w:hAnsi="Arial" w:cs="Arial"/>
                <w:sz w:val="19"/>
                <w:szCs w:val="19"/>
              </w:rPr>
            </w:pPr>
            <w:r w:rsidRPr="003E75D7">
              <w:rPr>
                <w:rFonts w:ascii="Arial" w:hAnsi="Arial" w:cs="Arial"/>
                <w:sz w:val="19"/>
                <w:szCs w:val="19"/>
              </w:rPr>
              <w:t>2013</w:t>
            </w:r>
            <w:r w:rsidR="007C7AED" w:rsidRPr="003E75D7">
              <w:rPr>
                <w:rFonts w:ascii="Arial" w:hAnsi="Arial" w:cs="Arial"/>
                <w:sz w:val="19"/>
                <w:szCs w:val="19"/>
              </w:rPr>
              <w:t>–</w:t>
            </w:r>
            <w:r w:rsidRPr="003E75D7">
              <w:rPr>
                <w:rFonts w:ascii="Arial" w:hAnsi="Arial" w:cs="Arial"/>
                <w:sz w:val="19"/>
                <w:szCs w:val="19"/>
              </w:rPr>
              <w:t>14</w:t>
            </w:r>
          </w:p>
        </w:tc>
        <w:tc>
          <w:tcPr>
            <w:tcW w:w="1800" w:type="dxa"/>
            <w:tcBorders>
              <w:top w:val="single" w:sz="4" w:space="0" w:color="auto"/>
              <w:bottom w:val="single" w:sz="4" w:space="0" w:color="auto"/>
            </w:tcBorders>
            <w:vAlign w:val="bottom"/>
          </w:tcPr>
          <w:p w14:paraId="130C152C" w14:textId="77777777" w:rsidR="00D759DA" w:rsidRPr="003E75D7" w:rsidRDefault="00D759DA" w:rsidP="006C4E55">
            <w:pPr>
              <w:jc w:val="right"/>
              <w:rPr>
                <w:rFonts w:ascii="Arial" w:hAnsi="Arial" w:cs="Arial"/>
                <w:sz w:val="19"/>
                <w:szCs w:val="19"/>
              </w:rPr>
            </w:pPr>
            <w:r w:rsidRPr="003E75D7">
              <w:rPr>
                <w:rFonts w:ascii="Arial" w:hAnsi="Arial" w:cs="Arial"/>
                <w:color w:val="000000"/>
                <w:sz w:val="19"/>
                <w:szCs w:val="19"/>
              </w:rPr>
              <w:t>49.82</w:t>
            </w:r>
          </w:p>
        </w:tc>
        <w:tc>
          <w:tcPr>
            <w:tcW w:w="1530" w:type="dxa"/>
            <w:tcBorders>
              <w:top w:val="single" w:sz="4" w:space="0" w:color="auto"/>
              <w:bottom w:val="single" w:sz="4" w:space="0" w:color="auto"/>
            </w:tcBorders>
            <w:vAlign w:val="bottom"/>
          </w:tcPr>
          <w:p w14:paraId="5194FFDE" w14:textId="0599C9CD" w:rsidR="00D759DA" w:rsidRPr="003E75D7" w:rsidRDefault="00D759DA" w:rsidP="006C4E55">
            <w:pPr>
              <w:jc w:val="right"/>
              <w:rPr>
                <w:rFonts w:ascii="Arial" w:hAnsi="Arial" w:cs="Arial"/>
                <w:color w:val="000000"/>
                <w:sz w:val="19"/>
                <w:szCs w:val="19"/>
              </w:rPr>
            </w:pPr>
            <w:r w:rsidRPr="003E75D7">
              <w:rPr>
                <w:rFonts w:ascii="Arial" w:hAnsi="Arial" w:cs="Arial"/>
                <w:color w:val="000000"/>
                <w:sz w:val="19"/>
                <w:szCs w:val="19"/>
              </w:rPr>
              <w:t>1.68</w:t>
            </w:r>
            <w:r w:rsidR="005602A5" w:rsidRPr="003E75D7">
              <w:rPr>
                <w:rFonts w:ascii="Arial" w:hAnsi="Arial" w:cs="Arial"/>
                <w:color w:val="000000"/>
                <w:sz w:val="19"/>
                <w:szCs w:val="19"/>
              </w:rPr>
              <w:t>0</w:t>
            </w:r>
          </w:p>
        </w:tc>
        <w:tc>
          <w:tcPr>
            <w:tcW w:w="2160" w:type="dxa"/>
            <w:tcBorders>
              <w:top w:val="single" w:sz="4" w:space="0" w:color="auto"/>
              <w:bottom w:val="single" w:sz="4" w:space="0" w:color="auto"/>
            </w:tcBorders>
          </w:tcPr>
          <w:p w14:paraId="5C28BB0B"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200</w:t>
            </w:r>
          </w:p>
        </w:tc>
      </w:tr>
      <w:tr w:rsidR="00D759DA" w:rsidRPr="003E75D7" w14:paraId="11FBF02C" w14:textId="77777777" w:rsidTr="003705A1">
        <w:trPr>
          <w:trHeight w:val="135"/>
        </w:trPr>
        <w:tc>
          <w:tcPr>
            <w:tcW w:w="2268" w:type="dxa"/>
            <w:tcBorders>
              <w:top w:val="single" w:sz="4" w:space="0" w:color="auto"/>
              <w:bottom w:val="single" w:sz="4" w:space="0" w:color="auto"/>
            </w:tcBorders>
          </w:tcPr>
          <w:p w14:paraId="0A492E6D" w14:textId="77DF8207" w:rsidR="00D759DA" w:rsidRPr="003E75D7" w:rsidRDefault="00D759DA" w:rsidP="00471732">
            <w:pPr>
              <w:rPr>
                <w:rFonts w:ascii="Arial" w:hAnsi="Arial" w:cs="Arial"/>
                <w:sz w:val="19"/>
                <w:szCs w:val="19"/>
              </w:rPr>
            </w:pPr>
            <w:r w:rsidRPr="003E75D7">
              <w:rPr>
                <w:rFonts w:ascii="Arial" w:hAnsi="Arial" w:cs="Arial"/>
                <w:sz w:val="19"/>
                <w:szCs w:val="19"/>
              </w:rPr>
              <w:t>2014</w:t>
            </w:r>
            <w:r w:rsidR="007C7AED" w:rsidRPr="003E75D7">
              <w:rPr>
                <w:rFonts w:ascii="Arial" w:hAnsi="Arial" w:cs="Arial"/>
                <w:sz w:val="19"/>
                <w:szCs w:val="19"/>
              </w:rPr>
              <w:t>–</w:t>
            </w:r>
            <w:r w:rsidRPr="003E75D7">
              <w:rPr>
                <w:rFonts w:ascii="Arial" w:hAnsi="Arial" w:cs="Arial"/>
                <w:sz w:val="19"/>
                <w:szCs w:val="19"/>
              </w:rPr>
              <w:t>15</w:t>
            </w:r>
          </w:p>
        </w:tc>
        <w:tc>
          <w:tcPr>
            <w:tcW w:w="1800" w:type="dxa"/>
            <w:tcBorders>
              <w:top w:val="single" w:sz="4" w:space="0" w:color="auto"/>
              <w:bottom w:val="single" w:sz="4" w:space="0" w:color="auto"/>
            </w:tcBorders>
            <w:vAlign w:val="bottom"/>
          </w:tcPr>
          <w:p w14:paraId="3486B99B" w14:textId="77777777" w:rsidR="00D759DA" w:rsidRPr="003E75D7" w:rsidRDefault="00D759DA" w:rsidP="006C4E55">
            <w:pPr>
              <w:jc w:val="right"/>
              <w:rPr>
                <w:rFonts w:ascii="Arial" w:hAnsi="Arial" w:cs="Arial"/>
                <w:sz w:val="19"/>
                <w:szCs w:val="19"/>
              </w:rPr>
            </w:pPr>
            <w:r w:rsidRPr="003E75D7">
              <w:rPr>
                <w:rFonts w:ascii="Arial" w:hAnsi="Arial" w:cs="Arial"/>
                <w:color w:val="000000"/>
                <w:sz w:val="19"/>
                <w:szCs w:val="19"/>
              </w:rPr>
              <w:t>50.14</w:t>
            </w:r>
          </w:p>
        </w:tc>
        <w:tc>
          <w:tcPr>
            <w:tcW w:w="1530" w:type="dxa"/>
            <w:tcBorders>
              <w:top w:val="single" w:sz="4" w:space="0" w:color="auto"/>
              <w:bottom w:val="single" w:sz="4" w:space="0" w:color="auto"/>
            </w:tcBorders>
            <w:vAlign w:val="bottom"/>
          </w:tcPr>
          <w:p w14:paraId="2F8B3704" w14:textId="548C4E76" w:rsidR="00D759DA" w:rsidRPr="003E75D7" w:rsidRDefault="00D759DA" w:rsidP="006C4E55">
            <w:pPr>
              <w:jc w:val="right"/>
              <w:rPr>
                <w:rFonts w:ascii="Arial" w:hAnsi="Arial" w:cs="Arial"/>
                <w:color w:val="000000"/>
                <w:sz w:val="19"/>
                <w:szCs w:val="19"/>
              </w:rPr>
            </w:pPr>
            <w:r w:rsidRPr="003E75D7">
              <w:rPr>
                <w:rFonts w:ascii="Arial" w:hAnsi="Arial" w:cs="Arial"/>
                <w:color w:val="000000"/>
                <w:sz w:val="19"/>
                <w:szCs w:val="19"/>
              </w:rPr>
              <w:t>0.46</w:t>
            </w:r>
            <w:r w:rsidR="005602A5" w:rsidRPr="003E75D7">
              <w:rPr>
                <w:rFonts w:ascii="Arial" w:hAnsi="Arial" w:cs="Arial"/>
                <w:color w:val="000000"/>
                <w:sz w:val="19"/>
                <w:szCs w:val="19"/>
              </w:rPr>
              <w:t>0</w:t>
            </w:r>
          </w:p>
        </w:tc>
        <w:tc>
          <w:tcPr>
            <w:tcW w:w="2160" w:type="dxa"/>
            <w:tcBorders>
              <w:top w:val="single" w:sz="4" w:space="0" w:color="auto"/>
              <w:bottom w:val="single" w:sz="4" w:space="0" w:color="auto"/>
            </w:tcBorders>
          </w:tcPr>
          <w:p w14:paraId="0ACA67C7" w14:textId="77777777" w:rsidR="00D759DA" w:rsidRPr="003E75D7" w:rsidRDefault="00D759DA" w:rsidP="006C4E55">
            <w:pPr>
              <w:jc w:val="right"/>
              <w:rPr>
                <w:rFonts w:ascii="Arial" w:hAnsi="Arial" w:cs="Arial"/>
                <w:sz w:val="19"/>
                <w:szCs w:val="19"/>
              </w:rPr>
            </w:pPr>
            <w:r w:rsidRPr="003E75D7">
              <w:rPr>
                <w:rFonts w:ascii="Arial" w:hAnsi="Arial" w:cs="Arial"/>
                <w:sz w:val="19"/>
                <w:szCs w:val="19"/>
              </w:rPr>
              <w:t>200</w:t>
            </w:r>
          </w:p>
        </w:tc>
      </w:tr>
    </w:tbl>
    <w:p w14:paraId="09398847" w14:textId="77777777" w:rsidR="00D759DA" w:rsidRPr="003E75D7" w:rsidRDefault="00D759DA" w:rsidP="00D759DA">
      <w:pPr>
        <w:jc w:val="both"/>
        <w:rPr>
          <w:rFonts w:ascii="Arial" w:hAnsi="Arial" w:cs="Arial"/>
        </w:rPr>
      </w:pPr>
    </w:p>
    <w:p w14:paraId="7F2DB96C" w14:textId="317B8E57" w:rsidR="007D5348" w:rsidRPr="003E75D7" w:rsidRDefault="007D5348" w:rsidP="00D759DA">
      <w:pPr>
        <w:jc w:val="both"/>
        <w:rPr>
          <w:rFonts w:ascii="Arial" w:hAnsi="Arial" w:cs="Arial"/>
        </w:rPr>
      </w:pPr>
    </w:p>
    <w:p w14:paraId="182F55D4" w14:textId="77777777" w:rsidR="007D5348" w:rsidRPr="003E75D7" w:rsidRDefault="007D5348" w:rsidP="00D759DA">
      <w:pPr>
        <w:jc w:val="both"/>
        <w:rPr>
          <w:rFonts w:ascii="Arial" w:hAnsi="Arial" w:cs="Arial"/>
        </w:rPr>
      </w:pPr>
    </w:p>
    <w:p w14:paraId="6AFC6793" w14:textId="77777777" w:rsidR="007D5348" w:rsidRPr="003E75D7" w:rsidRDefault="007D5348" w:rsidP="00D759DA">
      <w:pPr>
        <w:jc w:val="both"/>
        <w:rPr>
          <w:rFonts w:ascii="Arial" w:hAnsi="Arial" w:cs="Arial"/>
        </w:rPr>
      </w:pPr>
    </w:p>
    <w:p w14:paraId="701E7021" w14:textId="77777777" w:rsidR="007D5348" w:rsidRPr="003E75D7" w:rsidRDefault="007D5348" w:rsidP="00D759DA">
      <w:pPr>
        <w:jc w:val="both"/>
        <w:rPr>
          <w:rFonts w:ascii="Arial" w:hAnsi="Arial" w:cs="Arial"/>
        </w:rPr>
      </w:pPr>
    </w:p>
    <w:p w14:paraId="5AC09A66" w14:textId="77777777" w:rsidR="007D5348" w:rsidRPr="003E75D7" w:rsidRDefault="007D5348" w:rsidP="00D759DA">
      <w:pPr>
        <w:jc w:val="both"/>
        <w:rPr>
          <w:rFonts w:ascii="Arial" w:hAnsi="Arial" w:cs="Arial"/>
        </w:rPr>
      </w:pPr>
    </w:p>
    <w:p w14:paraId="29F01100" w14:textId="77777777" w:rsidR="007D5348" w:rsidRPr="003E75D7" w:rsidRDefault="007D5348" w:rsidP="00D759DA">
      <w:pPr>
        <w:jc w:val="both"/>
        <w:rPr>
          <w:rFonts w:ascii="Arial" w:hAnsi="Arial" w:cs="Arial"/>
        </w:rPr>
      </w:pPr>
    </w:p>
    <w:p w14:paraId="79C8ED96" w14:textId="77777777" w:rsidR="007D5348" w:rsidRPr="003E75D7" w:rsidRDefault="007D5348" w:rsidP="00D759DA">
      <w:pPr>
        <w:jc w:val="both"/>
        <w:rPr>
          <w:rFonts w:ascii="Arial" w:hAnsi="Arial" w:cs="Arial"/>
        </w:rPr>
      </w:pPr>
    </w:p>
    <w:p w14:paraId="2C4F835D" w14:textId="77777777" w:rsidR="007D5348" w:rsidRPr="003E75D7" w:rsidRDefault="007D5348" w:rsidP="00D759DA">
      <w:pPr>
        <w:jc w:val="both"/>
        <w:rPr>
          <w:rFonts w:ascii="Arial" w:hAnsi="Arial" w:cs="Arial"/>
        </w:rPr>
      </w:pPr>
    </w:p>
    <w:p w14:paraId="016F419C" w14:textId="77777777" w:rsidR="007D5348" w:rsidRPr="003E75D7" w:rsidRDefault="007D5348" w:rsidP="00D759DA">
      <w:pPr>
        <w:jc w:val="both"/>
        <w:rPr>
          <w:rFonts w:ascii="Arial" w:hAnsi="Arial" w:cs="Arial"/>
        </w:rPr>
      </w:pPr>
    </w:p>
    <w:p w14:paraId="2434A157" w14:textId="77777777" w:rsidR="007D5348" w:rsidRPr="003E75D7" w:rsidRDefault="007D5348" w:rsidP="00D759DA">
      <w:pPr>
        <w:jc w:val="both"/>
        <w:rPr>
          <w:rFonts w:ascii="Arial" w:hAnsi="Arial" w:cs="Arial"/>
        </w:rPr>
      </w:pPr>
    </w:p>
    <w:p w14:paraId="121E4BC5" w14:textId="77777777" w:rsidR="007D5348" w:rsidRPr="003E75D7" w:rsidRDefault="007D5348" w:rsidP="00D759DA">
      <w:pPr>
        <w:jc w:val="both"/>
        <w:rPr>
          <w:rFonts w:ascii="Arial" w:hAnsi="Arial" w:cs="Arial"/>
        </w:rPr>
      </w:pPr>
    </w:p>
    <w:p w14:paraId="2F4D7648" w14:textId="77777777" w:rsidR="007D5348" w:rsidRPr="003E75D7" w:rsidRDefault="007D5348" w:rsidP="00D759DA">
      <w:pPr>
        <w:jc w:val="both"/>
        <w:rPr>
          <w:rFonts w:ascii="Arial" w:hAnsi="Arial" w:cs="Arial"/>
        </w:rPr>
      </w:pPr>
    </w:p>
    <w:p w14:paraId="49BF82B5" w14:textId="77777777" w:rsidR="007D5348" w:rsidRPr="003E75D7" w:rsidRDefault="007D5348" w:rsidP="00D759DA">
      <w:pPr>
        <w:jc w:val="both"/>
        <w:rPr>
          <w:rFonts w:ascii="Arial" w:hAnsi="Arial" w:cs="Arial"/>
        </w:rPr>
      </w:pPr>
    </w:p>
    <w:p w14:paraId="53063414" w14:textId="77777777" w:rsidR="007D5348" w:rsidRPr="003E75D7" w:rsidRDefault="007D5348" w:rsidP="00D759DA">
      <w:pPr>
        <w:jc w:val="both"/>
        <w:rPr>
          <w:rFonts w:ascii="Arial" w:hAnsi="Arial" w:cs="Arial"/>
        </w:rPr>
      </w:pPr>
    </w:p>
    <w:p w14:paraId="3008CF04" w14:textId="77777777" w:rsidR="007D5348" w:rsidRPr="003E75D7" w:rsidRDefault="007D5348" w:rsidP="00D759DA">
      <w:pPr>
        <w:jc w:val="both"/>
        <w:rPr>
          <w:rFonts w:ascii="Arial" w:hAnsi="Arial" w:cs="Arial"/>
        </w:rPr>
      </w:pPr>
    </w:p>
    <w:p w14:paraId="5CFA8792" w14:textId="77777777" w:rsidR="007D5348" w:rsidRPr="003E75D7" w:rsidRDefault="007D5348" w:rsidP="00D759DA">
      <w:pPr>
        <w:jc w:val="both"/>
        <w:rPr>
          <w:rFonts w:ascii="Arial" w:hAnsi="Arial" w:cs="Arial"/>
        </w:rPr>
      </w:pPr>
    </w:p>
    <w:p w14:paraId="122FD1F2" w14:textId="77777777" w:rsidR="007D5348" w:rsidRPr="003E75D7" w:rsidRDefault="007D5348" w:rsidP="00D759DA">
      <w:pPr>
        <w:jc w:val="both"/>
        <w:rPr>
          <w:rFonts w:ascii="Arial" w:hAnsi="Arial" w:cs="Arial"/>
        </w:rPr>
      </w:pPr>
    </w:p>
    <w:p w14:paraId="4F95E597" w14:textId="77777777" w:rsidR="007D5348" w:rsidRPr="003E75D7" w:rsidRDefault="007D5348" w:rsidP="00D759DA">
      <w:pPr>
        <w:jc w:val="both"/>
        <w:rPr>
          <w:rFonts w:ascii="Arial" w:hAnsi="Arial" w:cs="Arial"/>
        </w:rPr>
      </w:pPr>
    </w:p>
    <w:p w14:paraId="44959FEE" w14:textId="77777777" w:rsidR="007D5348" w:rsidRPr="003E75D7" w:rsidRDefault="007D5348" w:rsidP="00D759DA">
      <w:pPr>
        <w:jc w:val="both"/>
        <w:rPr>
          <w:rFonts w:ascii="Arial" w:hAnsi="Arial" w:cs="Arial"/>
        </w:rPr>
      </w:pPr>
    </w:p>
    <w:p w14:paraId="3B2551A4" w14:textId="77777777" w:rsidR="007D5348" w:rsidRPr="003E75D7" w:rsidRDefault="007D5348" w:rsidP="00D759DA">
      <w:pPr>
        <w:jc w:val="both"/>
        <w:rPr>
          <w:rFonts w:ascii="Arial" w:hAnsi="Arial" w:cs="Arial"/>
        </w:rPr>
      </w:pPr>
    </w:p>
    <w:p w14:paraId="21B9D4CD" w14:textId="77777777" w:rsidR="007D5348" w:rsidRPr="003E75D7" w:rsidRDefault="007D5348" w:rsidP="00D759DA">
      <w:pPr>
        <w:jc w:val="both"/>
        <w:rPr>
          <w:rFonts w:ascii="Arial" w:hAnsi="Arial" w:cs="Arial"/>
        </w:rPr>
      </w:pPr>
    </w:p>
    <w:p w14:paraId="7125763D" w14:textId="77777777" w:rsidR="007D5348" w:rsidRPr="003E75D7" w:rsidRDefault="007D5348" w:rsidP="00D759DA">
      <w:pPr>
        <w:jc w:val="both"/>
        <w:rPr>
          <w:rFonts w:ascii="Arial" w:hAnsi="Arial" w:cs="Arial"/>
        </w:rPr>
      </w:pPr>
    </w:p>
    <w:p w14:paraId="45360416" w14:textId="77777777" w:rsidR="007D5348" w:rsidRPr="003E75D7" w:rsidRDefault="007D5348" w:rsidP="00D759DA">
      <w:pPr>
        <w:jc w:val="both"/>
        <w:rPr>
          <w:rFonts w:ascii="Arial" w:hAnsi="Arial" w:cs="Arial"/>
        </w:rPr>
      </w:pPr>
    </w:p>
    <w:p w14:paraId="09B75420" w14:textId="77777777" w:rsidR="007D5348" w:rsidRPr="003E75D7" w:rsidRDefault="007D5348" w:rsidP="007D5348">
      <w:pPr>
        <w:pStyle w:val="Footnote"/>
      </w:pPr>
    </w:p>
    <w:p w14:paraId="6D8A1733" w14:textId="77777777" w:rsidR="006C4E55" w:rsidRDefault="006C4E55" w:rsidP="007D5348">
      <w:pPr>
        <w:pStyle w:val="Footnote"/>
      </w:pPr>
    </w:p>
    <w:p w14:paraId="5922F7DC" w14:textId="6800310B" w:rsidR="007D5348" w:rsidRPr="003E75D7" w:rsidRDefault="007D5348" w:rsidP="007D5348">
      <w:pPr>
        <w:pStyle w:val="Footnote"/>
      </w:pPr>
      <w:r w:rsidRPr="003E75D7">
        <w:t xml:space="preserve">Source: </w:t>
      </w:r>
      <w:r w:rsidR="006C4E55">
        <w:t>Company files.</w:t>
      </w:r>
    </w:p>
    <w:p w14:paraId="2D8BA184" w14:textId="77777777" w:rsidR="007D5348" w:rsidRPr="003E75D7" w:rsidRDefault="007D5348">
      <w:pPr>
        <w:spacing w:after="200" w:line="276" w:lineRule="auto"/>
        <w:rPr>
          <w:rFonts w:ascii="Arial" w:hAnsi="Arial" w:cs="Arial"/>
          <w:sz w:val="17"/>
          <w:szCs w:val="17"/>
        </w:rPr>
      </w:pPr>
      <w:r w:rsidRPr="003E75D7">
        <w:br w:type="page"/>
      </w:r>
    </w:p>
    <w:p w14:paraId="60C022B0" w14:textId="72E7F1D0" w:rsidR="00D759DA" w:rsidRPr="003E75D7" w:rsidRDefault="00D759DA" w:rsidP="007D5348">
      <w:pPr>
        <w:pStyle w:val="ExhibitNumber"/>
      </w:pPr>
      <w:r w:rsidRPr="003E75D7">
        <w:lastRenderedPageBreak/>
        <w:t>EXHIBIT 5: INFORMATION REGARDING TAMIL</w:t>
      </w:r>
      <w:r w:rsidR="00944D15" w:rsidRPr="003E75D7">
        <w:t xml:space="preserve"> </w:t>
      </w:r>
      <w:r w:rsidRPr="003E75D7">
        <w:t>NADU HANDLOOM WEAVERS (</w:t>
      </w:r>
      <w:r w:rsidR="00ED6C77" w:rsidRPr="003E75D7">
        <w:t xml:space="preserve">FY </w:t>
      </w:r>
      <w:r w:rsidRPr="003E75D7">
        <w:t>2009</w:t>
      </w:r>
      <w:r w:rsidR="00944D15" w:rsidRPr="003E75D7">
        <w:t>–</w:t>
      </w:r>
      <w:r w:rsidRPr="003E75D7">
        <w:t>10)</w:t>
      </w:r>
    </w:p>
    <w:p w14:paraId="45FF9CB1" w14:textId="77777777" w:rsidR="00D759DA" w:rsidRPr="003E75D7" w:rsidRDefault="00D759DA" w:rsidP="00D759DA">
      <w:pPr>
        <w:jc w:val="both"/>
        <w:rPr>
          <w:rFonts w:ascii="Arial" w:hAnsi="Arial" w:cs="Arial"/>
          <w:b/>
        </w:rPr>
      </w:pPr>
    </w:p>
    <w:tbl>
      <w:tblPr>
        <w:tblStyle w:val="TableGrid"/>
        <w:tblW w:w="0" w:type="auto"/>
        <w:jc w:val="center"/>
        <w:tblLook w:val="04A0" w:firstRow="1" w:lastRow="0" w:firstColumn="1" w:lastColumn="0" w:noHBand="0" w:noVBand="1"/>
      </w:tblPr>
      <w:tblGrid>
        <w:gridCol w:w="2590"/>
        <w:gridCol w:w="1703"/>
        <w:gridCol w:w="1703"/>
        <w:gridCol w:w="1703"/>
      </w:tblGrid>
      <w:tr w:rsidR="00775B8F" w:rsidRPr="003E75D7" w14:paraId="3AE2790F" w14:textId="77777777" w:rsidTr="005A5AE7">
        <w:trPr>
          <w:jc w:val="center"/>
        </w:trPr>
        <w:tc>
          <w:tcPr>
            <w:tcW w:w="2590" w:type="dxa"/>
            <w:vAlign w:val="center"/>
          </w:tcPr>
          <w:p w14:paraId="62CDB81B" w14:textId="77777777" w:rsidR="00775B8F" w:rsidRPr="003E75D7" w:rsidRDefault="00775B8F" w:rsidP="004B6BAC">
            <w:pPr>
              <w:jc w:val="center"/>
              <w:rPr>
                <w:rFonts w:ascii="Arial" w:hAnsi="Arial" w:cs="Arial"/>
                <w:b/>
                <w:sz w:val="17"/>
                <w:szCs w:val="17"/>
              </w:rPr>
            </w:pPr>
            <w:bookmarkStart w:id="0" w:name="_GoBack"/>
            <w:bookmarkEnd w:id="0"/>
            <w:r w:rsidRPr="003E75D7">
              <w:rPr>
                <w:rFonts w:ascii="Arial" w:hAnsi="Arial" w:cs="Arial"/>
                <w:b/>
                <w:sz w:val="17"/>
                <w:szCs w:val="17"/>
              </w:rPr>
              <w:t>Parameter</w:t>
            </w:r>
          </w:p>
        </w:tc>
        <w:tc>
          <w:tcPr>
            <w:tcW w:w="1703" w:type="dxa"/>
            <w:vAlign w:val="center"/>
          </w:tcPr>
          <w:p w14:paraId="091CDE9F" w14:textId="50030EAB" w:rsidR="00775B8F" w:rsidRPr="003E75D7" w:rsidRDefault="00775B8F" w:rsidP="0000065D">
            <w:pPr>
              <w:jc w:val="center"/>
              <w:rPr>
                <w:rFonts w:ascii="Arial" w:hAnsi="Arial" w:cs="Arial"/>
                <w:b/>
                <w:sz w:val="17"/>
                <w:szCs w:val="17"/>
              </w:rPr>
            </w:pPr>
            <w:r w:rsidRPr="003E75D7">
              <w:rPr>
                <w:rFonts w:ascii="Arial" w:hAnsi="Arial" w:cs="Arial"/>
                <w:b/>
                <w:sz w:val="17"/>
                <w:szCs w:val="17"/>
              </w:rPr>
              <w:t>No. of Rural Households (as % of Total Rural H</w:t>
            </w:r>
            <w:r>
              <w:rPr>
                <w:rFonts w:ascii="Arial" w:hAnsi="Arial" w:cs="Arial"/>
                <w:b/>
                <w:sz w:val="17"/>
                <w:szCs w:val="17"/>
              </w:rPr>
              <w:t>ouseholds</w:t>
            </w:r>
            <w:r w:rsidRPr="003E75D7">
              <w:rPr>
                <w:rFonts w:ascii="Arial" w:hAnsi="Arial" w:cs="Arial"/>
                <w:b/>
                <w:sz w:val="17"/>
                <w:szCs w:val="17"/>
              </w:rPr>
              <w:t>)</w:t>
            </w:r>
          </w:p>
        </w:tc>
        <w:tc>
          <w:tcPr>
            <w:tcW w:w="1703" w:type="dxa"/>
            <w:vAlign w:val="center"/>
          </w:tcPr>
          <w:p w14:paraId="33952213" w14:textId="02427FDD" w:rsidR="00775B8F" w:rsidRPr="003E75D7" w:rsidRDefault="00775B8F" w:rsidP="0000065D">
            <w:pPr>
              <w:jc w:val="center"/>
              <w:rPr>
                <w:rFonts w:ascii="Arial" w:hAnsi="Arial" w:cs="Arial"/>
                <w:b/>
                <w:sz w:val="17"/>
                <w:szCs w:val="17"/>
              </w:rPr>
            </w:pPr>
            <w:r w:rsidRPr="003E75D7">
              <w:rPr>
                <w:rFonts w:ascii="Arial" w:hAnsi="Arial" w:cs="Arial"/>
                <w:b/>
                <w:sz w:val="17"/>
                <w:szCs w:val="17"/>
              </w:rPr>
              <w:t>No. of Urban Households (as % of Total Urban H</w:t>
            </w:r>
            <w:r>
              <w:rPr>
                <w:rFonts w:ascii="Arial" w:hAnsi="Arial" w:cs="Arial"/>
                <w:b/>
                <w:sz w:val="17"/>
                <w:szCs w:val="17"/>
              </w:rPr>
              <w:t>ouseholds</w:t>
            </w:r>
            <w:r w:rsidRPr="003E75D7">
              <w:rPr>
                <w:rFonts w:ascii="Arial" w:hAnsi="Arial" w:cs="Arial"/>
                <w:b/>
                <w:sz w:val="17"/>
                <w:szCs w:val="17"/>
              </w:rPr>
              <w:t>)</w:t>
            </w:r>
          </w:p>
        </w:tc>
        <w:tc>
          <w:tcPr>
            <w:tcW w:w="1703" w:type="dxa"/>
            <w:vAlign w:val="center"/>
          </w:tcPr>
          <w:p w14:paraId="7B490219" w14:textId="20E7BB29" w:rsidR="00775B8F" w:rsidRPr="003E75D7" w:rsidRDefault="00775B8F" w:rsidP="0000065D">
            <w:pPr>
              <w:jc w:val="center"/>
              <w:rPr>
                <w:rFonts w:ascii="Arial" w:hAnsi="Arial" w:cs="Arial"/>
                <w:b/>
                <w:sz w:val="17"/>
                <w:szCs w:val="17"/>
              </w:rPr>
            </w:pPr>
            <w:r w:rsidRPr="003E75D7">
              <w:rPr>
                <w:rFonts w:ascii="Arial" w:hAnsi="Arial" w:cs="Arial"/>
                <w:b/>
                <w:sz w:val="17"/>
                <w:szCs w:val="17"/>
              </w:rPr>
              <w:t>Total (as % of Total H</w:t>
            </w:r>
            <w:r>
              <w:rPr>
                <w:rFonts w:ascii="Arial" w:hAnsi="Arial" w:cs="Arial"/>
                <w:b/>
                <w:sz w:val="17"/>
                <w:szCs w:val="17"/>
              </w:rPr>
              <w:t>ouseholds</w:t>
            </w:r>
            <w:r w:rsidRPr="003E75D7">
              <w:rPr>
                <w:rFonts w:ascii="Arial" w:hAnsi="Arial" w:cs="Arial"/>
                <w:b/>
                <w:sz w:val="17"/>
                <w:szCs w:val="17"/>
              </w:rPr>
              <w:t>)</w:t>
            </w:r>
          </w:p>
        </w:tc>
      </w:tr>
      <w:tr w:rsidR="00775B8F" w:rsidRPr="003E75D7" w14:paraId="2C2AEFEA" w14:textId="77777777" w:rsidTr="007D5348">
        <w:trPr>
          <w:jc w:val="center"/>
        </w:trPr>
        <w:tc>
          <w:tcPr>
            <w:tcW w:w="2590" w:type="dxa"/>
          </w:tcPr>
          <w:p w14:paraId="64D46E84" w14:textId="77777777" w:rsidR="00775B8F" w:rsidRPr="003E75D7" w:rsidRDefault="00775B8F" w:rsidP="0000065D">
            <w:pPr>
              <w:rPr>
                <w:rFonts w:ascii="Arial" w:hAnsi="Arial" w:cs="Arial"/>
                <w:sz w:val="17"/>
                <w:szCs w:val="17"/>
              </w:rPr>
            </w:pPr>
            <w:r w:rsidRPr="003E75D7">
              <w:rPr>
                <w:rFonts w:ascii="Arial" w:hAnsi="Arial" w:cs="Arial"/>
                <w:sz w:val="17"/>
                <w:szCs w:val="17"/>
              </w:rPr>
              <w:t>Number of handloom worker households (weavers and allied workers)</w:t>
            </w:r>
          </w:p>
        </w:tc>
        <w:tc>
          <w:tcPr>
            <w:tcW w:w="1703" w:type="dxa"/>
          </w:tcPr>
          <w:p w14:paraId="44A0B16B" w14:textId="15C2F2CE" w:rsidR="00775B8F" w:rsidRPr="003E75D7" w:rsidRDefault="00775B8F" w:rsidP="005A5AE7">
            <w:pPr>
              <w:jc w:val="right"/>
              <w:rPr>
                <w:rFonts w:ascii="Arial" w:hAnsi="Arial" w:cs="Arial"/>
                <w:sz w:val="17"/>
                <w:szCs w:val="17"/>
              </w:rPr>
            </w:pPr>
            <w:r w:rsidRPr="003E75D7">
              <w:rPr>
                <w:rFonts w:ascii="Arial" w:hAnsi="Arial" w:cs="Arial"/>
                <w:sz w:val="17"/>
                <w:szCs w:val="17"/>
              </w:rPr>
              <w:t>113,032</w:t>
            </w:r>
          </w:p>
        </w:tc>
        <w:tc>
          <w:tcPr>
            <w:tcW w:w="1703" w:type="dxa"/>
          </w:tcPr>
          <w:p w14:paraId="63C32C30" w14:textId="3C49FB5D" w:rsidR="00775B8F" w:rsidRPr="003E75D7" w:rsidRDefault="00775B8F" w:rsidP="005A5AE7">
            <w:pPr>
              <w:jc w:val="right"/>
              <w:rPr>
                <w:rFonts w:ascii="Arial" w:hAnsi="Arial" w:cs="Arial"/>
                <w:sz w:val="17"/>
                <w:szCs w:val="17"/>
              </w:rPr>
            </w:pPr>
            <w:r w:rsidRPr="003E75D7">
              <w:rPr>
                <w:rFonts w:ascii="Arial" w:hAnsi="Arial" w:cs="Arial"/>
                <w:sz w:val="17"/>
                <w:szCs w:val="17"/>
              </w:rPr>
              <w:t>76,037</w:t>
            </w:r>
          </w:p>
        </w:tc>
        <w:tc>
          <w:tcPr>
            <w:tcW w:w="1703" w:type="dxa"/>
          </w:tcPr>
          <w:p w14:paraId="518310DE" w14:textId="3A99E098" w:rsidR="00775B8F" w:rsidRPr="003E75D7" w:rsidRDefault="00775B8F" w:rsidP="005A5AE7">
            <w:pPr>
              <w:jc w:val="right"/>
              <w:rPr>
                <w:rFonts w:ascii="Arial" w:hAnsi="Arial" w:cs="Arial"/>
                <w:sz w:val="17"/>
                <w:szCs w:val="17"/>
              </w:rPr>
            </w:pPr>
            <w:r w:rsidRPr="003E75D7">
              <w:rPr>
                <w:rFonts w:ascii="Arial" w:hAnsi="Arial" w:cs="Arial"/>
                <w:sz w:val="17"/>
                <w:szCs w:val="17"/>
              </w:rPr>
              <w:t>189,069</w:t>
            </w:r>
          </w:p>
        </w:tc>
      </w:tr>
      <w:tr w:rsidR="00775B8F" w:rsidRPr="003E75D7" w14:paraId="03452564" w14:textId="77777777" w:rsidTr="007D5348">
        <w:trPr>
          <w:jc w:val="center"/>
        </w:trPr>
        <w:tc>
          <w:tcPr>
            <w:tcW w:w="2590" w:type="dxa"/>
          </w:tcPr>
          <w:p w14:paraId="4518F1F1" w14:textId="77777777" w:rsidR="00775B8F" w:rsidRPr="003E75D7" w:rsidRDefault="00775B8F" w:rsidP="0000065D">
            <w:pPr>
              <w:rPr>
                <w:rFonts w:ascii="Arial" w:hAnsi="Arial" w:cs="Arial"/>
                <w:sz w:val="17"/>
                <w:szCs w:val="17"/>
              </w:rPr>
            </w:pPr>
            <w:r w:rsidRPr="003E75D7">
              <w:rPr>
                <w:rFonts w:ascii="Arial" w:hAnsi="Arial" w:cs="Arial"/>
                <w:sz w:val="17"/>
                <w:szCs w:val="17"/>
              </w:rPr>
              <w:t xml:space="preserve">Handloom worker households in possession of looms </w:t>
            </w:r>
          </w:p>
        </w:tc>
        <w:tc>
          <w:tcPr>
            <w:tcW w:w="1703" w:type="dxa"/>
          </w:tcPr>
          <w:p w14:paraId="69067FE4" w14:textId="2CCED4B5" w:rsidR="00775B8F" w:rsidRPr="003E75D7" w:rsidRDefault="00775B8F" w:rsidP="005A5AE7">
            <w:pPr>
              <w:jc w:val="right"/>
              <w:rPr>
                <w:rFonts w:ascii="Arial" w:hAnsi="Arial" w:cs="Arial"/>
                <w:sz w:val="17"/>
                <w:szCs w:val="17"/>
              </w:rPr>
            </w:pPr>
            <w:r w:rsidRPr="003E75D7">
              <w:rPr>
                <w:rFonts w:ascii="Arial" w:hAnsi="Arial" w:cs="Arial"/>
                <w:sz w:val="17"/>
                <w:szCs w:val="17"/>
              </w:rPr>
              <w:t>63,202 (55.9)</w:t>
            </w:r>
          </w:p>
        </w:tc>
        <w:tc>
          <w:tcPr>
            <w:tcW w:w="1703" w:type="dxa"/>
          </w:tcPr>
          <w:p w14:paraId="396549C3" w14:textId="5168ED88" w:rsidR="00775B8F" w:rsidRPr="003E75D7" w:rsidRDefault="00775B8F" w:rsidP="005A5AE7">
            <w:pPr>
              <w:jc w:val="right"/>
              <w:rPr>
                <w:rFonts w:ascii="Arial" w:hAnsi="Arial" w:cs="Arial"/>
                <w:sz w:val="17"/>
                <w:szCs w:val="17"/>
              </w:rPr>
            </w:pPr>
            <w:r w:rsidRPr="003E75D7">
              <w:rPr>
                <w:rFonts w:ascii="Arial" w:hAnsi="Arial" w:cs="Arial"/>
                <w:sz w:val="17"/>
                <w:szCs w:val="17"/>
              </w:rPr>
              <w:t>41,920 (55.1)</w:t>
            </w:r>
          </w:p>
        </w:tc>
        <w:tc>
          <w:tcPr>
            <w:tcW w:w="1703" w:type="dxa"/>
          </w:tcPr>
          <w:p w14:paraId="7DCB81F2" w14:textId="7D3CF7F2" w:rsidR="00775B8F" w:rsidRPr="003E75D7" w:rsidRDefault="00775B8F" w:rsidP="00A849D6">
            <w:pPr>
              <w:tabs>
                <w:tab w:val="left" w:pos="1084"/>
              </w:tabs>
              <w:jc w:val="right"/>
              <w:rPr>
                <w:rFonts w:ascii="Arial" w:hAnsi="Arial" w:cs="Arial"/>
                <w:sz w:val="17"/>
                <w:szCs w:val="17"/>
              </w:rPr>
            </w:pPr>
            <w:r w:rsidRPr="003E75D7">
              <w:rPr>
                <w:rFonts w:ascii="Arial" w:hAnsi="Arial" w:cs="Arial"/>
                <w:sz w:val="17"/>
                <w:szCs w:val="17"/>
              </w:rPr>
              <w:t>105,122 (55.5)</w:t>
            </w:r>
          </w:p>
        </w:tc>
      </w:tr>
      <w:tr w:rsidR="00775B8F" w:rsidRPr="003E75D7" w14:paraId="21349B3B" w14:textId="77777777" w:rsidTr="007D5348">
        <w:trPr>
          <w:jc w:val="center"/>
        </w:trPr>
        <w:tc>
          <w:tcPr>
            <w:tcW w:w="2590" w:type="dxa"/>
          </w:tcPr>
          <w:p w14:paraId="499E4733" w14:textId="77777777" w:rsidR="00775B8F" w:rsidRPr="003E75D7" w:rsidRDefault="00775B8F" w:rsidP="0000065D">
            <w:pPr>
              <w:rPr>
                <w:rFonts w:ascii="Arial" w:hAnsi="Arial" w:cs="Arial"/>
                <w:sz w:val="17"/>
                <w:szCs w:val="17"/>
              </w:rPr>
            </w:pPr>
            <w:r w:rsidRPr="003E75D7">
              <w:rPr>
                <w:rFonts w:ascii="Arial" w:hAnsi="Arial" w:cs="Arial"/>
                <w:sz w:val="17"/>
                <w:szCs w:val="17"/>
              </w:rPr>
              <w:t xml:space="preserve">Handloom worker households by usage of looms for commercial purposes </w:t>
            </w:r>
          </w:p>
        </w:tc>
        <w:tc>
          <w:tcPr>
            <w:tcW w:w="1703" w:type="dxa"/>
          </w:tcPr>
          <w:p w14:paraId="581E43BF" w14:textId="1C98CBCA" w:rsidR="00775B8F" w:rsidRPr="003E75D7" w:rsidRDefault="00775B8F" w:rsidP="005A5AE7">
            <w:pPr>
              <w:jc w:val="right"/>
              <w:rPr>
                <w:rFonts w:ascii="Arial" w:hAnsi="Arial" w:cs="Arial"/>
                <w:sz w:val="17"/>
                <w:szCs w:val="17"/>
              </w:rPr>
            </w:pPr>
            <w:r w:rsidRPr="003E75D7">
              <w:rPr>
                <w:rFonts w:ascii="Arial" w:hAnsi="Arial" w:cs="Arial"/>
                <w:sz w:val="17"/>
                <w:szCs w:val="17"/>
              </w:rPr>
              <w:t>106,105 (93.8)</w:t>
            </w:r>
          </w:p>
        </w:tc>
        <w:tc>
          <w:tcPr>
            <w:tcW w:w="1703" w:type="dxa"/>
          </w:tcPr>
          <w:p w14:paraId="1C19D686" w14:textId="1C750C63" w:rsidR="00775B8F" w:rsidRPr="003E75D7" w:rsidRDefault="00775B8F" w:rsidP="005A5AE7">
            <w:pPr>
              <w:jc w:val="right"/>
              <w:rPr>
                <w:rFonts w:ascii="Arial" w:hAnsi="Arial" w:cs="Arial"/>
                <w:sz w:val="17"/>
                <w:szCs w:val="17"/>
              </w:rPr>
            </w:pPr>
            <w:r w:rsidRPr="003E75D7">
              <w:rPr>
                <w:rFonts w:ascii="Arial" w:hAnsi="Arial" w:cs="Arial"/>
                <w:sz w:val="17"/>
                <w:szCs w:val="17"/>
              </w:rPr>
              <w:t>72,798 (95.7)</w:t>
            </w:r>
          </w:p>
        </w:tc>
        <w:tc>
          <w:tcPr>
            <w:tcW w:w="1703" w:type="dxa"/>
          </w:tcPr>
          <w:p w14:paraId="264787E1" w14:textId="270104F6" w:rsidR="00775B8F" w:rsidRPr="003E75D7" w:rsidRDefault="00775B8F" w:rsidP="005A5AE7">
            <w:pPr>
              <w:jc w:val="right"/>
              <w:rPr>
                <w:rFonts w:ascii="Arial" w:hAnsi="Arial" w:cs="Arial"/>
                <w:sz w:val="17"/>
                <w:szCs w:val="17"/>
              </w:rPr>
            </w:pPr>
            <w:r w:rsidRPr="003E75D7">
              <w:rPr>
                <w:rFonts w:ascii="Arial" w:hAnsi="Arial" w:cs="Arial"/>
                <w:sz w:val="17"/>
                <w:szCs w:val="17"/>
              </w:rPr>
              <w:t>178,903 (94.6)</w:t>
            </w:r>
          </w:p>
        </w:tc>
      </w:tr>
      <w:tr w:rsidR="00775B8F" w:rsidRPr="003E75D7" w14:paraId="4DE9601F" w14:textId="77777777" w:rsidTr="007D5348">
        <w:trPr>
          <w:jc w:val="center"/>
        </w:trPr>
        <w:tc>
          <w:tcPr>
            <w:tcW w:w="2590" w:type="dxa"/>
          </w:tcPr>
          <w:p w14:paraId="35354F0C" w14:textId="77777777" w:rsidR="00775B8F" w:rsidRPr="003E75D7" w:rsidRDefault="00775B8F" w:rsidP="0000065D">
            <w:pPr>
              <w:rPr>
                <w:rFonts w:ascii="Arial" w:hAnsi="Arial" w:cs="Arial"/>
                <w:sz w:val="17"/>
                <w:szCs w:val="17"/>
              </w:rPr>
            </w:pPr>
            <w:r w:rsidRPr="003E75D7">
              <w:rPr>
                <w:rFonts w:ascii="Arial" w:hAnsi="Arial" w:cs="Arial"/>
                <w:sz w:val="17"/>
                <w:szCs w:val="17"/>
              </w:rPr>
              <w:t>Handloom worker households ration cards</w:t>
            </w:r>
            <w:r w:rsidRPr="003E75D7">
              <w:rPr>
                <w:rStyle w:val="EndnoteReference"/>
                <w:rFonts w:ascii="Arial" w:hAnsi="Arial" w:cs="Arial"/>
                <w:sz w:val="17"/>
                <w:szCs w:val="17"/>
              </w:rPr>
              <w:endnoteReference w:id="32"/>
            </w:r>
          </w:p>
        </w:tc>
        <w:tc>
          <w:tcPr>
            <w:tcW w:w="1703" w:type="dxa"/>
          </w:tcPr>
          <w:p w14:paraId="592646EA" w14:textId="416D63C1" w:rsidR="00775B8F" w:rsidRPr="003E75D7" w:rsidRDefault="00775B8F" w:rsidP="005A5AE7">
            <w:pPr>
              <w:jc w:val="right"/>
              <w:rPr>
                <w:rFonts w:ascii="Arial" w:hAnsi="Arial" w:cs="Arial"/>
                <w:sz w:val="17"/>
                <w:szCs w:val="17"/>
              </w:rPr>
            </w:pPr>
            <w:r w:rsidRPr="003E75D7">
              <w:rPr>
                <w:rFonts w:ascii="Arial" w:hAnsi="Arial" w:cs="Arial"/>
                <w:sz w:val="17"/>
                <w:szCs w:val="17"/>
              </w:rPr>
              <w:t>105,074 (92.7)</w:t>
            </w:r>
          </w:p>
        </w:tc>
        <w:tc>
          <w:tcPr>
            <w:tcW w:w="1703" w:type="dxa"/>
          </w:tcPr>
          <w:p w14:paraId="2C7B6AC2" w14:textId="74E8A7AA" w:rsidR="00775B8F" w:rsidRPr="003E75D7" w:rsidRDefault="00775B8F" w:rsidP="005A5AE7">
            <w:pPr>
              <w:jc w:val="right"/>
              <w:rPr>
                <w:rFonts w:ascii="Arial" w:hAnsi="Arial" w:cs="Arial"/>
                <w:sz w:val="17"/>
                <w:szCs w:val="17"/>
              </w:rPr>
            </w:pPr>
            <w:r w:rsidRPr="003E75D7">
              <w:rPr>
                <w:rFonts w:ascii="Arial" w:hAnsi="Arial" w:cs="Arial"/>
                <w:sz w:val="17"/>
                <w:szCs w:val="17"/>
              </w:rPr>
              <w:t>71,929 (94.5)</w:t>
            </w:r>
          </w:p>
        </w:tc>
        <w:tc>
          <w:tcPr>
            <w:tcW w:w="1703" w:type="dxa"/>
          </w:tcPr>
          <w:p w14:paraId="15BB4F99" w14:textId="6D28298E" w:rsidR="00775B8F" w:rsidRPr="003E75D7" w:rsidRDefault="00775B8F" w:rsidP="005A5AE7">
            <w:pPr>
              <w:jc w:val="right"/>
              <w:rPr>
                <w:rFonts w:ascii="Arial" w:hAnsi="Arial" w:cs="Arial"/>
                <w:sz w:val="17"/>
                <w:szCs w:val="17"/>
              </w:rPr>
            </w:pPr>
            <w:r w:rsidRPr="003E75D7">
              <w:rPr>
                <w:rFonts w:ascii="Arial" w:hAnsi="Arial" w:cs="Arial"/>
                <w:sz w:val="17"/>
                <w:szCs w:val="17"/>
              </w:rPr>
              <w:t>177,003 (93.6)</w:t>
            </w:r>
          </w:p>
        </w:tc>
      </w:tr>
      <w:tr w:rsidR="00775B8F" w:rsidRPr="003E75D7" w14:paraId="379B820C" w14:textId="77777777" w:rsidTr="007D5348">
        <w:trPr>
          <w:jc w:val="center"/>
        </w:trPr>
        <w:tc>
          <w:tcPr>
            <w:tcW w:w="2590" w:type="dxa"/>
          </w:tcPr>
          <w:p w14:paraId="2190380D" w14:textId="77777777" w:rsidR="00775B8F" w:rsidRPr="003E75D7" w:rsidRDefault="00775B8F" w:rsidP="0000065D">
            <w:pPr>
              <w:rPr>
                <w:rFonts w:ascii="Arial" w:hAnsi="Arial" w:cs="Arial"/>
                <w:sz w:val="17"/>
                <w:szCs w:val="17"/>
              </w:rPr>
            </w:pPr>
            <w:r w:rsidRPr="003E75D7">
              <w:rPr>
                <w:rFonts w:ascii="Arial" w:hAnsi="Arial" w:cs="Arial"/>
                <w:sz w:val="17"/>
                <w:szCs w:val="17"/>
              </w:rPr>
              <w:t>Total handloom workers by age group:</w:t>
            </w:r>
          </w:p>
          <w:p w14:paraId="34C3088A" w14:textId="77777777" w:rsidR="00775B8F" w:rsidRPr="003E75D7" w:rsidRDefault="00775B8F" w:rsidP="0000065D">
            <w:pPr>
              <w:rPr>
                <w:rFonts w:ascii="Arial" w:hAnsi="Arial" w:cs="Arial"/>
                <w:sz w:val="17"/>
                <w:szCs w:val="17"/>
              </w:rPr>
            </w:pPr>
            <w:r w:rsidRPr="003E75D7">
              <w:rPr>
                <w:rFonts w:ascii="Arial" w:hAnsi="Arial" w:cs="Arial"/>
                <w:sz w:val="17"/>
                <w:szCs w:val="17"/>
              </w:rPr>
              <w:t>&lt; 18 years</w:t>
            </w:r>
          </w:p>
          <w:p w14:paraId="392B6A5A" w14:textId="77777777" w:rsidR="00775B8F" w:rsidRPr="003E75D7" w:rsidRDefault="00775B8F" w:rsidP="0000065D">
            <w:pPr>
              <w:rPr>
                <w:rFonts w:ascii="Arial" w:hAnsi="Arial" w:cs="Arial"/>
                <w:sz w:val="17"/>
                <w:szCs w:val="17"/>
              </w:rPr>
            </w:pPr>
            <w:r w:rsidRPr="003E75D7">
              <w:rPr>
                <w:rFonts w:ascii="Arial" w:hAnsi="Arial" w:cs="Arial"/>
                <w:sz w:val="17"/>
                <w:szCs w:val="17"/>
              </w:rPr>
              <w:t>18 years and above</w:t>
            </w:r>
          </w:p>
          <w:p w14:paraId="519BDED4" w14:textId="77777777" w:rsidR="00775B8F" w:rsidRPr="003E75D7" w:rsidRDefault="00775B8F" w:rsidP="0000065D">
            <w:pPr>
              <w:rPr>
                <w:rFonts w:ascii="Arial" w:hAnsi="Arial" w:cs="Arial"/>
                <w:sz w:val="17"/>
                <w:szCs w:val="17"/>
              </w:rPr>
            </w:pPr>
            <w:r w:rsidRPr="003E75D7">
              <w:rPr>
                <w:rFonts w:ascii="Arial" w:hAnsi="Arial" w:cs="Arial"/>
                <w:sz w:val="17"/>
                <w:szCs w:val="17"/>
              </w:rPr>
              <w:t>Total workforce (all ages)</w:t>
            </w:r>
          </w:p>
        </w:tc>
        <w:tc>
          <w:tcPr>
            <w:tcW w:w="1703" w:type="dxa"/>
          </w:tcPr>
          <w:p w14:paraId="63C04693" w14:textId="77777777" w:rsidR="00775B8F" w:rsidRPr="003E75D7" w:rsidRDefault="00775B8F" w:rsidP="005A5AE7">
            <w:pPr>
              <w:jc w:val="right"/>
              <w:rPr>
                <w:rFonts w:ascii="Arial" w:hAnsi="Arial" w:cs="Arial"/>
                <w:sz w:val="17"/>
                <w:szCs w:val="17"/>
              </w:rPr>
            </w:pPr>
          </w:p>
          <w:p w14:paraId="62607441" w14:textId="77777777" w:rsidR="00775B8F" w:rsidRPr="003E75D7" w:rsidRDefault="00775B8F" w:rsidP="005A5AE7">
            <w:pPr>
              <w:jc w:val="right"/>
              <w:rPr>
                <w:rFonts w:ascii="Arial" w:hAnsi="Arial" w:cs="Arial"/>
                <w:sz w:val="17"/>
                <w:szCs w:val="17"/>
              </w:rPr>
            </w:pPr>
          </w:p>
          <w:p w14:paraId="2958CF4F" w14:textId="48E991CD" w:rsidR="00775B8F" w:rsidRPr="003E75D7" w:rsidRDefault="00775B8F" w:rsidP="005A5AE7">
            <w:pPr>
              <w:jc w:val="right"/>
              <w:rPr>
                <w:rFonts w:ascii="Arial" w:hAnsi="Arial" w:cs="Arial"/>
                <w:sz w:val="17"/>
                <w:szCs w:val="17"/>
              </w:rPr>
            </w:pPr>
            <w:r w:rsidRPr="003E75D7">
              <w:rPr>
                <w:rFonts w:ascii="Arial" w:hAnsi="Arial" w:cs="Arial"/>
                <w:sz w:val="17"/>
                <w:szCs w:val="17"/>
              </w:rPr>
              <w:t>17,933</w:t>
            </w:r>
          </w:p>
          <w:p w14:paraId="4F15E08A" w14:textId="438B350C" w:rsidR="00775B8F" w:rsidRPr="003E75D7" w:rsidRDefault="00775B8F" w:rsidP="005A5AE7">
            <w:pPr>
              <w:jc w:val="right"/>
              <w:rPr>
                <w:rFonts w:ascii="Arial" w:hAnsi="Arial" w:cs="Arial"/>
                <w:sz w:val="17"/>
                <w:szCs w:val="17"/>
              </w:rPr>
            </w:pPr>
            <w:r w:rsidRPr="003E75D7">
              <w:rPr>
                <w:rFonts w:ascii="Arial" w:hAnsi="Arial" w:cs="Arial"/>
                <w:sz w:val="17"/>
                <w:szCs w:val="17"/>
              </w:rPr>
              <w:t>185,550</w:t>
            </w:r>
          </w:p>
          <w:p w14:paraId="1553FBFB" w14:textId="4E7EE374" w:rsidR="00775B8F" w:rsidRPr="003E75D7" w:rsidRDefault="00775B8F" w:rsidP="005A5AE7">
            <w:pPr>
              <w:jc w:val="right"/>
              <w:rPr>
                <w:rFonts w:ascii="Arial" w:hAnsi="Arial" w:cs="Arial"/>
                <w:sz w:val="17"/>
                <w:szCs w:val="17"/>
              </w:rPr>
            </w:pPr>
            <w:r w:rsidRPr="003E75D7">
              <w:rPr>
                <w:rFonts w:ascii="Arial" w:hAnsi="Arial" w:cs="Arial"/>
                <w:sz w:val="17"/>
                <w:szCs w:val="17"/>
              </w:rPr>
              <w:t>203,483</w:t>
            </w:r>
          </w:p>
        </w:tc>
        <w:tc>
          <w:tcPr>
            <w:tcW w:w="1703" w:type="dxa"/>
          </w:tcPr>
          <w:p w14:paraId="51F68A99" w14:textId="77777777" w:rsidR="00775B8F" w:rsidRPr="003E75D7" w:rsidRDefault="00775B8F" w:rsidP="005A5AE7">
            <w:pPr>
              <w:jc w:val="right"/>
              <w:rPr>
                <w:rFonts w:ascii="Arial" w:hAnsi="Arial" w:cs="Arial"/>
                <w:sz w:val="17"/>
                <w:szCs w:val="17"/>
              </w:rPr>
            </w:pPr>
          </w:p>
          <w:p w14:paraId="7A2FF52E" w14:textId="77777777" w:rsidR="00775B8F" w:rsidRPr="003E75D7" w:rsidRDefault="00775B8F" w:rsidP="005A5AE7">
            <w:pPr>
              <w:jc w:val="right"/>
              <w:rPr>
                <w:rFonts w:ascii="Arial" w:hAnsi="Arial" w:cs="Arial"/>
                <w:sz w:val="17"/>
                <w:szCs w:val="17"/>
              </w:rPr>
            </w:pPr>
          </w:p>
          <w:p w14:paraId="1CDDF19B" w14:textId="07AB124C" w:rsidR="00775B8F" w:rsidRPr="003E75D7" w:rsidRDefault="00775B8F" w:rsidP="005A5AE7">
            <w:pPr>
              <w:jc w:val="right"/>
              <w:rPr>
                <w:rFonts w:ascii="Arial" w:hAnsi="Arial" w:cs="Arial"/>
                <w:sz w:val="17"/>
                <w:szCs w:val="17"/>
              </w:rPr>
            </w:pPr>
            <w:r w:rsidRPr="003E75D7">
              <w:rPr>
                <w:rFonts w:ascii="Arial" w:hAnsi="Arial" w:cs="Arial"/>
                <w:sz w:val="17"/>
                <w:szCs w:val="17"/>
              </w:rPr>
              <w:t>15,876</w:t>
            </w:r>
          </w:p>
          <w:p w14:paraId="098A7F95" w14:textId="7137E076" w:rsidR="00775B8F" w:rsidRPr="003E75D7" w:rsidRDefault="00775B8F" w:rsidP="005A5AE7">
            <w:pPr>
              <w:jc w:val="right"/>
              <w:rPr>
                <w:rFonts w:ascii="Arial" w:hAnsi="Arial" w:cs="Arial"/>
                <w:sz w:val="17"/>
                <w:szCs w:val="17"/>
              </w:rPr>
            </w:pPr>
            <w:r w:rsidRPr="003E75D7">
              <w:rPr>
                <w:rFonts w:ascii="Arial" w:hAnsi="Arial" w:cs="Arial"/>
                <w:sz w:val="17"/>
                <w:szCs w:val="17"/>
              </w:rPr>
              <w:t>132,962</w:t>
            </w:r>
          </w:p>
          <w:p w14:paraId="214D3A6B" w14:textId="2F6C8505" w:rsidR="00775B8F" w:rsidRPr="003E75D7" w:rsidRDefault="00775B8F" w:rsidP="005A5AE7">
            <w:pPr>
              <w:jc w:val="right"/>
              <w:rPr>
                <w:rFonts w:ascii="Arial" w:hAnsi="Arial" w:cs="Arial"/>
                <w:sz w:val="17"/>
                <w:szCs w:val="17"/>
              </w:rPr>
            </w:pPr>
            <w:r w:rsidRPr="003E75D7">
              <w:rPr>
                <w:rFonts w:ascii="Arial" w:hAnsi="Arial" w:cs="Arial"/>
                <w:sz w:val="17"/>
                <w:szCs w:val="17"/>
              </w:rPr>
              <w:t>148,838</w:t>
            </w:r>
          </w:p>
        </w:tc>
        <w:tc>
          <w:tcPr>
            <w:tcW w:w="1703" w:type="dxa"/>
          </w:tcPr>
          <w:p w14:paraId="2AC6D2B2" w14:textId="77777777" w:rsidR="00775B8F" w:rsidRPr="003E75D7" w:rsidRDefault="00775B8F" w:rsidP="005A5AE7">
            <w:pPr>
              <w:jc w:val="right"/>
              <w:rPr>
                <w:rFonts w:ascii="Arial" w:hAnsi="Arial" w:cs="Arial"/>
                <w:sz w:val="17"/>
                <w:szCs w:val="17"/>
              </w:rPr>
            </w:pPr>
          </w:p>
          <w:p w14:paraId="288DB681" w14:textId="77777777" w:rsidR="00775B8F" w:rsidRPr="003E75D7" w:rsidRDefault="00775B8F" w:rsidP="005A5AE7">
            <w:pPr>
              <w:jc w:val="right"/>
              <w:rPr>
                <w:rFonts w:ascii="Arial" w:hAnsi="Arial" w:cs="Arial"/>
                <w:sz w:val="17"/>
                <w:szCs w:val="17"/>
              </w:rPr>
            </w:pPr>
          </w:p>
          <w:p w14:paraId="5F9F4369" w14:textId="38CF24C6" w:rsidR="00775B8F" w:rsidRPr="003E75D7" w:rsidRDefault="00775B8F" w:rsidP="005A5AE7">
            <w:pPr>
              <w:jc w:val="right"/>
              <w:rPr>
                <w:rFonts w:ascii="Arial" w:hAnsi="Arial" w:cs="Arial"/>
                <w:sz w:val="17"/>
                <w:szCs w:val="17"/>
              </w:rPr>
            </w:pPr>
            <w:r w:rsidRPr="003E75D7">
              <w:rPr>
                <w:rFonts w:ascii="Arial" w:hAnsi="Arial" w:cs="Arial"/>
                <w:sz w:val="17"/>
                <w:szCs w:val="17"/>
              </w:rPr>
              <w:t>33,809</w:t>
            </w:r>
          </w:p>
          <w:p w14:paraId="7BE9F718" w14:textId="7DC280E4" w:rsidR="00775B8F" w:rsidRPr="003E75D7" w:rsidRDefault="00775B8F" w:rsidP="005A5AE7">
            <w:pPr>
              <w:jc w:val="right"/>
              <w:rPr>
                <w:rFonts w:ascii="Arial" w:hAnsi="Arial" w:cs="Arial"/>
                <w:sz w:val="17"/>
                <w:szCs w:val="17"/>
              </w:rPr>
            </w:pPr>
            <w:r w:rsidRPr="003E75D7">
              <w:rPr>
                <w:rFonts w:ascii="Arial" w:hAnsi="Arial" w:cs="Arial"/>
                <w:sz w:val="17"/>
                <w:szCs w:val="17"/>
              </w:rPr>
              <w:t>318,512</w:t>
            </w:r>
          </w:p>
          <w:p w14:paraId="59B95FC2" w14:textId="29D7972D" w:rsidR="00775B8F" w:rsidRPr="003E75D7" w:rsidRDefault="00775B8F" w:rsidP="005A5AE7">
            <w:pPr>
              <w:jc w:val="right"/>
              <w:rPr>
                <w:rFonts w:ascii="Arial" w:hAnsi="Arial" w:cs="Arial"/>
                <w:sz w:val="17"/>
                <w:szCs w:val="17"/>
              </w:rPr>
            </w:pPr>
            <w:r w:rsidRPr="003E75D7">
              <w:rPr>
                <w:rFonts w:ascii="Arial" w:hAnsi="Arial" w:cs="Arial"/>
                <w:sz w:val="17"/>
                <w:szCs w:val="17"/>
              </w:rPr>
              <w:t>352,321</w:t>
            </w:r>
          </w:p>
        </w:tc>
      </w:tr>
      <w:tr w:rsidR="00775B8F" w:rsidRPr="003E75D7" w14:paraId="67B43E56" w14:textId="77777777" w:rsidTr="007D5348">
        <w:trPr>
          <w:jc w:val="center"/>
        </w:trPr>
        <w:tc>
          <w:tcPr>
            <w:tcW w:w="2590" w:type="dxa"/>
          </w:tcPr>
          <w:p w14:paraId="13402924" w14:textId="6B5D9DE2" w:rsidR="00775B8F" w:rsidRPr="003E75D7" w:rsidRDefault="00775B8F" w:rsidP="0000065D">
            <w:pPr>
              <w:rPr>
                <w:rFonts w:ascii="Arial" w:hAnsi="Arial" w:cs="Arial"/>
                <w:sz w:val="17"/>
                <w:szCs w:val="17"/>
              </w:rPr>
            </w:pPr>
            <w:r w:rsidRPr="003E75D7">
              <w:rPr>
                <w:rFonts w:ascii="Arial" w:hAnsi="Arial" w:cs="Arial"/>
                <w:sz w:val="17"/>
                <w:szCs w:val="17"/>
              </w:rPr>
              <w:t>Adult handloom workers by education level:</w:t>
            </w:r>
          </w:p>
          <w:p w14:paraId="1F7702E0" w14:textId="77777777" w:rsidR="00775B8F" w:rsidRPr="003E75D7" w:rsidRDefault="00775B8F" w:rsidP="0000065D">
            <w:pPr>
              <w:rPr>
                <w:rFonts w:ascii="Arial" w:hAnsi="Arial" w:cs="Arial"/>
                <w:sz w:val="17"/>
                <w:szCs w:val="17"/>
              </w:rPr>
            </w:pPr>
            <w:r w:rsidRPr="003E75D7">
              <w:rPr>
                <w:rFonts w:ascii="Arial" w:hAnsi="Arial" w:cs="Arial"/>
                <w:sz w:val="17"/>
                <w:szCs w:val="17"/>
              </w:rPr>
              <w:t>Never attended school</w:t>
            </w:r>
          </w:p>
          <w:p w14:paraId="33B61914" w14:textId="782A2BFF" w:rsidR="00775B8F" w:rsidRPr="003E75D7" w:rsidRDefault="00775B8F" w:rsidP="0000065D">
            <w:pPr>
              <w:rPr>
                <w:rFonts w:ascii="Arial" w:hAnsi="Arial" w:cs="Arial"/>
                <w:sz w:val="17"/>
                <w:szCs w:val="17"/>
              </w:rPr>
            </w:pPr>
            <w:r w:rsidRPr="003E75D7">
              <w:rPr>
                <w:rFonts w:ascii="Arial" w:hAnsi="Arial" w:cs="Arial"/>
                <w:sz w:val="17"/>
                <w:szCs w:val="17"/>
              </w:rPr>
              <w:t>Middle level and less (including those who didn’t attend school)</w:t>
            </w:r>
          </w:p>
        </w:tc>
        <w:tc>
          <w:tcPr>
            <w:tcW w:w="1703" w:type="dxa"/>
          </w:tcPr>
          <w:p w14:paraId="6BECD59A" w14:textId="77777777" w:rsidR="00775B8F" w:rsidRPr="003E75D7" w:rsidRDefault="00775B8F" w:rsidP="005A5AE7">
            <w:pPr>
              <w:jc w:val="right"/>
              <w:rPr>
                <w:rFonts w:ascii="Arial" w:hAnsi="Arial" w:cs="Arial"/>
                <w:sz w:val="17"/>
                <w:szCs w:val="17"/>
              </w:rPr>
            </w:pPr>
          </w:p>
          <w:p w14:paraId="77CB5DC4" w14:textId="77777777" w:rsidR="00775B8F" w:rsidRPr="003E75D7" w:rsidRDefault="00775B8F" w:rsidP="005A5AE7">
            <w:pPr>
              <w:jc w:val="right"/>
              <w:rPr>
                <w:rFonts w:ascii="Arial" w:hAnsi="Arial" w:cs="Arial"/>
                <w:sz w:val="17"/>
                <w:szCs w:val="17"/>
              </w:rPr>
            </w:pPr>
          </w:p>
          <w:p w14:paraId="4FD92CE7" w14:textId="3E571FD2" w:rsidR="00775B8F" w:rsidRPr="003E75D7" w:rsidRDefault="00775B8F" w:rsidP="005A5AE7">
            <w:pPr>
              <w:jc w:val="right"/>
              <w:rPr>
                <w:rFonts w:ascii="Arial" w:hAnsi="Arial" w:cs="Arial"/>
                <w:sz w:val="17"/>
                <w:szCs w:val="17"/>
              </w:rPr>
            </w:pPr>
            <w:r w:rsidRPr="003E75D7">
              <w:rPr>
                <w:rFonts w:ascii="Arial" w:hAnsi="Arial" w:cs="Arial"/>
                <w:sz w:val="17"/>
                <w:szCs w:val="17"/>
              </w:rPr>
              <w:t>42,978 (23.1)</w:t>
            </w:r>
          </w:p>
          <w:p w14:paraId="599C67C4" w14:textId="37BBE543" w:rsidR="00775B8F" w:rsidRPr="003E75D7" w:rsidRDefault="00775B8F" w:rsidP="005A5AE7">
            <w:pPr>
              <w:jc w:val="right"/>
              <w:rPr>
                <w:rFonts w:ascii="Arial" w:hAnsi="Arial" w:cs="Arial"/>
                <w:sz w:val="17"/>
                <w:szCs w:val="17"/>
              </w:rPr>
            </w:pPr>
            <w:r w:rsidRPr="003E75D7">
              <w:rPr>
                <w:rFonts w:ascii="Arial" w:hAnsi="Arial" w:cs="Arial"/>
                <w:sz w:val="17"/>
                <w:szCs w:val="17"/>
              </w:rPr>
              <w:t>157,455 (84.8)</w:t>
            </w:r>
          </w:p>
        </w:tc>
        <w:tc>
          <w:tcPr>
            <w:tcW w:w="1703" w:type="dxa"/>
          </w:tcPr>
          <w:p w14:paraId="6045BFD7" w14:textId="77777777" w:rsidR="00775B8F" w:rsidRPr="003E75D7" w:rsidRDefault="00775B8F" w:rsidP="005A5AE7">
            <w:pPr>
              <w:jc w:val="right"/>
              <w:rPr>
                <w:rFonts w:ascii="Arial" w:hAnsi="Arial" w:cs="Arial"/>
                <w:sz w:val="17"/>
                <w:szCs w:val="17"/>
              </w:rPr>
            </w:pPr>
          </w:p>
          <w:p w14:paraId="6EDD7BAF" w14:textId="77777777" w:rsidR="00775B8F" w:rsidRPr="003E75D7" w:rsidRDefault="00775B8F" w:rsidP="005A5AE7">
            <w:pPr>
              <w:jc w:val="right"/>
              <w:rPr>
                <w:rFonts w:ascii="Arial" w:hAnsi="Arial" w:cs="Arial"/>
                <w:sz w:val="17"/>
                <w:szCs w:val="17"/>
              </w:rPr>
            </w:pPr>
          </w:p>
          <w:p w14:paraId="41DEEDF2" w14:textId="186D64AC" w:rsidR="00775B8F" w:rsidRPr="003E75D7" w:rsidRDefault="00775B8F" w:rsidP="005A5AE7">
            <w:pPr>
              <w:jc w:val="right"/>
              <w:rPr>
                <w:rFonts w:ascii="Arial" w:hAnsi="Arial" w:cs="Arial"/>
                <w:sz w:val="17"/>
                <w:szCs w:val="17"/>
              </w:rPr>
            </w:pPr>
            <w:r w:rsidRPr="003E75D7">
              <w:rPr>
                <w:rFonts w:ascii="Arial" w:hAnsi="Arial" w:cs="Arial"/>
                <w:sz w:val="17"/>
                <w:szCs w:val="17"/>
              </w:rPr>
              <w:t>28,728 (21.6)</w:t>
            </w:r>
          </w:p>
          <w:p w14:paraId="205B430B" w14:textId="466128F7" w:rsidR="00775B8F" w:rsidRPr="003E75D7" w:rsidRDefault="00775B8F" w:rsidP="005A5AE7">
            <w:pPr>
              <w:jc w:val="right"/>
              <w:rPr>
                <w:rFonts w:ascii="Arial" w:hAnsi="Arial" w:cs="Arial"/>
                <w:sz w:val="17"/>
                <w:szCs w:val="17"/>
              </w:rPr>
            </w:pPr>
            <w:r w:rsidRPr="003E75D7">
              <w:rPr>
                <w:rFonts w:ascii="Arial" w:hAnsi="Arial" w:cs="Arial"/>
                <w:sz w:val="17"/>
                <w:szCs w:val="17"/>
              </w:rPr>
              <w:t>111,932 (84.1)</w:t>
            </w:r>
          </w:p>
        </w:tc>
        <w:tc>
          <w:tcPr>
            <w:tcW w:w="1703" w:type="dxa"/>
          </w:tcPr>
          <w:p w14:paraId="6827C693" w14:textId="77777777" w:rsidR="00775B8F" w:rsidRPr="003E75D7" w:rsidRDefault="00775B8F" w:rsidP="005A5AE7">
            <w:pPr>
              <w:jc w:val="right"/>
              <w:rPr>
                <w:rFonts w:ascii="Arial" w:hAnsi="Arial" w:cs="Arial"/>
                <w:sz w:val="17"/>
                <w:szCs w:val="17"/>
              </w:rPr>
            </w:pPr>
          </w:p>
          <w:p w14:paraId="58F9DD7A" w14:textId="77777777" w:rsidR="00775B8F" w:rsidRPr="003E75D7" w:rsidRDefault="00775B8F" w:rsidP="005A5AE7">
            <w:pPr>
              <w:jc w:val="right"/>
              <w:rPr>
                <w:rFonts w:ascii="Arial" w:hAnsi="Arial" w:cs="Arial"/>
                <w:sz w:val="17"/>
                <w:szCs w:val="17"/>
              </w:rPr>
            </w:pPr>
          </w:p>
          <w:p w14:paraId="04B276A1" w14:textId="4ECF6600" w:rsidR="00775B8F" w:rsidRPr="003E75D7" w:rsidRDefault="00775B8F" w:rsidP="005A5AE7">
            <w:pPr>
              <w:jc w:val="right"/>
              <w:rPr>
                <w:rFonts w:ascii="Arial" w:hAnsi="Arial" w:cs="Arial"/>
                <w:sz w:val="17"/>
                <w:szCs w:val="17"/>
              </w:rPr>
            </w:pPr>
            <w:r w:rsidRPr="003E75D7">
              <w:rPr>
                <w:rFonts w:ascii="Arial" w:hAnsi="Arial" w:cs="Arial"/>
                <w:sz w:val="17"/>
                <w:szCs w:val="17"/>
              </w:rPr>
              <w:t>71,706 (22.5)</w:t>
            </w:r>
          </w:p>
          <w:p w14:paraId="4D7DA1C7" w14:textId="0588E0E0" w:rsidR="00775B8F" w:rsidRPr="003E75D7" w:rsidRDefault="00775B8F" w:rsidP="005A5AE7">
            <w:pPr>
              <w:jc w:val="right"/>
              <w:rPr>
                <w:rFonts w:ascii="Arial" w:hAnsi="Arial" w:cs="Arial"/>
                <w:sz w:val="17"/>
                <w:szCs w:val="17"/>
              </w:rPr>
            </w:pPr>
            <w:r w:rsidRPr="003E75D7">
              <w:rPr>
                <w:rFonts w:ascii="Arial" w:hAnsi="Arial" w:cs="Arial"/>
                <w:sz w:val="17"/>
                <w:szCs w:val="17"/>
              </w:rPr>
              <w:t>268,847 (84.4)</w:t>
            </w:r>
          </w:p>
        </w:tc>
      </w:tr>
      <w:tr w:rsidR="00775B8F" w:rsidRPr="003E75D7" w14:paraId="34711848" w14:textId="77777777" w:rsidTr="007D5348">
        <w:trPr>
          <w:jc w:val="center"/>
        </w:trPr>
        <w:tc>
          <w:tcPr>
            <w:tcW w:w="2590" w:type="dxa"/>
          </w:tcPr>
          <w:p w14:paraId="06DC01A1" w14:textId="77777777" w:rsidR="00775B8F" w:rsidRPr="003E75D7" w:rsidRDefault="00775B8F" w:rsidP="0000065D">
            <w:pPr>
              <w:rPr>
                <w:rFonts w:ascii="Arial" w:hAnsi="Arial" w:cs="Arial"/>
                <w:sz w:val="17"/>
                <w:szCs w:val="17"/>
              </w:rPr>
            </w:pPr>
            <w:r w:rsidRPr="003E75D7">
              <w:rPr>
                <w:rFonts w:ascii="Arial" w:hAnsi="Arial" w:cs="Arial"/>
                <w:sz w:val="17"/>
                <w:szCs w:val="17"/>
              </w:rPr>
              <w:t>Average days per worker per year</w:t>
            </w:r>
          </w:p>
        </w:tc>
        <w:tc>
          <w:tcPr>
            <w:tcW w:w="1703" w:type="dxa"/>
          </w:tcPr>
          <w:p w14:paraId="413742A6" w14:textId="77777777" w:rsidR="00775B8F" w:rsidRPr="003E75D7" w:rsidRDefault="00775B8F" w:rsidP="005A5AE7">
            <w:pPr>
              <w:jc w:val="right"/>
              <w:rPr>
                <w:rFonts w:ascii="Arial" w:hAnsi="Arial" w:cs="Arial"/>
                <w:sz w:val="17"/>
                <w:szCs w:val="17"/>
              </w:rPr>
            </w:pPr>
            <w:r w:rsidRPr="003E75D7">
              <w:rPr>
                <w:rFonts w:ascii="Arial" w:hAnsi="Arial" w:cs="Arial"/>
                <w:sz w:val="17"/>
                <w:szCs w:val="17"/>
              </w:rPr>
              <w:t>254</w:t>
            </w:r>
          </w:p>
        </w:tc>
        <w:tc>
          <w:tcPr>
            <w:tcW w:w="1703" w:type="dxa"/>
          </w:tcPr>
          <w:p w14:paraId="0004A6E3" w14:textId="77777777" w:rsidR="00775B8F" w:rsidRPr="003E75D7" w:rsidRDefault="00775B8F" w:rsidP="005A5AE7">
            <w:pPr>
              <w:jc w:val="right"/>
              <w:rPr>
                <w:rFonts w:ascii="Arial" w:hAnsi="Arial" w:cs="Arial"/>
                <w:sz w:val="17"/>
                <w:szCs w:val="17"/>
              </w:rPr>
            </w:pPr>
            <w:r w:rsidRPr="003E75D7">
              <w:rPr>
                <w:rFonts w:ascii="Arial" w:hAnsi="Arial" w:cs="Arial"/>
                <w:sz w:val="17"/>
                <w:szCs w:val="17"/>
              </w:rPr>
              <w:t>253</w:t>
            </w:r>
          </w:p>
        </w:tc>
        <w:tc>
          <w:tcPr>
            <w:tcW w:w="1703" w:type="dxa"/>
          </w:tcPr>
          <w:p w14:paraId="4D82F801" w14:textId="77777777" w:rsidR="00775B8F" w:rsidRPr="003E75D7" w:rsidRDefault="00775B8F" w:rsidP="005A5AE7">
            <w:pPr>
              <w:jc w:val="right"/>
              <w:rPr>
                <w:rFonts w:ascii="Arial" w:hAnsi="Arial" w:cs="Arial"/>
                <w:sz w:val="17"/>
                <w:szCs w:val="17"/>
              </w:rPr>
            </w:pPr>
            <w:r w:rsidRPr="003E75D7">
              <w:rPr>
                <w:rFonts w:ascii="Arial" w:hAnsi="Arial" w:cs="Arial"/>
                <w:sz w:val="17"/>
                <w:szCs w:val="17"/>
              </w:rPr>
              <w:t>254</w:t>
            </w:r>
          </w:p>
        </w:tc>
      </w:tr>
      <w:tr w:rsidR="00775B8F" w:rsidRPr="003E75D7" w14:paraId="7D8878D6" w14:textId="77777777" w:rsidTr="007D5348">
        <w:trPr>
          <w:jc w:val="center"/>
        </w:trPr>
        <w:tc>
          <w:tcPr>
            <w:tcW w:w="2590" w:type="dxa"/>
          </w:tcPr>
          <w:p w14:paraId="04A523AC" w14:textId="2C871422" w:rsidR="00775B8F" w:rsidRPr="003E75D7" w:rsidRDefault="00775B8F" w:rsidP="0000065D">
            <w:pPr>
              <w:rPr>
                <w:rFonts w:ascii="Arial" w:hAnsi="Arial" w:cs="Arial"/>
                <w:sz w:val="17"/>
                <w:szCs w:val="17"/>
              </w:rPr>
            </w:pPr>
            <w:r w:rsidRPr="003E75D7">
              <w:rPr>
                <w:rFonts w:ascii="Arial" w:hAnsi="Arial" w:cs="Arial"/>
                <w:sz w:val="17"/>
                <w:szCs w:val="17"/>
              </w:rPr>
              <w:t>No. of households reporting average production of major fabric per weaver per day (in metres):</w:t>
            </w:r>
          </w:p>
          <w:p w14:paraId="4E562AAA" w14:textId="77777777" w:rsidR="00775B8F" w:rsidRPr="003E75D7" w:rsidRDefault="00775B8F" w:rsidP="0000065D">
            <w:pPr>
              <w:rPr>
                <w:rFonts w:ascii="Arial" w:hAnsi="Arial" w:cs="Arial"/>
                <w:sz w:val="17"/>
                <w:szCs w:val="17"/>
              </w:rPr>
            </w:pPr>
            <w:r w:rsidRPr="003E75D7">
              <w:rPr>
                <w:rFonts w:ascii="Arial" w:hAnsi="Arial" w:cs="Arial"/>
                <w:sz w:val="17"/>
                <w:szCs w:val="17"/>
              </w:rPr>
              <w:t>&lt; 1 metre</w:t>
            </w:r>
          </w:p>
          <w:p w14:paraId="5AAFA9E7" w14:textId="551C282E" w:rsidR="00775B8F" w:rsidRPr="003E75D7" w:rsidRDefault="00775B8F" w:rsidP="0000065D">
            <w:pPr>
              <w:rPr>
                <w:rFonts w:ascii="Arial" w:hAnsi="Arial" w:cs="Arial"/>
                <w:sz w:val="17"/>
                <w:szCs w:val="17"/>
              </w:rPr>
            </w:pPr>
            <w:r w:rsidRPr="003E75D7">
              <w:rPr>
                <w:rFonts w:ascii="Arial" w:hAnsi="Arial" w:cs="Arial"/>
                <w:sz w:val="17"/>
                <w:szCs w:val="17"/>
              </w:rPr>
              <w:t>1–2 metres</w:t>
            </w:r>
          </w:p>
          <w:p w14:paraId="2015DD35" w14:textId="03626610" w:rsidR="00775B8F" w:rsidRPr="003E75D7" w:rsidRDefault="00775B8F" w:rsidP="0000065D">
            <w:pPr>
              <w:rPr>
                <w:rFonts w:ascii="Arial" w:hAnsi="Arial" w:cs="Arial"/>
                <w:sz w:val="17"/>
                <w:szCs w:val="17"/>
              </w:rPr>
            </w:pPr>
            <w:r w:rsidRPr="003E75D7">
              <w:rPr>
                <w:rFonts w:ascii="Arial" w:hAnsi="Arial" w:cs="Arial"/>
                <w:sz w:val="17"/>
                <w:szCs w:val="17"/>
              </w:rPr>
              <w:t>2–3 metres</w:t>
            </w:r>
          </w:p>
          <w:p w14:paraId="01D40F60" w14:textId="7ED10032" w:rsidR="00775B8F" w:rsidRPr="003E75D7" w:rsidRDefault="00775B8F" w:rsidP="0000065D">
            <w:pPr>
              <w:rPr>
                <w:rFonts w:ascii="Arial" w:hAnsi="Arial" w:cs="Arial"/>
                <w:sz w:val="17"/>
                <w:szCs w:val="17"/>
              </w:rPr>
            </w:pPr>
            <w:r w:rsidRPr="003E75D7">
              <w:rPr>
                <w:rFonts w:ascii="Arial" w:hAnsi="Arial" w:cs="Arial"/>
                <w:sz w:val="17"/>
                <w:szCs w:val="17"/>
              </w:rPr>
              <w:t>3–4 metres</w:t>
            </w:r>
          </w:p>
          <w:p w14:paraId="3F5E968A" w14:textId="77777777" w:rsidR="00775B8F" w:rsidRPr="003E75D7" w:rsidRDefault="00775B8F" w:rsidP="0000065D">
            <w:pPr>
              <w:rPr>
                <w:rFonts w:ascii="Arial" w:hAnsi="Arial" w:cs="Arial"/>
                <w:sz w:val="17"/>
                <w:szCs w:val="17"/>
              </w:rPr>
            </w:pPr>
            <w:r w:rsidRPr="003E75D7">
              <w:rPr>
                <w:rFonts w:ascii="Arial" w:hAnsi="Arial" w:cs="Arial"/>
                <w:sz w:val="17"/>
                <w:szCs w:val="17"/>
              </w:rPr>
              <w:t>4 metres and above</w:t>
            </w:r>
          </w:p>
          <w:p w14:paraId="2AC1FC9C" w14:textId="77777777" w:rsidR="00775B8F" w:rsidRPr="003E75D7" w:rsidRDefault="00775B8F" w:rsidP="0000065D">
            <w:pPr>
              <w:rPr>
                <w:rFonts w:ascii="Arial" w:hAnsi="Arial" w:cs="Arial"/>
                <w:sz w:val="17"/>
                <w:szCs w:val="17"/>
              </w:rPr>
            </w:pPr>
            <w:r w:rsidRPr="003E75D7">
              <w:rPr>
                <w:rFonts w:ascii="Arial" w:hAnsi="Arial" w:cs="Arial"/>
                <w:sz w:val="17"/>
                <w:szCs w:val="17"/>
              </w:rPr>
              <w:t>Total</w:t>
            </w:r>
          </w:p>
        </w:tc>
        <w:tc>
          <w:tcPr>
            <w:tcW w:w="1703" w:type="dxa"/>
          </w:tcPr>
          <w:p w14:paraId="6F04BA4C" w14:textId="77777777" w:rsidR="00775B8F" w:rsidRPr="003E75D7" w:rsidRDefault="00775B8F" w:rsidP="005A5AE7">
            <w:pPr>
              <w:jc w:val="right"/>
              <w:rPr>
                <w:rFonts w:ascii="Arial" w:hAnsi="Arial" w:cs="Arial"/>
                <w:sz w:val="17"/>
                <w:szCs w:val="17"/>
              </w:rPr>
            </w:pPr>
          </w:p>
          <w:p w14:paraId="236BD658" w14:textId="77777777" w:rsidR="00775B8F" w:rsidRPr="003E75D7" w:rsidRDefault="00775B8F" w:rsidP="005A5AE7">
            <w:pPr>
              <w:jc w:val="right"/>
              <w:rPr>
                <w:rFonts w:ascii="Arial" w:hAnsi="Arial" w:cs="Arial"/>
                <w:sz w:val="17"/>
                <w:szCs w:val="17"/>
              </w:rPr>
            </w:pPr>
          </w:p>
          <w:p w14:paraId="7B0AB49F" w14:textId="77777777" w:rsidR="00775B8F" w:rsidRPr="003E75D7" w:rsidRDefault="00775B8F" w:rsidP="005A5AE7">
            <w:pPr>
              <w:jc w:val="right"/>
              <w:rPr>
                <w:rFonts w:ascii="Arial" w:hAnsi="Arial" w:cs="Arial"/>
                <w:sz w:val="17"/>
                <w:szCs w:val="17"/>
              </w:rPr>
            </w:pPr>
          </w:p>
          <w:p w14:paraId="64C042FA" w14:textId="77777777" w:rsidR="00775B8F" w:rsidRPr="003E75D7" w:rsidRDefault="00775B8F" w:rsidP="005A5AE7">
            <w:pPr>
              <w:jc w:val="right"/>
              <w:rPr>
                <w:rFonts w:ascii="Arial" w:hAnsi="Arial" w:cs="Arial"/>
                <w:sz w:val="17"/>
                <w:szCs w:val="17"/>
              </w:rPr>
            </w:pPr>
          </w:p>
          <w:p w14:paraId="3ED65D8B" w14:textId="7E02A42C" w:rsidR="00775B8F" w:rsidRPr="003E75D7" w:rsidRDefault="00775B8F" w:rsidP="005A5AE7">
            <w:pPr>
              <w:jc w:val="right"/>
              <w:rPr>
                <w:rFonts w:ascii="Arial" w:hAnsi="Arial" w:cs="Arial"/>
                <w:sz w:val="17"/>
                <w:szCs w:val="17"/>
              </w:rPr>
            </w:pPr>
            <w:r w:rsidRPr="003E75D7">
              <w:rPr>
                <w:rFonts w:ascii="Arial" w:hAnsi="Arial" w:cs="Arial"/>
                <w:sz w:val="17"/>
                <w:szCs w:val="17"/>
              </w:rPr>
              <w:t>23,633</w:t>
            </w:r>
          </w:p>
          <w:p w14:paraId="40CF667A" w14:textId="2D4CFFEB" w:rsidR="00775B8F" w:rsidRPr="003E75D7" w:rsidRDefault="00775B8F" w:rsidP="005A5AE7">
            <w:pPr>
              <w:jc w:val="right"/>
              <w:rPr>
                <w:rFonts w:ascii="Arial" w:hAnsi="Arial" w:cs="Arial"/>
                <w:sz w:val="17"/>
                <w:szCs w:val="17"/>
              </w:rPr>
            </w:pPr>
            <w:r w:rsidRPr="003E75D7">
              <w:rPr>
                <w:rFonts w:ascii="Arial" w:hAnsi="Arial" w:cs="Arial"/>
                <w:sz w:val="17"/>
                <w:szCs w:val="17"/>
              </w:rPr>
              <w:t>13,465</w:t>
            </w:r>
          </w:p>
          <w:p w14:paraId="6F9B2D03" w14:textId="5FA3E31F" w:rsidR="00775B8F" w:rsidRPr="003E75D7" w:rsidRDefault="00775B8F" w:rsidP="005A5AE7">
            <w:pPr>
              <w:jc w:val="right"/>
              <w:rPr>
                <w:rFonts w:ascii="Arial" w:hAnsi="Arial" w:cs="Arial"/>
                <w:sz w:val="17"/>
                <w:szCs w:val="17"/>
              </w:rPr>
            </w:pPr>
            <w:r w:rsidRPr="003E75D7">
              <w:rPr>
                <w:rFonts w:ascii="Arial" w:hAnsi="Arial" w:cs="Arial"/>
                <w:sz w:val="17"/>
                <w:szCs w:val="17"/>
              </w:rPr>
              <w:t>11,009</w:t>
            </w:r>
          </w:p>
          <w:p w14:paraId="2F1AAC00" w14:textId="53DCFB5C" w:rsidR="00775B8F" w:rsidRPr="003E75D7" w:rsidRDefault="00775B8F" w:rsidP="005A5AE7">
            <w:pPr>
              <w:jc w:val="right"/>
              <w:rPr>
                <w:rFonts w:ascii="Arial" w:hAnsi="Arial" w:cs="Arial"/>
                <w:sz w:val="17"/>
                <w:szCs w:val="17"/>
              </w:rPr>
            </w:pPr>
            <w:r w:rsidRPr="003E75D7">
              <w:rPr>
                <w:rFonts w:ascii="Arial" w:hAnsi="Arial" w:cs="Arial"/>
                <w:sz w:val="17"/>
                <w:szCs w:val="17"/>
              </w:rPr>
              <w:t>6,897</w:t>
            </w:r>
          </w:p>
          <w:p w14:paraId="2D4542A9" w14:textId="01BD3D15" w:rsidR="00775B8F" w:rsidRPr="003E75D7" w:rsidRDefault="00775B8F" w:rsidP="005A5AE7">
            <w:pPr>
              <w:jc w:val="right"/>
              <w:rPr>
                <w:rFonts w:ascii="Arial" w:hAnsi="Arial" w:cs="Arial"/>
                <w:sz w:val="17"/>
                <w:szCs w:val="17"/>
              </w:rPr>
            </w:pPr>
            <w:r w:rsidRPr="003E75D7">
              <w:rPr>
                <w:rFonts w:ascii="Arial" w:hAnsi="Arial" w:cs="Arial"/>
                <w:sz w:val="17"/>
                <w:szCs w:val="17"/>
              </w:rPr>
              <w:t>8,542</w:t>
            </w:r>
          </w:p>
          <w:p w14:paraId="551B0BE2" w14:textId="2834841E" w:rsidR="00775B8F" w:rsidRPr="003E75D7" w:rsidRDefault="00775B8F" w:rsidP="005A5AE7">
            <w:pPr>
              <w:jc w:val="right"/>
              <w:rPr>
                <w:rFonts w:ascii="Arial" w:hAnsi="Arial" w:cs="Arial"/>
                <w:sz w:val="17"/>
                <w:szCs w:val="17"/>
              </w:rPr>
            </w:pPr>
            <w:r w:rsidRPr="003E75D7">
              <w:rPr>
                <w:rFonts w:ascii="Arial" w:hAnsi="Arial" w:cs="Arial"/>
                <w:sz w:val="17"/>
                <w:szCs w:val="17"/>
              </w:rPr>
              <w:t>63,546</w:t>
            </w:r>
          </w:p>
        </w:tc>
        <w:tc>
          <w:tcPr>
            <w:tcW w:w="1703" w:type="dxa"/>
          </w:tcPr>
          <w:p w14:paraId="09A3C9AD" w14:textId="77777777" w:rsidR="00775B8F" w:rsidRPr="003E75D7" w:rsidRDefault="00775B8F" w:rsidP="005A5AE7">
            <w:pPr>
              <w:jc w:val="right"/>
              <w:rPr>
                <w:rFonts w:ascii="Arial" w:hAnsi="Arial" w:cs="Arial"/>
                <w:sz w:val="17"/>
                <w:szCs w:val="17"/>
              </w:rPr>
            </w:pPr>
          </w:p>
          <w:p w14:paraId="6B7CACE4" w14:textId="77777777" w:rsidR="00775B8F" w:rsidRPr="003E75D7" w:rsidRDefault="00775B8F" w:rsidP="005A5AE7">
            <w:pPr>
              <w:jc w:val="right"/>
              <w:rPr>
                <w:rFonts w:ascii="Arial" w:hAnsi="Arial" w:cs="Arial"/>
                <w:sz w:val="17"/>
                <w:szCs w:val="17"/>
              </w:rPr>
            </w:pPr>
          </w:p>
          <w:p w14:paraId="290185C4" w14:textId="77777777" w:rsidR="00775B8F" w:rsidRPr="003E75D7" w:rsidRDefault="00775B8F" w:rsidP="005A5AE7">
            <w:pPr>
              <w:jc w:val="right"/>
              <w:rPr>
                <w:rFonts w:ascii="Arial" w:hAnsi="Arial" w:cs="Arial"/>
                <w:sz w:val="17"/>
                <w:szCs w:val="17"/>
              </w:rPr>
            </w:pPr>
          </w:p>
          <w:p w14:paraId="3A756913" w14:textId="77777777" w:rsidR="00775B8F" w:rsidRPr="003E75D7" w:rsidRDefault="00775B8F" w:rsidP="005A5AE7">
            <w:pPr>
              <w:jc w:val="right"/>
              <w:rPr>
                <w:rFonts w:ascii="Arial" w:hAnsi="Arial" w:cs="Arial"/>
                <w:sz w:val="17"/>
                <w:szCs w:val="17"/>
              </w:rPr>
            </w:pPr>
          </w:p>
          <w:p w14:paraId="454CD292" w14:textId="45FA2399" w:rsidR="00775B8F" w:rsidRPr="003E75D7" w:rsidRDefault="00775B8F" w:rsidP="005A5AE7">
            <w:pPr>
              <w:jc w:val="right"/>
              <w:rPr>
                <w:rFonts w:ascii="Arial" w:hAnsi="Arial" w:cs="Arial"/>
                <w:sz w:val="17"/>
                <w:szCs w:val="17"/>
              </w:rPr>
            </w:pPr>
            <w:r w:rsidRPr="003E75D7">
              <w:rPr>
                <w:rFonts w:ascii="Arial" w:hAnsi="Arial" w:cs="Arial"/>
                <w:sz w:val="17"/>
                <w:szCs w:val="17"/>
              </w:rPr>
              <w:t>13,683</w:t>
            </w:r>
          </w:p>
          <w:p w14:paraId="2F370E9F" w14:textId="6D6B3C6D" w:rsidR="00775B8F" w:rsidRPr="003E75D7" w:rsidRDefault="00775B8F" w:rsidP="005A5AE7">
            <w:pPr>
              <w:jc w:val="right"/>
              <w:rPr>
                <w:rFonts w:ascii="Arial" w:hAnsi="Arial" w:cs="Arial"/>
                <w:sz w:val="17"/>
                <w:szCs w:val="17"/>
              </w:rPr>
            </w:pPr>
            <w:r w:rsidRPr="003E75D7">
              <w:rPr>
                <w:rFonts w:ascii="Arial" w:hAnsi="Arial" w:cs="Arial"/>
                <w:sz w:val="17"/>
                <w:szCs w:val="17"/>
              </w:rPr>
              <w:t>10,386</w:t>
            </w:r>
          </w:p>
          <w:p w14:paraId="6E38AC98" w14:textId="2FF1E1AB" w:rsidR="00775B8F" w:rsidRPr="003E75D7" w:rsidRDefault="00775B8F" w:rsidP="005A5AE7">
            <w:pPr>
              <w:jc w:val="right"/>
              <w:rPr>
                <w:rFonts w:ascii="Arial" w:hAnsi="Arial" w:cs="Arial"/>
                <w:sz w:val="17"/>
                <w:szCs w:val="17"/>
              </w:rPr>
            </w:pPr>
            <w:r w:rsidRPr="003E75D7">
              <w:rPr>
                <w:rFonts w:ascii="Arial" w:hAnsi="Arial" w:cs="Arial"/>
                <w:sz w:val="17"/>
                <w:szCs w:val="17"/>
              </w:rPr>
              <w:t>9,209</w:t>
            </w:r>
          </w:p>
          <w:p w14:paraId="0F424453" w14:textId="5417CBCA" w:rsidR="00775B8F" w:rsidRPr="003E75D7" w:rsidRDefault="00775B8F" w:rsidP="005A5AE7">
            <w:pPr>
              <w:jc w:val="right"/>
              <w:rPr>
                <w:rFonts w:ascii="Arial" w:hAnsi="Arial" w:cs="Arial"/>
                <w:sz w:val="17"/>
                <w:szCs w:val="17"/>
              </w:rPr>
            </w:pPr>
            <w:r w:rsidRPr="003E75D7">
              <w:rPr>
                <w:rFonts w:ascii="Arial" w:hAnsi="Arial" w:cs="Arial"/>
                <w:sz w:val="17"/>
                <w:szCs w:val="17"/>
              </w:rPr>
              <w:t>5,006</w:t>
            </w:r>
          </w:p>
          <w:p w14:paraId="7C43D66D" w14:textId="44503541" w:rsidR="00775B8F" w:rsidRPr="003E75D7" w:rsidRDefault="00775B8F" w:rsidP="005A5AE7">
            <w:pPr>
              <w:jc w:val="right"/>
              <w:rPr>
                <w:rFonts w:ascii="Arial" w:hAnsi="Arial" w:cs="Arial"/>
                <w:sz w:val="17"/>
                <w:szCs w:val="17"/>
              </w:rPr>
            </w:pPr>
            <w:r w:rsidRPr="003E75D7">
              <w:rPr>
                <w:rFonts w:ascii="Arial" w:hAnsi="Arial" w:cs="Arial"/>
                <w:sz w:val="17"/>
                <w:szCs w:val="17"/>
              </w:rPr>
              <w:t>3,714</w:t>
            </w:r>
          </w:p>
          <w:p w14:paraId="51860F3B" w14:textId="1BB68670" w:rsidR="00775B8F" w:rsidRPr="003E75D7" w:rsidRDefault="00775B8F" w:rsidP="005A5AE7">
            <w:pPr>
              <w:jc w:val="right"/>
              <w:rPr>
                <w:rFonts w:ascii="Arial" w:hAnsi="Arial" w:cs="Arial"/>
                <w:sz w:val="17"/>
                <w:szCs w:val="17"/>
              </w:rPr>
            </w:pPr>
            <w:r w:rsidRPr="003E75D7">
              <w:rPr>
                <w:rFonts w:ascii="Arial" w:hAnsi="Arial" w:cs="Arial"/>
                <w:sz w:val="17"/>
                <w:szCs w:val="17"/>
              </w:rPr>
              <w:t>41,998</w:t>
            </w:r>
          </w:p>
        </w:tc>
        <w:tc>
          <w:tcPr>
            <w:tcW w:w="1703" w:type="dxa"/>
          </w:tcPr>
          <w:p w14:paraId="1F031930" w14:textId="77777777" w:rsidR="00775B8F" w:rsidRPr="003E75D7" w:rsidRDefault="00775B8F" w:rsidP="005A5AE7">
            <w:pPr>
              <w:jc w:val="right"/>
              <w:rPr>
                <w:rFonts w:ascii="Arial" w:hAnsi="Arial" w:cs="Arial"/>
                <w:sz w:val="17"/>
                <w:szCs w:val="17"/>
              </w:rPr>
            </w:pPr>
          </w:p>
          <w:p w14:paraId="54E9F63E" w14:textId="77777777" w:rsidR="00775B8F" w:rsidRPr="003E75D7" w:rsidRDefault="00775B8F" w:rsidP="005A5AE7">
            <w:pPr>
              <w:jc w:val="right"/>
              <w:rPr>
                <w:rFonts w:ascii="Arial" w:hAnsi="Arial" w:cs="Arial"/>
                <w:sz w:val="17"/>
                <w:szCs w:val="17"/>
              </w:rPr>
            </w:pPr>
          </w:p>
          <w:p w14:paraId="2E987E05" w14:textId="77777777" w:rsidR="00775B8F" w:rsidRPr="003E75D7" w:rsidRDefault="00775B8F" w:rsidP="005A5AE7">
            <w:pPr>
              <w:jc w:val="right"/>
              <w:rPr>
                <w:rFonts w:ascii="Arial" w:hAnsi="Arial" w:cs="Arial"/>
                <w:sz w:val="17"/>
                <w:szCs w:val="17"/>
              </w:rPr>
            </w:pPr>
          </w:p>
          <w:p w14:paraId="2B2742F6" w14:textId="77777777" w:rsidR="00775B8F" w:rsidRPr="003E75D7" w:rsidRDefault="00775B8F" w:rsidP="005A5AE7">
            <w:pPr>
              <w:jc w:val="right"/>
              <w:rPr>
                <w:rFonts w:ascii="Arial" w:hAnsi="Arial" w:cs="Arial"/>
                <w:sz w:val="17"/>
                <w:szCs w:val="17"/>
              </w:rPr>
            </w:pPr>
          </w:p>
          <w:p w14:paraId="1C40933D" w14:textId="6F27A0CD" w:rsidR="00775B8F" w:rsidRPr="003E75D7" w:rsidRDefault="00775B8F" w:rsidP="005A5AE7">
            <w:pPr>
              <w:jc w:val="right"/>
              <w:rPr>
                <w:rFonts w:ascii="Arial" w:hAnsi="Arial" w:cs="Arial"/>
                <w:sz w:val="17"/>
                <w:szCs w:val="17"/>
              </w:rPr>
            </w:pPr>
            <w:r w:rsidRPr="003E75D7">
              <w:rPr>
                <w:rFonts w:ascii="Arial" w:hAnsi="Arial" w:cs="Arial"/>
                <w:sz w:val="17"/>
                <w:szCs w:val="17"/>
              </w:rPr>
              <w:t>37,316</w:t>
            </w:r>
          </w:p>
          <w:p w14:paraId="745D43A7" w14:textId="5E50D7D9" w:rsidR="00775B8F" w:rsidRPr="003E75D7" w:rsidRDefault="00775B8F" w:rsidP="005A5AE7">
            <w:pPr>
              <w:jc w:val="right"/>
              <w:rPr>
                <w:rFonts w:ascii="Arial" w:hAnsi="Arial" w:cs="Arial"/>
                <w:sz w:val="17"/>
                <w:szCs w:val="17"/>
              </w:rPr>
            </w:pPr>
            <w:r w:rsidRPr="003E75D7">
              <w:rPr>
                <w:rFonts w:ascii="Arial" w:hAnsi="Arial" w:cs="Arial"/>
                <w:sz w:val="17"/>
                <w:szCs w:val="17"/>
              </w:rPr>
              <w:t>23,851</w:t>
            </w:r>
          </w:p>
          <w:p w14:paraId="38F95C39" w14:textId="5E7597F1" w:rsidR="00775B8F" w:rsidRPr="003E75D7" w:rsidRDefault="00775B8F" w:rsidP="005A5AE7">
            <w:pPr>
              <w:jc w:val="right"/>
              <w:rPr>
                <w:rFonts w:ascii="Arial" w:hAnsi="Arial" w:cs="Arial"/>
                <w:sz w:val="17"/>
                <w:szCs w:val="17"/>
              </w:rPr>
            </w:pPr>
            <w:r w:rsidRPr="003E75D7">
              <w:rPr>
                <w:rFonts w:ascii="Arial" w:hAnsi="Arial" w:cs="Arial"/>
                <w:sz w:val="17"/>
                <w:szCs w:val="17"/>
              </w:rPr>
              <w:t>20,218</w:t>
            </w:r>
          </w:p>
          <w:p w14:paraId="5153C89A" w14:textId="6052D8E8" w:rsidR="00775B8F" w:rsidRPr="003E75D7" w:rsidRDefault="00775B8F" w:rsidP="005A5AE7">
            <w:pPr>
              <w:jc w:val="right"/>
              <w:rPr>
                <w:rFonts w:ascii="Arial" w:hAnsi="Arial" w:cs="Arial"/>
                <w:sz w:val="17"/>
                <w:szCs w:val="17"/>
              </w:rPr>
            </w:pPr>
            <w:r w:rsidRPr="003E75D7">
              <w:rPr>
                <w:rFonts w:ascii="Arial" w:hAnsi="Arial" w:cs="Arial"/>
                <w:sz w:val="17"/>
                <w:szCs w:val="17"/>
              </w:rPr>
              <w:t>11,903</w:t>
            </w:r>
          </w:p>
          <w:p w14:paraId="1643AA3E" w14:textId="65582CBF" w:rsidR="00775B8F" w:rsidRPr="003E75D7" w:rsidRDefault="00775B8F" w:rsidP="005A5AE7">
            <w:pPr>
              <w:jc w:val="right"/>
              <w:rPr>
                <w:rFonts w:ascii="Arial" w:hAnsi="Arial" w:cs="Arial"/>
                <w:sz w:val="17"/>
                <w:szCs w:val="17"/>
              </w:rPr>
            </w:pPr>
            <w:r w:rsidRPr="003E75D7">
              <w:rPr>
                <w:rFonts w:ascii="Arial" w:hAnsi="Arial" w:cs="Arial"/>
                <w:sz w:val="17"/>
                <w:szCs w:val="17"/>
              </w:rPr>
              <w:t>12,256</w:t>
            </w:r>
          </w:p>
          <w:p w14:paraId="3CE6CE63" w14:textId="02B98DE2" w:rsidR="00775B8F" w:rsidRPr="003E75D7" w:rsidRDefault="00775B8F" w:rsidP="005A5AE7">
            <w:pPr>
              <w:jc w:val="right"/>
              <w:rPr>
                <w:rFonts w:ascii="Arial" w:hAnsi="Arial" w:cs="Arial"/>
                <w:sz w:val="17"/>
                <w:szCs w:val="17"/>
              </w:rPr>
            </w:pPr>
            <w:r w:rsidRPr="003E75D7">
              <w:rPr>
                <w:rFonts w:ascii="Arial" w:hAnsi="Arial" w:cs="Arial"/>
                <w:sz w:val="17"/>
                <w:szCs w:val="17"/>
              </w:rPr>
              <w:t>105,544</w:t>
            </w:r>
          </w:p>
        </w:tc>
      </w:tr>
      <w:tr w:rsidR="00775B8F" w:rsidRPr="003E75D7" w14:paraId="0F7B894D" w14:textId="77777777" w:rsidTr="007D5348">
        <w:trPr>
          <w:jc w:val="center"/>
        </w:trPr>
        <w:tc>
          <w:tcPr>
            <w:tcW w:w="2590" w:type="dxa"/>
          </w:tcPr>
          <w:p w14:paraId="05EB229C" w14:textId="77777777" w:rsidR="00775B8F" w:rsidRPr="003E75D7" w:rsidRDefault="00775B8F" w:rsidP="0000065D">
            <w:pPr>
              <w:rPr>
                <w:rFonts w:ascii="Arial" w:hAnsi="Arial" w:cs="Arial"/>
                <w:sz w:val="17"/>
                <w:szCs w:val="17"/>
              </w:rPr>
            </w:pPr>
            <w:r w:rsidRPr="003E75D7">
              <w:rPr>
                <w:rFonts w:ascii="Arial" w:hAnsi="Arial" w:cs="Arial"/>
                <w:sz w:val="17"/>
                <w:szCs w:val="17"/>
              </w:rPr>
              <w:t>Average earning of handloom weaver households in INR per annum ($ per annum)</w:t>
            </w:r>
          </w:p>
        </w:tc>
        <w:tc>
          <w:tcPr>
            <w:tcW w:w="1703" w:type="dxa"/>
          </w:tcPr>
          <w:p w14:paraId="289B757E" w14:textId="77777777" w:rsidR="00775B8F" w:rsidRPr="003E75D7" w:rsidRDefault="00775B8F" w:rsidP="005A5AE7">
            <w:pPr>
              <w:jc w:val="right"/>
              <w:rPr>
                <w:rFonts w:ascii="Arial" w:hAnsi="Arial" w:cs="Arial"/>
                <w:sz w:val="17"/>
                <w:szCs w:val="17"/>
              </w:rPr>
            </w:pPr>
          </w:p>
          <w:p w14:paraId="6EF72CCD" w14:textId="0136625A" w:rsidR="00775B8F" w:rsidRPr="003E75D7" w:rsidRDefault="00775B8F" w:rsidP="007C7AED">
            <w:pPr>
              <w:jc w:val="right"/>
              <w:rPr>
                <w:rFonts w:ascii="Arial" w:hAnsi="Arial" w:cs="Arial"/>
                <w:sz w:val="17"/>
                <w:szCs w:val="17"/>
              </w:rPr>
            </w:pPr>
            <w:r w:rsidRPr="003E75D7">
              <w:rPr>
                <w:rFonts w:ascii="Arial" w:hAnsi="Arial" w:cs="Arial"/>
                <w:sz w:val="17"/>
                <w:szCs w:val="17"/>
              </w:rPr>
              <w:t>24,290 ($512)</w:t>
            </w:r>
          </w:p>
        </w:tc>
        <w:tc>
          <w:tcPr>
            <w:tcW w:w="1703" w:type="dxa"/>
          </w:tcPr>
          <w:p w14:paraId="1B7E9FFF" w14:textId="77777777" w:rsidR="00775B8F" w:rsidRPr="003E75D7" w:rsidRDefault="00775B8F" w:rsidP="005A5AE7">
            <w:pPr>
              <w:jc w:val="right"/>
              <w:rPr>
                <w:rFonts w:ascii="Arial" w:hAnsi="Arial" w:cs="Arial"/>
                <w:sz w:val="17"/>
                <w:szCs w:val="17"/>
              </w:rPr>
            </w:pPr>
          </w:p>
          <w:p w14:paraId="63CCC649" w14:textId="56B30C61" w:rsidR="00775B8F" w:rsidRPr="003E75D7" w:rsidRDefault="00775B8F" w:rsidP="007C7AED">
            <w:pPr>
              <w:jc w:val="right"/>
              <w:rPr>
                <w:rFonts w:ascii="Arial" w:hAnsi="Arial" w:cs="Arial"/>
                <w:sz w:val="17"/>
                <w:szCs w:val="17"/>
              </w:rPr>
            </w:pPr>
            <w:r w:rsidRPr="003E75D7">
              <w:rPr>
                <w:rFonts w:ascii="Arial" w:hAnsi="Arial" w:cs="Arial"/>
                <w:sz w:val="17"/>
                <w:szCs w:val="17"/>
              </w:rPr>
              <w:t>25,318 ($534)</w:t>
            </w:r>
          </w:p>
        </w:tc>
        <w:tc>
          <w:tcPr>
            <w:tcW w:w="1703" w:type="dxa"/>
          </w:tcPr>
          <w:p w14:paraId="41DFD7C1" w14:textId="77777777" w:rsidR="00775B8F" w:rsidRPr="003E75D7" w:rsidRDefault="00775B8F" w:rsidP="005A5AE7">
            <w:pPr>
              <w:jc w:val="right"/>
              <w:rPr>
                <w:rFonts w:ascii="Arial" w:hAnsi="Arial" w:cs="Arial"/>
                <w:sz w:val="17"/>
                <w:szCs w:val="17"/>
              </w:rPr>
            </w:pPr>
          </w:p>
          <w:p w14:paraId="4364DCE8" w14:textId="263D771D" w:rsidR="00775B8F" w:rsidRPr="003E75D7" w:rsidRDefault="00775B8F" w:rsidP="005A5AE7">
            <w:pPr>
              <w:jc w:val="right"/>
              <w:rPr>
                <w:rFonts w:ascii="Arial" w:hAnsi="Arial" w:cs="Arial"/>
                <w:sz w:val="17"/>
                <w:szCs w:val="17"/>
              </w:rPr>
            </w:pPr>
            <w:r w:rsidRPr="003E75D7">
              <w:rPr>
                <w:rFonts w:ascii="Arial" w:hAnsi="Arial" w:cs="Arial"/>
                <w:sz w:val="17"/>
                <w:szCs w:val="17"/>
              </w:rPr>
              <w:t>24,707 ($521)</w:t>
            </w:r>
          </w:p>
        </w:tc>
      </w:tr>
      <w:tr w:rsidR="00775B8F" w:rsidRPr="003E75D7" w14:paraId="3B5373A6" w14:textId="77777777" w:rsidTr="007D5348">
        <w:trPr>
          <w:jc w:val="center"/>
        </w:trPr>
        <w:tc>
          <w:tcPr>
            <w:tcW w:w="2590" w:type="dxa"/>
          </w:tcPr>
          <w:p w14:paraId="1DE7556B" w14:textId="77777777" w:rsidR="00775B8F" w:rsidRPr="003E75D7" w:rsidRDefault="00775B8F" w:rsidP="0000065D">
            <w:pPr>
              <w:rPr>
                <w:rFonts w:ascii="Arial" w:hAnsi="Arial" w:cs="Arial"/>
                <w:sz w:val="17"/>
                <w:szCs w:val="17"/>
              </w:rPr>
            </w:pPr>
            <w:r w:rsidRPr="003E75D7">
              <w:rPr>
                <w:rFonts w:ascii="Arial" w:hAnsi="Arial" w:cs="Arial"/>
                <w:sz w:val="17"/>
                <w:szCs w:val="17"/>
              </w:rPr>
              <w:t>Contribution of handloom to total household income (%)</w:t>
            </w:r>
          </w:p>
        </w:tc>
        <w:tc>
          <w:tcPr>
            <w:tcW w:w="1703" w:type="dxa"/>
          </w:tcPr>
          <w:p w14:paraId="4EC4B3F9" w14:textId="77777777" w:rsidR="00775B8F" w:rsidRPr="003E75D7" w:rsidRDefault="00775B8F" w:rsidP="005A5AE7">
            <w:pPr>
              <w:jc w:val="right"/>
              <w:rPr>
                <w:rFonts w:ascii="Arial" w:hAnsi="Arial" w:cs="Arial"/>
                <w:sz w:val="17"/>
                <w:szCs w:val="17"/>
              </w:rPr>
            </w:pPr>
            <w:r w:rsidRPr="003E75D7">
              <w:rPr>
                <w:rFonts w:ascii="Arial" w:hAnsi="Arial" w:cs="Arial"/>
                <w:sz w:val="17"/>
                <w:szCs w:val="17"/>
              </w:rPr>
              <w:t>81.07</w:t>
            </w:r>
          </w:p>
        </w:tc>
        <w:tc>
          <w:tcPr>
            <w:tcW w:w="1703" w:type="dxa"/>
          </w:tcPr>
          <w:p w14:paraId="6B3949F2" w14:textId="77777777" w:rsidR="00775B8F" w:rsidRPr="003E75D7" w:rsidRDefault="00775B8F" w:rsidP="005A5AE7">
            <w:pPr>
              <w:jc w:val="right"/>
              <w:rPr>
                <w:rFonts w:ascii="Arial" w:hAnsi="Arial" w:cs="Arial"/>
                <w:sz w:val="17"/>
                <w:szCs w:val="17"/>
              </w:rPr>
            </w:pPr>
            <w:r w:rsidRPr="003E75D7">
              <w:rPr>
                <w:rFonts w:ascii="Arial" w:hAnsi="Arial" w:cs="Arial"/>
                <w:sz w:val="17"/>
                <w:szCs w:val="17"/>
              </w:rPr>
              <w:t>77.08</w:t>
            </w:r>
          </w:p>
        </w:tc>
        <w:tc>
          <w:tcPr>
            <w:tcW w:w="1703" w:type="dxa"/>
          </w:tcPr>
          <w:p w14:paraId="0FD6B7BC" w14:textId="77777777" w:rsidR="00775B8F" w:rsidRPr="003E75D7" w:rsidRDefault="00775B8F" w:rsidP="005A5AE7">
            <w:pPr>
              <w:jc w:val="right"/>
              <w:rPr>
                <w:rFonts w:ascii="Arial" w:hAnsi="Arial" w:cs="Arial"/>
                <w:sz w:val="17"/>
                <w:szCs w:val="17"/>
              </w:rPr>
            </w:pPr>
            <w:r w:rsidRPr="003E75D7">
              <w:rPr>
                <w:rFonts w:ascii="Arial" w:hAnsi="Arial" w:cs="Arial"/>
                <w:sz w:val="17"/>
                <w:szCs w:val="17"/>
              </w:rPr>
              <w:t>79.42</w:t>
            </w:r>
          </w:p>
        </w:tc>
      </w:tr>
      <w:tr w:rsidR="00775B8F" w:rsidRPr="003E75D7" w14:paraId="4081D8CF" w14:textId="77777777" w:rsidTr="007D5348">
        <w:trPr>
          <w:jc w:val="center"/>
        </w:trPr>
        <w:tc>
          <w:tcPr>
            <w:tcW w:w="2590" w:type="dxa"/>
          </w:tcPr>
          <w:p w14:paraId="0F56540A" w14:textId="77777777" w:rsidR="00775B8F" w:rsidRPr="003E75D7" w:rsidRDefault="00775B8F" w:rsidP="0000065D">
            <w:pPr>
              <w:rPr>
                <w:rFonts w:ascii="Arial" w:hAnsi="Arial" w:cs="Arial"/>
                <w:sz w:val="17"/>
                <w:szCs w:val="17"/>
              </w:rPr>
            </w:pPr>
            <w:r w:rsidRPr="003E75D7">
              <w:rPr>
                <w:rFonts w:ascii="Arial" w:hAnsi="Arial" w:cs="Arial"/>
                <w:sz w:val="17"/>
                <w:szCs w:val="17"/>
              </w:rPr>
              <w:t>Households in debt</w:t>
            </w:r>
          </w:p>
        </w:tc>
        <w:tc>
          <w:tcPr>
            <w:tcW w:w="1703" w:type="dxa"/>
          </w:tcPr>
          <w:p w14:paraId="7DE2B4C8" w14:textId="55B628E7" w:rsidR="00775B8F" w:rsidRPr="003E75D7" w:rsidRDefault="00775B8F" w:rsidP="005A5AE7">
            <w:pPr>
              <w:jc w:val="right"/>
              <w:rPr>
                <w:rFonts w:ascii="Arial" w:hAnsi="Arial" w:cs="Arial"/>
                <w:sz w:val="17"/>
                <w:szCs w:val="17"/>
              </w:rPr>
            </w:pPr>
            <w:r w:rsidRPr="003E75D7">
              <w:rPr>
                <w:rFonts w:ascii="Arial" w:hAnsi="Arial" w:cs="Arial"/>
                <w:sz w:val="17"/>
                <w:szCs w:val="17"/>
              </w:rPr>
              <w:t>11364 (10.0)</w:t>
            </w:r>
          </w:p>
        </w:tc>
        <w:tc>
          <w:tcPr>
            <w:tcW w:w="1703" w:type="dxa"/>
          </w:tcPr>
          <w:p w14:paraId="7D3E62D9" w14:textId="69103F17" w:rsidR="00775B8F" w:rsidRPr="003E75D7" w:rsidRDefault="00775B8F" w:rsidP="005A5AE7">
            <w:pPr>
              <w:jc w:val="right"/>
              <w:rPr>
                <w:rFonts w:ascii="Arial" w:hAnsi="Arial" w:cs="Arial"/>
                <w:sz w:val="17"/>
                <w:szCs w:val="17"/>
              </w:rPr>
            </w:pPr>
            <w:r w:rsidRPr="003E75D7">
              <w:rPr>
                <w:rFonts w:ascii="Arial" w:hAnsi="Arial" w:cs="Arial"/>
                <w:sz w:val="17"/>
                <w:szCs w:val="17"/>
              </w:rPr>
              <w:t>10,366 (13.6)</w:t>
            </w:r>
          </w:p>
        </w:tc>
        <w:tc>
          <w:tcPr>
            <w:tcW w:w="1703" w:type="dxa"/>
          </w:tcPr>
          <w:p w14:paraId="5D632B52" w14:textId="35C17F72" w:rsidR="00775B8F" w:rsidRPr="003E75D7" w:rsidRDefault="00775B8F" w:rsidP="005A5AE7">
            <w:pPr>
              <w:jc w:val="right"/>
              <w:rPr>
                <w:rFonts w:ascii="Arial" w:hAnsi="Arial" w:cs="Arial"/>
                <w:sz w:val="17"/>
                <w:szCs w:val="17"/>
              </w:rPr>
            </w:pPr>
            <w:r w:rsidRPr="003E75D7">
              <w:rPr>
                <w:rFonts w:ascii="Arial" w:hAnsi="Arial" w:cs="Arial"/>
                <w:sz w:val="17"/>
                <w:szCs w:val="17"/>
              </w:rPr>
              <w:t>21,730 (11.5)</w:t>
            </w:r>
          </w:p>
        </w:tc>
      </w:tr>
      <w:tr w:rsidR="00775B8F" w:rsidRPr="003E75D7" w14:paraId="1E27A4D2" w14:textId="77777777" w:rsidTr="005A5AE7">
        <w:trPr>
          <w:trHeight w:val="1601"/>
          <w:jc w:val="center"/>
        </w:trPr>
        <w:tc>
          <w:tcPr>
            <w:tcW w:w="2590" w:type="dxa"/>
          </w:tcPr>
          <w:p w14:paraId="24F0A9EC" w14:textId="519B02A3" w:rsidR="00775B8F" w:rsidRPr="003E75D7" w:rsidRDefault="00775B8F" w:rsidP="0000065D">
            <w:pPr>
              <w:rPr>
                <w:rFonts w:ascii="Arial" w:hAnsi="Arial" w:cs="Arial"/>
                <w:sz w:val="17"/>
                <w:szCs w:val="17"/>
              </w:rPr>
            </w:pPr>
            <w:r w:rsidRPr="003E75D7">
              <w:rPr>
                <w:rFonts w:ascii="Arial" w:hAnsi="Arial" w:cs="Arial"/>
                <w:sz w:val="17"/>
                <w:szCs w:val="17"/>
              </w:rPr>
              <w:t>Households reporting whether their children were interested in taking up handloom weaving as a profession:</w:t>
            </w:r>
          </w:p>
          <w:p w14:paraId="3FB38CC4" w14:textId="77777777" w:rsidR="00775B8F" w:rsidRPr="003E75D7" w:rsidRDefault="00775B8F" w:rsidP="0000065D">
            <w:pPr>
              <w:rPr>
                <w:rFonts w:ascii="Arial" w:hAnsi="Arial" w:cs="Arial"/>
                <w:sz w:val="17"/>
                <w:szCs w:val="17"/>
              </w:rPr>
            </w:pPr>
          </w:p>
          <w:p w14:paraId="662C005C" w14:textId="77777777" w:rsidR="00775B8F" w:rsidRPr="003E75D7" w:rsidRDefault="00775B8F" w:rsidP="0000065D">
            <w:pPr>
              <w:rPr>
                <w:rFonts w:ascii="Arial" w:hAnsi="Arial" w:cs="Arial"/>
                <w:sz w:val="17"/>
                <w:szCs w:val="17"/>
              </w:rPr>
            </w:pPr>
            <w:r w:rsidRPr="003E75D7">
              <w:rPr>
                <w:rFonts w:ascii="Arial" w:hAnsi="Arial" w:cs="Arial"/>
                <w:sz w:val="17"/>
                <w:szCs w:val="17"/>
              </w:rPr>
              <w:t>No</w:t>
            </w:r>
          </w:p>
          <w:p w14:paraId="4116BC5D" w14:textId="77777777" w:rsidR="00775B8F" w:rsidRPr="003E75D7" w:rsidRDefault="00775B8F" w:rsidP="0000065D">
            <w:pPr>
              <w:rPr>
                <w:rFonts w:ascii="Arial" w:hAnsi="Arial" w:cs="Arial"/>
                <w:sz w:val="17"/>
                <w:szCs w:val="17"/>
              </w:rPr>
            </w:pPr>
            <w:r w:rsidRPr="003E75D7">
              <w:rPr>
                <w:rFonts w:ascii="Arial" w:hAnsi="Arial" w:cs="Arial"/>
                <w:sz w:val="17"/>
                <w:szCs w:val="17"/>
              </w:rPr>
              <w:t>Yes</w:t>
            </w:r>
          </w:p>
          <w:p w14:paraId="204507B1" w14:textId="77777777" w:rsidR="00775B8F" w:rsidRPr="003E75D7" w:rsidRDefault="00775B8F" w:rsidP="0000065D">
            <w:pPr>
              <w:rPr>
                <w:rFonts w:ascii="Arial" w:hAnsi="Arial" w:cs="Arial"/>
                <w:sz w:val="17"/>
                <w:szCs w:val="17"/>
              </w:rPr>
            </w:pPr>
            <w:r w:rsidRPr="003E75D7">
              <w:rPr>
                <w:rFonts w:ascii="Arial" w:hAnsi="Arial" w:cs="Arial"/>
                <w:sz w:val="17"/>
                <w:szCs w:val="17"/>
              </w:rPr>
              <w:t>Don’t know</w:t>
            </w:r>
          </w:p>
          <w:p w14:paraId="1344C4DB" w14:textId="77777777" w:rsidR="00775B8F" w:rsidRPr="003E75D7" w:rsidRDefault="00775B8F" w:rsidP="0000065D">
            <w:pPr>
              <w:rPr>
                <w:rFonts w:ascii="Arial" w:hAnsi="Arial" w:cs="Arial"/>
                <w:sz w:val="17"/>
                <w:szCs w:val="17"/>
              </w:rPr>
            </w:pPr>
            <w:r w:rsidRPr="003E75D7">
              <w:rPr>
                <w:rFonts w:ascii="Arial" w:hAnsi="Arial" w:cs="Arial"/>
                <w:sz w:val="17"/>
                <w:szCs w:val="17"/>
              </w:rPr>
              <w:t>Not applicable</w:t>
            </w:r>
          </w:p>
        </w:tc>
        <w:tc>
          <w:tcPr>
            <w:tcW w:w="1703" w:type="dxa"/>
          </w:tcPr>
          <w:p w14:paraId="5040B7D6" w14:textId="77777777" w:rsidR="00775B8F" w:rsidRPr="003E75D7" w:rsidRDefault="00775B8F" w:rsidP="005A5AE7">
            <w:pPr>
              <w:jc w:val="right"/>
              <w:rPr>
                <w:rFonts w:ascii="Arial" w:hAnsi="Arial" w:cs="Arial"/>
                <w:sz w:val="17"/>
                <w:szCs w:val="17"/>
              </w:rPr>
            </w:pPr>
          </w:p>
          <w:p w14:paraId="5DD96202" w14:textId="77777777" w:rsidR="00775B8F" w:rsidRPr="003E75D7" w:rsidRDefault="00775B8F" w:rsidP="005A5AE7">
            <w:pPr>
              <w:jc w:val="right"/>
              <w:rPr>
                <w:rFonts w:ascii="Arial" w:hAnsi="Arial" w:cs="Arial"/>
                <w:sz w:val="17"/>
                <w:szCs w:val="17"/>
              </w:rPr>
            </w:pPr>
          </w:p>
          <w:p w14:paraId="7791DBB0" w14:textId="77777777" w:rsidR="00775B8F" w:rsidRPr="003E75D7" w:rsidRDefault="00775B8F" w:rsidP="005A5AE7">
            <w:pPr>
              <w:jc w:val="right"/>
              <w:rPr>
                <w:rFonts w:ascii="Arial" w:hAnsi="Arial" w:cs="Arial"/>
                <w:sz w:val="17"/>
                <w:szCs w:val="17"/>
              </w:rPr>
            </w:pPr>
          </w:p>
          <w:p w14:paraId="31A5DD88" w14:textId="77777777" w:rsidR="00775B8F" w:rsidRPr="003E75D7" w:rsidRDefault="00775B8F" w:rsidP="005A5AE7">
            <w:pPr>
              <w:jc w:val="right"/>
              <w:rPr>
                <w:rFonts w:ascii="Arial" w:hAnsi="Arial" w:cs="Arial"/>
                <w:sz w:val="17"/>
                <w:szCs w:val="17"/>
              </w:rPr>
            </w:pPr>
          </w:p>
          <w:p w14:paraId="43308824" w14:textId="77777777" w:rsidR="00775B8F" w:rsidRPr="003E75D7" w:rsidRDefault="00775B8F" w:rsidP="005A5AE7">
            <w:pPr>
              <w:jc w:val="right"/>
              <w:rPr>
                <w:rFonts w:ascii="Arial" w:hAnsi="Arial" w:cs="Arial"/>
                <w:sz w:val="17"/>
                <w:szCs w:val="17"/>
              </w:rPr>
            </w:pPr>
          </w:p>
          <w:p w14:paraId="37E3AFD6" w14:textId="6F18B451" w:rsidR="00775B8F" w:rsidRPr="003E75D7" w:rsidRDefault="00775B8F" w:rsidP="005A5AE7">
            <w:pPr>
              <w:jc w:val="right"/>
              <w:rPr>
                <w:rFonts w:ascii="Arial" w:hAnsi="Arial" w:cs="Arial"/>
                <w:sz w:val="17"/>
                <w:szCs w:val="17"/>
              </w:rPr>
            </w:pPr>
            <w:r w:rsidRPr="003E75D7">
              <w:rPr>
                <w:rFonts w:ascii="Arial" w:hAnsi="Arial" w:cs="Arial"/>
                <w:sz w:val="17"/>
                <w:szCs w:val="17"/>
              </w:rPr>
              <w:t>64,056 (56.6)</w:t>
            </w:r>
          </w:p>
          <w:p w14:paraId="34DD67A7" w14:textId="643E5CA0" w:rsidR="00775B8F" w:rsidRPr="003E75D7" w:rsidRDefault="00775B8F" w:rsidP="005A5AE7">
            <w:pPr>
              <w:jc w:val="right"/>
              <w:rPr>
                <w:rFonts w:ascii="Arial" w:hAnsi="Arial" w:cs="Arial"/>
                <w:sz w:val="17"/>
                <w:szCs w:val="17"/>
              </w:rPr>
            </w:pPr>
            <w:r w:rsidRPr="003E75D7">
              <w:rPr>
                <w:rFonts w:ascii="Arial" w:hAnsi="Arial" w:cs="Arial"/>
                <w:sz w:val="17"/>
                <w:szCs w:val="17"/>
              </w:rPr>
              <w:t>10,461 (9.2)</w:t>
            </w:r>
          </w:p>
          <w:p w14:paraId="2CDE5360" w14:textId="23358C15" w:rsidR="00775B8F" w:rsidRPr="003E75D7" w:rsidRDefault="00775B8F" w:rsidP="005A5AE7">
            <w:pPr>
              <w:jc w:val="right"/>
              <w:rPr>
                <w:rFonts w:ascii="Arial" w:hAnsi="Arial" w:cs="Arial"/>
                <w:sz w:val="17"/>
                <w:szCs w:val="17"/>
              </w:rPr>
            </w:pPr>
            <w:r w:rsidRPr="003E75D7">
              <w:rPr>
                <w:rFonts w:ascii="Arial" w:hAnsi="Arial" w:cs="Arial"/>
                <w:sz w:val="17"/>
                <w:szCs w:val="17"/>
              </w:rPr>
              <w:t>30,076 (26.6)</w:t>
            </w:r>
          </w:p>
          <w:p w14:paraId="68315E51" w14:textId="14E43264" w:rsidR="00775B8F" w:rsidRPr="003E75D7" w:rsidRDefault="00775B8F" w:rsidP="00C14D7C">
            <w:pPr>
              <w:jc w:val="right"/>
              <w:rPr>
                <w:rFonts w:ascii="Arial" w:hAnsi="Arial" w:cs="Arial"/>
                <w:sz w:val="17"/>
                <w:szCs w:val="17"/>
              </w:rPr>
            </w:pPr>
            <w:r w:rsidRPr="003E75D7">
              <w:rPr>
                <w:rFonts w:ascii="Arial" w:hAnsi="Arial" w:cs="Arial"/>
                <w:sz w:val="17"/>
                <w:szCs w:val="17"/>
              </w:rPr>
              <w:t>8,439 (7.5)</w:t>
            </w:r>
          </w:p>
        </w:tc>
        <w:tc>
          <w:tcPr>
            <w:tcW w:w="1703" w:type="dxa"/>
          </w:tcPr>
          <w:p w14:paraId="48FC3E77" w14:textId="77777777" w:rsidR="00775B8F" w:rsidRPr="003E75D7" w:rsidRDefault="00775B8F" w:rsidP="005A5AE7">
            <w:pPr>
              <w:jc w:val="right"/>
              <w:rPr>
                <w:rFonts w:ascii="Arial" w:hAnsi="Arial" w:cs="Arial"/>
                <w:sz w:val="17"/>
                <w:szCs w:val="17"/>
              </w:rPr>
            </w:pPr>
          </w:p>
          <w:p w14:paraId="0FF52A6F" w14:textId="77777777" w:rsidR="00775B8F" w:rsidRPr="003E75D7" w:rsidRDefault="00775B8F" w:rsidP="005A5AE7">
            <w:pPr>
              <w:jc w:val="right"/>
              <w:rPr>
                <w:rFonts w:ascii="Arial" w:hAnsi="Arial" w:cs="Arial"/>
                <w:sz w:val="17"/>
                <w:szCs w:val="17"/>
              </w:rPr>
            </w:pPr>
          </w:p>
          <w:p w14:paraId="4B699793" w14:textId="77777777" w:rsidR="00775B8F" w:rsidRPr="003E75D7" w:rsidRDefault="00775B8F" w:rsidP="005A5AE7">
            <w:pPr>
              <w:jc w:val="right"/>
              <w:rPr>
                <w:rFonts w:ascii="Arial" w:hAnsi="Arial" w:cs="Arial"/>
                <w:sz w:val="17"/>
                <w:szCs w:val="17"/>
              </w:rPr>
            </w:pPr>
          </w:p>
          <w:p w14:paraId="2CE8C589" w14:textId="77777777" w:rsidR="00775B8F" w:rsidRPr="003E75D7" w:rsidRDefault="00775B8F" w:rsidP="005A5AE7">
            <w:pPr>
              <w:jc w:val="right"/>
              <w:rPr>
                <w:rFonts w:ascii="Arial" w:hAnsi="Arial" w:cs="Arial"/>
                <w:sz w:val="17"/>
                <w:szCs w:val="17"/>
              </w:rPr>
            </w:pPr>
          </w:p>
          <w:p w14:paraId="78EED828" w14:textId="77777777" w:rsidR="00775B8F" w:rsidRPr="003E75D7" w:rsidRDefault="00775B8F" w:rsidP="005A5AE7">
            <w:pPr>
              <w:jc w:val="right"/>
              <w:rPr>
                <w:rFonts w:ascii="Arial" w:hAnsi="Arial" w:cs="Arial"/>
                <w:sz w:val="17"/>
                <w:szCs w:val="17"/>
              </w:rPr>
            </w:pPr>
          </w:p>
          <w:p w14:paraId="7DE769FE" w14:textId="4CC3784E" w:rsidR="00775B8F" w:rsidRPr="003E75D7" w:rsidRDefault="00775B8F" w:rsidP="005A5AE7">
            <w:pPr>
              <w:jc w:val="right"/>
              <w:rPr>
                <w:rFonts w:ascii="Arial" w:hAnsi="Arial" w:cs="Arial"/>
                <w:sz w:val="17"/>
                <w:szCs w:val="17"/>
              </w:rPr>
            </w:pPr>
            <w:r w:rsidRPr="003E75D7">
              <w:rPr>
                <w:rFonts w:ascii="Arial" w:hAnsi="Arial" w:cs="Arial"/>
                <w:sz w:val="17"/>
                <w:szCs w:val="17"/>
              </w:rPr>
              <w:t>43,638 (57.4)</w:t>
            </w:r>
          </w:p>
          <w:p w14:paraId="31DA3208" w14:textId="4E618618" w:rsidR="00775B8F" w:rsidRPr="003E75D7" w:rsidRDefault="00775B8F" w:rsidP="005A5AE7">
            <w:pPr>
              <w:jc w:val="right"/>
              <w:rPr>
                <w:rFonts w:ascii="Arial" w:hAnsi="Arial" w:cs="Arial"/>
                <w:sz w:val="17"/>
                <w:szCs w:val="17"/>
              </w:rPr>
            </w:pPr>
            <w:r w:rsidRPr="003E75D7">
              <w:rPr>
                <w:rFonts w:ascii="Arial" w:hAnsi="Arial" w:cs="Arial"/>
                <w:sz w:val="17"/>
                <w:szCs w:val="17"/>
              </w:rPr>
              <w:t>6,882 (9.0)</w:t>
            </w:r>
          </w:p>
          <w:p w14:paraId="1ABE2105" w14:textId="1BA21199" w:rsidR="00775B8F" w:rsidRPr="003E75D7" w:rsidRDefault="00775B8F" w:rsidP="005A5AE7">
            <w:pPr>
              <w:jc w:val="right"/>
              <w:rPr>
                <w:rFonts w:ascii="Arial" w:hAnsi="Arial" w:cs="Arial"/>
                <w:sz w:val="17"/>
                <w:szCs w:val="17"/>
              </w:rPr>
            </w:pPr>
            <w:r w:rsidRPr="003E75D7">
              <w:rPr>
                <w:rFonts w:ascii="Arial" w:hAnsi="Arial" w:cs="Arial"/>
                <w:sz w:val="17"/>
                <w:szCs w:val="17"/>
              </w:rPr>
              <w:t>18,304 (24.1)</w:t>
            </w:r>
          </w:p>
          <w:p w14:paraId="0B057491" w14:textId="0D949F9A" w:rsidR="00775B8F" w:rsidRPr="003E75D7" w:rsidRDefault="00775B8F" w:rsidP="00C14D7C">
            <w:pPr>
              <w:jc w:val="right"/>
              <w:rPr>
                <w:rFonts w:ascii="Arial" w:hAnsi="Arial" w:cs="Arial"/>
                <w:sz w:val="17"/>
                <w:szCs w:val="17"/>
              </w:rPr>
            </w:pPr>
            <w:r w:rsidRPr="003E75D7">
              <w:rPr>
                <w:rFonts w:ascii="Arial" w:hAnsi="Arial" w:cs="Arial"/>
                <w:sz w:val="17"/>
                <w:szCs w:val="17"/>
              </w:rPr>
              <w:t>7,213 (9.5)</w:t>
            </w:r>
          </w:p>
        </w:tc>
        <w:tc>
          <w:tcPr>
            <w:tcW w:w="1703" w:type="dxa"/>
          </w:tcPr>
          <w:p w14:paraId="6B55978B" w14:textId="77777777" w:rsidR="00775B8F" w:rsidRPr="003E75D7" w:rsidRDefault="00775B8F" w:rsidP="005A5AE7">
            <w:pPr>
              <w:jc w:val="right"/>
              <w:rPr>
                <w:rFonts w:ascii="Arial" w:hAnsi="Arial" w:cs="Arial"/>
                <w:sz w:val="17"/>
                <w:szCs w:val="17"/>
              </w:rPr>
            </w:pPr>
          </w:p>
          <w:p w14:paraId="4DA3AA87" w14:textId="77777777" w:rsidR="00775B8F" w:rsidRPr="003E75D7" w:rsidRDefault="00775B8F" w:rsidP="005A5AE7">
            <w:pPr>
              <w:jc w:val="right"/>
              <w:rPr>
                <w:rFonts w:ascii="Arial" w:hAnsi="Arial" w:cs="Arial"/>
                <w:sz w:val="17"/>
                <w:szCs w:val="17"/>
              </w:rPr>
            </w:pPr>
          </w:p>
          <w:p w14:paraId="1AD1E0C6" w14:textId="77777777" w:rsidR="00775B8F" w:rsidRPr="003E75D7" w:rsidRDefault="00775B8F" w:rsidP="005A5AE7">
            <w:pPr>
              <w:jc w:val="right"/>
              <w:rPr>
                <w:rFonts w:ascii="Arial" w:hAnsi="Arial" w:cs="Arial"/>
                <w:sz w:val="17"/>
                <w:szCs w:val="17"/>
              </w:rPr>
            </w:pPr>
          </w:p>
          <w:p w14:paraId="00A8DCB5" w14:textId="77777777" w:rsidR="00775B8F" w:rsidRPr="003E75D7" w:rsidRDefault="00775B8F" w:rsidP="005A5AE7">
            <w:pPr>
              <w:jc w:val="right"/>
              <w:rPr>
                <w:rFonts w:ascii="Arial" w:hAnsi="Arial" w:cs="Arial"/>
                <w:sz w:val="17"/>
                <w:szCs w:val="17"/>
              </w:rPr>
            </w:pPr>
          </w:p>
          <w:p w14:paraId="6927B7E2" w14:textId="77777777" w:rsidR="00775B8F" w:rsidRPr="003E75D7" w:rsidRDefault="00775B8F" w:rsidP="005A5AE7">
            <w:pPr>
              <w:jc w:val="right"/>
              <w:rPr>
                <w:rFonts w:ascii="Arial" w:hAnsi="Arial" w:cs="Arial"/>
                <w:sz w:val="17"/>
                <w:szCs w:val="17"/>
              </w:rPr>
            </w:pPr>
          </w:p>
          <w:p w14:paraId="33C658C8" w14:textId="5B42FF72" w:rsidR="00775B8F" w:rsidRPr="003E75D7" w:rsidRDefault="00775B8F" w:rsidP="005A5AE7">
            <w:pPr>
              <w:jc w:val="right"/>
              <w:rPr>
                <w:rFonts w:ascii="Arial" w:hAnsi="Arial" w:cs="Arial"/>
                <w:sz w:val="17"/>
                <w:szCs w:val="17"/>
              </w:rPr>
            </w:pPr>
            <w:r w:rsidRPr="003E75D7">
              <w:rPr>
                <w:rFonts w:ascii="Arial" w:hAnsi="Arial" w:cs="Arial"/>
                <w:sz w:val="17"/>
                <w:szCs w:val="17"/>
              </w:rPr>
              <w:t>107,694 (56.9)</w:t>
            </w:r>
          </w:p>
          <w:p w14:paraId="5B48C360" w14:textId="3DF45A31" w:rsidR="00775B8F" w:rsidRPr="003E75D7" w:rsidRDefault="00775B8F" w:rsidP="005A5AE7">
            <w:pPr>
              <w:jc w:val="right"/>
              <w:rPr>
                <w:rFonts w:ascii="Arial" w:hAnsi="Arial" w:cs="Arial"/>
                <w:sz w:val="17"/>
                <w:szCs w:val="17"/>
              </w:rPr>
            </w:pPr>
            <w:r w:rsidRPr="003E75D7">
              <w:rPr>
                <w:rFonts w:ascii="Arial" w:hAnsi="Arial" w:cs="Arial"/>
                <w:sz w:val="17"/>
                <w:szCs w:val="17"/>
              </w:rPr>
              <w:t>17,343 (9.2)</w:t>
            </w:r>
          </w:p>
          <w:p w14:paraId="117C2819" w14:textId="466D0C5A" w:rsidR="00775B8F" w:rsidRPr="003E75D7" w:rsidRDefault="00775B8F" w:rsidP="005A5AE7">
            <w:pPr>
              <w:jc w:val="right"/>
              <w:rPr>
                <w:rFonts w:ascii="Arial" w:hAnsi="Arial" w:cs="Arial"/>
                <w:sz w:val="17"/>
                <w:szCs w:val="17"/>
              </w:rPr>
            </w:pPr>
            <w:r w:rsidRPr="003E75D7">
              <w:rPr>
                <w:rFonts w:ascii="Arial" w:hAnsi="Arial" w:cs="Arial"/>
                <w:sz w:val="17"/>
                <w:szCs w:val="17"/>
              </w:rPr>
              <w:t>48,380 (25.6)</w:t>
            </w:r>
          </w:p>
          <w:p w14:paraId="631B01F9" w14:textId="5F19887F" w:rsidR="00775B8F" w:rsidRPr="003E75D7" w:rsidRDefault="00775B8F" w:rsidP="00C14D7C">
            <w:pPr>
              <w:jc w:val="right"/>
              <w:rPr>
                <w:rFonts w:ascii="Arial" w:hAnsi="Arial" w:cs="Arial"/>
                <w:sz w:val="17"/>
                <w:szCs w:val="17"/>
              </w:rPr>
            </w:pPr>
            <w:r w:rsidRPr="003E75D7">
              <w:rPr>
                <w:rFonts w:ascii="Arial" w:hAnsi="Arial" w:cs="Arial"/>
                <w:sz w:val="17"/>
                <w:szCs w:val="17"/>
              </w:rPr>
              <w:t>15,652 (8.2)</w:t>
            </w:r>
          </w:p>
        </w:tc>
      </w:tr>
      <w:tr w:rsidR="00775B8F" w:rsidRPr="003E75D7" w14:paraId="6FEEFC50" w14:textId="77777777" w:rsidTr="007D5348">
        <w:trPr>
          <w:jc w:val="center"/>
        </w:trPr>
        <w:tc>
          <w:tcPr>
            <w:tcW w:w="2590" w:type="dxa"/>
          </w:tcPr>
          <w:p w14:paraId="57D3DC77" w14:textId="77777777" w:rsidR="00775B8F" w:rsidRPr="003E75D7" w:rsidRDefault="00775B8F" w:rsidP="0000065D">
            <w:pPr>
              <w:rPr>
                <w:rFonts w:ascii="Arial" w:hAnsi="Arial" w:cs="Arial"/>
                <w:sz w:val="17"/>
                <w:szCs w:val="17"/>
              </w:rPr>
            </w:pPr>
            <w:r w:rsidRPr="003E75D7">
              <w:rPr>
                <w:rFonts w:ascii="Arial" w:hAnsi="Arial" w:cs="Arial"/>
                <w:sz w:val="17"/>
                <w:szCs w:val="17"/>
              </w:rPr>
              <w:t>Handloom worker households reporting threat from mill/ power-loom sector:</w:t>
            </w:r>
          </w:p>
          <w:p w14:paraId="75BDB00C" w14:textId="77777777" w:rsidR="00775B8F" w:rsidRPr="003E75D7" w:rsidRDefault="00775B8F" w:rsidP="0000065D">
            <w:pPr>
              <w:rPr>
                <w:rFonts w:ascii="Arial" w:hAnsi="Arial" w:cs="Arial"/>
                <w:sz w:val="17"/>
                <w:szCs w:val="17"/>
              </w:rPr>
            </w:pPr>
            <w:r w:rsidRPr="003E75D7">
              <w:rPr>
                <w:rFonts w:ascii="Arial" w:hAnsi="Arial" w:cs="Arial"/>
                <w:sz w:val="17"/>
                <w:szCs w:val="17"/>
              </w:rPr>
              <w:t>High threat</w:t>
            </w:r>
          </w:p>
          <w:p w14:paraId="0917AF01" w14:textId="77777777" w:rsidR="00775B8F" w:rsidRPr="003E75D7" w:rsidRDefault="00775B8F" w:rsidP="0000065D">
            <w:pPr>
              <w:rPr>
                <w:rFonts w:ascii="Arial" w:hAnsi="Arial" w:cs="Arial"/>
                <w:sz w:val="17"/>
                <w:szCs w:val="17"/>
              </w:rPr>
            </w:pPr>
            <w:r w:rsidRPr="003E75D7">
              <w:rPr>
                <w:rFonts w:ascii="Arial" w:hAnsi="Arial" w:cs="Arial"/>
                <w:sz w:val="17"/>
                <w:szCs w:val="17"/>
              </w:rPr>
              <w:t>Moderate threat</w:t>
            </w:r>
          </w:p>
        </w:tc>
        <w:tc>
          <w:tcPr>
            <w:tcW w:w="1703" w:type="dxa"/>
          </w:tcPr>
          <w:p w14:paraId="6CA1698A" w14:textId="77777777" w:rsidR="00775B8F" w:rsidRPr="003E75D7" w:rsidRDefault="00775B8F" w:rsidP="005A5AE7">
            <w:pPr>
              <w:jc w:val="right"/>
              <w:rPr>
                <w:rFonts w:ascii="Arial" w:hAnsi="Arial" w:cs="Arial"/>
                <w:sz w:val="17"/>
                <w:szCs w:val="17"/>
              </w:rPr>
            </w:pPr>
          </w:p>
          <w:p w14:paraId="075ACB79" w14:textId="77777777" w:rsidR="00775B8F" w:rsidRPr="003E75D7" w:rsidRDefault="00775B8F" w:rsidP="005A5AE7">
            <w:pPr>
              <w:jc w:val="right"/>
              <w:rPr>
                <w:rFonts w:ascii="Arial" w:hAnsi="Arial" w:cs="Arial"/>
                <w:sz w:val="17"/>
                <w:szCs w:val="17"/>
              </w:rPr>
            </w:pPr>
          </w:p>
          <w:p w14:paraId="413C89A5" w14:textId="77777777" w:rsidR="00775B8F" w:rsidRPr="003E75D7" w:rsidRDefault="00775B8F" w:rsidP="005A5AE7">
            <w:pPr>
              <w:jc w:val="right"/>
              <w:rPr>
                <w:rFonts w:ascii="Arial" w:hAnsi="Arial" w:cs="Arial"/>
                <w:sz w:val="17"/>
                <w:szCs w:val="17"/>
              </w:rPr>
            </w:pPr>
          </w:p>
          <w:p w14:paraId="2A307AC6" w14:textId="6CE3DC56" w:rsidR="00775B8F" w:rsidRPr="003E75D7" w:rsidRDefault="00775B8F" w:rsidP="005A5AE7">
            <w:pPr>
              <w:jc w:val="right"/>
              <w:rPr>
                <w:rFonts w:ascii="Arial" w:hAnsi="Arial" w:cs="Arial"/>
                <w:sz w:val="17"/>
                <w:szCs w:val="17"/>
              </w:rPr>
            </w:pPr>
            <w:r w:rsidRPr="003E75D7">
              <w:rPr>
                <w:rFonts w:ascii="Arial" w:hAnsi="Arial" w:cs="Arial"/>
                <w:sz w:val="17"/>
                <w:szCs w:val="17"/>
              </w:rPr>
              <w:t>50,102 (44.3)</w:t>
            </w:r>
          </w:p>
          <w:p w14:paraId="20E2BC92" w14:textId="160C31EC" w:rsidR="00775B8F" w:rsidRPr="003E75D7" w:rsidRDefault="00775B8F" w:rsidP="007C7AED">
            <w:pPr>
              <w:jc w:val="right"/>
              <w:rPr>
                <w:rFonts w:ascii="Arial" w:hAnsi="Arial" w:cs="Arial"/>
                <w:sz w:val="17"/>
                <w:szCs w:val="17"/>
              </w:rPr>
            </w:pPr>
            <w:r w:rsidRPr="003E75D7">
              <w:rPr>
                <w:rFonts w:ascii="Arial" w:hAnsi="Arial" w:cs="Arial"/>
                <w:sz w:val="17"/>
                <w:szCs w:val="17"/>
              </w:rPr>
              <w:t>18,010 (16.0)</w:t>
            </w:r>
          </w:p>
        </w:tc>
        <w:tc>
          <w:tcPr>
            <w:tcW w:w="1703" w:type="dxa"/>
          </w:tcPr>
          <w:p w14:paraId="3569012F" w14:textId="77777777" w:rsidR="00775B8F" w:rsidRPr="003E75D7" w:rsidRDefault="00775B8F" w:rsidP="005A5AE7">
            <w:pPr>
              <w:jc w:val="right"/>
              <w:rPr>
                <w:rFonts w:ascii="Arial" w:hAnsi="Arial" w:cs="Arial"/>
                <w:sz w:val="17"/>
                <w:szCs w:val="17"/>
              </w:rPr>
            </w:pPr>
          </w:p>
          <w:p w14:paraId="185F413E" w14:textId="77777777" w:rsidR="00775B8F" w:rsidRPr="003E75D7" w:rsidRDefault="00775B8F" w:rsidP="005A5AE7">
            <w:pPr>
              <w:jc w:val="right"/>
              <w:rPr>
                <w:rFonts w:ascii="Arial" w:hAnsi="Arial" w:cs="Arial"/>
                <w:sz w:val="17"/>
                <w:szCs w:val="17"/>
              </w:rPr>
            </w:pPr>
          </w:p>
          <w:p w14:paraId="1956A0D9" w14:textId="77777777" w:rsidR="00775B8F" w:rsidRPr="003E75D7" w:rsidRDefault="00775B8F" w:rsidP="005A5AE7">
            <w:pPr>
              <w:jc w:val="right"/>
              <w:rPr>
                <w:rFonts w:ascii="Arial" w:hAnsi="Arial" w:cs="Arial"/>
                <w:sz w:val="17"/>
                <w:szCs w:val="17"/>
              </w:rPr>
            </w:pPr>
          </w:p>
          <w:p w14:paraId="69B78358" w14:textId="383A0AC0" w:rsidR="00775B8F" w:rsidRPr="003E75D7" w:rsidRDefault="00775B8F" w:rsidP="005A5AE7">
            <w:pPr>
              <w:jc w:val="right"/>
              <w:rPr>
                <w:rFonts w:ascii="Arial" w:hAnsi="Arial" w:cs="Arial"/>
                <w:sz w:val="17"/>
                <w:szCs w:val="17"/>
              </w:rPr>
            </w:pPr>
            <w:r w:rsidRPr="003E75D7">
              <w:rPr>
                <w:rFonts w:ascii="Arial" w:hAnsi="Arial" w:cs="Arial"/>
                <w:sz w:val="17"/>
                <w:szCs w:val="17"/>
              </w:rPr>
              <w:t>37,810 (49.7)</w:t>
            </w:r>
          </w:p>
          <w:p w14:paraId="4036B26B" w14:textId="772A98EF" w:rsidR="00775B8F" w:rsidRPr="003E75D7" w:rsidRDefault="00775B8F" w:rsidP="005A5AE7">
            <w:pPr>
              <w:jc w:val="right"/>
              <w:rPr>
                <w:rFonts w:ascii="Arial" w:hAnsi="Arial" w:cs="Arial"/>
                <w:sz w:val="17"/>
                <w:szCs w:val="17"/>
              </w:rPr>
            </w:pPr>
            <w:r w:rsidRPr="003E75D7">
              <w:rPr>
                <w:rFonts w:ascii="Arial" w:hAnsi="Arial" w:cs="Arial"/>
                <w:sz w:val="17"/>
                <w:szCs w:val="17"/>
              </w:rPr>
              <w:t>8,916 (11.7)</w:t>
            </w:r>
          </w:p>
        </w:tc>
        <w:tc>
          <w:tcPr>
            <w:tcW w:w="1703" w:type="dxa"/>
          </w:tcPr>
          <w:p w14:paraId="0D67787C" w14:textId="77777777" w:rsidR="00775B8F" w:rsidRPr="003E75D7" w:rsidRDefault="00775B8F" w:rsidP="005A5AE7">
            <w:pPr>
              <w:jc w:val="right"/>
              <w:rPr>
                <w:rFonts w:ascii="Arial" w:hAnsi="Arial" w:cs="Arial"/>
                <w:sz w:val="17"/>
                <w:szCs w:val="17"/>
              </w:rPr>
            </w:pPr>
          </w:p>
          <w:p w14:paraId="5585D6B5" w14:textId="77777777" w:rsidR="00775B8F" w:rsidRPr="003E75D7" w:rsidRDefault="00775B8F" w:rsidP="005A5AE7">
            <w:pPr>
              <w:jc w:val="right"/>
              <w:rPr>
                <w:rFonts w:ascii="Arial" w:hAnsi="Arial" w:cs="Arial"/>
                <w:sz w:val="17"/>
                <w:szCs w:val="17"/>
              </w:rPr>
            </w:pPr>
          </w:p>
          <w:p w14:paraId="0A8AB74C" w14:textId="77777777" w:rsidR="00775B8F" w:rsidRPr="003E75D7" w:rsidRDefault="00775B8F" w:rsidP="005A5AE7">
            <w:pPr>
              <w:jc w:val="right"/>
              <w:rPr>
                <w:rFonts w:ascii="Arial" w:hAnsi="Arial" w:cs="Arial"/>
                <w:sz w:val="17"/>
                <w:szCs w:val="17"/>
              </w:rPr>
            </w:pPr>
          </w:p>
          <w:p w14:paraId="3F9843A8" w14:textId="33A2CFC6" w:rsidR="00775B8F" w:rsidRPr="003E75D7" w:rsidRDefault="00775B8F" w:rsidP="005A5AE7">
            <w:pPr>
              <w:jc w:val="right"/>
              <w:rPr>
                <w:rFonts w:ascii="Arial" w:hAnsi="Arial" w:cs="Arial"/>
                <w:sz w:val="17"/>
                <w:szCs w:val="17"/>
              </w:rPr>
            </w:pPr>
            <w:r w:rsidRPr="003E75D7">
              <w:rPr>
                <w:rFonts w:ascii="Arial" w:hAnsi="Arial" w:cs="Arial"/>
                <w:sz w:val="17"/>
                <w:szCs w:val="17"/>
              </w:rPr>
              <w:t>87,912 (46.5)</w:t>
            </w:r>
          </w:p>
          <w:p w14:paraId="4F6850C2" w14:textId="0809B327" w:rsidR="00775B8F" w:rsidRPr="003E75D7" w:rsidRDefault="00775B8F" w:rsidP="005A5AE7">
            <w:pPr>
              <w:jc w:val="right"/>
              <w:rPr>
                <w:rFonts w:ascii="Arial" w:hAnsi="Arial" w:cs="Arial"/>
                <w:sz w:val="17"/>
                <w:szCs w:val="17"/>
              </w:rPr>
            </w:pPr>
            <w:r w:rsidRPr="003E75D7">
              <w:rPr>
                <w:rFonts w:ascii="Arial" w:hAnsi="Arial" w:cs="Arial"/>
                <w:sz w:val="17"/>
                <w:szCs w:val="17"/>
              </w:rPr>
              <w:t>26,926 (14.2)</w:t>
            </w:r>
          </w:p>
        </w:tc>
      </w:tr>
    </w:tbl>
    <w:p w14:paraId="3E528119" w14:textId="77777777" w:rsidR="003553E4" w:rsidRPr="003E75D7" w:rsidRDefault="003553E4" w:rsidP="003553E4">
      <w:pPr>
        <w:pStyle w:val="Footnote"/>
      </w:pPr>
    </w:p>
    <w:p w14:paraId="7E2F759E" w14:textId="16CFD073" w:rsidR="00D759DA" w:rsidRPr="003E75D7" w:rsidRDefault="00D759DA" w:rsidP="003553E4">
      <w:pPr>
        <w:pStyle w:val="Footnote"/>
      </w:pPr>
      <w:r w:rsidRPr="003E75D7">
        <w:t xml:space="preserve">Source: </w:t>
      </w:r>
      <w:r w:rsidR="00944D15" w:rsidRPr="003E75D7">
        <w:t xml:space="preserve">Adapted </w:t>
      </w:r>
      <w:r w:rsidRPr="003E75D7">
        <w:t>by case-author from</w:t>
      </w:r>
      <w:r w:rsidR="00944D15" w:rsidRPr="003E75D7">
        <w:t xml:space="preserve"> National Council of Applied Economic Research, </w:t>
      </w:r>
      <w:r w:rsidR="00944D15" w:rsidRPr="00C14D7C">
        <w:rPr>
          <w:i/>
        </w:rPr>
        <w:t>Handloom Census of India, 2009–10: Primary Handloom Census Abstract</w:t>
      </w:r>
      <w:r w:rsidR="00D859DE">
        <w:t>,</w:t>
      </w:r>
      <w:r w:rsidR="00944D15" w:rsidRPr="003E75D7">
        <w:t xml:space="preserve"> 2010, accessed April 26, 2017,</w:t>
      </w:r>
      <w:r w:rsidRPr="003E75D7">
        <w:t xml:space="preserve"> </w:t>
      </w:r>
      <w:r w:rsidRPr="00C14D7C">
        <w:t>http://handlooms.nic.in/Writereaddata/Handloom%20report.pdf</w:t>
      </w:r>
      <w:r w:rsidR="003553E4" w:rsidRPr="003E75D7">
        <w:rPr>
          <w:rStyle w:val="Hyperlink"/>
          <w:color w:val="auto"/>
          <w:u w:val="none"/>
        </w:rPr>
        <w:t>.</w:t>
      </w:r>
    </w:p>
    <w:p w14:paraId="28E7BE59" w14:textId="77777777" w:rsidR="00C14D7C" w:rsidRDefault="00C14D7C">
      <w:pPr>
        <w:spacing w:after="200" w:line="276" w:lineRule="auto"/>
        <w:rPr>
          <w:rFonts w:ascii="Arial" w:hAnsi="Arial" w:cs="Arial"/>
          <w:b/>
          <w:caps/>
        </w:rPr>
      </w:pPr>
      <w:r>
        <w:br w:type="page"/>
      </w:r>
    </w:p>
    <w:p w14:paraId="5121B7C2" w14:textId="4A8B4352" w:rsidR="00D759DA" w:rsidRPr="006C4E55" w:rsidRDefault="00D759DA" w:rsidP="00C14D7C">
      <w:pPr>
        <w:pStyle w:val="ExhibitHeading"/>
      </w:pPr>
      <w:r w:rsidRPr="006C4E55">
        <w:lastRenderedPageBreak/>
        <w:t xml:space="preserve">EXHIBIT 6: TURNAROUND STRATEGIES: THE </w:t>
      </w:r>
      <w:r w:rsidR="005870DE" w:rsidRPr="006C4E55">
        <w:t xml:space="preserve">three </w:t>
      </w:r>
      <w:r w:rsidRPr="006C4E55">
        <w:t>Rs</w:t>
      </w:r>
    </w:p>
    <w:p w14:paraId="15936838" w14:textId="77777777" w:rsidR="00D759DA" w:rsidRPr="003E75D7" w:rsidRDefault="00D759DA" w:rsidP="005E769F">
      <w:pPr>
        <w:pStyle w:val="BodyTextMain"/>
        <w:rPr>
          <w:sz w:val="16"/>
        </w:rPr>
      </w:pPr>
    </w:p>
    <w:p w14:paraId="5311DE8B" w14:textId="2EC1E51F" w:rsidR="00D759DA" w:rsidRPr="00775B8F" w:rsidRDefault="00D759DA" w:rsidP="00D759DA">
      <w:pPr>
        <w:jc w:val="both"/>
        <w:rPr>
          <w:rFonts w:ascii="Arial" w:hAnsi="Arial" w:cs="Arial"/>
        </w:rPr>
      </w:pPr>
      <w:r w:rsidRPr="00775B8F">
        <w:rPr>
          <w:rFonts w:ascii="Arial" w:hAnsi="Arial" w:cs="Arial"/>
          <w:b/>
          <w:i/>
        </w:rPr>
        <w:t>Replacement</w:t>
      </w:r>
      <w:r w:rsidR="00964C66" w:rsidRPr="00775B8F">
        <w:rPr>
          <w:rFonts w:ascii="Arial" w:hAnsi="Arial" w:cs="Arial"/>
          <w:b/>
          <w:i/>
        </w:rPr>
        <w:t xml:space="preserve"> </w:t>
      </w:r>
      <w:r w:rsidR="005065E0" w:rsidRPr="00775B8F">
        <w:rPr>
          <w:rFonts w:ascii="Arial" w:hAnsi="Arial" w:cs="Arial"/>
          <w:b/>
          <w:i/>
        </w:rPr>
        <w:t>or</w:t>
      </w:r>
      <w:r w:rsidR="00964C66" w:rsidRPr="00775B8F">
        <w:rPr>
          <w:rFonts w:ascii="Arial" w:hAnsi="Arial" w:cs="Arial"/>
          <w:b/>
          <w:i/>
        </w:rPr>
        <w:t xml:space="preserve"> </w:t>
      </w:r>
      <w:r w:rsidR="000C0B3A" w:rsidRPr="00775B8F">
        <w:rPr>
          <w:rFonts w:ascii="Arial" w:hAnsi="Arial" w:cs="Arial"/>
          <w:b/>
          <w:i/>
        </w:rPr>
        <w:t>Reorganization</w:t>
      </w:r>
      <w:r w:rsidR="000C0B3A" w:rsidRPr="00775B8F">
        <w:rPr>
          <w:rFonts w:ascii="Arial" w:hAnsi="Arial" w:cs="Arial"/>
        </w:rPr>
        <w:t>:</w:t>
      </w:r>
      <w:r w:rsidRPr="00775B8F">
        <w:rPr>
          <w:rFonts w:ascii="Arial" w:hAnsi="Arial" w:cs="Arial"/>
        </w:rPr>
        <w:t xml:space="preserve"> This strategy </w:t>
      </w:r>
      <w:r w:rsidR="000C0B3A" w:rsidRPr="00775B8F">
        <w:rPr>
          <w:rFonts w:ascii="Arial" w:hAnsi="Arial" w:cs="Arial"/>
        </w:rPr>
        <w:t xml:space="preserve">involved </w:t>
      </w:r>
      <w:r w:rsidRPr="00775B8F">
        <w:rPr>
          <w:rFonts w:ascii="Arial" w:hAnsi="Arial" w:cs="Arial"/>
        </w:rPr>
        <w:t>replacing and reorganizing the internal leadership and management team of the organi</w:t>
      </w:r>
      <w:r w:rsidR="000C0B3A" w:rsidRPr="00775B8F">
        <w:rPr>
          <w:rFonts w:ascii="Arial" w:hAnsi="Arial" w:cs="Arial"/>
        </w:rPr>
        <w:t>z</w:t>
      </w:r>
      <w:r w:rsidRPr="00775B8F">
        <w:rPr>
          <w:rFonts w:ascii="Arial" w:hAnsi="Arial" w:cs="Arial"/>
        </w:rPr>
        <w:t xml:space="preserve">ation with a completely new team, either drawn from within the organization or from outside. Such strategies </w:t>
      </w:r>
      <w:r w:rsidR="000C0B3A" w:rsidRPr="00775B8F">
        <w:rPr>
          <w:rFonts w:ascii="Arial" w:hAnsi="Arial" w:cs="Arial"/>
        </w:rPr>
        <w:t xml:space="preserve">were </w:t>
      </w:r>
      <w:r w:rsidRPr="00775B8F">
        <w:rPr>
          <w:rFonts w:ascii="Arial" w:hAnsi="Arial" w:cs="Arial"/>
        </w:rPr>
        <w:t>sought to assist in other turnaround strategies, including retrenchment</w:t>
      </w:r>
      <w:r w:rsidR="00564F4C" w:rsidRPr="00775B8F">
        <w:rPr>
          <w:rFonts w:ascii="Arial" w:hAnsi="Arial" w:cs="Arial"/>
        </w:rPr>
        <w:t xml:space="preserve"> or</w:t>
      </w:r>
      <w:r w:rsidRPr="00775B8F">
        <w:rPr>
          <w:rFonts w:ascii="Arial" w:hAnsi="Arial" w:cs="Arial"/>
        </w:rPr>
        <w:t xml:space="preserve"> repositioning strategies. They involve</w:t>
      </w:r>
      <w:r w:rsidR="000C0B3A" w:rsidRPr="00775B8F">
        <w:rPr>
          <w:rFonts w:ascii="Arial" w:hAnsi="Arial" w:cs="Arial"/>
        </w:rPr>
        <w:t>d</w:t>
      </w:r>
      <w:r w:rsidRPr="00775B8F">
        <w:rPr>
          <w:rFonts w:ascii="Arial" w:hAnsi="Arial" w:cs="Arial"/>
        </w:rPr>
        <w:t xml:space="preserve"> changes in the organizational culture, the extent of centralization</w:t>
      </w:r>
      <w:r w:rsidR="00564F4C" w:rsidRPr="00775B8F">
        <w:rPr>
          <w:rFonts w:ascii="Arial" w:hAnsi="Arial" w:cs="Arial"/>
        </w:rPr>
        <w:t xml:space="preserve"> or </w:t>
      </w:r>
      <w:r w:rsidRPr="00775B8F">
        <w:rPr>
          <w:rFonts w:ascii="Arial" w:hAnsi="Arial" w:cs="Arial"/>
        </w:rPr>
        <w:t xml:space="preserve">decentralization, </w:t>
      </w:r>
      <w:r w:rsidR="000C0B3A" w:rsidRPr="00775B8F">
        <w:rPr>
          <w:rFonts w:ascii="Arial" w:hAnsi="Arial" w:cs="Arial"/>
        </w:rPr>
        <w:t>and</w:t>
      </w:r>
      <w:r w:rsidRPr="00775B8F">
        <w:rPr>
          <w:rFonts w:ascii="Arial" w:hAnsi="Arial" w:cs="Arial"/>
        </w:rPr>
        <w:t xml:space="preserve"> the styles of leadership, including human resource management.</w:t>
      </w:r>
    </w:p>
    <w:p w14:paraId="6F936F28" w14:textId="77777777" w:rsidR="00D759DA" w:rsidRPr="00775B8F" w:rsidRDefault="00D759DA" w:rsidP="005E769F">
      <w:pPr>
        <w:pStyle w:val="BodyTextMain"/>
        <w:rPr>
          <w:sz w:val="20"/>
          <w:szCs w:val="20"/>
        </w:rPr>
      </w:pPr>
    </w:p>
    <w:p w14:paraId="061C4A9F" w14:textId="6E4437CE" w:rsidR="00D759DA" w:rsidRPr="00775B8F" w:rsidRDefault="00D759DA" w:rsidP="00D759DA">
      <w:pPr>
        <w:jc w:val="both"/>
        <w:rPr>
          <w:rFonts w:ascii="Arial" w:hAnsi="Arial"/>
        </w:rPr>
      </w:pPr>
      <w:r w:rsidRPr="00775B8F">
        <w:rPr>
          <w:rFonts w:ascii="Arial" w:hAnsi="Arial"/>
          <w:b/>
          <w:i/>
        </w:rPr>
        <w:t>Repositioning</w:t>
      </w:r>
      <w:r w:rsidR="000C0B3A" w:rsidRPr="00775B8F">
        <w:rPr>
          <w:rFonts w:ascii="Arial" w:hAnsi="Arial"/>
        </w:rPr>
        <w:t xml:space="preserve">: </w:t>
      </w:r>
      <w:r w:rsidRPr="00775B8F">
        <w:rPr>
          <w:rFonts w:ascii="Arial" w:hAnsi="Arial"/>
        </w:rPr>
        <w:t xml:space="preserve">This </w:t>
      </w:r>
      <w:r w:rsidR="000C0B3A" w:rsidRPr="00775B8F">
        <w:rPr>
          <w:rFonts w:ascii="Arial" w:hAnsi="Arial"/>
        </w:rPr>
        <w:t>was</w:t>
      </w:r>
      <w:r w:rsidRPr="00775B8F">
        <w:rPr>
          <w:rFonts w:ascii="Arial" w:hAnsi="Arial"/>
        </w:rPr>
        <w:t xml:space="preserve"> defined as an entrepreneurial</w:t>
      </w:r>
      <w:r w:rsidR="000C0B3A" w:rsidRPr="00775B8F">
        <w:rPr>
          <w:rFonts w:ascii="Arial" w:hAnsi="Arial"/>
        </w:rPr>
        <w:t xml:space="preserve"> </w:t>
      </w:r>
      <w:r w:rsidRPr="00775B8F">
        <w:rPr>
          <w:rFonts w:ascii="Arial" w:hAnsi="Arial"/>
        </w:rPr>
        <w:t>strategy that “emphasises growth and innovation</w:t>
      </w:r>
      <w:r w:rsidR="004F4F6E" w:rsidRPr="00775B8F">
        <w:rPr>
          <w:rFonts w:ascii="Arial" w:hAnsi="Arial"/>
        </w:rPr>
        <w:t>.</w:t>
      </w:r>
      <w:r w:rsidRPr="00775B8F">
        <w:rPr>
          <w:rFonts w:ascii="Arial" w:hAnsi="Arial"/>
        </w:rPr>
        <w:t>” A failing organi</w:t>
      </w:r>
      <w:r w:rsidR="000C0B3A" w:rsidRPr="00775B8F">
        <w:rPr>
          <w:rFonts w:ascii="Arial" w:hAnsi="Arial"/>
        </w:rPr>
        <w:t>z</w:t>
      </w:r>
      <w:r w:rsidRPr="00775B8F">
        <w:rPr>
          <w:rFonts w:ascii="Arial" w:hAnsi="Arial"/>
        </w:rPr>
        <w:t xml:space="preserve">ation </w:t>
      </w:r>
      <w:r w:rsidR="000C0B3A" w:rsidRPr="00775B8F">
        <w:rPr>
          <w:rFonts w:ascii="Arial" w:hAnsi="Arial"/>
        </w:rPr>
        <w:t xml:space="preserve">could </w:t>
      </w:r>
      <w:r w:rsidRPr="00775B8F">
        <w:rPr>
          <w:rFonts w:ascii="Arial" w:hAnsi="Arial"/>
        </w:rPr>
        <w:t xml:space="preserve">reposition itself </w:t>
      </w:r>
      <w:r w:rsidR="000C0B3A" w:rsidRPr="00775B8F">
        <w:rPr>
          <w:rFonts w:ascii="Arial" w:hAnsi="Arial"/>
        </w:rPr>
        <w:t xml:space="preserve">by </w:t>
      </w:r>
      <w:r w:rsidRPr="00775B8F">
        <w:rPr>
          <w:rFonts w:ascii="Arial" w:hAnsi="Arial"/>
        </w:rPr>
        <w:t>redefining its mission and core activities, by gaining dominance in an existing market</w:t>
      </w:r>
      <w:r w:rsidR="000C0B3A" w:rsidRPr="00775B8F">
        <w:rPr>
          <w:rFonts w:ascii="Arial" w:hAnsi="Arial"/>
        </w:rPr>
        <w:t>,</w:t>
      </w:r>
      <w:r w:rsidRPr="00775B8F">
        <w:rPr>
          <w:rFonts w:ascii="Arial" w:hAnsi="Arial"/>
        </w:rPr>
        <w:t xml:space="preserve"> or by innovating and diversifying into new markets and products.</w:t>
      </w:r>
    </w:p>
    <w:p w14:paraId="06675742" w14:textId="77777777" w:rsidR="00D759DA" w:rsidRPr="00775B8F" w:rsidRDefault="00D759DA" w:rsidP="005E769F">
      <w:pPr>
        <w:pStyle w:val="BodyTextMain"/>
        <w:rPr>
          <w:sz w:val="20"/>
          <w:szCs w:val="20"/>
        </w:rPr>
      </w:pPr>
    </w:p>
    <w:p w14:paraId="458B39DF" w14:textId="37B9573C" w:rsidR="00D759DA" w:rsidRPr="00775B8F" w:rsidRDefault="00D759DA" w:rsidP="00D759DA">
      <w:pPr>
        <w:jc w:val="both"/>
        <w:rPr>
          <w:rFonts w:ascii="Arial" w:hAnsi="Arial" w:cs="Arial"/>
        </w:rPr>
      </w:pPr>
      <w:r w:rsidRPr="00775B8F">
        <w:rPr>
          <w:rFonts w:ascii="Arial" w:hAnsi="Arial" w:cs="Arial"/>
          <w:b/>
          <w:i/>
        </w:rPr>
        <w:t>Retrenchment</w:t>
      </w:r>
      <w:r w:rsidR="000C0B3A" w:rsidRPr="00775B8F">
        <w:rPr>
          <w:rFonts w:ascii="Arial" w:hAnsi="Arial" w:cs="Arial"/>
        </w:rPr>
        <w:t>:</w:t>
      </w:r>
      <w:r w:rsidRPr="00775B8F">
        <w:rPr>
          <w:rFonts w:ascii="Arial" w:hAnsi="Arial" w:cs="Arial"/>
        </w:rPr>
        <w:t xml:space="preserve"> </w:t>
      </w:r>
      <w:r w:rsidR="00564F4C" w:rsidRPr="00775B8F">
        <w:rPr>
          <w:rFonts w:ascii="Arial" w:hAnsi="Arial" w:cs="Arial"/>
        </w:rPr>
        <w:t xml:space="preserve">This </w:t>
      </w:r>
      <w:r w:rsidRPr="00775B8F">
        <w:rPr>
          <w:rFonts w:ascii="Arial" w:hAnsi="Arial" w:cs="Arial"/>
        </w:rPr>
        <w:t xml:space="preserve">turnaround strategy </w:t>
      </w:r>
      <w:r w:rsidR="00564F4C" w:rsidRPr="00775B8F">
        <w:rPr>
          <w:rFonts w:ascii="Arial" w:hAnsi="Arial" w:cs="Arial"/>
        </w:rPr>
        <w:t>dealt</w:t>
      </w:r>
      <w:r w:rsidRPr="00775B8F">
        <w:rPr>
          <w:rFonts w:ascii="Arial" w:hAnsi="Arial" w:cs="Arial"/>
        </w:rPr>
        <w:t xml:space="preserve"> with organizational failure</w:t>
      </w:r>
      <w:r w:rsidR="00564F4C" w:rsidRPr="00775B8F">
        <w:rPr>
          <w:rFonts w:ascii="Arial" w:hAnsi="Arial" w:cs="Arial"/>
        </w:rPr>
        <w:t xml:space="preserve"> and </w:t>
      </w:r>
      <w:r w:rsidR="00944D15" w:rsidRPr="00775B8F">
        <w:rPr>
          <w:rFonts w:ascii="Arial" w:hAnsi="Arial" w:cs="Arial"/>
        </w:rPr>
        <w:t xml:space="preserve">involved </w:t>
      </w:r>
      <w:r w:rsidRPr="00775B8F">
        <w:rPr>
          <w:rFonts w:ascii="Arial" w:hAnsi="Arial" w:cs="Arial"/>
        </w:rPr>
        <w:t xml:space="preserve">taking immediate steps to stem losses through cuts in those parts of the business that </w:t>
      </w:r>
      <w:r w:rsidR="00944D15" w:rsidRPr="00775B8F">
        <w:rPr>
          <w:rFonts w:ascii="Arial" w:hAnsi="Arial" w:cs="Arial"/>
        </w:rPr>
        <w:t xml:space="preserve">were </w:t>
      </w:r>
      <w:r w:rsidRPr="00775B8F">
        <w:rPr>
          <w:rFonts w:ascii="Arial" w:hAnsi="Arial" w:cs="Arial"/>
        </w:rPr>
        <w:t xml:space="preserve">unproductive and unprofitable, </w:t>
      </w:r>
      <w:r w:rsidR="00944D15" w:rsidRPr="00775B8F">
        <w:rPr>
          <w:rFonts w:ascii="Arial" w:hAnsi="Arial" w:cs="Arial"/>
        </w:rPr>
        <w:t xml:space="preserve">stabilizing </w:t>
      </w:r>
      <w:r w:rsidRPr="00775B8F">
        <w:rPr>
          <w:rFonts w:ascii="Arial" w:hAnsi="Arial" w:cs="Arial"/>
        </w:rPr>
        <w:t>the organization</w:t>
      </w:r>
      <w:r w:rsidR="00944D15" w:rsidRPr="00775B8F">
        <w:rPr>
          <w:rFonts w:ascii="Arial" w:hAnsi="Arial" w:cs="Arial"/>
        </w:rPr>
        <w:t>,</w:t>
      </w:r>
      <w:r w:rsidRPr="00775B8F">
        <w:rPr>
          <w:rFonts w:ascii="Arial" w:hAnsi="Arial" w:cs="Arial"/>
        </w:rPr>
        <w:t xml:space="preserve"> and </w:t>
      </w:r>
      <w:r w:rsidR="00944D15" w:rsidRPr="00775B8F">
        <w:rPr>
          <w:rFonts w:ascii="Arial" w:hAnsi="Arial" w:cs="Arial"/>
        </w:rPr>
        <w:t xml:space="preserve">increasing </w:t>
      </w:r>
      <w:r w:rsidRPr="00775B8F">
        <w:rPr>
          <w:rFonts w:ascii="Arial" w:hAnsi="Arial" w:cs="Arial"/>
        </w:rPr>
        <w:t xml:space="preserve">efficiency. </w:t>
      </w:r>
      <w:r w:rsidR="00944D15" w:rsidRPr="00775B8F">
        <w:rPr>
          <w:rFonts w:ascii="Arial" w:hAnsi="Arial" w:cs="Arial"/>
        </w:rPr>
        <w:t>R</w:t>
      </w:r>
      <w:r w:rsidRPr="00775B8F">
        <w:rPr>
          <w:rFonts w:ascii="Arial" w:hAnsi="Arial" w:cs="Arial"/>
        </w:rPr>
        <w:t xml:space="preserve">etrenchment </w:t>
      </w:r>
      <w:r w:rsidR="00944D15" w:rsidRPr="00775B8F">
        <w:rPr>
          <w:rFonts w:ascii="Arial" w:hAnsi="Arial" w:cs="Arial"/>
        </w:rPr>
        <w:t xml:space="preserve">could </w:t>
      </w:r>
      <w:r w:rsidRPr="00775B8F">
        <w:rPr>
          <w:rFonts w:ascii="Arial" w:hAnsi="Arial" w:cs="Arial"/>
        </w:rPr>
        <w:t xml:space="preserve">include decisions to </w:t>
      </w:r>
      <w:r w:rsidR="00944D15" w:rsidRPr="00775B8F">
        <w:rPr>
          <w:rFonts w:ascii="Arial" w:hAnsi="Arial" w:cs="Arial"/>
        </w:rPr>
        <w:t xml:space="preserve">reduce staff, </w:t>
      </w:r>
      <w:r w:rsidRPr="00775B8F">
        <w:rPr>
          <w:rFonts w:ascii="Arial" w:hAnsi="Arial" w:cs="Arial"/>
        </w:rPr>
        <w:t>cut inventories, change prices, reduce overheads, restructure work processes, reduce waiting times, increase throughput</w:t>
      </w:r>
      <w:r w:rsidR="00944D15" w:rsidRPr="00775B8F">
        <w:rPr>
          <w:rFonts w:ascii="Arial" w:hAnsi="Arial" w:cs="Arial"/>
        </w:rPr>
        <w:t>,</w:t>
      </w:r>
      <w:r w:rsidRPr="00775B8F">
        <w:rPr>
          <w:rFonts w:ascii="Arial" w:hAnsi="Arial" w:cs="Arial"/>
        </w:rPr>
        <w:t xml:space="preserve"> or even exit markets where the firm </w:t>
      </w:r>
      <w:r w:rsidR="00944D15" w:rsidRPr="00775B8F">
        <w:rPr>
          <w:rFonts w:ascii="Arial" w:hAnsi="Arial" w:cs="Arial"/>
        </w:rPr>
        <w:t xml:space="preserve">was </w:t>
      </w:r>
      <w:r w:rsidRPr="00775B8F">
        <w:rPr>
          <w:rFonts w:ascii="Arial" w:hAnsi="Arial" w:cs="Arial"/>
        </w:rPr>
        <w:t xml:space="preserve">performing poorly. This strategy </w:t>
      </w:r>
      <w:r w:rsidR="00944D15" w:rsidRPr="00775B8F">
        <w:rPr>
          <w:rFonts w:ascii="Arial" w:hAnsi="Arial" w:cs="Arial"/>
        </w:rPr>
        <w:t xml:space="preserve">released </w:t>
      </w:r>
      <w:r w:rsidRPr="00775B8F">
        <w:rPr>
          <w:rFonts w:ascii="Arial" w:hAnsi="Arial" w:cs="Arial"/>
        </w:rPr>
        <w:t>resources</w:t>
      </w:r>
      <w:r w:rsidR="00944D15" w:rsidRPr="00775B8F">
        <w:rPr>
          <w:rFonts w:ascii="Arial" w:hAnsi="Arial" w:cs="Arial"/>
        </w:rPr>
        <w:t xml:space="preserve"> that could</w:t>
      </w:r>
      <w:r w:rsidRPr="00775B8F">
        <w:rPr>
          <w:rFonts w:ascii="Arial" w:hAnsi="Arial" w:cs="Arial"/>
        </w:rPr>
        <w:t xml:space="preserve"> be used for investment in areas that </w:t>
      </w:r>
      <w:r w:rsidR="00944D15" w:rsidRPr="00775B8F">
        <w:rPr>
          <w:rFonts w:ascii="Arial" w:hAnsi="Arial" w:cs="Arial"/>
        </w:rPr>
        <w:t xml:space="preserve">were </w:t>
      </w:r>
      <w:r w:rsidRPr="00775B8F">
        <w:rPr>
          <w:rFonts w:ascii="Arial" w:hAnsi="Arial" w:cs="Arial"/>
        </w:rPr>
        <w:t>likely to deliver higher returns.</w:t>
      </w:r>
    </w:p>
    <w:p w14:paraId="0937F103" w14:textId="77777777" w:rsidR="00D759DA" w:rsidRPr="003E75D7" w:rsidRDefault="00D759DA" w:rsidP="005065E0">
      <w:pPr>
        <w:pStyle w:val="BodyTextMain"/>
      </w:pPr>
    </w:p>
    <w:p w14:paraId="4225C121" w14:textId="5C5476C1" w:rsidR="00D759DA" w:rsidRPr="003E75D7" w:rsidRDefault="00D759DA" w:rsidP="008A5BC8">
      <w:pPr>
        <w:pStyle w:val="Footnote"/>
      </w:pPr>
      <w:r w:rsidRPr="003E75D7">
        <w:t>Source: Adapted from Kieran Walshe, Gill Harvey, Paula Hyde</w:t>
      </w:r>
      <w:r w:rsidR="00944D15" w:rsidRPr="003E75D7">
        <w:t>,</w:t>
      </w:r>
      <w:r w:rsidRPr="003E75D7">
        <w:t xml:space="preserve"> and Naresh Pandit, “Organizational Failure and Turnaround: Lessons for Public Services from the For-Profit Sector,” </w:t>
      </w:r>
      <w:r w:rsidRPr="00C14D7C">
        <w:rPr>
          <w:i/>
        </w:rPr>
        <w:t>Public Money and Management</w:t>
      </w:r>
      <w:r w:rsidRPr="003E75D7">
        <w:t xml:space="preserve"> 24, no.4 (2004): 201</w:t>
      </w:r>
      <w:r w:rsidR="00944D15" w:rsidRPr="003E75D7">
        <w:t>–</w:t>
      </w:r>
      <w:r w:rsidRPr="003E75D7">
        <w:t>208</w:t>
      </w:r>
      <w:r w:rsidR="00944D15" w:rsidRPr="003E75D7">
        <w:t>, doi:10.1111/j.1467-9302.2004.00421.x</w:t>
      </w:r>
      <w:r w:rsidRPr="003E75D7">
        <w:t xml:space="preserve">; George A. Boyne, “A ‘3Rs’ Strategy for Public Service Turnaround: Retrenchment, Repositioning and Reorganization,” </w:t>
      </w:r>
      <w:r w:rsidRPr="00C14D7C">
        <w:rPr>
          <w:i/>
        </w:rPr>
        <w:t>Public Money and Management</w:t>
      </w:r>
      <w:r w:rsidRPr="003E75D7">
        <w:t xml:space="preserve"> 24, no. 2 (2004): 97</w:t>
      </w:r>
      <w:r w:rsidR="00944D15" w:rsidRPr="003E75D7">
        <w:t>–</w:t>
      </w:r>
      <w:r w:rsidRPr="003E75D7">
        <w:t>103</w:t>
      </w:r>
      <w:r w:rsidR="00944D15" w:rsidRPr="003E75D7">
        <w:t>, doi:10.1111/j.1467-9302.2004.00401.x</w:t>
      </w:r>
      <w:r w:rsidRPr="003E75D7">
        <w:t>.</w:t>
      </w:r>
    </w:p>
    <w:p w14:paraId="3D6EDBF1" w14:textId="77777777" w:rsidR="00D759DA" w:rsidRPr="003E75D7" w:rsidRDefault="00D759DA" w:rsidP="008A5BC8">
      <w:pPr>
        <w:pStyle w:val="BodyTextMain"/>
        <w:rPr>
          <w:sz w:val="18"/>
        </w:rPr>
      </w:pPr>
    </w:p>
    <w:p w14:paraId="60F874EE" w14:textId="77777777" w:rsidR="00D759DA" w:rsidRPr="003E75D7" w:rsidRDefault="00D759DA" w:rsidP="008A5BC8">
      <w:pPr>
        <w:pStyle w:val="BodyTextMain"/>
        <w:rPr>
          <w:sz w:val="18"/>
        </w:rPr>
      </w:pPr>
    </w:p>
    <w:p w14:paraId="36AABA22" w14:textId="7C609C5F" w:rsidR="00D759DA" w:rsidRDefault="00D759DA" w:rsidP="00C14D7C">
      <w:pPr>
        <w:pStyle w:val="ExhibitHeading"/>
        <w:keepNext/>
        <w:keepLines/>
      </w:pPr>
      <w:r w:rsidRPr="003E75D7">
        <w:lastRenderedPageBreak/>
        <w:t xml:space="preserve">EXHIBIT 7: </w:t>
      </w:r>
      <w:r w:rsidR="000C0B3A" w:rsidRPr="003E75D7">
        <w:t xml:space="preserve">Co-optex </w:t>
      </w:r>
      <w:r w:rsidRPr="003E75D7">
        <w:t xml:space="preserve">SALES </w:t>
      </w:r>
      <w:r w:rsidR="000C0B3A" w:rsidRPr="003E75D7">
        <w:t xml:space="preserve">DETAILS </w:t>
      </w:r>
      <w:r w:rsidRPr="003E75D7">
        <w:t>FROM 2011</w:t>
      </w:r>
      <w:r w:rsidR="000C0B3A" w:rsidRPr="003E75D7">
        <w:t>–</w:t>
      </w:r>
      <w:r w:rsidRPr="003E75D7">
        <w:t>12 TO 2014</w:t>
      </w:r>
      <w:r w:rsidR="000C0B3A" w:rsidRPr="003E75D7">
        <w:t>–</w:t>
      </w:r>
      <w:r w:rsidRPr="003E75D7">
        <w:t>15</w:t>
      </w:r>
      <w:r w:rsidR="000C0B3A" w:rsidRPr="003E75D7">
        <w:t>,</w:t>
      </w:r>
      <w:r w:rsidR="00C14D7C">
        <w:t xml:space="preserve"> </w:t>
      </w:r>
      <w:r w:rsidR="000C0B3A" w:rsidRPr="003E75D7">
        <w:t xml:space="preserve">by CATEGORY AND </w:t>
      </w:r>
      <w:r w:rsidR="00ED6C77" w:rsidRPr="003E75D7">
        <w:t>fiscal</w:t>
      </w:r>
      <w:r w:rsidR="004F4F6E" w:rsidRPr="003E75D7">
        <w:t xml:space="preserve"> </w:t>
      </w:r>
      <w:r w:rsidR="000C0B3A" w:rsidRPr="003E75D7">
        <w:t xml:space="preserve">YEAR </w:t>
      </w:r>
      <w:r w:rsidRPr="003E75D7">
        <w:t>(in $ million</w:t>
      </w:r>
      <w:r w:rsidR="000C0B3A" w:rsidRPr="003E75D7">
        <w:t>s</w:t>
      </w:r>
      <w:r w:rsidRPr="003E75D7">
        <w:t>)</w:t>
      </w:r>
    </w:p>
    <w:p w14:paraId="46E2DB9E" w14:textId="77777777" w:rsidR="00C14D7C" w:rsidRPr="003E75D7" w:rsidRDefault="00C14D7C" w:rsidP="00C14D7C">
      <w:pPr>
        <w:pStyle w:val="ExhibitHeading"/>
        <w:keepNext/>
        <w:keepLines/>
      </w:pPr>
    </w:p>
    <w:tbl>
      <w:tblPr>
        <w:tblW w:w="0" w:type="auto"/>
        <w:jc w:val="center"/>
        <w:tblLook w:val="04A0" w:firstRow="1" w:lastRow="0" w:firstColumn="1" w:lastColumn="0" w:noHBand="0" w:noVBand="1"/>
      </w:tblPr>
      <w:tblGrid>
        <w:gridCol w:w="2712"/>
        <w:gridCol w:w="1191"/>
        <w:gridCol w:w="956"/>
        <w:gridCol w:w="956"/>
        <w:gridCol w:w="956"/>
        <w:gridCol w:w="956"/>
      </w:tblGrid>
      <w:tr w:rsidR="00C14D7C" w:rsidRPr="003E75D7" w14:paraId="23C7536C" w14:textId="77777777" w:rsidTr="00C14D7C">
        <w:trPr>
          <w:trHeight w:val="215"/>
          <w:tblHeader/>
          <w:jc w:val="center"/>
        </w:trPr>
        <w:tc>
          <w:tcPr>
            <w:tcW w:w="2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83D5D" w14:textId="77777777" w:rsidR="00C14D7C" w:rsidRPr="003E75D7" w:rsidRDefault="00C14D7C" w:rsidP="00C14D7C">
            <w:pPr>
              <w:keepNext/>
              <w:keepLines/>
              <w:jc w:val="center"/>
              <w:rPr>
                <w:rFonts w:ascii="Arial" w:hAnsi="Arial" w:cs="Arial"/>
                <w:b/>
                <w:color w:val="000000"/>
                <w:sz w:val="19"/>
                <w:szCs w:val="19"/>
              </w:rPr>
            </w:pPr>
            <w:r w:rsidRPr="003E75D7">
              <w:rPr>
                <w:rFonts w:ascii="Arial" w:hAnsi="Arial" w:cs="Arial"/>
                <w:b/>
                <w:color w:val="000000"/>
                <w:sz w:val="19"/>
                <w:szCs w:val="19"/>
              </w:rPr>
              <w:t>Variety</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7D06EA61" w14:textId="11A050F6" w:rsidR="00C14D7C" w:rsidRPr="003E75D7" w:rsidRDefault="00C14D7C" w:rsidP="00C14D7C">
            <w:pPr>
              <w:keepNext/>
              <w:keepLines/>
              <w:jc w:val="center"/>
              <w:rPr>
                <w:rFonts w:ascii="Arial" w:hAnsi="Arial" w:cs="Arial"/>
                <w:b/>
                <w:color w:val="000000"/>
                <w:sz w:val="19"/>
                <w:szCs w:val="19"/>
              </w:rPr>
            </w:pPr>
            <w:r w:rsidRPr="003E75D7">
              <w:rPr>
                <w:rFonts w:ascii="Arial" w:hAnsi="Arial" w:cs="Arial"/>
                <w:b/>
                <w:color w:val="000000"/>
                <w:sz w:val="19"/>
                <w:szCs w:val="19"/>
              </w:rPr>
              <w:t>2011–12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5A8407" w14:textId="4E4E9993" w:rsidR="00C14D7C" w:rsidRPr="003E75D7" w:rsidRDefault="00C14D7C" w:rsidP="00C14D7C">
            <w:pPr>
              <w:keepNext/>
              <w:keepLines/>
              <w:jc w:val="center"/>
              <w:rPr>
                <w:rFonts w:ascii="Arial" w:hAnsi="Arial" w:cs="Arial"/>
                <w:b/>
                <w:color w:val="000000"/>
                <w:sz w:val="19"/>
                <w:szCs w:val="19"/>
              </w:rPr>
            </w:pPr>
            <w:r w:rsidRPr="003E75D7">
              <w:rPr>
                <w:rFonts w:ascii="Arial" w:hAnsi="Arial" w:cs="Arial"/>
                <w:b/>
                <w:color w:val="000000"/>
                <w:sz w:val="19"/>
                <w:szCs w:val="19"/>
              </w:rPr>
              <w:t>2012–13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487AC86" w14:textId="38667CB0" w:rsidR="00C14D7C" w:rsidRPr="003E75D7" w:rsidRDefault="00C14D7C" w:rsidP="00C14D7C">
            <w:pPr>
              <w:keepNext/>
              <w:keepLines/>
              <w:jc w:val="center"/>
              <w:rPr>
                <w:rFonts w:ascii="Arial" w:hAnsi="Arial" w:cs="Arial"/>
                <w:b/>
                <w:color w:val="000000"/>
                <w:sz w:val="19"/>
                <w:szCs w:val="19"/>
              </w:rPr>
            </w:pPr>
            <w:r w:rsidRPr="003E75D7">
              <w:rPr>
                <w:rFonts w:ascii="Arial" w:hAnsi="Arial" w:cs="Arial"/>
                <w:b/>
                <w:color w:val="000000"/>
                <w:sz w:val="19"/>
                <w:szCs w:val="19"/>
              </w:rPr>
              <w:t>2013–14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3F2826C" w14:textId="4ECA2F13" w:rsidR="00C14D7C" w:rsidRPr="003E75D7" w:rsidRDefault="00C14D7C" w:rsidP="00C14D7C">
            <w:pPr>
              <w:keepNext/>
              <w:keepLines/>
              <w:jc w:val="center"/>
              <w:rPr>
                <w:rFonts w:ascii="Arial" w:hAnsi="Arial" w:cs="Arial"/>
                <w:b/>
                <w:color w:val="000000"/>
                <w:sz w:val="19"/>
                <w:szCs w:val="19"/>
              </w:rPr>
            </w:pPr>
            <w:r w:rsidRPr="003E75D7">
              <w:rPr>
                <w:rFonts w:ascii="Arial" w:hAnsi="Arial" w:cs="Arial"/>
                <w:b/>
                <w:color w:val="000000"/>
                <w:sz w:val="19"/>
                <w:szCs w:val="19"/>
              </w:rPr>
              <w:t>2014–15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8238BC" w14:textId="3D7CBC27" w:rsidR="00C14D7C" w:rsidRPr="003E75D7" w:rsidRDefault="00C14D7C" w:rsidP="00C14D7C">
            <w:pPr>
              <w:keepNext/>
              <w:keepLines/>
              <w:jc w:val="center"/>
              <w:rPr>
                <w:rFonts w:ascii="Arial" w:hAnsi="Arial" w:cs="Arial"/>
                <w:b/>
                <w:color w:val="000000"/>
                <w:sz w:val="19"/>
                <w:szCs w:val="19"/>
              </w:rPr>
            </w:pPr>
            <w:r w:rsidRPr="003E75D7">
              <w:rPr>
                <w:rFonts w:ascii="Arial" w:hAnsi="Arial" w:cs="Arial"/>
                <w:b/>
                <w:color w:val="000000"/>
                <w:sz w:val="19"/>
                <w:szCs w:val="19"/>
              </w:rPr>
              <w:t>2015–16</w:t>
            </w:r>
          </w:p>
        </w:tc>
      </w:tr>
      <w:tr w:rsidR="00C14D7C" w:rsidRPr="003E75D7" w14:paraId="07C1FAB8" w14:textId="77777777" w:rsidTr="00C14D7C">
        <w:trPr>
          <w:trHeight w:val="206"/>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6FA526FD" w14:textId="2F5CC1C6"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Kanjeevar</w:t>
            </w:r>
            <w:r w:rsidR="00564F4C">
              <w:rPr>
                <w:rFonts w:ascii="Arial" w:hAnsi="Arial" w:cs="Arial"/>
                <w:color w:val="000000"/>
                <w:sz w:val="19"/>
                <w:szCs w:val="19"/>
              </w:rPr>
              <w:t>u</w:t>
            </w:r>
            <w:r w:rsidRPr="003E75D7">
              <w:rPr>
                <w:rFonts w:ascii="Arial" w:hAnsi="Arial" w:cs="Arial"/>
                <w:color w:val="000000"/>
                <w:sz w:val="19"/>
                <w:szCs w:val="19"/>
              </w:rPr>
              <w:t>m Silk Saris</w:t>
            </w:r>
            <w:r w:rsidRPr="003E75D7">
              <w:rPr>
                <w:rFonts w:ascii="Arial" w:hAnsi="Arial" w:cs="Arial"/>
                <w:color w:val="000000"/>
                <w:sz w:val="19"/>
                <w:szCs w:val="19"/>
                <w:vertAlign w:val="superscript"/>
              </w:rPr>
              <w:t>+</w:t>
            </w:r>
          </w:p>
        </w:tc>
        <w:tc>
          <w:tcPr>
            <w:tcW w:w="1191" w:type="dxa"/>
            <w:tcBorders>
              <w:top w:val="nil"/>
              <w:left w:val="nil"/>
              <w:bottom w:val="single" w:sz="4" w:space="0" w:color="auto"/>
              <w:right w:val="single" w:sz="4" w:space="0" w:color="auto"/>
            </w:tcBorders>
            <w:shd w:val="clear" w:color="auto" w:fill="auto"/>
            <w:noWrap/>
            <w:vAlign w:val="bottom"/>
            <w:hideMark/>
          </w:tcPr>
          <w:p w14:paraId="2DD59D4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0.10</w:t>
            </w:r>
          </w:p>
        </w:tc>
        <w:tc>
          <w:tcPr>
            <w:tcW w:w="0" w:type="auto"/>
            <w:tcBorders>
              <w:top w:val="nil"/>
              <w:left w:val="nil"/>
              <w:bottom w:val="single" w:sz="4" w:space="0" w:color="auto"/>
              <w:right w:val="single" w:sz="4" w:space="0" w:color="auto"/>
            </w:tcBorders>
            <w:shd w:val="clear" w:color="auto" w:fill="auto"/>
            <w:noWrap/>
            <w:vAlign w:val="bottom"/>
            <w:hideMark/>
          </w:tcPr>
          <w:p w14:paraId="76FFF09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0.33</w:t>
            </w:r>
          </w:p>
        </w:tc>
        <w:tc>
          <w:tcPr>
            <w:tcW w:w="0" w:type="auto"/>
            <w:tcBorders>
              <w:top w:val="nil"/>
              <w:left w:val="nil"/>
              <w:bottom w:val="single" w:sz="4" w:space="0" w:color="auto"/>
              <w:right w:val="single" w:sz="4" w:space="0" w:color="auto"/>
            </w:tcBorders>
            <w:shd w:val="clear" w:color="auto" w:fill="auto"/>
            <w:noWrap/>
            <w:vAlign w:val="bottom"/>
            <w:hideMark/>
          </w:tcPr>
          <w:p w14:paraId="53BD4FA8"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0.43</w:t>
            </w:r>
          </w:p>
        </w:tc>
        <w:tc>
          <w:tcPr>
            <w:tcW w:w="0" w:type="auto"/>
            <w:tcBorders>
              <w:top w:val="nil"/>
              <w:left w:val="nil"/>
              <w:bottom w:val="single" w:sz="4" w:space="0" w:color="auto"/>
              <w:right w:val="single" w:sz="4" w:space="0" w:color="auto"/>
            </w:tcBorders>
            <w:shd w:val="clear" w:color="auto" w:fill="auto"/>
            <w:noWrap/>
            <w:vAlign w:val="bottom"/>
            <w:hideMark/>
          </w:tcPr>
          <w:p w14:paraId="20A5BD78"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0.70</w:t>
            </w:r>
          </w:p>
        </w:tc>
        <w:tc>
          <w:tcPr>
            <w:tcW w:w="0" w:type="auto"/>
            <w:tcBorders>
              <w:top w:val="nil"/>
              <w:left w:val="nil"/>
              <w:bottom w:val="single" w:sz="4" w:space="0" w:color="auto"/>
              <w:right w:val="single" w:sz="4" w:space="0" w:color="auto"/>
            </w:tcBorders>
            <w:shd w:val="clear" w:color="auto" w:fill="auto"/>
            <w:noWrap/>
            <w:vAlign w:val="bottom"/>
            <w:hideMark/>
          </w:tcPr>
          <w:p w14:paraId="11626B7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0.74</w:t>
            </w:r>
          </w:p>
        </w:tc>
      </w:tr>
      <w:tr w:rsidR="00C14D7C" w:rsidRPr="003E75D7" w14:paraId="2F13E4BF" w14:textId="77777777" w:rsidTr="00C14D7C">
        <w:trPr>
          <w:trHeight w:val="242"/>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46F22878"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Arni Silk Saris</w:t>
            </w:r>
            <w:r w:rsidRPr="003E75D7">
              <w:rPr>
                <w:rFonts w:ascii="Arial" w:hAnsi="Arial" w:cs="Arial"/>
                <w:color w:val="000000"/>
                <w:sz w:val="19"/>
                <w:szCs w:val="19"/>
                <w:vertAlign w:val="superscript"/>
              </w:rPr>
              <w:t>+</w:t>
            </w:r>
          </w:p>
        </w:tc>
        <w:tc>
          <w:tcPr>
            <w:tcW w:w="1191" w:type="dxa"/>
            <w:tcBorders>
              <w:top w:val="nil"/>
              <w:left w:val="nil"/>
              <w:bottom w:val="single" w:sz="4" w:space="0" w:color="auto"/>
              <w:right w:val="single" w:sz="4" w:space="0" w:color="auto"/>
            </w:tcBorders>
            <w:shd w:val="clear" w:color="auto" w:fill="auto"/>
            <w:noWrap/>
            <w:vAlign w:val="bottom"/>
            <w:hideMark/>
          </w:tcPr>
          <w:p w14:paraId="530757F6"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0.70</w:t>
            </w:r>
          </w:p>
        </w:tc>
        <w:tc>
          <w:tcPr>
            <w:tcW w:w="0" w:type="auto"/>
            <w:tcBorders>
              <w:top w:val="nil"/>
              <w:left w:val="nil"/>
              <w:bottom w:val="single" w:sz="4" w:space="0" w:color="auto"/>
              <w:right w:val="single" w:sz="4" w:space="0" w:color="auto"/>
            </w:tcBorders>
            <w:shd w:val="clear" w:color="auto" w:fill="auto"/>
            <w:noWrap/>
            <w:vAlign w:val="bottom"/>
            <w:hideMark/>
          </w:tcPr>
          <w:p w14:paraId="5BC6666F"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0.71</w:t>
            </w:r>
          </w:p>
        </w:tc>
        <w:tc>
          <w:tcPr>
            <w:tcW w:w="0" w:type="auto"/>
            <w:tcBorders>
              <w:top w:val="nil"/>
              <w:left w:val="nil"/>
              <w:bottom w:val="single" w:sz="4" w:space="0" w:color="auto"/>
              <w:right w:val="single" w:sz="4" w:space="0" w:color="auto"/>
            </w:tcBorders>
            <w:shd w:val="clear" w:color="auto" w:fill="auto"/>
            <w:noWrap/>
            <w:vAlign w:val="bottom"/>
            <w:hideMark/>
          </w:tcPr>
          <w:p w14:paraId="6554AA0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0.78</w:t>
            </w:r>
          </w:p>
        </w:tc>
        <w:tc>
          <w:tcPr>
            <w:tcW w:w="0" w:type="auto"/>
            <w:tcBorders>
              <w:top w:val="nil"/>
              <w:left w:val="nil"/>
              <w:bottom w:val="single" w:sz="4" w:space="0" w:color="auto"/>
              <w:right w:val="single" w:sz="4" w:space="0" w:color="auto"/>
            </w:tcBorders>
            <w:shd w:val="clear" w:color="auto" w:fill="auto"/>
            <w:noWrap/>
            <w:vAlign w:val="bottom"/>
            <w:hideMark/>
          </w:tcPr>
          <w:p w14:paraId="7C0AE7F6"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0.81</w:t>
            </w:r>
          </w:p>
        </w:tc>
        <w:tc>
          <w:tcPr>
            <w:tcW w:w="0" w:type="auto"/>
            <w:tcBorders>
              <w:top w:val="nil"/>
              <w:left w:val="nil"/>
              <w:bottom w:val="single" w:sz="4" w:space="0" w:color="auto"/>
              <w:right w:val="single" w:sz="4" w:space="0" w:color="auto"/>
            </w:tcBorders>
            <w:shd w:val="clear" w:color="auto" w:fill="auto"/>
            <w:noWrap/>
            <w:vAlign w:val="bottom"/>
            <w:hideMark/>
          </w:tcPr>
          <w:p w14:paraId="4971D562"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0.91</w:t>
            </w:r>
          </w:p>
        </w:tc>
      </w:tr>
      <w:tr w:rsidR="00C14D7C" w:rsidRPr="003E75D7" w14:paraId="4C1554DB" w14:textId="77777777" w:rsidTr="00C14D7C">
        <w:trPr>
          <w:trHeight w:val="251"/>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62F49CE7" w14:textId="77777777" w:rsidR="00C14D7C" w:rsidRPr="003E75D7" w:rsidRDefault="00C14D7C" w:rsidP="00C14D7C">
            <w:pPr>
              <w:keepNext/>
              <w:keepLines/>
              <w:rPr>
                <w:rFonts w:ascii="Arial" w:hAnsi="Arial" w:cs="Arial"/>
                <w:color w:val="000000"/>
                <w:sz w:val="19"/>
                <w:szCs w:val="19"/>
                <w:vertAlign w:val="superscript"/>
              </w:rPr>
            </w:pPr>
            <w:r w:rsidRPr="003E75D7">
              <w:rPr>
                <w:rFonts w:ascii="Arial" w:hAnsi="Arial" w:cs="Arial"/>
                <w:color w:val="000000"/>
                <w:sz w:val="19"/>
                <w:szCs w:val="19"/>
              </w:rPr>
              <w:t>Coimbatore Silk Saris</w:t>
            </w:r>
            <w:r w:rsidRPr="003E75D7">
              <w:rPr>
                <w:rFonts w:ascii="Arial" w:hAnsi="Arial" w:cs="Arial"/>
                <w:color w:val="000000"/>
                <w:sz w:val="19"/>
                <w:szCs w:val="19"/>
                <w:vertAlign w:val="superscript"/>
              </w:rPr>
              <w:t>+</w:t>
            </w:r>
          </w:p>
        </w:tc>
        <w:tc>
          <w:tcPr>
            <w:tcW w:w="1191" w:type="dxa"/>
            <w:tcBorders>
              <w:top w:val="nil"/>
              <w:left w:val="nil"/>
              <w:bottom w:val="single" w:sz="4" w:space="0" w:color="auto"/>
              <w:right w:val="single" w:sz="4" w:space="0" w:color="auto"/>
            </w:tcBorders>
            <w:shd w:val="clear" w:color="auto" w:fill="auto"/>
            <w:noWrap/>
            <w:vAlign w:val="bottom"/>
            <w:hideMark/>
          </w:tcPr>
          <w:p w14:paraId="5D34486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2.86</w:t>
            </w:r>
          </w:p>
        </w:tc>
        <w:tc>
          <w:tcPr>
            <w:tcW w:w="0" w:type="auto"/>
            <w:tcBorders>
              <w:top w:val="nil"/>
              <w:left w:val="nil"/>
              <w:bottom w:val="single" w:sz="4" w:space="0" w:color="auto"/>
              <w:right w:val="single" w:sz="4" w:space="0" w:color="auto"/>
            </w:tcBorders>
            <w:shd w:val="clear" w:color="auto" w:fill="auto"/>
            <w:noWrap/>
            <w:vAlign w:val="bottom"/>
            <w:hideMark/>
          </w:tcPr>
          <w:p w14:paraId="39CA3BE9"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2.93</w:t>
            </w:r>
          </w:p>
        </w:tc>
        <w:tc>
          <w:tcPr>
            <w:tcW w:w="0" w:type="auto"/>
            <w:tcBorders>
              <w:top w:val="nil"/>
              <w:left w:val="nil"/>
              <w:bottom w:val="single" w:sz="4" w:space="0" w:color="auto"/>
              <w:right w:val="single" w:sz="4" w:space="0" w:color="auto"/>
            </w:tcBorders>
            <w:shd w:val="clear" w:color="auto" w:fill="auto"/>
            <w:noWrap/>
            <w:vAlign w:val="bottom"/>
            <w:hideMark/>
          </w:tcPr>
          <w:p w14:paraId="1E691EB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3.51</w:t>
            </w:r>
          </w:p>
        </w:tc>
        <w:tc>
          <w:tcPr>
            <w:tcW w:w="0" w:type="auto"/>
            <w:tcBorders>
              <w:top w:val="nil"/>
              <w:left w:val="nil"/>
              <w:bottom w:val="single" w:sz="4" w:space="0" w:color="auto"/>
              <w:right w:val="single" w:sz="4" w:space="0" w:color="auto"/>
            </w:tcBorders>
            <w:shd w:val="clear" w:color="auto" w:fill="auto"/>
            <w:noWrap/>
            <w:vAlign w:val="bottom"/>
            <w:hideMark/>
          </w:tcPr>
          <w:p w14:paraId="41CCB18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3.69</w:t>
            </w:r>
          </w:p>
        </w:tc>
        <w:tc>
          <w:tcPr>
            <w:tcW w:w="0" w:type="auto"/>
            <w:tcBorders>
              <w:top w:val="nil"/>
              <w:left w:val="nil"/>
              <w:bottom w:val="single" w:sz="4" w:space="0" w:color="auto"/>
              <w:right w:val="single" w:sz="4" w:space="0" w:color="auto"/>
            </w:tcBorders>
            <w:shd w:val="clear" w:color="auto" w:fill="auto"/>
            <w:noWrap/>
            <w:vAlign w:val="bottom"/>
            <w:hideMark/>
          </w:tcPr>
          <w:p w14:paraId="64C3F18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4.77</w:t>
            </w:r>
          </w:p>
        </w:tc>
      </w:tr>
      <w:tr w:rsidR="00C14D7C" w:rsidRPr="003E75D7" w14:paraId="5C0FCB97" w14:textId="77777777" w:rsidTr="00C14D7C">
        <w:trPr>
          <w:trHeight w:val="30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6A3149B7" w14:textId="77777777" w:rsidR="00C14D7C" w:rsidRPr="003E75D7" w:rsidRDefault="00C14D7C" w:rsidP="00C14D7C">
            <w:pPr>
              <w:keepNext/>
              <w:keepLines/>
              <w:rPr>
                <w:rFonts w:ascii="Arial" w:hAnsi="Arial" w:cs="Arial"/>
                <w:color w:val="000000"/>
                <w:sz w:val="19"/>
                <w:szCs w:val="19"/>
                <w:vertAlign w:val="superscript"/>
              </w:rPr>
            </w:pPr>
            <w:r w:rsidRPr="003E75D7">
              <w:rPr>
                <w:rFonts w:ascii="Arial" w:hAnsi="Arial" w:cs="Arial"/>
                <w:color w:val="000000"/>
                <w:sz w:val="19"/>
                <w:szCs w:val="19"/>
              </w:rPr>
              <w:t>Salem Silk Saris</w:t>
            </w:r>
            <w:r w:rsidRPr="003E75D7">
              <w:rPr>
                <w:rFonts w:ascii="Arial" w:hAnsi="Arial" w:cs="Arial"/>
                <w:color w:val="000000"/>
                <w:sz w:val="19"/>
                <w:szCs w:val="19"/>
                <w:vertAlign w:val="superscript"/>
              </w:rPr>
              <w:t>+</w:t>
            </w:r>
          </w:p>
        </w:tc>
        <w:tc>
          <w:tcPr>
            <w:tcW w:w="1191" w:type="dxa"/>
            <w:tcBorders>
              <w:top w:val="nil"/>
              <w:left w:val="nil"/>
              <w:bottom w:val="single" w:sz="4" w:space="0" w:color="auto"/>
              <w:right w:val="single" w:sz="4" w:space="0" w:color="auto"/>
            </w:tcBorders>
            <w:shd w:val="clear" w:color="auto" w:fill="auto"/>
            <w:noWrap/>
            <w:vAlign w:val="bottom"/>
            <w:hideMark/>
          </w:tcPr>
          <w:p w14:paraId="7FE5E49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5.02</w:t>
            </w:r>
          </w:p>
        </w:tc>
        <w:tc>
          <w:tcPr>
            <w:tcW w:w="0" w:type="auto"/>
            <w:tcBorders>
              <w:top w:val="nil"/>
              <w:left w:val="nil"/>
              <w:bottom w:val="single" w:sz="4" w:space="0" w:color="auto"/>
              <w:right w:val="single" w:sz="4" w:space="0" w:color="auto"/>
            </w:tcBorders>
            <w:shd w:val="clear" w:color="auto" w:fill="auto"/>
            <w:noWrap/>
            <w:vAlign w:val="bottom"/>
            <w:hideMark/>
          </w:tcPr>
          <w:p w14:paraId="317E8EE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4.53</w:t>
            </w:r>
          </w:p>
        </w:tc>
        <w:tc>
          <w:tcPr>
            <w:tcW w:w="0" w:type="auto"/>
            <w:tcBorders>
              <w:top w:val="nil"/>
              <w:left w:val="nil"/>
              <w:bottom w:val="single" w:sz="4" w:space="0" w:color="auto"/>
              <w:right w:val="single" w:sz="4" w:space="0" w:color="auto"/>
            </w:tcBorders>
            <w:shd w:val="clear" w:color="auto" w:fill="auto"/>
            <w:noWrap/>
            <w:vAlign w:val="bottom"/>
            <w:hideMark/>
          </w:tcPr>
          <w:p w14:paraId="5F3C1F7C"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4.23</w:t>
            </w:r>
          </w:p>
        </w:tc>
        <w:tc>
          <w:tcPr>
            <w:tcW w:w="0" w:type="auto"/>
            <w:tcBorders>
              <w:top w:val="nil"/>
              <w:left w:val="nil"/>
              <w:bottom w:val="single" w:sz="4" w:space="0" w:color="auto"/>
              <w:right w:val="single" w:sz="4" w:space="0" w:color="auto"/>
            </w:tcBorders>
            <w:shd w:val="clear" w:color="auto" w:fill="auto"/>
            <w:noWrap/>
            <w:vAlign w:val="bottom"/>
            <w:hideMark/>
          </w:tcPr>
          <w:p w14:paraId="2090B868"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5.31</w:t>
            </w:r>
          </w:p>
        </w:tc>
        <w:tc>
          <w:tcPr>
            <w:tcW w:w="0" w:type="auto"/>
            <w:tcBorders>
              <w:top w:val="nil"/>
              <w:left w:val="nil"/>
              <w:bottom w:val="single" w:sz="4" w:space="0" w:color="auto"/>
              <w:right w:val="single" w:sz="4" w:space="0" w:color="auto"/>
            </w:tcBorders>
            <w:shd w:val="clear" w:color="auto" w:fill="auto"/>
            <w:noWrap/>
            <w:vAlign w:val="bottom"/>
            <w:hideMark/>
          </w:tcPr>
          <w:p w14:paraId="6AFF37E2"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5.13</w:t>
            </w:r>
          </w:p>
        </w:tc>
      </w:tr>
      <w:tr w:rsidR="00C14D7C" w:rsidRPr="003E75D7" w14:paraId="4717B938" w14:textId="77777777" w:rsidTr="00C14D7C">
        <w:trPr>
          <w:trHeight w:val="30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24910F20"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Organic Saris</w:t>
            </w:r>
          </w:p>
        </w:tc>
        <w:tc>
          <w:tcPr>
            <w:tcW w:w="1191" w:type="dxa"/>
            <w:tcBorders>
              <w:top w:val="nil"/>
              <w:left w:val="nil"/>
              <w:bottom w:val="single" w:sz="4" w:space="0" w:color="auto"/>
              <w:right w:val="single" w:sz="4" w:space="0" w:color="auto"/>
            </w:tcBorders>
            <w:shd w:val="clear" w:color="auto" w:fill="auto"/>
            <w:noWrap/>
            <w:vAlign w:val="bottom"/>
            <w:hideMark/>
          </w:tcPr>
          <w:p w14:paraId="6BFE150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0D7924D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7B87965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1B9F449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48177607"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0.12</w:t>
            </w:r>
          </w:p>
        </w:tc>
      </w:tr>
      <w:tr w:rsidR="00C14D7C" w:rsidRPr="003E75D7" w14:paraId="2E510D8D" w14:textId="77777777" w:rsidTr="00C14D7C">
        <w:trPr>
          <w:trHeight w:val="30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739C761C"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Cotton Saris</w:t>
            </w:r>
          </w:p>
        </w:tc>
        <w:tc>
          <w:tcPr>
            <w:tcW w:w="1191" w:type="dxa"/>
            <w:tcBorders>
              <w:top w:val="nil"/>
              <w:left w:val="nil"/>
              <w:bottom w:val="single" w:sz="4" w:space="0" w:color="auto"/>
              <w:right w:val="single" w:sz="4" w:space="0" w:color="auto"/>
            </w:tcBorders>
            <w:shd w:val="clear" w:color="auto" w:fill="auto"/>
            <w:noWrap/>
            <w:vAlign w:val="bottom"/>
            <w:hideMark/>
          </w:tcPr>
          <w:p w14:paraId="546BF34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7.76</w:t>
            </w:r>
          </w:p>
        </w:tc>
        <w:tc>
          <w:tcPr>
            <w:tcW w:w="0" w:type="auto"/>
            <w:tcBorders>
              <w:top w:val="nil"/>
              <w:left w:val="nil"/>
              <w:bottom w:val="single" w:sz="4" w:space="0" w:color="auto"/>
              <w:right w:val="single" w:sz="4" w:space="0" w:color="auto"/>
            </w:tcBorders>
            <w:shd w:val="clear" w:color="auto" w:fill="auto"/>
            <w:noWrap/>
            <w:vAlign w:val="bottom"/>
            <w:hideMark/>
          </w:tcPr>
          <w:p w14:paraId="4C61B6C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7.77</w:t>
            </w:r>
          </w:p>
        </w:tc>
        <w:tc>
          <w:tcPr>
            <w:tcW w:w="0" w:type="auto"/>
            <w:tcBorders>
              <w:top w:val="nil"/>
              <w:left w:val="nil"/>
              <w:bottom w:val="single" w:sz="4" w:space="0" w:color="auto"/>
              <w:right w:val="single" w:sz="4" w:space="0" w:color="auto"/>
            </w:tcBorders>
            <w:shd w:val="clear" w:color="auto" w:fill="auto"/>
            <w:noWrap/>
            <w:vAlign w:val="bottom"/>
            <w:hideMark/>
          </w:tcPr>
          <w:p w14:paraId="5BAEAA8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7.27</w:t>
            </w:r>
          </w:p>
        </w:tc>
        <w:tc>
          <w:tcPr>
            <w:tcW w:w="0" w:type="auto"/>
            <w:tcBorders>
              <w:top w:val="nil"/>
              <w:left w:val="nil"/>
              <w:bottom w:val="single" w:sz="4" w:space="0" w:color="auto"/>
              <w:right w:val="single" w:sz="4" w:space="0" w:color="auto"/>
            </w:tcBorders>
            <w:shd w:val="clear" w:color="auto" w:fill="auto"/>
            <w:noWrap/>
            <w:vAlign w:val="bottom"/>
            <w:hideMark/>
          </w:tcPr>
          <w:p w14:paraId="56D168B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7.27</w:t>
            </w:r>
          </w:p>
        </w:tc>
        <w:tc>
          <w:tcPr>
            <w:tcW w:w="0" w:type="auto"/>
            <w:tcBorders>
              <w:top w:val="nil"/>
              <w:left w:val="nil"/>
              <w:bottom w:val="single" w:sz="4" w:space="0" w:color="auto"/>
              <w:right w:val="single" w:sz="4" w:space="0" w:color="auto"/>
            </w:tcBorders>
            <w:shd w:val="clear" w:color="auto" w:fill="auto"/>
            <w:noWrap/>
            <w:vAlign w:val="bottom"/>
            <w:hideMark/>
          </w:tcPr>
          <w:p w14:paraId="3AAA321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7.02</w:t>
            </w:r>
          </w:p>
        </w:tc>
      </w:tr>
      <w:tr w:rsidR="00C14D7C" w:rsidRPr="003E75D7" w14:paraId="1D2CCC64" w14:textId="77777777" w:rsidTr="00C14D7C">
        <w:trPr>
          <w:trHeight w:val="242"/>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672DCF45"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Bedsheets</w:t>
            </w:r>
          </w:p>
        </w:tc>
        <w:tc>
          <w:tcPr>
            <w:tcW w:w="1191" w:type="dxa"/>
            <w:tcBorders>
              <w:top w:val="nil"/>
              <w:left w:val="nil"/>
              <w:bottom w:val="single" w:sz="4" w:space="0" w:color="auto"/>
              <w:right w:val="single" w:sz="4" w:space="0" w:color="auto"/>
            </w:tcBorders>
            <w:shd w:val="clear" w:color="auto" w:fill="auto"/>
            <w:noWrap/>
            <w:vAlign w:val="bottom"/>
            <w:hideMark/>
          </w:tcPr>
          <w:p w14:paraId="6375743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9.73</w:t>
            </w:r>
          </w:p>
        </w:tc>
        <w:tc>
          <w:tcPr>
            <w:tcW w:w="0" w:type="auto"/>
            <w:tcBorders>
              <w:top w:val="nil"/>
              <w:left w:val="nil"/>
              <w:bottom w:val="single" w:sz="4" w:space="0" w:color="auto"/>
              <w:right w:val="single" w:sz="4" w:space="0" w:color="auto"/>
            </w:tcBorders>
            <w:shd w:val="clear" w:color="auto" w:fill="auto"/>
            <w:noWrap/>
            <w:vAlign w:val="bottom"/>
            <w:hideMark/>
          </w:tcPr>
          <w:p w14:paraId="2BF930C3"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9.38</w:t>
            </w:r>
          </w:p>
        </w:tc>
        <w:tc>
          <w:tcPr>
            <w:tcW w:w="0" w:type="auto"/>
            <w:tcBorders>
              <w:top w:val="nil"/>
              <w:left w:val="nil"/>
              <w:bottom w:val="single" w:sz="4" w:space="0" w:color="auto"/>
              <w:right w:val="single" w:sz="4" w:space="0" w:color="auto"/>
            </w:tcBorders>
            <w:shd w:val="clear" w:color="auto" w:fill="auto"/>
            <w:noWrap/>
            <w:vAlign w:val="bottom"/>
            <w:hideMark/>
          </w:tcPr>
          <w:p w14:paraId="11D07233"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9.78</w:t>
            </w:r>
          </w:p>
        </w:tc>
        <w:tc>
          <w:tcPr>
            <w:tcW w:w="0" w:type="auto"/>
            <w:tcBorders>
              <w:top w:val="nil"/>
              <w:left w:val="nil"/>
              <w:bottom w:val="single" w:sz="4" w:space="0" w:color="auto"/>
              <w:right w:val="single" w:sz="4" w:space="0" w:color="auto"/>
            </w:tcBorders>
            <w:shd w:val="clear" w:color="auto" w:fill="auto"/>
            <w:noWrap/>
            <w:vAlign w:val="bottom"/>
            <w:hideMark/>
          </w:tcPr>
          <w:p w14:paraId="04B9BB57"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9.89</w:t>
            </w:r>
          </w:p>
        </w:tc>
        <w:tc>
          <w:tcPr>
            <w:tcW w:w="0" w:type="auto"/>
            <w:tcBorders>
              <w:top w:val="nil"/>
              <w:left w:val="nil"/>
              <w:bottom w:val="single" w:sz="4" w:space="0" w:color="auto"/>
              <w:right w:val="single" w:sz="4" w:space="0" w:color="auto"/>
            </w:tcBorders>
            <w:shd w:val="clear" w:color="auto" w:fill="auto"/>
            <w:noWrap/>
            <w:vAlign w:val="bottom"/>
            <w:hideMark/>
          </w:tcPr>
          <w:p w14:paraId="64549D8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9.71</w:t>
            </w:r>
          </w:p>
        </w:tc>
      </w:tr>
      <w:tr w:rsidR="00C14D7C" w:rsidRPr="003E75D7" w14:paraId="66B8DEB3" w14:textId="77777777" w:rsidTr="00C14D7C">
        <w:trPr>
          <w:trHeight w:val="287"/>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43BF38AC"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Printed Bedspreads</w:t>
            </w:r>
          </w:p>
        </w:tc>
        <w:tc>
          <w:tcPr>
            <w:tcW w:w="1191" w:type="dxa"/>
            <w:tcBorders>
              <w:top w:val="nil"/>
              <w:left w:val="nil"/>
              <w:bottom w:val="single" w:sz="4" w:space="0" w:color="auto"/>
              <w:right w:val="single" w:sz="4" w:space="0" w:color="auto"/>
            </w:tcBorders>
            <w:shd w:val="clear" w:color="auto" w:fill="auto"/>
            <w:noWrap/>
            <w:vAlign w:val="bottom"/>
            <w:hideMark/>
          </w:tcPr>
          <w:p w14:paraId="19EE0943"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0.25</w:t>
            </w:r>
          </w:p>
        </w:tc>
        <w:tc>
          <w:tcPr>
            <w:tcW w:w="0" w:type="auto"/>
            <w:tcBorders>
              <w:top w:val="nil"/>
              <w:left w:val="nil"/>
              <w:bottom w:val="single" w:sz="4" w:space="0" w:color="auto"/>
              <w:right w:val="single" w:sz="4" w:space="0" w:color="auto"/>
            </w:tcBorders>
            <w:shd w:val="clear" w:color="auto" w:fill="auto"/>
            <w:noWrap/>
            <w:vAlign w:val="bottom"/>
            <w:hideMark/>
          </w:tcPr>
          <w:p w14:paraId="5BE5FC98"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0.27</w:t>
            </w:r>
          </w:p>
        </w:tc>
        <w:tc>
          <w:tcPr>
            <w:tcW w:w="0" w:type="auto"/>
            <w:tcBorders>
              <w:top w:val="nil"/>
              <w:left w:val="nil"/>
              <w:bottom w:val="single" w:sz="4" w:space="0" w:color="auto"/>
              <w:right w:val="single" w:sz="4" w:space="0" w:color="auto"/>
            </w:tcBorders>
            <w:shd w:val="clear" w:color="auto" w:fill="auto"/>
            <w:noWrap/>
            <w:vAlign w:val="bottom"/>
            <w:hideMark/>
          </w:tcPr>
          <w:p w14:paraId="2118485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0.32</w:t>
            </w:r>
          </w:p>
        </w:tc>
        <w:tc>
          <w:tcPr>
            <w:tcW w:w="0" w:type="auto"/>
            <w:tcBorders>
              <w:top w:val="nil"/>
              <w:left w:val="nil"/>
              <w:bottom w:val="single" w:sz="4" w:space="0" w:color="auto"/>
              <w:right w:val="single" w:sz="4" w:space="0" w:color="auto"/>
            </w:tcBorders>
            <w:shd w:val="clear" w:color="auto" w:fill="auto"/>
            <w:noWrap/>
            <w:vAlign w:val="bottom"/>
            <w:hideMark/>
          </w:tcPr>
          <w:p w14:paraId="3B9BBB0C"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0.38</w:t>
            </w:r>
          </w:p>
        </w:tc>
        <w:tc>
          <w:tcPr>
            <w:tcW w:w="0" w:type="auto"/>
            <w:tcBorders>
              <w:top w:val="nil"/>
              <w:left w:val="nil"/>
              <w:bottom w:val="single" w:sz="4" w:space="0" w:color="auto"/>
              <w:right w:val="single" w:sz="4" w:space="0" w:color="auto"/>
            </w:tcBorders>
            <w:shd w:val="clear" w:color="auto" w:fill="auto"/>
            <w:noWrap/>
            <w:vAlign w:val="bottom"/>
            <w:hideMark/>
          </w:tcPr>
          <w:p w14:paraId="606390D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0.37</w:t>
            </w:r>
          </w:p>
        </w:tc>
      </w:tr>
      <w:tr w:rsidR="00C14D7C" w:rsidRPr="003E75D7" w14:paraId="69F92301"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226DD1D7"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Carpets</w:t>
            </w:r>
          </w:p>
        </w:tc>
        <w:tc>
          <w:tcPr>
            <w:tcW w:w="1191" w:type="dxa"/>
            <w:tcBorders>
              <w:top w:val="nil"/>
              <w:left w:val="nil"/>
              <w:bottom w:val="single" w:sz="4" w:space="0" w:color="auto"/>
              <w:right w:val="single" w:sz="4" w:space="0" w:color="auto"/>
            </w:tcBorders>
            <w:shd w:val="clear" w:color="auto" w:fill="auto"/>
            <w:noWrap/>
            <w:vAlign w:val="bottom"/>
            <w:hideMark/>
          </w:tcPr>
          <w:p w14:paraId="6A17D6EE"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0.73</w:t>
            </w:r>
          </w:p>
        </w:tc>
        <w:tc>
          <w:tcPr>
            <w:tcW w:w="0" w:type="auto"/>
            <w:tcBorders>
              <w:top w:val="nil"/>
              <w:left w:val="nil"/>
              <w:bottom w:val="single" w:sz="4" w:space="0" w:color="auto"/>
              <w:right w:val="single" w:sz="4" w:space="0" w:color="auto"/>
            </w:tcBorders>
            <w:shd w:val="clear" w:color="auto" w:fill="auto"/>
            <w:noWrap/>
            <w:vAlign w:val="bottom"/>
            <w:hideMark/>
          </w:tcPr>
          <w:p w14:paraId="2F9D60A6"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0.71</w:t>
            </w:r>
          </w:p>
        </w:tc>
        <w:tc>
          <w:tcPr>
            <w:tcW w:w="0" w:type="auto"/>
            <w:tcBorders>
              <w:top w:val="nil"/>
              <w:left w:val="nil"/>
              <w:bottom w:val="single" w:sz="4" w:space="0" w:color="auto"/>
              <w:right w:val="single" w:sz="4" w:space="0" w:color="auto"/>
            </w:tcBorders>
            <w:shd w:val="clear" w:color="auto" w:fill="auto"/>
            <w:noWrap/>
            <w:vAlign w:val="bottom"/>
            <w:hideMark/>
          </w:tcPr>
          <w:p w14:paraId="4391814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0.69</w:t>
            </w:r>
          </w:p>
        </w:tc>
        <w:tc>
          <w:tcPr>
            <w:tcW w:w="0" w:type="auto"/>
            <w:tcBorders>
              <w:top w:val="nil"/>
              <w:left w:val="nil"/>
              <w:bottom w:val="single" w:sz="4" w:space="0" w:color="auto"/>
              <w:right w:val="single" w:sz="4" w:space="0" w:color="auto"/>
            </w:tcBorders>
            <w:shd w:val="clear" w:color="auto" w:fill="auto"/>
            <w:noWrap/>
            <w:vAlign w:val="bottom"/>
            <w:hideMark/>
          </w:tcPr>
          <w:p w14:paraId="4018FA0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0.71</w:t>
            </w:r>
          </w:p>
        </w:tc>
        <w:tc>
          <w:tcPr>
            <w:tcW w:w="0" w:type="auto"/>
            <w:tcBorders>
              <w:top w:val="nil"/>
              <w:left w:val="nil"/>
              <w:bottom w:val="single" w:sz="4" w:space="0" w:color="auto"/>
              <w:right w:val="single" w:sz="4" w:space="0" w:color="auto"/>
            </w:tcBorders>
            <w:shd w:val="clear" w:color="auto" w:fill="auto"/>
            <w:noWrap/>
            <w:vAlign w:val="bottom"/>
            <w:hideMark/>
          </w:tcPr>
          <w:p w14:paraId="193D913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0.72</w:t>
            </w:r>
          </w:p>
        </w:tc>
      </w:tr>
      <w:tr w:rsidR="00C14D7C" w:rsidRPr="003E75D7" w14:paraId="62FC7E41"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1DE21053"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Lungis</w:t>
            </w:r>
          </w:p>
        </w:tc>
        <w:tc>
          <w:tcPr>
            <w:tcW w:w="1191" w:type="dxa"/>
            <w:tcBorders>
              <w:top w:val="nil"/>
              <w:left w:val="nil"/>
              <w:bottom w:val="single" w:sz="4" w:space="0" w:color="auto"/>
              <w:right w:val="single" w:sz="4" w:space="0" w:color="auto"/>
            </w:tcBorders>
            <w:shd w:val="clear" w:color="auto" w:fill="auto"/>
            <w:noWrap/>
            <w:vAlign w:val="bottom"/>
            <w:hideMark/>
          </w:tcPr>
          <w:p w14:paraId="0498F29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1.10</w:t>
            </w:r>
          </w:p>
        </w:tc>
        <w:tc>
          <w:tcPr>
            <w:tcW w:w="0" w:type="auto"/>
            <w:tcBorders>
              <w:top w:val="nil"/>
              <w:left w:val="nil"/>
              <w:bottom w:val="single" w:sz="4" w:space="0" w:color="auto"/>
              <w:right w:val="single" w:sz="4" w:space="0" w:color="auto"/>
            </w:tcBorders>
            <w:shd w:val="clear" w:color="auto" w:fill="auto"/>
            <w:noWrap/>
            <w:vAlign w:val="bottom"/>
            <w:hideMark/>
          </w:tcPr>
          <w:p w14:paraId="7A9EFAF8"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1.07</w:t>
            </w:r>
          </w:p>
        </w:tc>
        <w:tc>
          <w:tcPr>
            <w:tcW w:w="0" w:type="auto"/>
            <w:tcBorders>
              <w:top w:val="nil"/>
              <w:left w:val="nil"/>
              <w:bottom w:val="single" w:sz="4" w:space="0" w:color="auto"/>
              <w:right w:val="single" w:sz="4" w:space="0" w:color="auto"/>
            </w:tcBorders>
            <w:shd w:val="clear" w:color="auto" w:fill="auto"/>
            <w:noWrap/>
            <w:vAlign w:val="bottom"/>
            <w:hideMark/>
          </w:tcPr>
          <w:p w14:paraId="400EE8D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1.03</w:t>
            </w:r>
          </w:p>
        </w:tc>
        <w:tc>
          <w:tcPr>
            <w:tcW w:w="0" w:type="auto"/>
            <w:tcBorders>
              <w:top w:val="nil"/>
              <w:left w:val="nil"/>
              <w:bottom w:val="single" w:sz="4" w:space="0" w:color="auto"/>
              <w:right w:val="single" w:sz="4" w:space="0" w:color="auto"/>
            </w:tcBorders>
            <w:shd w:val="clear" w:color="auto" w:fill="auto"/>
            <w:noWrap/>
            <w:vAlign w:val="bottom"/>
            <w:hideMark/>
          </w:tcPr>
          <w:p w14:paraId="170662FC"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1.09</w:t>
            </w:r>
          </w:p>
        </w:tc>
        <w:tc>
          <w:tcPr>
            <w:tcW w:w="0" w:type="auto"/>
            <w:tcBorders>
              <w:top w:val="nil"/>
              <w:left w:val="nil"/>
              <w:bottom w:val="single" w:sz="4" w:space="0" w:color="auto"/>
              <w:right w:val="single" w:sz="4" w:space="0" w:color="auto"/>
            </w:tcBorders>
            <w:shd w:val="clear" w:color="auto" w:fill="auto"/>
            <w:noWrap/>
            <w:vAlign w:val="bottom"/>
            <w:hideMark/>
          </w:tcPr>
          <w:p w14:paraId="6B1014D7"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1.02</w:t>
            </w:r>
          </w:p>
        </w:tc>
      </w:tr>
      <w:tr w:rsidR="00C14D7C" w:rsidRPr="003E75D7" w14:paraId="4E9AC559"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72F31AED"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Dhothis</w:t>
            </w:r>
          </w:p>
        </w:tc>
        <w:tc>
          <w:tcPr>
            <w:tcW w:w="1191" w:type="dxa"/>
            <w:tcBorders>
              <w:top w:val="nil"/>
              <w:left w:val="nil"/>
              <w:bottom w:val="single" w:sz="4" w:space="0" w:color="auto"/>
              <w:right w:val="single" w:sz="4" w:space="0" w:color="auto"/>
            </w:tcBorders>
            <w:shd w:val="clear" w:color="auto" w:fill="auto"/>
            <w:noWrap/>
            <w:vAlign w:val="bottom"/>
            <w:hideMark/>
          </w:tcPr>
          <w:p w14:paraId="735CF04E"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0.44</w:t>
            </w:r>
          </w:p>
        </w:tc>
        <w:tc>
          <w:tcPr>
            <w:tcW w:w="0" w:type="auto"/>
            <w:tcBorders>
              <w:top w:val="nil"/>
              <w:left w:val="nil"/>
              <w:bottom w:val="single" w:sz="4" w:space="0" w:color="auto"/>
              <w:right w:val="single" w:sz="4" w:space="0" w:color="auto"/>
            </w:tcBorders>
            <w:shd w:val="clear" w:color="auto" w:fill="auto"/>
            <w:noWrap/>
            <w:vAlign w:val="bottom"/>
            <w:hideMark/>
          </w:tcPr>
          <w:p w14:paraId="4F7BC41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0.49</w:t>
            </w:r>
          </w:p>
        </w:tc>
        <w:tc>
          <w:tcPr>
            <w:tcW w:w="0" w:type="auto"/>
            <w:tcBorders>
              <w:top w:val="nil"/>
              <w:left w:val="nil"/>
              <w:bottom w:val="single" w:sz="4" w:space="0" w:color="auto"/>
              <w:right w:val="single" w:sz="4" w:space="0" w:color="auto"/>
            </w:tcBorders>
            <w:shd w:val="clear" w:color="auto" w:fill="auto"/>
            <w:noWrap/>
            <w:vAlign w:val="bottom"/>
            <w:hideMark/>
          </w:tcPr>
          <w:p w14:paraId="5A1D9106"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0.84</w:t>
            </w:r>
          </w:p>
        </w:tc>
        <w:tc>
          <w:tcPr>
            <w:tcW w:w="0" w:type="auto"/>
            <w:tcBorders>
              <w:top w:val="nil"/>
              <w:left w:val="nil"/>
              <w:bottom w:val="single" w:sz="4" w:space="0" w:color="auto"/>
              <w:right w:val="single" w:sz="4" w:space="0" w:color="auto"/>
            </w:tcBorders>
            <w:shd w:val="clear" w:color="auto" w:fill="auto"/>
            <w:noWrap/>
            <w:vAlign w:val="bottom"/>
            <w:hideMark/>
          </w:tcPr>
          <w:p w14:paraId="3B516CA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0.93</w:t>
            </w:r>
          </w:p>
        </w:tc>
        <w:tc>
          <w:tcPr>
            <w:tcW w:w="0" w:type="auto"/>
            <w:tcBorders>
              <w:top w:val="nil"/>
              <w:left w:val="nil"/>
              <w:bottom w:val="single" w:sz="4" w:space="0" w:color="auto"/>
              <w:right w:val="single" w:sz="4" w:space="0" w:color="auto"/>
            </w:tcBorders>
            <w:shd w:val="clear" w:color="auto" w:fill="auto"/>
            <w:noWrap/>
            <w:vAlign w:val="bottom"/>
            <w:hideMark/>
          </w:tcPr>
          <w:p w14:paraId="3DC1CB23"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0.92</w:t>
            </w:r>
          </w:p>
        </w:tc>
      </w:tr>
      <w:tr w:rsidR="00C14D7C" w:rsidRPr="003E75D7" w14:paraId="057C03EF"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4AA71DEF"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Pillow Covers</w:t>
            </w:r>
          </w:p>
        </w:tc>
        <w:tc>
          <w:tcPr>
            <w:tcW w:w="1191" w:type="dxa"/>
            <w:tcBorders>
              <w:top w:val="nil"/>
              <w:left w:val="nil"/>
              <w:bottom w:val="single" w:sz="4" w:space="0" w:color="auto"/>
              <w:right w:val="single" w:sz="4" w:space="0" w:color="auto"/>
            </w:tcBorders>
            <w:shd w:val="clear" w:color="auto" w:fill="auto"/>
            <w:noWrap/>
            <w:vAlign w:val="bottom"/>
            <w:hideMark/>
          </w:tcPr>
          <w:p w14:paraId="0834401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0.87</w:t>
            </w:r>
          </w:p>
        </w:tc>
        <w:tc>
          <w:tcPr>
            <w:tcW w:w="0" w:type="auto"/>
            <w:tcBorders>
              <w:top w:val="nil"/>
              <w:left w:val="nil"/>
              <w:bottom w:val="single" w:sz="4" w:space="0" w:color="auto"/>
              <w:right w:val="single" w:sz="4" w:space="0" w:color="auto"/>
            </w:tcBorders>
            <w:shd w:val="clear" w:color="auto" w:fill="auto"/>
            <w:noWrap/>
            <w:vAlign w:val="bottom"/>
            <w:hideMark/>
          </w:tcPr>
          <w:p w14:paraId="578BFCF6"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0.91</w:t>
            </w:r>
          </w:p>
        </w:tc>
        <w:tc>
          <w:tcPr>
            <w:tcW w:w="0" w:type="auto"/>
            <w:tcBorders>
              <w:top w:val="nil"/>
              <w:left w:val="nil"/>
              <w:bottom w:val="single" w:sz="4" w:space="0" w:color="auto"/>
              <w:right w:val="single" w:sz="4" w:space="0" w:color="auto"/>
            </w:tcBorders>
            <w:shd w:val="clear" w:color="auto" w:fill="auto"/>
            <w:noWrap/>
            <w:vAlign w:val="bottom"/>
            <w:hideMark/>
          </w:tcPr>
          <w:p w14:paraId="3074493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0.96</w:t>
            </w:r>
          </w:p>
        </w:tc>
        <w:tc>
          <w:tcPr>
            <w:tcW w:w="0" w:type="auto"/>
            <w:tcBorders>
              <w:top w:val="nil"/>
              <w:left w:val="nil"/>
              <w:bottom w:val="single" w:sz="4" w:space="0" w:color="auto"/>
              <w:right w:val="single" w:sz="4" w:space="0" w:color="auto"/>
            </w:tcBorders>
            <w:shd w:val="clear" w:color="auto" w:fill="auto"/>
            <w:noWrap/>
            <w:vAlign w:val="bottom"/>
            <w:hideMark/>
          </w:tcPr>
          <w:p w14:paraId="78290F9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1.00</w:t>
            </w:r>
          </w:p>
        </w:tc>
        <w:tc>
          <w:tcPr>
            <w:tcW w:w="0" w:type="auto"/>
            <w:tcBorders>
              <w:top w:val="nil"/>
              <w:left w:val="nil"/>
              <w:bottom w:val="single" w:sz="4" w:space="0" w:color="auto"/>
              <w:right w:val="single" w:sz="4" w:space="0" w:color="auto"/>
            </w:tcBorders>
            <w:shd w:val="clear" w:color="auto" w:fill="auto"/>
            <w:noWrap/>
            <w:vAlign w:val="bottom"/>
            <w:hideMark/>
          </w:tcPr>
          <w:p w14:paraId="5A4789B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0.94</w:t>
            </w:r>
          </w:p>
        </w:tc>
      </w:tr>
      <w:tr w:rsidR="00C14D7C" w:rsidRPr="003E75D7" w14:paraId="4668BE79"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4B9A6B7A"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Turkish Towels</w:t>
            </w:r>
          </w:p>
        </w:tc>
        <w:tc>
          <w:tcPr>
            <w:tcW w:w="1191" w:type="dxa"/>
            <w:tcBorders>
              <w:top w:val="nil"/>
              <w:left w:val="nil"/>
              <w:bottom w:val="single" w:sz="4" w:space="0" w:color="auto"/>
              <w:right w:val="single" w:sz="4" w:space="0" w:color="auto"/>
            </w:tcBorders>
            <w:shd w:val="clear" w:color="auto" w:fill="auto"/>
            <w:noWrap/>
            <w:vAlign w:val="bottom"/>
            <w:hideMark/>
          </w:tcPr>
          <w:p w14:paraId="7E1A04F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0.29</w:t>
            </w:r>
          </w:p>
        </w:tc>
        <w:tc>
          <w:tcPr>
            <w:tcW w:w="0" w:type="auto"/>
            <w:tcBorders>
              <w:top w:val="nil"/>
              <w:left w:val="nil"/>
              <w:bottom w:val="single" w:sz="4" w:space="0" w:color="auto"/>
              <w:right w:val="single" w:sz="4" w:space="0" w:color="auto"/>
            </w:tcBorders>
            <w:shd w:val="clear" w:color="auto" w:fill="auto"/>
            <w:noWrap/>
            <w:vAlign w:val="bottom"/>
            <w:hideMark/>
          </w:tcPr>
          <w:p w14:paraId="473E03F9"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0.29</w:t>
            </w:r>
          </w:p>
        </w:tc>
        <w:tc>
          <w:tcPr>
            <w:tcW w:w="0" w:type="auto"/>
            <w:tcBorders>
              <w:top w:val="nil"/>
              <w:left w:val="nil"/>
              <w:bottom w:val="single" w:sz="4" w:space="0" w:color="auto"/>
              <w:right w:val="single" w:sz="4" w:space="0" w:color="auto"/>
            </w:tcBorders>
            <w:shd w:val="clear" w:color="auto" w:fill="auto"/>
            <w:noWrap/>
            <w:vAlign w:val="bottom"/>
            <w:hideMark/>
          </w:tcPr>
          <w:p w14:paraId="312B4BC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0.27</w:t>
            </w:r>
          </w:p>
        </w:tc>
        <w:tc>
          <w:tcPr>
            <w:tcW w:w="0" w:type="auto"/>
            <w:tcBorders>
              <w:top w:val="nil"/>
              <w:left w:val="nil"/>
              <w:bottom w:val="single" w:sz="4" w:space="0" w:color="auto"/>
              <w:right w:val="single" w:sz="4" w:space="0" w:color="auto"/>
            </w:tcBorders>
            <w:shd w:val="clear" w:color="auto" w:fill="auto"/>
            <w:noWrap/>
            <w:vAlign w:val="bottom"/>
            <w:hideMark/>
          </w:tcPr>
          <w:p w14:paraId="6507402C"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0.27</w:t>
            </w:r>
          </w:p>
        </w:tc>
        <w:tc>
          <w:tcPr>
            <w:tcW w:w="0" w:type="auto"/>
            <w:tcBorders>
              <w:top w:val="nil"/>
              <w:left w:val="nil"/>
              <w:bottom w:val="single" w:sz="4" w:space="0" w:color="auto"/>
              <w:right w:val="single" w:sz="4" w:space="0" w:color="auto"/>
            </w:tcBorders>
            <w:shd w:val="clear" w:color="auto" w:fill="auto"/>
            <w:noWrap/>
            <w:vAlign w:val="bottom"/>
            <w:hideMark/>
          </w:tcPr>
          <w:p w14:paraId="6235D63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0.26</w:t>
            </w:r>
          </w:p>
        </w:tc>
      </w:tr>
      <w:tr w:rsidR="00C14D7C" w:rsidRPr="003E75D7" w14:paraId="1B237720"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6BEFCF43"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Furnishing</w:t>
            </w:r>
          </w:p>
        </w:tc>
        <w:tc>
          <w:tcPr>
            <w:tcW w:w="1191" w:type="dxa"/>
            <w:tcBorders>
              <w:top w:val="nil"/>
              <w:left w:val="nil"/>
              <w:bottom w:val="single" w:sz="4" w:space="0" w:color="auto"/>
              <w:right w:val="single" w:sz="4" w:space="0" w:color="auto"/>
            </w:tcBorders>
            <w:shd w:val="clear" w:color="auto" w:fill="auto"/>
            <w:noWrap/>
            <w:vAlign w:val="bottom"/>
            <w:hideMark/>
          </w:tcPr>
          <w:p w14:paraId="69EF3E4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0.25</w:t>
            </w:r>
          </w:p>
        </w:tc>
        <w:tc>
          <w:tcPr>
            <w:tcW w:w="0" w:type="auto"/>
            <w:tcBorders>
              <w:top w:val="nil"/>
              <w:left w:val="nil"/>
              <w:bottom w:val="single" w:sz="4" w:space="0" w:color="auto"/>
              <w:right w:val="single" w:sz="4" w:space="0" w:color="auto"/>
            </w:tcBorders>
            <w:shd w:val="clear" w:color="auto" w:fill="auto"/>
            <w:noWrap/>
            <w:vAlign w:val="bottom"/>
            <w:hideMark/>
          </w:tcPr>
          <w:p w14:paraId="1A358DF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0.24</w:t>
            </w:r>
          </w:p>
        </w:tc>
        <w:tc>
          <w:tcPr>
            <w:tcW w:w="0" w:type="auto"/>
            <w:tcBorders>
              <w:top w:val="nil"/>
              <w:left w:val="nil"/>
              <w:bottom w:val="single" w:sz="4" w:space="0" w:color="auto"/>
              <w:right w:val="single" w:sz="4" w:space="0" w:color="auto"/>
            </w:tcBorders>
            <w:shd w:val="clear" w:color="auto" w:fill="auto"/>
            <w:noWrap/>
            <w:vAlign w:val="bottom"/>
            <w:hideMark/>
          </w:tcPr>
          <w:p w14:paraId="139380C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0.23</w:t>
            </w:r>
          </w:p>
        </w:tc>
        <w:tc>
          <w:tcPr>
            <w:tcW w:w="0" w:type="auto"/>
            <w:tcBorders>
              <w:top w:val="nil"/>
              <w:left w:val="nil"/>
              <w:bottom w:val="single" w:sz="4" w:space="0" w:color="auto"/>
              <w:right w:val="single" w:sz="4" w:space="0" w:color="auto"/>
            </w:tcBorders>
            <w:shd w:val="clear" w:color="auto" w:fill="auto"/>
            <w:noWrap/>
            <w:vAlign w:val="bottom"/>
            <w:hideMark/>
          </w:tcPr>
          <w:p w14:paraId="1CC0933C"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0.23</w:t>
            </w:r>
          </w:p>
        </w:tc>
        <w:tc>
          <w:tcPr>
            <w:tcW w:w="0" w:type="auto"/>
            <w:tcBorders>
              <w:top w:val="nil"/>
              <w:left w:val="nil"/>
              <w:bottom w:val="single" w:sz="4" w:space="0" w:color="auto"/>
              <w:right w:val="single" w:sz="4" w:space="0" w:color="auto"/>
            </w:tcBorders>
            <w:shd w:val="clear" w:color="auto" w:fill="auto"/>
            <w:noWrap/>
            <w:vAlign w:val="bottom"/>
            <w:hideMark/>
          </w:tcPr>
          <w:p w14:paraId="22DD3413"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0.23</w:t>
            </w:r>
          </w:p>
        </w:tc>
      </w:tr>
      <w:tr w:rsidR="00C14D7C" w:rsidRPr="003E75D7" w14:paraId="478AF31A" w14:textId="77777777" w:rsidTr="00C14D7C">
        <w:trPr>
          <w:trHeight w:val="269"/>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50BFA031" w14:textId="216826DF"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White Cotton Towels</w:t>
            </w:r>
          </w:p>
        </w:tc>
        <w:tc>
          <w:tcPr>
            <w:tcW w:w="1191" w:type="dxa"/>
            <w:tcBorders>
              <w:top w:val="nil"/>
              <w:left w:val="nil"/>
              <w:bottom w:val="single" w:sz="4" w:space="0" w:color="auto"/>
              <w:right w:val="single" w:sz="4" w:space="0" w:color="auto"/>
            </w:tcBorders>
            <w:shd w:val="clear" w:color="auto" w:fill="auto"/>
            <w:noWrap/>
            <w:vAlign w:val="bottom"/>
            <w:hideMark/>
          </w:tcPr>
          <w:p w14:paraId="627167BE"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0.03</w:t>
            </w:r>
          </w:p>
        </w:tc>
        <w:tc>
          <w:tcPr>
            <w:tcW w:w="0" w:type="auto"/>
            <w:tcBorders>
              <w:top w:val="nil"/>
              <w:left w:val="nil"/>
              <w:bottom w:val="single" w:sz="4" w:space="0" w:color="auto"/>
              <w:right w:val="single" w:sz="4" w:space="0" w:color="auto"/>
            </w:tcBorders>
            <w:shd w:val="clear" w:color="auto" w:fill="auto"/>
            <w:noWrap/>
            <w:vAlign w:val="bottom"/>
            <w:hideMark/>
          </w:tcPr>
          <w:p w14:paraId="33A5CC1A"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0.05</w:t>
            </w:r>
          </w:p>
        </w:tc>
        <w:tc>
          <w:tcPr>
            <w:tcW w:w="0" w:type="auto"/>
            <w:tcBorders>
              <w:top w:val="nil"/>
              <w:left w:val="nil"/>
              <w:bottom w:val="single" w:sz="4" w:space="0" w:color="auto"/>
              <w:right w:val="single" w:sz="4" w:space="0" w:color="auto"/>
            </w:tcBorders>
            <w:shd w:val="clear" w:color="auto" w:fill="auto"/>
            <w:noWrap/>
            <w:vAlign w:val="bottom"/>
            <w:hideMark/>
          </w:tcPr>
          <w:p w14:paraId="7A93C062"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0.05</w:t>
            </w:r>
          </w:p>
        </w:tc>
        <w:tc>
          <w:tcPr>
            <w:tcW w:w="0" w:type="auto"/>
            <w:tcBorders>
              <w:top w:val="nil"/>
              <w:left w:val="nil"/>
              <w:bottom w:val="single" w:sz="4" w:space="0" w:color="auto"/>
              <w:right w:val="single" w:sz="4" w:space="0" w:color="auto"/>
            </w:tcBorders>
            <w:shd w:val="clear" w:color="auto" w:fill="auto"/>
            <w:noWrap/>
            <w:vAlign w:val="bottom"/>
            <w:hideMark/>
          </w:tcPr>
          <w:p w14:paraId="11485F9F"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0.08</w:t>
            </w:r>
          </w:p>
        </w:tc>
        <w:tc>
          <w:tcPr>
            <w:tcW w:w="0" w:type="auto"/>
            <w:tcBorders>
              <w:top w:val="nil"/>
              <w:left w:val="nil"/>
              <w:bottom w:val="single" w:sz="4" w:space="0" w:color="auto"/>
              <w:right w:val="single" w:sz="4" w:space="0" w:color="auto"/>
            </w:tcBorders>
            <w:shd w:val="clear" w:color="auto" w:fill="auto"/>
            <w:noWrap/>
            <w:vAlign w:val="bottom"/>
            <w:hideMark/>
          </w:tcPr>
          <w:p w14:paraId="20891F8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0.08</w:t>
            </w:r>
          </w:p>
        </w:tc>
      </w:tr>
      <w:tr w:rsidR="00C14D7C" w:rsidRPr="003E75D7" w14:paraId="70F33AD8"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7DCA1060" w14:textId="1482A5D8" w:rsidR="00C14D7C" w:rsidRPr="003E75D7" w:rsidRDefault="00C14D7C" w:rsidP="00CE5C39">
            <w:pPr>
              <w:keepNext/>
              <w:keepLines/>
              <w:rPr>
                <w:rFonts w:ascii="Arial" w:hAnsi="Arial" w:cs="Arial"/>
                <w:color w:val="000000"/>
                <w:sz w:val="19"/>
                <w:szCs w:val="19"/>
              </w:rPr>
            </w:pPr>
            <w:r w:rsidRPr="003E75D7">
              <w:rPr>
                <w:rFonts w:ascii="Arial" w:hAnsi="Arial" w:cs="Arial"/>
                <w:color w:val="000000"/>
                <w:sz w:val="19"/>
                <w:szCs w:val="19"/>
              </w:rPr>
              <w:t>Polyester &amp; Poly</w:t>
            </w:r>
            <w:r w:rsidR="00CE5C39">
              <w:rPr>
                <w:rFonts w:ascii="Arial" w:hAnsi="Arial" w:cs="Arial"/>
                <w:color w:val="000000"/>
                <w:sz w:val="19"/>
                <w:szCs w:val="19"/>
              </w:rPr>
              <w:t xml:space="preserve"> </w:t>
            </w:r>
            <w:r w:rsidRPr="003E75D7">
              <w:rPr>
                <w:rFonts w:ascii="Arial" w:hAnsi="Arial" w:cs="Arial"/>
                <w:color w:val="000000"/>
                <w:sz w:val="19"/>
                <w:szCs w:val="19"/>
              </w:rPr>
              <w:t>Cotton Saris</w:t>
            </w:r>
          </w:p>
        </w:tc>
        <w:tc>
          <w:tcPr>
            <w:tcW w:w="1191" w:type="dxa"/>
            <w:tcBorders>
              <w:top w:val="nil"/>
              <w:left w:val="nil"/>
              <w:bottom w:val="single" w:sz="4" w:space="0" w:color="auto"/>
              <w:right w:val="single" w:sz="4" w:space="0" w:color="auto"/>
            </w:tcBorders>
            <w:shd w:val="clear" w:color="auto" w:fill="auto"/>
            <w:noWrap/>
            <w:vAlign w:val="bottom"/>
            <w:hideMark/>
          </w:tcPr>
          <w:p w14:paraId="4BE3224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1.47</w:t>
            </w:r>
          </w:p>
        </w:tc>
        <w:tc>
          <w:tcPr>
            <w:tcW w:w="0" w:type="auto"/>
            <w:tcBorders>
              <w:top w:val="nil"/>
              <w:left w:val="nil"/>
              <w:bottom w:val="single" w:sz="4" w:space="0" w:color="auto"/>
              <w:right w:val="single" w:sz="4" w:space="0" w:color="auto"/>
            </w:tcBorders>
            <w:shd w:val="clear" w:color="auto" w:fill="auto"/>
            <w:noWrap/>
            <w:vAlign w:val="bottom"/>
            <w:hideMark/>
          </w:tcPr>
          <w:p w14:paraId="63A774FB"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2.60</w:t>
            </w:r>
          </w:p>
        </w:tc>
        <w:tc>
          <w:tcPr>
            <w:tcW w:w="0" w:type="auto"/>
            <w:tcBorders>
              <w:top w:val="nil"/>
              <w:left w:val="nil"/>
              <w:bottom w:val="single" w:sz="4" w:space="0" w:color="auto"/>
              <w:right w:val="single" w:sz="4" w:space="0" w:color="auto"/>
            </w:tcBorders>
            <w:shd w:val="clear" w:color="auto" w:fill="auto"/>
            <w:noWrap/>
            <w:vAlign w:val="bottom"/>
            <w:hideMark/>
          </w:tcPr>
          <w:p w14:paraId="2A3FA3F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4.44</w:t>
            </w:r>
          </w:p>
        </w:tc>
        <w:tc>
          <w:tcPr>
            <w:tcW w:w="0" w:type="auto"/>
            <w:tcBorders>
              <w:top w:val="nil"/>
              <w:left w:val="nil"/>
              <w:bottom w:val="single" w:sz="4" w:space="0" w:color="auto"/>
              <w:right w:val="single" w:sz="4" w:space="0" w:color="auto"/>
            </w:tcBorders>
            <w:shd w:val="clear" w:color="auto" w:fill="auto"/>
            <w:noWrap/>
            <w:vAlign w:val="bottom"/>
            <w:hideMark/>
          </w:tcPr>
          <w:p w14:paraId="66811776"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4.76</w:t>
            </w:r>
          </w:p>
        </w:tc>
        <w:tc>
          <w:tcPr>
            <w:tcW w:w="0" w:type="auto"/>
            <w:tcBorders>
              <w:top w:val="nil"/>
              <w:left w:val="nil"/>
              <w:bottom w:val="single" w:sz="4" w:space="0" w:color="auto"/>
              <w:right w:val="single" w:sz="4" w:space="0" w:color="auto"/>
            </w:tcBorders>
            <w:shd w:val="clear" w:color="auto" w:fill="auto"/>
            <w:noWrap/>
            <w:vAlign w:val="bottom"/>
            <w:hideMark/>
          </w:tcPr>
          <w:p w14:paraId="016DEB9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4.66</w:t>
            </w:r>
          </w:p>
        </w:tc>
      </w:tr>
      <w:tr w:rsidR="00C14D7C" w:rsidRPr="003E75D7" w14:paraId="3D2371E9"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3BB406F7" w14:textId="6976560B"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Chudidar (Women’s Garment)</w:t>
            </w:r>
          </w:p>
        </w:tc>
        <w:tc>
          <w:tcPr>
            <w:tcW w:w="1191" w:type="dxa"/>
            <w:tcBorders>
              <w:top w:val="nil"/>
              <w:left w:val="nil"/>
              <w:bottom w:val="single" w:sz="4" w:space="0" w:color="auto"/>
              <w:right w:val="single" w:sz="4" w:space="0" w:color="auto"/>
            </w:tcBorders>
            <w:shd w:val="clear" w:color="auto" w:fill="auto"/>
            <w:noWrap/>
            <w:vAlign w:val="bottom"/>
            <w:hideMark/>
          </w:tcPr>
          <w:p w14:paraId="047C0A4D"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0.33</w:t>
            </w:r>
          </w:p>
        </w:tc>
        <w:tc>
          <w:tcPr>
            <w:tcW w:w="0" w:type="auto"/>
            <w:tcBorders>
              <w:top w:val="nil"/>
              <w:left w:val="nil"/>
              <w:bottom w:val="single" w:sz="4" w:space="0" w:color="auto"/>
              <w:right w:val="single" w:sz="4" w:space="0" w:color="auto"/>
            </w:tcBorders>
            <w:shd w:val="clear" w:color="auto" w:fill="auto"/>
            <w:noWrap/>
            <w:vAlign w:val="bottom"/>
            <w:hideMark/>
          </w:tcPr>
          <w:p w14:paraId="25A3D3E9"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0.40</w:t>
            </w:r>
          </w:p>
        </w:tc>
        <w:tc>
          <w:tcPr>
            <w:tcW w:w="0" w:type="auto"/>
            <w:tcBorders>
              <w:top w:val="nil"/>
              <w:left w:val="nil"/>
              <w:bottom w:val="single" w:sz="4" w:space="0" w:color="auto"/>
              <w:right w:val="single" w:sz="4" w:space="0" w:color="auto"/>
            </w:tcBorders>
            <w:shd w:val="clear" w:color="auto" w:fill="auto"/>
            <w:noWrap/>
            <w:vAlign w:val="bottom"/>
            <w:hideMark/>
          </w:tcPr>
          <w:p w14:paraId="1905645E"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0.71</w:t>
            </w:r>
          </w:p>
        </w:tc>
        <w:tc>
          <w:tcPr>
            <w:tcW w:w="0" w:type="auto"/>
            <w:tcBorders>
              <w:top w:val="nil"/>
              <w:left w:val="nil"/>
              <w:bottom w:val="single" w:sz="4" w:space="0" w:color="auto"/>
              <w:right w:val="single" w:sz="4" w:space="0" w:color="auto"/>
            </w:tcBorders>
            <w:shd w:val="clear" w:color="auto" w:fill="auto"/>
            <w:noWrap/>
            <w:vAlign w:val="bottom"/>
            <w:hideMark/>
          </w:tcPr>
          <w:p w14:paraId="7EE83200"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0.74</w:t>
            </w:r>
          </w:p>
        </w:tc>
        <w:tc>
          <w:tcPr>
            <w:tcW w:w="0" w:type="auto"/>
            <w:tcBorders>
              <w:top w:val="nil"/>
              <w:left w:val="nil"/>
              <w:bottom w:val="single" w:sz="4" w:space="0" w:color="auto"/>
              <w:right w:val="single" w:sz="4" w:space="0" w:color="auto"/>
            </w:tcBorders>
            <w:shd w:val="clear" w:color="auto" w:fill="auto"/>
            <w:noWrap/>
            <w:vAlign w:val="bottom"/>
            <w:hideMark/>
          </w:tcPr>
          <w:p w14:paraId="2CD3319F"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0.70</w:t>
            </w:r>
          </w:p>
        </w:tc>
      </w:tr>
      <w:tr w:rsidR="00C14D7C" w:rsidRPr="003E75D7" w14:paraId="0C3EAEBB"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0B318679"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Cotton Readymade Shirts</w:t>
            </w:r>
          </w:p>
        </w:tc>
        <w:tc>
          <w:tcPr>
            <w:tcW w:w="1191" w:type="dxa"/>
            <w:tcBorders>
              <w:top w:val="nil"/>
              <w:left w:val="nil"/>
              <w:bottom w:val="single" w:sz="4" w:space="0" w:color="auto"/>
              <w:right w:val="single" w:sz="4" w:space="0" w:color="auto"/>
            </w:tcBorders>
            <w:shd w:val="clear" w:color="auto" w:fill="auto"/>
            <w:noWrap/>
            <w:vAlign w:val="bottom"/>
            <w:hideMark/>
          </w:tcPr>
          <w:p w14:paraId="06009917"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0.26</w:t>
            </w:r>
          </w:p>
        </w:tc>
        <w:tc>
          <w:tcPr>
            <w:tcW w:w="0" w:type="auto"/>
            <w:tcBorders>
              <w:top w:val="nil"/>
              <w:left w:val="nil"/>
              <w:bottom w:val="single" w:sz="4" w:space="0" w:color="auto"/>
              <w:right w:val="single" w:sz="4" w:space="0" w:color="auto"/>
            </w:tcBorders>
            <w:shd w:val="clear" w:color="auto" w:fill="auto"/>
            <w:noWrap/>
            <w:vAlign w:val="bottom"/>
            <w:hideMark/>
          </w:tcPr>
          <w:p w14:paraId="5FFDC59F"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0.25</w:t>
            </w:r>
          </w:p>
        </w:tc>
        <w:tc>
          <w:tcPr>
            <w:tcW w:w="0" w:type="auto"/>
            <w:tcBorders>
              <w:top w:val="nil"/>
              <w:left w:val="nil"/>
              <w:bottom w:val="single" w:sz="4" w:space="0" w:color="auto"/>
              <w:right w:val="single" w:sz="4" w:space="0" w:color="auto"/>
            </w:tcBorders>
            <w:shd w:val="clear" w:color="auto" w:fill="auto"/>
            <w:noWrap/>
            <w:vAlign w:val="bottom"/>
            <w:hideMark/>
          </w:tcPr>
          <w:p w14:paraId="25933C6E"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0.39</w:t>
            </w:r>
          </w:p>
        </w:tc>
        <w:tc>
          <w:tcPr>
            <w:tcW w:w="0" w:type="auto"/>
            <w:tcBorders>
              <w:top w:val="nil"/>
              <w:left w:val="nil"/>
              <w:bottom w:val="single" w:sz="4" w:space="0" w:color="auto"/>
              <w:right w:val="single" w:sz="4" w:space="0" w:color="auto"/>
            </w:tcBorders>
            <w:shd w:val="clear" w:color="auto" w:fill="auto"/>
            <w:noWrap/>
            <w:vAlign w:val="bottom"/>
            <w:hideMark/>
          </w:tcPr>
          <w:p w14:paraId="1C820F5F"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0.69</w:t>
            </w:r>
          </w:p>
        </w:tc>
        <w:tc>
          <w:tcPr>
            <w:tcW w:w="0" w:type="auto"/>
            <w:tcBorders>
              <w:top w:val="nil"/>
              <w:left w:val="nil"/>
              <w:bottom w:val="single" w:sz="4" w:space="0" w:color="auto"/>
              <w:right w:val="single" w:sz="4" w:space="0" w:color="auto"/>
            </w:tcBorders>
            <w:shd w:val="clear" w:color="auto" w:fill="auto"/>
            <w:noWrap/>
            <w:vAlign w:val="bottom"/>
            <w:hideMark/>
          </w:tcPr>
          <w:p w14:paraId="449466F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0.70</w:t>
            </w:r>
          </w:p>
        </w:tc>
      </w:tr>
      <w:tr w:rsidR="00C14D7C" w:rsidRPr="003E75D7" w14:paraId="057C1748" w14:textId="77777777" w:rsidTr="00C14D7C">
        <w:trPr>
          <w:trHeight w:val="260"/>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3BBC6D4A"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Linen Shirts</w:t>
            </w:r>
          </w:p>
        </w:tc>
        <w:tc>
          <w:tcPr>
            <w:tcW w:w="1191" w:type="dxa"/>
            <w:tcBorders>
              <w:top w:val="nil"/>
              <w:left w:val="nil"/>
              <w:bottom w:val="single" w:sz="4" w:space="0" w:color="auto"/>
              <w:right w:val="single" w:sz="4" w:space="0" w:color="auto"/>
            </w:tcBorders>
            <w:shd w:val="clear" w:color="auto" w:fill="auto"/>
            <w:noWrap/>
            <w:vAlign w:val="bottom"/>
            <w:hideMark/>
          </w:tcPr>
          <w:p w14:paraId="46B980CE"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558F3F4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737B0B23"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52672C1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0.00</w:t>
            </w:r>
          </w:p>
        </w:tc>
        <w:tc>
          <w:tcPr>
            <w:tcW w:w="0" w:type="auto"/>
            <w:tcBorders>
              <w:top w:val="nil"/>
              <w:left w:val="nil"/>
              <w:bottom w:val="single" w:sz="4" w:space="0" w:color="auto"/>
              <w:right w:val="single" w:sz="4" w:space="0" w:color="auto"/>
            </w:tcBorders>
            <w:shd w:val="clear" w:color="auto" w:fill="auto"/>
            <w:noWrap/>
            <w:vAlign w:val="bottom"/>
            <w:hideMark/>
          </w:tcPr>
          <w:p w14:paraId="5B1310E5"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0.07</w:t>
            </w:r>
          </w:p>
        </w:tc>
      </w:tr>
      <w:tr w:rsidR="00C14D7C" w:rsidRPr="003E75D7" w14:paraId="1B68CE50" w14:textId="77777777" w:rsidTr="00C14D7C">
        <w:trPr>
          <w:trHeight w:val="269"/>
          <w:jc w:val="center"/>
        </w:trPr>
        <w:tc>
          <w:tcPr>
            <w:tcW w:w="2712" w:type="dxa"/>
            <w:tcBorders>
              <w:top w:val="nil"/>
              <w:left w:val="single" w:sz="4" w:space="0" w:color="auto"/>
              <w:bottom w:val="single" w:sz="4" w:space="0" w:color="auto"/>
              <w:right w:val="single" w:sz="4" w:space="0" w:color="auto"/>
            </w:tcBorders>
            <w:shd w:val="clear" w:color="auto" w:fill="auto"/>
            <w:vAlign w:val="center"/>
            <w:hideMark/>
          </w:tcPr>
          <w:p w14:paraId="052B7EF0" w14:textId="77777777" w:rsidR="00C14D7C" w:rsidRPr="003E75D7" w:rsidRDefault="00C14D7C" w:rsidP="00C14D7C">
            <w:pPr>
              <w:keepNext/>
              <w:keepLines/>
              <w:rPr>
                <w:rFonts w:ascii="Arial" w:hAnsi="Arial" w:cs="Arial"/>
                <w:color w:val="000000"/>
                <w:sz w:val="19"/>
                <w:szCs w:val="19"/>
              </w:rPr>
            </w:pPr>
            <w:r w:rsidRPr="003E75D7">
              <w:rPr>
                <w:rFonts w:ascii="Arial" w:hAnsi="Arial" w:cs="Arial"/>
                <w:color w:val="000000"/>
                <w:sz w:val="19"/>
                <w:szCs w:val="19"/>
              </w:rPr>
              <w:t>Miscellaneous</w:t>
            </w:r>
          </w:p>
        </w:tc>
        <w:tc>
          <w:tcPr>
            <w:tcW w:w="1191" w:type="dxa"/>
            <w:tcBorders>
              <w:top w:val="nil"/>
              <w:left w:val="nil"/>
              <w:bottom w:val="single" w:sz="4" w:space="0" w:color="auto"/>
              <w:right w:val="single" w:sz="4" w:space="0" w:color="auto"/>
            </w:tcBorders>
            <w:shd w:val="clear" w:color="auto" w:fill="auto"/>
            <w:noWrap/>
            <w:vAlign w:val="bottom"/>
            <w:hideMark/>
          </w:tcPr>
          <w:p w14:paraId="70B17F32"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13.12</w:t>
            </w:r>
          </w:p>
        </w:tc>
        <w:tc>
          <w:tcPr>
            <w:tcW w:w="0" w:type="auto"/>
            <w:tcBorders>
              <w:top w:val="nil"/>
              <w:left w:val="nil"/>
              <w:bottom w:val="single" w:sz="4" w:space="0" w:color="auto"/>
              <w:right w:val="single" w:sz="4" w:space="0" w:color="auto"/>
            </w:tcBorders>
            <w:shd w:val="clear" w:color="auto" w:fill="auto"/>
            <w:noWrap/>
            <w:vAlign w:val="bottom"/>
            <w:hideMark/>
          </w:tcPr>
          <w:p w14:paraId="6469A257"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12.04</w:t>
            </w:r>
          </w:p>
        </w:tc>
        <w:tc>
          <w:tcPr>
            <w:tcW w:w="0" w:type="auto"/>
            <w:tcBorders>
              <w:top w:val="nil"/>
              <w:left w:val="nil"/>
              <w:bottom w:val="single" w:sz="4" w:space="0" w:color="auto"/>
              <w:right w:val="single" w:sz="4" w:space="0" w:color="auto"/>
            </w:tcBorders>
            <w:shd w:val="clear" w:color="auto" w:fill="auto"/>
            <w:noWrap/>
            <w:vAlign w:val="bottom"/>
            <w:hideMark/>
          </w:tcPr>
          <w:p w14:paraId="4385C324"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13.90</w:t>
            </w:r>
          </w:p>
        </w:tc>
        <w:tc>
          <w:tcPr>
            <w:tcW w:w="0" w:type="auto"/>
            <w:tcBorders>
              <w:top w:val="nil"/>
              <w:left w:val="nil"/>
              <w:bottom w:val="single" w:sz="4" w:space="0" w:color="auto"/>
              <w:right w:val="single" w:sz="4" w:space="0" w:color="auto"/>
            </w:tcBorders>
            <w:shd w:val="clear" w:color="auto" w:fill="auto"/>
            <w:noWrap/>
            <w:vAlign w:val="bottom"/>
            <w:hideMark/>
          </w:tcPr>
          <w:p w14:paraId="7D9C0641"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11.59</w:t>
            </w:r>
          </w:p>
        </w:tc>
        <w:tc>
          <w:tcPr>
            <w:tcW w:w="0" w:type="auto"/>
            <w:tcBorders>
              <w:top w:val="nil"/>
              <w:left w:val="nil"/>
              <w:bottom w:val="single" w:sz="4" w:space="0" w:color="auto"/>
              <w:right w:val="single" w:sz="4" w:space="0" w:color="auto"/>
            </w:tcBorders>
            <w:shd w:val="clear" w:color="auto" w:fill="auto"/>
            <w:noWrap/>
            <w:vAlign w:val="bottom"/>
            <w:hideMark/>
          </w:tcPr>
          <w:p w14:paraId="65A8E512" w14:textId="77777777" w:rsidR="00C14D7C" w:rsidRPr="003E75D7" w:rsidRDefault="00C14D7C" w:rsidP="00C14D7C">
            <w:pPr>
              <w:keepNext/>
              <w:keepLines/>
              <w:jc w:val="right"/>
              <w:rPr>
                <w:rFonts w:ascii="Arial" w:hAnsi="Arial" w:cs="Arial"/>
                <w:color w:val="000000"/>
                <w:sz w:val="19"/>
                <w:szCs w:val="19"/>
              </w:rPr>
            </w:pPr>
            <w:r w:rsidRPr="003E75D7">
              <w:rPr>
                <w:rFonts w:ascii="Arial" w:hAnsi="Arial" w:cs="Arial"/>
                <w:color w:val="000000"/>
                <w:sz w:val="19"/>
                <w:szCs w:val="19"/>
              </w:rPr>
              <w:t>8.79</w:t>
            </w:r>
          </w:p>
        </w:tc>
      </w:tr>
      <w:tr w:rsidR="00537576" w:rsidRPr="003E75D7" w14:paraId="666B8189" w14:textId="77777777" w:rsidTr="0072262D">
        <w:trPr>
          <w:trHeight w:val="269"/>
          <w:jc w:val="center"/>
        </w:trPr>
        <w:tc>
          <w:tcPr>
            <w:tcW w:w="2712" w:type="dxa"/>
            <w:tcBorders>
              <w:top w:val="nil"/>
              <w:left w:val="single" w:sz="4" w:space="0" w:color="auto"/>
              <w:bottom w:val="single" w:sz="4" w:space="0" w:color="auto"/>
              <w:right w:val="single" w:sz="4" w:space="0" w:color="auto"/>
            </w:tcBorders>
            <w:shd w:val="clear" w:color="auto" w:fill="auto"/>
            <w:vAlign w:val="center"/>
          </w:tcPr>
          <w:p w14:paraId="2712B285" w14:textId="13A5A3E9" w:rsidR="00537576" w:rsidRPr="00537576" w:rsidRDefault="00537576" w:rsidP="00537576">
            <w:pPr>
              <w:keepNext/>
              <w:keepLines/>
              <w:rPr>
                <w:rFonts w:ascii="Arial" w:hAnsi="Arial" w:cs="Arial"/>
                <w:b/>
                <w:color w:val="000000"/>
                <w:sz w:val="19"/>
                <w:szCs w:val="19"/>
              </w:rPr>
            </w:pPr>
            <w:r w:rsidRPr="00537576">
              <w:rPr>
                <w:rFonts w:ascii="Arial" w:hAnsi="Arial" w:cs="Arial"/>
                <w:b/>
                <w:color w:val="000000"/>
                <w:sz w:val="19"/>
                <w:szCs w:val="19"/>
              </w:rPr>
              <w:t>Total</w:t>
            </w:r>
          </w:p>
        </w:tc>
        <w:tc>
          <w:tcPr>
            <w:tcW w:w="1191" w:type="dxa"/>
            <w:tcBorders>
              <w:top w:val="nil"/>
              <w:left w:val="single" w:sz="4" w:space="0" w:color="auto"/>
              <w:bottom w:val="single" w:sz="4" w:space="0" w:color="auto"/>
              <w:right w:val="single" w:sz="4" w:space="0" w:color="auto"/>
            </w:tcBorders>
            <w:shd w:val="clear" w:color="auto" w:fill="auto"/>
            <w:noWrap/>
            <w:vAlign w:val="bottom"/>
          </w:tcPr>
          <w:p w14:paraId="1357668B" w14:textId="6044CAF6" w:rsidR="00537576" w:rsidRPr="003E75D7" w:rsidRDefault="00537576" w:rsidP="00537576">
            <w:pPr>
              <w:keepNext/>
              <w:keepLines/>
              <w:jc w:val="right"/>
              <w:rPr>
                <w:rFonts w:ascii="Arial" w:hAnsi="Arial" w:cs="Arial"/>
                <w:color w:val="000000"/>
                <w:sz w:val="19"/>
                <w:szCs w:val="19"/>
              </w:rPr>
            </w:pPr>
            <w:r w:rsidRPr="003E75D7">
              <w:rPr>
                <w:rFonts w:ascii="Arial" w:hAnsi="Arial" w:cs="Arial"/>
                <w:b/>
                <w:color w:val="000000"/>
                <w:sz w:val="19"/>
                <w:szCs w:val="19"/>
              </w:rPr>
              <w:t>45.32</w:t>
            </w:r>
          </w:p>
        </w:tc>
        <w:tc>
          <w:tcPr>
            <w:tcW w:w="0" w:type="auto"/>
            <w:tcBorders>
              <w:top w:val="nil"/>
              <w:left w:val="nil"/>
              <w:bottom w:val="single" w:sz="4" w:space="0" w:color="auto"/>
              <w:right w:val="single" w:sz="4" w:space="0" w:color="auto"/>
            </w:tcBorders>
            <w:shd w:val="clear" w:color="auto" w:fill="auto"/>
            <w:noWrap/>
            <w:vAlign w:val="bottom"/>
          </w:tcPr>
          <w:p w14:paraId="1B05AE40" w14:textId="4A2B25CB" w:rsidR="00537576" w:rsidRPr="003E75D7" w:rsidRDefault="00537576" w:rsidP="00537576">
            <w:pPr>
              <w:keepNext/>
              <w:keepLines/>
              <w:jc w:val="right"/>
              <w:rPr>
                <w:rFonts w:ascii="Arial" w:hAnsi="Arial" w:cs="Arial"/>
                <w:color w:val="000000"/>
                <w:sz w:val="19"/>
                <w:szCs w:val="19"/>
              </w:rPr>
            </w:pPr>
            <w:r w:rsidRPr="003E75D7">
              <w:rPr>
                <w:rFonts w:ascii="Arial" w:hAnsi="Arial" w:cs="Arial"/>
                <w:b/>
                <w:color w:val="000000"/>
                <w:sz w:val="19"/>
                <w:szCs w:val="19"/>
              </w:rPr>
              <w:t>44.97</w:t>
            </w:r>
          </w:p>
        </w:tc>
        <w:tc>
          <w:tcPr>
            <w:tcW w:w="0" w:type="auto"/>
            <w:tcBorders>
              <w:top w:val="nil"/>
              <w:left w:val="nil"/>
              <w:bottom w:val="single" w:sz="4" w:space="0" w:color="auto"/>
              <w:right w:val="single" w:sz="4" w:space="0" w:color="auto"/>
            </w:tcBorders>
            <w:shd w:val="clear" w:color="auto" w:fill="auto"/>
            <w:noWrap/>
            <w:vAlign w:val="bottom"/>
          </w:tcPr>
          <w:p w14:paraId="43FA993A" w14:textId="7455C232" w:rsidR="00537576" w:rsidRPr="003E75D7" w:rsidRDefault="00537576" w:rsidP="00537576">
            <w:pPr>
              <w:keepNext/>
              <w:keepLines/>
              <w:jc w:val="right"/>
              <w:rPr>
                <w:rFonts w:ascii="Arial" w:hAnsi="Arial" w:cs="Arial"/>
                <w:color w:val="000000"/>
                <w:sz w:val="19"/>
                <w:szCs w:val="19"/>
              </w:rPr>
            </w:pPr>
            <w:r w:rsidRPr="003E75D7">
              <w:rPr>
                <w:rFonts w:ascii="Arial" w:hAnsi="Arial" w:cs="Arial"/>
                <w:b/>
                <w:color w:val="000000"/>
                <w:sz w:val="19"/>
                <w:szCs w:val="19"/>
              </w:rPr>
              <w:t>49.82</w:t>
            </w:r>
          </w:p>
        </w:tc>
        <w:tc>
          <w:tcPr>
            <w:tcW w:w="0" w:type="auto"/>
            <w:tcBorders>
              <w:top w:val="nil"/>
              <w:left w:val="nil"/>
              <w:bottom w:val="single" w:sz="4" w:space="0" w:color="auto"/>
              <w:right w:val="single" w:sz="4" w:space="0" w:color="auto"/>
            </w:tcBorders>
            <w:shd w:val="clear" w:color="auto" w:fill="auto"/>
            <w:noWrap/>
            <w:vAlign w:val="bottom"/>
          </w:tcPr>
          <w:p w14:paraId="7FD526F3" w14:textId="1907F61F" w:rsidR="00537576" w:rsidRPr="003E75D7" w:rsidRDefault="00537576" w:rsidP="00537576">
            <w:pPr>
              <w:keepNext/>
              <w:keepLines/>
              <w:jc w:val="right"/>
              <w:rPr>
                <w:rFonts w:ascii="Arial" w:hAnsi="Arial" w:cs="Arial"/>
                <w:color w:val="000000"/>
                <w:sz w:val="19"/>
                <w:szCs w:val="19"/>
              </w:rPr>
            </w:pPr>
            <w:r w:rsidRPr="003E75D7">
              <w:rPr>
                <w:rFonts w:ascii="Arial" w:hAnsi="Arial" w:cs="Arial"/>
                <w:b/>
                <w:color w:val="000000"/>
                <w:sz w:val="19"/>
                <w:szCs w:val="19"/>
              </w:rPr>
              <w:t>50.14</w:t>
            </w:r>
          </w:p>
        </w:tc>
        <w:tc>
          <w:tcPr>
            <w:tcW w:w="0" w:type="auto"/>
            <w:tcBorders>
              <w:top w:val="nil"/>
              <w:left w:val="nil"/>
              <w:bottom w:val="single" w:sz="4" w:space="0" w:color="auto"/>
              <w:right w:val="single" w:sz="4" w:space="0" w:color="auto"/>
            </w:tcBorders>
            <w:shd w:val="clear" w:color="auto" w:fill="auto"/>
            <w:noWrap/>
            <w:vAlign w:val="bottom"/>
          </w:tcPr>
          <w:p w14:paraId="2F443329" w14:textId="6179C3C6" w:rsidR="00537576" w:rsidRPr="003E75D7" w:rsidRDefault="00537576" w:rsidP="00537576">
            <w:pPr>
              <w:keepNext/>
              <w:keepLines/>
              <w:jc w:val="right"/>
              <w:rPr>
                <w:rFonts w:ascii="Arial" w:hAnsi="Arial" w:cs="Arial"/>
                <w:color w:val="000000"/>
                <w:sz w:val="19"/>
                <w:szCs w:val="19"/>
              </w:rPr>
            </w:pPr>
            <w:r w:rsidRPr="003E75D7">
              <w:rPr>
                <w:rFonts w:ascii="Arial" w:hAnsi="Arial" w:cs="Arial"/>
                <w:b/>
                <w:color w:val="000000"/>
                <w:sz w:val="19"/>
                <w:szCs w:val="19"/>
              </w:rPr>
              <w:t>47.87</w:t>
            </w:r>
          </w:p>
        </w:tc>
      </w:tr>
    </w:tbl>
    <w:p w14:paraId="53A089A0" w14:textId="77777777" w:rsidR="00C14D7C" w:rsidRDefault="00C14D7C" w:rsidP="00C14D7C">
      <w:pPr>
        <w:pStyle w:val="Footnote"/>
        <w:keepNext/>
        <w:keepLines/>
      </w:pPr>
    </w:p>
    <w:p w14:paraId="1BF05260" w14:textId="73210BEF" w:rsidR="00D759DA" w:rsidRPr="003E75D7" w:rsidRDefault="00D759DA" w:rsidP="00C14D7C">
      <w:pPr>
        <w:pStyle w:val="Footnote"/>
        <w:keepNext/>
        <w:keepLines/>
      </w:pPr>
      <w:r w:rsidRPr="003E75D7">
        <w:t xml:space="preserve">+ </w:t>
      </w:r>
      <w:r w:rsidR="000C0B3A" w:rsidRPr="003E75D7">
        <w:t xml:space="preserve">These were </w:t>
      </w:r>
      <w:r w:rsidRPr="003E75D7">
        <w:t>varieties of silk saris</w:t>
      </w:r>
      <w:r w:rsidR="00FB17EB" w:rsidRPr="003E75D7">
        <w:t>.</w:t>
      </w:r>
    </w:p>
    <w:p w14:paraId="6D94EE36" w14:textId="554C1F81" w:rsidR="008A5BC8" w:rsidRPr="003E75D7" w:rsidRDefault="00D759DA" w:rsidP="00C14D7C">
      <w:pPr>
        <w:pStyle w:val="Footnote"/>
        <w:keepNext/>
        <w:keepLines/>
      </w:pPr>
      <w:r w:rsidRPr="003E75D7">
        <w:t xml:space="preserve">Source: </w:t>
      </w:r>
      <w:r w:rsidR="00751EF7">
        <w:t>Company files</w:t>
      </w:r>
      <w:r w:rsidR="008A5BC8" w:rsidRPr="003E75D7">
        <w:t xml:space="preserve">. </w:t>
      </w:r>
      <w:r w:rsidR="008A5BC8" w:rsidRPr="003E75D7">
        <w:br w:type="page"/>
      </w:r>
    </w:p>
    <w:p w14:paraId="05837672" w14:textId="77777777" w:rsidR="00D81466" w:rsidRPr="003E75D7" w:rsidRDefault="00A90913" w:rsidP="00A90913">
      <w:pPr>
        <w:pStyle w:val="Casehead1"/>
      </w:pPr>
      <w:r w:rsidRPr="003E75D7">
        <w:lastRenderedPageBreak/>
        <w:t xml:space="preserve">Endnotes </w:t>
      </w:r>
    </w:p>
    <w:sectPr w:rsidR="00D81466" w:rsidRPr="003E75D7"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C42EA" w14:textId="77777777" w:rsidR="005065E0" w:rsidRDefault="005065E0" w:rsidP="00D75295">
      <w:r>
        <w:separator/>
      </w:r>
    </w:p>
  </w:endnote>
  <w:endnote w:type="continuationSeparator" w:id="0">
    <w:p w14:paraId="73289559" w14:textId="77777777" w:rsidR="005065E0" w:rsidRDefault="005065E0" w:rsidP="00D75295">
      <w:r>
        <w:continuationSeparator/>
      </w:r>
    </w:p>
  </w:endnote>
  <w:endnote w:id="1">
    <w:p w14:paraId="5D36DE2A" w14:textId="60D4A9BC"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A. Subramanil, “Salem’s Venpattu Silk to Get Award from PM Today,” </w:t>
      </w:r>
      <w:r w:rsidRPr="00DD47F1">
        <w:rPr>
          <w:rFonts w:ascii="Arial" w:hAnsi="Arial" w:cs="Arial"/>
          <w:i/>
          <w:sz w:val="17"/>
          <w:szCs w:val="17"/>
        </w:rPr>
        <w:t>The Times of India</w:t>
      </w:r>
      <w:r w:rsidRPr="00DD47F1">
        <w:rPr>
          <w:rFonts w:ascii="Arial" w:hAnsi="Arial" w:cs="Arial"/>
          <w:sz w:val="17"/>
          <w:szCs w:val="17"/>
        </w:rPr>
        <w:t>, August 7, 2015, accessed April 24, 2017, http://timesofindia.indiatimes.com/city/chennai/Salems-Venpattu-silk-to-get-award-from-PM-today/articleshow/</w:t>
      </w:r>
    </w:p>
    <w:p w14:paraId="04EE3825" w14:textId="321A23D5" w:rsidR="005065E0" w:rsidRPr="00DD47F1" w:rsidRDefault="005065E0" w:rsidP="00D759DA">
      <w:pPr>
        <w:pStyle w:val="EndnoteText"/>
        <w:jc w:val="both"/>
        <w:rPr>
          <w:rFonts w:ascii="Arial" w:hAnsi="Arial" w:cs="Arial"/>
          <w:sz w:val="17"/>
          <w:szCs w:val="17"/>
        </w:rPr>
      </w:pPr>
      <w:r w:rsidRPr="00DD47F1">
        <w:rPr>
          <w:rFonts w:ascii="Arial" w:hAnsi="Arial" w:cs="Arial"/>
          <w:sz w:val="17"/>
          <w:szCs w:val="17"/>
        </w:rPr>
        <w:t xml:space="preserve">48382967.cms. The Prime Minister of India had announced August 7 as National Handloom Day to promote handlooms in the country. On August 7, 2015, the first National Handloom Day, three products had been chosen for the prestigious India Handloom Brand certification: the Tangail sari of West Bengal, the Tanchoi sari of Benares, and the Salem Venpattu. </w:t>
      </w:r>
      <w:r w:rsidRPr="00DD47F1">
        <w:rPr>
          <w:rFonts w:ascii="Arial" w:hAnsi="Arial" w:cs="Arial"/>
          <w:sz w:val="17"/>
          <w:szCs w:val="17"/>
          <w:lang w:val="en-IN"/>
        </w:rPr>
        <w:t>This was meant to endorse the quality of handloom products in terms of raw materials, processing, embellishment, weaving, design and other parameters, and to verify their social and environment</w:t>
      </w:r>
      <w:r>
        <w:rPr>
          <w:rFonts w:ascii="Arial" w:hAnsi="Arial" w:cs="Arial"/>
          <w:sz w:val="17"/>
          <w:szCs w:val="17"/>
          <w:lang w:val="en-IN"/>
        </w:rPr>
        <w:t>al</w:t>
      </w:r>
      <w:r w:rsidRPr="00DD47F1">
        <w:rPr>
          <w:rFonts w:ascii="Arial" w:hAnsi="Arial" w:cs="Arial"/>
          <w:sz w:val="17"/>
          <w:szCs w:val="17"/>
          <w:lang w:val="en-IN"/>
        </w:rPr>
        <w:t xml:space="preserve"> compliance in order to earn the trust of customers.</w:t>
      </w:r>
    </w:p>
  </w:endnote>
  <w:endnote w:id="2">
    <w:p w14:paraId="41ECA681" w14:textId="71C7AC2D"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w:t>
      </w:r>
      <w:r w:rsidRPr="00DD47F1">
        <w:rPr>
          <w:rFonts w:ascii="Arial" w:eastAsiaTheme="minorEastAsia" w:hAnsi="Arial" w:cs="Arial"/>
          <w:spacing w:val="-2"/>
          <w:kern w:val="15"/>
          <w:sz w:val="18"/>
          <w:szCs w:val="18"/>
        </w:rPr>
        <w:t xml:space="preserve">₹ = INR = Indian rupee; all currency amounts are in ₹ unless otherwise specified; </w:t>
      </w:r>
      <w:r w:rsidRPr="00DD47F1">
        <w:rPr>
          <w:rFonts w:ascii="Arial" w:hAnsi="Arial" w:cs="Arial"/>
          <w:sz w:val="17"/>
          <w:szCs w:val="17"/>
        </w:rPr>
        <w:t>US$1.00 = ₹61.14 in FY 2014–15.</w:t>
      </w:r>
    </w:p>
  </w:endnote>
  <w:endnote w:id="3">
    <w:p w14:paraId="2EBC6C25" w14:textId="48718D66"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With the rupee depreciating against the U.S. dollar (from US$1.00 = ₹45.56 to US$1.00 = ₹61.14 between FY 2010–11 and FY 2014–15), the increase in dollar terms was much less significant: only about 15.4 per cent.</w:t>
      </w:r>
    </w:p>
  </w:endnote>
  <w:endnote w:id="4">
    <w:p w14:paraId="0D8D93A6" w14:textId="369013E0"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There were 29 states in India in 2015. Each state had its own handloom co-operative organization, and some states had more than one such state-supported handloom organization. </w:t>
      </w:r>
    </w:p>
  </w:endnote>
  <w:endnote w:id="5">
    <w:p w14:paraId="0B65F05E" w14:textId="377C29E9"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The sari was a garment worn by women on the Indian subcontinent. Made of an unstitched cloth 4.5–9.0 metres long and about 1 metre wide, a sari was usually draped around the waist, with one end over the shoulder. It was worn over an underskirt and combined with a fitted blouse. Saris could differ based on the type of fabric, their weaving style, motifs, and so on. Handloom saris were woven using cloth, silk, or a blend of cotton and silk.</w:t>
      </w:r>
    </w:p>
  </w:endnote>
  <w:endnote w:id="6">
    <w:p w14:paraId="60C30E4D" w14:textId="76B3ADD7"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Ministry of Textiles</w:t>
      </w:r>
      <w:r>
        <w:rPr>
          <w:rFonts w:ascii="Arial" w:hAnsi="Arial" w:cs="Arial"/>
          <w:sz w:val="17"/>
          <w:szCs w:val="17"/>
        </w:rPr>
        <w:t xml:space="preserve">: </w:t>
      </w:r>
      <w:r w:rsidRPr="00DD47F1">
        <w:rPr>
          <w:rFonts w:ascii="Arial" w:hAnsi="Arial" w:cs="Arial"/>
          <w:sz w:val="17"/>
          <w:szCs w:val="17"/>
        </w:rPr>
        <w:t xml:space="preserve">Government of India, </w:t>
      </w:r>
      <w:r w:rsidRPr="00DD47F1">
        <w:rPr>
          <w:rFonts w:ascii="Arial" w:hAnsi="Arial" w:cs="Arial"/>
          <w:i/>
          <w:sz w:val="17"/>
          <w:szCs w:val="17"/>
        </w:rPr>
        <w:t>Annual Report 2014-15</w:t>
      </w:r>
      <w:r w:rsidRPr="00DD47F1">
        <w:rPr>
          <w:rFonts w:ascii="Arial" w:hAnsi="Arial" w:cs="Arial"/>
          <w:sz w:val="17"/>
          <w:szCs w:val="17"/>
        </w:rPr>
        <w:t xml:space="preserve">, accessed January 13, 2017, http://texmin.nic.in/sites/default/files/ar_14_15_english.pdf; “Textile Industry &amp; Market Growth in India,” </w:t>
      </w:r>
      <w:r>
        <w:rPr>
          <w:rFonts w:ascii="Arial" w:hAnsi="Arial" w:cs="Arial"/>
          <w:sz w:val="17"/>
          <w:szCs w:val="17"/>
        </w:rPr>
        <w:t xml:space="preserve">IBEF: </w:t>
      </w:r>
      <w:r w:rsidRPr="00DD47F1">
        <w:rPr>
          <w:rFonts w:ascii="Arial" w:hAnsi="Arial" w:cs="Arial"/>
          <w:sz w:val="17"/>
          <w:szCs w:val="17"/>
        </w:rPr>
        <w:t>India Brand Equity Foundation, accessed April 24, 2017, www.ibef.org/industry/textiles.aspx.</w:t>
      </w:r>
    </w:p>
  </w:endnote>
  <w:endnote w:id="7">
    <w:p w14:paraId="36089D1B" w14:textId="5FC03CEC" w:rsidR="005065E0" w:rsidRPr="00DD47F1" w:rsidRDefault="005065E0" w:rsidP="00D759DA">
      <w:pPr>
        <w:pStyle w:val="EndnoteText"/>
        <w:jc w:val="both"/>
        <w:rPr>
          <w:rFonts w:ascii="Arial" w:hAnsi="Arial" w:cs="Arial"/>
          <w:sz w:val="17"/>
          <w:szCs w:val="17"/>
          <w:lang w:val="es-US"/>
        </w:rPr>
      </w:pPr>
      <w:r w:rsidRPr="00DD47F1">
        <w:rPr>
          <w:rStyle w:val="EndnoteReference"/>
          <w:rFonts w:ascii="Arial" w:hAnsi="Arial" w:cs="Arial"/>
          <w:sz w:val="17"/>
          <w:szCs w:val="17"/>
        </w:rPr>
        <w:endnoteRef/>
      </w:r>
      <w:r w:rsidRPr="00DD47F1">
        <w:rPr>
          <w:rFonts w:ascii="Arial" w:hAnsi="Arial" w:cs="Arial"/>
          <w:sz w:val="17"/>
          <w:szCs w:val="17"/>
          <w:lang w:val="es-US"/>
        </w:rPr>
        <w:t xml:space="preserve"> </w:t>
      </w:r>
      <w:r w:rsidRPr="0000065D">
        <w:rPr>
          <w:rFonts w:ascii="Arial" w:hAnsi="Arial" w:cs="Arial"/>
          <w:sz w:val="17"/>
          <w:szCs w:val="17"/>
        </w:rPr>
        <w:t>Ibid</w:t>
      </w:r>
      <w:r w:rsidRPr="00DD47F1">
        <w:rPr>
          <w:rFonts w:ascii="Arial" w:hAnsi="Arial" w:cs="Arial"/>
          <w:sz w:val="17"/>
          <w:szCs w:val="17"/>
          <w:lang w:val="es-US"/>
        </w:rPr>
        <w:t>., 5.</w:t>
      </w:r>
    </w:p>
  </w:endnote>
  <w:endnote w:id="8">
    <w:p w14:paraId="037FD553" w14:textId="0BF25517" w:rsidR="005065E0" w:rsidRPr="00DD47F1" w:rsidRDefault="005065E0" w:rsidP="00335D96">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“Textiles &amp; Apparel,” Confederation of Indian Industry, accessed April 24, 2017, www.cii.in/sectors.aspx?enc=prvePUj2bdMtgTmvPwvisYH+5EnGjyGXO9hLECvTuNtLCJDTirQ5WD1HbdWnsKry.</w:t>
      </w:r>
    </w:p>
  </w:endnote>
  <w:endnote w:id="9">
    <w:p w14:paraId="5A2793B0" w14:textId="51E0C284"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“India Handloom Brand,” Vikaspedia, accessed April 24, 2017, http://vikaspedia.in/social-welfare/skill-development/india-handloom-brand.</w:t>
      </w:r>
    </w:p>
  </w:endnote>
  <w:endnote w:id="10">
    <w:p w14:paraId="3B59AC2B" w14:textId="662106AA"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Government of India</w:t>
      </w:r>
      <w:r>
        <w:rPr>
          <w:rFonts w:ascii="Arial" w:hAnsi="Arial" w:cs="Arial"/>
          <w:sz w:val="17"/>
          <w:szCs w:val="17"/>
        </w:rPr>
        <w:t>:</w:t>
      </w:r>
      <w:r w:rsidRPr="00DD47F1">
        <w:rPr>
          <w:rFonts w:ascii="Arial" w:hAnsi="Arial" w:cs="Arial"/>
          <w:sz w:val="17"/>
          <w:szCs w:val="17"/>
        </w:rPr>
        <w:t xml:space="preserve"> Ministry of Textiles, </w:t>
      </w:r>
      <w:r w:rsidRPr="00DD47F1">
        <w:rPr>
          <w:rFonts w:ascii="Arial" w:hAnsi="Arial" w:cs="Arial"/>
          <w:i/>
          <w:sz w:val="17"/>
          <w:szCs w:val="17"/>
        </w:rPr>
        <w:t xml:space="preserve">Note on Handloom Sector, </w:t>
      </w:r>
      <w:r w:rsidRPr="00DD47F1">
        <w:rPr>
          <w:rFonts w:ascii="Arial" w:hAnsi="Arial" w:cs="Arial"/>
          <w:sz w:val="17"/>
          <w:szCs w:val="17"/>
        </w:rPr>
        <w:t>December 30, 2015, accessed November 5, 2016, http://handlooms.nic.in/writereaddata/2486.pdf.</w:t>
      </w:r>
    </w:p>
  </w:endnote>
  <w:endnote w:id="11">
    <w:p w14:paraId="7A2EB04E" w14:textId="1F6B435F"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Ibid.</w:t>
      </w:r>
    </w:p>
  </w:endnote>
  <w:endnote w:id="12">
    <w:p w14:paraId="6C2E9380" w14:textId="7E918491"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Ibid., 3.</w:t>
      </w:r>
    </w:p>
  </w:endnote>
  <w:endnote w:id="13">
    <w:p w14:paraId="51DD7662" w14:textId="5D7BD997"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Ibid., 3.</w:t>
      </w:r>
    </w:p>
  </w:endnote>
  <w:endnote w:id="14">
    <w:p w14:paraId="38136232" w14:textId="4C43AFCC"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Ibid., 3–4.</w:t>
      </w:r>
    </w:p>
  </w:endnote>
  <w:endnote w:id="15">
    <w:p w14:paraId="5AAAF4C6" w14:textId="3DEFFDA4"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A dhothi was a traditional garment worn on the lower part of the body by men on the Indian subcontinent. </w:t>
      </w:r>
    </w:p>
  </w:endnote>
  <w:endnote w:id="16">
    <w:p w14:paraId="3EA39A9D" w14:textId="1EAC6FD4" w:rsidR="005065E0" w:rsidRPr="00DD47F1" w:rsidRDefault="005065E0" w:rsidP="00D759DA">
      <w:pPr>
        <w:pStyle w:val="EndnoteText"/>
        <w:rPr>
          <w:rStyle w:val="EndnoteReference"/>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Officers from the IAS constituted the executive arm of the Indian government and were chosen to head strategic positions in the government and the public sector. </w:t>
      </w:r>
    </w:p>
  </w:endnote>
  <w:endnote w:id="17">
    <w:p w14:paraId="3B2728E9" w14:textId="5DFDFCA2"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Government of India, </w:t>
      </w:r>
      <w:r w:rsidRPr="00DD47F1">
        <w:rPr>
          <w:rFonts w:ascii="Arial" w:hAnsi="Arial" w:cs="Arial"/>
          <w:i/>
          <w:sz w:val="17"/>
          <w:szCs w:val="17"/>
        </w:rPr>
        <w:t>The Handlooms (Reservation of Articles for Production) Act, 1985</w:t>
      </w:r>
      <w:r w:rsidRPr="00DD47F1">
        <w:rPr>
          <w:rFonts w:ascii="Arial" w:hAnsi="Arial" w:cs="Arial"/>
          <w:sz w:val="17"/>
          <w:szCs w:val="17"/>
        </w:rPr>
        <w:t>, March 29, 1985, accessed April 26, 2017, http://lawmin.nic.in/ld/P-ACT/1985/The%20Handlooms%20(Reservation%20Of%20Articles%20For%20Production)%20Act,%201985.pdf.</w:t>
      </w:r>
    </w:p>
  </w:endnote>
  <w:endnote w:id="18">
    <w:p w14:paraId="4DCC222C" w14:textId="1836A20B"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Rini Barman, “Government is about to Endanger India’s Sari Tradition,”</w:t>
      </w:r>
      <w:r w:rsidRPr="00DD47F1">
        <w:rPr>
          <w:rFonts w:ascii="Arial" w:hAnsi="Arial" w:cs="Arial"/>
          <w:i/>
          <w:sz w:val="17"/>
          <w:szCs w:val="17"/>
        </w:rPr>
        <w:t xml:space="preserve"> Daily-O, </w:t>
      </w:r>
      <w:r w:rsidRPr="00DD47F1">
        <w:rPr>
          <w:rFonts w:ascii="Arial" w:hAnsi="Arial" w:cs="Arial"/>
          <w:sz w:val="17"/>
          <w:szCs w:val="17"/>
        </w:rPr>
        <w:t>April 30, 2015</w:t>
      </w:r>
      <w:r w:rsidRPr="00DD47F1">
        <w:rPr>
          <w:rFonts w:ascii="Arial" w:hAnsi="Arial" w:cs="Arial"/>
          <w:i/>
          <w:sz w:val="17"/>
          <w:szCs w:val="17"/>
        </w:rPr>
        <w:t xml:space="preserve">, </w:t>
      </w:r>
      <w:r w:rsidRPr="00DD47F1">
        <w:rPr>
          <w:rFonts w:ascii="Arial" w:hAnsi="Arial" w:cs="Arial"/>
          <w:sz w:val="17"/>
          <w:szCs w:val="17"/>
        </w:rPr>
        <w:t>accessed December 22, 2016</w:t>
      </w:r>
      <w:r w:rsidRPr="00DD47F1">
        <w:rPr>
          <w:rFonts w:ascii="Arial" w:hAnsi="Arial" w:cs="Arial"/>
          <w:i/>
          <w:sz w:val="17"/>
          <w:szCs w:val="17"/>
        </w:rPr>
        <w:t xml:space="preserve">, </w:t>
      </w:r>
      <w:r w:rsidRPr="00DD47F1">
        <w:rPr>
          <w:rFonts w:ascii="Arial" w:hAnsi="Arial" w:cs="Arial"/>
          <w:sz w:val="17"/>
          <w:szCs w:val="17"/>
        </w:rPr>
        <w:t>www.dailyo.in/politics/sari-handloom-reservation-act-1985-power-looms-100saripact-kirron-kher-jonali-saikia/</w:t>
      </w:r>
    </w:p>
    <w:p w14:paraId="4242E077" w14:textId="2B47D664" w:rsidR="005065E0" w:rsidRPr="00DD47F1" w:rsidRDefault="005065E0" w:rsidP="00D759DA">
      <w:pPr>
        <w:pStyle w:val="EndnoteText"/>
        <w:jc w:val="both"/>
        <w:rPr>
          <w:rFonts w:ascii="Arial" w:hAnsi="Arial" w:cs="Arial"/>
          <w:sz w:val="17"/>
          <w:szCs w:val="17"/>
        </w:rPr>
      </w:pPr>
      <w:r w:rsidRPr="00DD47F1">
        <w:rPr>
          <w:rFonts w:ascii="Arial" w:hAnsi="Arial" w:cs="Arial"/>
          <w:sz w:val="17"/>
          <w:szCs w:val="17"/>
        </w:rPr>
        <w:t>story/1/3455.html.</w:t>
      </w:r>
    </w:p>
  </w:endnote>
  <w:endnote w:id="19">
    <w:p w14:paraId="1AAA0362" w14:textId="39779A4C" w:rsidR="005065E0" w:rsidRPr="00DD47F1" w:rsidRDefault="005065E0" w:rsidP="00D759DA">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Sonali Kohli, “Memo to the World: Not Every Indian Outfit is a Sari,” Quartz India, January 22, 2015, accessed January 6, 2017, https://qz.com/331756/memo-to-the-world-not-every-indian-outfit-is-a-sari/; Sheela Reddy, “Sari, Wrong Number,” </w:t>
      </w:r>
      <w:r w:rsidRPr="00DD47F1">
        <w:rPr>
          <w:rFonts w:ascii="Arial" w:hAnsi="Arial" w:cs="Arial"/>
          <w:i/>
          <w:sz w:val="17"/>
          <w:szCs w:val="17"/>
        </w:rPr>
        <w:t>Outlook</w:t>
      </w:r>
      <w:r w:rsidRPr="00DD47F1">
        <w:rPr>
          <w:rFonts w:ascii="Arial" w:hAnsi="Arial" w:cs="Arial"/>
          <w:sz w:val="17"/>
          <w:szCs w:val="17"/>
        </w:rPr>
        <w:t>, January 27, 2003, accessed January 2, 2017, www.outlookindia.com/magazine/story/sari-wrong-number/218722.</w:t>
      </w:r>
    </w:p>
  </w:endnote>
  <w:endnote w:id="20">
    <w:p w14:paraId="07508B64" w14:textId="0D029304"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“Haute Battle: Is Globalization Killing the Sari?,” Window 2 India, March 14, 2008, accessed April 26, 2017, http://window2india.com/cms/admin/article.jsp?aid=5706.</w:t>
      </w:r>
    </w:p>
  </w:endnote>
  <w:endnote w:id="21">
    <w:p w14:paraId="48593655" w14:textId="16605D4F" w:rsidR="005065E0" w:rsidRPr="00DD47F1" w:rsidRDefault="005065E0" w:rsidP="00A145DC">
      <w:pPr>
        <w:pStyle w:val="EndnoteText"/>
        <w:jc w:val="both"/>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Sunaina Kumar, “The New Sari Story,” </w:t>
      </w:r>
      <w:r w:rsidRPr="00DD47F1">
        <w:rPr>
          <w:rFonts w:ascii="Arial" w:hAnsi="Arial" w:cs="Arial"/>
          <w:i/>
          <w:sz w:val="17"/>
          <w:szCs w:val="17"/>
        </w:rPr>
        <w:t>India Today</w:t>
      </w:r>
      <w:r w:rsidRPr="00DD47F1">
        <w:rPr>
          <w:rFonts w:ascii="Arial" w:hAnsi="Arial" w:cs="Arial"/>
          <w:sz w:val="17"/>
          <w:szCs w:val="17"/>
        </w:rPr>
        <w:t xml:space="preserve">, October 22, 2009, accessed December 13, 2016, http://indiatoday.intoday.in/story/The+new+sari+story/1/67343.html. </w:t>
      </w:r>
    </w:p>
  </w:endnote>
  <w:endnote w:id="22">
    <w:p w14:paraId="789AB751" w14:textId="3C67373E"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Aditya Somani, “Why the $15-B Sari Industry Still Has No Single Large Player,” Your Story, April 14, 2016, accessed April 26, 2017, https://yourstory.com/2016/04/indian-sari-industry-startup/.</w:t>
      </w:r>
    </w:p>
  </w:endnote>
  <w:endnote w:id="23">
    <w:p w14:paraId="62779CD4" w14:textId="380299A3"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Kinjal Pandya–Wagh, “The Indian Woman Transforming Her Family’s Sari Firm,”</w:t>
      </w:r>
      <w:r w:rsidRPr="00DD47F1">
        <w:rPr>
          <w:rFonts w:ascii="Arial" w:hAnsi="Arial" w:cs="Arial"/>
          <w:i/>
          <w:sz w:val="17"/>
          <w:szCs w:val="17"/>
        </w:rPr>
        <w:t xml:space="preserve"> BBC News</w:t>
      </w:r>
      <w:r w:rsidRPr="00DD47F1">
        <w:rPr>
          <w:rFonts w:ascii="Arial" w:hAnsi="Arial" w:cs="Arial"/>
          <w:sz w:val="17"/>
          <w:szCs w:val="17"/>
        </w:rPr>
        <w:t>, August 29, 2016, accessed April 26, 2017, www.bbc.com/news/business-36886693.</w:t>
      </w:r>
    </w:p>
  </w:endnote>
  <w:endnote w:id="24">
    <w:p w14:paraId="21C85B57" w14:textId="72E1704A"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Vaishnavi Chandrashekhar, “Co-optex 2.0: From Musty Emporiums to Glitzy Stores,” </w:t>
      </w:r>
      <w:r w:rsidRPr="00DD47F1">
        <w:rPr>
          <w:rFonts w:ascii="Arial" w:hAnsi="Arial" w:cs="Arial"/>
          <w:i/>
          <w:sz w:val="17"/>
          <w:szCs w:val="17"/>
        </w:rPr>
        <w:t>Times of India</w:t>
      </w:r>
      <w:r w:rsidRPr="00DD47F1">
        <w:rPr>
          <w:rFonts w:ascii="Arial" w:hAnsi="Arial" w:cs="Arial"/>
          <w:sz w:val="17"/>
          <w:szCs w:val="17"/>
        </w:rPr>
        <w:t>, July 5, 2016, accessed April 26, 2017, http://timesofindia.indiatimes.com/business/india-business/Co-optex-2-0-From-musty-emporiums-to-glitzy-stores/articleshow/53053649.cms.</w:t>
      </w:r>
    </w:p>
  </w:endnote>
  <w:endnote w:id="25">
    <w:p w14:paraId="1E64E8C8" w14:textId="6C7084D0" w:rsidR="005065E0" w:rsidRPr="00DD47F1" w:rsidRDefault="005065E0" w:rsidP="00D759DA">
      <w:pPr>
        <w:pStyle w:val="EndnoteText"/>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Government of India, “Projected Population Characteristics</w:t>
      </w:r>
      <w:r>
        <w:rPr>
          <w:rFonts w:ascii="Arial" w:hAnsi="Arial" w:cs="Arial"/>
          <w:sz w:val="17"/>
          <w:szCs w:val="17"/>
        </w:rPr>
        <w:t xml:space="preserve">,” </w:t>
      </w:r>
      <w:r w:rsidRPr="00DD47F1">
        <w:rPr>
          <w:rFonts w:ascii="Arial" w:hAnsi="Arial" w:cs="Arial"/>
          <w:sz w:val="17"/>
          <w:szCs w:val="17"/>
        </w:rPr>
        <w:t>Data.gov, April 28, 2014, accessed April 26, 2017, https://data.gov.in/catalog/projected-population-characteristics.</w:t>
      </w:r>
    </w:p>
  </w:endnote>
  <w:endnote w:id="26">
    <w:p w14:paraId="204301C5" w14:textId="5482F8FE" w:rsidR="005065E0" w:rsidRPr="00CB4025" w:rsidRDefault="005065E0" w:rsidP="00537576">
      <w:pPr>
        <w:widowControl w:val="0"/>
        <w:autoSpaceDE w:val="0"/>
        <w:autoSpaceDN w:val="0"/>
        <w:adjustRightInd w:val="0"/>
        <w:rPr>
          <w:rFonts w:ascii="Arial" w:hAnsi="Arial" w:cs="Arial"/>
          <w:sz w:val="17"/>
          <w:szCs w:val="17"/>
        </w:rPr>
      </w:pPr>
      <w:r w:rsidRPr="00DD47F1">
        <w:rPr>
          <w:rStyle w:val="EndnoteReference"/>
          <w:rFonts w:ascii="Arial" w:hAnsi="Arial" w:cs="Arial"/>
          <w:sz w:val="17"/>
          <w:szCs w:val="17"/>
        </w:rPr>
        <w:endnoteRef/>
      </w:r>
      <w:r w:rsidRPr="00DD47F1">
        <w:rPr>
          <w:rFonts w:ascii="Arial" w:hAnsi="Arial" w:cs="Arial"/>
          <w:sz w:val="17"/>
          <w:szCs w:val="17"/>
        </w:rPr>
        <w:t xml:space="preserve"> Naresh R. Pandit, “Some Recommendations for Improved Research on Corporate Turnaround,” </w:t>
      </w:r>
      <w:r w:rsidRPr="00DD47F1">
        <w:rPr>
          <w:rFonts w:ascii="Arial" w:hAnsi="Arial" w:cs="Arial"/>
          <w:i/>
          <w:sz w:val="17"/>
          <w:szCs w:val="17"/>
        </w:rPr>
        <w:t>Management</w:t>
      </w:r>
      <w:r w:rsidRPr="00DD47F1">
        <w:rPr>
          <w:rFonts w:ascii="Arial" w:hAnsi="Arial" w:cs="Arial"/>
          <w:sz w:val="17"/>
          <w:szCs w:val="17"/>
        </w:rPr>
        <w:t xml:space="preserve"> 3, no.2 (2000): 31–56, accessed April 26, 2017,</w:t>
      </w:r>
      <w:r w:rsidRPr="000C0B3A">
        <w:rPr>
          <w:rFonts w:ascii="Arial" w:hAnsi="Arial" w:cs="Arial"/>
          <w:sz w:val="17"/>
          <w:szCs w:val="17"/>
        </w:rPr>
        <w:t xml:space="preserve"> https://pdfs.semanticscholar.org/9170/42496ded1c491ff4571e777c643489d295c0.pdf.</w:t>
      </w:r>
    </w:p>
  </w:endnote>
  <w:endnote w:id="27">
    <w:p w14:paraId="45A7B67C" w14:textId="31841EF6" w:rsidR="005065E0" w:rsidRPr="00CB4025" w:rsidRDefault="005065E0" w:rsidP="00D759DA">
      <w:pPr>
        <w:pStyle w:val="FootnoteText"/>
        <w:jc w:val="both"/>
        <w:rPr>
          <w:rFonts w:ascii="Arial" w:hAnsi="Arial" w:cs="Arial"/>
          <w:b/>
          <w:sz w:val="17"/>
          <w:szCs w:val="17"/>
        </w:rPr>
      </w:pPr>
      <w:r w:rsidRPr="00CB4025">
        <w:rPr>
          <w:rStyle w:val="EndnoteReference"/>
          <w:rFonts w:ascii="Arial" w:hAnsi="Arial" w:cs="Arial"/>
          <w:sz w:val="17"/>
          <w:szCs w:val="17"/>
        </w:rPr>
        <w:endnoteRef/>
      </w:r>
      <w:r w:rsidRPr="00CB4025">
        <w:rPr>
          <w:rFonts w:ascii="Arial" w:hAnsi="Arial" w:cs="Arial"/>
          <w:sz w:val="17"/>
          <w:szCs w:val="17"/>
        </w:rPr>
        <w:t xml:space="preserve"> Kieran Walshe, Gill Harvey, Paula Hyde</w:t>
      </w:r>
      <w:r>
        <w:rPr>
          <w:rFonts w:ascii="Arial" w:hAnsi="Arial" w:cs="Arial"/>
          <w:sz w:val="17"/>
          <w:szCs w:val="17"/>
        </w:rPr>
        <w:t>,</w:t>
      </w:r>
      <w:r w:rsidRPr="00CB4025">
        <w:rPr>
          <w:rFonts w:ascii="Arial" w:hAnsi="Arial" w:cs="Arial"/>
          <w:sz w:val="17"/>
          <w:szCs w:val="17"/>
        </w:rPr>
        <w:t xml:space="preserve"> and Naresh Pandit, “Organizational Failure and Turnaround: Lessons for Public Services from the For-Profit Sector,” </w:t>
      </w:r>
      <w:r w:rsidRPr="00CB4025">
        <w:rPr>
          <w:rFonts w:ascii="Arial" w:hAnsi="Arial" w:cs="Arial"/>
          <w:i/>
          <w:sz w:val="17"/>
          <w:szCs w:val="17"/>
        </w:rPr>
        <w:t>Public Money and Management</w:t>
      </w:r>
      <w:r w:rsidRPr="00CB4025">
        <w:rPr>
          <w:rFonts w:ascii="Arial" w:hAnsi="Arial" w:cs="Arial"/>
          <w:sz w:val="17"/>
          <w:szCs w:val="17"/>
        </w:rPr>
        <w:t xml:space="preserve"> 24, no.4 (2004): 201</w:t>
      </w:r>
      <w:r>
        <w:rPr>
          <w:rFonts w:ascii="Arial" w:hAnsi="Arial" w:cs="Arial"/>
          <w:sz w:val="17"/>
          <w:szCs w:val="17"/>
        </w:rPr>
        <w:t xml:space="preserve">. </w:t>
      </w:r>
      <w:r w:rsidRPr="000C0B3A">
        <w:rPr>
          <w:rFonts w:ascii="Arial" w:hAnsi="Arial" w:cs="Arial"/>
          <w:sz w:val="17"/>
          <w:szCs w:val="17"/>
        </w:rPr>
        <w:t>doi:10.1111/j.1467-9302.2004.00421.x.</w:t>
      </w:r>
      <w:r w:rsidRPr="000C0B3A" w:rsidDel="008C32E2">
        <w:rPr>
          <w:rFonts w:ascii="Arial" w:hAnsi="Arial" w:cs="Arial"/>
          <w:sz w:val="17"/>
          <w:szCs w:val="17"/>
        </w:rPr>
        <w:t xml:space="preserve"> </w:t>
      </w:r>
    </w:p>
  </w:endnote>
  <w:endnote w:id="28">
    <w:p w14:paraId="4E109DAB" w14:textId="34A49CFC" w:rsidR="005065E0" w:rsidRPr="00CB4025" w:rsidRDefault="005065E0" w:rsidP="00D759DA">
      <w:pPr>
        <w:pStyle w:val="FootnoteText"/>
        <w:jc w:val="both"/>
        <w:rPr>
          <w:rFonts w:ascii="Arial" w:hAnsi="Arial" w:cs="Arial"/>
          <w:b/>
          <w:sz w:val="17"/>
          <w:szCs w:val="17"/>
        </w:rPr>
      </w:pPr>
      <w:r w:rsidRPr="00CB4025">
        <w:rPr>
          <w:rStyle w:val="EndnoteReference"/>
          <w:rFonts w:ascii="Arial" w:hAnsi="Arial" w:cs="Arial"/>
          <w:sz w:val="17"/>
          <w:szCs w:val="17"/>
        </w:rPr>
        <w:endnoteRef/>
      </w:r>
      <w:r w:rsidRPr="00CB4025">
        <w:rPr>
          <w:rFonts w:ascii="Arial" w:hAnsi="Arial" w:cs="Arial"/>
          <w:sz w:val="17"/>
          <w:szCs w:val="17"/>
        </w:rPr>
        <w:t xml:space="preserve"> </w:t>
      </w:r>
      <w:r>
        <w:rPr>
          <w:rFonts w:ascii="Arial" w:hAnsi="Arial" w:cs="Arial"/>
          <w:sz w:val="17"/>
          <w:szCs w:val="17"/>
        </w:rPr>
        <w:t>Ibid</w:t>
      </w:r>
      <w:r w:rsidRPr="00CB4025">
        <w:rPr>
          <w:rFonts w:ascii="Arial" w:hAnsi="Arial" w:cs="Arial"/>
          <w:sz w:val="17"/>
          <w:szCs w:val="17"/>
        </w:rPr>
        <w:t>.</w:t>
      </w:r>
    </w:p>
  </w:endnote>
  <w:endnote w:id="29">
    <w:p w14:paraId="6E7D952A" w14:textId="2E4846EE" w:rsidR="005065E0" w:rsidRPr="00CB4025" w:rsidRDefault="005065E0" w:rsidP="00D759DA">
      <w:pPr>
        <w:pStyle w:val="EndnoteText"/>
        <w:jc w:val="both"/>
        <w:rPr>
          <w:rFonts w:ascii="Arial" w:hAnsi="Arial" w:cs="Arial"/>
          <w:sz w:val="17"/>
          <w:szCs w:val="17"/>
        </w:rPr>
      </w:pPr>
      <w:r w:rsidRPr="00CB4025">
        <w:rPr>
          <w:rStyle w:val="EndnoteReference"/>
          <w:rFonts w:ascii="Arial" w:hAnsi="Arial" w:cs="Arial"/>
          <w:sz w:val="17"/>
          <w:szCs w:val="17"/>
        </w:rPr>
        <w:endnoteRef/>
      </w:r>
      <w:r w:rsidRPr="00CB4025">
        <w:rPr>
          <w:rFonts w:ascii="Arial" w:hAnsi="Arial" w:cs="Arial"/>
          <w:sz w:val="17"/>
          <w:szCs w:val="17"/>
        </w:rPr>
        <w:t xml:space="preserve"> Lisa Bradley and Rachel Parker,” Organisational Culture in the Public Sector: Evidence from Six Organisations,” </w:t>
      </w:r>
      <w:r w:rsidRPr="00CB4025">
        <w:rPr>
          <w:rFonts w:ascii="Arial" w:hAnsi="Arial" w:cs="Arial"/>
          <w:i/>
          <w:sz w:val="17"/>
          <w:szCs w:val="17"/>
        </w:rPr>
        <w:t>International Journal of Public Sector Management</w:t>
      </w:r>
      <w:r w:rsidRPr="00CB4025">
        <w:rPr>
          <w:rFonts w:ascii="Arial" w:hAnsi="Arial" w:cs="Arial"/>
          <w:sz w:val="17"/>
          <w:szCs w:val="17"/>
        </w:rPr>
        <w:t xml:space="preserve"> 13, no.2 (2000): 125</w:t>
      </w:r>
      <w:r>
        <w:rPr>
          <w:rFonts w:ascii="Arial" w:hAnsi="Arial" w:cs="Arial"/>
          <w:sz w:val="17"/>
          <w:szCs w:val="17"/>
        </w:rPr>
        <w:t>–</w:t>
      </w:r>
      <w:r w:rsidRPr="00CB4025">
        <w:rPr>
          <w:rFonts w:ascii="Arial" w:hAnsi="Arial" w:cs="Arial"/>
          <w:sz w:val="17"/>
          <w:szCs w:val="17"/>
        </w:rPr>
        <w:t>141.</w:t>
      </w:r>
      <w:r>
        <w:rPr>
          <w:rFonts w:ascii="Arial" w:hAnsi="Arial" w:cs="Arial"/>
          <w:sz w:val="17"/>
          <w:szCs w:val="17"/>
        </w:rPr>
        <w:t xml:space="preserve"> </w:t>
      </w:r>
      <w:r w:rsidRPr="000C0B3A">
        <w:rPr>
          <w:rFonts w:ascii="Arial" w:hAnsi="Arial" w:cs="Arial"/>
          <w:sz w:val="17"/>
          <w:szCs w:val="17"/>
        </w:rPr>
        <w:t>doi:10.1108/09513550010338773</w:t>
      </w:r>
      <w:r>
        <w:rPr>
          <w:rFonts w:ascii="Arial" w:hAnsi="Arial" w:cs="Arial"/>
          <w:sz w:val="17"/>
          <w:szCs w:val="17"/>
        </w:rPr>
        <w:t>.</w:t>
      </w:r>
    </w:p>
  </w:endnote>
  <w:endnote w:id="30">
    <w:p w14:paraId="62D0699C" w14:textId="7634A8A6" w:rsidR="005065E0" w:rsidRPr="00CB4025" w:rsidRDefault="005065E0" w:rsidP="00D759DA">
      <w:pPr>
        <w:pStyle w:val="FootnoteText"/>
        <w:jc w:val="both"/>
        <w:rPr>
          <w:rFonts w:ascii="Arial" w:hAnsi="Arial" w:cs="Arial"/>
          <w:b/>
          <w:sz w:val="17"/>
          <w:szCs w:val="17"/>
        </w:rPr>
      </w:pPr>
      <w:r w:rsidRPr="00CB4025">
        <w:rPr>
          <w:rStyle w:val="FootnoteReference"/>
          <w:rFonts w:ascii="Arial" w:hAnsi="Arial" w:cs="Arial"/>
          <w:sz w:val="17"/>
          <w:szCs w:val="17"/>
        </w:rPr>
        <w:endnoteRef/>
      </w:r>
      <w:r w:rsidRPr="00CB4025">
        <w:rPr>
          <w:rFonts w:ascii="Arial" w:hAnsi="Arial" w:cs="Arial"/>
          <w:sz w:val="17"/>
          <w:szCs w:val="17"/>
        </w:rPr>
        <w:t xml:space="preserve"> Rosabeth Moss Kanter, “Leadership and the Psychology of Turnarounds,” </w:t>
      </w:r>
      <w:r w:rsidRPr="00CB4025">
        <w:rPr>
          <w:rFonts w:ascii="Arial" w:hAnsi="Arial" w:cs="Arial"/>
          <w:i/>
          <w:sz w:val="17"/>
          <w:szCs w:val="17"/>
        </w:rPr>
        <w:t>Harvard Business Review</w:t>
      </w:r>
      <w:r w:rsidRPr="00CB4025">
        <w:rPr>
          <w:rFonts w:ascii="Arial" w:hAnsi="Arial" w:cs="Arial"/>
          <w:sz w:val="17"/>
          <w:szCs w:val="17"/>
        </w:rPr>
        <w:t xml:space="preserve"> 81, no. 6 (2003): 58</w:t>
      </w:r>
      <w:r>
        <w:rPr>
          <w:rFonts w:ascii="Arial" w:hAnsi="Arial" w:cs="Arial"/>
          <w:sz w:val="17"/>
          <w:szCs w:val="17"/>
        </w:rPr>
        <w:t>–</w:t>
      </w:r>
      <w:r w:rsidRPr="00CB4025">
        <w:rPr>
          <w:rFonts w:ascii="Arial" w:hAnsi="Arial" w:cs="Arial"/>
          <w:sz w:val="17"/>
          <w:szCs w:val="17"/>
        </w:rPr>
        <w:t xml:space="preserve">67. Available from Ivey Publishing, product no. </w:t>
      </w:r>
      <w:r w:rsidRPr="008C32E2">
        <w:rPr>
          <w:rFonts w:ascii="Arial" w:hAnsi="Arial" w:cs="Arial"/>
          <w:sz w:val="17"/>
          <w:szCs w:val="17"/>
        </w:rPr>
        <w:t>R0306C</w:t>
      </w:r>
      <w:r w:rsidRPr="00CB4025">
        <w:rPr>
          <w:rFonts w:ascii="Arial" w:hAnsi="Arial" w:cs="Arial"/>
          <w:sz w:val="17"/>
          <w:szCs w:val="17"/>
        </w:rPr>
        <w:t>.</w:t>
      </w:r>
    </w:p>
  </w:endnote>
  <w:endnote w:id="31">
    <w:p w14:paraId="70708187" w14:textId="74080F0A" w:rsidR="005065E0" w:rsidRPr="00CB4025" w:rsidRDefault="005065E0" w:rsidP="00D759DA">
      <w:pPr>
        <w:pStyle w:val="EndnoteText"/>
        <w:rPr>
          <w:rFonts w:ascii="Arial" w:hAnsi="Arial" w:cs="Arial"/>
          <w:sz w:val="17"/>
          <w:szCs w:val="17"/>
        </w:rPr>
      </w:pPr>
      <w:r w:rsidRPr="00CB4025">
        <w:rPr>
          <w:rStyle w:val="EndnoteReference"/>
          <w:rFonts w:ascii="Arial" w:hAnsi="Arial" w:cs="Arial"/>
          <w:sz w:val="17"/>
          <w:szCs w:val="17"/>
        </w:rPr>
        <w:endnoteRef/>
      </w:r>
      <w:r w:rsidRPr="00CB4025">
        <w:rPr>
          <w:rFonts w:ascii="Arial" w:hAnsi="Arial" w:cs="Arial"/>
          <w:sz w:val="17"/>
          <w:szCs w:val="17"/>
        </w:rPr>
        <w:t xml:space="preserve"> </w:t>
      </w:r>
      <w:r>
        <w:rPr>
          <w:rFonts w:ascii="Arial" w:hAnsi="Arial" w:cs="Arial"/>
          <w:sz w:val="17"/>
          <w:szCs w:val="17"/>
        </w:rPr>
        <w:t xml:space="preserve">Bindu Krishnan, “What One Man can Do!,” </w:t>
      </w:r>
      <w:r w:rsidRPr="000C0B3A">
        <w:rPr>
          <w:rFonts w:ascii="Arial" w:hAnsi="Arial" w:cs="Arial"/>
          <w:sz w:val="17"/>
          <w:szCs w:val="17"/>
        </w:rPr>
        <w:t>90rollsroyces (blog), February 19, 2016, accessed April 26, 2017,</w:t>
      </w:r>
      <w:r>
        <w:rPr>
          <w:rFonts w:ascii="Arial" w:hAnsi="Arial" w:cs="Arial"/>
          <w:sz w:val="17"/>
          <w:szCs w:val="17"/>
        </w:rPr>
        <w:t xml:space="preserve"> </w:t>
      </w:r>
      <w:r w:rsidRPr="00CB4025">
        <w:rPr>
          <w:rFonts w:ascii="Arial" w:hAnsi="Arial" w:cs="Arial"/>
          <w:sz w:val="17"/>
          <w:szCs w:val="17"/>
        </w:rPr>
        <w:t>https://90rollsroyces.com/2016/02/19/what-one-man-can-do/</w:t>
      </w:r>
      <w:r>
        <w:rPr>
          <w:rFonts w:ascii="Arial" w:hAnsi="Arial" w:cs="Arial"/>
          <w:sz w:val="17"/>
          <w:szCs w:val="17"/>
        </w:rPr>
        <w:t>.</w:t>
      </w:r>
    </w:p>
  </w:endnote>
  <w:endnote w:id="32">
    <w:p w14:paraId="2725FB8D" w14:textId="77777777" w:rsidR="00775B8F" w:rsidRPr="00CB4025" w:rsidRDefault="00775B8F" w:rsidP="00D759DA">
      <w:pPr>
        <w:pStyle w:val="EndnoteText"/>
        <w:jc w:val="both"/>
        <w:rPr>
          <w:rFonts w:ascii="Arial" w:hAnsi="Arial" w:cs="Arial"/>
          <w:sz w:val="17"/>
          <w:szCs w:val="17"/>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1C046" w14:textId="77777777" w:rsidR="005065E0" w:rsidRDefault="005065E0" w:rsidP="00D75295">
      <w:r>
        <w:separator/>
      </w:r>
    </w:p>
  </w:footnote>
  <w:footnote w:type="continuationSeparator" w:id="0">
    <w:p w14:paraId="74D12445" w14:textId="77777777" w:rsidR="005065E0" w:rsidRDefault="005065E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FB81" w14:textId="19D39F95" w:rsidR="005065E0" w:rsidRDefault="005065E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75B8F">
      <w:rPr>
        <w:rFonts w:ascii="Arial" w:hAnsi="Arial"/>
        <w:b/>
        <w:noProof/>
      </w:rPr>
      <w:t>16</w:t>
    </w:r>
    <w:r>
      <w:rPr>
        <w:rFonts w:ascii="Arial" w:hAnsi="Arial"/>
        <w:b/>
      </w:rPr>
      <w:fldChar w:fldCharType="end"/>
    </w:r>
    <w:r>
      <w:rPr>
        <w:rFonts w:ascii="Arial" w:hAnsi="Arial"/>
        <w:b/>
      </w:rPr>
      <w:tab/>
      <w:t>9B17M091</w:t>
    </w:r>
  </w:p>
  <w:p w14:paraId="32EC7B73" w14:textId="77777777" w:rsidR="005065E0" w:rsidRPr="00C92CC4" w:rsidRDefault="005065E0">
    <w:pPr>
      <w:pStyle w:val="Header"/>
      <w:rPr>
        <w:sz w:val="18"/>
        <w:szCs w:val="18"/>
      </w:rPr>
    </w:pPr>
  </w:p>
  <w:p w14:paraId="3548C0B9" w14:textId="77777777" w:rsidR="005065E0" w:rsidRPr="00C92CC4" w:rsidRDefault="005065E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A3793"/>
    <w:multiLevelType w:val="hybridMultilevel"/>
    <w:tmpl w:val="D19A9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2C85CFD"/>
    <w:multiLevelType w:val="hybridMultilevel"/>
    <w:tmpl w:val="D3D2D23C"/>
    <w:lvl w:ilvl="0" w:tplc="E126FD4C">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156178"/>
    <w:multiLevelType w:val="hybridMultilevel"/>
    <w:tmpl w:val="E1F6566E"/>
    <w:lvl w:ilvl="0" w:tplc="85581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9D7B6F"/>
    <w:multiLevelType w:val="multilevel"/>
    <w:tmpl w:val="68249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C24EA0"/>
    <w:multiLevelType w:val="hybridMultilevel"/>
    <w:tmpl w:val="3C3E8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EF7C1C"/>
    <w:multiLevelType w:val="hybridMultilevel"/>
    <w:tmpl w:val="3BE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148213E"/>
    <w:multiLevelType w:val="hybridMultilevel"/>
    <w:tmpl w:val="DA347E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667273C"/>
    <w:multiLevelType w:val="hybridMultilevel"/>
    <w:tmpl w:val="C1404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530828A7"/>
    <w:multiLevelType w:val="multilevel"/>
    <w:tmpl w:val="6D7A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59445416"/>
    <w:multiLevelType w:val="hybridMultilevel"/>
    <w:tmpl w:val="F76EDE20"/>
    <w:lvl w:ilvl="0" w:tplc="7D92E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2006E8D"/>
    <w:multiLevelType w:val="hybridMultilevel"/>
    <w:tmpl w:val="574A14F4"/>
    <w:lvl w:ilvl="0" w:tplc="72D49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66D25A9C"/>
    <w:multiLevelType w:val="hybridMultilevel"/>
    <w:tmpl w:val="8EB2DEF2"/>
    <w:lvl w:ilvl="0" w:tplc="AB4C23B0">
      <w:start w:val="3"/>
      <w:numFmt w:val="bullet"/>
      <w:lvlText w:val="-"/>
      <w:lvlJc w:val="left"/>
      <w:pPr>
        <w:ind w:left="1665" w:hanging="360"/>
      </w:pPr>
      <w:rPr>
        <w:rFonts w:ascii="Verdana" w:eastAsiaTheme="minorHAnsi" w:hAnsi="Verdana" w:cstheme="minorBid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5" w15:restartNumberingAfterBreak="0">
    <w:nsid w:val="679F01F0"/>
    <w:multiLevelType w:val="multilevel"/>
    <w:tmpl w:val="EFEA73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71017C56"/>
    <w:multiLevelType w:val="hybridMultilevel"/>
    <w:tmpl w:val="793090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94F12E7"/>
    <w:multiLevelType w:val="hybridMultilevel"/>
    <w:tmpl w:val="C53E8C1E"/>
    <w:lvl w:ilvl="0" w:tplc="E65AA664">
      <w:start w:val="3"/>
      <w:numFmt w:val="bullet"/>
      <w:lvlText w:val="-"/>
      <w:lvlJc w:val="left"/>
      <w:pPr>
        <w:ind w:left="1500" w:hanging="360"/>
      </w:pPr>
      <w:rPr>
        <w:rFonts w:ascii="Verdana" w:eastAsiaTheme="minorHAnsi" w:hAnsi="Verdana"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6"/>
  </w:num>
  <w:num w:numId="13">
    <w:abstractNumId w:val="15"/>
  </w:num>
  <w:num w:numId="14">
    <w:abstractNumId w:val="28"/>
  </w:num>
  <w:num w:numId="15">
    <w:abstractNumId w:val="29"/>
  </w:num>
  <w:num w:numId="16">
    <w:abstractNumId w:val="31"/>
  </w:num>
  <w:num w:numId="17">
    <w:abstractNumId w:val="19"/>
  </w:num>
  <w:num w:numId="18">
    <w:abstractNumId w:val="33"/>
  </w:num>
  <w:num w:numId="19">
    <w:abstractNumId w:val="14"/>
  </w:num>
  <w:num w:numId="20">
    <w:abstractNumId w:val="13"/>
  </w:num>
  <w:num w:numId="21">
    <w:abstractNumId w:val="37"/>
  </w:num>
  <w:num w:numId="22">
    <w:abstractNumId w:val="24"/>
  </w:num>
  <w:num w:numId="23">
    <w:abstractNumId w:val="3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2"/>
  </w:num>
  <w:num w:numId="28">
    <w:abstractNumId w:val="17"/>
  </w:num>
  <w:num w:numId="29">
    <w:abstractNumId w:val="35"/>
  </w:num>
  <w:num w:numId="30">
    <w:abstractNumId w:val="27"/>
  </w:num>
  <w:num w:numId="31">
    <w:abstractNumId w:val="20"/>
  </w:num>
  <w:num w:numId="32">
    <w:abstractNumId w:val="23"/>
  </w:num>
  <w:num w:numId="33">
    <w:abstractNumId w:val="36"/>
  </w:num>
  <w:num w:numId="34">
    <w:abstractNumId w:val="11"/>
  </w:num>
  <w:num w:numId="35">
    <w:abstractNumId w:val="10"/>
  </w:num>
  <w:num w:numId="36">
    <w:abstractNumId w:val="12"/>
  </w:num>
  <w:num w:numId="37">
    <w:abstractNumId w:val="32"/>
  </w:num>
  <w:num w:numId="38">
    <w:abstractNumId w:val="30"/>
  </w:num>
  <w:num w:numId="39">
    <w:abstractNumId w:val="38"/>
  </w:num>
  <w:num w:numId="40">
    <w:abstractNumId w:val="34"/>
  </w:num>
  <w:num w:numId="41">
    <w:abstractNumId w:val="25"/>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65D"/>
    <w:rsid w:val="0000085A"/>
    <w:rsid w:val="00004258"/>
    <w:rsid w:val="00013360"/>
    <w:rsid w:val="00015178"/>
    <w:rsid w:val="0002038A"/>
    <w:rsid w:val="000216CE"/>
    <w:rsid w:val="00021FF7"/>
    <w:rsid w:val="00022F79"/>
    <w:rsid w:val="00025DC7"/>
    <w:rsid w:val="00026193"/>
    <w:rsid w:val="00026486"/>
    <w:rsid w:val="00033016"/>
    <w:rsid w:val="000342AA"/>
    <w:rsid w:val="00040219"/>
    <w:rsid w:val="00044ECC"/>
    <w:rsid w:val="000531D3"/>
    <w:rsid w:val="0005646B"/>
    <w:rsid w:val="00057C3E"/>
    <w:rsid w:val="000765D6"/>
    <w:rsid w:val="0008102D"/>
    <w:rsid w:val="00085FD8"/>
    <w:rsid w:val="00094C0E"/>
    <w:rsid w:val="000A1025"/>
    <w:rsid w:val="000B5C44"/>
    <w:rsid w:val="000B72D9"/>
    <w:rsid w:val="000C0B3A"/>
    <w:rsid w:val="000C22F0"/>
    <w:rsid w:val="000D4BEC"/>
    <w:rsid w:val="000D7D7E"/>
    <w:rsid w:val="000F0C22"/>
    <w:rsid w:val="000F6B09"/>
    <w:rsid w:val="000F6FDC"/>
    <w:rsid w:val="00104567"/>
    <w:rsid w:val="00120B50"/>
    <w:rsid w:val="0012732D"/>
    <w:rsid w:val="0013308E"/>
    <w:rsid w:val="00154FC9"/>
    <w:rsid w:val="00162BA0"/>
    <w:rsid w:val="001710F4"/>
    <w:rsid w:val="001732FE"/>
    <w:rsid w:val="0019116A"/>
    <w:rsid w:val="0019241A"/>
    <w:rsid w:val="001A5335"/>
    <w:rsid w:val="001A63F2"/>
    <w:rsid w:val="001A752D"/>
    <w:rsid w:val="001C3912"/>
    <w:rsid w:val="001D749E"/>
    <w:rsid w:val="001E18A9"/>
    <w:rsid w:val="001E4A16"/>
    <w:rsid w:val="001E4E00"/>
    <w:rsid w:val="001F721B"/>
    <w:rsid w:val="00203A4D"/>
    <w:rsid w:val="00203AA1"/>
    <w:rsid w:val="00213E98"/>
    <w:rsid w:val="00230795"/>
    <w:rsid w:val="00251688"/>
    <w:rsid w:val="00252CAF"/>
    <w:rsid w:val="00270D3E"/>
    <w:rsid w:val="0027680A"/>
    <w:rsid w:val="002A3224"/>
    <w:rsid w:val="002B3CD1"/>
    <w:rsid w:val="002D0252"/>
    <w:rsid w:val="002D1ABB"/>
    <w:rsid w:val="002E32F0"/>
    <w:rsid w:val="002F460C"/>
    <w:rsid w:val="002F48D6"/>
    <w:rsid w:val="00335D96"/>
    <w:rsid w:val="003411F3"/>
    <w:rsid w:val="00354899"/>
    <w:rsid w:val="003553E4"/>
    <w:rsid w:val="00355FD6"/>
    <w:rsid w:val="00361C8E"/>
    <w:rsid w:val="00364A5C"/>
    <w:rsid w:val="00367AA7"/>
    <w:rsid w:val="003705A1"/>
    <w:rsid w:val="00373FB1"/>
    <w:rsid w:val="003869FE"/>
    <w:rsid w:val="0039423C"/>
    <w:rsid w:val="003954B4"/>
    <w:rsid w:val="003B30D8"/>
    <w:rsid w:val="003B3D71"/>
    <w:rsid w:val="003B7D14"/>
    <w:rsid w:val="003B7EF2"/>
    <w:rsid w:val="003C3FA4"/>
    <w:rsid w:val="003D5AB5"/>
    <w:rsid w:val="003E75D7"/>
    <w:rsid w:val="003F2B0C"/>
    <w:rsid w:val="003F3284"/>
    <w:rsid w:val="003F4F77"/>
    <w:rsid w:val="004221E4"/>
    <w:rsid w:val="00423C08"/>
    <w:rsid w:val="00436115"/>
    <w:rsid w:val="004434AC"/>
    <w:rsid w:val="00444601"/>
    <w:rsid w:val="00457805"/>
    <w:rsid w:val="00461262"/>
    <w:rsid w:val="0046191A"/>
    <w:rsid w:val="00463D4F"/>
    <w:rsid w:val="00471088"/>
    <w:rsid w:val="00471732"/>
    <w:rsid w:val="00471929"/>
    <w:rsid w:val="00483AF9"/>
    <w:rsid w:val="004B1CCB"/>
    <w:rsid w:val="004B6BAC"/>
    <w:rsid w:val="004D73A5"/>
    <w:rsid w:val="004E264B"/>
    <w:rsid w:val="004F2ED9"/>
    <w:rsid w:val="004F40C4"/>
    <w:rsid w:val="004F4F6E"/>
    <w:rsid w:val="004F608A"/>
    <w:rsid w:val="004F6FFC"/>
    <w:rsid w:val="005035A0"/>
    <w:rsid w:val="005065E0"/>
    <w:rsid w:val="00532CF5"/>
    <w:rsid w:val="00537576"/>
    <w:rsid w:val="005528CB"/>
    <w:rsid w:val="005602A5"/>
    <w:rsid w:val="00564F4C"/>
    <w:rsid w:val="00566771"/>
    <w:rsid w:val="00575976"/>
    <w:rsid w:val="00581E2E"/>
    <w:rsid w:val="00584F15"/>
    <w:rsid w:val="005870DE"/>
    <w:rsid w:val="00587531"/>
    <w:rsid w:val="005932D6"/>
    <w:rsid w:val="005A1C30"/>
    <w:rsid w:val="005A5AE7"/>
    <w:rsid w:val="005E0218"/>
    <w:rsid w:val="005E4D63"/>
    <w:rsid w:val="005E769F"/>
    <w:rsid w:val="005F2EAA"/>
    <w:rsid w:val="00613AE0"/>
    <w:rsid w:val="006163F7"/>
    <w:rsid w:val="00652606"/>
    <w:rsid w:val="00657727"/>
    <w:rsid w:val="006601F7"/>
    <w:rsid w:val="006777F8"/>
    <w:rsid w:val="00682754"/>
    <w:rsid w:val="006941AC"/>
    <w:rsid w:val="006A58A9"/>
    <w:rsid w:val="006A606D"/>
    <w:rsid w:val="006A7B4B"/>
    <w:rsid w:val="006B7F7A"/>
    <w:rsid w:val="006C0371"/>
    <w:rsid w:val="006C08B6"/>
    <w:rsid w:val="006C0B1A"/>
    <w:rsid w:val="006C4384"/>
    <w:rsid w:val="006C4E55"/>
    <w:rsid w:val="006C6065"/>
    <w:rsid w:val="006C7F9F"/>
    <w:rsid w:val="006D53E0"/>
    <w:rsid w:val="006E2F6D"/>
    <w:rsid w:val="006E58F6"/>
    <w:rsid w:val="006E77E1"/>
    <w:rsid w:val="006F131D"/>
    <w:rsid w:val="006F1D9E"/>
    <w:rsid w:val="007106B4"/>
    <w:rsid w:val="00710F7A"/>
    <w:rsid w:val="007110FF"/>
    <w:rsid w:val="0072262D"/>
    <w:rsid w:val="00730812"/>
    <w:rsid w:val="00741BD5"/>
    <w:rsid w:val="0074752B"/>
    <w:rsid w:val="00751EF7"/>
    <w:rsid w:val="00752BCD"/>
    <w:rsid w:val="00757FDD"/>
    <w:rsid w:val="00764856"/>
    <w:rsid w:val="00766DA1"/>
    <w:rsid w:val="00775B8F"/>
    <w:rsid w:val="007866A6"/>
    <w:rsid w:val="00791FB7"/>
    <w:rsid w:val="007A130D"/>
    <w:rsid w:val="007C7AED"/>
    <w:rsid w:val="007D4102"/>
    <w:rsid w:val="007D5348"/>
    <w:rsid w:val="007E5921"/>
    <w:rsid w:val="00821FFC"/>
    <w:rsid w:val="008271CA"/>
    <w:rsid w:val="00834633"/>
    <w:rsid w:val="00842BFA"/>
    <w:rsid w:val="008467D5"/>
    <w:rsid w:val="00856D9F"/>
    <w:rsid w:val="00866283"/>
    <w:rsid w:val="00866F6D"/>
    <w:rsid w:val="0089127A"/>
    <w:rsid w:val="008A4DC4"/>
    <w:rsid w:val="008A5BC8"/>
    <w:rsid w:val="008B7724"/>
    <w:rsid w:val="008C1ED2"/>
    <w:rsid w:val="008C32E2"/>
    <w:rsid w:val="008C7C9A"/>
    <w:rsid w:val="008D16E4"/>
    <w:rsid w:val="008E3ECF"/>
    <w:rsid w:val="009067A4"/>
    <w:rsid w:val="0090722E"/>
    <w:rsid w:val="00912926"/>
    <w:rsid w:val="00917827"/>
    <w:rsid w:val="00920344"/>
    <w:rsid w:val="00932528"/>
    <w:rsid w:val="009340DB"/>
    <w:rsid w:val="0093483E"/>
    <w:rsid w:val="0094298E"/>
    <w:rsid w:val="00944D15"/>
    <w:rsid w:val="00945F9E"/>
    <w:rsid w:val="00946A09"/>
    <w:rsid w:val="00954C9B"/>
    <w:rsid w:val="00964C66"/>
    <w:rsid w:val="00972498"/>
    <w:rsid w:val="00974CC6"/>
    <w:rsid w:val="00976AD4"/>
    <w:rsid w:val="009A312F"/>
    <w:rsid w:val="009A5348"/>
    <w:rsid w:val="009A67BB"/>
    <w:rsid w:val="009C76D5"/>
    <w:rsid w:val="009E6C2F"/>
    <w:rsid w:val="009F7775"/>
    <w:rsid w:val="009F7AA4"/>
    <w:rsid w:val="00A03929"/>
    <w:rsid w:val="00A145DC"/>
    <w:rsid w:val="00A22B77"/>
    <w:rsid w:val="00A359C4"/>
    <w:rsid w:val="00A430C8"/>
    <w:rsid w:val="00A503E1"/>
    <w:rsid w:val="00A559DB"/>
    <w:rsid w:val="00A849D6"/>
    <w:rsid w:val="00A90913"/>
    <w:rsid w:val="00AA3C9D"/>
    <w:rsid w:val="00AB7ACB"/>
    <w:rsid w:val="00AE60AC"/>
    <w:rsid w:val="00AF35FC"/>
    <w:rsid w:val="00AF3D7D"/>
    <w:rsid w:val="00B03639"/>
    <w:rsid w:val="00B04762"/>
    <w:rsid w:val="00B0652A"/>
    <w:rsid w:val="00B339C0"/>
    <w:rsid w:val="00B3757D"/>
    <w:rsid w:val="00B40937"/>
    <w:rsid w:val="00B423EF"/>
    <w:rsid w:val="00B453DE"/>
    <w:rsid w:val="00B458B0"/>
    <w:rsid w:val="00B4742F"/>
    <w:rsid w:val="00B55A81"/>
    <w:rsid w:val="00B55E0C"/>
    <w:rsid w:val="00B55EBD"/>
    <w:rsid w:val="00B67A22"/>
    <w:rsid w:val="00B901F9"/>
    <w:rsid w:val="00B91566"/>
    <w:rsid w:val="00BA3574"/>
    <w:rsid w:val="00BA3719"/>
    <w:rsid w:val="00BB061E"/>
    <w:rsid w:val="00BB2D70"/>
    <w:rsid w:val="00BB3327"/>
    <w:rsid w:val="00BC06DC"/>
    <w:rsid w:val="00BD138A"/>
    <w:rsid w:val="00BD6EFB"/>
    <w:rsid w:val="00BE1278"/>
    <w:rsid w:val="00BE66DB"/>
    <w:rsid w:val="00C0177D"/>
    <w:rsid w:val="00C14D7C"/>
    <w:rsid w:val="00C15BE2"/>
    <w:rsid w:val="00C15D45"/>
    <w:rsid w:val="00C22219"/>
    <w:rsid w:val="00C3447F"/>
    <w:rsid w:val="00C46273"/>
    <w:rsid w:val="00C538DB"/>
    <w:rsid w:val="00C81491"/>
    <w:rsid w:val="00C81676"/>
    <w:rsid w:val="00C85615"/>
    <w:rsid w:val="00C91E34"/>
    <w:rsid w:val="00C92CC4"/>
    <w:rsid w:val="00CA0AFB"/>
    <w:rsid w:val="00CA2CE1"/>
    <w:rsid w:val="00CA2F11"/>
    <w:rsid w:val="00CA3976"/>
    <w:rsid w:val="00CA757B"/>
    <w:rsid w:val="00CB3FA4"/>
    <w:rsid w:val="00CB4025"/>
    <w:rsid w:val="00CB6B09"/>
    <w:rsid w:val="00CC0800"/>
    <w:rsid w:val="00CC1787"/>
    <w:rsid w:val="00CC182C"/>
    <w:rsid w:val="00CD0824"/>
    <w:rsid w:val="00CD2908"/>
    <w:rsid w:val="00CE2024"/>
    <w:rsid w:val="00CE5C39"/>
    <w:rsid w:val="00D03A82"/>
    <w:rsid w:val="00D049B2"/>
    <w:rsid w:val="00D1156A"/>
    <w:rsid w:val="00D12BE8"/>
    <w:rsid w:val="00D15344"/>
    <w:rsid w:val="00D27B94"/>
    <w:rsid w:val="00D30D30"/>
    <w:rsid w:val="00D31BEC"/>
    <w:rsid w:val="00D418F0"/>
    <w:rsid w:val="00D4240F"/>
    <w:rsid w:val="00D47864"/>
    <w:rsid w:val="00D56E5F"/>
    <w:rsid w:val="00D62FFF"/>
    <w:rsid w:val="00D63150"/>
    <w:rsid w:val="00D64A32"/>
    <w:rsid w:val="00D64EFC"/>
    <w:rsid w:val="00D65AE2"/>
    <w:rsid w:val="00D75295"/>
    <w:rsid w:val="00D759DA"/>
    <w:rsid w:val="00D76CE9"/>
    <w:rsid w:val="00D81466"/>
    <w:rsid w:val="00D859DE"/>
    <w:rsid w:val="00D97F12"/>
    <w:rsid w:val="00DA6699"/>
    <w:rsid w:val="00DB003C"/>
    <w:rsid w:val="00DB38C2"/>
    <w:rsid w:val="00DB42E7"/>
    <w:rsid w:val="00DC0291"/>
    <w:rsid w:val="00DC15D4"/>
    <w:rsid w:val="00DC427B"/>
    <w:rsid w:val="00DD4246"/>
    <w:rsid w:val="00DD47F1"/>
    <w:rsid w:val="00DF0C9E"/>
    <w:rsid w:val="00DF32C2"/>
    <w:rsid w:val="00DF3FCC"/>
    <w:rsid w:val="00DF77A7"/>
    <w:rsid w:val="00E01CBB"/>
    <w:rsid w:val="00E17DF1"/>
    <w:rsid w:val="00E2493F"/>
    <w:rsid w:val="00E267D3"/>
    <w:rsid w:val="00E433EA"/>
    <w:rsid w:val="00E471A7"/>
    <w:rsid w:val="00E635CF"/>
    <w:rsid w:val="00E6487D"/>
    <w:rsid w:val="00EA49C0"/>
    <w:rsid w:val="00EA75AE"/>
    <w:rsid w:val="00EB376F"/>
    <w:rsid w:val="00EB5410"/>
    <w:rsid w:val="00EC6E0A"/>
    <w:rsid w:val="00ED4E18"/>
    <w:rsid w:val="00ED5540"/>
    <w:rsid w:val="00ED6C77"/>
    <w:rsid w:val="00EE0006"/>
    <w:rsid w:val="00EE1F37"/>
    <w:rsid w:val="00F0159C"/>
    <w:rsid w:val="00F105B7"/>
    <w:rsid w:val="00F17A21"/>
    <w:rsid w:val="00F50E91"/>
    <w:rsid w:val="00F57D29"/>
    <w:rsid w:val="00F61D4B"/>
    <w:rsid w:val="00F6658C"/>
    <w:rsid w:val="00F92A99"/>
    <w:rsid w:val="00F96201"/>
    <w:rsid w:val="00FB17EB"/>
    <w:rsid w:val="00FB2C3E"/>
    <w:rsid w:val="00FC30E9"/>
    <w:rsid w:val="00FD0B18"/>
    <w:rsid w:val="00FD0F82"/>
    <w:rsid w:val="00FE714F"/>
    <w:rsid w:val="00FF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C1C2740"/>
  <w15:docId w15:val="{4985D901-1F9C-4D9C-A93A-2815194C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FollowedHyperlink">
    <w:name w:val="FollowedHyperlink"/>
    <w:basedOn w:val="DefaultParagraphFont"/>
    <w:uiPriority w:val="99"/>
    <w:semiHidden/>
    <w:unhideWhenUsed/>
    <w:rsid w:val="00D759DA"/>
    <w:rPr>
      <w:color w:val="800080" w:themeColor="followedHyperlink"/>
      <w:u w:val="single"/>
    </w:rPr>
  </w:style>
  <w:style w:type="character" w:styleId="PageNumber">
    <w:name w:val="page number"/>
    <w:basedOn w:val="DefaultParagraphFont"/>
    <w:uiPriority w:val="99"/>
    <w:semiHidden/>
    <w:unhideWhenUsed/>
    <w:rsid w:val="00D759DA"/>
  </w:style>
  <w:style w:type="paragraph" w:styleId="NoSpacing">
    <w:name w:val="No Spacing"/>
    <w:uiPriority w:val="1"/>
    <w:qFormat/>
    <w:rsid w:val="00D75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3B17C42-5D1E-4AC4-836B-2A6CE6877C5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9D9361E-67CD-4A91-8CB8-A92FADD91E5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4092B-36A5-4F3D-9353-1A5290E7F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5890</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2017-04-06T19:45:00Z</cp:lastPrinted>
  <dcterms:created xsi:type="dcterms:W3CDTF">2017-06-12T17:53:00Z</dcterms:created>
  <dcterms:modified xsi:type="dcterms:W3CDTF">2017-06-13T15:44:00Z</dcterms:modified>
</cp:coreProperties>
</file>