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592"/>
      </w:tblGrid>
      <w:tr w:rsidR="00DF45FD" w:rsidRPr="004817BF" w14:paraId="0EC6C93C" w14:textId="77777777" w:rsidTr="00E037E9">
        <w:tc>
          <w:tcPr>
            <w:tcW w:w="4788" w:type="dxa"/>
          </w:tcPr>
          <w:p w14:paraId="06B5850A" w14:textId="77777777" w:rsidR="00DF45FD" w:rsidRPr="004817BF" w:rsidRDefault="00DF45FD" w:rsidP="00E037E9">
            <w:pPr>
              <w:tabs>
                <w:tab w:val="left" w:pos="-1440"/>
                <w:tab w:val="left" w:pos="-720"/>
                <w:tab w:val="left" w:pos="1"/>
              </w:tabs>
              <w:jc w:val="both"/>
              <w:rPr>
                <w:rFonts w:ascii="Arial" w:hAnsi="Arial"/>
                <w:b/>
                <w:sz w:val="24"/>
                <w:lang w:val="en-GB"/>
              </w:rPr>
            </w:pPr>
            <w:r w:rsidRPr="004817BF">
              <w:rPr>
                <w:rFonts w:ascii="Arial" w:hAnsi="Arial"/>
                <w:b/>
                <w:noProof/>
                <w:sz w:val="24"/>
                <w:lang w:val="en-GB" w:eastAsia="en-GB"/>
              </w:rPr>
              <w:drawing>
                <wp:inline distT="0" distB="0" distL="0" distR="0" wp14:anchorId="7B22B093" wp14:editId="7CDCF6ED">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CBD8C92" w14:textId="6A31D2E4" w:rsidR="00DF45FD" w:rsidRPr="004817BF" w:rsidRDefault="00DF45FD" w:rsidP="00E037E9">
            <w:pPr>
              <w:tabs>
                <w:tab w:val="left" w:pos="-1440"/>
                <w:tab w:val="left" w:pos="-720"/>
                <w:tab w:val="left" w:pos="1"/>
              </w:tabs>
              <w:jc w:val="both"/>
              <w:rPr>
                <w:rFonts w:ascii="Arial" w:hAnsi="Arial"/>
                <w:b/>
                <w:sz w:val="24"/>
                <w:lang w:val="en-GB"/>
              </w:rPr>
            </w:pPr>
            <w:bookmarkStart w:id="0" w:name="_GoBack"/>
            <w:bookmarkEnd w:id="0"/>
          </w:p>
        </w:tc>
      </w:tr>
    </w:tbl>
    <w:p w14:paraId="5F92E157" w14:textId="77777777" w:rsidR="00856D9F" w:rsidRPr="004817BF"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0DBAF22" w14:textId="5282ADC8" w:rsidR="00D75295" w:rsidRPr="004817BF" w:rsidRDefault="00DF45FD" w:rsidP="00F105B7">
      <w:pPr>
        <w:pStyle w:val="ProductNumber"/>
        <w:rPr>
          <w:lang w:val="en-GB"/>
        </w:rPr>
      </w:pPr>
      <w:r w:rsidRPr="004817BF">
        <w:rPr>
          <w:lang w:val="en-GB"/>
        </w:rPr>
        <w:t>9B17M</w:t>
      </w:r>
      <w:r w:rsidR="00FD52C4">
        <w:rPr>
          <w:lang w:val="en-GB"/>
        </w:rPr>
        <w:t>097</w:t>
      </w:r>
    </w:p>
    <w:p w14:paraId="26DA6DBD" w14:textId="77777777" w:rsidR="00D75295" w:rsidRPr="004817BF" w:rsidRDefault="00D75295" w:rsidP="00D75295">
      <w:pPr>
        <w:jc w:val="right"/>
        <w:rPr>
          <w:rFonts w:ascii="Arial" w:hAnsi="Arial"/>
          <w:b/>
          <w:sz w:val="28"/>
          <w:szCs w:val="28"/>
          <w:lang w:val="en-GB"/>
        </w:rPr>
      </w:pPr>
    </w:p>
    <w:p w14:paraId="24B0C2F4" w14:textId="77777777" w:rsidR="00866F6D" w:rsidRPr="004817BF" w:rsidRDefault="00866F6D" w:rsidP="00C4561A">
      <w:pPr>
        <w:jc w:val="center"/>
        <w:rPr>
          <w:rFonts w:ascii="Arial" w:hAnsi="Arial"/>
          <w:b/>
          <w:sz w:val="28"/>
          <w:szCs w:val="28"/>
          <w:lang w:val="en-GB"/>
        </w:rPr>
      </w:pPr>
    </w:p>
    <w:p w14:paraId="5B950E17" w14:textId="6AFEEE73" w:rsidR="00013360" w:rsidRPr="004817BF" w:rsidRDefault="00951296" w:rsidP="00013360">
      <w:pPr>
        <w:pStyle w:val="CaseTitle"/>
        <w:spacing w:after="0" w:line="240" w:lineRule="auto"/>
        <w:rPr>
          <w:color w:val="auto"/>
          <w:lang w:val="en-GB"/>
        </w:rPr>
      </w:pPr>
      <w:r w:rsidRPr="004817BF">
        <w:rPr>
          <w:color w:val="auto"/>
          <w:lang w:val="en-GB"/>
        </w:rPr>
        <w:t>bKash</w:t>
      </w:r>
      <w:r w:rsidR="00980931" w:rsidRPr="004817BF">
        <w:rPr>
          <w:color w:val="auto"/>
          <w:lang w:val="en-GB"/>
        </w:rPr>
        <w:t>:</w:t>
      </w:r>
      <w:r w:rsidRPr="004817BF">
        <w:rPr>
          <w:color w:val="auto"/>
          <w:lang w:val="en-GB"/>
        </w:rPr>
        <w:t xml:space="preserve"> </w:t>
      </w:r>
      <w:r w:rsidR="00593EF9" w:rsidRPr="004817BF">
        <w:rPr>
          <w:color w:val="auto"/>
          <w:lang w:val="en-GB"/>
        </w:rPr>
        <w:t xml:space="preserve">financial technology </w:t>
      </w:r>
      <w:r w:rsidR="00980931" w:rsidRPr="004817BF">
        <w:rPr>
          <w:color w:val="auto"/>
          <w:lang w:val="en-GB"/>
        </w:rPr>
        <w:t>Innovation for Emerging Markets</w:t>
      </w:r>
    </w:p>
    <w:p w14:paraId="6BA35C8A" w14:textId="77777777" w:rsidR="00980931" w:rsidRPr="004817BF" w:rsidRDefault="00980931" w:rsidP="00013360">
      <w:pPr>
        <w:pStyle w:val="CaseTitle"/>
        <w:spacing w:after="0" w:line="240" w:lineRule="auto"/>
        <w:rPr>
          <w:color w:val="auto"/>
          <w:sz w:val="20"/>
          <w:szCs w:val="20"/>
          <w:lang w:val="en-GB"/>
        </w:rPr>
      </w:pPr>
    </w:p>
    <w:p w14:paraId="004A7036" w14:textId="77777777" w:rsidR="00CA3976" w:rsidRPr="004817BF" w:rsidRDefault="00CA3976" w:rsidP="00013360">
      <w:pPr>
        <w:pStyle w:val="CaseTitle"/>
        <w:spacing w:after="0" w:line="240" w:lineRule="auto"/>
        <w:rPr>
          <w:color w:val="auto"/>
          <w:sz w:val="20"/>
          <w:szCs w:val="20"/>
          <w:lang w:val="en-GB"/>
        </w:rPr>
      </w:pPr>
    </w:p>
    <w:p w14:paraId="42BF71A7" w14:textId="77777777" w:rsidR="00013360" w:rsidRPr="004817BF" w:rsidRDefault="00013360" w:rsidP="00013360">
      <w:pPr>
        <w:pStyle w:val="CaseTitle"/>
        <w:spacing w:after="0" w:line="240" w:lineRule="auto"/>
        <w:rPr>
          <w:color w:val="auto"/>
          <w:sz w:val="20"/>
          <w:szCs w:val="20"/>
          <w:lang w:val="en-GB"/>
        </w:rPr>
      </w:pPr>
    </w:p>
    <w:p w14:paraId="299CC01A" w14:textId="2A6A121B" w:rsidR="00856D9F" w:rsidRPr="004817BF" w:rsidRDefault="004F2A95" w:rsidP="00E725DD">
      <w:pPr>
        <w:pStyle w:val="StyleCopyrightStatementAfter0ptBottomSinglesolidline1"/>
        <w:rPr>
          <w:color w:val="auto"/>
          <w:lang w:val="en-GB"/>
        </w:rPr>
      </w:pPr>
      <w:r w:rsidRPr="004817BF">
        <w:rPr>
          <w:color w:val="auto"/>
          <w:lang w:val="en-GB"/>
        </w:rPr>
        <w:t xml:space="preserve">Ishtiaq P. Mahmood, Marleen Dieleman, and Narmin T. </w:t>
      </w:r>
      <w:proofErr w:type="spellStart"/>
      <w:r w:rsidRPr="004817BF">
        <w:rPr>
          <w:color w:val="auto"/>
          <w:lang w:val="en-GB"/>
        </w:rPr>
        <w:t>Banu</w:t>
      </w:r>
      <w:proofErr w:type="spellEnd"/>
      <w:r w:rsidR="007E5921" w:rsidRPr="004817BF">
        <w:rPr>
          <w:color w:val="auto"/>
          <w:lang w:val="en-GB"/>
        </w:rPr>
        <w:t xml:space="preserve"> wrote this case sol</w:t>
      </w:r>
      <w:r w:rsidR="00D75295" w:rsidRPr="004817BF">
        <w:rPr>
          <w:color w:val="auto"/>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2BFBB82" w14:textId="77777777" w:rsidR="00980931" w:rsidRPr="004817BF" w:rsidRDefault="00980931" w:rsidP="00E725DD">
      <w:pPr>
        <w:pStyle w:val="StyleCopyrightStatementAfter0ptBottomSinglesolidline1"/>
        <w:rPr>
          <w:color w:val="auto"/>
          <w:lang w:val="en-GB"/>
        </w:rPr>
      </w:pPr>
    </w:p>
    <w:p w14:paraId="296A3DCB" w14:textId="77777777" w:rsidR="00DF45FD" w:rsidRPr="004817BF" w:rsidRDefault="00DF45FD" w:rsidP="00DF45FD">
      <w:pPr>
        <w:jc w:val="both"/>
        <w:rPr>
          <w:rFonts w:ascii="Arial" w:hAnsi="Arial" w:cs="Arial"/>
          <w:i/>
          <w:iCs/>
          <w:sz w:val="16"/>
          <w:szCs w:val="16"/>
          <w:lang w:val="en-GB"/>
        </w:rPr>
      </w:pPr>
      <w:r w:rsidRPr="004817BF">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817BF">
          <w:rPr>
            <w:rFonts w:ascii="Arial" w:hAnsi="Arial" w:cs="Arial"/>
            <w:i/>
            <w:iCs/>
            <w:sz w:val="16"/>
            <w:szCs w:val="16"/>
            <w:lang w:val="en-GB"/>
          </w:rPr>
          <w:t>cases@ivey.ca</w:t>
        </w:r>
      </w:hyperlink>
      <w:r w:rsidRPr="004817BF">
        <w:rPr>
          <w:rFonts w:ascii="Arial" w:hAnsi="Arial" w:cs="Arial"/>
          <w:i/>
          <w:iCs/>
          <w:sz w:val="16"/>
          <w:szCs w:val="16"/>
          <w:lang w:val="en-GB"/>
        </w:rPr>
        <w:t xml:space="preserve">; </w:t>
      </w:r>
      <w:hyperlink r:id="rId10" w:history="1">
        <w:r w:rsidRPr="004817BF">
          <w:rPr>
            <w:rFonts w:ascii="Arial" w:hAnsi="Arial" w:cs="Arial"/>
            <w:i/>
            <w:iCs/>
            <w:sz w:val="16"/>
            <w:szCs w:val="16"/>
            <w:lang w:val="en-GB"/>
          </w:rPr>
          <w:t>www.iveycases.com</w:t>
        </w:r>
      </w:hyperlink>
      <w:r w:rsidRPr="004817BF">
        <w:rPr>
          <w:rFonts w:ascii="Arial" w:hAnsi="Arial" w:cs="Arial"/>
          <w:i/>
          <w:iCs/>
          <w:sz w:val="16"/>
          <w:szCs w:val="16"/>
          <w:lang w:val="en-GB"/>
        </w:rPr>
        <w:t>.</w:t>
      </w:r>
    </w:p>
    <w:p w14:paraId="338328F0" w14:textId="77777777" w:rsidR="00DF45FD" w:rsidRPr="004817BF" w:rsidRDefault="00DF45FD" w:rsidP="00DF45FD">
      <w:pPr>
        <w:pStyle w:val="StyleStyleCopyrightStatementAfter0ptBottomSinglesolid"/>
        <w:rPr>
          <w:color w:val="auto"/>
          <w:lang w:val="en-GB"/>
        </w:rPr>
      </w:pPr>
    </w:p>
    <w:p w14:paraId="580A4738" w14:textId="07E152CA" w:rsidR="00DF45FD" w:rsidRPr="004817BF" w:rsidRDefault="00DF45FD" w:rsidP="00DF45FD">
      <w:pPr>
        <w:pStyle w:val="StyleStyleCopyrightStatementAfter0ptBottomSinglesolid"/>
        <w:rPr>
          <w:color w:val="auto"/>
          <w:lang w:val="en-GB"/>
        </w:rPr>
      </w:pPr>
      <w:r w:rsidRPr="004817BF">
        <w:rPr>
          <w:color w:val="auto"/>
          <w:lang w:val="en-GB"/>
        </w:rPr>
        <w:t>Copyright © 2017, Richard Ivey School of Busines</w:t>
      </w:r>
      <w:r w:rsidR="00595EFB">
        <w:rPr>
          <w:color w:val="auto"/>
          <w:lang w:val="en-GB"/>
        </w:rPr>
        <w:t>s Foundation</w:t>
      </w:r>
      <w:r w:rsidR="00595EFB">
        <w:rPr>
          <w:color w:val="auto"/>
          <w:lang w:val="en-GB"/>
        </w:rPr>
        <w:tab/>
        <w:t>Version: 2017-09-25</w:t>
      </w:r>
    </w:p>
    <w:p w14:paraId="40896303" w14:textId="77777777" w:rsidR="00980931" w:rsidRPr="004817BF" w:rsidRDefault="00980931" w:rsidP="00E725DD">
      <w:pPr>
        <w:pStyle w:val="StyleCopyrightStatementAfter0ptBottomSinglesolidline1"/>
        <w:rPr>
          <w:color w:val="auto"/>
          <w:lang w:val="en-GB"/>
        </w:rPr>
      </w:pPr>
    </w:p>
    <w:p w14:paraId="288138E3" w14:textId="77777777" w:rsidR="00980931" w:rsidRPr="004817BF" w:rsidRDefault="00980931" w:rsidP="00E725DD">
      <w:pPr>
        <w:pStyle w:val="StyleCopyrightStatementAfter0ptBottomSinglesolidline1"/>
        <w:rPr>
          <w:color w:val="auto"/>
          <w:lang w:val="en-GB"/>
        </w:rPr>
      </w:pPr>
    </w:p>
    <w:p w14:paraId="6D15FDA9" w14:textId="2FDF1F3B" w:rsidR="009551DD" w:rsidRPr="004817BF" w:rsidRDefault="00DC70BC" w:rsidP="00626659">
      <w:pPr>
        <w:pStyle w:val="BodyTextMain"/>
        <w:rPr>
          <w:lang w:val="en-GB"/>
        </w:rPr>
      </w:pPr>
      <w:r w:rsidRPr="004817BF">
        <w:rPr>
          <w:lang w:val="en-GB"/>
        </w:rPr>
        <w:t xml:space="preserve">In May </w:t>
      </w:r>
      <w:r w:rsidR="008813D3" w:rsidRPr="004817BF">
        <w:rPr>
          <w:lang w:val="en-GB"/>
        </w:rPr>
        <w:t>201</w:t>
      </w:r>
      <w:r w:rsidRPr="004817BF">
        <w:rPr>
          <w:lang w:val="en-GB"/>
        </w:rPr>
        <w:t>7</w:t>
      </w:r>
      <w:r w:rsidR="000F0B5E" w:rsidRPr="004817BF">
        <w:rPr>
          <w:lang w:val="en-GB"/>
        </w:rPr>
        <w:t xml:space="preserve">, </w:t>
      </w:r>
      <w:r w:rsidR="00626659" w:rsidRPr="004817BF">
        <w:rPr>
          <w:lang w:val="en-GB"/>
        </w:rPr>
        <w:t xml:space="preserve">Kamal </w:t>
      </w:r>
      <w:proofErr w:type="spellStart"/>
      <w:r w:rsidR="00626659" w:rsidRPr="004817BF">
        <w:rPr>
          <w:lang w:val="en-GB"/>
        </w:rPr>
        <w:t>Quadir</w:t>
      </w:r>
      <w:proofErr w:type="spellEnd"/>
      <w:r w:rsidR="00626659" w:rsidRPr="004817BF">
        <w:rPr>
          <w:lang w:val="en-GB"/>
        </w:rPr>
        <w:t xml:space="preserve">, </w:t>
      </w:r>
      <w:r w:rsidR="00557F66" w:rsidRPr="004817BF">
        <w:rPr>
          <w:lang w:val="en-GB"/>
        </w:rPr>
        <w:t xml:space="preserve">the </w:t>
      </w:r>
      <w:r w:rsidR="00F975AF" w:rsidRPr="004817BF">
        <w:rPr>
          <w:lang w:val="en-GB"/>
        </w:rPr>
        <w:t>chief executive officer</w:t>
      </w:r>
      <w:r w:rsidR="00626659" w:rsidRPr="004817BF">
        <w:rPr>
          <w:lang w:val="en-GB"/>
        </w:rPr>
        <w:t xml:space="preserve"> of bKash</w:t>
      </w:r>
      <w:r w:rsidR="00C22089" w:rsidRPr="004817BF">
        <w:rPr>
          <w:lang w:val="en-GB"/>
        </w:rPr>
        <w:t xml:space="preserve"> Limited (bKash)</w:t>
      </w:r>
      <w:r w:rsidR="00626659" w:rsidRPr="004817BF">
        <w:rPr>
          <w:lang w:val="en-GB"/>
        </w:rPr>
        <w:t xml:space="preserve">, had mixed feelings. </w:t>
      </w:r>
      <w:proofErr w:type="spellStart"/>
      <w:r w:rsidR="00626659" w:rsidRPr="004817BF">
        <w:rPr>
          <w:lang w:val="en-GB"/>
        </w:rPr>
        <w:t>Quadir</w:t>
      </w:r>
      <w:proofErr w:type="spellEnd"/>
      <w:r w:rsidR="00626659" w:rsidRPr="004817BF">
        <w:rPr>
          <w:lang w:val="en-GB"/>
        </w:rPr>
        <w:t xml:space="preserve"> </w:t>
      </w:r>
      <w:r w:rsidR="00DC1D1D" w:rsidRPr="004817BF">
        <w:rPr>
          <w:lang w:val="en-GB"/>
        </w:rPr>
        <w:t xml:space="preserve">had </w:t>
      </w:r>
      <w:r w:rsidR="00626659" w:rsidRPr="004817BF">
        <w:rPr>
          <w:lang w:val="en-GB"/>
        </w:rPr>
        <w:t xml:space="preserve">built one of the most innovative companies in Bangladesh from scratch: </w:t>
      </w:r>
      <w:r w:rsidR="00557F66" w:rsidRPr="004817BF">
        <w:rPr>
          <w:lang w:val="en-GB"/>
        </w:rPr>
        <w:t xml:space="preserve">bKash was </w:t>
      </w:r>
      <w:r w:rsidR="00626659" w:rsidRPr="004817BF">
        <w:rPr>
          <w:lang w:val="en-GB"/>
        </w:rPr>
        <w:t xml:space="preserve">a </w:t>
      </w:r>
      <w:r w:rsidR="00DC1D1D" w:rsidRPr="004817BF">
        <w:rPr>
          <w:lang w:val="en-GB"/>
        </w:rPr>
        <w:t>m</w:t>
      </w:r>
      <w:r w:rsidR="00626659" w:rsidRPr="004817BF">
        <w:rPr>
          <w:lang w:val="en-GB"/>
        </w:rPr>
        <w:t xml:space="preserve">obile </w:t>
      </w:r>
      <w:r w:rsidR="00DC1D1D" w:rsidRPr="004817BF">
        <w:rPr>
          <w:lang w:val="en-GB"/>
        </w:rPr>
        <w:t>f</w:t>
      </w:r>
      <w:r w:rsidR="00626659" w:rsidRPr="004817BF">
        <w:rPr>
          <w:lang w:val="en-GB"/>
        </w:rPr>
        <w:t xml:space="preserve">inancial </w:t>
      </w:r>
      <w:r w:rsidR="00DC1D1D" w:rsidRPr="004817BF">
        <w:rPr>
          <w:lang w:val="en-GB"/>
        </w:rPr>
        <w:t>s</w:t>
      </w:r>
      <w:r w:rsidR="00626659" w:rsidRPr="004817BF">
        <w:rPr>
          <w:lang w:val="en-GB"/>
        </w:rPr>
        <w:t>ervices (MFS) firm uniquely targeted at the bottom</w:t>
      </w:r>
      <w:r w:rsidR="001B28E4" w:rsidRPr="004817BF">
        <w:rPr>
          <w:lang w:val="en-GB"/>
        </w:rPr>
        <w:t xml:space="preserve">, unbanked </w:t>
      </w:r>
      <w:r w:rsidR="00626659" w:rsidRPr="004817BF">
        <w:rPr>
          <w:lang w:val="en-GB"/>
        </w:rPr>
        <w:t>segment of society. The company now had 26 million customers and was</w:t>
      </w:r>
      <w:r w:rsidR="007E2FE8" w:rsidRPr="004817BF">
        <w:rPr>
          <w:lang w:val="en-GB"/>
        </w:rPr>
        <w:t xml:space="preserve"> a </w:t>
      </w:r>
      <w:r w:rsidR="00626659" w:rsidRPr="004817BF">
        <w:rPr>
          <w:lang w:val="en-GB"/>
        </w:rPr>
        <w:t>lead player in th</w:t>
      </w:r>
      <w:r w:rsidR="00C22089" w:rsidRPr="004817BF">
        <w:rPr>
          <w:lang w:val="en-GB"/>
        </w:rPr>
        <w:t>e</w:t>
      </w:r>
      <w:r w:rsidR="007E2FE8" w:rsidRPr="004817BF">
        <w:rPr>
          <w:lang w:val="en-GB"/>
        </w:rPr>
        <w:t xml:space="preserve"> financial technology </w:t>
      </w:r>
      <w:r w:rsidR="00626659" w:rsidRPr="004817BF">
        <w:rPr>
          <w:lang w:val="en-GB"/>
        </w:rPr>
        <w:t xml:space="preserve">industry. </w:t>
      </w:r>
      <w:proofErr w:type="spellStart"/>
      <w:r w:rsidR="00626659" w:rsidRPr="004817BF">
        <w:rPr>
          <w:lang w:val="en-GB"/>
        </w:rPr>
        <w:t>Quadir</w:t>
      </w:r>
      <w:proofErr w:type="spellEnd"/>
      <w:r w:rsidR="00626659" w:rsidRPr="004817BF">
        <w:rPr>
          <w:lang w:val="en-GB"/>
        </w:rPr>
        <w:t xml:space="preserve"> </w:t>
      </w:r>
      <w:r w:rsidR="00DC1D1D" w:rsidRPr="004817BF">
        <w:rPr>
          <w:lang w:val="en-GB"/>
        </w:rPr>
        <w:t xml:space="preserve">had </w:t>
      </w:r>
      <w:r w:rsidR="00626659" w:rsidRPr="004817BF">
        <w:rPr>
          <w:lang w:val="en-GB"/>
        </w:rPr>
        <w:t>made a positive impact on the lives of countless people</w:t>
      </w:r>
      <w:r w:rsidR="00DC1D1D" w:rsidRPr="004817BF">
        <w:rPr>
          <w:lang w:val="en-GB"/>
        </w:rPr>
        <w:t>,</w:t>
      </w:r>
      <w:r w:rsidR="00626659" w:rsidRPr="004817BF">
        <w:rPr>
          <w:lang w:val="en-GB"/>
        </w:rPr>
        <w:t xml:space="preserve"> and bKash</w:t>
      </w:r>
      <w:r w:rsidR="00557F66" w:rsidRPr="004817BF">
        <w:rPr>
          <w:lang w:val="en-GB"/>
        </w:rPr>
        <w:t xml:space="preserve"> </w:t>
      </w:r>
      <w:r w:rsidR="00555FC5">
        <w:rPr>
          <w:lang w:val="en-GB"/>
        </w:rPr>
        <w:t xml:space="preserve">had </w:t>
      </w:r>
      <w:r w:rsidR="00626659" w:rsidRPr="004817BF">
        <w:rPr>
          <w:lang w:val="en-GB"/>
        </w:rPr>
        <w:t xml:space="preserve">gained worldwide recognition for </w:t>
      </w:r>
      <w:r w:rsidR="00557F66" w:rsidRPr="004817BF">
        <w:rPr>
          <w:lang w:val="en-GB"/>
        </w:rPr>
        <w:t>an</w:t>
      </w:r>
      <w:r w:rsidR="00626659" w:rsidRPr="004817BF">
        <w:rPr>
          <w:lang w:val="en-GB"/>
        </w:rPr>
        <w:t xml:space="preserve"> innovative business model that offered real solutions to the poor. </w:t>
      </w:r>
      <w:r w:rsidR="00DC1D1D" w:rsidRPr="004817BF">
        <w:rPr>
          <w:lang w:val="en-GB"/>
        </w:rPr>
        <w:t>However</w:t>
      </w:r>
      <w:r w:rsidR="00626659" w:rsidRPr="004817BF">
        <w:rPr>
          <w:lang w:val="en-GB"/>
        </w:rPr>
        <w:t xml:space="preserve">, </w:t>
      </w:r>
      <w:r w:rsidR="00510582" w:rsidRPr="004817BF">
        <w:rPr>
          <w:lang w:val="en-GB"/>
        </w:rPr>
        <w:t>getting there had required</w:t>
      </w:r>
      <w:r w:rsidR="00626659" w:rsidRPr="004817BF">
        <w:rPr>
          <w:lang w:val="en-GB"/>
        </w:rPr>
        <w:t xml:space="preserve"> naviga</w:t>
      </w:r>
      <w:r w:rsidR="00510582" w:rsidRPr="004817BF">
        <w:rPr>
          <w:lang w:val="en-GB"/>
        </w:rPr>
        <w:t xml:space="preserve">ting </w:t>
      </w:r>
      <w:r w:rsidR="00626659" w:rsidRPr="004817BF">
        <w:rPr>
          <w:lang w:val="en-GB"/>
        </w:rPr>
        <w:t xml:space="preserve">through a range of challenges </w:t>
      </w:r>
      <w:r w:rsidR="00DC1D1D" w:rsidRPr="004817BF">
        <w:rPr>
          <w:lang w:val="en-GB"/>
        </w:rPr>
        <w:t>that</w:t>
      </w:r>
      <w:r w:rsidR="00626659" w:rsidRPr="004817BF">
        <w:rPr>
          <w:lang w:val="en-GB"/>
        </w:rPr>
        <w:t xml:space="preserve"> required close collaboration with other players, including tel</w:t>
      </w:r>
      <w:r w:rsidR="006538AF" w:rsidRPr="004817BF">
        <w:rPr>
          <w:lang w:val="en-GB"/>
        </w:rPr>
        <w:t>ecommunications operators (</w:t>
      </w:r>
      <w:proofErr w:type="spellStart"/>
      <w:r w:rsidR="006538AF" w:rsidRPr="004817BF">
        <w:rPr>
          <w:lang w:val="en-GB"/>
        </w:rPr>
        <w:t>telcos</w:t>
      </w:r>
      <w:proofErr w:type="spellEnd"/>
      <w:r w:rsidR="006538AF" w:rsidRPr="004817BF">
        <w:rPr>
          <w:lang w:val="en-GB"/>
        </w:rPr>
        <w:t>)</w:t>
      </w:r>
      <w:r w:rsidR="00626659" w:rsidRPr="004817BF">
        <w:rPr>
          <w:lang w:val="en-GB"/>
        </w:rPr>
        <w:t xml:space="preserve">, banks, </w:t>
      </w:r>
      <w:r w:rsidR="00557F66" w:rsidRPr="004817BF">
        <w:rPr>
          <w:lang w:val="en-GB"/>
        </w:rPr>
        <w:t>non-governmental organizations (</w:t>
      </w:r>
      <w:r w:rsidR="00626659" w:rsidRPr="004817BF">
        <w:rPr>
          <w:lang w:val="en-GB"/>
        </w:rPr>
        <w:t>NGOs</w:t>
      </w:r>
      <w:r w:rsidR="00557F66" w:rsidRPr="004817BF">
        <w:rPr>
          <w:lang w:val="en-GB"/>
        </w:rPr>
        <w:t>)</w:t>
      </w:r>
      <w:r w:rsidR="00626659" w:rsidRPr="004817BF">
        <w:rPr>
          <w:lang w:val="en-GB"/>
        </w:rPr>
        <w:t>, and regulator</w:t>
      </w:r>
      <w:r w:rsidR="008945D8" w:rsidRPr="004817BF">
        <w:rPr>
          <w:lang w:val="en-GB"/>
        </w:rPr>
        <w:t>s</w:t>
      </w:r>
      <w:r w:rsidR="00626659" w:rsidRPr="004817BF">
        <w:rPr>
          <w:lang w:val="en-GB"/>
        </w:rPr>
        <w:t xml:space="preserve">. </w:t>
      </w:r>
    </w:p>
    <w:p w14:paraId="4ADF28D1" w14:textId="77777777" w:rsidR="009551DD" w:rsidRPr="004817BF" w:rsidRDefault="009551DD" w:rsidP="00626659">
      <w:pPr>
        <w:pStyle w:val="BodyTextMain"/>
        <w:rPr>
          <w:lang w:val="en-GB"/>
        </w:rPr>
      </w:pPr>
    </w:p>
    <w:p w14:paraId="41292A43" w14:textId="66C6357C" w:rsidR="00626659" w:rsidRPr="004817BF" w:rsidRDefault="00626659" w:rsidP="00626659">
      <w:pPr>
        <w:pStyle w:val="BodyTextMain"/>
        <w:rPr>
          <w:lang w:val="en-GB"/>
        </w:rPr>
      </w:pPr>
      <w:r w:rsidRPr="004817BF">
        <w:rPr>
          <w:lang w:val="en-GB"/>
        </w:rPr>
        <w:t xml:space="preserve">The journey was far from over. </w:t>
      </w:r>
      <w:r w:rsidR="00C22089" w:rsidRPr="004817BF">
        <w:rPr>
          <w:lang w:val="en-GB"/>
        </w:rPr>
        <w:t xml:space="preserve">Now that the venture had finally scaled and reached break-even, </w:t>
      </w:r>
      <w:proofErr w:type="spellStart"/>
      <w:r w:rsidR="00510582" w:rsidRPr="004817BF">
        <w:rPr>
          <w:lang w:val="en-GB"/>
        </w:rPr>
        <w:t>Quadir</w:t>
      </w:r>
      <w:proofErr w:type="spellEnd"/>
      <w:r w:rsidR="00C22089" w:rsidRPr="004817BF">
        <w:rPr>
          <w:lang w:val="en-GB"/>
        </w:rPr>
        <w:t xml:space="preserve"> wondered what more he could do. </w:t>
      </w:r>
      <w:r w:rsidRPr="004817BF">
        <w:rPr>
          <w:lang w:val="en-GB"/>
        </w:rPr>
        <w:t xml:space="preserve">The current business model was built on a set of guidelines issued by </w:t>
      </w:r>
      <w:r w:rsidR="00045447" w:rsidRPr="004817BF">
        <w:rPr>
          <w:lang w:val="en-GB"/>
        </w:rPr>
        <w:t>Bangladesh Bank—the</w:t>
      </w:r>
      <w:r w:rsidRPr="004817BF">
        <w:rPr>
          <w:lang w:val="en-GB"/>
        </w:rPr>
        <w:t xml:space="preserve"> </w:t>
      </w:r>
      <w:r w:rsidR="00045447" w:rsidRPr="004817BF">
        <w:rPr>
          <w:lang w:val="en-GB"/>
        </w:rPr>
        <w:t>c</w:t>
      </w:r>
      <w:r w:rsidRPr="004817BF">
        <w:rPr>
          <w:lang w:val="en-GB"/>
        </w:rPr>
        <w:t xml:space="preserve">entral </w:t>
      </w:r>
      <w:r w:rsidR="00045447" w:rsidRPr="004817BF">
        <w:rPr>
          <w:lang w:val="en-GB"/>
        </w:rPr>
        <w:t>b</w:t>
      </w:r>
      <w:r w:rsidRPr="004817BF">
        <w:rPr>
          <w:lang w:val="en-GB"/>
        </w:rPr>
        <w:t>ank of Bangladesh. However, the model</w:t>
      </w:r>
      <w:r w:rsidR="00C22089" w:rsidRPr="004817BF">
        <w:rPr>
          <w:lang w:val="en-GB"/>
        </w:rPr>
        <w:t xml:space="preserve"> could</w:t>
      </w:r>
      <w:r w:rsidRPr="004817BF">
        <w:rPr>
          <w:lang w:val="en-GB"/>
        </w:rPr>
        <w:t xml:space="preserve"> be undermined by future regulations, as effective innovations frequently usher</w:t>
      </w:r>
      <w:r w:rsidR="00510582" w:rsidRPr="004817BF">
        <w:rPr>
          <w:lang w:val="en-GB"/>
        </w:rPr>
        <w:t>ed</w:t>
      </w:r>
      <w:r w:rsidRPr="004817BF">
        <w:rPr>
          <w:lang w:val="en-GB"/>
        </w:rPr>
        <w:t xml:space="preserve"> in new challenges. How c</w:t>
      </w:r>
      <w:r w:rsidR="00DC1D1D" w:rsidRPr="004817BF">
        <w:rPr>
          <w:lang w:val="en-GB"/>
        </w:rPr>
        <w:t>ould</w:t>
      </w:r>
      <w:r w:rsidRPr="004817BF">
        <w:rPr>
          <w:lang w:val="en-GB"/>
        </w:rPr>
        <w:t xml:space="preserve"> he strengthen the foundation of his disruptive business to make it more robust? How could the company continue to grow, while maintaining its financial inclusion objective?</w:t>
      </w:r>
    </w:p>
    <w:p w14:paraId="3DDAEA00" w14:textId="77777777" w:rsidR="00B74FFC" w:rsidRPr="004817BF" w:rsidRDefault="00B74FFC" w:rsidP="00626659">
      <w:pPr>
        <w:pStyle w:val="BodyTextMain"/>
        <w:rPr>
          <w:lang w:val="en-GB"/>
        </w:rPr>
      </w:pPr>
    </w:p>
    <w:p w14:paraId="3325AB82" w14:textId="77777777" w:rsidR="00557F66" w:rsidRPr="004817BF" w:rsidRDefault="00557F66" w:rsidP="006A51CF">
      <w:pPr>
        <w:pStyle w:val="Casehead1"/>
        <w:rPr>
          <w:lang w:val="en-GB"/>
        </w:rPr>
      </w:pPr>
    </w:p>
    <w:p w14:paraId="124FDEB0" w14:textId="77777777" w:rsidR="00626659" w:rsidRPr="004817BF" w:rsidRDefault="00626659" w:rsidP="006A51CF">
      <w:pPr>
        <w:pStyle w:val="Casehead1"/>
        <w:rPr>
          <w:lang w:val="en-GB"/>
        </w:rPr>
      </w:pPr>
      <w:r w:rsidRPr="004817BF">
        <w:rPr>
          <w:lang w:val="en-GB"/>
        </w:rPr>
        <w:t>Bangladesh: An inclusive economic growth model</w:t>
      </w:r>
    </w:p>
    <w:p w14:paraId="1D1ED3DE" w14:textId="77777777" w:rsidR="00B74FFC" w:rsidRPr="004817BF" w:rsidRDefault="00B74FFC" w:rsidP="00626659">
      <w:pPr>
        <w:pStyle w:val="BodyTextMain"/>
        <w:rPr>
          <w:lang w:val="en-GB"/>
        </w:rPr>
      </w:pPr>
    </w:p>
    <w:p w14:paraId="42B29B87" w14:textId="1DA7EC3D" w:rsidR="005E5FBE" w:rsidRDefault="00626659" w:rsidP="00626659">
      <w:pPr>
        <w:pStyle w:val="BodyTextMain"/>
        <w:rPr>
          <w:lang w:val="en-GB"/>
        </w:rPr>
      </w:pPr>
      <w:r w:rsidRPr="004817BF">
        <w:rPr>
          <w:lang w:val="en-GB"/>
        </w:rPr>
        <w:t>With 156 million people</w:t>
      </w:r>
      <w:r w:rsidR="005E5FBE" w:rsidRPr="004817BF">
        <w:rPr>
          <w:rStyle w:val="EndnoteReference"/>
          <w:lang w:val="en-GB"/>
        </w:rPr>
        <w:endnoteReference w:id="1"/>
      </w:r>
      <w:r w:rsidR="005E5FBE" w:rsidRPr="004817BF">
        <w:rPr>
          <w:lang w:val="en-GB"/>
        </w:rPr>
        <w:t xml:space="preserve"> crammed in a</w:t>
      </w:r>
      <w:r w:rsidR="009263F8" w:rsidRPr="004817BF">
        <w:rPr>
          <w:lang w:val="en-GB"/>
        </w:rPr>
        <w:t>n</w:t>
      </w:r>
      <w:r w:rsidR="005E5FBE" w:rsidRPr="004817BF">
        <w:rPr>
          <w:lang w:val="en-GB"/>
        </w:rPr>
        <w:t xml:space="preserve"> </w:t>
      </w:r>
      <w:r w:rsidR="009263F8" w:rsidRPr="004817BF">
        <w:rPr>
          <w:lang w:val="en-GB"/>
        </w:rPr>
        <w:t xml:space="preserve">area </w:t>
      </w:r>
      <w:r w:rsidR="005E5FBE" w:rsidRPr="004817BF">
        <w:rPr>
          <w:lang w:val="en-GB"/>
        </w:rPr>
        <w:t xml:space="preserve">slightly less than the size of </w:t>
      </w:r>
      <w:r w:rsidR="009263F8" w:rsidRPr="004817BF">
        <w:rPr>
          <w:lang w:val="en-GB"/>
        </w:rPr>
        <w:t xml:space="preserve">the U.S. state of </w:t>
      </w:r>
      <w:r w:rsidR="00E85C0C" w:rsidRPr="004817BF">
        <w:rPr>
          <w:lang w:val="en-GB"/>
        </w:rPr>
        <w:t>Illinois</w:t>
      </w:r>
      <w:r w:rsidR="005E5FBE" w:rsidRPr="004817BF">
        <w:rPr>
          <w:lang w:val="en-GB"/>
        </w:rPr>
        <w:t xml:space="preserve">, Bangladesh had long been one of the most densely populated countries in the world. Despite facing various natural and infrastructural setbacks, </w:t>
      </w:r>
      <w:r w:rsidR="00C22089" w:rsidRPr="004817BF">
        <w:rPr>
          <w:lang w:val="en-GB"/>
        </w:rPr>
        <w:t xml:space="preserve">according to the Asian Development Bank, </w:t>
      </w:r>
      <w:r w:rsidR="005E5FBE" w:rsidRPr="004817BF">
        <w:rPr>
          <w:lang w:val="en-GB"/>
        </w:rPr>
        <w:t xml:space="preserve">the country enjoyed a </w:t>
      </w:r>
      <w:r w:rsidR="009263F8" w:rsidRPr="004817BF">
        <w:rPr>
          <w:lang w:val="en-GB"/>
        </w:rPr>
        <w:t>gross domestic product</w:t>
      </w:r>
      <w:r w:rsidR="005E5FBE" w:rsidRPr="004817BF">
        <w:rPr>
          <w:lang w:val="en-GB"/>
        </w:rPr>
        <w:t xml:space="preserve"> growth rate of above 6 per cent </w:t>
      </w:r>
      <w:r w:rsidR="00022731" w:rsidRPr="004817BF">
        <w:rPr>
          <w:lang w:val="en-GB"/>
        </w:rPr>
        <w:t>from 2012 to 2016</w:t>
      </w:r>
      <w:r w:rsidR="00F975AF" w:rsidRPr="004817BF">
        <w:rPr>
          <w:lang w:val="en-GB"/>
        </w:rPr>
        <w:t>.</w:t>
      </w:r>
      <w:r w:rsidR="005E5FBE" w:rsidRPr="004817BF">
        <w:rPr>
          <w:rStyle w:val="EndnoteReference"/>
          <w:lang w:val="en-GB"/>
        </w:rPr>
        <w:endnoteReference w:id="2"/>
      </w:r>
      <w:r w:rsidR="005E5FBE" w:rsidRPr="004817BF">
        <w:rPr>
          <w:lang w:val="en-GB"/>
        </w:rPr>
        <w:t xml:space="preserve"> This number was achieved thanks to </w:t>
      </w:r>
      <w:r w:rsidR="006B0614">
        <w:rPr>
          <w:lang w:val="en-GB"/>
        </w:rPr>
        <w:t>strong</w:t>
      </w:r>
      <w:r w:rsidR="006B0614" w:rsidRPr="004817BF">
        <w:rPr>
          <w:lang w:val="en-GB"/>
        </w:rPr>
        <w:t xml:space="preserve"> </w:t>
      </w:r>
      <w:r w:rsidR="005E5FBE" w:rsidRPr="004817BF">
        <w:rPr>
          <w:lang w:val="en-GB"/>
        </w:rPr>
        <w:t xml:space="preserve">domestic demand, private sector wages, public investment, </w:t>
      </w:r>
      <w:r w:rsidR="00022731" w:rsidRPr="004817BF">
        <w:rPr>
          <w:lang w:val="en-GB"/>
        </w:rPr>
        <w:t xml:space="preserve">an </w:t>
      </w:r>
      <w:r w:rsidR="005E5FBE" w:rsidRPr="004817BF">
        <w:rPr>
          <w:lang w:val="en-GB"/>
        </w:rPr>
        <w:t>increasing number of women joining the workforce</w:t>
      </w:r>
      <w:r w:rsidR="009263F8" w:rsidRPr="004817BF">
        <w:rPr>
          <w:lang w:val="en-GB"/>
        </w:rPr>
        <w:t>,</w:t>
      </w:r>
      <w:r w:rsidR="005E5FBE" w:rsidRPr="004817BF">
        <w:rPr>
          <w:lang w:val="en-GB"/>
        </w:rPr>
        <w:t xml:space="preserve"> and higher worker remittances. Over the years, the country also showed significant improvement in the Human Development Index. Between 1990 and 2010</w:t>
      </w:r>
      <w:r w:rsidR="009263F8" w:rsidRPr="004817BF">
        <w:rPr>
          <w:lang w:val="en-GB"/>
        </w:rPr>
        <w:t>,</w:t>
      </w:r>
      <w:r w:rsidR="005E5FBE" w:rsidRPr="004817BF">
        <w:rPr>
          <w:lang w:val="en-GB"/>
        </w:rPr>
        <w:t xml:space="preserve"> life expectancy rose by about 12 years</w:t>
      </w:r>
      <w:r w:rsidR="009263F8" w:rsidRPr="004817BF">
        <w:rPr>
          <w:lang w:val="en-GB"/>
        </w:rPr>
        <w:t>—</w:t>
      </w:r>
      <w:r w:rsidR="005E5FBE" w:rsidRPr="004817BF">
        <w:rPr>
          <w:lang w:val="en-GB"/>
        </w:rPr>
        <w:t>from 58 to 70.</w:t>
      </w:r>
      <w:r w:rsidR="005E5FBE" w:rsidRPr="004817BF">
        <w:rPr>
          <w:rStyle w:val="EndnoteReference"/>
          <w:lang w:val="en-GB"/>
        </w:rPr>
        <w:endnoteReference w:id="3"/>
      </w:r>
      <w:r w:rsidR="005E5FBE" w:rsidRPr="004817BF">
        <w:rPr>
          <w:lang w:val="en-GB"/>
        </w:rPr>
        <w:t xml:space="preserve"> However, the literacy rate remained rather low at 57.7 per cent</w:t>
      </w:r>
      <w:r w:rsidR="00F975AF" w:rsidRPr="004817BF">
        <w:rPr>
          <w:lang w:val="en-GB"/>
        </w:rPr>
        <w:t>.</w:t>
      </w:r>
      <w:r w:rsidR="005E5FBE" w:rsidRPr="004817BF">
        <w:rPr>
          <w:rStyle w:val="EndnoteReference"/>
          <w:lang w:val="en-GB"/>
        </w:rPr>
        <w:endnoteReference w:id="4"/>
      </w:r>
    </w:p>
    <w:p w14:paraId="2DC82262" w14:textId="77777777" w:rsidR="00E10B96" w:rsidRPr="004817BF" w:rsidRDefault="00E10B96" w:rsidP="00626659">
      <w:pPr>
        <w:pStyle w:val="BodyTextMain"/>
        <w:rPr>
          <w:lang w:val="en-GB"/>
        </w:rPr>
      </w:pPr>
    </w:p>
    <w:p w14:paraId="3F3A423F" w14:textId="4E1EACA9" w:rsidR="005E5FBE" w:rsidRPr="004817BF" w:rsidRDefault="005E5FBE" w:rsidP="00626659">
      <w:pPr>
        <w:pStyle w:val="BodyTextMain"/>
        <w:rPr>
          <w:lang w:val="en-GB"/>
        </w:rPr>
      </w:pPr>
      <w:r w:rsidRPr="004817BF">
        <w:rPr>
          <w:lang w:val="en-GB"/>
        </w:rPr>
        <w:lastRenderedPageBreak/>
        <w:t xml:space="preserve">The country’s garment industry was booming and drew in large numbers of workers, many of them women. With the female workforce poised to grow from 34 per cent to 82 per cent over the next decade, Bangladesh was witnessing enviable advances in </w:t>
      </w:r>
      <w:r w:rsidR="00C22089" w:rsidRPr="004817BF">
        <w:rPr>
          <w:lang w:val="en-GB"/>
        </w:rPr>
        <w:t xml:space="preserve">female </w:t>
      </w:r>
      <w:r w:rsidRPr="004817BF">
        <w:rPr>
          <w:lang w:val="en-GB"/>
        </w:rPr>
        <w:t>employment</w:t>
      </w:r>
      <w:r w:rsidR="009263F8" w:rsidRPr="004817BF">
        <w:rPr>
          <w:lang w:val="en-GB"/>
        </w:rPr>
        <w:t>.</w:t>
      </w:r>
      <w:r w:rsidRPr="004817BF">
        <w:rPr>
          <w:rStyle w:val="EndnoteReference"/>
          <w:lang w:val="en-GB"/>
        </w:rPr>
        <w:endnoteReference w:id="5"/>
      </w:r>
      <w:r w:rsidRPr="004817BF">
        <w:rPr>
          <w:lang w:val="en-GB"/>
        </w:rPr>
        <w:t xml:space="preserve"> With the </w:t>
      </w:r>
      <w:r w:rsidR="00555FC5" w:rsidRPr="004817BF">
        <w:rPr>
          <w:lang w:val="en-GB"/>
        </w:rPr>
        <w:t>fourth</w:t>
      </w:r>
      <w:r w:rsidR="00555FC5">
        <w:rPr>
          <w:lang w:val="en-GB"/>
        </w:rPr>
        <w:t>-</w:t>
      </w:r>
      <w:r w:rsidRPr="004817BF">
        <w:rPr>
          <w:lang w:val="en-GB"/>
        </w:rPr>
        <w:t>largest Muslim population in the world,</w:t>
      </w:r>
      <w:r w:rsidRPr="004817BF">
        <w:rPr>
          <w:rStyle w:val="EndnoteReference"/>
          <w:lang w:val="en-GB"/>
        </w:rPr>
        <w:endnoteReference w:id="6"/>
      </w:r>
      <w:r w:rsidRPr="004817BF">
        <w:rPr>
          <w:lang w:val="en-GB"/>
        </w:rPr>
        <w:t xml:space="preserve"> Bangladesh also had an estimated 10 million overseas workers, most of them in the Middle East. They sent back remittances representing over 10 per cent of Bangladesh’s annual income</w:t>
      </w:r>
      <w:r w:rsidR="00F975AF" w:rsidRPr="004817BF">
        <w:rPr>
          <w:lang w:val="en-GB"/>
        </w:rPr>
        <w:t>.</w:t>
      </w:r>
      <w:r w:rsidRPr="004817BF">
        <w:rPr>
          <w:rStyle w:val="EndnoteReference"/>
          <w:lang w:val="en-GB"/>
        </w:rPr>
        <w:endnoteReference w:id="7"/>
      </w:r>
    </w:p>
    <w:p w14:paraId="390C4D7E" w14:textId="77777777" w:rsidR="005E5FBE" w:rsidRPr="004817BF" w:rsidRDefault="005E5FBE" w:rsidP="00626659">
      <w:pPr>
        <w:pStyle w:val="BodyTextMain"/>
        <w:rPr>
          <w:lang w:val="en-GB"/>
        </w:rPr>
      </w:pPr>
    </w:p>
    <w:p w14:paraId="7E283A1E" w14:textId="0E423DCC" w:rsidR="005E5FBE" w:rsidRPr="004817BF" w:rsidRDefault="005E5FBE" w:rsidP="00C41870">
      <w:pPr>
        <w:pStyle w:val="BodyTextMain"/>
        <w:rPr>
          <w:lang w:val="en-GB"/>
        </w:rPr>
      </w:pPr>
      <w:r w:rsidRPr="004817BF">
        <w:rPr>
          <w:lang w:val="en-GB"/>
        </w:rPr>
        <w:t>Like most emerging markets, Bangladesh experienced rapid development in urbanization</w:t>
      </w:r>
      <w:r w:rsidR="009619BE" w:rsidRPr="004817BF">
        <w:rPr>
          <w:lang w:val="en-GB"/>
        </w:rPr>
        <w:t xml:space="preserve">, including </w:t>
      </w:r>
      <w:r w:rsidRPr="004817BF">
        <w:rPr>
          <w:lang w:val="en-GB"/>
        </w:rPr>
        <w:t>an exodus of youth from rural areas to urban locations in search of better job opportunities. Dhaka, the capital city of Bangladesh, bulged to a megacity of 17 million people in 2014</w:t>
      </w:r>
      <w:r w:rsidR="009263F8" w:rsidRPr="004817BF">
        <w:rPr>
          <w:lang w:val="en-GB"/>
        </w:rPr>
        <w:t>.</w:t>
      </w:r>
      <w:r w:rsidRPr="004817BF">
        <w:rPr>
          <w:rStyle w:val="EndnoteReference"/>
          <w:lang w:val="en-GB"/>
        </w:rPr>
        <w:endnoteReference w:id="8"/>
      </w:r>
      <w:r w:rsidRPr="004817BF">
        <w:rPr>
          <w:lang w:val="en-GB"/>
        </w:rPr>
        <w:t xml:space="preserve"> As a result of urbanization, most emerging markets saw a reduction in rural living standards and an increase in extreme poverty. Bangladesh did not, thanks in part to the efforts of BRAC and </w:t>
      </w:r>
      <w:r w:rsidR="009619BE" w:rsidRPr="004817BF">
        <w:rPr>
          <w:lang w:val="en-GB"/>
        </w:rPr>
        <w:t xml:space="preserve">the </w:t>
      </w:r>
      <w:proofErr w:type="spellStart"/>
      <w:r w:rsidRPr="004817BF">
        <w:rPr>
          <w:lang w:val="en-GB"/>
        </w:rPr>
        <w:t>Grameen</w:t>
      </w:r>
      <w:proofErr w:type="spellEnd"/>
      <w:r w:rsidR="00A83125" w:rsidRPr="004817BF">
        <w:rPr>
          <w:lang w:val="en-GB"/>
        </w:rPr>
        <w:t xml:space="preserve"> Foundation</w:t>
      </w:r>
      <w:r w:rsidRPr="004817BF">
        <w:rPr>
          <w:lang w:val="en-GB"/>
        </w:rPr>
        <w:t xml:space="preserve">, two of the largest NGOs in the world. These </w:t>
      </w:r>
      <w:r w:rsidR="009619BE" w:rsidRPr="004817BF">
        <w:rPr>
          <w:lang w:val="en-GB"/>
        </w:rPr>
        <w:t>organizations</w:t>
      </w:r>
      <w:r w:rsidR="009263F8" w:rsidRPr="004817BF">
        <w:rPr>
          <w:lang w:val="en-GB"/>
        </w:rPr>
        <w:t xml:space="preserve"> </w:t>
      </w:r>
      <w:r w:rsidRPr="004817BF">
        <w:rPr>
          <w:lang w:val="en-GB"/>
        </w:rPr>
        <w:t xml:space="preserve">facilitated education and entrepreneurship, especially in the rural areas. </w:t>
      </w:r>
    </w:p>
    <w:p w14:paraId="684A8AF4" w14:textId="77777777" w:rsidR="005E5FBE" w:rsidRPr="004817BF" w:rsidRDefault="005E5FBE" w:rsidP="00C41870">
      <w:pPr>
        <w:pStyle w:val="BodyTextMain"/>
        <w:rPr>
          <w:lang w:val="en-GB"/>
        </w:rPr>
      </w:pPr>
    </w:p>
    <w:p w14:paraId="75220C8C" w14:textId="77777777" w:rsidR="00980931" w:rsidRPr="004817BF" w:rsidRDefault="00980931" w:rsidP="00C41870">
      <w:pPr>
        <w:pStyle w:val="BodyTextMain"/>
        <w:rPr>
          <w:lang w:val="en-GB"/>
        </w:rPr>
      </w:pPr>
    </w:p>
    <w:p w14:paraId="0EC1AECD" w14:textId="09D2BAB2" w:rsidR="005E5FBE" w:rsidRPr="004817BF" w:rsidRDefault="005E5FBE" w:rsidP="00C41870">
      <w:pPr>
        <w:pStyle w:val="Casehead1"/>
        <w:rPr>
          <w:lang w:val="en-GB"/>
        </w:rPr>
      </w:pPr>
      <w:r w:rsidRPr="004817BF">
        <w:rPr>
          <w:lang w:val="en-GB"/>
        </w:rPr>
        <w:t>The urban</w:t>
      </w:r>
      <w:r w:rsidR="00A314AD">
        <w:rPr>
          <w:lang w:val="en-GB"/>
        </w:rPr>
        <w:t>–</w:t>
      </w:r>
      <w:r w:rsidRPr="004817BF">
        <w:rPr>
          <w:lang w:val="en-GB"/>
        </w:rPr>
        <w:t>rural gap</w:t>
      </w:r>
    </w:p>
    <w:p w14:paraId="375BA120" w14:textId="77777777" w:rsidR="005E5FBE" w:rsidRPr="004817BF" w:rsidRDefault="005E5FBE" w:rsidP="00626659">
      <w:pPr>
        <w:pStyle w:val="BodyTextMain"/>
        <w:rPr>
          <w:lang w:val="en-GB"/>
        </w:rPr>
      </w:pPr>
    </w:p>
    <w:p w14:paraId="51411A5F" w14:textId="61071982" w:rsidR="005E5FBE" w:rsidRPr="004817BF" w:rsidRDefault="005E5FBE" w:rsidP="00626659">
      <w:pPr>
        <w:pStyle w:val="BodyTextMain"/>
        <w:rPr>
          <w:lang w:val="en-GB"/>
        </w:rPr>
      </w:pPr>
      <w:r w:rsidRPr="004817BF">
        <w:rPr>
          <w:lang w:val="en-GB"/>
        </w:rPr>
        <w:t>Bangladesh had a fairly homogeneous population with close urban</w:t>
      </w:r>
      <w:r w:rsidR="00555FC5">
        <w:rPr>
          <w:lang w:val="en-GB"/>
        </w:rPr>
        <w:t>–</w:t>
      </w:r>
      <w:r w:rsidRPr="004817BF">
        <w:rPr>
          <w:lang w:val="en-GB"/>
        </w:rPr>
        <w:t>rural bonds. Th</w:t>
      </w:r>
      <w:r w:rsidR="00C22089" w:rsidRPr="004817BF">
        <w:rPr>
          <w:lang w:val="en-GB"/>
        </w:rPr>
        <w:t>e large population</w:t>
      </w:r>
      <w:r w:rsidRPr="004817BF">
        <w:rPr>
          <w:lang w:val="en-GB"/>
        </w:rPr>
        <w:t xml:space="preserve"> residing in a collectivist society and packed within a geographical boundary of 147,570 square k</w:t>
      </w:r>
      <w:r w:rsidR="00C21E4E" w:rsidRPr="004817BF">
        <w:rPr>
          <w:lang w:val="en-GB"/>
        </w:rPr>
        <w:t>ilometres</w:t>
      </w:r>
      <w:r w:rsidRPr="004817BF">
        <w:rPr>
          <w:lang w:val="en-GB"/>
        </w:rPr>
        <w:t xml:space="preserve"> ensured a steady demand for urban</w:t>
      </w:r>
      <w:r w:rsidR="00555FC5">
        <w:rPr>
          <w:lang w:val="en-GB"/>
        </w:rPr>
        <w:t>–</w:t>
      </w:r>
      <w:r w:rsidRPr="004817BF">
        <w:rPr>
          <w:lang w:val="en-GB"/>
        </w:rPr>
        <w:t xml:space="preserve">rural interaction. </w:t>
      </w:r>
      <w:r w:rsidR="00C21E4E" w:rsidRPr="004817BF">
        <w:rPr>
          <w:lang w:val="en-GB"/>
        </w:rPr>
        <w:t>Bangladesh’s</w:t>
      </w:r>
      <w:r w:rsidRPr="004817BF">
        <w:rPr>
          <w:lang w:val="en-GB"/>
        </w:rPr>
        <w:t xml:space="preserve"> tropical weather, population size</w:t>
      </w:r>
      <w:r w:rsidR="00C21E4E" w:rsidRPr="004817BF">
        <w:rPr>
          <w:lang w:val="en-GB"/>
        </w:rPr>
        <w:t>,</w:t>
      </w:r>
      <w:r w:rsidRPr="004817BF">
        <w:rPr>
          <w:lang w:val="en-GB"/>
        </w:rPr>
        <w:t xml:space="preserve"> and horizontal terrain </w:t>
      </w:r>
      <w:r w:rsidR="00C21E4E" w:rsidRPr="004817BF">
        <w:rPr>
          <w:lang w:val="en-GB"/>
        </w:rPr>
        <w:t>gave it</w:t>
      </w:r>
      <w:r w:rsidRPr="004817BF">
        <w:rPr>
          <w:lang w:val="en-GB"/>
        </w:rPr>
        <w:t xml:space="preserve"> certain competitive advantages. The vast</w:t>
      </w:r>
      <w:r w:rsidR="00C21E4E" w:rsidRPr="004817BF">
        <w:rPr>
          <w:lang w:val="en-GB"/>
        </w:rPr>
        <w:t>,</w:t>
      </w:r>
      <w:r w:rsidRPr="004817BF">
        <w:rPr>
          <w:lang w:val="en-GB"/>
        </w:rPr>
        <w:t xml:space="preserve"> flat lands ensured easy installation of towers and </w:t>
      </w:r>
      <w:r w:rsidR="00555FC5">
        <w:rPr>
          <w:lang w:val="en-GB"/>
        </w:rPr>
        <w:t xml:space="preserve">an </w:t>
      </w:r>
      <w:r w:rsidRPr="004817BF">
        <w:rPr>
          <w:lang w:val="en-GB"/>
        </w:rPr>
        <w:t>uninterrupted network, helping the telecommunication industry to thrive and allowing a closely knit and well-connected societal structure. The total number of mobile phone subscriptions reached 129 million at the end of July 2016.</w:t>
      </w:r>
      <w:r w:rsidRPr="004817BF">
        <w:rPr>
          <w:rStyle w:val="EndnoteReference"/>
          <w:lang w:val="en-GB"/>
        </w:rPr>
        <w:endnoteReference w:id="9"/>
      </w:r>
      <w:r w:rsidRPr="004817BF">
        <w:rPr>
          <w:lang w:val="en-GB"/>
        </w:rPr>
        <w:t xml:space="preserve"> The share of mobile penetration was higher than richer developing countries such as neighbo</w:t>
      </w:r>
      <w:r w:rsidR="00C21E4E" w:rsidRPr="004817BF">
        <w:rPr>
          <w:lang w:val="en-GB"/>
        </w:rPr>
        <w:t>u</w:t>
      </w:r>
      <w:r w:rsidRPr="004817BF">
        <w:rPr>
          <w:lang w:val="en-GB"/>
        </w:rPr>
        <w:t>r</w:t>
      </w:r>
      <w:r w:rsidR="00C21E4E" w:rsidRPr="004817BF">
        <w:rPr>
          <w:lang w:val="en-GB"/>
        </w:rPr>
        <w:t>ing</w:t>
      </w:r>
      <w:r w:rsidRPr="004817BF">
        <w:rPr>
          <w:lang w:val="en-GB"/>
        </w:rPr>
        <w:t xml:space="preserve"> India or Kenya (</w:t>
      </w:r>
      <w:r w:rsidR="00C21E4E" w:rsidRPr="004817BF">
        <w:rPr>
          <w:lang w:val="en-GB"/>
        </w:rPr>
        <w:t xml:space="preserve">see </w:t>
      </w:r>
      <w:r w:rsidRPr="004817BF">
        <w:rPr>
          <w:lang w:val="en-GB"/>
        </w:rPr>
        <w:t xml:space="preserve">Exhibit 1). </w:t>
      </w:r>
    </w:p>
    <w:p w14:paraId="499D8EDF" w14:textId="77777777" w:rsidR="005E5FBE" w:rsidRPr="004817BF" w:rsidRDefault="005E5FBE" w:rsidP="00626659">
      <w:pPr>
        <w:pStyle w:val="BodyTextMain"/>
        <w:rPr>
          <w:lang w:val="en-GB"/>
        </w:rPr>
      </w:pPr>
    </w:p>
    <w:p w14:paraId="3C7ECB1E" w14:textId="686A692A" w:rsidR="005E5FBE" w:rsidRPr="004817BF" w:rsidRDefault="005E5FBE" w:rsidP="00626659">
      <w:pPr>
        <w:pStyle w:val="BodyTextMain"/>
        <w:rPr>
          <w:lang w:val="en-GB"/>
        </w:rPr>
      </w:pPr>
      <w:r w:rsidRPr="004817BF">
        <w:rPr>
          <w:lang w:val="en-GB"/>
        </w:rPr>
        <w:t>However</w:t>
      </w:r>
      <w:r w:rsidR="001B28E4" w:rsidRPr="004817BF">
        <w:rPr>
          <w:lang w:val="en-GB"/>
        </w:rPr>
        <w:t>, i</w:t>
      </w:r>
      <w:r w:rsidRPr="004817BF">
        <w:rPr>
          <w:lang w:val="en-GB"/>
        </w:rPr>
        <w:t>n a country with poor infrastructural facilities, widespread illiteracy</w:t>
      </w:r>
      <w:r w:rsidR="001B28E4" w:rsidRPr="004817BF">
        <w:rPr>
          <w:lang w:val="en-GB"/>
        </w:rPr>
        <w:t>,</w:t>
      </w:r>
      <w:r w:rsidRPr="004817BF">
        <w:rPr>
          <w:lang w:val="en-GB"/>
        </w:rPr>
        <w:t xml:space="preserve"> and </w:t>
      </w:r>
      <w:r w:rsidR="001B28E4" w:rsidRPr="004817BF">
        <w:rPr>
          <w:lang w:val="en-GB"/>
        </w:rPr>
        <w:t xml:space="preserve">an </w:t>
      </w:r>
      <w:r w:rsidRPr="004817BF">
        <w:rPr>
          <w:lang w:val="en-GB"/>
        </w:rPr>
        <w:t>84 per cent unbanked population</w:t>
      </w:r>
      <w:r w:rsidR="00C21E4E" w:rsidRPr="004817BF">
        <w:rPr>
          <w:lang w:val="en-GB"/>
        </w:rPr>
        <w:t>,</w:t>
      </w:r>
      <w:r w:rsidRPr="004817BF">
        <w:rPr>
          <w:rStyle w:val="EndnoteReference"/>
          <w:lang w:val="en-GB"/>
        </w:rPr>
        <w:endnoteReference w:id="10"/>
      </w:r>
      <w:r w:rsidRPr="004817BF">
        <w:rPr>
          <w:lang w:val="en-GB"/>
        </w:rPr>
        <w:t xml:space="preserve"> transfer of money from cities and towns to villages was an issue. People would often travel long distances to pay bills or hand over cash to relatives, </w:t>
      </w:r>
      <w:r w:rsidR="001B28E4" w:rsidRPr="004817BF">
        <w:rPr>
          <w:lang w:val="en-GB"/>
        </w:rPr>
        <w:t>which was</w:t>
      </w:r>
      <w:r w:rsidRPr="004817BF">
        <w:rPr>
          <w:lang w:val="en-GB"/>
        </w:rPr>
        <w:t xml:space="preserve"> inefficient and expensive. While urbanization and rural </w:t>
      </w:r>
      <w:proofErr w:type="spellStart"/>
      <w:r w:rsidRPr="004817BF">
        <w:rPr>
          <w:lang w:val="en-GB"/>
        </w:rPr>
        <w:t>microentrepreneurship</w:t>
      </w:r>
      <w:proofErr w:type="spellEnd"/>
      <w:r w:rsidRPr="004817BF">
        <w:rPr>
          <w:lang w:val="en-GB"/>
        </w:rPr>
        <w:t xml:space="preserve"> generated a demand for easy financial transactions, few players could meet the demand.</w:t>
      </w:r>
    </w:p>
    <w:p w14:paraId="67430A06" w14:textId="77777777" w:rsidR="005E5FBE" w:rsidRPr="004817BF" w:rsidRDefault="005E5FBE" w:rsidP="00626659">
      <w:pPr>
        <w:pStyle w:val="BodyTextMain"/>
        <w:rPr>
          <w:lang w:val="en-GB"/>
        </w:rPr>
      </w:pPr>
    </w:p>
    <w:p w14:paraId="38C7B8CE" w14:textId="52E03541" w:rsidR="00B70C15" w:rsidRPr="004817BF" w:rsidRDefault="005E5FBE" w:rsidP="00626659">
      <w:pPr>
        <w:pStyle w:val="BodyTextMain"/>
        <w:rPr>
          <w:lang w:val="en-GB"/>
        </w:rPr>
      </w:pPr>
      <w:r w:rsidRPr="004817BF">
        <w:rPr>
          <w:spacing w:val="-2"/>
          <w:kern w:val="22"/>
          <w:lang w:val="en-GB"/>
        </w:rPr>
        <w:t>One of the options that people had in the early 2000s was u</w:t>
      </w:r>
      <w:r w:rsidR="001B28E4" w:rsidRPr="004817BF">
        <w:rPr>
          <w:spacing w:val="-2"/>
          <w:kern w:val="22"/>
          <w:lang w:val="en-GB"/>
        </w:rPr>
        <w:t>s</w:t>
      </w:r>
      <w:r w:rsidRPr="004817BF">
        <w:rPr>
          <w:spacing w:val="-2"/>
          <w:kern w:val="22"/>
          <w:lang w:val="en-GB"/>
        </w:rPr>
        <w:t xml:space="preserve">ing the services of banks. However, there were </w:t>
      </w:r>
      <w:r w:rsidR="001B28E4" w:rsidRPr="004817BF">
        <w:rPr>
          <w:spacing w:val="-2"/>
          <w:kern w:val="22"/>
          <w:lang w:val="en-GB"/>
        </w:rPr>
        <w:t xml:space="preserve">few </w:t>
      </w:r>
      <w:r w:rsidRPr="004817BF">
        <w:rPr>
          <w:spacing w:val="-2"/>
          <w:kern w:val="22"/>
          <w:lang w:val="en-GB"/>
        </w:rPr>
        <w:t>incentives for formal banks to venture out to unchartered territories. T</w:t>
      </w:r>
      <w:r w:rsidR="001B28E4" w:rsidRPr="004817BF">
        <w:rPr>
          <w:spacing w:val="-2"/>
          <w:kern w:val="22"/>
          <w:lang w:val="en-GB"/>
        </w:rPr>
        <w:t xml:space="preserve">he reason was partly </w:t>
      </w:r>
      <w:r w:rsidRPr="004817BF">
        <w:rPr>
          <w:spacing w:val="-2"/>
          <w:kern w:val="22"/>
          <w:lang w:val="en-GB"/>
        </w:rPr>
        <w:t xml:space="preserve">Bangladesh’s weak infrastructure and partly a lack of the right type of technology that could reach the poor. </w:t>
      </w:r>
      <w:r w:rsidRPr="004817BF">
        <w:rPr>
          <w:lang w:val="en-GB"/>
        </w:rPr>
        <w:t>While banks were highly compliant as far as regulation was concerned, they did not cater to the basic needs of the low-income population</w:t>
      </w:r>
      <w:r w:rsidR="001B28E4" w:rsidRPr="004817BF">
        <w:rPr>
          <w:lang w:val="en-GB"/>
        </w:rPr>
        <w:t xml:space="preserve"> </w:t>
      </w:r>
      <w:r w:rsidRPr="004817BF">
        <w:rPr>
          <w:lang w:val="en-GB"/>
        </w:rPr>
        <w:t>looking for an easy, efficient</w:t>
      </w:r>
      <w:r w:rsidR="001B28E4" w:rsidRPr="004817BF">
        <w:rPr>
          <w:lang w:val="en-GB"/>
        </w:rPr>
        <w:t>,</w:t>
      </w:r>
      <w:r w:rsidRPr="004817BF">
        <w:rPr>
          <w:lang w:val="en-GB"/>
        </w:rPr>
        <w:t xml:space="preserve"> and cost</w:t>
      </w:r>
      <w:r w:rsidR="001B28E4" w:rsidRPr="004817BF">
        <w:rPr>
          <w:lang w:val="en-GB"/>
        </w:rPr>
        <w:t>-</w:t>
      </w:r>
      <w:r w:rsidRPr="004817BF">
        <w:rPr>
          <w:lang w:val="en-GB"/>
        </w:rPr>
        <w:t xml:space="preserve">effective financial service. </w:t>
      </w:r>
    </w:p>
    <w:p w14:paraId="45C0FCE0" w14:textId="77777777" w:rsidR="00B70C15" w:rsidRPr="004817BF" w:rsidRDefault="00B70C15" w:rsidP="00626659">
      <w:pPr>
        <w:pStyle w:val="BodyTextMain"/>
        <w:rPr>
          <w:lang w:val="en-GB"/>
        </w:rPr>
      </w:pPr>
    </w:p>
    <w:p w14:paraId="5642052F" w14:textId="4BC16EE1" w:rsidR="005E5FBE" w:rsidRPr="004817BF" w:rsidRDefault="005E5FBE" w:rsidP="00626659">
      <w:pPr>
        <w:pStyle w:val="BodyTextMain"/>
        <w:rPr>
          <w:lang w:val="en-GB"/>
        </w:rPr>
      </w:pPr>
      <w:r w:rsidRPr="004817BF">
        <w:rPr>
          <w:lang w:val="en-GB"/>
        </w:rPr>
        <w:t>Highly process</w:t>
      </w:r>
      <w:r w:rsidR="001B28E4" w:rsidRPr="004817BF">
        <w:rPr>
          <w:lang w:val="en-GB"/>
        </w:rPr>
        <w:t xml:space="preserve"> </w:t>
      </w:r>
      <w:r w:rsidRPr="004817BF">
        <w:rPr>
          <w:lang w:val="en-GB"/>
        </w:rPr>
        <w:t xml:space="preserve">oriented, and barely accessible, banks did not attract much volume in terms of mass money transfer. </w:t>
      </w:r>
      <w:r w:rsidR="00753E4E" w:rsidRPr="004817BF">
        <w:rPr>
          <w:lang w:val="en-GB"/>
        </w:rPr>
        <w:t>The p</w:t>
      </w:r>
      <w:r w:rsidRPr="004817BF">
        <w:rPr>
          <w:lang w:val="en-GB"/>
        </w:rPr>
        <w:t>ower distance</w:t>
      </w:r>
      <w:r w:rsidR="00753E4E" w:rsidRPr="004817BF">
        <w:rPr>
          <w:lang w:val="en-GB"/>
        </w:rPr>
        <w:t xml:space="preserve"> between formal banking employees and common uneducated people</w:t>
      </w:r>
      <w:r w:rsidRPr="004817BF">
        <w:rPr>
          <w:lang w:val="en-GB"/>
        </w:rPr>
        <w:t>, a</w:t>
      </w:r>
      <w:r w:rsidR="009C1A4D" w:rsidRPr="004817BF">
        <w:rPr>
          <w:lang w:val="en-GB"/>
        </w:rPr>
        <w:t>s well as</w:t>
      </w:r>
      <w:r w:rsidRPr="004817BF">
        <w:rPr>
          <w:lang w:val="en-GB"/>
        </w:rPr>
        <w:t xml:space="preserve"> regulatory compliance</w:t>
      </w:r>
      <w:r w:rsidR="00753E4E" w:rsidRPr="004817BF">
        <w:rPr>
          <w:lang w:val="en-GB"/>
        </w:rPr>
        <w:t>s</w:t>
      </w:r>
      <w:r w:rsidRPr="004817BF">
        <w:rPr>
          <w:lang w:val="en-GB"/>
        </w:rPr>
        <w:t xml:space="preserve"> continued to be key barriers to u</w:t>
      </w:r>
      <w:r w:rsidR="001B28E4" w:rsidRPr="004817BF">
        <w:rPr>
          <w:lang w:val="en-GB"/>
        </w:rPr>
        <w:t>s</w:t>
      </w:r>
      <w:r w:rsidRPr="004817BF">
        <w:rPr>
          <w:lang w:val="en-GB"/>
        </w:rPr>
        <w:t>ing bank services. The processes</w:t>
      </w:r>
      <w:r w:rsidR="00753E4E" w:rsidRPr="004817BF">
        <w:rPr>
          <w:lang w:val="en-GB"/>
        </w:rPr>
        <w:t xml:space="preserve"> and formalities required for setting up bank accounts</w:t>
      </w:r>
      <w:r w:rsidRPr="004817BF">
        <w:rPr>
          <w:lang w:val="en-GB"/>
        </w:rPr>
        <w:t xml:space="preserve"> were complicated for common illiterate or semi-literate pe</w:t>
      </w:r>
      <w:r w:rsidR="00B70C15" w:rsidRPr="004817BF">
        <w:rPr>
          <w:lang w:val="en-GB"/>
        </w:rPr>
        <w:t>ople</w:t>
      </w:r>
      <w:r w:rsidRPr="004817BF">
        <w:rPr>
          <w:lang w:val="en-GB"/>
        </w:rPr>
        <w:t xml:space="preserve">. Moreover, given the kind of overhead costs involved </w:t>
      </w:r>
      <w:r w:rsidR="001B28E4" w:rsidRPr="004817BF">
        <w:rPr>
          <w:lang w:val="en-GB"/>
        </w:rPr>
        <w:t xml:space="preserve">in </w:t>
      </w:r>
      <w:r w:rsidRPr="004817BF">
        <w:rPr>
          <w:lang w:val="en-GB"/>
        </w:rPr>
        <w:t>setting up a bank structure</w:t>
      </w:r>
      <w:r w:rsidR="006976EB" w:rsidRPr="004817BF">
        <w:rPr>
          <w:lang w:val="en-GB"/>
        </w:rPr>
        <w:t>—</w:t>
      </w:r>
      <w:r w:rsidRPr="004817BF">
        <w:rPr>
          <w:lang w:val="en-GB"/>
        </w:rPr>
        <w:t>along with security, employees, logistics, and utilities</w:t>
      </w:r>
      <w:r w:rsidR="006976EB" w:rsidRPr="004817BF">
        <w:rPr>
          <w:lang w:val="en-GB"/>
        </w:rPr>
        <w:t>—</w:t>
      </w:r>
      <w:r w:rsidRPr="004817BF">
        <w:rPr>
          <w:lang w:val="en-GB"/>
        </w:rPr>
        <w:t xml:space="preserve">banks did not find </w:t>
      </w:r>
      <w:r w:rsidR="001B28E4" w:rsidRPr="004817BF">
        <w:rPr>
          <w:lang w:val="en-GB"/>
        </w:rPr>
        <w:t xml:space="preserve">it </w:t>
      </w:r>
      <w:r w:rsidRPr="004817BF">
        <w:rPr>
          <w:lang w:val="en-GB"/>
        </w:rPr>
        <w:t>financial</w:t>
      </w:r>
      <w:r w:rsidR="001B28E4" w:rsidRPr="004817BF">
        <w:rPr>
          <w:lang w:val="en-GB"/>
        </w:rPr>
        <w:t>ly</w:t>
      </w:r>
      <w:r w:rsidRPr="004817BF">
        <w:rPr>
          <w:lang w:val="en-GB"/>
        </w:rPr>
        <w:t xml:space="preserve"> feasib</w:t>
      </w:r>
      <w:r w:rsidR="001B28E4" w:rsidRPr="004817BF">
        <w:rPr>
          <w:lang w:val="en-GB"/>
        </w:rPr>
        <w:t>le</w:t>
      </w:r>
      <w:r w:rsidRPr="004817BF">
        <w:rPr>
          <w:lang w:val="en-GB"/>
        </w:rPr>
        <w:t xml:space="preserve"> </w:t>
      </w:r>
      <w:r w:rsidR="001B28E4" w:rsidRPr="004817BF">
        <w:rPr>
          <w:lang w:val="en-GB"/>
        </w:rPr>
        <w:t>to</w:t>
      </w:r>
      <w:r w:rsidRPr="004817BF">
        <w:rPr>
          <w:lang w:val="en-GB"/>
        </w:rPr>
        <w:t xml:space="preserve"> extend services beyond urban and suburban areas. This left a major chunk of the Bangladeshi population unbanked.</w:t>
      </w:r>
    </w:p>
    <w:p w14:paraId="3DCDC679" w14:textId="77777777" w:rsidR="005E5FBE" w:rsidRPr="004817BF" w:rsidRDefault="005E5FBE" w:rsidP="00626659">
      <w:pPr>
        <w:pStyle w:val="BodyTextMain"/>
        <w:rPr>
          <w:lang w:val="en-GB"/>
        </w:rPr>
      </w:pPr>
    </w:p>
    <w:p w14:paraId="1A43E71A" w14:textId="59C043B8" w:rsidR="005E5FBE" w:rsidRPr="004817BF" w:rsidRDefault="00B70C15" w:rsidP="00626659">
      <w:pPr>
        <w:pStyle w:val="BodyTextMain"/>
        <w:rPr>
          <w:lang w:val="en-GB"/>
        </w:rPr>
      </w:pPr>
      <w:r w:rsidRPr="004817BF">
        <w:rPr>
          <w:lang w:val="en-GB"/>
        </w:rPr>
        <w:t xml:space="preserve">Another </w:t>
      </w:r>
      <w:r w:rsidR="005E5FBE" w:rsidRPr="004817BF">
        <w:rPr>
          <w:lang w:val="en-GB"/>
        </w:rPr>
        <w:t>option people had was sending money through the Bangladesh Post Office. This required a trip to the nearest post office</w:t>
      </w:r>
      <w:r w:rsidR="00FE6BB5" w:rsidRPr="004817BF">
        <w:rPr>
          <w:lang w:val="en-GB"/>
        </w:rPr>
        <w:t>. Although easier than using the services of a bank, the formalities were</w:t>
      </w:r>
      <w:r w:rsidR="005E5FBE" w:rsidRPr="004817BF">
        <w:rPr>
          <w:lang w:val="en-GB"/>
        </w:rPr>
        <w:t xml:space="preserve"> still rather complicated for common </w:t>
      </w:r>
      <w:r w:rsidR="00FC0CF5" w:rsidRPr="004817BF">
        <w:rPr>
          <w:lang w:val="en-GB"/>
        </w:rPr>
        <w:t>people. T</w:t>
      </w:r>
      <w:r w:rsidR="005E5FBE" w:rsidRPr="004817BF">
        <w:rPr>
          <w:lang w:val="en-GB"/>
        </w:rPr>
        <w:t xml:space="preserve">he number of post offices was limited, </w:t>
      </w:r>
      <w:r w:rsidR="00FC0CF5" w:rsidRPr="004817BF">
        <w:rPr>
          <w:lang w:val="en-GB"/>
        </w:rPr>
        <w:t>and ac</w:t>
      </w:r>
      <w:r w:rsidR="005E5FBE" w:rsidRPr="004817BF">
        <w:rPr>
          <w:lang w:val="en-GB"/>
        </w:rPr>
        <w:t>cess points were inadequate.</w:t>
      </w:r>
    </w:p>
    <w:p w14:paraId="020FD5FC" w14:textId="0E70A7B2" w:rsidR="005E5FBE" w:rsidRPr="004817BF" w:rsidRDefault="005E5FBE" w:rsidP="00626659">
      <w:pPr>
        <w:pStyle w:val="BodyTextMain"/>
        <w:rPr>
          <w:lang w:val="en-GB"/>
        </w:rPr>
      </w:pPr>
      <w:r w:rsidRPr="004817BF">
        <w:rPr>
          <w:lang w:val="en-GB"/>
        </w:rPr>
        <w:lastRenderedPageBreak/>
        <w:t>Alternatively, people could</w:t>
      </w:r>
      <w:r w:rsidR="006976EB" w:rsidRPr="004817BF">
        <w:rPr>
          <w:lang w:val="en-GB"/>
        </w:rPr>
        <w:t xml:space="preserve"> use a </w:t>
      </w:r>
      <w:r w:rsidRPr="004817BF">
        <w:rPr>
          <w:lang w:val="en-GB"/>
        </w:rPr>
        <w:t>passenger bus company</w:t>
      </w:r>
      <w:r w:rsidR="00B70C15" w:rsidRPr="004817BF">
        <w:rPr>
          <w:lang w:val="en-GB"/>
        </w:rPr>
        <w:t xml:space="preserve"> that had </w:t>
      </w:r>
      <w:r w:rsidRPr="004817BF">
        <w:rPr>
          <w:lang w:val="en-GB"/>
        </w:rPr>
        <w:t>expanded its services to transfer money. The company adhered to none of the bank regulations</w:t>
      </w:r>
      <w:r w:rsidR="006976EB" w:rsidRPr="004817BF">
        <w:rPr>
          <w:lang w:val="en-GB"/>
        </w:rPr>
        <w:t>,</w:t>
      </w:r>
      <w:r w:rsidRPr="004817BF">
        <w:rPr>
          <w:lang w:val="en-GB"/>
        </w:rPr>
        <w:t xml:space="preserve"> and the money transfer process worked in a way similar to that of the post office. </w:t>
      </w:r>
    </w:p>
    <w:p w14:paraId="3490E549" w14:textId="77777777" w:rsidR="005E5FBE" w:rsidRPr="004817BF" w:rsidRDefault="005E5FBE" w:rsidP="00626659">
      <w:pPr>
        <w:pStyle w:val="BodyTextMain"/>
        <w:rPr>
          <w:lang w:val="en-GB"/>
        </w:rPr>
      </w:pPr>
    </w:p>
    <w:p w14:paraId="35B8F8F7" w14:textId="0FCDFD3D" w:rsidR="005E5FBE" w:rsidRPr="004817BF" w:rsidRDefault="005E5FBE" w:rsidP="00626659">
      <w:pPr>
        <w:pStyle w:val="BodyTextMain"/>
        <w:rPr>
          <w:lang w:val="en-GB"/>
        </w:rPr>
      </w:pPr>
      <w:r w:rsidRPr="004817BF">
        <w:rPr>
          <w:lang w:val="en-GB"/>
        </w:rPr>
        <w:t xml:space="preserve">The final option senders had was relying on family and friends. While this was an effective method, both sending and receiving parties had </w:t>
      </w:r>
      <w:r w:rsidR="006976EB" w:rsidRPr="004817BF">
        <w:rPr>
          <w:lang w:val="en-GB"/>
        </w:rPr>
        <w:t xml:space="preserve">to </w:t>
      </w:r>
      <w:r w:rsidRPr="004817BF">
        <w:rPr>
          <w:lang w:val="en-GB"/>
        </w:rPr>
        <w:t>depend</w:t>
      </w:r>
      <w:r w:rsidR="006976EB" w:rsidRPr="004817BF">
        <w:rPr>
          <w:lang w:val="en-GB"/>
        </w:rPr>
        <w:t xml:space="preserve"> a lot</w:t>
      </w:r>
      <w:r w:rsidRPr="004817BF">
        <w:rPr>
          <w:lang w:val="en-GB"/>
        </w:rPr>
        <w:t xml:space="preserve"> on friend</w:t>
      </w:r>
      <w:r w:rsidR="006976EB" w:rsidRPr="004817BF">
        <w:rPr>
          <w:lang w:val="en-GB"/>
        </w:rPr>
        <w:t xml:space="preserve">s and </w:t>
      </w:r>
      <w:r w:rsidRPr="004817BF">
        <w:rPr>
          <w:lang w:val="en-GB"/>
        </w:rPr>
        <w:t>family members’ schedule</w:t>
      </w:r>
      <w:r w:rsidR="006976EB" w:rsidRPr="004817BF">
        <w:rPr>
          <w:lang w:val="en-GB"/>
        </w:rPr>
        <w:t xml:space="preserve">s, </w:t>
      </w:r>
      <w:r w:rsidRPr="004817BF">
        <w:rPr>
          <w:lang w:val="en-GB"/>
        </w:rPr>
        <w:t>not to mention their reliability. Thi</w:t>
      </w:r>
      <w:r w:rsidR="006976EB" w:rsidRPr="004817BF">
        <w:rPr>
          <w:lang w:val="en-GB"/>
        </w:rPr>
        <w:t>s option</w:t>
      </w:r>
      <w:r w:rsidRPr="004817BF">
        <w:rPr>
          <w:lang w:val="en-GB"/>
        </w:rPr>
        <w:t xml:space="preserve"> proved to be not only inconvenient but also risky.</w:t>
      </w:r>
    </w:p>
    <w:p w14:paraId="1433E53D" w14:textId="77777777" w:rsidR="005E5FBE" w:rsidRPr="004817BF" w:rsidRDefault="005E5FBE" w:rsidP="00626659">
      <w:pPr>
        <w:pStyle w:val="BodyTextMain"/>
        <w:rPr>
          <w:lang w:val="en-GB"/>
        </w:rPr>
      </w:pPr>
    </w:p>
    <w:p w14:paraId="25EE0FE8" w14:textId="79755143" w:rsidR="005E5FBE" w:rsidRPr="004817BF" w:rsidRDefault="005E5FBE" w:rsidP="00626659">
      <w:pPr>
        <w:pStyle w:val="BodyTextMain"/>
        <w:rPr>
          <w:lang w:val="en-GB"/>
        </w:rPr>
      </w:pPr>
      <w:r w:rsidRPr="004817BF">
        <w:rPr>
          <w:lang w:val="en-GB"/>
        </w:rPr>
        <w:t>Overall, sending money to family members was either expensive, complex</w:t>
      </w:r>
      <w:r w:rsidR="006976EB" w:rsidRPr="004817BF">
        <w:rPr>
          <w:lang w:val="en-GB"/>
        </w:rPr>
        <w:t>,</w:t>
      </w:r>
      <w:r w:rsidRPr="004817BF">
        <w:rPr>
          <w:lang w:val="en-GB"/>
        </w:rPr>
        <w:t xml:space="preserve"> or insecure</w:t>
      </w:r>
      <w:r w:rsidR="006976EB" w:rsidRPr="004817BF">
        <w:rPr>
          <w:lang w:val="en-GB"/>
        </w:rPr>
        <w:t>. It p</w:t>
      </w:r>
      <w:r w:rsidRPr="004817BF">
        <w:rPr>
          <w:lang w:val="en-GB"/>
        </w:rPr>
        <w:t>revented opportunities from trickling down and empowering people at the lower levels of society</w:t>
      </w:r>
      <w:r w:rsidR="00DA630A" w:rsidRPr="004817BF">
        <w:rPr>
          <w:lang w:val="en-GB"/>
        </w:rPr>
        <w:t xml:space="preserve"> where most people relied</w:t>
      </w:r>
      <w:r w:rsidRPr="004817BF">
        <w:rPr>
          <w:lang w:val="en-GB"/>
        </w:rPr>
        <w:t xml:space="preserve"> on cash transactions. The lack of equal opportunity to access financial services left poor people at a disadvantage. For instance, students pursuing education away from villages had to rely on inefficient means to obtain college fees from parents, such as spending time travelling back and forth. Aside from time spent, carrying cash around posed real dangers </w:t>
      </w:r>
      <w:r w:rsidR="006976EB" w:rsidRPr="004817BF">
        <w:rPr>
          <w:lang w:val="en-GB"/>
        </w:rPr>
        <w:t xml:space="preserve">from </w:t>
      </w:r>
      <w:r w:rsidRPr="004817BF">
        <w:rPr>
          <w:lang w:val="en-GB"/>
        </w:rPr>
        <w:t xml:space="preserve">robbery. Finally, less than ideal flows of cash to and from the urban areas created opportunity costs for the poor. </w:t>
      </w:r>
    </w:p>
    <w:p w14:paraId="38E4FA58" w14:textId="77777777" w:rsidR="005E5FBE" w:rsidRPr="004817BF" w:rsidRDefault="005E5FBE" w:rsidP="00626659">
      <w:pPr>
        <w:pStyle w:val="BodyTextMain"/>
        <w:rPr>
          <w:lang w:val="en-GB"/>
        </w:rPr>
      </w:pPr>
    </w:p>
    <w:p w14:paraId="4364CB40" w14:textId="62F3EC3B" w:rsidR="005E5FBE" w:rsidRPr="004817BF" w:rsidRDefault="005E5FBE" w:rsidP="00626659">
      <w:pPr>
        <w:pStyle w:val="BodyTextMain"/>
        <w:rPr>
          <w:lang w:val="en-GB"/>
        </w:rPr>
      </w:pPr>
      <w:r w:rsidRPr="004817BF">
        <w:rPr>
          <w:lang w:val="en-GB"/>
        </w:rPr>
        <w:t xml:space="preserve">The inequality in terms of access to financial services had attracted the attention of </w:t>
      </w:r>
      <w:r w:rsidR="007849A6" w:rsidRPr="004817BF">
        <w:rPr>
          <w:lang w:val="en-GB"/>
        </w:rPr>
        <w:t xml:space="preserve">the </w:t>
      </w:r>
      <w:r w:rsidR="00A2241D" w:rsidRPr="004817BF">
        <w:rPr>
          <w:lang w:val="en-GB"/>
        </w:rPr>
        <w:t xml:space="preserve">Bangladesh </w:t>
      </w:r>
      <w:r w:rsidR="00045447" w:rsidRPr="004817BF">
        <w:rPr>
          <w:lang w:val="en-GB"/>
        </w:rPr>
        <w:t>c</w:t>
      </w:r>
      <w:r w:rsidRPr="004817BF">
        <w:rPr>
          <w:lang w:val="en-GB"/>
        </w:rPr>
        <w:t xml:space="preserve">entral </w:t>
      </w:r>
      <w:r w:rsidR="00045447" w:rsidRPr="004817BF">
        <w:rPr>
          <w:lang w:val="en-GB"/>
        </w:rPr>
        <w:t>b</w:t>
      </w:r>
      <w:r w:rsidRPr="004817BF">
        <w:rPr>
          <w:lang w:val="en-GB"/>
        </w:rPr>
        <w:t>ank</w:t>
      </w:r>
      <w:r w:rsidR="007849A6" w:rsidRPr="004817BF">
        <w:rPr>
          <w:lang w:val="en-GB"/>
        </w:rPr>
        <w:t xml:space="preserve">, </w:t>
      </w:r>
      <w:r w:rsidRPr="004817BF">
        <w:rPr>
          <w:lang w:val="en-GB"/>
        </w:rPr>
        <w:t xml:space="preserve">which put “financial inclusion” on the agenda. 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realized that macro-level monetary policy was ineffective without micro-level channels </w:t>
      </w:r>
      <w:r w:rsidR="006976EB" w:rsidRPr="004817BF">
        <w:rPr>
          <w:lang w:val="en-GB"/>
        </w:rPr>
        <w:t xml:space="preserve">to </w:t>
      </w:r>
      <w:r w:rsidRPr="004817BF">
        <w:rPr>
          <w:lang w:val="en-GB"/>
        </w:rPr>
        <w:t xml:space="preserve">facilitate financial flows throughout society. </w:t>
      </w:r>
    </w:p>
    <w:p w14:paraId="70D6F5E5" w14:textId="77777777" w:rsidR="002C10FA" w:rsidRPr="004817BF" w:rsidRDefault="002C10FA" w:rsidP="00626659">
      <w:pPr>
        <w:pStyle w:val="BodyTextMain"/>
        <w:rPr>
          <w:lang w:val="en-GB"/>
        </w:rPr>
      </w:pPr>
    </w:p>
    <w:p w14:paraId="36483EC9" w14:textId="77777777" w:rsidR="00980931" w:rsidRPr="004817BF" w:rsidRDefault="00980931" w:rsidP="00626659">
      <w:pPr>
        <w:pStyle w:val="BodyTextMain"/>
        <w:rPr>
          <w:lang w:val="en-GB"/>
        </w:rPr>
      </w:pPr>
    </w:p>
    <w:p w14:paraId="0CD62275" w14:textId="77777777" w:rsidR="005E5FBE" w:rsidRPr="004817BF" w:rsidRDefault="005E5FBE" w:rsidP="00C41870">
      <w:pPr>
        <w:pStyle w:val="Casehead1"/>
        <w:rPr>
          <w:lang w:val="en-GB"/>
        </w:rPr>
      </w:pPr>
      <w:r w:rsidRPr="004817BF">
        <w:rPr>
          <w:lang w:val="en-GB"/>
        </w:rPr>
        <w:t>Kamal Quadir: The innovator</w:t>
      </w:r>
    </w:p>
    <w:p w14:paraId="0DF48B91" w14:textId="77777777" w:rsidR="005E5FBE" w:rsidRPr="004817BF" w:rsidRDefault="005E5FBE" w:rsidP="00626659">
      <w:pPr>
        <w:pStyle w:val="BodyTextMain"/>
        <w:rPr>
          <w:lang w:val="en-GB"/>
        </w:rPr>
      </w:pPr>
    </w:p>
    <w:p w14:paraId="799B01D4" w14:textId="42F7A526" w:rsidR="005E5FBE" w:rsidRPr="004817BF" w:rsidRDefault="005E5FBE" w:rsidP="00626659">
      <w:pPr>
        <w:pStyle w:val="BodyTextMain"/>
        <w:rPr>
          <w:lang w:val="en-GB"/>
        </w:rPr>
      </w:pPr>
      <w:r w:rsidRPr="004817BF">
        <w:rPr>
          <w:lang w:val="en-GB"/>
        </w:rPr>
        <w:t xml:space="preserve">The problem did not go unnoticed by </w:t>
      </w:r>
      <w:proofErr w:type="spellStart"/>
      <w:r w:rsidRPr="004817BF">
        <w:rPr>
          <w:lang w:val="en-GB"/>
        </w:rPr>
        <w:t>Quadir</w:t>
      </w:r>
      <w:proofErr w:type="spellEnd"/>
      <w:r w:rsidRPr="004817BF">
        <w:rPr>
          <w:lang w:val="en-GB"/>
        </w:rPr>
        <w:t>, a Ba</w:t>
      </w:r>
      <w:r w:rsidR="00B35D93" w:rsidRPr="004817BF">
        <w:rPr>
          <w:lang w:val="en-GB"/>
        </w:rPr>
        <w:t>ngladeshi American entrepreneur</w:t>
      </w:r>
      <w:r w:rsidRPr="004817BF">
        <w:rPr>
          <w:lang w:val="en-GB"/>
        </w:rPr>
        <w:t xml:space="preserve">. </w:t>
      </w:r>
      <w:proofErr w:type="spellStart"/>
      <w:r w:rsidRPr="004817BF">
        <w:rPr>
          <w:lang w:val="en-GB"/>
        </w:rPr>
        <w:t>Quadir</w:t>
      </w:r>
      <w:proofErr w:type="spellEnd"/>
      <w:r w:rsidRPr="004817BF">
        <w:rPr>
          <w:lang w:val="en-GB"/>
        </w:rPr>
        <w:t xml:space="preserve"> came from a family of entrepreneurs; his brother Iqbal was a big inspiration who left his lucrative career as an investment banker in New York in the mid</w:t>
      </w:r>
      <w:r w:rsidR="006538AF" w:rsidRPr="004817BF">
        <w:rPr>
          <w:lang w:val="en-GB"/>
        </w:rPr>
        <w:t>-19</w:t>
      </w:r>
      <w:r w:rsidRPr="004817BF">
        <w:rPr>
          <w:lang w:val="en-GB"/>
        </w:rPr>
        <w:t xml:space="preserve">90s and returned to Bangladesh to set up </w:t>
      </w:r>
      <w:proofErr w:type="spellStart"/>
      <w:r w:rsidRPr="004817BF">
        <w:rPr>
          <w:lang w:val="en-GB"/>
        </w:rPr>
        <w:t>Grameenphone</w:t>
      </w:r>
      <w:proofErr w:type="spellEnd"/>
      <w:r w:rsidR="00E85C0C" w:rsidRPr="004817BF">
        <w:rPr>
          <w:lang w:val="en-GB"/>
        </w:rPr>
        <w:t xml:space="preserve"> Limited (</w:t>
      </w:r>
      <w:proofErr w:type="spellStart"/>
      <w:r w:rsidR="00E85C0C" w:rsidRPr="004817BF">
        <w:rPr>
          <w:lang w:val="en-GB"/>
        </w:rPr>
        <w:t>Grameenphone</w:t>
      </w:r>
      <w:proofErr w:type="spellEnd"/>
      <w:r w:rsidR="00E85C0C" w:rsidRPr="004817BF">
        <w:rPr>
          <w:lang w:val="en-GB"/>
        </w:rPr>
        <w:t>)</w:t>
      </w:r>
      <w:r w:rsidRPr="004817BF">
        <w:rPr>
          <w:lang w:val="en-GB"/>
        </w:rPr>
        <w:t>, the largest telco in the country with revenue of US</w:t>
      </w:r>
      <w:r w:rsidR="006538AF" w:rsidRPr="004817BF">
        <w:rPr>
          <w:lang w:val="en-GB"/>
        </w:rPr>
        <w:t>$</w:t>
      </w:r>
      <w:r w:rsidRPr="004817BF">
        <w:rPr>
          <w:lang w:val="en-GB"/>
        </w:rPr>
        <w:t>1.</w:t>
      </w:r>
      <w:r w:rsidR="0049428B" w:rsidRPr="004817BF">
        <w:rPr>
          <w:lang w:val="en-GB"/>
        </w:rPr>
        <w:t>4</w:t>
      </w:r>
      <w:r w:rsidRPr="004817BF">
        <w:rPr>
          <w:lang w:val="en-GB"/>
        </w:rPr>
        <w:t xml:space="preserve"> billion</w:t>
      </w:r>
      <w:r w:rsidR="0049428B" w:rsidRPr="004817BF">
        <w:rPr>
          <w:lang w:val="en-GB"/>
        </w:rPr>
        <w:t xml:space="preserve"> in 2016</w:t>
      </w:r>
      <w:r w:rsidRPr="004817BF">
        <w:rPr>
          <w:lang w:val="en-GB"/>
        </w:rPr>
        <w:t>.</w:t>
      </w:r>
      <w:r w:rsidRPr="004817BF">
        <w:rPr>
          <w:rStyle w:val="EndnoteReference"/>
          <w:lang w:val="en-GB"/>
        </w:rPr>
        <w:endnoteReference w:id="11"/>
      </w:r>
      <w:r w:rsidR="00B055F0" w:rsidRPr="004817BF">
        <w:rPr>
          <w:lang w:val="en-GB"/>
        </w:rPr>
        <w:t xml:space="preserve"> </w:t>
      </w:r>
      <w:proofErr w:type="spellStart"/>
      <w:r w:rsidRPr="004817BF">
        <w:rPr>
          <w:lang w:val="en-GB"/>
        </w:rPr>
        <w:t>Quadir</w:t>
      </w:r>
      <w:proofErr w:type="spellEnd"/>
      <w:r w:rsidRPr="004817BF">
        <w:rPr>
          <w:lang w:val="en-GB"/>
        </w:rPr>
        <w:t xml:space="preserve">, who studied </w:t>
      </w:r>
      <w:r w:rsidR="006538AF" w:rsidRPr="004817BF">
        <w:rPr>
          <w:lang w:val="en-GB"/>
        </w:rPr>
        <w:t>s</w:t>
      </w:r>
      <w:r w:rsidRPr="004817BF">
        <w:rPr>
          <w:lang w:val="en-GB"/>
        </w:rPr>
        <w:t xml:space="preserve">tudio </w:t>
      </w:r>
      <w:r w:rsidR="006538AF" w:rsidRPr="004817BF">
        <w:rPr>
          <w:lang w:val="en-GB"/>
        </w:rPr>
        <w:t>a</w:t>
      </w:r>
      <w:r w:rsidRPr="004817BF">
        <w:rPr>
          <w:lang w:val="en-GB"/>
        </w:rPr>
        <w:t xml:space="preserve">rt and </w:t>
      </w:r>
      <w:r w:rsidR="00B55B7B" w:rsidRPr="004817BF">
        <w:rPr>
          <w:lang w:val="en-GB"/>
        </w:rPr>
        <w:t>e</w:t>
      </w:r>
      <w:r w:rsidRPr="004817BF">
        <w:rPr>
          <w:lang w:val="en-GB"/>
        </w:rPr>
        <w:t xml:space="preserve">conomics </w:t>
      </w:r>
      <w:r w:rsidR="006538AF" w:rsidRPr="004817BF">
        <w:rPr>
          <w:lang w:val="en-GB"/>
        </w:rPr>
        <w:t>at</w:t>
      </w:r>
      <w:r w:rsidRPr="004817BF">
        <w:rPr>
          <w:lang w:val="en-GB"/>
        </w:rPr>
        <w:t xml:space="preserve"> Oberlin College, Ohio</w:t>
      </w:r>
      <w:r w:rsidR="006538AF" w:rsidRPr="004817BF">
        <w:rPr>
          <w:lang w:val="en-GB"/>
        </w:rPr>
        <w:t>,</w:t>
      </w:r>
      <w:r w:rsidRPr="004817BF">
        <w:rPr>
          <w:lang w:val="en-GB"/>
        </w:rPr>
        <w:t xml:space="preserve"> and later </w:t>
      </w:r>
      <w:r w:rsidR="00E46EC9" w:rsidRPr="004817BF">
        <w:rPr>
          <w:lang w:val="en-GB"/>
        </w:rPr>
        <w:t>received</w:t>
      </w:r>
      <w:r w:rsidRPr="004817BF">
        <w:rPr>
          <w:lang w:val="en-GB"/>
        </w:rPr>
        <w:t xml:space="preserve"> a</w:t>
      </w:r>
      <w:r w:rsidR="0062513A">
        <w:rPr>
          <w:lang w:val="en-GB"/>
        </w:rPr>
        <w:t xml:space="preserve"> master of business administration (</w:t>
      </w:r>
      <w:r w:rsidRPr="004817BF">
        <w:rPr>
          <w:lang w:val="en-GB"/>
        </w:rPr>
        <w:t>MBA</w:t>
      </w:r>
      <w:r w:rsidR="0062513A">
        <w:rPr>
          <w:lang w:val="en-GB"/>
        </w:rPr>
        <w:t xml:space="preserve">) </w:t>
      </w:r>
      <w:r w:rsidRPr="004817BF">
        <w:rPr>
          <w:lang w:val="en-GB"/>
        </w:rPr>
        <w:t xml:space="preserve">from </w:t>
      </w:r>
      <w:r w:rsidR="00B55B7B" w:rsidRPr="004817BF">
        <w:rPr>
          <w:lang w:val="en-GB"/>
        </w:rPr>
        <w:t>the Massachu</w:t>
      </w:r>
      <w:r w:rsidR="006538AF" w:rsidRPr="004817BF">
        <w:rPr>
          <w:lang w:val="en-GB"/>
        </w:rPr>
        <w:t>set</w:t>
      </w:r>
      <w:r w:rsidR="00B55B7B" w:rsidRPr="004817BF">
        <w:rPr>
          <w:lang w:val="en-GB"/>
        </w:rPr>
        <w:t>t</w:t>
      </w:r>
      <w:r w:rsidR="006538AF" w:rsidRPr="004817BF">
        <w:rPr>
          <w:lang w:val="en-GB"/>
        </w:rPr>
        <w:t xml:space="preserve">s Institute of </w:t>
      </w:r>
      <w:r w:rsidR="00922902" w:rsidRPr="004817BF">
        <w:rPr>
          <w:lang w:val="en-GB"/>
        </w:rPr>
        <w:t>Tech</w:t>
      </w:r>
      <w:r w:rsidR="006538AF" w:rsidRPr="004817BF">
        <w:rPr>
          <w:lang w:val="en-GB"/>
        </w:rPr>
        <w:t>nology</w:t>
      </w:r>
      <w:r w:rsidRPr="004817BF">
        <w:rPr>
          <w:lang w:val="en-GB"/>
        </w:rPr>
        <w:t xml:space="preserve">, was not only well aware of macroeconomic dynamics but </w:t>
      </w:r>
      <w:r w:rsidR="004A26AC" w:rsidRPr="004817BF">
        <w:rPr>
          <w:lang w:val="en-GB"/>
        </w:rPr>
        <w:t xml:space="preserve">also </w:t>
      </w:r>
      <w:r w:rsidRPr="004817BF">
        <w:rPr>
          <w:lang w:val="en-GB"/>
        </w:rPr>
        <w:t>well-equipped with business acumen to act on the urban</w:t>
      </w:r>
      <w:r w:rsidR="0062513A">
        <w:rPr>
          <w:lang w:val="en-GB"/>
        </w:rPr>
        <w:t>–</w:t>
      </w:r>
      <w:r w:rsidRPr="004817BF">
        <w:rPr>
          <w:lang w:val="en-GB"/>
        </w:rPr>
        <w:t xml:space="preserve">rural gap. </w:t>
      </w:r>
    </w:p>
    <w:p w14:paraId="4AA21F25" w14:textId="77777777" w:rsidR="005E5FBE" w:rsidRPr="004817BF" w:rsidRDefault="005E5FBE" w:rsidP="00626659">
      <w:pPr>
        <w:pStyle w:val="BodyTextMain"/>
        <w:rPr>
          <w:lang w:val="en-GB"/>
        </w:rPr>
      </w:pPr>
    </w:p>
    <w:p w14:paraId="4891B578" w14:textId="235A03AD" w:rsidR="005E5FBE" w:rsidRPr="004817BF" w:rsidRDefault="005E5FBE" w:rsidP="00626659">
      <w:pPr>
        <w:pStyle w:val="BodyTextMain"/>
        <w:rPr>
          <w:lang w:val="en-GB"/>
        </w:rPr>
      </w:pPr>
      <w:r w:rsidRPr="004817BF">
        <w:rPr>
          <w:lang w:val="en-GB"/>
        </w:rPr>
        <w:t xml:space="preserve">After finishing his MBA in 2005, </w:t>
      </w:r>
      <w:proofErr w:type="spellStart"/>
      <w:r w:rsidRPr="004817BF">
        <w:rPr>
          <w:lang w:val="en-GB"/>
        </w:rPr>
        <w:t>Quadir</w:t>
      </w:r>
      <w:proofErr w:type="spellEnd"/>
      <w:r w:rsidRPr="004817BF">
        <w:rPr>
          <w:lang w:val="en-GB"/>
        </w:rPr>
        <w:t xml:space="preserve"> founded </w:t>
      </w:r>
      <w:proofErr w:type="spellStart"/>
      <w:r w:rsidRPr="004817BF">
        <w:rPr>
          <w:lang w:val="en-GB"/>
        </w:rPr>
        <w:t>CellBazaar</w:t>
      </w:r>
      <w:proofErr w:type="spellEnd"/>
      <w:r w:rsidRPr="004817BF">
        <w:rPr>
          <w:lang w:val="en-GB"/>
        </w:rPr>
        <w:t>, a platform similar to eBay, as he said that there was “no efficient way for sellers to sell their item and buyers to look for it.” Instead of relying on computers</w:t>
      </w:r>
      <w:r w:rsidR="00B55B7B" w:rsidRPr="004817BF">
        <w:rPr>
          <w:lang w:val="en-GB"/>
        </w:rPr>
        <w:t>,</w:t>
      </w:r>
      <w:r w:rsidRPr="004817BF">
        <w:rPr>
          <w:lang w:val="en-GB"/>
        </w:rPr>
        <w:t xml:space="preserve"> he thought</w:t>
      </w:r>
      <w:r w:rsidR="005F16A9" w:rsidRPr="004817BF">
        <w:rPr>
          <w:lang w:val="en-GB"/>
        </w:rPr>
        <w:t xml:space="preserve"> the platform </w:t>
      </w:r>
      <w:r w:rsidRPr="004817BF">
        <w:rPr>
          <w:lang w:val="en-GB"/>
        </w:rPr>
        <w:t>should be based on mobile phones:</w:t>
      </w:r>
    </w:p>
    <w:p w14:paraId="18EB8D12" w14:textId="77777777" w:rsidR="005E5FBE" w:rsidRPr="004817BF" w:rsidRDefault="005E5FBE" w:rsidP="00626659">
      <w:pPr>
        <w:pStyle w:val="BodyTextMain"/>
        <w:rPr>
          <w:lang w:val="en-GB"/>
        </w:rPr>
      </w:pPr>
    </w:p>
    <w:p w14:paraId="1F8FA22A" w14:textId="31877FDE" w:rsidR="005E5FBE" w:rsidRPr="004817BF" w:rsidRDefault="005E5FBE" w:rsidP="00C41870">
      <w:pPr>
        <w:pStyle w:val="BodyTextMain"/>
        <w:ind w:left="720"/>
        <w:rPr>
          <w:spacing w:val="-2"/>
          <w:kern w:val="22"/>
          <w:lang w:val="en-GB"/>
        </w:rPr>
      </w:pPr>
      <w:r w:rsidRPr="004817BF">
        <w:rPr>
          <w:spacing w:val="-2"/>
          <w:kern w:val="22"/>
          <w:lang w:val="en-GB"/>
        </w:rPr>
        <w:t>How do we use this tremendous resource we have in Bangladesh where 100 million people have mobile phones</w:t>
      </w:r>
      <w:r w:rsidR="0062513A">
        <w:rPr>
          <w:spacing w:val="-2"/>
          <w:kern w:val="22"/>
          <w:lang w:val="en-GB"/>
        </w:rPr>
        <w:t>?</w:t>
      </w:r>
      <w:r w:rsidR="0062513A" w:rsidRPr="004817BF">
        <w:rPr>
          <w:spacing w:val="-2"/>
          <w:kern w:val="22"/>
          <w:lang w:val="en-GB"/>
        </w:rPr>
        <w:t xml:space="preserve"> </w:t>
      </w:r>
      <w:r w:rsidRPr="004817BF">
        <w:rPr>
          <w:spacing w:val="-2"/>
          <w:kern w:val="22"/>
          <w:lang w:val="en-GB"/>
        </w:rPr>
        <w:t>So that was the idea I had</w:t>
      </w:r>
      <w:r w:rsidR="00B55B7B" w:rsidRPr="004817BF">
        <w:rPr>
          <w:spacing w:val="-2"/>
          <w:kern w:val="22"/>
          <w:lang w:val="en-GB"/>
        </w:rPr>
        <w:t>—</w:t>
      </w:r>
      <w:r w:rsidRPr="004817BF">
        <w:rPr>
          <w:spacing w:val="-2"/>
          <w:kern w:val="22"/>
          <w:lang w:val="en-GB"/>
        </w:rPr>
        <w:t>that if I can utilize the ubiquitously available mobile phones to create a marketplace</w:t>
      </w:r>
      <w:r w:rsidR="00B55B7B" w:rsidRPr="004817BF">
        <w:rPr>
          <w:spacing w:val="-2"/>
          <w:kern w:val="22"/>
          <w:lang w:val="en-GB"/>
        </w:rPr>
        <w:t>,</w:t>
      </w:r>
      <w:r w:rsidRPr="004817BF">
        <w:rPr>
          <w:spacing w:val="-2"/>
          <w:kern w:val="22"/>
          <w:lang w:val="en-GB"/>
        </w:rPr>
        <w:t xml:space="preserve"> then poor people or anybody in the country can post his or her product and another person can retrieve it from there. So it’s like creating eBay with mobile phones.</w:t>
      </w:r>
    </w:p>
    <w:p w14:paraId="644CE8B1" w14:textId="77777777" w:rsidR="005E5FBE" w:rsidRPr="004817BF" w:rsidRDefault="005E5FBE" w:rsidP="00626659">
      <w:pPr>
        <w:pStyle w:val="BodyTextMain"/>
        <w:rPr>
          <w:lang w:val="en-GB"/>
        </w:rPr>
      </w:pPr>
    </w:p>
    <w:p w14:paraId="7587BA6B" w14:textId="4BE1B790" w:rsidR="005E5FBE" w:rsidRPr="004817BF" w:rsidRDefault="005E5FBE" w:rsidP="00626659">
      <w:pPr>
        <w:pStyle w:val="BodyTextMain"/>
        <w:rPr>
          <w:lang w:val="en-GB"/>
        </w:rPr>
      </w:pPr>
      <w:r w:rsidRPr="004817BF">
        <w:rPr>
          <w:lang w:val="en-GB"/>
        </w:rPr>
        <w:t>The venture worked</w:t>
      </w:r>
      <w:r w:rsidR="00B55B7B" w:rsidRPr="004817BF">
        <w:rPr>
          <w:lang w:val="en-GB"/>
        </w:rPr>
        <w:t>,</w:t>
      </w:r>
      <w:r w:rsidRPr="004817BF">
        <w:rPr>
          <w:lang w:val="en-GB"/>
        </w:rPr>
        <w:t xml:space="preserve"> and within five years</w:t>
      </w:r>
      <w:r w:rsidR="00B55B7B" w:rsidRPr="004817BF">
        <w:rPr>
          <w:lang w:val="en-GB"/>
        </w:rPr>
        <w:t>,</w:t>
      </w:r>
      <w:r w:rsidRPr="004817BF">
        <w:rPr>
          <w:lang w:val="en-GB"/>
        </w:rPr>
        <w:t xml:space="preserve"> almost 4.5 million people </w:t>
      </w:r>
      <w:r w:rsidR="00B55B7B" w:rsidRPr="004817BF">
        <w:rPr>
          <w:lang w:val="en-GB"/>
        </w:rPr>
        <w:t xml:space="preserve">had </w:t>
      </w:r>
      <w:r w:rsidRPr="004817BF">
        <w:rPr>
          <w:lang w:val="en-GB"/>
        </w:rPr>
        <w:t xml:space="preserve">used it. </w:t>
      </w:r>
      <w:proofErr w:type="spellStart"/>
      <w:r w:rsidRPr="004817BF">
        <w:rPr>
          <w:lang w:val="en-GB"/>
        </w:rPr>
        <w:t>Quadir</w:t>
      </w:r>
      <w:proofErr w:type="spellEnd"/>
      <w:r w:rsidRPr="004817BF">
        <w:rPr>
          <w:lang w:val="en-GB"/>
        </w:rPr>
        <w:t xml:space="preserve"> soon ran into a problem that planted the seeds for his subsequent venture: </w:t>
      </w:r>
    </w:p>
    <w:p w14:paraId="73079F31" w14:textId="77777777" w:rsidR="005E5FBE" w:rsidRPr="004817BF" w:rsidRDefault="005E5FBE" w:rsidP="00626659">
      <w:pPr>
        <w:pStyle w:val="BodyTextMain"/>
        <w:rPr>
          <w:lang w:val="en-GB"/>
        </w:rPr>
      </w:pPr>
    </w:p>
    <w:p w14:paraId="0673129D" w14:textId="2D4BF2F8" w:rsidR="005E5FBE" w:rsidRPr="004817BF" w:rsidRDefault="005E5FBE" w:rsidP="00C41870">
      <w:pPr>
        <w:pStyle w:val="BodyTextMain"/>
        <w:ind w:left="720"/>
        <w:rPr>
          <w:lang w:val="en-GB"/>
        </w:rPr>
      </w:pPr>
      <w:r w:rsidRPr="004817BF">
        <w:rPr>
          <w:lang w:val="en-GB"/>
        </w:rPr>
        <w:t>There was no efficient and universal payment mechanism in the country. The number of bank accounts was low</w:t>
      </w:r>
      <w:r w:rsidR="00B55B7B" w:rsidRPr="004817BF">
        <w:rPr>
          <w:lang w:val="en-GB"/>
        </w:rPr>
        <w:t>,</w:t>
      </w:r>
      <w:r w:rsidRPr="004817BF">
        <w:rPr>
          <w:lang w:val="en-GB"/>
        </w:rPr>
        <w:t xml:space="preserve"> and on top of that, the number of credit and debit cards was also very low. So I was thinking how to solve the problem of common people not being able to make digital payment efficiently.</w:t>
      </w:r>
    </w:p>
    <w:p w14:paraId="079DD599" w14:textId="77777777" w:rsidR="005E5FBE" w:rsidRPr="004817BF" w:rsidRDefault="005E5FBE" w:rsidP="00626659">
      <w:pPr>
        <w:pStyle w:val="BodyTextMain"/>
        <w:rPr>
          <w:lang w:val="en-GB"/>
        </w:rPr>
      </w:pPr>
    </w:p>
    <w:p w14:paraId="4D1809C6" w14:textId="75D56DF8" w:rsidR="005E5FBE" w:rsidRPr="004817BF" w:rsidRDefault="005E5FBE" w:rsidP="00626659">
      <w:pPr>
        <w:pStyle w:val="BodyTextMain"/>
        <w:rPr>
          <w:lang w:val="en-GB"/>
        </w:rPr>
      </w:pPr>
      <w:r w:rsidRPr="004817BF">
        <w:rPr>
          <w:lang w:val="en-GB"/>
        </w:rPr>
        <w:lastRenderedPageBreak/>
        <w:t xml:space="preserve">Having grown up in </w:t>
      </w:r>
      <w:proofErr w:type="spellStart"/>
      <w:r w:rsidRPr="004817BF">
        <w:rPr>
          <w:lang w:val="en-GB"/>
        </w:rPr>
        <w:t>Jessore</w:t>
      </w:r>
      <w:proofErr w:type="spellEnd"/>
      <w:r w:rsidRPr="004817BF">
        <w:rPr>
          <w:lang w:val="en-GB"/>
        </w:rPr>
        <w:t xml:space="preserve">, a district town in the southwestern region of Bangladesh, </w:t>
      </w:r>
      <w:proofErr w:type="spellStart"/>
      <w:r w:rsidRPr="004817BF">
        <w:rPr>
          <w:lang w:val="en-GB"/>
        </w:rPr>
        <w:t>Quadir</w:t>
      </w:r>
      <w:proofErr w:type="spellEnd"/>
      <w:r w:rsidRPr="004817BF">
        <w:rPr>
          <w:lang w:val="en-GB"/>
        </w:rPr>
        <w:t xml:space="preserve"> was well aware of the infrastructural problems that people from the less</w:t>
      </w:r>
      <w:r w:rsidR="00B55B7B" w:rsidRPr="004817BF">
        <w:rPr>
          <w:lang w:val="en-GB"/>
        </w:rPr>
        <w:t>-</w:t>
      </w:r>
      <w:r w:rsidRPr="004817BF">
        <w:rPr>
          <w:lang w:val="en-GB"/>
        </w:rPr>
        <w:t xml:space="preserve">developed districts of the country were exposed to every day, limiting their opportunities. In later life, this exposure helped him have empathy and understanding of the needs of individuals with relatives away from home. </w:t>
      </w:r>
    </w:p>
    <w:p w14:paraId="2E3BDDCD" w14:textId="77777777" w:rsidR="005E5FBE" w:rsidRPr="004817BF" w:rsidRDefault="005E5FBE" w:rsidP="00626659">
      <w:pPr>
        <w:pStyle w:val="BodyTextMain"/>
        <w:rPr>
          <w:lang w:val="en-GB"/>
        </w:rPr>
      </w:pPr>
    </w:p>
    <w:p w14:paraId="535242C7" w14:textId="6ABCBB1C" w:rsidR="005E5FBE" w:rsidRPr="004817BF" w:rsidRDefault="005E5FBE" w:rsidP="00626659">
      <w:pPr>
        <w:pStyle w:val="BodyTextMain"/>
        <w:rPr>
          <w:lang w:val="en-GB"/>
        </w:rPr>
      </w:pPr>
      <w:r w:rsidRPr="004817BF">
        <w:rPr>
          <w:lang w:val="en-GB"/>
        </w:rPr>
        <w:t>He wanted to empower these low-income individuals who</w:t>
      </w:r>
      <w:r w:rsidR="00B077CC" w:rsidRPr="004817BF">
        <w:rPr>
          <w:lang w:val="en-GB"/>
        </w:rPr>
        <w:t>,</w:t>
      </w:r>
      <w:r w:rsidRPr="004817BF">
        <w:rPr>
          <w:lang w:val="en-GB"/>
        </w:rPr>
        <w:t xml:space="preserve"> despite the</w:t>
      </w:r>
      <w:r w:rsidR="00B55B7B" w:rsidRPr="004817BF">
        <w:rPr>
          <w:lang w:val="en-GB"/>
        </w:rPr>
        <w:t>ir</w:t>
      </w:r>
      <w:r w:rsidRPr="004817BF">
        <w:rPr>
          <w:lang w:val="en-GB"/>
        </w:rPr>
        <w:t xml:space="preserve"> poverty</w:t>
      </w:r>
      <w:r w:rsidR="00B077CC" w:rsidRPr="004817BF">
        <w:rPr>
          <w:lang w:val="en-GB"/>
        </w:rPr>
        <w:t>,</w:t>
      </w:r>
      <w:r w:rsidRPr="004817BF">
        <w:rPr>
          <w:lang w:val="en-GB"/>
        </w:rPr>
        <w:t xml:space="preserve"> had access to cell phones that cost as little as T</w:t>
      </w:r>
      <w:r w:rsidR="00B55B7B" w:rsidRPr="004817BF">
        <w:rPr>
          <w:lang w:val="en-GB"/>
        </w:rPr>
        <w:t>k</w:t>
      </w:r>
      <w:r w:rsidRPr="004817BF">
        <w:rPr>
          <w:lang w:val="en-GB"/>
        </w:rPr>
        <w:t>1</w:t>
      </w:r>
      <w:proofErr w:type="gramStart"/>
      <w:r w:rsidR="00B55B7B" w:rsidRPr="004817BF">
        <w:rPr>
          <w:lang w:val="en-GB"/>
        </w:rPr>
        <w:t>,</w:t>
      </w:r>
      <w:r w:rsidRPr="004817BF">
        <w:rPr>
          <w:lang w:val="en-GB"/>
        </w:rPr>
        <w:t>200</w:t>
      </w:r>
      <w:proofErr w:type="gramEnd"/>
      <w:r w:rsidR="00F3243D" w:rsidRPr="004817BF">
        <w:rPr>
          <w:rStyle w:val="EndnoteReference"/>
          <w:lang w:val="en-GB"/>
        </w:rPr>
        <w:endnoteReference w:id="12"/>
      </w:r>
      <w:r w:rsidRPr="004817BF">
        <w:rPr>
          <w:lang w:val="en-GB"/>
        </w:rPr>
        <w:t xml:space="preserve"> (approximately US</w:t>
      </w:r>
      <w:r w:rsidR="00B55B7B" w:rsidRPr="004817BF">
        <w:rPr>
          <w:lang w:val="en-GB"/>
        </w:rPr>
        <w:t>$</w:t>
      </w:r>
      <w:r w:rsidRPr="004817BF">
        <w:rPr>
          <w:lang w:val="en-GB"/>
        </w:rPr>
        <w:t xml:space="preserve">15). It was only a matter of time before he connected the dots with bKash, offering mobile money accounts to millions. The earliest adoption was in transferring electronic money among the accounts, </w:t>
      </w:r>
      <w:r w:rsidR="00B077CC" w:rsidRPr="004817BF">
        <w:rPr>
          <w:lang w:val="en-GB"/>
        </w:rPr>
        <w:t xml:space="preserve">which </w:t>
      </w:r>
      <w:r w:rsidRPr="004817BF">
        <w:rPr>
          <w:lang w:val="en-GB"/>
        </w:rPr>
        <w:t>open</w:t>
      </w:r>
      <w:r w:rsidR="00B077CC" w:rsidRPr="004817BF">
        <w:rPr>
          <w:lang w:val="en-GB"/>
        </w:rPr>
        <w:t>ed</w:t>
      </w:r>
      <w:r w:rsidRPr="004817BF">
        <w:rPr>
          <w:lang w:val="en-GB"/>
        </w:rPr>
        <w:t xml:space="preserve"> up opportunities for not only the unbanked population but also students and </w:t>
      </w:r>
      <w:proofErr w:type="spellStart"/>
      <w:r w:rsidRPr="004817BF">
        <w:rPr>
          <w:lang w:val="en-GB"/>
        </w:rPr>
        <w:t>microentrepreneurs</w:t>
      </w:r>
      <w:proofErr w:type="spellEnd"/>
      <w:r w:rsidRPr="004817BF">
        <w:rPr>
          <w:lang w:val="en-GB"/>
        </w:rPr>
        <w:t>.</w:t>
      </w:r>
    </w:p>
    <w:p w14:paraId="15D8ACF4" w14:textId="77777777" w:rsidR="005E5FBE" w:rsidRPr="004817BF" w:rsidRDefault="005E5FBE" w:rsidP="00626659">
      <w:pPr>
        <w:pStyle w:val="BodyTextMain"/>
        <w:rPr>
          <w:lang w:val="en-GB"/>
        </w:rPr>
      </w:pPr>
    </w:p>
    <w:p w14:paraId="0C9D7C77" w14:textId="77777777" w:rsidR="00980931" w:rsidRPr="004817BF" w:rsidRDefault="00980931" w:rsidP="00626659">
      <w:pPr>
        <w:pStyle w:val="BodyTextMain"/>
        <w:rPr>
          <w:lang w:val="en-GB"/>
        </w:rPr>
      </w:pPr>
    </w:p>
    <w:p w14:paraId="346FCC41" w14:textId="77777777" w:rsidR="005E5FBE" w:rsidRPr="004817BF" w:rsidRDefault="005E5FBE" w:rsidP="00C41870">
      <w:pPr>
        <w:pStyle w:val="Casehead1"/>
        <w:rPr>
          <w:lang w:val="en-GB"/>
        </w:rPr>
      </w:pPr>
      <w:r w:rsidRPr="004817BF">
        <w:rPr>
          <w:lang w:val="en-GB"/>
        </w:rPr>
        <w:t>BRAC: The partner</w:t>
      </w:r>
    </w:p>
    <w:p w14:paraId="3FFBBB9F" w14:textId="77777777" w:rsidR="005E5FBE" w:rsidRPr="004817BF" w:rsidRDefault="005E5FBE" w:rsidP="00626659">
      <w:pPr>
        <w:pStyle w:val="BodyTextMain"/>
        <w:rPr>
          <w:lang w:val="en-GB"/>
        </w:rPr>
      </w:pPr>
    </w:p>
    <w:p w14:paraId="37598CB8" w14:textId="25DF7AC9" w:rsidR="005E5FBE" w:rsidRPr="00FD52C4" w:rsidRDefault="005E5FBE" w:rsidP="00626659">
      <w:pPr>
        <w:pStyle w:val="BodyTextMain"/>
        <w:rPr>
          <w:spacing w:val="-2"/>
          <w:kern w:val="22"/>
          <w:lang w:val="en-GB"/>
        </w:rPr>
      </w:pPr>
      <w:r w:rsidRPr="00FD52C4">
        <w:rPr>
          <w:spacing w:val="-2"/>
          <w:kern w:val="22"/>
          <w:lang w:val="en-GB"/>
        </w:rPr>
        <w:t>BRAC, the world’s largest NGO, started its journey in 1972</w:t>
      </w:r>
      <w:r w:rsidR="00A443F9" w:rsidRPr="00FD52C4">
        <w:rPr>
          <w:spacing w:val="-2"/>
          <w:kern w:val="22"/>
          <w:lang w:val="en-GB"/>
        </w:rPr>
        <w:t xml:space="preserve">, </w:t>
      </w:r>
      <w:r w:rsidRPr="00FD52C4">
        <w:rPr>
          <w:spacing w:val="-2"/>
          <w:kern w:val="22"/>
          <w:lang w:val="en-GB"/>
        </w:rPr>
        <w:t>a year after Bangladesh</w:t>
      </w:r>
      <w:r w:rsidR="00A443F9" w:rsidRPr="00FD52C4">
        <w:rPr>
          <w:spacing w:val="-2"/>
          <w:kern w:val="22"/>
          <w:lang w:val="en-GB"/>
        </w:rPr>
        <w:t xml:space="preserve"> gained </w:t>
      </w:r>
      <w:r w:rsidRPr="00FD52C4">
        <w:rPr>
          <w:spacing w:val="-2"/>
          <w:kern w:val="22"/>
          <w:lang w:val="en-GB"/>
        </w:rPr>
        <w:t>independence. With a focus on social development, BRAC provided a host of services geared t</w:t>
      </w:r>
      <w:r w:rsidR="00A443F9" w:rsidRPr="00FD52C4">
        <w:rPr>
          <w:spacing w:val="-2"/>
          <w:kern w:val="22"/>
          <w:lang w:val="en-GB"/>
        </w:rPr>
        <w:t>o</w:t>
      </w:r>
      <w:r w:rsidRPr="00FD52C4">
        <w:rPr>
          <w:spacing w:val="-2"/>
          <w:kern w:val="22"/>
          <w:lang w:val="en-GB"/>
        </w:rPr>
        <w:t xml:space="preserve"> uplifting</w:t>
      </w:r>
      <w:r w:rsidR="00B077CC" w:rsidRPr="00FD52C4">
        <w:rPr>
          <w:spacing w:val="-2"/>
          <w:kern w:val="22"/>
          <w:lang w:val="en-GB"/>
        </w:rPr>
        <w:t xml:space="preserve"> </w:t>
      </w:r>
      <w:r w:rsidRPr="00FD52C4">
        <w:rPr>
          <w:spacing w:val="-2"/>
          <w:kern w:val="22"/>
          <w:lang w:val="en-GB"/>
        </w:rPr>
        <w:t xml:space="preserve">society. Founded by Sir </w:t>
      </w:r>
      <w:proofErr w:type="spellStart"/>
      <w:r w:rsidRPr="00FD52C4">
        <w:rPr>
          <w:spacing w:val="-2"/>
          <w:kern w:val="22"/>
          <w:lang w:val="en-GB"/>
        </w:rPr>
        <w:t>Fazle</w:t>
      </w:r>
      <w:proofErr w:type="spellEnd"/>
      <w:r w:rsidRPr="00FD52C4">
        <w:rPr>
          <w:spacing w:val="-2"/>
          <w:kern w:val="22"/>
          <w:lang w:val="en-GB"/>
        </w:rPr>
        <w:t xml:space="preserve"> Hasan Abed, BRAC had 5.3 million microfinance borrowers and served 138 million of the country’s population</w:t>
      </w:r>
      <w:r w:rsidR="00B055F0" w:rsidRPr="00FD52C4">
        <w:rPr>
          <w:spacing w:val="-2"/>
          <w:kern w:val="22"/>
          <w:lang w:val="en-GB"/>
        </w:rPr>
        <w:t>.</w:t>
      </w:r>
      <w:r w:rsidRPr="00FD52C4">
        <w:rPr>
          <w:rStyle w:val="EndnoteReference"/>
          <w:spacing w:val="-2"/>
          <w:kern w:val="22"/>
          <w:lang w:val="en-GB"/>
        </w:rPr>
        <w:endnoteReference w:id="13"/>
      </w:r>
      <w:r w:rsidRPr="00FD52C4">
        <w:rPr>
          <w:spacing w:val="-2"/>
          <w:kern w:val="22"/>
          <w:lang w:val="en-GB"/>
        </w:rPr>
        <w:t xml:space="preserve"> Along with its development programs, in 2001</w:t>
      </w:r>
      <w:r w:rsidR="00A443F9" w:rsidRPr="00FD52C4">
        <w:rPr>
          <w:spacing w:val="-2"/>
          <w:kern w:val="22"/>
          <w:lang w:val="en-GB"/>
        </w:rPr>
        <w:t>,</w:t>
      </w:r>
      <w:r w:rsidRPr="00FD52C4">
        <w:rPr>
          <w:spacing w:val="-2"/>
          <w:kern w:val="22"/>
          <w:lang w:val="en-GB"/>
        </w:rPr>
        <w:t xml:space="preserve"> BRAC initiated a commercial bank—BRAC Bank—to finance </w:t>
      </w:r>
      <w:r w:rsidR="00A443F9" w:rsidRPr="00FD52C4">
        <w:rPr>
          <w:spacing w:val="-2"/>
          <w:kern w:val="22"/>
          <w:lang w:val="en-GB"/>
        </w:rPr>
        <w:t>s</w:t>
      </w:r>
      <w:r w:rsidRPr="00FD52C4">
        <w:rPr>
          <w:spacing w:val="-2"/>
          <w:kern w:val="22"/>
          <w:lang w:val="en-GB"/>
        </w:rPr>
        <w:t xml:space="preserve">mall and </w:t>
      </w:r>
      <w:r w:rsidR="00A443F9" w:rsidRPr="00FD52C4">
        <w:rPr>
          <w:spacing w:val="-2"/>
          <w:kern w:val="22"/>
          <w:lang w:val="en-GB"/>
        </w:rPr>
        <w:t>m</w:t>
      </w:r>
      <w:r w:rsidRPr="00FD52C4">
        <w:rPr>
          <w:spacing w:val="-2"/>
          <w:kern w:val="22"/>
          <w:lang w:val="en-GB"/>
        </w:rPr>
        <w:t xml:space="preserve">edium </w:t>
      </w:r>
      <w:r w:rsidR="005F16A9" w:rsidRPr="00FD52C4">
        <w:rPr>
          <w:spacing w:val="-2"/>
          <w:kern w:val="22"/>
          <w:lang w:val="en-GB"/>
        </w:rPr>
        <w:t>e</w:t>
      </w:r>
      <w:r w:rsidRPr="00FD52C4">
        <w:rPr>
          <w:spacing w:val="-2"/>
          <w:kern w:val="22"/>
          <w:lang w:val="en-GB"/>
        </w:rPr>
        <w:t>nterprises</w:t>
      </w:r>
      <w:r w:rsidR="00CE71C8" w:rsidRPr="00FD52C4">
        <w:rPr>
          <w:spacing w:val="-2"/>
          <w:kern w:val="22"/>
          <w:lang w:val="en-GB"/>
        </w:rPr>
        <w:t>,</w:t>
      </w:r>
      <w:r w:rsidRPr="00FD52C4">
        <w:rPr>
          <w:spacing w:val="-2"/>
          <w:kern w:val="22"/>
          <w:lang w:val="en-GB"/>
        </w:rPr>
        <w:t xml:space="preserve"> which at that time was the “missing middle.”</w:t>
      </w:r>
    </w:p>
    <w:p w14:paraId="01782D0A" w14:textId="77777777" w:rsidR="005E5FBE" w:rsidRPr="004817BF" w:rsidRDefault="005E5FBE" w:rsidP="00626659">
      <w:pPr>
        <w:pStyle w:val="BodyTextMain"/>
        <w:rPr>
          <w:lang w:val="en-GB"/>
        </w:rPr>
      </w:pPr>
    </w:p>
    <w:p w14:paraId="7D012F9F" w14:textId="3641320E" w:rsidR="005E5FBE" w:rsidRPr="004817BF" w:rsidRDefault="005E5FBE" w:rsidP="00C41870">
      <w:pPr>
        <w:pStyle w:val="BodyTextMain"/>
        <w:rPr>
          <w:lang w:val="en-GB"/>
        </w:rPr>
      </w:pPr>
      <w:r w:rsidRPr="004817BF">
        <w:rPr>
          <w:lang w:val="en-GB"/>
        </w:rPr>
        <w:t xml:space="preserve">In January 2008, </w:t>
      </w:r>
      <w:proofErr w:type="spellStart"/>
      <w:r w:rsidRPr="004817BF">
        <w:rPr>
          <w:lang w:val="en-GB"/>
        </w:rPr>
        <w:t>Quadir</w:t>
      </w:r>
      <w:proofErr w:type="spellEnd"/>
      <w:r w:rsidRPr="004817BF">
        <w:rPr>
          <w:lang w:val="en-GB"/>
        </w:rPr>
        <w:t xml:space="preserve"> and his brother Iqbal went to see Sir Abed of BRAC, who encouraged them to </w:t>
      </w:r>
      <w:r w:rsidR="00CE71C8" w:rsidRPr="004817BF">
        <w:rPr>
          <w:lang w:val="en-GB"/>
        </w:rPr>
        <w:t xml:space="preserve">consider </w:t>
      </w:r>
      <w:r w:rsidRPr="004817BF">
        <w:rPr>
          <w:lang w:val="en-GB"/>
        </w:rPr>
        <w:t xml:space="preserve">how BRAC could serve as a platform for mobile payments. Two months later, </w:t>
      </w:r>
      <w:proofErr w:type="spellStart"/>
      <w:r w:rsidRPr="004817BF">
        <w:rPr>
          <w:lang w:val="en-GB"/>
        </w:rPr>
        <w:t>Quadir</w:t>
      </w:r>
      <w:proofErr w:type="spellEnd"/>
      <w:r w:rsidRPr="004817BF">
        <w:rPr>
          <w:lang w:val="en-GB"/>
        </w:rPr>
        <w:t xml:space="preserve"> went to Kenya to learn </w:t>
      </w:r>
      <w:r w:rsidR="00CE71C8" w:rsidRPr="004817BF">
        <w:rPr>
          <w:lang w:val="en-GB"/>
        </w:rPr>
        <w:t xml:space="preserve">about </w:t>
      </w:r>
      <w:r w:rsidRPr="004817BF">
        <w:rPr>
          <w:lang w:val="en-GB"/>
        </w:rPr>
        <w:t>M-</w:t>
      </w:r>
      <w:proofErr w:type="spellStart"/>
      <w:r w:rsidRPr="004817BF">
        <w:rPr>
          <w:lang w:val="en-GB"/>
        </w:rPr>
        <w:t>Pesa</w:t>
      </w:r>
      <w:proofErr w:type="spellEnd"/>
      <w:r w:rsidRPr="004817BF">
        <w:rPr>
          <w:lang w:val="en-GB"/>
        </w:rPr>
        <w:t xml:space="preserve">, the world’s first successful and scaled mobile money solution. In September 2008, Sir Abed introduced </w:t>
      </w:r>
      <w:proofErr w:type="spellStart"/>
      <w:r w:rsidRPr="004817BF">
        <w:rPr>
          <w:lang w:val="en-GB"/>
        </w:rPr>
        <w:t>Quadir</w:t>
      </w:r>
      <w:proofErr w:type="spellEnd"/>
      <w:r w:rsidRPr="004817BF">
        <w:rPr>
          <w:lang w:val="en-GB"/>
        </w:rPr>
        <w:t xml:space="preserve"> to the management of BRAC Bank</w:t>
      </w:r>
      <w:r w:rsidR="00AA3BEA" w:rsidRPr="004817BF">
        <w:rPr>
          <w:lang w:val="en-GB"/>
        </w:rPr>
        <w:t xml:space="preserve"> Limited</w:t>
      </w:r>
      <w:r w:rsidRPr="004817BF">
        <w:rPr>
          <w:lang w:val="en-GB"/>
        </w:rPr>
        <w:t xml:space="preserve">. Meanwhile, </w:t>
      </w:r>
      <w:proofErr w:type="spellStart"/>
      <w:r w:rsidRPr="004817BF">
        <w:rPr>
          <w:lang w:val="en-GB"/>
        </w:rPr>
        <w:t>Quadir</w:t>
      </w:r>
      <w:proofErr w:type="spellEnd"/>
      <w:r w:rsidRPr="004817BF">
        <w:rPr>
          <w:lang w:val="en-GB"/>
        </w:rPr>
        <w:t xml:space="preserve"> and his brother formed Money in Motion</w:t>
      </w:r>
      <w:r w:rsidR="005E7023" w:rsidRPr="004817BF">
        <w:rPr>
          <w:lang w:val="en-GB"/>
        </w:rPr>
        <w:t>,</w:t>
      </w:r>
      <w:r w:rsidRPr="004817BF">
        <w:rPr>
          <w:lang w:val="en-GB"/>
        </w:rPr>
        <w:t xml:space="preserve"> </w:t>
      </w:r>
      <w:r w:rsidR="0051664A" w:rsidRPr="004817BF">
        <w:rPr>
          <w:lang w:val="en-GB"/>
        </w:rPr>
        <w:t xml:space="preserve">LLC, USA, </w:t>
      </w:r>
      <w:r w:rsidRPr="004817BF">
        <w:rPr>
          <w:lang w:val="en-GB"/>
        </w:rPr>
        <w:t xml:space="preserve">together with Nick Hughes, who </w:t>
      </w:r>
      <w:r w:rsidR="005F16A9" w:rsidRPr="004817BF">
        <w:rPr>
          <w:lang w:val="en-GB"/>
        </w:rPr>
        <w:t xml:space="preserve">had </w:t>
      </w:r>
      <w:r w:rsidRPr="004817BF">
        <w:rPr>
          <w:lang w:val="en-GB"/>
        </w:rPr>
        <w:t>led the launch of M</w:t>
      </w:r>
      <w:r w:rsidR="0062513A">
        <w:rPr>
          <w:lang w:val="en-GB"/>
        </w:rPr>
        <w:noBreakHyphen/>
      </w:r>
      <w:proofErr w:type="spellStart"/>
      <w:r w:rsidRPr="004817BF">
        <w:rPr>
          <w:lang w:val="en-GB"/>
        </w:rPr>
        <w:t>Pesa</w:t>
      </w:r>
      <w:proofErr w:type="spellEnd"/>
      <w:r w:rsidRPr="004817BF">
        <w:rPr>
          <w:lang w:val="en-GB"/>
        </w:rPr>
        <w:t xml:space="preserve"> in Kenya, and Arun Gore, the</w:t>
      </w:r>
      <w:r w:rsidR="00B7407E" w:rsidRPr="004817BF">
        <w:rPr>
          <w:lang w:val="en-GB"/>
        </w:rPr>
        <w:t xml:space="preserve"> managing director </w:t>
      </w:r>
      <w:r w:rsidRPr="004817BF">
        <w:rPr>
          <w:lang w:val="en-GB"/>
        </w:rPr>
        <w:t xml:space="preserve">of venture capital firm Grey Ghost </w:t>
      </w:r>
      <w:r w:rsidR="00B7407E" w:rsidRPr="004817BF">
        <w:rPr>
          <w:lang w:val="en-GB"/>
        </w:rPr>
        <w:t>Ventures</w:t>
      </w:r>
      <w:r w:rsidRPr="004817BF">
        <w:rPr>
          <w:lang w:val="en-GB"/>
        </w:rPr>
        <w:t>. BRAC Bank and Money in Motion then formed bKash in February 2010</w:t>
      </w:r>
      <w:r w:rsidR="005F16A9" w:rsidRPr="004817BF">
        <w:rPr>
          <w:lang w:val="en-GB"/>
        </w:rPr>
        <w:t>. The</w:t>
      </w:r>
      <w:r w:rsidRPr="004817BF">
        <w:rPr>
          <w:lang w:val="en-GB"/>
        </w:rPr>
        <w:t xml:space="preserve"> joint venture </w:t>
      </w:r>
      <w:r w:rsidR="005F16A9" w:rsidRPr="004817BF">
        <w:rPr>
          <w:lang w:val="en-GB"/>
        </w:rPr>
        <w:t xml:space="preserve">was </w:t>
      </w:r>
      <w:r w:rsidRPr="004817BF">
        <w:rPr>
          <w:lang w:val="en-GB"/>
        </w:rPr>
        <w:t xml:space="preserve">designed to provide an electronic payment platform to increase access to financial services for low-income users. In </w:t>
      </w:r>
      <w:r w:rsidR="00CE71C8" w:rsidRPr="004817BF">
        <w:rPr>
          <w:lang w:val="en-GB"/>
        </w:rPr>
        <w:t xml:space="preserve">a </w:t>
      </w:r>
      <w:r w:rsidRPr="004817BF">
        <w:rPr>
          <w:lang w:val="en-GB"/>
        </w:rPr>
        <w:t xml:space="preserve">broader sense, the goal was to offer an efficient payment system for all Bangladeshis. </w:t>
      </w:r>
      <w:proofErr w:type="spellStart"/>
      <w:r w:rsidRPr="004817BF">
        <w:rPr>
          <w:i/>
          <w:lang w:val="en-GB"/>
        </w:rPr>
        <w:t>Bikash</w:t>
      </w:r>
      <w:proofErr w:type="spellEnd"/>
      <w:r w:rsidRPr="004817BF">
        <w:rPr>
          <w:lang w:val="en-GB"/>
        </w:rPr>
        <w:t xml:space="preserve"> is the Bengali word for growth, prosperity</w:t>
      </w:r>
      <w:r w:rsidR="00CE71C8" w:rsidRPr="004817BF">
        <w:rPr>
          <w:lang w:val="en-GB"/>
        </w:rPr>
        <w:t xml:space="preserve">, </w:t>
      </w:r>
      <w:r w:rsidRPr="004817BF">
        <w:rPr>
          <w:lang w:val="en-GB"/>
        </w:rPr>
        <w:t>or bloom.</w:t>
      </w:r>
    </w:p>
    <w:p w14:paraId="318CCFBD" w14:textId="77777777" w:rsidR="005E5FBE" w:rsidRPr="004817BF" w:rsidRDefault="005E5FBE" w:rsidP="00C41870">
      <w:pPr>
        <w:pStyle w:val="BodyTextMain"/>
        <w:rPr>
          <w:lang w:val="en-GB"/>
        </w:rPr>
      </w:pPr>
    </w:p>
    <w:p w14:paraId="10BC93BC" w14:textId="77777777" w:rsidR="00980931" w:rsidRPr="004817BF" w:rsidRDefault="00980931" w:rsidP="00C41870">
      <w:pPr>
        <w:pStyle w:val="BodyTextMain"/>
        <w:rPr>
          <w:lang w:val="en-GB"/>
        </w:rPr>
      </w:pPr>
    </w:p>
    <w:p w14:paraId="020A4B93" w14:textId="77777777" w:rsidR="005E5FBE" w:rsidRPr="004817BF" w:rsidRDefault="005E5FBE" w:rsidP="00C41870">
      <w:pPr>
        <w:pStyle w:val="Casehead1"/>
        <w:rPr>
          <w:lang w:val="en-GB"/>
        </w:rPr>
      </w:pPr>
      <w:r w:rsidRPr="004817BF">
        <w:rPr>
          <w:lang w:val="en-GB"/>
        </w:rPr>
        <w:t xml:space="preserve">Digitalization for the poor: The regulator </w:t>
      </w:r>
    </w:p>
    <w:p w14:paraId="6001E592" w14:textId="77777777" w:rsidR="005E5FBE" w:rsidRPr="004817BF" w:rsidRDefault="005E5FBE" w:rsidP="00626659">
      <w:pPr>
        <w:pStyle w:val="BodyTextMain"/>
        <w:rPr>
          <w:lang w:val="en-GB"/>
        </w:rPr>
      </w:pPr>
    </w:p>
    <w:p w14:paraId="43D10176" w14:textId="2D040B8B" w:rsidR="005E5FBE" w:rsidRPr="004817BF" w:rsidRDefault="005E5FBE" w:rsidP="00DC6470">
      <w:pPr>
        <w:pStyle w:val="BodyTextMain"/>
        <w:rPr>
          <w:lang w:val="en-GB"/>
        </w:rPr>
      </w:pPr>
      <w:r w:rsidRPr="004817BF">
        <w:rPr>
          <w:lang w:val="en-GB"/>
        </w:rPr>
        <w:t>In 2009</w:t>
      </w:r>
      <w:r w:rsidR="00B7407E" w:rsidRPr="004817BF">
        <w:rPr>
          <w:lang w:val="en-GB"/>
        </w:rPr>
        <w:t>,</w:t>
      </w:r>
      <w:r w:rsidRPr="004817BF">
        <w:rPr>
          <w:lang w:val="en-GB"/>
        </w:rPr>
        <w:t xml:space="preserve"> </w:t>
      </w:r>
      <w:proofErr w:type="spellStart"/>
      <w:r w:rsidRPr="004817BF">
        <w:rPr>
          <w:lang w:val="en-GB"/>
        </w:rPr>
        <w:t>Dr.</w:t>
      </w:r>
      <w:proofErr w:type="spellEnd"/>
      <w:r w:rsidRPr="004817BF">
        <w:rPr>
          <w:lang w:val="en-GB"/>
        </w:rPr>
        <w:t xml:space="preserve"> </w:t>
      </w:r>
      <w:proofErr w:type="spellStart"/>
      <w:r w:rsidRPr="004817BF">
        <w:rPr>
          <w:lang w:val="en-GB"/>
        </w:rPr>
        <w:t>Atiur</w:t>
      </w:r>
      <w:proofErr w:type="spellEnd"/>
      <w:r w:rsidRPr="004817BF">
        <w:rPr>
          <w:lang w:val="en-GB"/>
        </w:rPr>
        <w:t xml:space="preserve"> Rahman was appointed the </w:t>
      </w:r>
      <w:r w:rsidR="00B7407E" w:rsidRPr="004817BF">
        <w:rPr>
          <w:lang w:val="en-GB"/>
        </w:rPr>
        <w:t>ten</w:t>
      </w:r>
      <w:r w:rsidRPr="004817BF">
        <w:rPr>
          <w:lang w:val="en-GB"/>
        </w:rPr>
        <w:t xml:space="preserve">th governor (May 1, 2009–March 15, 2016) of the </w:t>
      </w:r>
      <w:r w:rsidR="00045447" w:rsidRPr="004817BF">
        <w:rPr>
          <w:lang w:val="en-GB"/>
        </w:rPr>
        <w:t>c</w:t>
      </w:r>
      <w:r w:rsidRPr="004817BF">
        <w:rPr>
          <w:lang w:val="en-GB"/>
        </w:rPr>
        <w:t xml:space="preserve">entral </w:t>
      </w:r>
      <w:r w:rsidR="00045447" w:rsidRPr="004817BF">
        <w:rPr>
          <w:lang w:val="en-GB"/>
        </w:rPr>
        <w:t>b</w:t>
      </w:r>
      <w:r w:rsidRPr="004817BF">
        <w:rPr>
          <w:lang w:val="en-GB"/>
        </w:rPr>
        <w:t>ank. Educated in the Marxist tradition, Rahman was an economist who was passionate about reducing poverty. Fortunately, in that respect he received clear support. He related</w:t>
      </w:r>
      <w:r w:rsidR="008B120B" w:rsidRPr="004817BF">
        <w:rPr>
          <w:lang w:val="en-GB"/>
        </w:rPr>
        <w:t xml:space="preserve">, </w:t>
      </w:r>
      <w:r w:rsidRPr="004817BF">
        <w:rPr>
          <w:lang w:val="en-GB"/>
        </w:rPr>
        <w:t xml:space="preserve">“When I started on my first day as a Governor, I received a text message from the Prime Minister, and it read: </w:t>
      </w:r>
      <w:r w:rsidR="008B120B" w:rsidRPr="004817BF">
        <w:rPr>
          <w:lang w:val="en-GB"/>
        </w:rPr>
        <w:t>‘</w:t>
      </w:r>
      <w:r w:rsidRPr="004817BF">
        <w:rPr>
          <w:lang w:val="en-GB"/>
        </w:rPr>
        <w:t>Please work for the poor.</w:t>
      </w:r>
      <w:r w:rsidR="008B120B" w:rsidRPr="004817BF">
        <w:rPr>
          <w:lang w:val="en-GB"/>
        </w:rPr>
        <w:t>’</w:t>
      </w:r>
      <w:r w:rsidRPr="004817BF">
        <w:rPr>
          <w:lang w:val="en-GB"/>
        </w:rPr>
        <w:t>”</w:t>
      </w:r>
    </w:p>
    <w:p w14:paraId="4431DA2B" w14:textId="77777777" w:rsidR="005E5FBE" w:rsidRPr="004817BF" w:rsidRDefault="005E5FBE" w:rsidP="00626659">
      <w:pPr>
        <w:pStyle w:val="BodyTextMain"/>
        <w:rPr>
          <w:lang w:val="en-GB"/>
        </w:rPr>
      </w:pPr>
    </w:p>
    <w:p w14:paraId="478B7657" w14:textId="5E68A399" w:rsidR="005E5FBE" w:rsidRPr="004817BF" w:rsidRDefault="005E5FBE" w:rsidP="00626659">
      <w:pPr>
        <w:pStyle w:val="BodyTextMain"/>
        <w:rPr>
          <w:lang w:val="en-GB"/>
        </w:rPr>
      </w:pPr>
      <w:r w:rsidRPr="004817BF">
        <w:rPr>
          <w:lang w:val="en-GB"/>
        </w:rPr>
        <w:t xml:space="preserve">Rahman wasted no time doing precisely that. Financial inclusion became one of the prime goals of 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as he believed it could contribute to economic growth without increasing inequality. According to Juanita Woodward, a financial inclusion specialist, Bangladesh was able to innovate in the area of financial inclusion partly because of the supportive role of the regulator: </w:t>
      </w:r>
    </w:p>
    <w:p w14:paraId="4C47D5D3" w14:textId="77777777" w:rsidR="005E5FBE" w:rsidRPr="004817BF" w:rsidRDefault="005E5FBE" w:rsidP="00626659">
      <w:pPr>
        <w:pStyle w:val="BodyTextMain"/>
        <w:rPr>
          <w:lang w:val="en-GB"/>
        </w:rPr>
      </w:pPr>
    </w:p>
    <w:p w14:paraId="7AE2E0E8" w14:textId="7DA9A29A" w:rsidR="005E5FBE" w:rsidRPr="004817BF" w:rsidRDefault="005E5FBE" w:rsidP="00C41870">
      <w:pPr>
        <w:pStyle w:val="BodyTextMain"/>
        <w:ind w:left="720"/>
        <w:rPr>
          <w:lang w:val="en-GB"/>
        </w:rPr>
      </w:pPr>
      <w:r w:rsidRPr="004817BF">
        <w:rPr>
          <w:lang w:val="en-GB"/>
        </w:rPr>
        <w:t>Bangladesh Bank realized that countries cannot prosper unless poor people can access financial services. Payments are (at the) cent</w:t>
      </w:r>
      <w:r w:rsidR="00E46EC9" w:rsidRPr="004817BF">
        <w:rPr>
          <w:lang w:val="en-GB"/>
        </w:rPr>
        <w:t>re</w:t>
      </w:r>
      <w:r w:rsidRPr="004817BF">
        <w:rPr>
          <w:lang w:val="en-GB"/>
        </w:rPr>
        <w:t xml:space="preserve"> of the plate; it is fundamental for economic development. Even more so if you need to travel (far) to make payment. In Bangladesh, </w:t>
      </w:r>
      <w:proofErr w:type="spellStart"/>
      <w:r w:rsidRPr="004817BF">
        <w:rPr>
          <w:lang w:val="en-GB"/>
        </w:rPr>
        <w:t>Grameen</w:t>
      </w:r>
      <w:proofErr w:type="spellEnd"/>
      <w:r w:rsidRPr="004817BF">
        <w:rPr>
          <w:lang w:val="en-GB"/>
        </w:rPr>
        <w:t xml:space="preserve"> Bank innovated by credit. Bang</w:t>
      </w:r>
      <w:r w:rsidR="00E46EC9" w:rsidRPr="004817BF">
        <w:rPr>
          <w:lang w:val="en-GB"/>
        </w:rPr>
        <w:t>l</w:t>
      </w:r>
      <w:r w:rsidRPr="004817BF">
        <w:rPr>
          <w:lang w:val="en-GB"/>
        </w:rPr>
        <w:t xml:space="preserve">adesh Bank realized the </w:t>
      </w:r>
      <w:r w:rsidR="008B120B" w:rsidRPr="004817BF">
        <w:rPr>
          <w:lang w:val="en-GB"/>
        </w:rPr>
        <w:t xml:space="preserve">“payments” </w:t>
      </w:r>
      <w:r w:rsidRPr="004817BF">
        <w:rPr>
          <w:lang w:val="en-GB"/>
        </w:rPr>
        <w:t>piece was missing.</w:t>
      </w:r>
    </w:p>
    <w:p w14:paraId="7F6F6DA3" w14:textId="77777777" w:rsidR="00DF45FD" w:rsidRPr="004817BF" w:rsidRDefault="00DF45FD" w:rsidP="00C41870">
      <w:pPr>
        <w:pStyle w:val="BodyTextMain"/>
        <w:ind w:left="720"/>
        <w:rPr>
          <w:lang w:val="en-GB"/>
        </w:rPr>
      </w:pPr>
    </w:p>
    <w:p w14:paraId="2CC04A0E" w14:textId="70AFF4A6" w:rsidR="005E5FBE" w:rsidRPr="004817BF" w:rsidRDefault="00B7407E" w:rsidP="00626659">
      <w:pPr>
        <w:pStyle w:val="BodyTextMain"/>
        <w:rPr>
          <w:lang w:val="en-GB"/>
        </w:rPr>
      </w:pPr>
      <w:r w:rsidRPr="004817BF">
        <w:rPr>
          <w:lang w:val="en-GB"/>
        </w:rPr>
        <w:lastRenderedPageBreak/>
        <w:t>According to Woodward, a</w:t>
      </w:r>
      <w:r w:rsidR="005E5FBE" w:rsidRPr="004817BF">
        <w:rPr>
          <w:lang w:val="en-GB"/>
        </w:rPr>
        <w:t xml:space="preserve"> key problem was</w:t>
      </w:r>
      <w:r w:rsidRPr="004817BF">
        <w:rPr>
          <w:lang w:val="en-GB"/>
        </w:rPr>
        <w:t xml:space="preserve"> that </w:t>
      </w:r>
      <w:r w:rsidR="005E5FBE" w:rsidRPr="004817BF">
        <w:rPr>
          <w:lang w:val="en-GB"/>
        </w:rPr>
        <w:t>“</w:t>
      </w:r>
      <w:r w:rsidRPr="004817BF">
        <w:rPr>
          <w:lang w:val="en-GB"/>
        </w:rPr>
        <w:t>b</w:t>
      </w:r>
      <w:r w:rsidR="005E5FBE" w:rsidRPr="004817BF">
        <w:rPr>
          <w:lang w:val="en-GB"/>
        </w:rPr>
        <w:t>anks are generally not interested in banking the poor.” For instance</w:t>
      </w:r>
      <w:r w:rsidRPr="004817BF">
        <w:rPr>
          <w:lang w:val="en-GB"/>
        </w:rPr>
        <w:t>,</w:t>
      </w:r>
      <w:r w:rsidR="005E5FBE" w:rsidRPr="004817BF">
        <w:rPr>
          <w:lang w:val="en-GB"/>
        </w:rPr>
        <w:t xml:space="preserve"> in India, where the government was using banks to provide MFS, progress </w:t>
      </w:r>
      <w:r w:rsidR="005F16A9" w:rsidRPr="004817BF">
        <w:rPr>
          <w:lang w:val="en-GB"/>
        </w:rPr>
        <w:t>was</w:t>
      </w:r>
      <w:r w:rsidR="005E5FBE" w:rsidRPr="004817BF">
        <w:rPr>
          <w:lang w:val="en-GB"/>
        </w:rPr>
        <w:t xml:space="preserve"> slow. </w:t>
      </w:r>
    </w:p>
    <w:p w14:paraId="67E5CF14" w14:textId="77777777" w:rsidR="005E5FBE" w:rsidRPr="004817BF" w:rsidRDefault="005E5FBE" w:rsidP="00626659">
      <w:pPr>
        <w:pStyle w:val="BodyTextMain"/>
        <w:rPr>
          <w:lang w:val="en-GB"/>
        </w:rPr>
      </w:pPr>
    </w:p>
    <w:p w14:paraId="764623DB" w14:textId="074BB22F" w:rsidR="005E5FBE" w:rsidRPr="004817BF" w:rsidRDefault="005E5FBE" w:rsidP="00626659">
      <w:pPr>
        <w:pStyle w:val="BodyTextMain"/>
        <w:rPr>
          <w:lang w:val="en-GB"/>
        </w:rPr>
      </w:pPr>
      <w:r w:rsidRPr="004817BF">
        <w:rPr>
          <w:lang w:val="en-GB"/>
        </w:rPr>
        <w:t xml:space="preserve">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understood the inherent complexity of providing basic financial services to the masses. It required a single-minded focus on digital financial services, rather than </w:t>
      </w:r>
      <w:r w:rsidR="006B0614">
        <w:rPr>
          <w:lang w:val="en-GB"/>
        </w:rPr>
        <w:t xml:space="preserve">these services </w:t>
      </w:r>
      <w:r w:rsidRPr="004817BF">
        <w:rPr>
          <w:lang w:val="en-GB"/>
        </w:rPr>
        <w:t xml:space="preserve">being just one of the priorities </w:t>
      </w:r>
      <w:r w:rsidR="005F16A9" w:rsidRPr="004817BF">
        <w:rPr>
          <w:lang w:val="en-GB"/>
        </w:rPr>
        <w:t>for</w:t>
      </w:r>
      <w:r w:rsidRPr="004817BF">
        <w:rPr>
          <w:lang w:val="en-GB"/>
        </w:rPr>
        <w:t xml:space="preserve"> a bank. 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saw merit in allowing independent organizations designed for these purposes. </w:t>
      </w:r>
      <w:r w:rsidR="00616FF0" w:rsidRPr="004817BF">
        <w:rPr>
          <w:lang w:val="en-GB"/>
        </w:rPr>
        <w:t>W</w:t>
      </w:r>
      <w:r w:rsidRPr="004817BF">
        <w:rPr>
          <w:lang w:val="en-GB"/>
        </w:rPr>
        <w:t>ith its inherently conservative and cautious stan</w:t>
      </w:r>
      <w:r w:rsidR="00616FF0" w:rsidRPr="004817BF">
        <w:rPr>
          <w:lang w:val="en-GB"/>
        </w:rPr>
        <w:t>ce</w:t>
      </w:r>
      <w:r w:rsidRPr="004817BF">
        <w:rPr>
          <w:lang w:val="en-GB"/>
        </w:rPr>
        <w:t xml:space="preserve">, the </w:t>
      </w:r>
      <w:r w:rsidR="00045447" w:rsidRPr="004817BF">
        <w:rPr>
          <w:lang w:val="en-GB"/>
        </w:rPr>
        <w:t>c</w:t>
      </w:r>
      <w:r w:rsidRPr="004817BF">
        <w:rPr>
          <w:lang w:val="en-GB"/>
        </w:rPr>
        <w:t xml:space="preserve">entral </w:t>
      </w:r>
      <w:r w:rsidR="00045447" w:rsidRPr="004817BF">
        <w:rPr>
          <w:lang w:val="en-GB"/>
        </w:rPr>
        <w:t>b</w:t>
      </w:r>
      <w:r w:rsidRPr="004817BF">
        <w:rPr>
          <w:lang w:val="en-GB"/>
        </w:rPr>
        <w:t>ank gave a licen</w:t>
      </w:r>
      <w:r w:rsidR="00616FF0" w:rsidRPr="004817BF">
        <w:rPr>
          <w:lang w:val="en-GB"/>
        </w:rPr>
        <w:t>c</w:t>
      </w:r>
      <w:r w:rsidRPr="004817BF">
        <w:rPr>
          <w:lang w:val="en-GB"/>
        </w:rPr>
        <w:t>e to bKash as a specialized and independent entity but required it to operate as a bank subsidiary</w:t>
      </w:r>
      <w:r w:rsidR="00616FF0" w:rsidRPr="004817BF">
        <w:rPr>
          <w:lang w:val="en-GB"/>
        </w:rPr>
        <w:t xml:space="preserve">. That way, </w:t>
      </w:r>
      <w:r w:rsidRPr="004817BF">
        <w:rPr>
          <w:lang w:val="en-GB"/>
        </w:rPr>
        <w:t>if anything went wrong</w:t>
      </w:r>
      <w:r w:rsidR="00616FF0" w:rsidRPr="004817BF">
        <w:rPr>
          <w:lang w:val="en-GB"/>
        </w:rPr>
        <w:t>,</w:t>
      </w:r>
      <w:r w:rsidRPr="004817BF">
        <w:rPr>
          <w:lang w:val="en-GB"/>
        </w:rPr>
        <w:t xml:space="preserve"> 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could intervene. </w:t>
      </w:r>
    </w:p>
    <w:p w14:paraId="7BDA707B" w14:textId="77777777" w:rsidR="005E5FBE" w:rsidRPr="004817BF" w:rsidRDefault="005E5FBE" w:rsidP="00626659">
      <w:pPr>
        <w:pStyle w:val="BodyTextMain"/>
        <w:rPr>
          <w:lang w:val="en-GB"/>
        </w:rPr>
      </w:pPr>
    </w:p>
    <w:p w14:paraId="061A1C7E" w14:textId="3DD2D311" w:rsidR="005E5FBE" w:rsidRPr="004817BF" w:rsidRDefault="005E5FBE" w:rsidP="00626659">
      <w:pPr>
        <w:pStyle w:val="BodyTextMain"/>
        <w:rPr>
          <w:lang w:val="en-GB"/>
        </w:rPr>
      </w:pPr>
      <w:r w:rsidRPr="004817BF">
        <w:rPr>
          <w:lang w:val="en-GB"/>
        </w:rPr>
        <w:t xml:space="preserve">Unlike other countries, such as Kenya and Philippines, where </w:t>
      </w:r>
      <w:r w:rsidR="005F16A9" w:rsidRPr="004817BF">
        <w:rPr>
          <w:lang w:val="en-GB"/>
        </w:rPr>
        <w:t>MFS</w:t>
      </w:r>
      <w:r w:rsidRPr="004817BF">
        <w:rPr>
          <w:lang w:val="en-GB"/>
        </w:rPr>
        <w:t xml:space="preserve"> took off through initiatives spearheaded by </w:t>
      </w:r>
      <w:proofErr w:type="spellStart"/>
      <w:r w:rsidRPr="004817BF">
        <w:rPr>
          <w:lang w:val="en-GB"/>
        </w:rPr>
        <w:t>telco</w:t>
      </w:r>
      <w:r w:rsidR="005F16A9" w:rsidRPr="004817BF">
        <w:rPr>
          <w:lang w:val="en-GB"/>
        </w:rPr>
        <w:t>s</w:t>
      </w:r>
      <w:proofErr w:type="spellEnd"/>
      <w:r w:rsidRPr="004817BF">
        <w:rPr>
          <w:lang w:val="en-GB"/>
        </w:rPr>
        <w:t>, in Bangladesh</w:t>
      </w:r>
      <w:r w:rsidR="00616FF0" w:rsidRPr="004817BF">
        <w:rPr>
          <w:lang w:val="en-GB"/>
        </w:rPr>
        <w:t>,</w:t>
      </w:r>
      <w:r w:rsidRPr="004817BF">
        <w:rPr>
          <w:lang w:val="en-GB"/>
        </w:rPr>
        <w:t xml:space="preserve"> MFS </w:t>
      </w:r>
      <w:r w:rsidR="00616FF0" w:rsidRPr="004817BF">
        <w:rPr>
          <w:lang w:val="en-GB"/>
        </w:rPr>
        <w:t>were</w:t>
      </w:r>
      <w:r w:rsidRPr="004817BF">
        <w:rPr>
          <w:lang w:val="en-GB"/>
        </w:rPr>
        <w:t xml:space="preserve"> bank-led. The </w:t>
      </w:r>
      <w:r w:rsidR="00045447" w:rsidRPr="004817BF">
        <w:rPr>
          <w:lang w:val="en-GB"/>
        </w:rPr>
        <w:t>c</w:t>
      </w:r>
      <w:r w:rsidRPr="004817BF">
        <w:rPr>
          <w:lang w:val="en-GB"/>
        </w:rPr>
        <w:t xml:space="preserve">entral </w:t>
      </w:r>
      <w:r w:rsidR="00045447" w:rsidRPr="004817BF">
        <w:rPr>
          <w:lang w:val="en-GB"/>
        </w:rPr>
        <w:t>b</w:t>
      </w:r>
      <w:r w:rsidRPr="004817BF">
        <w:rPr>
          <w:lang w:val="en-GB"/>
        </w:rPr>
        <w:t>ank saw the need to supervise and regulate the service</w:t>
      </w:r>
      <w:r w:rsidR="00616FF0" w:rsidRPr="004817BF">
        <w:rPr>
          <w:lang w:val="en-GB"/>
        </w:rPr>
        <w:t>s</w:t>
      </w:r>
      <w:r w:rsidRPr="004817BF">
        <w:rPr>
          <w:lang w:val="en-GB"/>
        </w:rPr>
        <w:t xml:space="preserve">. Two factors were of paramount importance: the safety of depositors’ funds and financial flows. From the consumer protection angle, knowing that this was common people’s money going into a system, 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needed to be confident that the money was safe. The second issue was related to monetary policy. 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needed to have a handle on how much money was flowing in and out of banks in order to have a clearer sense of the effectiveness of monetary instruments such as interest rates. A reckless decision could have a fundamental impact on millions of </w:t>
      </w:r>
      <w:r w:rsidR="00616FF0" w:rsidRPr="004817BF">
        <w:rPr>
          <w:lang w:val="en-GB"/>
        </w:rPr>
        <w:t>p</w:t>
      </w:r>
      <w:r w:rsidRPr="004817BF">
        <w:rPr>
          <w:lang w:val="en-GB"/>
        </w:rPr>
        <w:t>eople.</w:t>
      </w:r>
    </w:p>
    <w:p w14:paraId="32C3C05A" w14:textId="77777777" w:rsidR="005E5FBE" w:rsidRPr="004817BF" w:rsidRDefault="005E5FBE" w:rsidP="00626659">
      <w:pPr>
        <w:pStyle w:val="BodyTextMain"/>
        <w:rPr>
          <w:lang w:val="en-GB"/>
        </w:rPr>
      </w:pPr>
    </w:p>
    <w:p w14:paraId="1AB7077A" w14:textId="6FCFF4E3" w:rsidR="005E5FBE" w:rsidRPr="004817BF" w:rsidRDefault="005E5FBE" w:rsidP="00626659">
      <w:pPr>
        <w:pStyle w:val="BodyTextMain"/>
        <w:rPr>
          <w:lang w:val="en-GB"/>
        </w:rPr>
      </w:pPr>
      <w:r w:rsidRPr="004817BF">
        <w:rPr>
          <w:lang w:val="en-GB"/>
        </w:rPr>
        <w:t xml:space="preserve">From the outset, 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was keen to allow experimentation and relied on market mechanisms to turn financial inclusion for the poor into a reality. Allah Malik </w:t>
      </w:r>
      <w:proofErr w:type="spellStart"/>
      <w:r w:rsidRPr="004817BF">
        <w:rPr>
          <w:lang w:val="en-GB"/>
        </w:rPr>
        <w:t>Kazemi</w:t>
      </w:r>
      <w:proofErr w:type="spellEnd"/>
      <w:r w:rsidRPr="004817BF">
        <w:rPr>
          <w:lang w:val="en-GB"/>
        </w:rPr>
        <w:t xml:space="preserve">, </w:t>
      </w:r>
      <w:r w:rsidR="00475F09" w:rsidRPr="004817BF">
        <w:rPr>
          <w:lang w:val="en-GB"/>
        </w:rPr>
        <w:t>s</w:t>
      </w:r>
      <w:r w:rsidRPr="004817BF">
        <w:rPr>
          <w:lang w:val="en-GB"/>
        </w:rPr>
        <w:t xml:space="preserve">enior </w:t>
      </w:r>
      <w:r w:rsidR="00475F09" w:rsidRPr="004817BF">
        <w:rPr>
          <w:lang w:val="en-GB"/>
        </w:rPr>
        <w:t>a</w:t>
      </w:r>
      <w:r w:rsidRPr="004817BF">
        <w:rPr>
          <w:lang w:val="en-GB"/>
        </w:rPr>
        <w:t xml:space="preserve">dvisor to the </w:t>
      </w:r>
      <w:r w:rsidR="00045447" w:rsidRPr="004817BF">
        <w:rPr>
          <w:lang w:val="en-GB"/>
        </w:rPr>
        <w:t>c</w:t>
      </w:r>
      <w:r w:rsidRPr="004817BF">
        <w:rPr>
          <w:lang w:val="en-GB"/>
        </w:rPr>
        <w:t xml:space="preserve">entral </w:t>
      </w:r>
      <w:r w:rsidR="00045447" w:rsidRPr="004817BF">
        <w:rPr>
          <w:lang w:val="en-GB"/>
        </w:rPr>
        <w:t>b</w:t>
      </w:r>
      <w:r w:rsidRPr="004817BF">
        <w:rPr>
          <w:lang w:val="en-GB"/>
        </w:rPr>
        <w:t xml:space="preserve">ank </w:t>
      </w:r>
      <w:r w:rsidR="00475F09" w:rsidRPr="004817BF">
        <w:rPr>
          <w:lang w:val="en-GB"/>
        </w:rPr>
        <w:t>g</w:t>
      </w:r>
      <w:r w:rsidRPr="004817BF">
        <w:rPr>
          <w:lang w:val="en-GB"/>
        </w:rPr>
        <w:t>overnor</w:t>
      </w:r>
      <w:r w:rsidR="00616FF0" w:rsidRPr="004817BF">
        <w:rPr>
          <w:lang w:val="en-GB"/>
        </w:rPr>
        <w:t>, said</w:t>
      </w:r>
      <w:r w:rsidR="0062513A">
        <w:rPr>
          <w:lang w:val="en-GB"/>
        </w:rPr>
        <w:t>,</w:t>
      </w:r>
      <w:r w:rsidR="0062513A" w:rsidRPr="004817BF">
        <w:rPr>
          <w:lang w:val="en-GB"/>
        </w:rPr>
        <w:t xml:space="preserve"> </w:t>
      </w:r>
    </w:p>
    <w:p w14:paraId="7AA6916F" w14:textId="77777777" w:rsidR="005E5FBE" w:rsidRPr="004817BF" w:rsidRDefault="005E5FBE" w:rsidP="00626659">
      <w:pPr>
        <w:pStyle w:val="BodyTextMain"/>
        <w:rPr>
          <w:lang w:val="en-GB"/>
        </w:rPr>
      </w:pPr>
    </w:p>
    <w:p w14:paraId="63263F6A" w14:textId="5E8A374C" w:rsidR="005E5FBE" w:rsidRPr="004817BF" w:rsidRDefault="005E5FBE" w:rsidP="00C41870">
      <w:pPr>
        <w:pStyle w:val="BodyTextMain"/>
        <w:ind w:left="720"/>
        <w:rPr>
          <w:lang w:val="en-GB"/>
        </w:rPr>
      </w:pPr>
      <w:r w:rsidRPr="004817BF">
        <w:rPr>
          <w:lang w:val="en-GB"/>
        </w:rPr>
        <w:t>We felt that our task is to provide an enabling environment where ideas can be experimented, where successful ideas can flourish and other ideas will not do as well. We wanted to ensure that we do not over-regulate anything. We did not provide anything overly structured. That’s because we didn’t know what to regulate, the thing hadn’t taken off yet. So why should I make a 50-page manual laying out dos and don</w:t>
      </w:r>
      <w:r w:rsidR="004A781D" w:rsidRPr="004817BF">
        <w:rPr>
          <w:lang w:val="en-GB"/>
        </w:rPr>
        <w:t>’</w:t>
      </w:r>
      <w:r w:rsidRPr="004817BF">
        <w:rPr>
          <w:lang w:val="en-GB"/>
        </w:rPr>
        <w:t xml:space="preserve">ts? That would be self-defeating. So we provided them loose enabling guidelines. </w:t>
      </w:r>
    </w:p>
    <w:p w14:paraId="4D5BBB85" w14:textId="77777777" w:rsidR="005E5FBE" w:rsidRPr="004817BF" w:rsidRDefault="005E5FBE" w:rsidP="00626659">
      <w:pPr>
        <w:pStyle w:val="BodyTextMain"/>
        <w:rPr>
          <w:lang w:val="en-GB"/>
        </w:rPr>
      </w:pPr>
    </w:p>
    <w:p w14:paraId="5335BA60" w14:textId="24C168E7" w:rsidR="005E5FBE" w:rsidRPr="004817BF" w:rsidRDefault="005E5FBE" w:rsidP="00626659">
      <w:pPr>
        <w:pStyle w:val="BodyTextMain"/>
        <w:rPr>
          <w:lang w:val="en-GB"/>
        </w:rPr>
      </w:pPr>
      <w:r w:rsidRPr="004817BF">
        <w:rPr>
          <w:lang w:val="en-GB"/>
        </w:rPr>
        <w:t>Under the new guidelines for M</w:t>
      </w:r>
      <w:r w:rsidR="00616FF0" w:rsidRPr="004817BF">
        <w:rPr>
          <w:lang w:val="en-GB"/>
        </w:rPr>
        <w:t>FS</w:t>
      </w:r>
      <w:r w:rsidRPr="004817BF">
        <w:rPr>
          <w:lang w:val="en-GB"/>
        </w:rPr>
        <w:t xml:space="preserve">, the </w:t>
      </w:r>
      <w:r w:rsidR="00045447" w:rsidRPr="004817BF">
        <w:rPr>
          <w:lang w:val="en-GB"/>
        </w:rPr>
        <w:t>c</w:t>
      </w:r>
      <w:r w:rsidRPr="004817BF">
        <w:rPr>
          <w:lang w:val="en-GB"/>
        </w:rPr>
        <w:t xml:space="preserve">entral </w:t>
      </w:r>
      <w:r w:rsidR="00045447" w:rsidRPr="004817BF">
        <w:rPr>
          <w:lang w:val="en-GB"/>
        </w:rPr>
        <w:t>b</w:t>
      </w:r>
      <w:r w:rsidRPr="004817BF">
        <w:rPr>
          <w:lang w:val="en-GB"/>
        </w:rPr>
        <w:t>ank gave out 28 licen</w:t>
      </w:r>
      <w:r w:rsidR="00616FF0" w:rsidRPr="004817BF">
        <w:rPr>
          <w:lang w:val="en-GB"/>
        </w:rPr>
        <w:t>c</w:t>
      </w:r>
      <w:r w:rsidRPr="004817BF">
        <w:rPr>
          <w:lang w:val="en-GB"/>
        </w:rPr>
        <w:t>es to different parties</w:t>
      </w:r>
      <w:r w:rsidR="00475F09" w:rsidRPr="004817BF">
        <w:rPr>
          <w:lang w:val="en-GB"/>
        </w:rPr>
        <w:t xml:space="preserve">, including </w:t>
      </w:r>
      <w:r w:rsidRPr="004817BF">
        <w:rPr>
          <w:lang w:val="en-GB"/>
        </w:rPr>
        <w:t>bKash.</w:t>
      </w:r>
      <w:r w:rsidRPr="004817BF">
        <w:rPr>
          <w:rStyle w:val="EndnoteReference"/>
          <w:lang w:val="en-GB"/>
        </w:rPr>
        <w:endnoteReference w:id="14"/>
      </w:r>
      <w:r w:rsidRPr="004817BF">
        <w:rPr>
          <w:lang w:val="en-GB"/>
        </w:rPr>
        <w:t xml:space="preserve"> Thus started a set of innovations in Bangladesh that would draw admiration from around the world, not only from institutions such as the Bill &amp; Melinda Gates Foundation </w:t>
      </w:r>
      <w:r w:rsidR="00616FF0" w:rsidRPr="004817BF">
        <w:rPr>
          <w:lang w:val="en-GB"/>
        </w:rPr>
        <w:t>and</w:t>
      </w:r>
      <w:r w:rsidRPr="004817BF">
        <w:rPr>
          <w:lang w:val="en-GB"/>
        </w:rPr>
        <w:t xml:space="preserve"> the International Finance Corporation (both institutions subsequently made for-profit investments in the company and are substantial equity holders in bKash), but also from the World Bank and other central bankers. </w:t>
      </w:r>
    </w:p>
    <w:p w14:paraId="47E5AC94" w14:textId="77777777" w:rsidR="005E5FBE" w:rsidRPr="004817BF" w:rsidRDefault="005E5FBE" w:rsidP="00626659">
      <w:pPr>
        <w:pStyle w:val="BodyTextMain"/>
        <w:rPr>
          <w:lang w:val="en-GB"/>
        </w:rPr>
      </w:pPr>
    </w:p>
    <w:p w14:paraId="2D7C571C" w14:textId="77777777" w:rsidR="00980931" w:rsidRPr="004817BF" w:rsidRDefault="00980931" w:rsidP="00626659">
      <w:pPr>
        <w:pStyle w:val="BodyTextMain"/>
        <w:rPr>
          <w:lang w:val="en-GB"/>
        </w:rPr>
      </w:pPr>
    </w:p>
    <w:p w14:paraId="511A881A" w14:textId="77777777" w:rsidR="005E5FBE" w:rsidRPr="004817BF" w:rsidRDefault="005E5FBE" w:rsidP="00C41870">
      <w:pPr>
        <w:pStyle w:val="Casehead1"/>
        <w:rPr>
          <w:lang w:val="en-GB"/>
        </w:rPr>
      </w:pPr>
      <w:r w:rsidRPr="004817BF">
        <w:rPr>
          <w:lang w:val="en-GB"/>
        </w:rPr>
        <w:t xml:space="preserve">bKash: The business model </w:t>
      </w:r>
    </w:p>
    <w:p w14:paraId="01E41B3A" w14:textId="77777777" w:rsidR="005E5FBE" w:rsidRPr="004817BF" w:rsidRDefault="005E5FBE" w:rsidP="00626659">
      <w:pPr>
        <w:pStyle w:val="BodyTextMain"/>
        <w:rPr>
          <w:lang w:val="en-GB"/>
        </w:rPr>
      </w:pPr>
    </w:p>
    <w:p w14:paraId="587FAE62" w14:textId="2F49D303" w:rsidR="005E5FBE" w:rsidRPr="004817BF" w:rsidRDefault="005E5FBE" w:rsidP="00626659">
      <w:pPr>
        <w:pStyle w:val="BodyTextMain"/>
        <w:rPr>
          <w:lang w:val="en-GB"/>
        </w:rPr>
      </w:pPr>
      <w:r w:rsidRPr="004817BF">
        <w:rPr>
          <w:lang w:val="en-GB"/>
        </w:rPr>
        <w:t>Making full use of the licen</w:t>
      </w:r>
      <w:r w:rsidR="00475F09" w:rsidRPr="004817BF">
        <w:rPr>
          <w:lang w:val="en-GB"/>
        </w:rPr>
        <w:t>c</w:t>
      </w:r>
      <w:r w:rsidRPr="004817BF">
        <w:rPr>
          <w:lang w:val="en-GB"/>
        </w:rPr>
        <w:t xml:space="preserve">e given by the </w:t>
      </w:r>
      <w:r w:rsidR="00045447" w:rsidRPr="004817BF">
        <w:rPr>
          <w:lang w:val="en-GB"/>
        </w:rPr>
        <w:t>c</w:t>
      </w:r>
      <w:r w:rsidRPr="004817BF">
        <w:rPr>
          <w:lang w:val="en-GB"/>
        </w:rPr>
        <w:t xml:space="preserve">entral </w:t>
      </w:r>
      <w:r w:rsidR="00045447" w:rsidRPr="004817BF">
        <w:rPr>
          <w:lang w:val="en-GB"/>
        </w:rPr>
        <w:t>b</w:t>
      </w:r>
      <w:r w:rsidRPr="004817BF">
        <w:rPr>
          <w:lang w:val="en-GB"/>
        </w:rPr>
        <w:t>ank along with his expertise gained from the Kenyan M-</w:t>
      </w:r>
      <w:proofErr w:type="spellStart"/>
      <w:r w:rsidRPr="004817BF">
        <w:rPr>
          <w:lang w:val="en-GB"/>
        </w:rPr>
        <w:t>Pesa</w:t>
      </w:r>
      <w:proofErr w:type="spellEnd"/>
      <w:r w:rsidRPr="004817BF">
        <w:rPr>
          <w:lang w:val="en-GB"/>
        </w:rPr>
        <w:t xml:space="preserve"> model, </w:t>
      </w:r>
      <w:proofErr w:type="spellStart"/>
      <w:r w:rsidRPr="004817BF">
        <w:rPr>
          <w:lang w:val="en-GB"/>
        </w:rPr>
        <w:t>Quadir</w:t>
      </w:r>
      <w:proofErr w:type="spellEnd"/>
      <w:r w:rsidRPr="004817BF">
        <w:rPr>
          <w:lang w:val="en-GB"/>
        </w:rPr>
        <w:t xml:space="preserve"> launched bKash, a purpose-built entity to provide </w:t>
      </w:r>
      <w:r w:rsidR="00475F09" w:rsidRPr="004817BF">
        <w:rPr>
          <w:lang w:val="en-GB"/>
        </w:rPr>
        <w:t>MFS</w:t>
      </w:r>
      <w:r w:rsidRPr="004817BF">
        <w:rPr>
          <w:lang w:val="en-GB"/>
        </w:rPr>
        <w:t xml:space="preserve"> for the unbanked. The initial challenge was which technology platform to rely on</w:t>
      </w:r>
      <w:r w:rsidR="00475F09" w:rsidRPr="004817BF">
        <w:rPr>
          <w:lang w:val="en-GB"/>
        </w:rPr>
        <w:t>—that is, h</w:t>
      </w:r>
      <w:r w:rsidRPr="004817BF">
        <w:rPr>
          <w:lang w:val="en-GB"/>
        </w:rPr>
        <w:t xml:space="preserve">ow to come up with a simple interface that </w:t>
      </w:r>
      <w:r w:rsidR="00475F09" w:rsidRPr="004817BF">
        <w:rPr>
          <w:lang w:val="en-GB"/>
        </w:rPr>
        <w:t>could</w:t>
      </w:r>
      <w:r w:rsidRPr="004817BF">
        <w:rPr>
          <w:lang w:val="en-GB"/>
        </w:rPr>
        <w:t xml:space="preserve"> be accessed by the cheapest (</w:t>
      </w:r>
      <w:r w:rsidR="00475F09" w:rsidRPr="004817BF">
        <w:rPr>
          <w:lang w:val="en-GB"/>
        </w:rPr>
        <w:t>around US</w:t>
      </w:r>
      <w:r w:rsidRPr="004817BF">
        <w:rPr>
          <w:lang w:val="en-GB"/>
        </w:rPr>
        <w:t>$15) handset</w:t>
      </w:r>
      <w:r w:rsidR="00475F09" w:rsidRPr="004817BF">
        <w:rPr>
          <w:lang w:val="en-GB"/>
        </w:rPr>
        <w:t>.</w:t>
      </w:r>
      <w:r w:rsidRPr="004817BF">
        <w:rPr>
          <w:lang w:val="en-GB"/>
        </w:rPr>
        <w:t xml:space="preserve"> An easy way out would be to develop an application for smartphones</w:t>
      </w:r>
      <w:r w:rsidR="00475F09" w:rsidRPr="004817BF">
        <w:rPr>
          <w:lang w:val="en-GB"/>
        </w:rPr>
        <w:t xml:space="preserve">. However, </w:t>
      </w:r>
      <w:r w:rsidRPr="004817BF">
        <w:rPr>
          <w:lang w:val="en-GB"/>
        </w:rPr>
        <w:t xml:space="preserve">then the service would </w:t>
      </w:r>
      <w:r w:rsidR="00475F09" w:rsidRPr="004817BF">
        <w:rPr>
          <w:lang w:val="en-GB"/>
        </w:rPr>
        <w:t>be</w:t>
      </w:r>
      <w:r w:rsidRPr="004817BF">
        <w:rPr>
          <w:lang w:val="en-GB"/>
        </w:rPr>
        <w:t xml:space="preserve"> limited to affluent customers</w:t>
      </w:r>
      <w:r w:rsidR="00475F09" w:rsidRPr="004817BF">
        <w:rPr>
          <w:lang w:val="en-GB"/>
        </w:rPr>
        <w:t xml:space="preserve">, which </w:t>
      </w:r>
      <w:r w:rsidRPr="004817BF">
        <w:rPr>
          <w:lang w:val="en-GB"/>
        </w:rPr>
        <w:t xml:space="preserve">would defeat the purpose of reaching the poor and unbanked. </w:t>
      </w:r>
    </w:p>
    <w:p w14:paraId="3551C62F" w14:textId="77777777" w:rsidR="005E5FBE" w:rsidRPr="004817BF" w:rsidRDefault="005E5FBE" w:rsidP="00626659">
      <w:pPr>
        <w:pStyle w:val="BodyTextMain"/>
        <w:rPr>
          <w:lang w:val="en-GB"/>
        </w:rPr>
      </w:pPr>
    </w:p>
    <w:p w14:paraId="1D2CD816" w14:textId="06151D46" w:rsidR="005E5FBE" w:rsidRPr="004817BF" w:rsidRDefault="005E5FBE" w:rsidP="00626659">
      <w:pPr>
        <w:pStyle w:val="BodyTextMain"/>
        <w:rPr>
          <w:lang w:val="en-GB"/>
        </w:rPr>
      </w:pPr>
      <w:proofErr w:type="gramStart"/>
      <w:r w:rsidRPr="004817BF">
        <w:rPr>
          <w:lang w:val="en-GB"/>
        </w:rPr>
        <w:t>bKash</w:t>
      </w:r>
      <w:proofErr w:type="gramEnd"/>
      <w:r w:rsidRPr="004817BF">
        <w:rPr>
          <w:lang w:val="en-GB"/>
        </w:rPr>
        <w:t xml:space="preserve"> was keen to avoid </w:t>
      </w:r>
      <w:r w:rsidR="00D6227D" w:rsidRPr="004817BF">
        <w:rPr>
          <w:lang w:val="en-GB"/>
        </w:rPr>
        <w:t>transactions based on Short Message Service (</w:t>
      </w:r>
      <w:r w:rsidRPr="004817BF">
        <w:rPr>
          <w:lang w:val="en-GB"/>
        </w:rPr>
        <w:t>SMS</w:t>
      </w:r>
      <w:r w:rsidR="00D6227D" w:rsidRPr="004817BF">
        <w:rPr>
          <w:lang w:val="en-GB"/>
        </w:rPr>
        <w:t>)</w:t>
      </w:r>
      <w:r w:rsidRPr="004817BF">
        <w:rPr>
          <w:lang w:val="en-GB"/>
        </w:rPr>
        <w:t xml:space="preserve"> because this would </w:t>
      </w:r>
      <w:r w:rsidR="00A2241D" w:rsidRPr="004817BF">
        <w:rPr>
          <w:lang w:val="en-GB"/>
        </w:rPr>
        <w:t>make</w:t>
      </w:r>
      <w:r w:rsidRPr="004817BF">
        <w:rPr>
          <w:lang w:val="en-GB"/>
        </w:rPr>
        <w:t xml:space="preserve"> the process expensive and unsafe. With every SMS exchange, user</w:t>
      </w:r>
      <w:r w:rsidR="005F16A9" w:rsidRPr="004817BF">
        <w:rPr>
          <w:lang w:val="en-GB"/>
        </w:rPr>
        <w:t>s</w:t>
      </w:r>
      <w:r w:rsidRPr="004817BF">
        <w:rPr>
          <w:lang w:val="en-GB"/>
        </w:rPr>
        <w:t xml:space="preserve"> would have amounts deducted from </w:t>
      </w:r>
      <w:r w:rsidR="00D6227D" w:rsidRPr="004817BF">
        <w:rPr>
          <w:lang w:val="en-GB"/>
        </w:rPr>
        <w:t>their</w:t>
      </w:r>
      <w:r w:rsidRPr="004817BF">
        <w:rPr>
          <w:lang w:val="en-GB"/>
        </w:rPr>
        <w:t xml:space="preserve"> virtual account. Moreover, SMS kept a log of all transactions, which could lead to privacy breaches </w:t>
      </w:r>
      <w:r w:rsidR="00D6227D" w:rsidRPr="004817BF">
        <w:rPr>
          <w:lang w:val="en-GB"/>
        </w:rPr>
        <w:t xml:space="preserve">such </w:t>
      </w:r>
      <w:r w:rsidR="00D6227D" w:rsidRPr="004817BF">
        <w:rPr>
          <w:lang w:val="en-GB"/>
        </w:rPr>
        <w:lastRenderedPageBreak/>
        <w:t>as</w:t>
      </w:r>
      <w:r w:rsidRPr="004817BF">
        <w:rPr>
          <w:lang w:val="en-GB"/>
        </w:rPr>
        <w:t xml:space="preserve"> </w:t>
      </w:r>
      <w:r w:rsidR="00166A51" w:rsidRPr="004817BF">
        <w:rPr>
          <w:lang w:val="en-GB"/>
        </w:rPr>
        <w:t>a personal identification number (</w:t>
      </w:r>
      <w:r w:rsidRPr="004817BF">
        <w:rPr>
          <w:lang w:val="en-GB"/>
        </w:rPr>
        <w:t>PIN</w:t>
      </w:r>
      <w:r w:rsidR="00166A51" w:rsidRPr="004817BF">
        <w:rPr>
          <w:lang w:val="en-GB"/>
        </w:rPr>
        <w:t>)</w:t>
      </w:r>
      <w:r w:rsidRPr="004817BF">
        <w:rPr>
          <w:lang w:val="en-GB"/>
        </w:rPr>
        <w:t xml:space="preserve"> getting stolen. </w:t>
      </w:r>
      <w:r w:rsidR="00D6227D" w:rsidRPr="004817BF">
        <w:rPr>
          <w:lang w:val="en-GB"/>
        </w:rPr>
        <w:t>Finally</w:t>
      </w:r>
      <w:r w:rsidRPr="004817BF">
        <w:rPr>
          <w:lang w:val="en-GB"/>
        </w:rPr>
        <w:t>, every handset had a different set of criteria for sending messages, making things more complex.</w:t>
      </w:r>
    </w:p>
    <w:p w14:paraId="5C6A83C1" w14:textId="77777777" w:rsidR="005E5FBE" w:rsidRPr="004817BF" w:rsidRDefault="005E5FBE" w:rsidP="00626659">
      <w:pPr>
        <w:pStyle w:val="BodyTextMain"/>
        <w:rPr>
          <w:lang w:val="en-GB"/>
        </w:rPr>
      </w:pPr>
    </w:p>
    <w:p w14:paraId="7D4D730D" w14:textId="3FEF148F" w:rsidR="005E5FBE" w:rsidRPr="004817BF" w:rsidRDefault="005E5FBE" w:rsidP="00626659">
      <w:pPr>
        <w:pStyle w:val="BodyTextMain"/>
        <w:rPr>
          <w:lang w:val="en-GB"/>
        </w:rPr>
      </w:pPr>
      <w:proofErr w:type="spellStart"/>
      <w:r w:rsidRPr="004817BF">
        <w:rPr>
          <w:lang w:val="en-GB"/>
        </w:rPr>
        <w:t>Quadir</w:t>
      </w:r>
      <w:proofErr w:type="spellEnd"/>
      <w:r w:rsidRPr="004817BF">
        <w:rPr>
          <w:lang w:val="en-GB"/>
        </w:rPr>
        <w:t xml:space="preserve"> </w:t>
      </w:r>
      <w:r w:rsidR="00D6227D" w:rsidRPr="004817BF">
        <w:rPr>
          <w:lang w:val="en-GB"/>
        </w:rPr>
        <w:t xml:space="preserve">instead </w:t>
      </w:r>
      <w:r w:rsidRPr="004817BF">
        <w:rPr>
          <w:lang w:val="en-GB"/>
        </w:rPr>
        <w:t>decided on a technology called Unstructured Supplementary Service Data (USSD). This</w:t>
      </w:r>
      <w:r w:rsidR="00D6227D" w:rsidRPr="004817BF">
        <w:rPr>
          <w:lang w:val="en-GB"/>
        </w:rPr>
        <w:t xml:space="preserve"> system</w:t>
      </w:r>
      <w:r w:rsidRPr="004817BF">
        <w:rPr>
          <w:lang w:val="en-GB"/>
        </w:rPr>
        <w:t xml:space="preserve"> offered a way for individuals to send and receive money using their cell</w:t>
      </w:r>
      <w:r w:rsidR="00D6227D" w:rsidRPr="004817BF">
        <w:rPr>
          <w:lang w:val="en-GB"/>
        </w:rPr>
        <w:t xml:space="preserve"> </w:t>
      </w:r>
      <w:r w:rsidRPr="004817BF">
        <w:rPr>
          <w:lang w:val="en-GB"/>
        </w:rPr>
        <w:t xml:space="preserve">phones, but without the disadvantages of SMS-based systems. Also, </w:t>
      </w:r>
      <w:r w:rsidR="00D6227D" w:rsidRPr="004817BF">
        <w:rPr>
          <w:lang w:val="en-GB"/>
        </w:rPr>
        <w:t xml:space="preserve">it </w:t>
      </w:r>
      <w:r w:rsidRPr="004817BF">
        <w:rPr>
          <w:lang w:val="en-GB"/>
        </w:rPr>
        <w:t>was supported by all handsets, no matter how basic. The fact that USSD could be used irrespective of the mobile handset or operator</w:t>
      </w:r>
      <w:r w:rsidRPr="004817BF">
        <w:rPr>
          <w:rStyle w:val="EndnoteReference"/>
          <w:lang w:val="en-GB"/>
        </w:rPr>
        <w:endnoteReference w:id="15"/>
      </w:r>
      <w:r w:rsidRPr="004817BF">
        <w:rPr>
          <w:lang w:val="en-GB"/>
        </w:rPr>
        <w:t xml:space="preserve"> gave Bangladesh a faster adoption of mobile money than other countries</w:t>
      </w:r>
      <w:r w:rsidR="00F975AF" w:rsidRPr="004817BF">
        <w:rPr>
          <w:lang w:val="en-GB"/>
        </w:rPr>
        <w:t>.</w:t>
      </w:r>
      <w:r w:rsidRPr="004817BF">
        <w:rPr>
          <w:rStyle w:val="EndnoteReference"/>
          <w:lang w:val="en-GB"/>
        </w:rPr>
        <w:endnoteReference w:id="16"/>
      </w:r>
    </w:p>
    <w:p w14:paraId="2A9D1CB5" w14:textId="77777777" w:rsidR="00771040" w:rsidRPr="004817BF" w:rsidRDefault="00771040" w:rsidP="00626659">
      <w:pPr>
        <w:pStyle w:val="BodyTextMain"/>
        <w:rPr>
          <w:lang w:val="en-GB"/>
        </w:rPr>
      </w:pPr>
    </w:p>
    <w:p w14:paraId="1F43C82A" w14:textId="763ACEF8" w:rsidR="005E5FBE" w:rsidRPr="004817BF" w:rsidRDefault="005E5FBE" w:rsidP="00626659">
      <w:pPr>
        <w:pStyle w:val="BodyTextMain"/>
        <w:rPr>
          <w:lang w:val="en-GB"/>
        </w:rPr>
      </w:pPr>
      <w:r w:rsidRPr="004817BF">
        <w:rPr>
          <w:lang w:val="en-GB"/>
        </w:rPr>
        <w:t>On top of that, with a USSD system, security was higher. Th</w:t>
      </w:r>
      <w:r w:rsidR="00D6227D" w:rsidRPr="004817BF">
        <w:rPr>
          <w:lang w:val="en-GB"/>
        </w:rPr>
        <w:t>e</w:t>
      </w:r>
      <w:r w:rsidRPr="004817BF">
        <w:rPr>
          <w:lang w:val="en-GB"/>
        </w:rPr>
        <w:t xml:space="preserve"> system offered an opportunity to implement a two-factor authentication system. Since the mobile number for each person was unique, there was always a way to assign accountability regarding which account was being used. </w:t>
      </w:r>
      <w:r w:rsidR="00E52C7B" w:rsidRPr="004817BF">
        <w:rPr>
          <w:lang w:val="en-GB"/>
        </w:rPr>
        <w:t>Also,</w:t>
      </w:r>
      <w:r w:rsidRPr="004817BF">
        <w:rPr>
          <w:lang w:val="en-GB"/>
        </w:rPr>
        <w:t xml:space="preserve"> providing a PIN to each account holder helped identify both the recipient and the sender. T</w:t>
      </w:r>
      <w:r w:rsidR="005F16A9" w:rsidRPr="004817BF">
        <w:rPr>
          <w:lang w:val="en-GB"/>
        </w:rPr>
        <w:t>hus,</w:t>
      </w:r>
      <w:r w:rsidRPr="004817BF">
        <w:rPr>
          <w:lang w:val="en-GB"/>
        </w:rPr>
        <w:t xml:space="preserve"> there was greater security in terms of payment or money transfer, since the secret PIN would prevent, </w:t>
      </w:r>
      <w:r w:rsidR="00D6227D" w:rsidRPr="004817BF">
        <w:rPr>
          <w:lang w:val="en-GB"/>
        </w:rPr>
        <w:t xml:space="preserve">for example, </w:t>
      </w:r>
      <w:r w:rsidRPr="004817BF">
        <w:rPr>
          <w:lang w:val="en-GB"/>
        </w:rPr>
        <w:t xml:space="preserve">a thief from making a payment or transferring money in case of phone theft. </w:t>
      </w:r>
    </w:p>
    <w:p w14:paraId="0662B247" w14:textId="77777777" w:rsidR="005E5FBE" w:rsidRPr="004817BF" w:rsidRDefault="005E5FBE" w:rsidP="00626659">
      <w:pPr>
        <w:pStyle w:val="BodyTextMain"/>
        <w:rPr>
          <w:lang w:val="en-GB"/>
        </w:rPr>
      </w:pPr>
    </w:p>
    <w:p w14:paraId="135DF80E" w14:textId="6A0BA1D8" w:rsidR="005E5FBE" w:rsidRPr="004817BF" w:rsidRDefault="005E5FBE" w:rsidP="00626659">
      <w:pPr>
        <w:pStyle w:val="BodyTextMain"/>
        <w:rPr>
          <w:lang w:val="en-GB"/>
        </w:rPr>
      </w:pPr>
      <w:proofErr w:type="gramStart"/>
      <w:r w:rsidRPr="004817BF">
        <w:rPr>
          <w:lang w:val="en-GB"/>
        </w:rPr>
        <w:t>bKash</w:t>
      </w:r>
      <w:proofErr w:type="gramEnd"/>
      <w:r w:rsidRPr="004817BF">
        <w:rPr>
          <w:lang w:val="en-GB"/>
        </w:rPr>
        <w:t xml:space="preserve"> found </w:t>
      </w:r>
      <w:proofErr w:type="spellStart"/>
      <w:r w:rsidR="00881CA4" w:rsidRPr="004817BF">
        <w:rPr>
          <w:lang w:val="en-GB"/>
        </w:rPr>
        <w:t>Fundamo</w:t>
      </w:r>
      <w:proofErr w:type="spellEnd"/>
      <w:r w:rsidR="00881CA4" w:rsidRPr="004817BF">
        <w:rPr>
          <w:lang w:val="en-GB"/>
        </w:rPr>
        <w:t xml:space="preserve">, a </w:t>
      </w:r>
      <w:r w:rsidRPr="004817BF">
        <w:rPr>
          <w:lang w:val="en-GB"/>
        </w:rPr>
        <w:t>South</w:t>
      </w:r>
      <w:r w:rsidR="00166A51" w:rsidRPr="004817BF">
        <w:rPr>
          <w:lang w:val="en-GB"/>
        </w:rPr>
        <w:t xml:space="preserve"> </w:t>
      </w:r>
      <w:r w:rsidRPr="004817BF">
        <w:rPr>
          <w:lang w:val="en-GB"/>
        </w:rPr>
        <w:t xml:space="preserve">African financial software company </w:t>
      </w:r>
      <w:r w:rsidR="008B5E0D" w:rsidRPr="004817BF">
        <w:rPr>
          <w:lang w:val="en-GB"/>
        </w:rPr>
        <w:t>that</w:t>
      </w:r>
      <w:r w:rsidRPr="004817BF">
        <w:rPr>
          <w:lang w:val="en-GB"/>
        </w:rPr>
        <w:t xml:space="preserve"> had deployed a highly scalable financial platform in more than </w:t>
      </w:r>
      <w:r w:rsidR="00166A51" w:rsidRPr="004817BF">
        <w:rPr>
          <w:lang w:val="en-GB"/>
        </w:rPr>
        <w:t>20</w:t>
      </w:r>
      <w:r w:rsidRPr="004817BF">
        <w:rPr>
          <w:lang w:val="en-GB"/>
        </w:rPr>
        <w:t xml:space="preserve"> countries. </w:t>
      </w:r>
      <w:proofErr w:type="spellStart"/>
      <w:r w:rsidRPr="004817BF">
        <w:rPr>
          <w:lang w:val="en-GB"/>
        </w:rPr>
        <w:t>Fundamo</w:t>
      </w:r>
      <w:proofErr w:type="spellEnd"/>
      <w:r w:rsidRPr="004817BF">
        <w:rPr>
          <w:lang w:val="en-GB"/>
        </w:rPr>
        <w:t xml:space="preserve"> was not only eager to work with bKash but also able to provide bKash with a platform that combined global security standards with a high degree of versatility </w:t>
      </w:r>
      <w:r w:rsidR="00166A51" w:rsidRPr="004817BF">
        <w:rPr>
          <w:lang w:val="en-GB"/>
        </w:rPr>
        <w:t xml:space="preserve">to </w:t>
      </w:r>
      <w:r w:rsidRPr="004817BF">
        <w:rPr>
          <w:lang w:val="en-GB"/>
        </w:rPr>
        <w:t>accommodat</w:t>
      </w:r>
      <w:r w:rsidR="00166A51" w:rsidRPr="004817BF">
        <w:rPr>
          <w:lang w:val="en-GB"/>
        </w:rPr>
        <w:t>e</w:t>
      </w:r>
      <w:r w:rsidRPr="004817BF">
        <w:rPr>
          <w:lang w:val="en-GB"/>
        </w:rPr>
        <w:t xml:space="preserve"> any operator or type of handset.</w:t>
      </w:r>
    </w:p>
    <w:p w14:paraId="1701F5A6" w14:textId="77777777" w:rsidR="005E5FBE" w:rsidRPr="004817BF" w:rsidRDefault="005E5FBE" w:rsidP="00626659">
      <w:pPr>
        <w:pStyle w:val="BodyTextMain"/>
        <w:rPr>
          <w:lang w:val="en-GB"/>
        </w:rPr>
      </w:pPr>
    </w:p>
    <w:p w14:paraId="566EA0A4" w14:textId="5406B0D0" w:rsidR="005E5FBE" w:rsidRPr="004817BF" w:rsidRDefault="005E5FBE" w:rsidP="00F05547">
      <w:pPr>
        <w:pStyle w:val="BodyTextMain"/>
        <w:rPr>
          <w:lang w:val="en-GB"/>
        </w:rPr>
      </w:pPr>
      <w:r w:rsidRPr="004817BF">
        <w:rPr>
          <w:lang w:val="en-GB"/>
        </w:rPr>
        <w:t xml:space="preserve">Another challenge was how to get customers to use bKash. In the beginning, people did not understand or trust the service and did not perceive a need for it. </w:t>
      </w:r>
      <w:proofErr w:type="gramStart"/>
      <w:r w:rsidR="00166A51" w:rsidRPr="004817BF">
        <w:rPr>
          <w:lang w:val="en-GB"/>
        </w:rPr>
        <w:t>bKash’s</w:t>
      </w:r>
      <w:proofErr w:type="gramEnd"/>
      <w:r w:rsidRPr="004817BF">
        <w:rPr>
          <w:lang w:val="en-GB"/>
        </w:rPr>
        <w:t xml:space="preserve"> </w:t>
      </w:r>
      <w:r w:rsidR="00166A51" w:rsidRPr="004817BF">
        <w:rPr>
          <w:lang w:val="en-GB"/>
        </w:rPr>
        <w:t>c</w:t>
      </w:r>
      <w:r w:rsidRPr="004817BF">
        <w:rPr>
          <w:lang w:val="en-GB"/>
        </w:rPr>
        <w:t xml:space="preserve">hief </w:t>
      </w:r>
      <w:r w:rsidR="00166A51" w:rsidRPr="004817BF">
        <w:rPr>
          <w:lang w:val="en-GB"/>
        </w:rPr>
        <w:t>t</w:t>
      </w:r>
      <w:r w:rsidRPr="004817BF">
        <w:rPr>
          <w:lang w:val="en-GB"/>
        </w:rPr>
        <w:t xml:space="preserve">echnology </w:t>
      </w:r>
      <w:r w:rsidR="00166A51" w:rsidRPr="004817BF">
        <w:rPr>
          <w:lang w:val="en-GB"/>
        </w:rPr>
        <w:t>o</w:t>
      </w:r>
      <w:r w:rsidRPr="004817BF">
        <w:rPr>
          <w:lang w:val="en-GB"/>
        </w:rPr>
        <w:t>ffice</w:t>
      </w:r>
      <w:r w:rsidR="00166A51" w:rsidRPr="004817BF">
        <w:rPr>
          <w:lang w:val="en-GB"/>
        </w:rPr>
        <w:t>r</w:t>
      </w:r>
      <w:r w:rsidRPr="004817BF">
        <w:rPr>
          <w:lang w:val="en-GB"/>
        </w:rPr>
        <w:t xml:space="preserve">, </w:t>
      </w:r>
      <w:proofErr w:type="spellStart"/>
      <w:r w:rsidRPr="004817BF">
        <w:rPr>
          <w:lang w:val="en-GB"/>
        </w:rPr>
        <w:t>Azmal</w:t>
      </w:r>
      <w:proofErr w:type="spellEnd"/>
      <w:r w:rsidRPr="004817BF">
        <w:rPr>
          <w:lang w:val="en-GB"/>
        </w:rPr>
        <w:t xml:space="preserve"> Huda,</w:t>
      </w:r>
      <w:r w:rsidRPr="004817BF" w:rsidDel="00050660">
        <w:rPr>
          <w:lang w:val="en-GB"/>
        </w:rPr>
        <w:t xml:space="preserve"> </w:t>
      </w:r>
      <w:r w:rsidR="00166A51" w:rsidRPr="004817BF">
        <w:rPr>
          <w:lang w:val="en-GB"/>
        </w:rPr>
        <w:t>commented</w:t>
      </w:r>
      <w:r w:rsidR="008B120B" w:rsidRPr="004817BF">
        <w:rPr>
          <w:lang w:val="en-GB"/>
        </w:rPr>
        <w:t>,</w:t>
      </w:r>
      <w:r w:rsidRPr="004817BF">
        <w:rPr>
          <w:lang w:val="en-GB"/>
        </w:rPr>
        <w:t xml:space="preserve"> “As Steve Jobs said, customers don’t know what they need. Breaking that ice is very important</w:t>
      </w:r>
      <w:r w:rsidR="00166A51" w:rsidRPr="004817BF">
        <w:rPr>
          <w:lang w:val="en-GB"/>
        </w:rPr>
        <w:t>.</w:t>
      </w:r>
      <w:r w:rsidRPr="004817BF">
        <w:rPr>
          <w:lang w:val="en-GB"/>
        </w:rPr>
        <w:t xml:space="preserve">” He further </w:t>
      </w:r>
      <w:r w:rsidR="00166A51" w:rsidRPr="004817BF">
        <w:rPr>
          <w:lang w:val="en-GB"/>
        </w:rPr>
        <w:t xml:space="preserve">noted </w:t>
      </w:r>
      <w:r w:rsidRPr="004817BF">
        <w:rPr>
          <w:lang w:val="en-GB"/>
        </w:rPr>
        <w:t xml:space="preserve">that people originally would not believe that money could be transferred through the air; they had to be convinced that it really worked. </w:t>
      </w:r>
    </w:p>
    <w:p w14:paraId="6D15A864" w14:textId="77777777" w:rsidR="005E5FBE" w:rsidRPr="004817BF" w:rsidRDefault="005E5FBE" w:rsidP="008B120B">
      <w:pPr>
        <w:pStyle w:val="BodyTextMain"/>
        <w:rPr>
          <w:lang w:val="en-GB"/>
        </w:rPr>
      </w:pPr>
    </w:p>
    <w:p w14:paraId="72E9E4FC" w14:textId="1FBA0E5B" w:rsidR="005E5FBE" w:rsidRPr="004817BF" w:rsidRDefault="00166A51" w:rsidP="00FD52C4">
      <w:pPr>
        <w:pStyle w:val="BodyTextMain"/>
        <w:rPr>
          <w:rFonts w:eastAsiaTheme="minorHAnsi"/>
          <w:szCs w:val="24"/>
          <w:lang w:val="en-GB"/>
        </w:rPr>
      </w:pPr>
      <w:r w:rsidRPr="004817BF">
        <w:rPr>
          <w:rFonts w:eastAsiaTheme="minorHAnsi"/>
          <w:szCs w:val="24"/>
          <w:lang w:val="en-GB"/>
        </w:rPr>
        <w:t>T</w:t>
      </w:r>
      <w:r w:rsidR="005E5FBE" w:rsidRPr="004817BF">
        <w:rPr>
          <w:rFonts w:eastAsiaTheme="minorHAnsi"/>
          <w:szCs w:val="24"/>
          <w:lang w:val="en-GB"/>
        </w:rPr>
        <w:t>o reach the millions of unbanked people across the country</w:t>
      </w:r>
      <w:r w:rsidRPr="004817BF">
        <w:rPr>
          <w:rFonts w:eastAsiaTheme="minorHAnsi"/>
          <w:szCs w:val="24"/>
          <w:lang w:val="en-GB"/>
        </w:rPr>
        <w:t>,</w:t>
      </w:r>
      <w:r w:rsidR="005E5FBE" w:rsidRPr="004817BF">
        <w:rPr>
          <w:rFonts w:eastAsiaTheme="minorHAnsi"/>
          <w:szCs w:val="24"/>
          <w:lang w:val="en-GB"/>
        </w:rPr>
        <w:t xml:space="preserve"> bKash needed an outreach program. Initially, with the financial support of </w:t>
      </w:r>
      <w:r w:rsidRPr="004817BF">
        <w:rPr>
          <w:rFonts w:eastAsiaTheme="minorHAnsi"/>
          <w:szCs w:val="24"/>
          <w:lang w:val="en-GB"/>
        </w:rPr>
        <w:t xml:space="preserve">the </w:t>
      </w:r>
      <w:r w:rsidR="005E5FBE" w:rsidRPr="004817BF">
        <w:rPr>
          <w:rFonts w:eastAsiaTheme="minorHAnsi"/>
          <w:szCs w:val="24"/>
          <w:lang w:val="en-GB"/>
        </w:rPr>
        <w:t xml:space="preserve">Bill &amp; Melinda Gates Foundation, bKash piloted an agent recruitment program with BRAC, which had microfinance borrowers all over the country. </w:t>
      </w:r>
      <w:proofErr w:type="spellStart"/>
      <w:r w:rsidR="005E5FBE" w:rsidRPr="004817BF">
        <w:rPr>
          <w:rFonts w:eastAsiaTheme="minorHAnsi"/>
          <w:szCs w:val="24"/>
          <w:lang w:val="en-GB"/>
        </w:rPr>
        <w:t>Shahid</w:t>
      </w:r>
      <w:proofErr w:type="spellEnd"/>
      <w:r w:rsidR="00EA5C2A" w:rsidRPr="004817BF">
        <w:rPr>
          <w:rFonts w:eastAsiaTheme="minorHAnsi"/>
          <w:szCs w:val="24"/>
          <w:lang w:val="en-GB"/>
        </w:rPr>
        <w:t xml:space="preserve"> </w:t>
      </w:r>
      <w:proofErr w:type="spellStart"/>
      <w:r w:rsidR="00EA5C2A" w:rsidRPr="004817BF">
        <w:rPr>
          <w:rFonts w:eastAsiaTheme="minorHAnsi"/>
          <w:szCs w:val="24"/>
          <w:lang w:val="en-GB"/>
        </w:rPr>
        <w:t>Ullah</w:t>
      </w:r>
      <w:proofErr w:type="spellEnd"/>
      <w:r w:rsidR="005E5FBE" w:rsidRPr="004817BF">
        <w:rPr>
          <w:rFonts w:eastAsiaTheme="minorHAnsi"/>
          <w:szCs w:val="24"/>
          <w:lang w:val="en-GB"/>
        </w:rPr>
        <w:t xml:space="preserve">, a veteran staff </w:t>
      </w:r>
      <w:r w:rsidRPr="004817BF">
        <w:rPr>
          <w:rFonts w:eastAsiaTheme="minorHAnsi"/>
          <w:szCs w:val="24"/>
          <w:lang w:val="en-GB"/>
        </w:rPr>
        <w:t xml:space="preserve">member </w:t>
      </w:r>
      <w:r w:rsidR="005E5FBE" w:rsidRPr="004817BF">
        <w:rPr>
          <w:rFonts w:eastAsiaTheme="minorHAnsi"/>
          <w:szCs w:val="24"/>
          <w:lang w:val="en-GB"/>
        </w:rPr>
        <w:t>of the BRAC Microfinance Programme, explained the recruiting strategy, which resulted in the first 5</w:t>
      </w:r>
      <w:r w:rsidRPr="004817BF">
        <w:rPr>
          <w:rFonts w:eastAsiaTheme="minorHAnsi"/>
          <w:szCs w:val="24"/>
          <w:lang w:val="en-GB"/>
        </w:rPr>
        <w:t>,</w:t>
      </w:r>
      <w:r w:rsidR="005E5FBE" w:rsidRPr="004817BF">
        <w:rPr>
          <w:rFonts w:eastAsiaTheme="minorHAnsi"/>
          <w:szCs w:val="24"/>
          <w:lang w:val="en-GB"/>
        </w:rPr>
        <w:t xml:space="preserve">000 “brave individuals” as agents: “bKash recruited small and medium enterprise borrowers </w:t>
      </w:r>
      <w:r w:rsidR="00BF186C" w:rsidRPr="004817BF">
        <w:rPr>
          <w:rFonts w:eastAsiaTheme="minorHAnsi"/>
          <w:szCs w:val="24"/>
          <w:lang w:val="en-GB"/>
        </w:rPr>
        <w:t>as they were entrepreneurs and had good marketing skills</w:t>
      </w:r>
      <w:r w:rsidR="00F975AF" w:rsidRPr="004817BF">
        <w:rPr>
          <w:rFonts w:eastAsiaTheme="minorHAnsi"/>
          <w:szCs w:val="24"/>
          <w:lang w:val="en-GB"/>
        </w:rPr>
        <w:t>.</w:t>
      </w:r>
      <w:r w:rsidR="005E5FBE" w:rsidRPr="004817BF">
        <w:rPr>
          <w:rFonts w:eastAsiaTheme="minorHAnsi"/>
          <w:szCs w:val="24"/>
          <w:lang w:val="en-GB"/>
        </w:rPr>
        <w:t>”</w:t>
      </w:r>
      <w:r w:rsidR="005E5FBE" w:rsidRPr="004817BF">
        <w:rPr>
          <w:rStyle w:val="EndnoteReference"/>
          <w:szCs w:val="24"/>
          <w:lang w:val="en-GB"/>
        </w:rPr>
        <w:endnoteReference w:id="17"/>
      </w:r>
      <w:r w:rsidR="005E5FBE" w:rsidRPr="004817BF">
        <w:rPr>
          <w:szCs w:val="24"/>
          <w:lang w:val="en-GB"/>
        </w:rPr>
        <w:t xml:space="preserve"> </w:t>
      </w:r>
    </w:p>
    <w:p w14:paraId="12027DAD" w14:textId="77777777" w:rsidR="005E5FBE" w:rsidRPr="004817BF" w:rsidRDefault="005E5FBE" w:rsidP="00626659">
      <w:pPr>
        <w:pStyle w:val="BodyTextMain"/>
        <w:rPr>
          <w:lang w:val="en-GB"/>
        </w:rPr>
      </w:pPr>
    </w:p>
    <w:p w14:paraId="049C1F82" w14:textId="7DFF6DCB" w:rsidR="005E5FBE" w:rsidRPr="004817BF" w:rsidRDefault="005E5FBE" w:rsidP="00DC6470">
      <w:pPr>
        <w:pStyle w:val="BodyTextMain"/>
        <w:rPr>
          <w:lang w:val="en-GB"/>
        </w:rPr>
      </w:pPr>
      <w:r w:rsidRPr="004817BF">
        <w:rPr>
          <w:lang w:val="en-GB"/>
        </w:rPr>
        <w:t>Customers would first go to an agent and give cash in exchange for electronic money in their mobile phone account</w:t>
      </w:r>
      <w:r w:rsidR="006B0614">
        <w:rPr>
          <w:lang w:val="en-GB"/>
        </w:rPr>
        <w:t>s</w:t>
      </w:r>
      <w:r w:rsidRPr="004817BF">
        <w:rPr>
          <w:lang w:val="en-GB"/>
        </w:rPr>
        <w:t xml:space="preserve">. This was not unlike buying and selling airtime for mobile phones, something that was already commonplace in Bangladesh. As such, the first bKash agents were those small retailers that already sold airtime. </w:t>
      </w:r>
      <w:proofErr w:type="spellStart"/>
      <w:r w:rsidRPr="004817BF">
        <w:rPr>
          <w:lang w:val="en-GB"/>
        </w:rPr>
        <w:t>Quadir</w:t>
      </w:r>
      <w:proofErr w:type="spellEnd"/>
      <w:r w:rsidR="00B421CC" w:rsidRPr="004817BF">
        <w:rPr>
          <w:lang w:val="en-GB"/>
        </w:rPr>
        <w:t xml:space="preserve"> shared </w:t>
      </w:r>
      <w:r w:rsidR="00B266DB" w:rsidRPr="004817BF">
        <w:rPr>
          <w:lang w:val="en-GB"/>
        </w:rPr>
        <w:t>how bKash</w:t>
      </w:r>
      <w:r w:rsidR="00B421CC" w:rsidRPr="004817BF">
        <w:rPr>
          <w:lang w:val="en-GB"/>
        </w:rPr>
        <w:t xml:space="preserve"> followed a similar model of distribution as a consumer good company. He explained:</w:t>
      </w:r>
      <w:r w:rsidRPr="004817BF">
        <w:rPr>
          <w:lang w:val="en-GB"/>
        </w:rPr>
        <w:t xml:space="preserve"> </w:t>
      </w:r>
      <w:r w:rsidRPr="004817BF">
        <w:rPr>
          <w:bCs/>
          <w:lang w:val="en-GB"/>
        </w:rPr>
        <w:t>“Essentially, we thought about mobile money as a consumer good that needs to be distributed. So after we concluded the pilot, we began to look for commercial distributors.”</w:t>
      </w:r>
      <w:r w:rsidRPr="004817BF">
        <w:rPr>
          <w:rStyle w:val="EndnoteReference"/>
          <w:bCs/>
          <w:lang w:val="en-GB"/>
        </w:rPr>
        <w:endnoteReference w:id="18"/>
      </w:r>
    </w:p>
    <w:p w14:paraId="7471608A" w14:textId="77777777" w:rsidR="005E5FBE" w:rsidRPr="004817BF" w:rsidRDefault="005E5FBE" w:rsidP="00626659">
      <w:pPr>
        <w:pStyle w:val="BodyTextMain"/>
        <w:rPr>
          <w:bCs/>
          <w:lang w:val="en-GB"/>
        </w:rPr>
      </w:pPr>
    </w:p>
    <w:p w14:paraId="3C9195AE" w14:textId="595EEDCC" w:rsidR="005E5FBE" w:rsidRPr="004817BF" w:rsidRDefault="005E5FBE" w:rsidP="00626659">
      <w:pPr>
        <w:pStyle w:val="BodyTextMain"/>
        <w:rPr>
          <w:lang w:val="en-GB"/>
        </w:rPr>
      </w:pPr>
      <w:r w:rsidRPr="004817BF">
        <w:rPr>
          <w:lang w:val="en-GB"/>
        </w:rPr>
        <w:t xml:space="preserve">In subsequent years, bKash aggressively pursued distribution </w:t>
      </w:r>
      <w:r w:rsidR="00E52C7B" w:rsidRPr="004817BF">
        <w:rPr>
          <w:lang w:val="en-GB"/>
        </w:rPr>
        <w:t xml:space="preserve">by </w:t>
      </w:r>
      <w:r w:rsidRPr="004817BF">
        <w:rPr>
          <w:lang w:val="en-GB"/>
        </w:rPr>
        <w:t xml:space="preserve">linking up with seasoned distribution companies </w:t>
      </w:r>
      <w:r w:rsidR="00E46EC9" w:rsidRPr="004817BF">
        <w:rPr>
          <w:lang w:val="en-GB"/>
        </w:rPr>
        <w:t>that</w:t>
      </w:r>
      <w:r w:rsidR="00E52C7B" w:rsidRPr="004817BF">
        <w:rPr>
          <w:lang w:val="en-GB"/>
        </w:rPr>
        <w:t xml:space="preserve"> were </w:t>
      </w:r>
      <w:r w:rsidRPr="004817BF">
        <w:rPr>
          <w:lang w:val="en-GB"/>
        </w:rPr>
        <w:t xml:space="preserve">each handling hundreds of agents. The distributors were hungry for new sources of revenue. </w:t>
      </w:r>
      <w:proofErr w:type="spellStart"/>
      <w:r w:rsidRPr="004817BF">
        <w:rPr>
          <w:lang w:val="en-GB"/>
        </w:rPr>
        <w:t>Quadir</w:t>
      </w:r>
      <w:proofErr w:type="spellEnd"/>
      <w:r w:rsidRPr="004817BF">
        <w:rPr>
          <w:lang w:val="en-GB"/>
        </w:rPr>
        <w:t xml:space="preserve"> had a vision of achieving fast growth to ensure access points for cash and electronic money everywhere</w:t>
      </w:r>
      <w:r w:rsidR="00E52C7B" w:rsidRPr="004817BF">
        <w:rPr>
          <w:lang w:val="en-GB"/>
        </w:rPr>
        <w:t xml:space="preserve">. </w:t>
      </w:r>
      <w:r w:rsidR="00E46EC9" w:rsidRPr="004817BF">
        <w:rPr>
          <w:lang w:val="en-GB"/>
        </w:rPr>
        <w:t xml:space="preserve">By 2016, </w:t>
      </w:r>
      <w:r w:rsidRPr="004817BF">
        <w:rPr>
          <w:lang w:val="en-GB"/>
        </w:rPr>
        <w:t>bKash’s agent network grew to nearly 160,000</w:t>
      </w:r>
      <w:r w:rsidR="00E52C7B" w:rsidRPr="004817BF">
        <w:rPr>
          <w:lang w:val="en-GB"/>
        </w:rPr>
        <w:t xml:space="preserve"> and </w:t>
      </w:r>
      <w:r w:rsidRPr="004817BF">
        <w:rPr>
          <w:lang w:val="en-GB"/>
        </w:rPr>
        <w:t>bKash agents became a common sight ac</w:t>
      </w:r>
      <w:r w:rsidR="00E725DD" w:rsidRPr="004817BF">
        <w:rPr>
          <w:lang w:val="en-GB"/>
        </w:rPr>
        <w:t>ross the country</w:t>
      </w:r>
      <w:r w:rsidRPr="004817BF">
        <w:rPr>
          <w:lang w:val="en-GB"/>
        </w:rPr>
        <w:t>.</w:t>
      </w:r>
    </w:p>
    <w:p w14:paraId="3827FE51" w14:textId="77777777" w:rsidR="005E5FBE" w:rsidRPr="004817BF" w:rsidRDefault="005E5FBE" w:rsidP="00626659">
      <w:pPr>
        <w:pStyle w:val="BodyTextMain"/>
        <w:rPr>
          <w:lang w:val="en-GB"/>
        </w:rPr>
      </w:pPr>
    </w:p>
    <w:p w14:paraId="7C134672" w14:textId="05AF6CBC" w:rsidR="005F6344" w:rsidRPr="004817BF" w:rsidRDefault="005E5FBE" w:rsidP="00C924B0">
      <w:pPr>
        <w:pStyle w:val="BodyTextMain"/>
        <w:rPr>
          <w:lang w:val="en-GB"/>
        </w:rPr>
      </w:pPr>
      <w:proofErr w:type="gramStart"/>
      <w:r w:rsidRPr="004817BF">
        <w:rPr>
          <w:lang w:val="en-GB"/>
        </w:rPr>
        <w:t>bKash</w:t>
      </w:r>
      <w:proofErr w:type="gramEnd"/>
      <w:r w:rsidRPr="004817BF">
        <w:rPr>
          <w:lang w:val="en-GB"/>
        </w:rPr>
        <w:t xml:space="preserve"> ensured that opening a</w:t>
      </w:r>
      <w:r w:rsidR="005F16A9" w:rsidRPr="004817BF">
        <w:rPr>
          <w:lang w:val="en-GB"/>
        </w:rPr>
        <w:t xml:space="preserve">n </w:t>
      </w:r>
      <w:r w:rsidRPr="004817BF">
        <w:rPr>
          <w:lang w:val="en-GB"/>
        </w:rPr>
        <w:t xml:space="preserve">account was as simple as possible and </w:t>
      </w:r>
      <w:r w:rsidR="005F16A9" w:rsidRPr="004817BF">
        <w:rPr>
          <w:lang w:val="en-GB"/>
        </w:rPr>
        <w:t xml:space="preserve">cost </w:t>
      </w:r>
      <w:r w:rsidRPr="004817BF">
        <w:rPr>
          <w:lang w:val="en-GB"/>
        </w:rPr>
        <w:t xml:space="preserve">free. It employed an aggressive pull strategy by flooding all media vehicles with awareness campaigns and </w:t>
      </w:r>
      <w:r w:rsidR="00E52C7B" w:rsidRPr="004817BF">
        <w:rPr>
          <w:lang w:val="en-GB"/>
        </w:rPr>
        <w:t>“</w:t>
      </w:r>
      <w:r w:rsidRPr="004817BF">
        <w:rPr>
          <w:lang w:val="en-GB"/>
        </w:rPr>
        <w:t>how to</w:t>
      </w:r>
      <w:r w:rsidR="00E52C7B" w:rsidRPr="004817BF">
        <w:rPr>
          <w:lang w:val="en-GB"/>
        </w:rPr>
        <w:t>”</w:t>
      </w:r>
      <w:r w:rsidRPr="004817BF">
        <w:rPr>
          <w:lang w:val="en-GB"/>
        </w:rPr>
        <w:t xml:space="preserve"> promotions. </w:t>
      </w:r>
      <w:r w:rsidR="00E52C7B" w:rsidRPr="004817BF">
        <w:rPr>
          <w:lang w:val="en-GB"/>
        </w:rPr>
        <w:t>T</w:t>
      </w:r>
      <w:r w:rsidRPr="004817BF">
        <w:rPr>
          <w:lang w:val="en-GB"/>
        </w:rPr>
        <w:t xml:space="preserve">o open </w:t>
      </w:r>
      <w:r w:rsidRPr="004817BF">
        <w:rPr>
          <w:lang w:val="en-GB"/>
        </w:rPr>
        <w:lastRenderedPageBreak/>
        <w:t>an account</w:t>
      </w:r>
      <w:r w:rsidR="00E52C7B" w:rsidRPr="004817BF">
        <w:rPr>
          <w:lang w:val="en-GB"/>
        </w:rPr>
        <w:t>,</w:t>
      </w:r>
      <w:r w:rsidRPr="004817BF">
        <w:rPr>
          <w:lang w:val="en-GB"/>
        </w:rPr>
        <w:t xml:space="preserve"> a customer needed to visit any bKash agent in the </w:t>
      </w:r>
      <w:r w:rsidR="00E52C7B" w:rsidRPr="004817BF">
        <w:rPr>
          <w:lang w:val="en-GB"/>
        </w:rPr>
        <w:t xml:space="preserve">area </w:t>
      </w:r>
      <w:r w:rsidRPr="004817BF">
        <w:rPr>
          <w:lang w:val="en-GB"/>
        </w:rPr>
        <w:t>along with a national identification document, photographs</w:t>
      </w:r>
      <w:r w:rsidR="00E52C7B" w:rsidRPr="004817BF">
        <w:rPr>
          <w:lang w:val="en-GB"/>
        </w:rPr>
        <w:t>,</w:t>
      </w:r>
      <w:r w:rsidRPr="004817BF">
        <w:rPr>
          <w:lang w:val="en-GB"/>
        </w:rPr>
        <w:t xml:space="preserve"> and mobile phone, and fill out a form. The process involved filling </w:t>
      </w:r>
      <w:r w:rsidR="00E52C7B" w:rsidRPr="004817BF">
        <w:rPr>
          <w:lang w:val="en-GB"/>
        </w:rPr>
        <w:t>out</w:t>
      </w:r>
      <w:r w:rsidRPr="004817BF">
        <w:rPr>
          <w:lang w:val="en-GB"/>
        </w:rPr>
        <w:t xml:space="preserve"> the </w:t>
      </w:r>
      <w:r w:rsidR="00045447" w:rsidRPr="004817BF">
        <w:rPr>
          <w:lang w:val="en-GB"/>
        </w:rPr>
        <w:t>c</w:t>
      </w:r>
      <w:r w:rsidRPr="004817BF">
        <w:rPr>
          <w:lang w:val="en-GB"/>
        </w:rPr>
        <w:t xml:space="preserve">entral </w:t>
      </w:r>
      <w:r w:rsidR="00045447" w:rsidRPr="004817BF">
        <w:rPr>
          <w:lang w:val="en-GB"/>
        </w:rPr>
        <w:t>b</w:t>
      </w:r>
      <w:r w:rsidRPr="004817BF">
        <w:rPr>
          <w:lang w:val="en-GB"/>
        </w:rPr>
        <w:t>ank Know Your Customer (KYC) form, verifying the information at multiple levels, and eventually</w:t>
      </w:r>
      <w:r w:rsidR="005F16A9" w:rsidRPr="004817BF">
        <w:rPr>
          <w:lang w:val="en-GB"/>
        </w:rPr>
        <w:t>,</w:t>
      </w:r>
      <w:r w:rsidRPr="004817BF">
        <w:rPr>
          <w:lang w:val="en-GB"/>
        </w:rPr>
        <w:t xml:space="preserve"> the authorized bKash employee approving the account. Th</w:t>
      </w:r>
      <w:r w:rsidR="005F16A9" w:rsidRPr="004817BF">
        <w:rPr>
          <w:lang w:val="en-GB"/>
        </w:rPr>
        <w:t>e</w:t>
      </w:r>
      <w:r w:rsidRPr="004817BF">
        <w:rPr>
          <w:lang w:val="en-GB"/>
        </w:rPr>
        <w:t xml:space="preserve"> process </w:t>
      </w:r>
      <w:r w:rsidR="00E52C7B" w:rsidRPr="004817BF">
        <w:rPr>
          <w:lang w:val="en-GB"/>
        </w:rPr>
        <w:t>took</w:t>
      </w:r>
      <w:r w:rsidRPr="004817BF">
        <w:rPr>
          <w:lang w:val="en-GB"/>
        </w:rPr>
        <w:t xml:space="preserve"> around three days. As soon as the account</w:t>
      </w:r>
      <w:r w:rsidR="00E52C7B" w:rsidRPr="004817BF">
        <w:rPr>
          <w:lang w:val="en-GB"/>
        </w:rPr>
        <w:t xml:space="preserve"> </w:t>
      </w:r>
      <w:r w:rsidRPr="004817BF">
        <w:rPr>
          <w:lang w:val="en-GB"/>
        </w:rPr>
        <w:t>activation process was complete, customer</w:t>
      </w:r>
      <w:r w:rsidR="00E52C7B" w:rsidRPr="004817BF">
        <w:rPr>
          <w:lang w:val="en-GB"/>
        </w:rPr>
        <w:t>s</w:t>
      </w:r>
      <w:r w:rsidRPr="004817BF">
        <w:rPr>
          <w:lang w:val="en-GB"/>
        </w:rPr>
        <w:t xml:space="preserve"> could easily top up </w:t>
      </w:r>
      <w:r w:rsidR="00E52C7B" w:rsidRPr="004817BF">
        <w:rPr>
          <w:lang w:val="en-GB"/>
        </w:rPr>
        <w:t>their</w:t>
      </w:r>
      <w:r w:rsidRPr="004817BF">
        <w:rPr>
          <w:lang w:val="en-GB"/>
        </w:rPr>
        <w:t xml:space="preserve"> virtual account, withdraw money from it</w:t>
      </w:r>
      <w:r w:rsidR="00E52C7B" w:rsidRPr="004817BF">
        <w:rPr>
          <w:lang w:val="en-GB"/>
        </w:rPr>
        <w:t>,</w:t>
      </w:r>
      <w:r w:rsidRPr="004817BF">
        <w:rPr>
          <w:lang w:val="en-GB"/>
        </w:rPr>
        <w:t xml:space="preserve"> and send or receive cash from another bKash account holder. </w:t>
      </w:r>
    </w:p>
    <w:p w14:paraId="4BC0D8FD" w14:textId="77777777" w:rsidR="005F6344" w:rsidRPr="004817BF" w:rsidRDefault="005F6344" w:rsidP="00C924B0">
      <w:pPr>
        <w:pStyle w:val="BodyTextMain"/>
        <w:rPr>
          <w:lang w:val="en-GB"/>
        </w:rPr>
      </w:pPr>
    </w:p>
    <w:p w14:paraId="360CDF59" w14:textId="0778CABF" w:rsidR="005E5FBE" w:rsidRPr="004817BF" w:rsidRDefault="005E5FBE" w:rsidP="00C924B0">
      <w:pPr>
        <w:pStyle w:val="BodyTextMain"/>
        <w:rPr>
          <w:lang w:val="en-GB"/>
        </w:rPr>
      </w:pPr>
      <w:r w:rsidRPr="004817BF">
        <w:rPr>
          <w:lang w:val="en-GB"/>
        </w:rPr>
        <w:t xml:space="preserve">According to Juanita Woodward, this </w:t>
      </w:r>
      <w:r w:rsidR="005F6344" w:rsidRPr="004817BF">
        <w:rPr>
          <w:lang w:val="en-GB"/>
        </w:rPr>
        <w:t xml:space="preserve">process </w:t>
      </w:r>
      <w:r w:rsidRPr="004817BF">
        <w:rPr>
          <w:lang w:val="en-GB"/>
        </w:rPr>
        <w:t xml:space="preserve">made bKash stand out: </w:t>
      </w:r>
      <w:r w:rsidR="005F6344" w:rsidRPr="004817BF">
        <w:rPr>
          <w:lang w:val="en-GB"/>
        </w:rPr>
        <w:t>“</w:t>
      </w:r>
      <w:r w:rsidRPr="004817BF">
        <w:rPr>
          <w:lang w:val="en-GB"/>
        </w:rPr>
        <w:t>bKash had another advantage: the sign up is very fast and easy, unlike banks. They also had a very transparent pricing. Banks, with their legacy systems driving up cost</w:t>
      </w:r>
      <w:r w:rsidR="00E52C7B" w:rsidRPr="004817BF">
        <w:rPr>
          <w:lang w:val="en-GB"/>
        </w:rPr>
        <w:t>,</w:t>
      </w:r>
      <w:r w:rsidRPr="004817BF">
        <w:rPr>
          <w:lang w:val="en-GB"/>
        </w:rPr>
        <w:t xml:space="preserve"> cannot compete with all-digital systems like bKash.</w:t>
      </w:r>
      <w:r w:rsidR="005F6344" w:rsidRPr="004817BF">
        <w:rPr>
          <w:lang w:val="en-GB"/>
        </w:rPr>
        <w:t>”</w:t>
      </w:r>
      <w:r w:rsidRPr="004817BF">
        <w:rPr>
          <w:lang w:val="en-GB"/>
        </w:rPr>
        <w:t xml:space="preserve"> </w:t>
      </w:r>
    </w:p>
    <w:p w14:paraId="26E136B2" w14:textId="77777777" w:rsidR="005E5FBE" w:rsidRPr="004817BF" w:rsidRDefault="005E5FBE" w:rsidP="00626659">
      <w:pPr>
        <w:pStyle w:val="BodyTextMain"/>
        <w:rPr>
          <w:lang w:val="en-GB"/>
        </w:rPr>
      </w:pPr>
    </w:p>
    <w:p w14:paraId="28FC0A94" w14:textId="2A2B337F" w:rsidR="005E5FBE" w:rsidRPr="004817BF" w:rsidRDefault="005F16A9" w:rsidP="00626659">
      <w:pPr>
        <w:pStyle w:val="BodyTextMain"/>
        <w:rPr>
          <w:lang w:val="en-GB"/>
        </w:rPr>
      </w:pPr>
      <w:r w:rsidRPr="004817BF">
        <w:rPr>
          <w:lang w:val="en-GB"/>
        </w:rPr>
        <w:t>T</w:t>
      </w:r>
      <w:r w:rsidR="005E5FBE" w:rsidRPr="004817BF">
        <w:rPr>
          <w:lang w:val="en-GB"/>
        </w:rPr>
        <w:t>his strategy, along with an engaged regulator and a robust distribution system available all the way to the grass-root</w:t>
      </w:r>
      <w:r w:rsidR="00A2241D" w:rsidRPr="004817BF">
        <w:rPr>
          <w:lang w:val="en-GB"/>
        </w:rPr>
        <w:t>s</w:t>
      </w:r>
      <w:r w:rsidR="005E5FBE" w:rsidRPr="004817BF">
        <w:rPr>
          <w:lang w:val="en-GB"/>
        </w:rPr>
        <w:t xml:space="preserve"> level, </w:t>
      </w:r>
      <w:r w:rsidRPr="004817BF">
        <w:rPr>
          <w:lang w:val="en-GB"/>
        </w:rPr>
        <w:t xml:space="preserve">caused the </w:t>
      </w:r>
      <w:r w:rsidR="005E5FBE" w:rsidRPr="004817BF">
        <w:rPr>
          <w:lang w:val="en-GB"/>
        </w:rPr>
        <w:t xml:space="preserve">adoption of bKash </w:t>
      </w:r>
      <w:r w:rsidRPr="004817BF">
        <w:rPr>
          <w:lang w:val="en-GB"/>
        </w:rPr>
        <w:t xml:space="preserve">to </w:t>
      </w:r>
      <w:r w:rsidR="005E5FBE" w:rsidRPr="004817BF">
        <w:rPr>
          <w:lang w:val="en-GB"/>
        </w:rPr>
        <w:t>skyrocke</w:t>
      </w:r>
      <w:r w:rsidRPr="004817BF">
        <w:rPr>
          <w:lang w:val="en-GB"/>
        </w:rPr>
        <w:t xml:space="preserve">t and </w:t>
      </w:r>
      <w:r w:rsidR="005E5FBE" w:rsidRPr="004817BF">
        <w:rPr>
          <w:lang w:val="en-GB"/>
        </w:rPr>
        <w:t>ma</w:t>
      </w:r>
      <w:r w:rsidRPr="004817BF">
        <w:rPr>
          <w:lang w:val="en-GB"/>
        </w:rPr>
        <w:t>de</w:t>
      </w:r>
      <w:r w:rsidR="005E5FBE" w:rsidRPr="004817BF">
        <w:rPr>
          <w:lang w:val="en-GB"/>
        </w:rPr>
        <w:t xml:space="preserve"> the word </w:t>
      </w:r>
      <w:r w:rsidR="005F6344" w:rsidRPr="004817BF">
        <w:rPr>
          <w:lang w:val="en-GB"/>
        </w:rPr>
        <w:t>“</w:t>
      </w:r>
      <w:r w:rsidR="005E5FBE" w:rsidRPr="004817BF">
        <w:rPr>
          <w:lang w:val="en-GB"/>
        </w:rPr>
        <w:t>bKash</w:t>
      </w:r>
      <w:r w:rsidR="005F6344" w:rsidRPr="004817BF">
        <w:rPr>
          <w:lang w:val="en-GB"/>
        </w:rPr>
        <w:t>”</w:t>
      </w:r>
      <w:r w:rsidR="005E5FBE" w:rsidRPr="004817BF">
        <w:rPr>
          <w:lang w:val="en-GB"/>
        </w:rPr>
        <w:t xml:space="preserve"> synonymous </w:t>
      </w:r>
      <w:r w:rsidR="005F6344" w:rsidRPr="004817BF">
        <w:rPr>
          <w:lang w:val="en-GB"/>
        </w:rPr>
        <w:t>with</w:t>
      </w:r>
      <w:r w:rsidR="005E5FBE" w:rsidRPr="004817BF">
        <w:rPr>
          <w:lang w:val="en-GB"/>
        </w:rPr>
        <w:t xml:space="preserve"> a verb, like </w:t>
      </w:r>
      <w:r w:rsidR="005F6344" w:rsidRPr="004817BF">
        <w:rPr>
          <w:lang w:val="en-GB"/>
        </w:rPr>
        <w:t>“</w:t>
      </w:r>
      <w:r w:rsidR="005E5FBE" w:rsidRPr="004817BF">
        <w:rPr>
          <w:lang w:val="en-GB"/>
        </w:rPr>
        <w:t>google</w:t>
      </w:r>
      <w:r w:rsidR="005F6344" w:rsidRPr="004817BF">
        <w:rPr>
          <w:lang w:val="en-GB"/>
        </w:rPr>
        <w:t>.”</w:t>
      </w:r>
      <w:r w:rsidR="005E5FBE" w:rsidRPr="004817BF">
        <w:rPr>
          <w:lang w:val="en-GB"/>
        </w:rPr>
        <w:t xml:space="preserve"> The number of customers rose dramatically. By the end of 2013, bKash had 11 million accounts</w:t>
      </w:r>
      <w:r w:rsidR="00237582" w:rsidRPr="004817BF">
        <w:rPr>
          <w:lang w:val="en-GB"/>
        </w:rPr>
        <w:t>.</w:t>
      </w:r>
      <w:r w:rsidR="005E5FBE" w:rsidRPr="004817BF">
        <w:rPr>
          <w:rStyle w:val="EndnoteReference"/>
          <w:lang w:val="en-GB"/>
        </w:rPr>
        <w:endnoteReference w:id="19"/>
      </w:r>
      <w:r w:rsidR="005E5FBE" w:rsidRPr="004817BF">
        <w:rPr>
          <w:lang w:val="en-GB"/>
        </w:rPr>
        <w:t xml:space="preserve"> </w:t>
      </w:r>
      <w:r w:rsidR="00237582" w:rsidRPr="004817BF">
        <w:rPr>
          <w:lang w:val="en-GB"/>
        </w:rPr>
        <w:t>Th</w:t>
      </w:r>
      <w:r w:rsidR="005E5FBE" w:rsidRPr="004817BF">
        <w:rPr>
          <w:lang w:val="en-GB"/>
        </w:rPr>
        <w:t xml:space="preserve">is number grew to 26 million by the end of 2016, according to </w:t>
      </w:r>
      <w:proofErr w:type="spellStart"/>
      <w:r w:rsidR="005E5FBE" w:rsidRPr="004817BF">
        <w:rPr>
          <w:lang w:val="en-GB"/>
        </w:rPr>
        <w:t>Quadir</w:t>
      </w:r>
      <w:proofErr w:type="spellEnd"/>
      <w:r w:rsidR="005E5FBE" w:rsidRPr="004817BF">
        <w:rPr>
          <w:lang w:val="en-GB"/>
        </w:rPr>
        <w:t xml:space="preserve">. </w:t>
      </w:r>
    </w:p>
    <w:p w14:paraId="682EA748" w14:textId="77777777" w:rsidR="005E5FBE" w:rsidRPr="004817BF" w:rsidRDefault="005E5FBE" w:rsidP="00626659">
      <w:pPr>
        <w:pStyle w:val="BodyTextMain"/>
        <w:rPr>
          <w:lang w:val="en-GB"/>
        </w:rPr>
      </w:pPr>
    </w:p>
    <w:p w14:paraId="60D454FD" w14:textId="566359EA" w:rsidR="005E5FBE" w:rsidRPr="004817BF" w:rsidRDefault="005E5FBE" w:rsidP="00626659">
      <w:pPr>
        <w:pStyle w:val="BodyTextMain"/>
        <w:rPr>
          <w:lang w:val="en-GB"/>
        </w:rPr>
      </w:pPr>
      <w:r w:rsidRPr="004817BF">
        <w:rPr>
          <w:lang w:val="en-GB"/>
        </w:rPr>
        <w:t>Th</w:t>
      </w:r>
      <w:r w:rsidR="00237582" w:rsidRPr="004817BF">
        <w:rPr>
          <w:lang w:val="en-GB"/>
        </w:rPr>
        <w:t>e</w:t>
      </w:r>
      <w:r w:rsidRPr="004817BF">
        <w:rPr>
          <w:lang w:val="en-GB"/>
        </w:rPr>
        <w:t xml:space="preserve"> large footprint raised the issue </w:t>
      </w:r>
      <w:r w:rsidR="00237582" w:rsidRPr="004817BF">
        <w:rPr>
          <w:lang w:val="en-GB"/>
        </w:rPr>
        <w:t xml:space="preserve">of </w:t>
      </w:r>
      <w:r w:rsidRPr="004817BF">
        <w:rPr>
          <w:lang w:val="en-GB"/>
        </w:rPr>
        <w:t xml:space="preserve">whether bKash was a bank-like institution. </w:t>
      </w:r>
      <w:proofErr w:type="spellStart"/>
      <w:r w:rsidRPr="004817BF">
        <w:rPr>
          <w:lang w:val="en-GB"/>
        </w:rPr>
        <w:t>Quadir</w:t>
      </w:r>
      <w:proofErr w:type="spellEnd"/>
      <w:r w:rsidRPr="004817BF">
        <w:rPr>
          <w:lang w:val="en-GB"/>
        </w:rPr>
        <w:t xml:space="preserve"> explained: </w:t>
      </w:r>
    </w:p>
    <w:p w14:paraId="4CCD53F6" w14:textId="77777777" w:rsidR="005E5FBE" w:rsidRPr="004817BF" w:rsidRDefault="005E5FBE" w:rsidP="00626659">
      <w:pPr>
        <w:pStyle w:val="BodyTextMain"/>
        <w:rPr>
          <w:lang w:val="en-GB"/>
        </w:rPr>
      </w:pPr>
    </w:p>
    <w:p w14:paraId="7C1AED57" w14:textId="2D9F6724" w:rsidR="005E5FBE" w:rsidRPr="004817BF" w:rsidRDefault="005E5FBE" w:rsidP="005252E1">
      <w:pPr>
        <w:pStyle w:val="BodyTextMain"/>
        <w:ind w:left="720"/>
        <w:rPr>
          <w:lang w:val="en-GB"/>
        </w:rPr>
      </w:pPr>
      <w:r w:rsidRPr="004817BF">
        <w:rPr>
          <w:lang w:val="en-GB"/>
        </w:rPr>
        <w:t xml:space="preserve">Banks are designed for serving the big fish. We are designed for anchovies. Our job is to design a new kind of net, collect all the anchovies and give that money to the bank as a capital resource. A bank is designed to maximize that big pot of money […]. They can finance a hospital, a factory, </w:t>
      </w:r>
      <w:proofErr w:type="gramStart"/>
      <w:r w:rsidRPr="004817BF">
        <w:rPr>
          <w:lang w:val="en-GB"/>
        </w:rPr>
        <w:t>universities</w:t>
      </w:r>
      <w:proofErr w:type="gramEnd"/>
      <w:r w:rsidRPr="004817BF">
        <w:rPr>
          <w:lang w:val="en-GB"/>
        </w:rPr>
        <w:t>. There is no conflict between us and the bank. We are making the idle money that has been under people’s mattresses effective, and putting it in the bank. In a very fundamental way we are complementing the banking service.</w:t>
      </w:r>
    </w:p>
    <w:p w14:paraId="30100ECE" w14:textId="77777777" w:rsidR="005E5FBE" w:rsidRPr="004817BF" w:rsidRDefault="005E5FBE" w:rsidP="00626659">
      <w:pPr>
        <w:pStyle w:val="BodyTextMain"/>
        <w:rPr>
          <w:lang w:val="en-GB"/>
        </w:rPr>
      </w:pPr>
    </w:p>
    <w:p w14:paraId="7314B366" w14:textId="3562B62E" w:rsidR="005E5FBE" w:rsidRPr="004817BF" w:rsidRDefault="005E5FBE" w:rsidP="00626659">
      <w:pPr>
        <w:pStyle w:val="BodyTextMain"/>
        <w:rPr>
          <w:lang w:val="en-GB"/>
        </w:rPr>
      </w:pPr>
      <w:r w:rsidRPr="004817BF">
        <w:rPr>
          <w:lang w:val="en-GB"/>
        </w:rPr>
        <w:t>Relying on small transactions, bKash indeed operated on a very different model. Its income came mostly f</w:t>
      </w:r>
      <w:r w:rsidR="00A929D0" w:rsidRPr="004817BF">
        <w:rPr>
          <w:lang w:val="en-GB"/>
        </w:rPr>
        <w:t>rom cash-out fees by customers (</w:t>
      </w:r>
      <w:r w:rsidR="002A6E8E" w:rsidRPr="004817BF">
        <w:rPr>
          <w:lang w:val="en-GB"/>
        </w:rPr>
        <w:t xml:space="preserve">see </w:t>
      </w:r>
      <w:r w:rsidR="00A929D0" w:rsidRPr="004817BF">
        <w:rPr>
          <w:lang w:val="en-GB"/>
        </w:rPr>
        <w:t>Exhibit 2)</w:t>
      </w:r>
      <w:r w:rsidRPr="004817BF">
        <w:rPr>
          <w:lang w:val="en-GB"/>
        </w:rPr>
        <w:t xml:space="preserve">. </w:t>
      </w:r>
      <w:r w:rsidR="002A6E8E" w:rsidRPr="004817BF">
        <w:rPr>
          <w:lang w:val="en-GB"/>
        </w:rPr>
        <w:t>Most o</w:t>
      </w:r>
      <w:r w:rsidRPr="004817BF">
        <w:rPr>
          <w:lang w:val="en-GB"/>
        </w:rPr>
        <w:t>f the service revenue</w:t>
      </w:r>
      <w:r w:rsidR="002A6E8E" w:rsidRPr="004817BF">
        <w:rPr>
          <w:lang w:val="en-GB"/>
        </w:rPr>
        <w:t>—</w:t>
      </w:r>
      <w:r w:rsidRPr="004817BF">
        <w:rPr>
          <w:lang w:val="en-GB"/>
        </w:rPr>
        <w:t>77 per cent</w:t>
      </w:r>
      <w:r w:rsidR="005F16A9" w:rsidRPr="004817BF">
        <w:rPr>
          <w:lang w:val="en-GB"/>
        </w:rPr>
        <w:t>—</w:t>
      </w:r>
      <w:r w:rsidRPr="004817BF">
        <w:rPr>
          <w:lang w:val="en-GB"/>
        </w:rPr>
        <w:t xml:space="preserve">was shared with agents and distributors. Importantly, the bank-led model also implied that bKash paid </w:t>
      </w:r>
      <w:proofErr w:type="spellStart"/>
      <w:r w:rsidRPr="004817BF">
        <w:rPr>
          <w:lang w:val="en-GB"/>
        </w:rPr>
        <w:t>telco</w:t>
      </w:r>
      <w:r w:rsidR="003255CC" w:rsidRPr="004817BF">
        <w:rPr>
          <w:lang w:val="en-GB"/>
        </w:rPr>
        <w:t>s</w:t>
      </w:r>
      <w:proofErr w:type="spellEnd"/>
      <w:r w:rsidRPr="004817BF">
        <w:rPr>
          <w:lang w:val="en-GB"/>
        </w:rPr>
        <w:t xml:space="preserve"> a fee for using the network; another 7 per cent of the service revenue was shared with the telco. </w:t>
      </w:r>
      <w:proofErr w:type="gramStart"/>
      <w:r w:rsidRPr="004817BF">
        <w:rPr>
          <w:lang w:val="en-GB"/>
        </w:rPr>
        <w:t>bKash</w:t>
      </w:r>
      <w:proofErr w:type="gramEnd"/>
      <w:r w:rsidRPr="004817BF">
        <w:rPr>
          <w:lang w:val="en-GB"/>
        </w:rPr>
        <w:t xml:space="preserve"> used the remaining 16 per cent of the revenue for operational activities such as marketing, technology</w:t>
      </w:r>
      <w:r w:rsidR="003255CC" w:rsidRPr="004817BF">
        <w:rPr>
          <w:lang w:val="en-GB"/>
        </w:rPr>
        <w:t>,</w:t>
      </w:r>
      <w:r w:rsidRPr="004817BF">
        <w:rPr>
          <w:lang w:val="en-GB"/>
        </w:rPr>
        <w:t xml:space="preserve"> and recruiting agents. Overall, the margins seemed rather small, but volume generate</w:t>
      </w:r>
      <w:r w:rsidR="003255CC" w:rsidRPr="004817BF">
        <w:rPr>
          <w:lang w:val="en-GB"/>
        </w:rPr>
        <w:t>d</w:t>
      </w:r>
      <w:r w:rsidRPr="004817BF">
        <w:rPr>
          <w:lang w:val="en-GB"/>
        </w:rPr>
        <w:t xml:space="preserve"> viability</w:t>
      </w:r>
      <w:r w:rsidR="00A929D0" w:rsidRPr="004817BF">
        <w:rPr>
          <w:lang w:val="en-GB"/>
        </w:rPr>
        <w:t xml:space="preserve"> (</w:t>
      </w:r>
      <w:r w:rsidR="002A6E8E" w:rsidRPr="004817BF">
        <w:rPr>
          <w:lang w:val="en-GB"/>
        </w:rPr>
        <w:t xml:space="preserve">see </w:t>
      </w:r>
      <w:r w:rsidR="00A929D0" w:rsidRPr="004817BF">
        <w:rPr>
          <w:lang w:val="en-GB"/>
        </w:rPr>
        <w:t>Exhibit</w:t>
      </w:r>
      <w:r w:rsidR="002A6E8E" w:rsidRPr="004817BF">
        <w:rPr>
          <w:lang w:val="en-GB"/>
        </w:rPr>
        <w:t> </w:t>
      </w:r>
      <w:r w:rsidR="00A929D0" w:rsidRPr="004817BF">
        <w:rPr>
          <w:lang w:val="en-GB"/>
        </w:rPr>
        <w:t>3)</w:t>
      </w:r>
      <w:r w:rsidRPr="004817BF">
        <w:rPr>
          <w:lang w:val="en-GB"/>
        </w:rPr>
        <w:t xml:space="preserve">. </w:t>
      </w:r>
    </w:p>
    <w:p w14:paraId="55B4FBA7" w14:textId="77777777" w:rsidR="005E5FBE" w:rsidRPr="004817BF" w:rsidRDefault="005E5FBE" w:rsidP="00626659">
      <w:pPr>
        <w:pStyle w:val="BodyTextMain"/>
        <w:rPr>
          <w:lang w:val="en-GB"/>
        </w:rPr>
      </w:pPr>
    </w:p>
    <w:p w14:paraId="16268F69" w14:textId="77777777" w:rsidR="00980931" w:rsidRPr="004817BF" w:rsidRDefault="00980931" w:rsidP="00626659">
      <w:pPr>
        <w:pStyle w:val="BodyTextMain"/>
        <w:rPr>
          <w:lang w:val="en-GB"/>
        </w:rPr>
      </w:pPr>
    </w:p>
    <w:p w14:paraId="147DBCC2" w14:textId="77777777" w:rsidR="00E725DD" w:rsidRPr="004817BF" w:rsidRDefault="005E5FBE" w:rsidP="00E725DD">
      <w:pPr>
        <w:pStyle w:val="Casehead1"/>
        <w:rPr>
          <w:lang w:val="en-GB"/>
        </w:rPr>
      </w:pPr>
      <w:r w:rsidRPr="004817BF">
        <w:rPr>
          <w:lang w:val="en-GB"/>
        </w:rPr>
        <w:t>Scaling the model: The challenge</w:t>
      </w:r>
    </w:p>
    <w:p w14:paraId="5B6B4BF3" w14:textId="77777777" w:rsidR="00E725DD" w:rsidRPr="004817BF" w:rsidRDefault="00E725DD" w:rsidP="00E725DD">
      <w:pPr>
        <w:pStyle w:val="Casehead1"/>
        <w:rPr>
          <w:lang w:val="en-GB"/>
        </w:rPr>
      </w:pPr>
    </w:p>
    <w:p w14:paraId="19743F85" w14:textId="3FC57706" w:rsidR="005E5FBE" w:rsidRPr="004817BF" w:rsidRDefault="005E5FBE" w:rsidP="00E725DD">
      <w:pPr>
        <w:pStyle w:val="Casehead1"/>
        <w:rPr>
          <w:rFonts w:ascii="Times New Roman" w:hAnsi="Times New Roman" w:cs="Times New Roman"/>
          <w:b w:val="0"/>
          <w:caps w:val="0"/>
          <w:sz w:val="22"/>
          <w:szCs w:val="22"/>
          <w:lang w:val="en-GB"/>
        </w:rPr>
      </w:pPr>
      <w:r w:rsidRPr="004817BF">
        <w:rPr>
          <w:rFonts w:ascii="Times New Roman" w:hAnsi="Times New Roman" w:cs="Times New Roman"/>
          <w:b w:val="0"/>
          <w:caps w:val="0"/>
          <w:sz w:val="22"/>
          <w:szCs w:val="22"/>
          <w:lang w:val="en-GB"/>
        </w:rPr>
        <w:t>The reliance on existing distribution channels, also used for such diverse activities as distributing matchboxes, distributing aid after hurricanes</w:t>
      </w:r>
      <w:r w:rsidR="00F269DC" w:rsidRPr="004817BF">
        <w:rPr>
          <w:rFonts w:ascii="Times New Roman" w:hAnsi="Times New Roman" w:cs="Times New Roman"/>
          <w:b w:val="0"/>
          <w:caps w:val="0"/>
          <w:sz w:val="22"/>
          <w:szCs w:val="22"/>
          <w:lang w:val="en-GB"/>
        </w:rPr>
        <w:t>,</w:t>
      </w:r>
      <w:r w:rsidRPr="004817BF">
        <w:rPr>
          <w:rFonts w:ascii="Times New Roman" w:hAnsi="Times New Roman" w:cs="Times New Roman"/>
          <w:b w:val="0"/>
          <w:caps w:val="0"/>
          <w:sz w:val="22"/>
          <w:szCs w:val="22"/>
          <w:lang w:val="en-GB"/>
        </w:rPr>
        <w:t xml:space="preserve"> or selling mobile airtime, had given bKash the ability to reach even the remotest parts of Bangladesh. However, moving physical cash around the country was becoming a</w:t>
      </w:r>
      <w:r w:rsidR="00F269DC" w:rsidRPr="004817BF">
        <w:rPr>
          <w:rFonts w:ascii="Times New Roman" w:hAnsi="Times New Roman" w:cs="Times New Roman"/>
          <w:b w:val="0"/>
          <w:caps w:val="0"/>
          <w:sz w:val="22"/>
          <w:szCs w:val="22"/>
          <w:lang w:val="en-GB"/>
        </w:rPr>
        <w:t xml:space="preserve"> </w:t>
      </w:r>
      <w:r w:rsidRPr="004817BF">
        <w:rPr>
          <w:rFonts w:ascii="Times New Roman" w:hAnsi="Times New Roman" w:cs="Times New Roman"/>
          <w:b w:val="0"/>
          <w:caps w:val="0"/>
          <w:sz w:val="22"/>
          <w:szCs w:val="22"/>
          <w:lang w:val="en-GB"/>
        </w:rPr>
        <w:t xml:space="preserve">challenge due to the </w:t>
      </w:r>
      <w:r w:rsidR="0098321E" w:rsidRPr="004817BF">
        <w:rPr>
          <w:rFonts w:ascii="Times New Roman" w:hAnsi="Times New Roman" w:cs="Times New Roman"/>
          <w:b w:val="0"/>
          <w:caps w:val="0"/>
          <w:sz w:val="22"/>
          <w:szCs w:val="22"/>
          <w:lang w:val="en-GB"/>
        </w:rPr>
        <w:t xml:space="preserve">liquidity </w:t>
      </w:r>
      <w:r w:rsidR="00F269DC" w:rsidRPr="004817BF">
        <w:rPr>
          <w:rFonts w:ascii="Times New Roman" w:hAnsi="Times New Roman" w:cs="Times New Roman"/>
          <w:b w:val="0"/>
          <w:caps w:val="0"/>
          <w:sz w:val="22"/>
          <w:szCs w:val="22"/>
          <w:lang w:val="en-GB"/>
        </w:rPr>
        <w:t>im</w:t>
      </w:r>
      <w:r w:rsidR="0098321E" w:rsidRPr="004817BF">
        <w:rPr>
          <w:rFonts w:ascii="Times New Roman" w:hAnsi="Times New Roman" w:cs="Times New Roman"/>
          <w:b w:val="0"/>
          <w:caps w:val="0"/>
          <w:sz w:val="22"/>
          <w:szCs w:val="22"/>
          <w:lang w:val="en-GB"/>
        </w:rPr>
        <w:t xml:space="preserve">balance (see Exhibit </w:t>
      </w:r>
      <w:r w:rsidR="00F269DC" w:rsidRPr="004817BF">
        <w:rPr>
          <w:rFonts w:ascii="Times New Roman" w:hAnsi="Times New Roman" w:cs="Times New Roman"/>
          <w:b w:val="0"/>
          <w:caps w:val="0"/>
          <w:sz w:val="22"/>
          <w:szCs w:val="22"/>
          <w:lang w:val="en-GB"/>
        </w:rPr>
        <w:t>4</w:t>
      </w:r>
      <w:r w:rsidRPr="004817BF">
        <w:rPr>
          <w:rFonts w:ascii="Times New Roman" w:hAnsi="Times New Roman" w:cs="Times New Roman"/>
          <w:b w:val="0"/>
          <w:caps w:val="0"/>
          <w:sz w:val="22"/>
          <w:szCs w:val="22"/>
          <w:lang w:val="en-GB"/>
        </w:rPr>
        <w:t xml:space="preserve">). As people were primarily sending cash from urban to rural areas, urban agents received cash from customers in the </w:t>
      </w:r>
      <w:r w:rsidR="006B0614" w:rsidRPr="004817BF">
        <w:rPr>
          <w:rFonts w:ascii="Times New Roman" w:hAnsi="Times New Roman" w:cs="Times New Roman"/>
          <w:b w:val="0"/>
          <w:caps w:val="0"/>
          <w:sz w:val="22"/>
          <w:szCs w:val="22"/>
          <w:lang w:val="en-GB"/>
        </w:rPr>
        <w:t>cit</w:t>
      </w:r>
      <w:r w:rsidR="006B0614">
        <w:rPr>
          <w:rFonts w:ascii="Times New Roman" w:hAnsi="Times New Roman" w:cs="Times New Roman"/>
          <w:b w:val="0"/>
          <w:caps w:val="0"/>
          <w:sz w:val="22"/>
          <w:szCs w:val="22"/>
          <w:lang w:val="en-GB"/>
        </w:rPr>
        <w:t>ies</w:t>
      </w:r>
      <w:r w:rsidR="006B0614" w:rsidRPr="004817BF">
        <w:rPr>
          <w:rFonts w:ascii="Times New Roman" w:hAnsi="Times New Roman" w:cs="Times New Roman"/>
          <w:b w:val="0"/>
          <w:caps w:val="0"/>
          <w:sz w:val="22"/>
          <w:szCs w:val="22"/>
          <w:lang w:val="en-GB"/>
        </w:rPr>
        <w:t xml:space="preserve"> </w:t>
      </w:r>
      <w:r w:rsidRPr="004817BF">
        <w:rPr>
          <w:rFonts w:ascii="Times New Roman" w:hAnsi="Times New Roman" w:cs="Times New Roman"/>
          <w:b w:val="0"/>
          <w:caps w:val="0"/>
          <w:sz w:val="22"/>
          <w:szCs w:val="22"/>
          <w:lang w:val="en-GB"/>
        </w:rPr>
        <w:t xml:space="preserve">and rural agents were paying out cash to customers in the rural areas. </w:t>
      </w:r>
      <w:r w:rsidR="005F16A9" w:rsidRPr="004817BF">
        <w:rPr>
          <w:rFonts w:ascii="Times New Roman" w:hAnsi="Times New Roman" w:cs="Times New Roman"/>
          <w:b w:val="0"/>
          <w:caps w:val="0"/>
          <w:sz w:val="22"/>
          <w:szCs w:val="22"/>
          <w:lang w:val="en-GB"/>
        </w:rPr>
        <w:t>T</w:t>
      </w:r>
      <w:r w:rsidRPr="004817BF">
        <w:rPr>
          <w:rFonts w:ascii="Times New Roman" w:hAnsi="Times New Roman" w:cs="Times New Roman"/>
          <w:b w:val="0"/>
          <w:caps w:val="0"/>
          <w:sz w:val="22"/>
          <w:szCs w:val="22"/>
          <w:lang w:val="en-GB"/>
        </w:rPr>
        <w:t xml:space="preserve">here was a need for agents in the capital to deposit their cash in banks, and for agents in rural areas to obtain cash. </w:t>
      </w:r>
    </w:p>
    <w:p w14:paraId="1DC8DF8C" w14:textId="77777777" w:rsidR="00F975AF" w:rsidRPr="004817BF" w:rsidRDefault="00F975AF" w:rsidP="00626659">
      <w:pPr>
        <w:pStyle w:val="BodyTextMain"/>
        <w:rPr>
          <w:lang w:val="en-GB"/>
        </w:rPr>
      </w:pPr>
    </w:p>
    <w:p w14:paraId="1F1001C6" w14:textId="15740357" w:rsidR="005E5FBE" w:rsidRPr="004817BF" w:rsidRDefault="005E5FBE" w:rsidP="00626659">
      <w:pPr>
        <w:pStyle w:val="BodyTextMain"/>
        <w:rPr>
          <w:lang w:val="en-GB"/>
        </w:rPr>
      </w:pPr>
      <w:r w:rsidRPr="004817BF">
        <w:rPr>
          <w:lang w:val="en-GB"/>
        </w:rPr>
        <w:t xml:space="preserve">However, </w:t>
      </w:r>
      <w:r w:rsidR="00632D3F" w:rsidRPr="004817BF">
        <w:rPr>
          <w:lang w:val="en-GB"/>
        </w:rPr>
        <w:t>because of</w:t>
      </w:r>
      <w:r w:rsidRPr="004817BF">
        <w:rPr>
          <w:lang w:val="en-GB"/>
        </w:rPr>
        <w:t xml:space="preserve"> existing regulations, depositing cash was only possible through </w:t>
      </w:r>
      <w:r w:rsidR="00632D3F" w:rsidRPr="004817BF">
        <w:rPr>
          <w:lang w:val="en-GB"/>
        </w:rPr>
        <w:t xml:space="preserve">the </w:t>
      </w:r>
      <w:r w:rsidRPr="004817BF">
        <w:rPr>
          <w:lang w:val="en-GB"/>
        </w:rPr>
        <w:t>BRAC Bank, which had a</w:t>
      </w:r>
      <w:r w:rsidR="00632D3F" w:rsidRPr="004817BF">
        <w:rPr>
          <w:lang w:val="en-GB"/>
        </w:rPr>
        <w:t>bout 100</w:t>
      </w:r>
      <w:r w:rsidRPr="004817BF">
        <w:rPr>
          <w:lang w:val="en-GB"/>
        </w:rPr>
        <w:t xml:space="preserve"> branches. This was not only inefficient but also posed security risks as agents had to travel far with cash. The need for extra protection raised costs, defeating the logic of a low-cost service. Moreover, counting excessive amounts of currency notes became a burden for BRAC Bank branches. The </w:t>
      </w:r>
      <w:r w:rsidR="00045447" w:rsidRPr="004817BF">
        <w:rPr>
          <w:lang w:val="en-GB"/>
        </w:rPr>
        <w:t>c</w:t>
      </w:r>
      <w:r w:rsidRPr="004817BF">
        <w:rPr>
          <w:lang w:val="en-GB"/>
        </w:rPr>
        <w:t xml:space="preserve">entral </w:t>
      </w:r>
      <w:r w:rsidR="00045447" w:rsidRPr="004817BF">
        <w:rPr>
          <w:lang w:val="en-GB"/>
        </w:rPr>
        <w:t>b</w:t>
      </w:r>
      <w:r w:rsidRPr="004817BF">
        <w:rPr>
          <w:lang w:val="en-GB"/>
        </w:rPr>
        <w:t>ank recognized the challenges and adopted a change in regulatio</w:t>
      </w:r>
      <w:r w:rsidR="00632D3F" w:rsidRPr="004817BF">
        <w:rPr>
          <w:lang w:val="en-GB"/>
        </w:rPr>
        <w:t>n that</w:t>
      </w:r>
      <w:r w:rsidRPr="004817BF">
        <w:rPr>
          <w:lang w:val="en-GB"/>
        </w:rPr>
        <w:t xml:space="preserve"> allow</w:t>
      </w:r>
      <w:r w:rsidR="00632D3F" w:rsidRPr="004817BF">
        <w:rPr>
          <w:lang w:val="en-GB"/>
        </w:rPr>
        <w:t>ed</w:t>
      </w:r>
      <w:r w:rsidRPr="004817BF">
        <w:rPr>
          <w:lang w:val="en-GB"/>
        </w:rPr>
        <w:t xml:space="preserve"> agents to deposit funds in any bank, not just </w:t>
      </w:r>
      <w:r w:rsidR="00632D3F" w:rsidRPr="004817BF">
        <w:rPr>
          <w:lang w:val="en-GB"/>
        </w:rPr>
        <w:t xml:space="preserve">a </w:t>
      </w:r>
      <w:r w:rsidRPr="004817BF">
        <w:rPr>
          <w:lang w:val="en-GB"/>
        </w:rPr>
        <w:t>BRAC Bank. The new arrangement increased the protection of customer deposits, as the customers’ money was now kept in multiple banks, including large state</w:t>
      </w:r>
      <w:r w:rsidR="00632D3F" w:rsidRPr="004817BF">
        <w:rPr>
          <w:lang w:val="en-GB"/>
        </w:rPr>
        <w:t>-</w:t>
      </w:r>
      <w:r w:rsidRPr="004817BF">
        <w:rPr>
          <w:lang w:val="en-GB"/>
        </w:rPr>
        <w:t xml:space="preserve">owned banks, </w:t>
      </w:r>
      <w:r w:rsidRPr="004817BF">
        <w:rPr>
          <w:lang w:val="en-GB"/>
        </w:rPr>
        <w:lastRenderedPageBreak/>
        <w:t xml:space="preserve">instead of </w:t>
      </w:r>
      <w:r w:rsidR="005F16A9" w:rsidRPr="004817BF">
        <w:rPr>
          <w:lang w:val="en-GB"/>
        </w:rPr>
        <w:t xml:space="preserve">the </w:t>
      </w:r>
      <w:r w:rsidRPr="004817BF">
        <w:rPr>
          <w:lang w:val="en-GB"/>
        </w:rPr>
        <w:t xml:space="preserve">BRAC Bank alone. </w:t>
      </w:r>
      <w:r w:rsidR="006B0614">
        <w:rPr>
          <w:lang w:val="en-GB"/>
        </w:rPr>
        <w:t>Moreover, d</w:t>
      </w:r>
      <w:r w:rsidRPr="004817BF">
        <w:rPr>
          <w:lang w:val="en-GB"/>
        </w:rPr>
        <w:t xml:space="preserve">epositing in multiple banks reduced </w:t>
      </w:r>
      <w:r w:rsidR="00632D3F" w:rsidRPr="004817BF">
        <w:rPr>
          <w:lang w:val="en-GB"/>
        </w:rPr>
        <w:t xml:space="preserve">the </w:t>
      </w:r>
      <w:r w:rsidRPr="004817BF">
        <w:rPr>
          <w:lang w:val="en-GB"/>
        </w:rPr>
        <w:t xml:space="preserve">risks to </w:t>
      </w:r>
      <w:r w:rsidR="00632D3F" w:rsidRPr="004817BF">
        <w:rPr>
          <w:lang w:val="en-GB"/>
        </w:rPr>
        <w:t xml:space="preserve">a </w:t>
      </w:r>
      <w:r w:rsidRPr="004817BF">
        <w:rPr>
          <w:lang w:val="en-GB"/>
        </w:rPr>
        <w:t xml:space="preserve">customer’s deposit in case of a liquidity crisis in a single bank. </w:t>
      </w:r>
    </w:p>
    <w:p w14:paraId="4420BC08" w14:textId="77777777" w:rsidR="005E5FBE" w:rsidRPr="004817BF" w:rsidRDefault="005E5FBE" w:rsidP="00626659">
      <w:pPr>
        <w:pStyle w:val="BodyTextMain"/>
        <w:rPr>
          <w:lang w:val="en-GB"/>
        </w:rPr>
      </w:pPr>
    </w:p>
    <w:p w14:paraId="36DA541A" w14:textId="3F9976C4" w:rsidR="005E5FBE" w:rsidRPr="004817BF" w:rsidRDefault="005E5FBE" w:rsidP="00626659">
      <w:pPr>
        <w:pStyle w:val="BodyTextMain"/>
        <w:rPr>
          <w:lang w:val="en-GB"/>
        </w:rPr>
      </w:pPr>
      <w:r w:rsidRPr="004817BF">
        <w:rPr>
          <w:lang w:val="en-GB"/>
        </w:rPr>
        <w:t xml:space="preserve">Then there was the question of technology. While large multinational companies often focused their </w:t>
      </w:r>
      <w:r w:rsidR="00E2582B" w:rsidRPr="004817BF">
        <w:rPr>
          <w:lang w:val="en-GB"/>
        </w:rPr>
        <w:t>research and development</w:t>
      </w:r>
      <w:r w:rsidRPr="004817BF">
        <w:rPr>
          <w:lang w:val="en-GB"/>
        </w:rPr>
        <w:t xml:space="preserve"> expenses on technologies for improving customer convenience in rich countries, different needs in emerging markets called for different technologies. As bKash grew, it needed a new platform that could help</w:t>
      </w:r>
      <w:r w:rsidR="00E2582B" w:rsidRPr="004817BF">
        <w:rPr>
          <w:lang w:val="en-GB"/>
        </w:rPr>
        <w:t xml:space="preserve"> it</w:t>
      </w:r>
      <w:r w:rsidRPr="004817BF">
        <w:rPr>
          <w:lang w:val="en-GB"/>
        </w:rPr>
        <w:t xml:space="preserve"> run smoothly </w:t>
      </w:r>
      <w:r w:rsidR="005F16A9" w:rsidRPr="004817BF">
        <w:rPr>
          <w:lang w:val="en-GB"/>
        </w:rPr>
        <w:t>on</w:t>
      </w:r>
      <w:r w:rsidRPr="004817BF">
        <w:rPr>
          <w:lang w:val="en-GB"/>
        </w:rPr>
        <w:t xml:space="preserve"> a much larger scale and cater to new</w:t>
      </w:r>
      <w:r w:rsidR="00E2582B" w:rsidRPr="004817BF">
        <w:rPr>
          <w:lang w:val="en-GB"/>
        </w:rPr>
        <w:t>,</w:t>
      </w:r>
      <w:r w:rsidRPr="004817BF">
        <w:rPr>
          <w:lang w:val="en-GB"/>
        </w:rPr>
        <w:t xml:space="preserve"> innovative products and services </w:t>
      </w:r>
      <w:r w:rsidR="00A2241D" w:rsidRPr="004817BF">
        <w:rPr>
          <w:lang w:val="en-GB"/>
        </w:rPr>
        <w:t>it could</w:t>
      </w:r>
      <w:r w:rsidRPr="004817BF">
        <w:rPr>
          <w:lang w:val="en-GB"/>
        </w:rPr>
        <w:t xml:space="preserve"> offer. </w:t>
      </w:r>
      <w:proofErr w:type="spellStart"/>
      <w:r w:rsidRPr="004817BF">
        <w:rPr>
          <w:lang w:val="en-GB"/>
        </w:rPr>
        <w:t>Fundamo</w:t>
      </w:r>
      <w:proofErr w:type="spellEnd"/>
      <w:r w:rsidRPr="004817BF">
        <w:rPr>
          <w:lang w:val="en-GB"/>
        </w:rPr>
        <w:t xml:space="preserve"> had, in the meantime, been bought by Visa, which brought a very different working relationship</w:t>
      </w:r>
      <w:r w:rsidR="00E2582B" w:rsidRPr="004817BF">
        <w:rPr>
          <w:lang w:val="en-GB"/>
        </w:rPr>
        <w:t>. U</w:t>
      </w:r>
      <w:r w:rsidRPr="004817BF">
        <w:rPr>
          <w:lang w:val="en-GB"/>
        </w:rPr>
        <w:t>nder the new setting</w:t>
      </w:r>
      <w:r w:rsidR="00E2582B" w:rsidRPr="004817BF">
        <w:rPr>
          <w:lang w:val="en-GB"/>
        </w:rPr>
        <w:t>,</w:t>
      </w:r>
      <w:r w:rsidRPr="004817BF">
        <w:rPr>
          <w:lang w:val="en-GB"/>
        </w:rPr>
        <w:t xml:space="preserve"> the partner had less incentive to serve customers like bKash. In developed countries, new platforms had taken many years to mature</w:t>
      </w:r>
      <w:r w:rsidR="00E2582B" w:rsidRPr="004817BF">
        <w:rPr>
          <w:lang w:val="en-GB"/>
        </w:rPr>
        <w:t xml:space="preserve">, </w:t>
      </w:r>
      <w:r w:rsidRPr="004817BF">
        <w:rPr>
          <w:lang w:val="en-GB"/>
        </w:rPr>
        <w:t xml:space="preserve">but bKash could not wait; it was time for bKash to find a new technology partner. </w:t>
      </w:r>
      <w:r w:rsidR="00E2582B" w:rsidRPr="004817BF">
        <w:rPr>
          <w:lang w:val="en-GB"/>
        </w:rPr>
        <w:t xml:space="preserve">In </w:t>
      </w:r>
      <w:r w:rsidRPr="004817BF">
        <w:rPr>
          <w:lang w:val="en-GB"/>
        </w:rPr>
        <w:t>2016</w:t>
      </w:r>
      <w:r w:rsidR="00E2582B" w:rsidRPr="004817BF">
        <w:rPr>
          <w:lang w:val="en-GB"/>
        </w:rPr>
        <w:t>,</w:t>
      </w:r>
      <w:r w:rsidRPr="004817BF">
        <w:rPr>
          <w:lang w:val="en-GB"/>
        </w:rPr>
        <w:t xml:space="preserve"> bKash started working with technology giant Huawei </w:t>
      </w:r>
      <w:r w:rsidR="005F16A9" w:rsidRPr="004817BF">
        <w:rPr>
          <w:lang w:val="en-GB"/>
        </w:rPr>
        <w:t xml:space="preserve">in </w:t>
      </w:r>
      <w:r w:rsidRPr="004817BF">
        <w:rPr>
          <w:lang w:val="en-GB"/>
        </w:rPr>
        <w:t xml:space="preserve">place </w:t>
      </w:r>
      <w:r w:rsidR="005F16A9" w:rsidRPr="004817BF">
        <w:rPr>
          <w:lang w:val="en-GB"/>
        </w:rPr>
        <w:t xml:space="preserve">of </w:t>
      </w:r>
      <w:proofErr w:type="spellStart"/>
      <w:r w:rsidRPr="004817BF">
        <w:rPr>
          <w:lang w:val="en-GB"/>
        </w:rPr>
        <w:t>Fundamo</w:t>
      </w:r>
      <w:proofErr w:type="spellEnd"/>
      <w:r w:rsidRPr="004817BF">
        <w:rPr>
          <w:lang w:val="en-GB"/>
        </w:rPr>
        <w:t xml:space="preserve">. </w:t>
      </w:r>
    </w:p>
    <w:p w14:paraId="70D93113" w14:textId="77777777" w:rsidR="005E5FBE" w:rsidRPr="004817BF" w:rsidRDefault="005E5FBE" w:rsidP="00626659">
      <w:pPr>
        <w:pStyle w:val="BodyTextMain"/>
        <w:rPr>
          <w:lang w:val="en-GB"/>
        </w:rPr>
      </w:pPr>
    </w:p>
    <w:p w14:paraId="573C989E" w14:textId="6023D6FF" w:rsidR="005E5FBE" w:rsidRPr="004817BF" w:rsidRDefault="005E5FBE" w:rsidP="00626659">
      <w:pPr>
        <w:pStyle w:val="BodyTextMain"/>
        <w:rPr>
          <w:lang w:val="en-GB"/>
        </w:rPr>
      </w:pPr>
      <w:r w:rsidRPr="004817BF">
        <w:rPr>
          <w:lang w:val="en-GB"/>
        </w:rPr>
        <w:t>Separately, bKash thought about gearing up its app</w:t>
      </w:r>
      <w:r w:rsidR="00E2582B" w:rsidRPr="004817BF">
        <w:rPr>
          <w:lang w:val="en-GB"/>
        </w:rPr>
        <w:t>lication (app)</w:t>
      </w:r>
      <w:r w:rsidRPr="004817BF">
        <w:rPr>
          <w:lang w:val="en-GB"/>
        </w:rPr>
        <w:t xml:space="preserve"> development effort since cheap smartphones were becoming increasingly common. </w:t>
      </w:r>
      <w:proofErr w:type="spellStart"/>
      <w:r w:rsidRPr="004817BF">
        <w:rPr>
          <w:lang w:val="en-GB"/>
        </w:rPr>
        <w:t>Quadir</w:t>
      </w:r>
      <w:proofErr w:type="spellEnd"/>
      <w:r w:rsidRPr="004817BF">
        <w:rPr>
          <w:lang w:val="en-GB"/>
        </w:rPr>
        <w:t xml:space="preserve"> was looking for a human</w:t>
      </w:r>
      <w:r w:rsidR="007F5CE0" w:rsidRPr="004817BF">
        <w:rPr>
          <w:lang w:val="en-GB"/>
        </w:rPr>
        <w:t>-</w:t>
      </w:r>
      <w:r w:rsidRPr="004817BF">
        <w:rPr>
          <w:lang w:val="en-GB"/>
        </w:rPr>
        <w:t xml:space="preserve">centric designing firm that </w:t>
      </w:r>
      <w:r w:rsidR="00A2241D" w:rsidRPr="004817BF">
        <w:rPr>
          <w:lang w:val="en-GB"/>
        </w:rPr>
        <w:t>c</w:t>
      </w:r>
      <w:r w:rsidRPr="004817BF">
        <w:rPr>
          <w:lang w:val="en-GB"/>
        </w:rPr>
        <w:t xml:space="preserve">ould help bKash come </w:t>
      </w:r>
      <w:r w:rsidR="005F16A9" w:rsidRPr="004817BF">
        <w:rPr>
          <w:lang w:val="en-GB"/>
        </w:rPr>
        <w:t xml:space="preserve">up </w:t>
      </w:r>
      <w:r w:rsidRPr="004817BF">
        <w:rPr>
          <w:lang w:val="en-GB"/>
        </w:rPr>
        <w:t xml:space="preserve">with an app design allowing its customers to graduate out of USSD while </w:t>
      </w:r>
      <w:r w:rsidR="00A2241D" w:rsidRPr="004817BF">
        <w:rPr>
          <w:lang w:val="en-GB"/>
        </w:rPr>
        <w:t xml:space="preserve">receiving </w:t>
      </w:r>
      <w:r w:rsidRPr="004817BF">
        <w:rPr>
          <w:lang w:val="en-GB"/>
        </w:rPr>
        <w:t xml:space="preserve">alternative channels. </w:t>
      </w:r>
      <w:r w:rsidR="00E2582B" w:rsidRPr="004817BF">
        <w:rPr>
          <w:lang w:val="en-GB"/>
        </w:rPr>
        <w:t>In</w:t>
      </w:r>
      <w:r w:rsidRPr="004817BF">
        <w:rPr>
          <w:lang w:val="en-GB"/>
        </w:rPr>
        <w:t xml:space="preserve"> 2016</w:t>
      </w:r>
      <w:r w:rsidR="00E2582B" w:rsidRPr="004817BF">
        <w:rPr>
          <w:lang w:val="en-GB"/>
        </w:rPr>
        <w:t>,</w:t>
      </w:r>
      <w:r w:rsidRPr="004817BF">
        <w:rPr>
          <w:lang w:val="en-GB"/>
        </w:rPr>
        <w:t xml:space="preserve"> bKash started working with San Francisco</w:t>
      </w:r>
      <w:r w:rsidR="00E2582B" w:rsidRPr="004817BF">
        <w:rPr>
          <w:lang w:val="en-GB"/>
        </w:rPr>
        <w:t>-</w:t>
      </w:r>
      <w:r w:rsidRPr="004817BF">
        <w:rPr>
          <w:lang w:val="en-GB"/>
        </w:rPr>
        <w:t>based IDEO</w:t>
      </w:r>
      <w:r w:rsidR="00E2582B" w:rsidRPr="004817BF">
        <w:rPr>
          <w:lang w:val="en-GB"/>
        </w:rPr>
        <w:t>,</w:t>
      </w:r>
      <w:r w:rsidRPr="004817BF">
        <w:rPr>
          <w:lang w:val="en-GB"/>
        </w:rPr>
        <w:t xml:space="preserve"> which famously designed the first Apple mouse and many other innovative products. </w:t>
      </w:r>
    </w:p>
    <w:p w14:paraId="4AB7C2D5" w14:textId="77777777" w:rsidR="005E5FBE" w:rsidRPr="004817BF" w:rsidRDefault="005E5FBE" w:rsidP="00626659">
      <w:pPr>
        <w:pStyle w:val="BodyTextMain"/>
        <w:rPr>
          <w:lang w:val="en-GB"/>
        </w:rPr>
      </w:pPr>
    </w:p>
    <w:p w14:paraId="06BA52A1" w14:textId="3B7D63EF" w:rsidR="005E5FBE" w:rsidRPr="004817BF" w:rsidRDefault="005E5FBE" w:rsidP="00626659">
      <w:pPr>
        <w:pStyle w:val="BodyTextMain"/>
        <w:rPr>
          <w:lang w:val="en-GB"/>
        </w:rPr>
      </w:pPr>
      <w:r w:rsidRPr="004817BF">
        <w:rPr>
          <w:lang w:val="en-GB"/>
        </w:rPr>
        <w:t>The growth of the labo</w:t>
      </w:r>
      <w:r w:rsidR="00E2582B" w:rsidRPr="004817BF">
        <w:rPr>
          <w:lang w:val="en-GB"/>
        </w:rPr>
        <w:t>ur-</w:t>
      </w:r>
      <w:r w:rsidRPr="004817BF">
        <w:rPr>
          <w:lang w:val="en-GB"/>
        </w:rPr>
        <w:t xml:space="preserve">intensive garment industry in Bangladesh was another opportunity </w:t>
      </w:r>
      <w:r w:rsidR="005F16A9" w:rsidRPr="004817BF">
        <w:rPr>
          <w:lang w:val="en-GB"/>
        </w:rPr>
        <w:t xml:space="preserve">on which </w:t>
      </w:r>
      <w:r w:rsidRPr="004817BF">
        <w:rPr>
          <w:lang w:val="en-GB"/>
        </w:rPr>
        <w:t>bKash wanted to capitaliz</w:t>
      </w:r>
      <w:r w:rsidR="005F16A9" w:rsidRPr="004817BF">
        <w:rPr>
          <w:lang w:val="en-GB"/>
        </w:rPr>
        <w:t>e</w:t>
      </w:r>
      <w:r w:rsidRPr="004817BF">
        <w:rPr>
          <w:lang w:val="en-GB"/>
        </w:rPr>
        <w:t>. In a country where cheap labo</w:t>
      </w:r>
      <w:r w:rsidR="00E2582B" w:rsidRPr="004817BF">
        <w:rPr>
          <w:lang w:val="en-GB"/>
        </w:rPr>
        <w:t>u</w:t>
      </w:r>
      <w:r w:rsidRPr="004817BF">
        <w:rPr>
          <w:lang w:val="en-GB"/>
        </w:rPr>
        <w:t>r was the main competitive advantage, companies typically paid salaries in cash, with each worker receiving a relatively small amount</w:t>
      </w:r>
      <w:r w:rsidR="00E2582B" w:rsidRPr="004817BF">
        <w:rPr>
          <w:lang w:val="en-GB"/>
        </w:rPr>
        <w:t>. A</w:t>
      </w:r>
      <w:r w:rsidRPr="004817BF">
        <w:rPr>
          <w:lang w:val="en-GB"/>
        </w:rPr>
        <w:t xml:space="preserve"> typical salary for an unskilled garment worker was US</w:t>
      </w:r>
      <w:r w:rsidR="007E592F" w:rsidRPr="004817BF">
        <w:rPr>
          <w:lang w:val="en-GB"/>
        </w:rPr>
        <w:t>$</w:t>
      </w:r>
      <w:r w:rsidRPr="004817BF">
        <w:rPr>
          <w:lang w:val="en-GB"/>
        </w:rPr>
        <w:t>68 per month in 2015.</w:t>
      </w:r>
      <w:r w:rsidRPr="004817BF">
        <w:rPr>
          <w:rStyle w:val="EndnoteReference"/>
          <w:lang w:val="en-GB"/>
        </w:rPr>
        <w:endnoteReference w:id="20"/>
      </w:r>
      <w:r w:rsidRPr="004817BF">
        <w:rPr>
          <w:lang w:val="en-GB"/>
        </w:rPr>
        <w:t xml:space="preserve"> </w:t>
      </w:r>
      <w:r w:rsidR="005F16A9" w:rsidRPr="004817BF">
        <w:rPr>
          <w:lang w:val="en-GB"/>
        </w:rPr>
        <w:t>M</w:t>
      </w:r>
      <w:r w:rsidRPr="004817BF">
        <w:rPr>
          <w:lang w:val="en-GB"/>
        </w:rPr>
        <w:t xml:space="preserve">ost garment manufacturing companies closed their factories for a day to organize the logistics of cash salary payments to their thousands of workers. </w:t>
      </w:r>
      <w:proofErr w:type="gramStart"/>
      <w:r w:rsidRPr="004817BF">
        <w:rPr>
          <w:lang w:val="en-GB"/>
        </w:rPr>
        <w:t>bKash’s</w:t>
      </w:r>
      <w:proofErr w:type="gramEnd"/>
      <w:r w:rsidRPr="004817BF">
        <w:rPr>
          <w:lang w:val="en-GB"/>
        </w:rPr>
        <w:t xml:space="preserve"> technology platform could also be used to provide payroll payment solutions to garment manufacturing companies. The first trials suggested that it could be a good solution for the garment workers. Most were women who, until then, </w:t>
      </w:r>
      <w:r w:rsidR="005F16A9" w:rsidRPr="004817BF">
        <w:rPr>
          <w:lang w:val="en-GB"/>
        </w:rPr>
        <w:t xml:space="preserve">had been forced </w:t>
      </w:r>
      <w:r w:rsidRPr="004817BF">
        <w:rPr>
          <w:lang w:val="en-GB"/>
        </w:rPr>
        <w:t xml:space="preserve">to cope with threats of extortion by their husbands, theft, or mugging. This broadening of services required bKash to deal with large companies, a hitherto unexplored territory for </w:t>
      </w:r>
      <w:r w:rsidR="003B53E3" w:rsidRPr="004817BF">
        <w:rPr>
          <w:lang w:val="en-GB"/>
        </w:rPr>
        <w:t>the company</w:t>
      </w:r>
      <w:r w:rsidRPr="004817BF">
        <w:rPr>
          <w:lang w:val="en-GB"/>
        </w:rPr>
        <w:t xml:space="preserve">. </w:t>
      </w:r>
    </w:p>
    <w:p w14:paraId="35009785" w14:textId="77777777" w:rsidR="005E5FBE" w:rsidRPr="004817BF" w:rsidRDefault="005E5FBE" w:rsidP="00626659">
      <w:pPr>
        <w:pStyle w:val="BodyTextMain"/>
        <w:rPr>
          <w:lang w:val="en-GB"/>
        </w:rPr>
      </w:pPr>
    </w:p>
    <w:p w14:paraId="058B5811" w14:textId="4F600A77" w:rsidR="005E5FBE" w:rsidRPr="004817BF" w:rsidRDefault="005E5FBE" w:rsidP="00E725DD">
      <w:pPr>
        <w:pStyle w:val="BodyTextMain"/>
        <w:rPr>
          <w:lang w:val="en-GB"/>
        </w:rPr>
      </w:pPr>
      <w:r w:rsidRPr="004817BF">
        <w:rPr>
          <w:lang w:val="en-GB"/>
        </w:rPr>
        <w:t>Bangladesh, being one of the largest exporters of labo</w:t>
      </w:r>
      <w:r w:rsidR="00506CB9" w:rsidRPr="004817BF">
        <w:rPr>
          <w:lang w:val="en-GB"/>
        </w:rPr>
        <w:t>u</w:t>
      </w:r>
      <w:r w:rsidRPr="004817BF">
        <w:rPr>
          <w:lang w:val="en-GB"/>
        </w:rPr>
        <w:t xml:space="preserve">r in the world, provided bKash with the opportunity </w:t>
      </w:r>
      <w:r w:rsidR="00506CB9" w:rsidRPr="004817BF">
        <w:rPr>
          <w:lang w:val="en-GB"/>
        </w:rPr>
        <w:t>to</w:t>
      </w:r>
      <w:r w:rsidRPr="004817BF">
        <w:rPr>
          <w:lang w:val="en-GB"/>
        </w:rPr>
        <w:t xml:space="preserve"> natural</w:t>
      </w:r>
      <w:r w:rsidR="00506CB9" w:rsidRPr="004817BF">
        <w:rPr>
          <w:lang w:val="en-GB"/>
        </w:rPr>
        <w:t>ly</w:t>
      </w:r>
      <w:r w:rsidRPr="004817BF">
        <w:rPr>
          <w:lang w:val="en-GB"/>
        </w:rPr>
        <w:t xml:space="preserve"> exten</w:t>
      </w:r>
      <w:r w:rsidR="00506CB9" w:rsidRPr="004817BF">
        <w:rPr>
          <w:lang w:val="en-GB"/>
        </w:rPr>
        <w:t xml:space="preserve">d </w:t>
      </w:r>
      <w:r w:rsidRPr="004817BF">
        <w:rPr>
          <w:lang w:val="en-GB"/>
        </w:rPr>
        <w:t xml:space="preserve">its business </w:t>
      </w:r>
      <w:r w:rsidR="00506CB9" w:rsidRPr="004817BF">
        <w:rPr>
          <w:lang w:val="en-GB"/>
        </w:rPr>
        <w:t xml:space="preserve">by </w:t>
      </w:r>
      <w:r w:rsidRPr="004817BF">
        <w:rPr>
          <w:lang w:val="en-GB"/>
        </w:rPr>
        <w:t>tapping into th</w:t>
      </w:r>
      <w:r w:rsidR="00506CB9" w:rsidRPr="004817BF">
        <w:rPr>
          <w:lang w:val="en-GB"/>
        </w:rPr>
        <w:t xml:space="preserve">e </w:t>
      </w:r>
      <w:r w:rsidRPr="004817BF">
        <w:rPr>
          <w:lang w:val="en-GB"/>
        </w:rPr>
        <w:t xml:space="preserve">growing pool of foreign remittances. </w:t>
      </w:r>
      <w:r w:rsidR="00BE6893" w:rsidRPr="004817BF">
        <w:rPr>
          <w:lang w:val="en-GB"/>
        </w:rPr>
        <w:t>O</w:t>
      </w:r>
      <w:r w:rsidRPr="004817BF">
        <w:rPr>
          <w:lang w:val="en-GB"/>
        </w:rPr>
        <w:t>ther players were already active in the market</w:t>
      </w:r>
      <w:r w:rsidR="00506CB9" w:rsidRPr="004817BF">
        <w:rPr>
          <w:lang w:val="en-GB"/>
        </w:rPr>
        <w:t xml:space="preserve">. To </w:t>
      </w:r>
      <w:r w:rsidRPr="004817BF">
        <w:rPr>
          <w:lang w:val="en-GB"/>
        </w:rPr>
        <w:t xml:space="preserve">enter this existing market, in April 2016, bKash partnered with Western Union and MasterCard to help Bangladeshis transfer funds from anywhere in the world. </w:t>
      </w:r>
    </w:p>
    <w:p w14:paraId="1D4FC57D" w14:textId="77777777" w:rsidR="00E725DD" w:rsidRPr="004817BF" w:rsidRDefault="00E725DD" w:rsidP="00E725DD">
      <w:pPr>
        <w:pStyle w:val="BodyTextMain"/>
        <w:rPr>
          <w:lang w:val="en-GB"/>
        </w:rPr>
      </w:pPr>
    </w:p>
    <w:p w14:paraId="6058787F" w14:textId="77777777" w:rsidR="00980931" w:rsidRPr="004817BF" w:rsidRDefault="00980931" w:rsidP="00E725DD">
      <w:pPr>
        <w:pStyle w:val="BodyTextMain"/>
        <w:rPr>
          <w:lang w:val="en-GB"/>
        </w:rPr>
      </w:pPr>
    </w:p>
    <w:p w14:paraId="4DBE2C7D" w14:textId="77777777" w:rsidR="005E5FBE" w:rsidRPr="004817BF" w:rsidRDefault="005E5FBE" w:rsidP="0004427F">
      <w:pPr>
        <w:pStyle w:val="Casehead1"/>
        <w:rPr>
          <w:lang w:val="en-GB"/>
        </w:rPr>
      </w:pPr>
      <w:r w:rsidRPr="004817BF">
        <w:rPr>
          <w:lang w:val="en-GB"/>
        </w:rPr>
        <w:t>Remaining relevant: The future</w:t>
      </w:r>
    </w:p>
    <w:p w14:paraId="13BD869D" w14:textId="77777777" w:rsidR="005E5FBE" w:rsidRPr="004817BF" w:rsidRDefault="005E5FBE" w:rsidP="00626659">
      <w:pPr>
        <w:pStyle w:val="BodyTextMain"/>
        <w:rPr>
          <w:lang w:val="en-GB"/>
        </w:rPr>
      </w:pPr>
    </w:p>
    <w:p w14:paraId="68E1E849" w14:textId="007A3EAB" w:rsidR="005E5FBE" w:rsidRPr="004817BF" w:rsidRDefault="005E5FBE" w:rsidP="00626659">
      <w:pPr>
        <w:pStyle w:val="BodyTextMain"/>
        <w:rPr>
          <w:lang w:val="en-GB"/>
        </w:rPr>
      </w:pPr>
      <w:proofErr w:type="gramStart"/>
      <w:r w:rsidRPr="004817BF">
        <w:rPr>
          <w:lang w:val="en-GB"/>
        </w:rPr>
        <w:t>bKash</w:t>
      </w:r>
      <w:proofErr w:type="gramEnd"/>
      <w:r w:rsidRPr="004817BF">
        <w:rPr>
          <w:lang w:val="en-GB"/>
        </w:rPr>
        <w:t xml:space="preserve"> had witnessed remarkable s</w:t>
      </w:r>
      <w:r w:rsidR="00A87BA7" w:rsidRPr="004817BF">
        <w:rPr>
          <w:lang w:val="en-GB"/>
        </w:rPr>
        <w:t xml:space="preserve">uccess in a short </w:t>
      </w:r>
      <w:r w:rsidR="00FD3429" w:rsidRPr="004817BF">
        <w:rPr>
          <w:lang w:val="en-GB"/>
        </w:rPr>
        <w:t xml:space="preserve">time </w:t>
      </w:r>
      <w:r w:rsidR="00A87BA7" w:rsidRPr="004817BF">
        <w:rPr>
          <w:lang w:val="en-GB"/>
        </w:rPr>
        <w:t>span</w:t>
      </w:r>
      <w:r w:rsidR="00A61974" w:rsidRPr="004817BF">
        <w:rPr>
          <w:lang w:val="en-GB"/>
        </w:rPr>
        <w:t xml:space="preserve">, becoming </w:t>
      </w:r>
      <w:r w:rsidRPr="004817BF">
        <w:rPr>
          <w:lang w:val="en-GB"/>
        </w:rPr>
        <w:t xml:space="preserve">the lead player in </w:t>
      </w:r>
      <w:r w:rsidR="00A61974" w:rsidRPr="004817BF">
        <w:rPr>
          <w:lang w:val="en-GB"/>
        </w:rPr>
        <w:t>a</w:t>
      </w:r>
      <w:r w:rsidRPr="004817BF">
        <w:rPr>
          <w:lang w:val="en-GB"/>
        </w:rPr>
        <w:t xml:space="preserve"> newly created market</w:t>
      </w:r>
      <w:r w:rsidR="0098321E" w:rsidRPr="004817BF">
        <w:rPr>
          <w:lang w:val="en-GB"/>
        </w:rPr>
        <w:t xml:space="preserve"> (</w:t>
      </w:r>
      <w:r w:rsidR="0088733D" w:rsidRPr="004817BF">
        <w:rPr>
          <w:lang w:val="en-GB"/>
        </w:rPr>
        <w:t xml:space="preserve">see </w:t>
      </w:r>
      <w:r w:rsidR="0098321E" w:rsidRPr="004817BF">
        <w:rPr>
          <w:lang w:val="en-GB"/>
        </w:rPr>
        <w:t xml:space="preserve">Exhibit </w:t>
      </w:r>
      <w:r w:rsidR="00F269DC" w:rsidRPr="004817BF">
        <w:rPr>
          <w:lang w:val="en-GB"/>
        </w:rPr>
        <w:t>5</w:t>
      </w:r>
      <w:r w:rsidR="0098321E" w:rsidRPr="004817BF">
        <w:rPr>
          <w:lang w:val="en-GB"/>
        </w:rPr>
        <w:t>)</w:t>
      </w:r>
      <w:r w:rsidR="00A61974" w:rsidRPr="004817BF">
        <w:rPr>
          <w:lang w:val="en-GB"/>
        </w:rPr>
        <w:t>. P</w:t>
      </w:r>
      <w:r w:rsidRPr="004817BF">
        <w:rPr>
          <w:lang w:val="en-GB"/>
        </w:rPr>
        <w:t>rofit margins were small,</w:t>
      </w:r>
      <w:r w:rsidR="00A61974" w:rsidRPr="004817BF">
        <w:rPr>
          <w:lang w:val="en-GB"/>
        </w:rPr>
        <w:t xml:space="preserve"> but </w:t>
      </w:r>
      <w:r w:rsidRPr="004817BF">
        <w:rPr>
          <w:lang w:val="en-GB"/>
        </w:rPr>
        <w:t>bKash recovered all its losses by 2016. The</w:t>
      </w:r>
      <w:r w:rsidR="00A61974" w:rsidRPr="004817BF">
        <w:rPr>
          <w:lang w:val="en-GB"/>
        </w:rPr>
        <w:t xml:space="preserve"> </w:t>
      </w:r>
      <w:r w:rsidRPr="004817BF">
        <w:rPr>
          <w:lang w:val="en-GB"/>
        </w:rPr>
        <w:t xml:space="preserve">question </w:t>
      </w:r>
      <w:r w:rsidR="00A61974" w:rsidRPr="004817BF">
        <w:rPr>
          <w:lang w:val="en-GB"/>
        </w:rPr>
        <w:t>was</w:t>
      </w:r>
      <w:r w:rsidR="00CC7545">
        <w:rPr>
          <w:lang w:val="en-GB"/>
        </w:rPr>
        <w:t xml:space="preserve">, </w:t>
      </w:r>
      <w:proofErr w:type="gramStart"/>
      <w:r w:rsidR="00CC7545">
        <w:rPr>
          <w:lang w:val="en-GB"/>
        </w:rPr>
        <w:t>H</w:t>
      </w:r>
      <w:r w:rsidRPr="004817BF">
        <w:rPr>
          <w:lang w:val="en-GB"/>
        </w:rPr>
        <w:t>ow</w:t>
      </w:r>
      <w:proofErr w:type="gramEnd"/>
      <w:r w:rsidRPr="004817BF">
        <w:rPr>
          <w:lang w:val="en-GB"/>
        </w:rPr>
        <w:t xml:space="preserve"> big could bKash become? </w:t>
      </w:r>
    </w:p>
    <w:p w14:paraId="3D991BA6" w14:textId="77777777" w:rsidR="005E5FBE" w:rsidRPr="004817BF" w:rsidRDefault="005E5FBE" w:rsidP="00626659">
      <w:pPr>
        <w:pStyle w:val="BodyTextMain"/>
        <w:rPr>
          <w:lang w:val="en-GB"/>
        </w:rPr>
      </w:pPr>
    </w:p>
    <w:p w14:paraId="35C6950F" w14:textId="674C5878" w:rsidR="005E5FBE" w:rsidRPr="004817BF" w:rsidRDefault="005E5FBE" w:rsidP="00626659">
      <w:pPr>
        <w:pStyle w:val="BodyTextMain"/>
        <w:rPr>
          <w:lang w:val="en-GB"/>
        </w:rPr>
      </w:pPr>
      <w:r w:rsidRPr="004817BF">
        <w:rPr>
          <w:lang w:val="en-GB"/>
        </w:rPr>
        <w:t xml:space="preserve">As bKash scaled up, became more visible, and increased its scope to adjacent services, it also attracted more attention. Some local banks </w:t>
      </w:r>
      <w:r w:rsidR="005F16A9" w:rsidRPr="004817BF">
        <w:rPr>
          <w:lang w:val="en-GB"/>
        </w:rPr>
        <w:t>thought</w:t>
      </w:r>
      <w:r w:rsidRPr="004817BF">
        <w:rPr>
          <w:lang w:val="en-GB"/>
        </w:rPr>
        <w:t xml:space="preserve"> that the disruptor was taking business away from them unfairly under a lighter compliance regime</w:t>
      </w:r>
      <w:r w:rsidR="00A61974" w:rsidRPr="004817BF">
        <w:rPr>
          <w:lang w:val="en-GB"/>
        </w:rPr>
        <w:t>. S</w:t>
      </w:r>
      <w:r w:rsidRPr="004817BF">
        <w:rPr>
          <w:lang w:val="en-GB"/>
        </w:rPr>
        <w:t>tories</w:t>
      </w:r>
      <w:r w:rsidR="00A61974" w:rsidRPr="004817BF">
        <w:rPr>
          <w:lang w:val="en-GB"/>
        </w:rPr>
        <w:t xml:space="preserve"> </w:t>
      </w:r>
      <w:r w:rsidRPr="004817BF">
        <w:rPr>
          <w:lang w:val="en-GB"/>
        </w:rPr>
        <w:t>started to circulate that bKash was operating without regulation,</w:t>
      </w:r>
      <w:r w:rsidR="00A61974" w:rsidRPr="004817BF">
        <w:rPr>
          <w:lang w:val="en-GB"/>
        </w:rPr>
        <w:t xml:space="preserve"> </w:t>
      </w:r>
      <w:r w:rsidRPr="004817BF">
        <w:rPr>
          <w:lang w:val="en-GB"/>
        </w:rPr>
        <w:t xml:space="preserve">overcharging customers, or </w:t>
      </w:r>
      <w:r w:rsidR="00A61974" w:rsidRPr="004817BF">
        <w:rPr>
          <w:lang w:val="en-GB"/>
        </w:rPr>
        <w:t xml:space="preserve">even </w:t>
      </w:r>
      <w:r w:rsidRPr="004817BF">
        <w:rPr>
          <w:lang w:val="en-GB"/>
        </w:rPr>
        <w:t>operating as a monopoly. Local newspapers occasionally reported on such allegations</w:t>
      </w:r>
      <w:r w:rsidR="00A61974" w:rsidRPr="004817BF">
        <w:rPr>
          <w:lang w:val="en-GB"/>
        </w:rPr>
        <w:t>,</w:t>
      </w:r>
      <w:r w:rsidRPr="004817BF">
        <w:rPr>
          <w:rStyle w:val="EndnoteReference"/>
          <w:lang w:val="en-GB"/>
        </w:rPr>
        <w:endnoteReference w:id="21"/>
      </w:r>
      <w:r w:rsidRPr="004817BF">
        <w:rPr>
          <w:lang w:val="en-GB"/>
        </w:rPr>
        <w:t xml:space="preserve"> and they were a source of concern for bKash. </w:t>
      </w:r>
    </w:p>
    <w:p w14:paraId="75A12462" w14:textId="77777777" w:rsidR="005F16A9" w:rsidRPr="004817BF" w:rsidRDefault="005F16A9" w:rsidP="00626659">
      <w:pPr>
        <w:pStyle w:val="BodyTextMain"/>
        <w:rPr>
          <w:lang w:val="en-GB"/>
        </w:rPr>
      </w:pPr>
    </w:p>
    <w:p w14:paraId="2B4D508B" w14:textId="6CC2D134" w:rsidR="005E5FBE" w:rsidRPr="004817BF" w:rsidRDefault="00A61974" w:rsidP="00626659">
      <w:pPr>
        <w:pStyle w:val="BodyTextMain"/>
        <w:rPr>
          <w:lang w:val="en-GB"/>
        </w:rPr>
      </w:pPr>
      <w:proofErr w:type="gramStart"/>
      <w:r w:rsidRPr="004817BF">
        <w:rPr>
          <w:lang w:val="en-GB"/>
        </w:rPr>
        <w:lastRenderedPageBreak/>
        <w:t>bKash</w:t>
      </w:r>
      <w:r w:rsidR="005E5FBE" w:rsidRPr="004817BF">
        <w:rPr>
          <w:lang w:val="en-GB"/>
        </w:rPr>
        <w:t>’s</w:t>
      </w:r>
      <w:proofErr w:type="gramEnd"/>
      <w:r w:rsidR="005E5FBE" w:rsidRPr="004817BF">
        <w:rPr>
          <w:lang w:val="en-GB"/>
        </w:rPr>
        <w:t xml:space="preserve"> view was that it was far from a monopoly or acting as a monopolist. </w:t>
      </w:r>
      <w:proofErr w:type="spellStart"/>
      <w:r w:rsidR="005E5FBE" w:rsidRPr="004817BF">
        <w:rPr>
          <w:lang w:val="en-GB"/>
        </w:rPr>
        <w:t>Quadir</w:t>
      </w:r>
      <w:proofErr w:type="spellEnd"/>
      <w:r w:rsidR="005E5FBE" w:rsidRPr="004817BF">
        <w:rPr>
          <w:lang w:val="en-GB"/>
        </w:rPr>
        <w:t xml:space="preserve"> pointed out that </w:t>
      </w:r>
      <w:r w:rsidRPr="004817BF">
        <w:rPr>
          <w:lang w:val="en-GB"/>
        </w:rPr>
        <w:t xml:space="preserve">it </w:t>
      </w:r>
      <w:r w:rsidR="005E5FBE" w:rsidRPr="004817BF">
        <w:rPr>
          <w:lang w:val="en-GB"/>
        </w:rPr>
        <w:t>did not enjoy any special concession from the state or the regulator.</w:t>
      </w:r>
      <w:r w:rsidR="005F16A9" w:rsidRPr="004817BF">
        <w:rPr>
          <w:lang w:val="en-GB"/>
        </w:rPr>
        <w:t xml:space="preserve"> The company’s</w:t>
      </w:r>
      <w:r w:rsidR="005E5FBE" w:rsidRPr="004817BF">
        <w:rPr>
          <w:lang w:val="en-GB"/>
        </w:rPr>
        <w:t xml:space="preserve"> success was due</w:t>
      </w:r>
      <w:r w:rsidRPr="004817BF">
        <w:rPr>
          <w:lang w:val="en-GB"/>
        </w:rPr>
        <w:t xml:space="preserve"> to</w:t>
      </w:r>
      <w:r w:rsidR="005E5FBE" w:rsidRPr="004817BF">
        <w:rPr>
          <w:lang w:val="en-GB"/>
        </w:rPr>
        <w:t xml:space="preserve"> other actions, such as making prudent strategies and decisions, aligning its business goals with the regulator’s financial inclusion objectives, attracting good investors with global knowledge and governance, </w:t>
      </w:r>
      <w:r w:rsidR="005F16A9" w:rsidRPr="004817BF">
        <w:rPr>
          <w:lang w:val="en-GB"/>
        </w:rPr>
        <w:t>using</w:t>
      </w:r>
      <w:r w:rsidR="005E5FBE" w:rsidRPr="004817BF">
        <w:rPr>
          <w:lang w:val="en-GB"/>
        </w:rPr>
        <w:t xml:space="preserve"> appropriate technologies, building grassroot</w:t>
      </w:r>
      <w:r w:rsidR="00A2241D" w:rsidRPr="004817BF">
        <w:rPr>
          <w:lang w:val="en-GB"/>
        </w:rPr>
        <w:t>s</w:t>
      </w:r>
      <w:r w:rsidR="005E5FBE" w:rsidRPr="004817BF">
        <w:rPr>
          <w:lang w:val="en-GB"/>
        </w:rPr>
        <w:t xml:space="preserve"> reach</w:t>
      </w:r>
      <w:r w:rsidRPr="004817BF">
        <w:rPr>
          <w:lang w:val="en-GB"/>
        </w:rPr>
        <w:t>,</w:t>
      </w:r>
      <w:r w:rsidR="005E5FBE" w:rsidRPr="004817BF">
        <w:rPr>
          <w:lang w:val="en-GB"/>
        </w:rPr>
        <w:t xml:space="preserve"> and recruiting qualified resources. Furthermore</w:t>
      </w:r>
      <w:r w:rsidRPr="004817BF">
        <w:rPr>
          <w:lang w:val="en-GB"/>
        </w:rPr>
        <w:t>,</w:t>
      </w:r>
      <w:r w:rsidR="005E5FBE" w:rsidRPr="004817BF">
        <w:rPr>
          <w:lang w:val="en-GB"/>
        </w:rPr>
        <w:t xml:space="preserve"> bKash had no capacity of blocking any of the other MFS providers to gro</w:t>
      </w:r>
      <w:r w:rsidRPr="004817BF">
        <w:rPr>
          <w:lang w:val="en-GB"/>
        </w:rPr>
        <w:t>w—</w:t>
      </w:r>
      <w:r w:rsidR="005E5FBE" w:rsidRPr="004817BF">
        <w:rPr>
          <w:lang w:val="en-GB"/>
        </w:rPr>
        <w:t xml:space="preserve">a common feature of a monopolist. </w:t>
      </w:r>
    </w:p>
    <w:p w14:paraId="5017A190" w14:textId="77777777" w:rsidR="005E5FBE" w:rsidRPr="004817BF" w:rsidRDefault="005E5FBE" w:rsidP="00626659">
      <w:pPr>
        <w:pStyle w:val="BodyTextMain"/>
        <w:rPr>
          <w:lang w:val="en-GB"/>
        </w:rPr>
      </w:pPr>
    </w:p>
    <w:p w14:paraId="359DEC93" w14:textId="08E0A2BE" w:rsidR="005E5FBE" w:rsidRPr="004817BF" w:rsidRDefault="00A61974" w:rsidP="00626659">
      <w:pPr>
        <w:pStyle w:val="BodyTextMain"/>
        <w:rPr>
          <w:lang w:val="en-GB"/>
        </w:rPr>
      </w:pPr>
      <w:r w:rsidRPr="004817BF">
        <w:rPr>
          <w:lang w:val="en-GB"/>
        </w:rPr>
        <w:t>E</w:t>
      </w:r>
      <w:r w:rsidR="005E5FBE" w:rsidRPr="004817BF">
        <w:rPr>
          <w:lang w:val="en-GB"/>
        </w:rPr>
        <w:t>ven if some of the MFS licen</w:t>
      </w:r>
      <w:r w:rsidR="00475F09" w:rsidRPr="004817BF">
        <w:rPr>
          <w:lang w:val="en-GB"/>
        </w:rPr>
        <w:t>c</w:t>
      </w:r>
      <w:r w:rsidR="005E5FBE" w:rsidRPr="004817BF">
        <w:rPr>
          <w:lang w:val="en-GB"/>
        </w:rPr>
        <w:t xml:space="preserve">e holders were inactive, a few were stepping up their efforts to capture market share from bKash. In fact, the </w:t>
      </w:r>
      <w:r w:rsidR="00045447" w:rsidRPr="004817BF">
        <w:rPr>
          <w:lang w:val="en-GB"/>
        </w:rPr>
        <w:t>c</w:t>
      </w:r>
      <w:r w:rsidR="005E5FBE" w:rsidRPr="004817BF">
        <w:rPr>
          <w:lang w:val="en-GB"/>
        </w:rPr>
        <w:t xml:space="preserve">entral </w:t>
      </w:r>
      <w:r w:rsidR="00045447" w:rsidRPr="004817BF">
        <w:rPr>
          <w:lang w:val="en-GB"/>
        </w:rPr>
        <w:t>b</w:t>
      </w:r>
      <w:r w:rsidR="005E5FBE" w:rsidRPr="004817BF">
        <w:rPr>
          <w:lang w:val="en-GB"/>
        </w:rPr>
        <w:t xml:space="preserve">ank hinted that it would be supportive of some consolidation as it hoped bKash would not dominate the MFS market. </w:t>
      </w:r>
      <w:proofErr w:type="spellStart"/>
      <w:r w:rsidR="005E5FBE" w:rsidRPr="004817BF">
        <w:rPr>
          <w:lang w:val="en-GB"/>
        </w:rPr>
        <w:t>Kazemi</w:t>
      </w:r>
      <w:proofErr w:type="spellEnd"/>
      <w:r w:rsidR="005E5FBE" w:rsidRPr="004817BF">
        <w:rPr>
          <w:lang w:val="en-GB"/>
        </w:rPr>
        <w:t>, the central bank</w:t>
      </w:r>
      <w:r w:rsidR="00283F1F" w:rsidRPr="004817BF">
        <w:rPr>
          <w:lang w:val="en-GB"/>
        </w:rPr>
        <w:t xml:space="preserve"> advisor</w:t>
      </w:r>
      <w:r w:rsidR="005E5FBE" w:rsidRPr="004817BF">
        <w:rPr>
          <w:lang w:val="en-GB"/>
        </w:rPr>
        <w:t>, said</w:t>
      </w:r>
      <w:r w:rsidR="00CC7545">
        <w:rPr>
          <w:lang w:val="en-GB"/>
        </w:rPr>
        <w:t>,</w:t>
      </w:r>
      <w:r w:rsidR="00CC7545" w:rsidRPr="004817BF">
        <w:rPr>
          <w:lang w:val="en-GB"/>
        </w:rPr>
        <w:t xml:space="preserve"> </w:t>
      </w:r>
      <w:r w:rsidR="005E5FBE" w:rsidRPr="004817BF">
        <w:rPr>
          <w:lang w:val="en-GB"/>
        </w:rPr>
        <w:t>“We are keen to have a few major players in the market instead of bKash dominating the market.”</w:t>
      </w:r>
      <w:r w:rsidR="00B266DB" w:rsidRPr="004817BF">
        <w:rPr>
          <w:rStyle w:val="EndnoteReference"/>
          <w:lang w:val="en-GB"/>
        </w:rPr>
        <w:endnoteReference w:id="22"/>
      </w:r>
      <w:r w:rsidR="005E5FBE" w:rsidRPr="004817BF">
        <w:rPr>
          <w:lang w:val="en-GB"/>
        </w:rPr>
        <w:t xml:space="preserve"> Overall, competition seemed set to increase.</w:t>
      </w:r>
    </w:p>
    <w:p w14:paraId="0689A663" w14:textId="77777777" w:rsidR="005E5FBE" w:rsidRPr="004817BF" w:rsidRDefault="005E5FBE" w:rsidP="00626659">
      <w:pPr>
        <w:pStyle w:val="BodyTextMain"/>
        <w:rPr>
          <w:lang w:val="en-GB"/>
        </w:rPr>
      </w:pPr>
    </w:p>
    <w:p w14:paraId="69C0D56A" w14:textId="2CD012CA" w:rsidR="005E5FBE" w:rsidRPr="004817BF" w:rsidRDefault="005E5FBE" w:rsidP="00626659">
      <w:pPr>
        <w:pStyle w:val="BodyTextMain"/>
        <w:rPr>
          <w:lang w:val="en-GB"/>
        </w:rPr>
      </w:pPr>
      <w:r w:rsidRPr="004817BF">
        <w:rPr>
          <w:lang w:val="en-GB"/>
        </w:rPr>
        <w:t>Non-bank players were also</w:t>
      </w:r>
      <w:r w:rsidR="00283F1F" w:rsidRPr="004817BF">
        <w:rPr>
          <w:lang w:val="en-GB"/>
        </w:rPr>
        <w:t xml:space="preserve"> look</w:t>
      </w:r>
      <w:r w:rsidRPr="004817BF">
        <w:rPr>
          <w:lang w:val="en-GB"/>
        </w:rPr>
        <w:t>ing to enter</w:t>
      </w:r>
      <w:r w:rsidR="005F16A9" w:rsidRPr="004817BF">
        <w:rPr>
          <w:lang w:val="en-GB"/>
        </w:rPr>
        <w:t xml:space="preserve"> the market</w:t>
      </w:r>
      <w:r w:rsidRPr="004817BF">
        <w:rPr>
          <w:lang w:val="en-GB"/>
        </w:rPr>
        <w:t xml:space="preserve">. For instance, </w:t>
      </w:r>
      <w:proofErr w:type="spellStart"/>
      <w:r w:rsidRPr="004817BF">
        <w:rPr>
          <w:lang w:val="en-GB"/>
        </w:rPr>
        <w:t>Grameenphone</w:t>
      </w:r>
      <w:proofErr w:type="spellEnd"/>
      <w:r w:rsidRPr="004817BF">
        <w:rPr>
          <w:lang w:val="en-GB"/>
        </w:rPr>
        <w:t xml:space="preserve">, the largest telco, had its own </w:t>
      </w:r>
      <w:r w:rsidR="00326966" w:rsidRPr="004817BF">
        <w:rPr>
          <w:lang w:val="en-GB"/>
        </w:rPr>
        <w:t>MFS</w:t>
      </w:r>
      <w:r w:rsidRPr="004817BF">
        <w:rPr>
          <w:lang w:val="en-GB"/>
        </w:rPr>
        <w:t xml:space="preserve">. It offered services </w:t>
      </w:r>
      <w:r w:rsidR="00283F1F" w:rsidRPr="004817BF">
        <w:rPr>
          <w:lang w:val="en-GB"/>
        </w:rPr>
        <w:t>such as</w:t>
      </w:r>
      <w:r w:rsidRPr="004817BF">
        <w:rPr>
          <w:lang w:val="en-GB"/>
        </w:rPr>
        <w:t xml:space="preserve"> utility bill payment and train ticketing services. While </w:t>
      </w:r>
      <w:proofErr w:type="spellStart"/>
      <w:r w:rsidRPr="004817BF">
        <w:rPr>
          <w:lang w:val="en-GB"/>
        </w:rPr>
        <w:t>telcos</w:t>
      </w:r>
      <w:proofErr w:type="spellEnd"/>
      <w:r w:rsidRPr="004817BF">
        <w:rPr>
          <w:lang w:val="en-GB"/>
        </w:rPr>
        <w:t xml:space="preserve"> had been lobbying</w:t>
      </w:r>
      <w:r w:rsidR="00045447" w:rsidRPr="004817BF">
        <w:rPr>
          <w:lang w:val="en-GB"/>
        </w:rPr>
        <w:t xml:space="preserve"> the central b</w:t>
      </w:r>
      <w:r w:rsidR="00326966" w:rsidRPr="004817BF">
        <w:rPr>
          <w:lang w:val="en-GB"/>
        </w:rPr>
        <w:t>ank</w:t>
      </w:r>
      <w:r w:rsidRPr="004817BF">
        <w:rPr>
          <w:lang w:val="en-GB"/>
        </w:rPr>
        <w:t xml:space="preserve"> for years</w:t>
      </w:r>
      <w:r w:rsidR="00326966" w:rsidRPr="004817BF">
        <w:rPr>
          <w:lang w:val="en-GB"/>
        </w:rPr>
        <w:t xml:space="preserve"> for</w:t>
      </w:r>
      <w:r w:rsidRPr="004817BF">
        <w:rPr>
          <w:lang w:val="en-GB"/>
        </w:rPr>
        <w:t xml:space="preserve"> a licen</w:t>
      </w:r>
      <w:r w:rsidR="00475F09" w:rsidRPr="004817BF">
        <w:rPr>
          <w:lang w:val="en-GB"/>
        </w:rPr>
        <w:t>c</w:t>
      </w:r>
      <w:r w:rsidRPr="004817BF">
        <w:rPr>
          <w:lang w:val="en-GB"/>
        </w:rPr>
        <w:t xml:space="preserve">e to operate full-blown </w:t>
      </w:r>
      <w:r w:rsidR="009704E9" w:rsidRPr="004817BF">
        <w:rPr>
          <w:lang w:val="en-GB"/>
        </w:rPr>
        <w:t>MFS</w:t>
      </w:r>
      <w:r w:rsidRPr="004817BF">
        <w:rPr>
          <w:lang w:val="en-GB"/>
        </w:rPr>
        <w:t xml:space="preserve">, banks, keen on maintaining MFS as bank-led, opposed any such move. </w:t>
      </w:r>
      <w:proofErr w:type="spellStart"/>
      <w:r w:rsidRPr="004817BF">
        <w:rPr>
          <w:lang w:val="en-GB"/>
        </w:rPr>
        <w:t>Telco</w:t>
      </w:r>
      <w:r w:rsidR="00283F1F" w:rsidRPr="004817BF">
        <w:rPr>
          <w:lang w:val="en-GB"/>
        </w:rPr>
        <w:t>s</w:t>
      </w:r>
      <w:proofErr w:type="spellEnd"/>
      <w:r w:rsidRPr="004817BF">
        <w:rPr>
          <w:lang w:val="en-GB"/>
        </w:rPr>
        <w:t xml:space="preserve">, as network providers, could be in a position to discriminate certain financial service providers if allowed to play in this market. </w:t>
      </w:r>
      <w:r w:rsidR="00283F1F" w:rsidRPr="004817BF">
        <w:rPr>
          <w:lang w:val="en-GB"/>
        </w:rPr>
        <w:t>Since m</w:t>
      </w:r>
      <w:r w:rsidRPr="004817BF">
        <w:rPr>
          <w:lang w:val="en-GB"/>
        </w:rPr>
        <w:t>ost Bangladeshis still had basic handsets (as opposed to smartphones)</w:t>
      </w:r>
      <w:r w:rsidR="00283F1F" w:rsidRPr="004817BF">
        <w:rPr>
          <w:lang w:val="en-GB"/>
        </w:rPr>
        <w:t>,</w:t>
      </w:r>
      <w:r w:rsidRPr="004817BF">
        <w:rPr>
          <w:lang w:val="en-GB"/>
        </w:rPr>
        <w:t xml:space="preserve"> </w:t>
      </w:r>
      <w:r w:rsidR="00283F1F" w:rsidRPr="004817BF">
        <w:rPr>
          <w:lang w:val="en-GB"/>
        </w:rPr>
        <w:t>t</w:t>
      </w:r>
      <w:r w:rsidRPr="004817BF">
        <w:rPr>
          <w:lang w:val="en-GB"/>
        </w:rPr>
        <w:t>he financial service provider needed USSD connectivity</w:t>
      </w:r>
      <w:r w:rsidR="00283F1F" w:rsidRPr="004817BF">
        <w:rPr>
          <w:lang w:val="en-GB"/>
        </w:rPr>
        <w:t xml:space="preserve"> and </w:t>
      </w:r>
      <w:r w:rsidRPr="004817BF">
        <w:rPr>
          <w:lang w:val="en-GB"/>
        </w:rPr>
        <w:t xml:space="preserve">MFS providers </w:t>
      </w:r>
      <w:r w:rsidR="00283F1F" w:rsidRPr="004817BF">
        <w:rPr>
          <w:lang w:val="en-GB"/>
        </w:rPr>
        <w:t xml:space="preserve">were </w:t>
      </w:r>
      <w:r w:rsidRPr="004817BF">
        <w:rPr>
          <w:lang w:val="en-GB"/>
        </w:rPr>
        <w:t xml:space="preserve">directly dependent on the telco. By virtue of its ownership of the network infrastructure, a telco could potentially provide an unfair advantage to its own MFS services. However, </w:t>
      </w:r>
      <w:proofErr w:type="spellStart"/>
      <w:r w:rsidRPr="004817BF">
        <w:rPr>
          <w:lang w:val="en-GB"/>
        </w:rPr>
        <w:t>Quadir</w:t>
      </w:r>
      <w:proofErr w:type="spellEnd"/>
      <w:r w:rsidRPr="004817BF">
        <w:rPr>
          <w:lang w:val="en-GB"/>
        </w:rPr>
        <w:t xml:space="preserve"> thought the possibilities of regulatory shifts remained</w:t>
      </w:r>
      <w:r w:rsidR="006B0614">
        <w:rPr>
          <w:lang w:val="en-GB"/>
        </w:rPr>
        <w:t>:</w:t>
      </w:r>
      <w:r w:rsidR="006B0614" w:rsidRPr="004817BF">
        <w:rPr>
          <w:lang w:val="en-GB"/>
        </w:rPr>
        <w:t xml:space="preserve"> </w:t>
      </w:r>
    </w:p>
    <w:p w14:paraId="25C83F37" w14:textId="77777777" w:rsidR="005E5FBE" w:rsidRPr="004817BF" w:rsidRDefault="005E5FBE" w:rsidP="00626659">
      <w:pPr>
        <w:pStyle w:val="BodyTextMain"/>
        <w:rPr>
          <w:lang w:val="en-GB"/>
        </w:rPr>
      </w:pPr>
    </w:p>
    <w:p w14:paraId="0E2DF68D" w14:textId="61C48C1C" w:rsidR="005E5FBE" w:rsidRPr="004817BF" w:rsidRDefault="005E5FBE" w:rsidP="0004427F">
      <w:pPr>
        <w:pStyle w:val="BodyTextMain"/>
        <w:ind w:left="720"/>
        <w:rPr>
          <w:lang w:val="en-GB"/>
        </w:rPr>
      </w:pPr>
      <w:r w:rsidRPr="004817BF">
        <w:rPr>
          <w:lang w:val="en-GB"/>
        </w:rPr>
        <w:t xml:space="preserve">A critical part of the business is that its character and boundary are defined by the regulator. If the regulator decides tomorrow that this is a business where it would allow telephone companies to be shareholders, then they will become my competitors along with being my essential network vendors. That would give birth to a serious conflict of interest and generate concerns on protecting the public interest. </w:t>
      </w:r>
    </w:p>
    <w:p w14:paraId="14584356" w14:textId="77777777" w:rsidR="005E5FBE" w:rsidRPr="004817BF" w:rsidRDefault="005E5FBE" w:rsidP="0004427F">
      <w:pPr>
        <w:pStyle w:val="BodyTextMain"/>
        <w:rPr>
          <w:lang w:val="en-GB"/>
        </w:rPr>
      </w:pPr>
    </w:p>
    <w:p w14:paraId="191BF1FE" w14:textId="456D98F6" w:rsidR="005E5FBE" w:rsidRPr="004817BF" w:rsidRDefault="005E5FBE" w:rsidP="00DC6470">
      <w:pPr>
        <w:pStyle w:val="BodyTextMain"/>
        <w:rPr>
          <w:lang w:val="en-GB"/>
        </w:rPr>
      </w:pPr>
      <w:r w:rsidRPr="004817BF">
        <w:rPr>
          <w:lang w:val="en-GB"/>
        </w:rPr>
        <w:t>According to internal company documents,</w:t>
      </w:r>
      <w:r w:rsidR="0055638A" w:rsidRPr="004817BF">
        <w:rPr>
          <w:lang w:val="en-GB"/>
        </w:rPr>
        <w:t xml:space="preserve"> by late 2016,</w:t>
      </w:r>
      <w:r w:rsidRPr="004817BF">
        <w:rPr>
          <w:lang w:val="en-GB"/>
        </w:rPr>
        <w:t xml:space="preserve"> 92 per cent of bKash’s revenue still came from cash-out fee</w:t>
      </w:r>
      <w:r w:rsidR="0055638A" w:rsidRPr="004817BF">
        <w:rPr>
          <w:lang w:val="en-GB"/>
        </w:rPr>
        <w:t>s</w:t>
      </w:r>
      <w:r w:rsidR="00CC7545">
        <w:rPr>
          <w:lang w:val="en-GB"/>
        </w:rPr>
        <w:t>,</w:t>
      </w:r>
      <w:r w:rsidRPr="004817BF">
        <w:rPr>
          <w:lang w:val="en-GB"/>
        </w:rPr>
        <w:t xml:space="preserve"> and there </w:t>
      </w:r>
      <w:r w:rsidR="0055638A" w:rsidRPr="004817BF">
        <w:rPr>
          <w:lang w:val="en-GB"/>
        </w:rPr>
        <w:t>was</w:t>
      </w:r>
      <w:r w:rsidRPr="004817BF">
        <w:rPr>
          <w:lang w:val="en-GB"/>
        </w:rPr>
        <w:t xml:space="preserve"> limited diversification into other types of MFS revenue streams. Interestingly, the </w:t>
      </w:r>
      <w:r w:rsidR="00045447" w:rsidRPr="004817BF">
        <w:rPr>
          <w:lang w:val="en-GB"/>
        </w:rPr>
        <w:t>c</w:t>
      </w:r>
      <w:r w:rsidRPr="004817BF">
        <w:rPr>
          <w:lang w:val="en-GB"/>
        </w:rPr>
        <w:t xml:space="preserve">entral </w:t>
      </w:r>
      <w:r w:rsidR="00045447" w:rsidRPr="004817BF">
        <w:rPr>
          <w:lang w:val="en-GB"/>
        </w:rPr>
        <w:t>b</w:t>
      </w:r>
      <w:r w:rsidRPr="004817BF">
        <w:rPr>
          <w:lang w:val="en-GB"/>
        </w:rPr>
        <w:t>ank encouraged the company to offer a broader scope of MFS because of its goal of financial inclusion for the unbanked</w:t>
      </w:r>
      <w:r w:rsidR="00283F1F" w:rsidRPr="004817BF">
        <w:rPr>
          <w:lang w:val="en-GB"/>
        </w:rPr>
        <w:t xml:space="preserve">. </w:t>
      </w:r>
      <w:r w:rsidRPr="004817BF">
        <w:rPr>
          <w:lang w:val="en-GB"/>
        </w:rPr>
        <w:t>Rahman</w:t>
      </w:r>
      <w:r w:rsidR="00283F1F" w:rsidRPr="004817BF">
        <w:rPr>
          <w:lang w:val="en-GB"/>
        </w:rPr>
        <w:t xml:space="preserve">, the </w:t>
      </w:r>
      <w:r w:rsidR="00AC5F20" w:rsidRPr="004817BF">
        <w:rPr>
          <w:lang w:val="en-GB"/>
        </w:rPr>
        <w:t xml:space="preserve">former </w:t>
      </w:r>
      <w:r w:rsidR="00283F1F" w:rsidRPr="004817BF">
        <w:rPr>
          <w:lang w:val="en-GB"/>
        </w:rPr>
        <w:t xml:space="preserve">bank governor, </w:t>
      </w:r>
      <w:r w:rsidRPr="004817BF">
        <w:rPr>
          <w:lang w:val="en-GB"/>
        </w:rPr>
        <w:t>sa</w:t>
      </w:r>
      <w:r w:rsidR="00283F1F" w:rsidRPr="004817BF">
        <w:rPr>
          <w:lang w:val="en-GB"/>
        </w:rPr>
        <w:t>id</w:t>
      </w:r>
      <w:r w:rsidR="00CC7545">
        <w:rPr>
          <w:lang w:val="en-GB"/>
        </w:rPr>
        <w:t>,</w:t>
      </w:r>
      <w:r w:rsidR="00CC7545" w:rsidRPr="004817BF">
        <w:rPr>
          <w:lang w:val="en-GB"/>
        </w:rPr>
        <w:t xml:space="preserve"> </w:t>
      </w:r>
      <w:r w:rsidRPr="004817BF">
        <w:rPr>
          <w:lang w:val="en-GB"/>
        </w:rPr>
        <w:t>“Now, MFS is mostly concerned with payments, but in the future there could be diversification of services. There should be more partnerships</w:t>
      </w:r>
      <w:r w:rsidR="00283F1F" w:rsidRPr="004817BF">
        <w:rPr>
          <w:lang w:val="en-GB"/>
        </w:rPr>
        <w:t>—</w:t>
      </w:r>
      <w:r w:rsidRPr="004817BF">
        <w:rPr>
          <w:lang w:val="en-GB"/>
        </w:rPr>
        <w:t>say with e</w:t>
      </w:r>
      <w:r w:rsidR="00283F1F" w:rsidRPr="004817BF">
        <w:rPr>
          <w:lang w:val="en-GB"/>
        </w:rPr>
        <w:noBreakHyphen/>
      </w:r>
      <w:r w:rsidRPr="004817BF">
        <w:rPr>
          <w:lang w:val="en-GB"/>
        </w:rPr>
        <w:t>commerce comp</w:t>
      </w:r>
      <w:r w:rsidR="00A27FB1" w:rsidRPr="004817BF">
        <w:rPr>
          <w:lang w:val="en-GB"/>
        </w:rPr>
        <w:t>anies, or outsourcing companies</w:t>
      </w:r>
      <w:r w:rsidRPr="004817BF">
        <w:rPr>
          <w:lang w:val="en-GB"/>
        </w:rPr>
        <w:t xml:space="preserve">.” </w:t>
      </w:r>
    </w:p>
    <w:p w14:paraId="601F5624" w14:textId="77777777" w:rsidR="005E5FBE" w:rsidRPr="004817BF" w:rsidRDefault="005E5FBE" w:rsidP="00626659">
      <w:pPr>
        <w:pStyle w:val="BodyTextMain"/>
        <w:rPr>
          <w:lang w:val="en-GB"/>
        </w:rPr>
      </w:pPr>
    </w:p>
    <w:p w14:paraId="2D389E1D" w14:textId="482552DC" w:rsidR="005E5FBE" w:rsidRPr="004817BF" w:rsidRDefault="005E5FBE" w:rsidP="00626659">
      <w:pPr>
        <w:pStyle w:val="BodyTextMain"/>
        <w:rPr>
          <w:lang w:val="en-GB"/>
        </w:rPr>
      </w:pPr>
      <w:r w:rsidRPr="004817BF">
        <w:rPr>
          <w:lang w:val="en-GB"/>
        </w:rPr>
        <w:t xml:space="preserve">It was inevitable that new technological innovations would emerge in Bangladesh, </w:t>
      </w:r>
      <w:r w:rsidR="00283F1F" w:rsidRPr="004817BF">
        <w:rPr>
          <w:lang w:val="en-GB"/>
        </w:rPr>
        <w:t xml:space="preserve">such as </w:t>
      </w:r>
      <w:r w:rsidRPr="004817BF">
        <w:rPr>
          <w:lang w:val="en-GB"/>
        </w:rPr>
        <w:t>greater penetration of smartphones, or other innovative e-commerce and fin</w:t>
      </w:r>
      <w:r w:rsidR="00283F1F" w:rsidRPr="004817BF">
        <w:rPr>
          <w:lang w:val="en-GB"/>
        </w:rPr>
        <w:t>ancial technology</w:t>
      </w:r>
      <w:r w:rsidRPr="004817BF">
        <w:rPr>
          <w:lang w:val="en-GB"/>
        </w:rPr>
        <w:t xml:space="preserve"> solutions that would transform the lives of the poor in the years to come. As such, bKash had to keep innovating and coming up with new services and partnerships. </w:t>
      </w:r>
      <w:proofErr w:type="spellStart"/>
      <w:r w:rsidRPr="004817BF">
        <w:rPr>
          <w:lang w:val="en-GB"/>
        </w:rPr>
        <w:t>Quadir</w:t>
      </w:r>
      <w:proofErr w:type="spellEnd"/>
      <w:r w:rsidRPr="004817BF">
        <w:rPr>
          <w:lang w:val="en-GB"/>
        </w:rPr>
        <w:t>, who believed in specialization, was mindful of the regulatory demarcation. Instead of encroaching on others’ territory, he thought bKash was in a position to offer plenty of specialized new services:</w:t>
      </w:r>
    </w:p>
    <w:p w14:paraId="25F1E2EC" w14:textId="77777777" w:rsidR="008B120B" w:rsidRPr="004817BF" w:rsidRDefault="008B120B" w:rsidP="00626659">
      <w:pPr>
        <w:pStyle w:val="BodyTextMain"/>
        <w:rPr>
          <w:lang w:val="en-GB"/>
        </w:rPr>
      </w:pPr>
    </w:p>
    <w:p w14:paraId="29965DF3" w14:textId="5AE89697" w:rsidR="005E5FBE" w:rsidRPr="004817BF" w:rsidRDefault="005E5FBE" w:rsidP="00C252C7">
      <w:pPr>
        <w:pStyle w:val="BodyTextMain"/>
        <w:ind w:left="720"/>
        <w:rPr>
          <w:lang w:val="en-GB"/>
        </w:rPr>
      </w:pPr>
      <w:proofErr w:type="gramStart"/>
      <w:r w:rsidRPr="004817BF">
        <w:rPr>
          <w:lang w:val="en-GB"/>
        </w:rPr>
        <w:t>bKash</w:t>
      </w:r>
      <w:proofErr w:type="gramEnd"/>
      <w:r w:rsidRPr="004817BF">
        <w:rPr>
          <w:lang w:val="en-GB"/>
        </w:rPr>
        <w:t xml:space="preserve"> should not be giving loans necessarily and have exposure to credit and related market risks. However, the customer data we possess can allow a bank to get very effective credit rating results, leading the bank to give loans to the right people</w:t>
      </w:r>
      <w:r w:rsidR="00283F1F" w:rsidRPr="004817BF">
        <w:rPr>
          <w:lang w:val="en-GB"/>
        </w:rPr>
        <w:t>;</w:t>
      </w:r>
      <w:r w:rsidRPr="004817BF">
        <w:rPr>
          <w:lang w:val="en-GB"/>
        </w:rPr>
        <w:t xml:space="preserve"> therefore, again we complement </w:t>
      </w:r>
      <w:r w:rsidR="00283F1F" w:rsidRPr="004817BF">
        <w:rPr>
          <w:lang w:val="en-GB"/>
        </w:rPr>
        <w:t xml:space="preserve">the </w:t>
      </w:r>
      <w:r w:rsidRPr="004817BF">
        <w:rPr>
          <w:lang w:val="en-GB"/>
        </w:rPr>
        <w:t xml:space="preserve">bank’s business. Furthermore, we can be a channel through which the borrowed funds will be disbursed and loan repayment will be collected in a very efficient way at a reduced cost. </w:t>
      </w:r>
    </w:p>
    <w:p w14:paraId="2E79CA71" w14:textId="77777777" w:rsidR="00DF45FD" w:rsidRPr="004817BF" w:rsidRDefault="00DF45FD" w:rsidP="00C252C7">
      <w:pPr>
        <w:pStyle w:val="BodyTextMain"/>
        <w:ind w:left="720"/>
        <w:rPr>
          <w:lang w:val="en-GB"/>
        </w:rPr>
      </w:pPr>
    </w:p>
    <w:p w14:paraId="58E98804" w14:textId="476CE170" w:rsidR="005E5FBE" w:rsidRPr="004817BF" w:rsidRDefault="005E5FBE" w:rsidP="00626659">
      <w:pPr>
        <w:pStyle w:val="BodyTextMain"/>
        <w:rPr>
          <w:lang w:val="en-GB"/>
        </w:rPr>
      </w:pPr>
      <w:r w:rsidRPr="004817BF">
        <w:rPr>
          <w:lang w:val="en-GB"/>
        </w:rPr>
        <w:lastRenderedPageBreak/>
        <w:t xml:space="preserve">Being a first mover with an innovative model meant navigating new regulatory territory. The faster bKash developed, the more acute </w:t>
      </w:r>
      <w:r w:rsidR="004D3FF9" w:rsidRPr="004817BF">
        <w:rPr>
          <w:lang w:val="en-GB"/>
        </w:rPr>
        <w:t xml:space="preserve">was </w:t>
      </w:r>
      <w:r w:rsidRPr="004817BF">
        <w:rPr>
          <w:lang w:val="en-GB"/>
        </w:rPr>
        <w:t xml:space="preserve">the need to develop a regulatory ecosystem to match the risks. </w:t>
      </w:r>
      <w:proofErr w:type="spellStart"/>
      <w:r w:rsidRPr="004817BF">
        <w:rPr>
          <w:lang w:val="en-GB"/>
        </w:rPr>
        <w:t>Quadir</w:t>
      </w:r>
      <w:proofErr w:type="spellEnd"/>
      <w:r w:rsidRPr="004817BF">
        <w:rPr>
          <w:lang w:val="en-GB"/>
        </w:rPr>
        <w:t xml:space="preserve"> </w:t>
      </w:r>
      <w:r w:rsidR="004D3FF9" w:rsidRPr="004817BF">
        <w:rPr>
          <w:lang w:val="en-GB"/>
        </w:rPr>
        <w:t>thought</w:t>
      </w:r>
      <w:r w:rsidRPr="004817BF">
        <w:rPr>
          <w:lang w:val="en-GB"/>
        </w:rPr>
        <w:t xml:space="preserve"> bKash should be regulated by the </w:t>
      </w:r>
      <w:r w:rsidR="00045447" w:rsidRPr="004817BF">
        <w:rPr>
          <w:lang w:val="en-GB"/>
        </w:rPr>
        <w:t>c</w:t>
      </w:r>
      <w:r w:rsidRPr="004817BF">
        <w:rPr>
          <w:lang w:val="en-GB"/>
        </w:rPr>
        <w:t xml:space="preserve">entral </w:t>
      </w:r>
      <w:r w:rsidR="00045447" w:rsidRPr="004817BF">
        <w:rPr>
          <w:lang w:val="en-GB"/>
        </w:rPr>
        <w:t>b</w:t>
      </w:r>
      <w:r w:rsidRPr="004817BF">
        <w:rPr>
          <w:lang w:val="en-GB"/>
        </w:rPr>
        <w:t>ank, but it shouldn’t be regulated like a bank</w:t>
      </w:r>
      <w:r w:rsidR="004D3FF9" w:rsidRPr="004817BF">
        <w:rPr>
          <w:lang w:val="en-GB"/>
        </w:rPr>
        <w:t xml:space="preserve"> </w:t>
      </w:r>
      <w:r w:rsidRPr="004817BF">
        <w:rPr>
          <w:lang w:val="en-GB"/>
        </w:rPr>
        <w:t>because it was not a bank. The current MFS guideline was created when the MFS industry was still in its infancy. Since then, the industry had grown to become an important part of the financial ecosystem in Bangladesh. Therefore, the question was how some regulatory areas needed to evolve to address the challenges identified in practice, and how to govern dedicated MFS players in an appropriate manner.</w:t>
      </w:r>
    </w:p>
    <w:p w14:paraId="1213F61F" w14:textId="77777777" w:rsidR="005E5FBE" w:rsidRPr="004817BF" w:rsidRDefault="005E5FBE" w:rsidP="00626659">
      <w:pPr>
        <w:pStyle w:val="BodyTextMain"/>
        <w:rPr>
          <w:lang w:val="en-GB"/>
        </w:rPr>
      </w:pPr>
    </w:p>
    <w:p w14:paraId="22D5AF9F" w14:textId="1891FD72" w:rsidR="005E5FBE" w:rsidRPr="004817BF" w:rsidRDefault="005E5FBE" w:rsidP="00626659">
      <w:pPr>
        <w:pStyle w:val="BodyTextMain"/>
        <w:rPr>
          <w:lang w:val="en-GB"/>
        </w:rPr>
      </w:pPr>
      <w:r w:rsidRPr="004817BF">
        <w:rPr>
          <w:lang w:val="en-GB"/>
        </w:rPr>
        <w:t>The question of whether bKash was, or even should be, a bank</w:t>
      </w:r>
      <w:r w:rsidR="004D3FF9" w:rsidRPr="004817BF">
        <w:rPr>
          <w:lang w:val="en-GB"/>
        </w:rPr>
        <w:t>,</w:t>
      </w:r>
      <w:r w:rsidRPr="004817BF">
        <w:rPr>
          <w:lang w:val="en-GB"/>
        </w:rPr>
        <w:t xml:space="preserve"> or a technology company </w:t>
      </w:r>
      <w:r w:rsidR="004D3FF9" w:rsidRPr="004817BF">
        <w:rPr>
          <w:lang w:val="en-GB"/>
        </w:rPr>
        <w:t xml:space="preserve">that </w:t>
      </w:r>
      <w:r w:rsidRPr="004817BF">
        <w:rPr>
          <w:lang w:val="en-GB"/>
        </w:rPr>
        <w:t>happen</w:t>
      </w:r>
      <w:r w:rsidR="004D3FF9" w:rsidRPr="004817BF">
        <w:rPr>
          <w:lang w:val="en-GB"/>
        </w:rPr>
        <w:t>ed</w:t>
      </w:r>
      <w:r w:rsidRPr="004817BF">
        <w:rPr>
          <w:lang w:val="en-GB"/>
        </w:rPr>
        <w:t xml:space="preserve"> to handle money</w:t>
      </w:r>
      <w:r w:rsidR="004D3FF9" w:rsidRPr="004817BF">
        <w:rPr>
          <w:lang w:val="en-GB"/>
        </w:rPr>
        <w:t>,</w:t>
      </w:r>
      <w:r w:rsidRPr="004817BF">
        <w:rPr>
          <w:lang w:val="en-GB"/>
        </w:rPr>
        <w:t xml:space="preserve"> became pertinent in other areas too. The remote nature of money transactions could lead to abuse of MFS by criminals. </w:t>
      </w:r>
      <w:proofErr w:type="spellStart"/>
      <w:r w:rsidRPr="004817BF">
        <w:rPr>
          <w:lang w:val="en-GB"/>
        </w:rPr>
        <w:t>Quadir</w:t>
      </w:r>
      <w:proofErr w:type="spellEnd"/>
      <w:r w:rsidR="004D3FF9" w:rsidRPr="004817BF">
        <w:rPr>
          <w:lang w:val="en-GB"/>
        </w:rPr>
        <w:t xml:space="preserve"> said</w:t>
      </w:r>
      <w:r w:rsidR="008B120B" w:rsidRPr="004817BF">
        <w:rPr>
          <w:lang w:val="en-GB"/>
        </w:rPr>
        <w:t xml:space="preserve">, </w:t>
      </w:r>
    </w:p>
    <w:p w14:paraId="7ABF2E9D" w14:textId="77777777" w:rsidR="005E5FBE" w:rsidRPr="004817BF" w:rsidRDefault="005E5FBE" w:rsidP="00626659">
      <w:pPr>
        <w:pStyle w:val="BodyTextMain"/>
        <w:rPr>
          <w:lang w:val="en-GB"/>
        </w:rPr>
      </w:pPr>
    </w:p>
    <w:p w14:paraId="136C44A9" w14:textId="7FD2BCD2" w:rsidR="005E5FBE" w:rsidRPr="004817BF" w:rsidRDefault="005E5FBE" w:rsidP="000B02A2">
      <w:pPr>
        <w:pStyle w:val="BodyTextMain"/>
        <w:ind w:left="720"/>
        <w:rPr>
          <w:lang w:val="en-GB"/>
        </w:rPr>
      </w:pPr>
      <w:r w:rsidRPr="004817BF">
        <w:rPr>
          <w:lang w:val="en-GB"/>
        </w:rPr>
        <w:t>Say the law enforcement agency comes to us for details about a person and demands a copy of a customer’s KYC. Now, under the banking law</w:t>
      </w:r>
      <w:r w:rsidR="004D3FF9" w:rsidRPr="004817BF">
        <w:rPr>
          <w:lang w:val="en-GB"/>
        </w:rPr>
        <w:t>,</w:t>
      </w:r>
      <w:r w:rsidRPr="004817BF">
        <w:rPr>
          <w:lang w:val="en-GB"/>
        </w:rPr>
        <w:t xml:space="preserve"> we cannot provide personal details</w:t>
      </w:r>
      <w:r w:rsidR="004D3FF9" w:rsidRPr="004817BF">
        <w:rPr>
          <w:lang w:val="en-GB"/>
        </w:rPr>
        <w:t>;</w:t>
      </w:r>
      <w:r w:rsidRPr="004817BF">
        <w:rPr>
          <w:lang w:val="en-GB"/>
        </w:rPr>
        <w:t xml:space="preserve"> we will need a court order. So, the law enforcement agency tries to obtain a court order, but the court may say that this only happens under the banking law. But bKash is regulated under the company law, and thus the court may not issue </w:t>
      </w:r>
      <w:proofErr w:type="gramStart"/>
      <w:r w:rsidRPr="004817BF">
        <w:rPr>
          <w:lang w:val="en-GB"/>
        </w:rPr>
        <w:t>a summon</w:t>
      </w:r>
      <w:proofErr w:type="gramEnd"/>
      <w:r w:rsidRPr="004817BF">
        <w:rPr>
          <w:lang w:val="en-GB"/>
        </w:rPr>
        <w:t>. You see, bKash intends to cooperate with all relevant agencies, and the agencies and bKash both require regulatory clarity.</w:t>
      </w:r>
    </w:p>
    <w:p w14:paraId="3B92B22E" w14:textId="77777777" w:rsidR="005E5FBE" w:rsidRPr="004817BF" w:rsidRDefault="005E5FBE" w:rsidP="00626659">
      <w:pPr>
        <w:pStyle w:val="BodyTextMain"/>
        <w:rPr>
          <w:lang w:val="en-GB"/>
        </w:rPr>
      </w:pPr>
    </w:p>
    <w:p w14:paraId="05CA5DB0" w14:textId="37D115B7" w:rsidR="005E5FBE" w:rsidRPr="004817BF" w:rsidRDefault="005E5FBE" w:rsidP="00626659">
      <w:pPr>
        <w:pStyle w:val="BodyTextMain"/>
        <w:rPr>
          <w:lang w:val="en-GB"/>
        </w:rPr>
      </w:pPr>
      <w:r w:rsidRPr="004817BF">
        <w:rPr>
          <w:lang w:val="en-GB"/>
        </w:rPr>
        <w:t>As in other countries, it would take time for regulations and government institutions to catch up to new</w:t>
      </w:r>
      <w:r w:rsidR="0055638A" w:rsidRPr="004817BF">
        <w:rPr>
          <w:lang w:val="en-GB"/>
        </w:rPr>
        <w:t>,</w:t>
      </w:r>
      <w:r w:rsidRPr="004817BF">
        <w:rPr>
          <w:lang w:val="en-GB"/>
        </w:rPr>
        <w:t xml:space="preserve"> innovative practices and technologies that were fast changing lives for the better </w:t>
      </w:r>
      <w:r w:rsidR="0055638A" w:rsidRPr="004817BF">
        <w:rPr>
          <w:lang w:val="en-GB"/>
        </w:rPr>
        <w:t>and</w:t>
      </w:r>
      <w:r w:rsidRPr="004817BF">
        <w:rPr>
          <w:lang w:val="en-GB"/>
        </w:rPr>
        <w:t xml:space="preserve"> offer</w:t>
      </w:r>
      <w:r w:rsidR="00FB5760" w:rsidRPr="004817BF">
        <w:rPr>
          <w:lang w:val="en-GB"/>
        </w:rPr>
        <w:t>ing</w:t>
      </w:r>
      <w:r w:rsidRPr="004817BF">
        <w:rPr>
          <w:lang w:val="en-GB"/>
        </w:rPr>
        <w:t xml:space="preserve"> opportunities to address new challenges. </w:t>
      </w:r>
      <w:r w:rsidR="00E12031" w:rsidRPr="004817BF">
        <w:rPr>
          <w:lang w:val="en-GB"/>
        </w:rPr>
        <w:t>I</w:t>
      </w:r>
      <w:r w:rsidRPr="004817BF">
        <w:rPr>
          <w:lang w:val="en-GB"/>
        </w:rPr>
        <w:t xml:space="preserve">n Bangladesh, banks </w:t>
      </w:r>
      <w:r w:rsidR="006B0614" w:rsidRPr="004817BF">
        <w:rPr>
          <w:lang w:val="en-GB"/>
        </w:rPr>
        <w:t>needed</w:t>
      </w:r>
      <w:r w:rsidR="006B0614">
        <w:rPr>
          <w:lang w:val="en-GB"/>
        </w:rPr>
        <w:t xml:space="preserve"> to </w:t>
      </w:r>
      <w:r w:rsidRPr="004817BF">
        <w:rPr>
          <w:lang w:val="en-GB"/>
        </w:rPr>
        <w:t xml:space="preserve">be held accountable for their MFS operations. In </w:t>
      </w:r>
      <w:r w:rsidR="00FB5760" w:rsidRPr="004817BF">
        <w:rPr>
          <w:lang w:val="en-GB"/>
        </w:rPr>
        <w:t xml:space="preserve">the </w:t>
      </w:r>
      <w:r w:rsidRPr="004817BF">
        <w:rPr>
          <w:lang w:val="en-GB"/>
        </w:rPr>
        <w:t>case of bKash, since it</w:t>
      </w:r>
      <w:r w:rsidR="00D22C88" w:rsidRPr="004817BF">
        <w:rPr>
          <w:lang w:val="en-GB"/>
        </w:rPr>
        <w:t xml:space="preserve"> was</w:t>
      </w:r>
      <w:r w:rsidRPr="004817BF">
        <w:rPr>
          <w:lang w:val="en-GB"/>
        </w:rPr>
        <w:t xml:space="preserve"> a subsidiary of </w:t>
      </w:r>
      <w:r w:rsidR="00D22C88" w:rsidRPr="004817BF">
        <w:rPr>
          <w:lang w:val="en-GB"/>
        </w:rPr>
        <w:t xml:space="preserve">the </w:t>
      </w:r>
      <w:r w:rsidRPr="004817BF">
        <w:rPr>
          <w:lang w:val="en-GB"/>
        </w:rPr>
        <w:t xml:space="preserve">BRAC Bank, a complex web of </w:t>
      </w:r>
      <w:r w:rsidR="00923C0F" w:rsidRPr="004817BF">
        <w:rPr>
          <w:lang w:val="en-GB"/>
        </w:rPr>
        <w:t>regulatory responsibilities was</w:t>
      </w:r>
      <w:r w:rsidRPr="004817BF">
        <w:rPr>
          <w:lang w:val="en-GB"/>
        </w:rPr>
        <w:t xml:space="preserve"> placed on </w:t>
      </w:r>
      <w:r w:rsidR="00D22C88" w:rsidRPr="004817BF">
        <w:rPr>
          <w:lang w:val="en-GB"/>
        </w:rPr>
        <w:t xml:space="preserve">the </w:t>
      </w:r>
      <w:r w:rsidRPr="004817BF">
        <w:rPr>
          <w:lang w:val="en-GB"/>
        </w:rPr>
        <w:t>BRAC Bank. Bank officers ha</w:t>
      </w:r>
      <w:r w:rsidR="00FB5760" w:rsidRPr="004817BF">
        <w:rPr>
          <w:lang w:val="en-GB"/>
        </w:rPr>
        <w:t>d</w:t>
      </w:r>
      <w:r w:rsidRPr="004817BF">
        <w:rPr>
          <w:lang w:val="en-GB"/>
        </w:rPr>
        <w:t xml:space="preserve"> their performance milestones and incentives. These m</w:t>
      </w:r>
      <w:r w:rsidR="00FB5760" w:rsidRPr="004817BF">
        <w:rPr>
          <w:lang w:val="en-GB"/>
        </w:rPr>
        <w:t>ight</w:t>
      </w:r>
      <w:r w:rsidRPr="004817BF">
        <w:rPr>
          <w:lang w:val="en-GB"/>
        </w:rPr>
        <w:t xml:space="preserve"> not match with </w:t>
      </w:r>
      <w:r w:rsidR="00E12031" w:rsidRPr="004817BF">
        <w:rPr>
          <w:lang w:val="en-GB"/>
        </w:rPr>
        <w:t xml:space="preserve">the </w:t>
      </w:r>
      <w:r w:rsidRPr="004817BF">
        <w:rPr>
          <w:lang w:val="en-GB"/>
        </w:rPr>
        <w:t xml:space="preserve">accountability for an MFS with 26 million accounts and 160,000 agents. </w:t>
      </w:r>
    </w:p>
    <w:p w14:paraId="3F78EDA6" w14:textId="77777777" w:rsidR="005E5FBE" w:rsidRPr="004817BF" w:rsidRDefault="005E5FBE" w:rsidP="00626659">
      <w:pPr>
        <w:pStyle w:val="BodyTextMain"/>
        <w:rPr>
          <w:highlight w:val="yellow"/>
          <w:lang w:val="en-GB"/>
        </w:rPr>
      </w:pPr>
    </w:p>
    <w:p w14:paraId="1D41C270" w14:textId="0D6E486A" w:rsidR="00626659" w:rsidRPr="004817BF" w:rsidRDefault="005E5FBE" w:rsidP="00626659">
      <w:pPr>
        <w:pStyle w:val="BodyTextMain"/>
        <w:rPr>
          <w:lang w:val="en-GB"/>
        </w:rPr>
      </w:pPr>
      <w:r w:rsidRPr="004817BF">
        <w:rPr>
          <w:lang w:val="en-GB"/>
        </w:rPr>
        <w:t xml:space="preserve">The </w:t>
      </w:r>
      <w:r w:rsidR="00045447" w:rsidRPr="004817BF">
        <w:rPr>
          <w:lang w:val="en-GB"/>
        </w:rPr>
        <w:t>c</w:t>
      </w:r>
      <w:r w:rsidRPr="004817BF">
        <w:rPr>
          <w:lang w:val="en-GB"/>
        </w:rPr>
        <w:t xml:space="preserve">entral </w:t>
      </w:r>
      <w:r w:rsidR="00045447" w:rsidRPr="004817BF">
        <w:rPr>
          <w:lang w:val="en-GB"/>
        </w:rPr>
        <w:t>b</w:t>
      </w:r>
      <w:r w:rsidRPr="004817BF">
        <w:rPr>
          <w:lang w:val="en-GB"/>
        </w:rPr>
        <w:t>ank published a new draft regulatory guideline in July 2015 for “providing an orderly, enabling and competitive environment for utilizing this new window of opportunity of innovatively extending the outreach of financial services.”</w:t>
      </w:r>
      <w:r w:rsidRPr="004817BF">
        <w:rPr>
          <w:rStyle w:val="EndnoteReference"/>
          <w:lang w:val="en-GB"/>
        </w:rPr>
        <w:endnoteReference w:id="23"/>
      </w:r>
      <w:r w:rsidRPr="004817BF">
        <w:rPr>
          <w:lang w:val="en-GB"/>
        </w:rPr>
        <w:t xml:space="preserve"> </w:t>
      </w:r>
      <w:r w:rsidR="00626659" w:rsidRPr="004817BF">
        <w:rPr>
          <w:lang w:val="en-GB"/>
        </w:rPr>
        <w:t>One of the aims was to broaden the playing field.</w:t>
      </w:r>
    </w:p>
    <w:p w14:paraId="7ECD00F3" w14:textId="77777777" w:rsidR="00626659" w:rsidRPr="004817BF" w:rsidRDefault="00626659" w:rsidP="00626659">
      <w:pPr>
        <w:pStyle w:val="BodyTextMain"/>
        <w:rPr>
          <w:lang w:val="en-GB"/>
        </w:rPr>
      </w:pPr>
    </w:p>
    <w:p w14:paraId="19AA684F" w14:textId="078060FB" w:rsidR="00626659" w:rsidRPr="004817BF" w:rsidRDefault="00626659" w:rsidP="00626659">
      <w:pPr>
        <w:pStyle w:val="BodyTextMain"/>
        <w:rPr>
          <w:lang w:val="en-GB"/>
        </w:rPr>
      </w:pPr>
      <w:r w:rsidRPr="004817BF">
        <w:rPr>
          <w:lang w:val="en-GB"/>
        </w:rPr>
        <w:t>The guideline discussed the granting of licen</w:t>
      </w:r>
      <w:r w:rsidR="00475F09" w:rsidRPr="004817BF">
        <w:rPr>
          <w:lang w:val="en-GB"/>
        </w:rPr>
        <w:t>c</w:t>
      </w:r>
      <w:r w:rsidRPr="004817BF">
        <w:rPr>
          <w:lang w:val="en-GB"/>
        </w:rPr>
        <w:t>es and the direct supervision of newly envisioned MFS entities engag</w:t>
      </w:r>
      <w:r w:rsidR="00D22C88" w:rsidRPr="004817BF">
        <w:rPr>
          <w:lang w:val="en-GB"/>
        </w:rPr>
        <w:t>ing</w:t>
      </w:r>
      <w:r w:rsidRPr="004817BF">
        <w:rPr>
          <w:lang w:val="en-GB"/>
        </w:rPr>
        <w:t xml:space="preserve"> in financial services such as limited deposits, payments</w:t>
      </w:r>
      <w:r w:rsidR="00D22C88" w:rsidRPr="004817BF">
        <w:rPr>
          <w:lang w:val="en-GB"/>
        </w:rPr>
        <w:t>,</w:t>
      </w:r>
      <w:r w:rsidRPr="004817BF">
        <w:rPr>
          <w:lang w:val="en-GB"/>
        </w:rPr>
        <w:t xml:space="preserve"> and remittance services</w:t>
      </w:r>
      <w:r w:rsidR="00D22C88" w:rsidRPr="004817BF">
        <w:rPr>
          <w:lang w:val="en-GB"/>
        </w:rPr>
        <w:t>—</w:t>
      </w:r>
      <w:r w:rsidRPr="004817BF">
        <w:rPr>
          <w:lang w:val="en-GB"/>
        </w:rPr>
        <w:t>similar to current MFS accounts. These new entities would not have exposure to credit risks</w:t>
      </w:r>
      <w:r w:rsidR="00D22C88" w:rsidRPr="004817BF">
        <w:rPr>
          <w:lang w:val="en-GB"/>
        </w:rPr>
        <w:t xml:space="preserve">; </w:t>
      </w:r>
      <w:r w:rsidRPr="004817BF">
        <w:rPr>
          <w:lang w:val="en-GB"/>
        </w:rPr>
        <w:t xml:space="preserve">however, they must maintain a minimum paid-up capital </w:t>
      </w:r>
      <w:r w:rsidR="00D22C88" w:rsidRPr="004817BF">
        <w:rPr>
          <w:lang w:val="en-GB"/>
        </w:rPr>
        <w:t xml:space="preserve">as a </w:t>
      </w:r>
      <w:r w:rsidRPr="004817BF">
        <w:rPr>
          <w:lang w:val="en-GB"/>
        </w:rPr>
        <w:t xml:space="preserve">cushion against operational risks. </w:t>
      </w:r>
    </w:p>
    <w:p w14:paraId="39706642" w14:textId="77777777" w:rsidR="00626659" w:rsidRPr="004817BF" w:rsidRDefault="00626659" w:rsidP="00626659">
      <w:pPr>
        <w:pStyle w:val="BodyTextMain"/>
        <w:rPr>
          <w:lang w:val="en-GB"/>
        </w:rPr>
      </w:pPr>
    </w:p>
    <w:p w14:paraId="280FB75D" w14:textId="755A3AF3" w:rsidR="00626659" w:rsidRPr="004817BF" w:rsidRDefault="00626659" w:rsidP="00626659">
      <w:pPr>
        <w:pStyle w:val="BodyTextMain"/>
        <w:rPr>
          <w:lang w:val="en-GB"/>
        </w:rPr>
      </w:pPr>
      <w:r w:rsidRPr="004817BF">
        <w:rPr>
          <w:lang w:val="en-GB"/>
        </w:rPr>
        <w:t xml:space="preserve">The guideline indicated that the </w:t>
      </w:r>
      <w:r w:rsidR="00045447" w:rsidRPr="004817BF">
        <w:rPr>
          <w:lang w:val="en-GB"/>
        </w:rPr>
        <w:t>c</w:t>
      </w:r>
      <w:r w:rsidRPr="004817BF">
        <w:rPr>
          <w:lang w:val="en-GB"/>
        </w:rPr>
        <w:t xml:space="preserve">entral </w:t>
      </w:r>
      <w:r w:rsidR="00045447" w:rsidRPr="004817BF">
        <w:rPr>
          <w:lang w:val="en-GB"/>
        </w:rPr>
        <w:t>b</w:t>
      </w:r>
      <w:r w:rsidRPr="004817BF">
        <w:rPr>
          <w:lang w:val="en-GB"/>
        </w:rPr>
        <w:t>ank had in fact recognized the need for regulatory reform, endorsing the need for specialized digital financial platforms, similar to bKash, instead of offering MFS accounts through conventional banks. The latter would have increased the cost and defeated the whole purpose of financial inclusion through minimizing costs.</w:t>
      </w:r>
    </w:p>
    <w:p w14:paraId="7DFA25E6" w14:textId="77777777" w:rsidR="00626659" w:rsidRPr="004817BF" w:rsidRDefault="00626659" w:rsidP="00626659">
      <w:pPr>
        <w:pStyle w:val="BodyTextMain"/>
        <w:rPr>
          <w:lang w:val="en-GB"/>
        </w:rPr>
      </w:pPr>
    </w:p>
    <w:p w14:paraId="008CF4D3" w14:textId="27A54F8C" w:rsidR="00626659" w:rsidRPr="004817BF" w:rsidRDefault="00626659" w:rsidP="00626659">
      <w:pPr>
        <w:pStyle w:val="BodyTextMain"/>
        <w:rPr>
          <w:lang w:val="en-GB"/>
        </w:rPr>
      </w:pPr>
      <w:r w:rsidRPr="004817BF">
        <w:rPr>
          <w:lang w:val="en-GB"/>
        </w:rPr>
        <w:t xml:space="preserve">While </w:t>
      </w:r>
      <w:proofErr w:type="spellStart"/>
      <w:r w:rsidRPr="004817BF">
        <w:rPr>
          <w:lang w:val="en-GB"/>
        </w:rPr>
        <w:t>Quadir</w:t>
      </w:r>
      <w:proofErr w:type="spellEnd"/>
      <w:r w:rsidRPr="004817BF">
        <w:rPr>
          <w:lang w:val="en-GB"/>
        </w:rPr>
        <w:t xml:space="preserve"> was excited about the new possibilities, regulatory uncertainty was a major concern. Was bKash sufficiently robust in its foundation to be able to maintain its inclusive model of serving not only the unbanked but also the under-banked, while remaining financially viable? </w:t>
      </w:r>
      <w:r w:rsidR="006B0614">
        <w:rPr>
          <w:lang w:val="en-GB"/>
        </w:rPr>
        <w:t xml:space="preserve">Said </w:t>
      </w:r>
      <w:proofErr w:type="spellStart"/>
      <w:r w:rsidR="006B0614">
        <w:rPr>
          <w:lang w:val="en-GB"/>
        </w:rPr>
        <w:t>Quadir</w:t>
      </w:r>
      <w:proofErr w:type="spellEnd"/>
      <w:r w:rsidR="006B0614">
        <w:rPr>
          <w:lang w:val="en-GB"/>
        </w:rPr>
        <w:t>,</w:t>
      </w:r>
    </w:p>
    <w:p w14:paraId="3A98F754" w14:textId="77777777" w:rsidR="00626659" w:rsidRPr="004817BF" w:rsidRDefault="00626659" w:rsidP="00626659">
      <w:pPr>
        <w:pStyle w:val="BodyTextMain"/>
        <w:rPr>
          <w:lang w:val="en-GB"/>
        </w:rPr>
      </w:pPr>
    </w:p>
    <w:p w14:paraId="40FF45E4" w14:textId="57251BB1" w:rsidR="00626659" w:rsidRPr="004817BF" w:rsidRDefault="00626659" w:rsidP="00923C0F">
      <w:pPr>
        <w:pStyle w:val="BodyTextMain"/>
        <w:ind w:left="720"/>
        <w:rPr>
          <w:lang w:val="en-GB"/>
        </w:rPr>
      </w:pPr>
      <w:r w:rsidRPr="004817BF">
        <w:rPr>
          <w:lang w:val="en-GB"/>
        </w:rPr>
        <w:t>I emphasize that our regulators have allowed this innovation to take place. Bangladesh has seen some great innovations in the financial inclusion space due to its open-minded regulators. And, I recognize the spirit of finding comfort in ambiguity</w:t>
      </w:r>
      <w:r w:rsidR="00D22C88" w:rsidRPr="004817BF">
        <w:rPr>
          <w:lang w:val="en-GB"/>
        </w:rPr>
        <w:t>,</w:t>
      </w:r>
      <w:r w:rsidRPr="004817BF">
        <w:rPr>
          <w:lang w:val="en-GB"/>
        </w:rPr>
        <w:t xml:space="preserve"> which is an essential component of a social innovation</w:t>
      </w:r>
      <w:r w:rsidR="00D22C88" w:rsidRPr="004817BF">
        <w:rPr>
          <w:lang w:val="en-GB"/>
        </w:rPr>
        <w:t xml:space="preserve"> that</w:t>
      </w:r>
      <w:r w:rsidRPr="004817BF">
        <w:rPr>
          <w:lang w:val="en-GB"/>
        </w:rPr>
        <w:t xml:space="preserve"> continu</w:t>
      </w:r>
      <w:r w:rsidR="00DC6470" w:rsidRPr="004817BF">
        <w:rPr>
          <w:lang w:val="en-GB"/>
        </w:rPr>
        <w:t>es to evolve as does a society.</w:t>
      </w:r>
      <w:r w:rsidRPr="004817BF">
        <w:rPr>
          <w:lang w:val="en-GB"/>
        </w:rPr>
        <w:br w:type="page"/>
      </w:r>
    </w:p>
    <w:p w14:paraId="2A3FBE21" w14:textId="35CC44FA" w:rsidR="0027465C" w:rsidRPr="004817BF" w:rsidRDefault="00626659" w:rsidP="00AA4AA1">
      <w:pPr>
        <w:pStyle w:val="ExhibitHeading"/>
        <w:rPr>
          <w:lang w:val="en-GB"/>
        </w:rPr>
      </w:pPr>
      <w:r w:rsidRPr="004817BF">
        <w:rPr>
          <w:lang w:val="en-GB"/>
        </w:rPr>
        <w:lastRenderedPageBreak/>
        <w:t>Exhibit 1: Mobile phone penetration by country</w:t>
      </w:r>
    </w:p>
    <w:p w14:paraId="155B2259" w14:textId="77777777" w:rsidR="007D54C3" w:rsidRPr="004817BF" w:rsidRDefault="007D54C3" w:rsidP="003A0C7A">
      <w:pPr>
        <w:pStyle w:val="Footnote"/>
        <w:rPr>
          <w:lang w:val="en-GB"/>
        </w:rPr>
      </w:pPr>
    </w:p>
    <w:tbl>
      <w:tblPr>
        <w:tblStyle w:val="TableGrid"/>
        <w:tblW w:w="9450" w:type="dxa"/>
        <w:jc w:val="center"/>
        <w:tblLayout w:type="fixed"/>
        <w:tblLook w:val="04A0" w:firstRow="1" w:lastRow="0" w:firstColumn="1" w:lastColumn="0" w:noHBand="0" w:noVBand="1"/>
      </w:tblPr>
      <w:tblGrid>
        <w:gridCol w:w="1350"/>
        <w:gridCol w:w="990"/>
        <w:gridCol w:w="810"/>
        <w:gridCol w:w="810"/>
        <w:gridCol w:w="1318"/>
        <w:gridCol w:w="1080"/>
        <w:gridCol w:w="1202"/>
        <w:gridCol w:w="900"/>
        <w:gridCol w:w="990"/>
      </w:tblGrid>
      <w:tr w:rsidR="007D54C3" w:rsidRPr="004817BF" w14:paraId="0F09D920" w14:textId="77777777" w:rsidTr="00DF45FD">
        <w:trPr>
          <w:trHeight w:val="340"/>
          <w:jc w:val="center"/>
        </w:trPr>
        <w:tc>
          <w:tcPr>
            <w:tcW w:w="1350" w:type="dxa"/>
            <w:noWrap/>
            <w:hideMark/>
          </w:tcPr>
          <w:p w14:paraId="0DB5EA27" w14:textId="77777777" w:rsidR="007D54C3" w:rsidRPr="004817BF" w:rsidRDefault="007D54C3" w:rsidP="00C924B0">
            <w:pPr>
              <w:pStyle w:val="Footnote"/>
              <w:spacing w:before="60"/>
              <w:rPr>
                <w:b/>
                <w:bCs/>
                <w:sz w:val="20"/>
                <w:szCs w:val="20"/>
                <w:lang w:val="en-GB"/>
              </w:rPr>
            </w:pPr>
            <w:r w:rsidRPr="004817BF">
              <w:rPr>
                <w:b/>
                <w:bCs/>
                <w:sz w:val="20"/>
                <w:szCs w:val="20"/>
                <w:lang w:val="en-GB"/>
              </w:rPr>
              <w:t>Country</w:t>
            </w:r>
          </w:p>
        </w:tc>
        <w:tc>
          <w:tcPr>
            <w:tcW w:w="990" w:type="dxa"/>
            <w:noWrap/>
            <w:hideMark/>
          </w:tcPr>
          <w:p w14:paraId="16E4858E" w14:textId="77777777" w:rsidR="007D54C3" w:rsidRPr="004817BF" w:rsidRDefault="007D54C3" w:rsidP="00C924B0">
            <w:pPr>
              <w:pStyle w:val="Footnote"/>
              <w:spacing w:before="60"/>
              <w:jc w:val="center"/>
              <w:rPr>
                <w:sz w:val="20"/>
                <w:szCs w:val="20"/>
                <w:lang w:val="en-GB"/>
              </w:rPr>
            </w:pPr>
            <w:r w:rsidRPr="004817BF">
              <w:rPr>
                <w:sz w:val="20"/>
                <w:szCs w:val="20"/>
                <w:lang w:val="en-GB"/>
              </w:rPr>
              <w:t>Rwanda</w:t>
            </w:r>
          </w:p>
        </w:tc>
        <w:tc>
          <w:tcPr>
            <w:tcW w:w="810" w:type="dxa"/>
            <w:noWrap/>
            <w:hideMark/>
          </w:tcPr>
          <w:p w14:paraId="57E45294" w14:textId="77777777" w:rsidR="007D54C3" w:rsidRPr="004817BF" w:rsidRDefault="007D54C3" w:rsidP="00C924B0">
            <w:pPr>
              <w:pStyle w:val="Footnote"/>
              <w:spacing w:before="60"/>
              <w:jc w:val="center"/>
              <w:rPr>
                <w:sz w:val="20"/>
                <w:szCs w:val="20"/>
                <w:lang w:val="en-GB"/>
              </w:rPr>
            </w:pPr>
            <w:r w:rsidRPr="004817BF">
              <w:rPr>
                <w:sz w:val="20"/>
                <w:szCs w:val="20"/>
                <w:lang w:val="en-GB"/>
              </w:rPr>
              <w:t>India</w:t>
            </w:r>
          </w:p>
        </w:tc>
        <w:tc>
          <w:tcPr>
            <w:tcW w:w="810" w:type="dxa"/>
            <w:noWrap/>
            <w:hideMark/>
          </w:tcPr>
          <w:p w14:paraId="6D40E83B" w14:textId="77777777" w:rsidR="007D54C3" w:rsidRPr="004817BF" w:rsidRDefault="007D54C3" w:rsidP="00C924B0">
            <w:pPr>
              <w:pStyle w:val="Footnote"/>
              <w:spacing w:before="60"/>
              <w:jc w:val="center"/>
              <w:rPr>
                <w:sz w:val="20"/>
                <w:szCs w:val="20"/>
                <w:lang w:val="en-GB"/>
              </w:rPr>
            </w:pPr>
            <w:r w:rsidRPr="004817BF">
              <w:rPr>
                <w:sz w:val="20"/>
                <w:szCs w:val="20"/>
                <w:lang w:val="en-GB"/>
              </w:rPr>
              <w:t>Kenya</w:t>
            </w:r>
          </w:p>
        </w:tc>
        <w:tc>
          <w:tcPr>
            <w:tcW w:w="1318" w:type="dxa"/>
            <w:noWrap/>
            <w:hideMark/>
          </w:tcPr>
          <w:p w14:paraId="6E1A11EC" w14:textId="77777777" w:rsidR="007D54C3" w:rsidRPr="004817BF" w:rsidRDefault="007D54C3" w:rsidP="00C924B0">
            <w:pPr>
              <w:pStyle w:val="Footnote"/>
              <w:spacing w:before="60"/>
              <w:jc w:val="center"/>
              <w:rPr>
                <w:sz w:val="20"/>
                <w:szCs w:val="20"/>
                <w:lang w:val="en-GB"/>
              </w:rPr>
            </w:pPr>
            <w:r w:rsidRPr="004817BF">
              <w:rPr>
                <w:sz w:val="20"/>
                <w:szCs w:val="20"/>
                <w:lang w:val="en-GB"/>
              </w:rPr>
              <w:t>Bangladesh</w:t>
            </w:r>
          </w:p>
        </w:tc>
        <w:tc>
          <w:tcPr>
            <w:tcW w:w="1080" w:type="dxa"/>
            <w:noWrap/>
            <w:hideMark/>
          </w:tcPr>
          <w:p w14:paraId="792E798D" w14:textId="77777777" w:rsidR="007D54C3" w:rsidRPr="004817BF" w:rsidRDefault="007D54C3" w:rsidP="00C924B0">
            <w:pPr>
              <w:pStyle w:val="Footnote"/>
              <w:spacing w:before="60"/>
              <w:jc w:val="center"/>
              <w:rPr>
                <w:sz w:val="20"/>
                <w:szCs w:val="20"/>
                <w:lang w:val="en-GB"/>
              </w:rPr>
            </w:pPr>
            <w:r w:rsidRPr="004817BF">
              <w:rPr>
                <w:sz w:val="20"/>
                <w:szCs w:val="20"/>
                <w:lang w:val="en-GB"/>
              </w:rPr>
              <w:t>Germany</w:t>
            </w:r>
          </w:p>
        </w:tc>
        <w:tc>
          <w:tcPr>
            <w:tcW w:w="1202" w:type="dxa"/>
            <w:noWrap/>
            <w:hideMark/>
          </w:tcPr>
          <w:p w14:paraId="06FA08F1" w14:textId="77777777" w:rsidR="007D54C3" w:rsidRPr="004817BF" w:rsidRDefault="007D54C3" w:rsidP="00C924B0">
            <w:pPr>
              <w:pStyle w:val="Footnote"/>
              <w:spacing w:before="60"/>
              <w:jc w:val="center"/>
              <w:rPr>
                <w:sz w:val="20"/>
                <w:szCs w:val="20"/>
                <w:lang w:val="en-GB"/>
              </w:rPr>
            </w:pPr>
            <w:r w:rsidRPr="004817BF">
              <w:rPr>
                <w:sz w:val="20"/>
                <w:szCs w:val="20"/>
                <w:lang w:val="en-GB"/>
              </w:rPr>
              <w:t>Philippines</w:t>
            </w:r>
          </w:p>
        </w:tc>
        <w:tc>
          <w:tcPr>
            <w:tcW w:w="900" w:type="dxa"/>
            <w:noWrap/>
            <w:hideMark/>
          </w:tcPr>
          <w:p w14:paraId="4135BCA0" w14:textId="77777777" w:rsidR="007D54C3" w:rsidRPr="004817BF" w:rsidRDefault="007D54C3" w:rsidP="00C924B0">
            <w:pPr>
              <w:pStyle w:val="Footnote"/>
              <w:spacing w:before="60"/>
              <w:jc w:val="center"/>
              <w:rPr>
                <w:sz w:val="20"/>
                <w:szCs w:val="20"/>
                <w:lang w:val="en-GB"/>
              </w:rPr>
            </w:pPr>
            <w:r w:rsidRPr="004817BF">
              <w:rPr>
                <w:sz w:val="20"/>
                <w:szCs w:val="20"/>
                <w:lang w:val="en-GB"/>
              </w:rPr>
              <w:t>Brazil</w:t>
            </w:r>
          </w:p>
        </w:tc>
        <w:tc>
          <w:tcPr>
            <w:tcW w:w="990" w:type="dxa"/>
            <w:noWrap/>
            <w:hideMark/>
          </w:tcPr>
          <w:p w14:paraId="45920D02" w14:textId="77777777" w:rsidR="007D54C3" w:rsidRPr="004817BF" w:rsidRDefault="007D54C3" w:rsidP="00C924B0">
            <w:pPr>
              <w:pStyle w:val="Footnote"/>
              <w:spacing w:before="60"/>
              <w:jc w:val="center"/>
              <w:rPr>
                <w:sz w:val="20"/>
                <w:szCs w:val="20"/>
                <w:lang w:val="en-GB"/>
              </w:rPr>
            </w:pPr>
            <w:r w:rsidRPr="004817BF">
              <w:rPr>
                <w:sz w:val="20"/>
                <w:szCs w:val="20"/>
                <w:lang w:val="en-GB"/>
              </w:rPr>
              <w:t>Chile</w:t>
            </w:r>
          </w:p>
        </w:tc>
      </w:tr>
      <w:tr w:rsidR="007D54C3" w:rsidRPr="004817BF" w14:paraId="27806227" w14:textId="77777777" w:rsidTr="00DF45FD">
        <w:trPr>
          <w:trHeight w:val="162"/>
          <w:jc w:val="center"/>
        </w:trPr>
        <w:tc>
          <w:tcPr>
            <w:tcW w:w="1350" w:type="dxa"/>
            <w:noWrap/>
            <w:hideMark/>
          </w:tcPr>
          <w:p w14:paraId="07DB5A79" w14:textId="45A42938" w:rsidR="007D54C3" w:rsidRPr="004817BF" w:rsidRDefault="007D54C3" w:rsidP="00C924B0">
            <w:pPr>
              <w:pStyle w:val="Footnote"/>
              <w:spacing w:before="40" w:after="40"/>
              <w:rPr>
                <w:b/>
                <w:bCs/>
                <w:sz w:val="20"/>
                <w:szCs w:val="20"/>
                <w:lang w:val="en-GB"/>
              </w:rPr>
            </w:pPr>
            <w:r w:rsidRPr="004817BF">
              <w:rPr>
                <w:b/>
                <w:bCs/>
                <w:sz w:val="20"/>
                <w:szCs w:val="20"/>
                <w:lang w:val="en-GB"/>
              </w:rPr>
              <w:t xml:space="preserve">Penetration </w:t>
            </w:r>
            <w:r w:rsidR="008B7DCE" w:rsidRPr="004817BF">
              <w:rPr>
                <w:b/>
                <w:bCs/>
                <w:sz w:val="20"/>
                <w:szCs w:val="20"/>
                <w:lang w:val="en-GB"/>
              </w:rPr>
              <w:t>r</w:t>
            </w:r>
            <w:r w:rsidRPr="004817BF">
              <w:rPr>
                <w:b/>
                <w:bCs/>
                <w:sz w:val="20"/>
                <w:szCs w:val="20"/>
                <w:lang w:val="en-GB"/>
              </w:rPr>
              <w:t>ate (%)</w:t>
            </w:r>
          </w:p>
        </w:tc>
        <w:tc>
          <w:tcPr>
            <w:tcW w:w="990" w:type="dxa"/>
            <w:noWrap/>
            <w:hideMark/>
          </w:tcPr>
          <w:p w14:paraId="052A9021" w14:textId="77777777" w:rsidR="007D54C3" w:rsidRPr="004817BF" w:rsidRDefault="007D54C3" w:rsidP="00C924B0">
            <w:pPr>
              <w:pStyle w:val="Footnote"/>
              <w:spacing w:before="40"/>
              <w:jc w:val="center"/>
              <w:rPr>
                <w:sz w:val="20"/>
                <w:szCs w:val="20"/>
                <w:lang w:val="en-GB"/>
              </w:rPr>
            </w:pPr>
            <w:r w:rsidRPr="004817BF">
              <w:rPr>
                <w:sz w:val="20"/>
                <w:szCs w:val="20"/>
                <w:lang w:val="en-GB"/>
              </w:rPr>
              <w:t>70.24</w:t>
            </w:r>
          </w:p>
        </w:tc>
        <w:tc>
          <w:tcPr>
            <w:tcW w:w="810" w:type="dxa"/>
            <w:noWrap/>
            <w:hideMark/>
          </w:tcPr>
          <w:p w14:paraId="4CE7EFFE" w14:textId="77777777" w:rsidR="007D54C3" w:rsidRPr="004817BF" w:rsidRDefault="007D54C3" w:rsidP="00C924B0">
            <w:pPr>
              <w:pStyle w:val="Footnote"/>
              <w:spacing w:before="40"/>
              <w:jc w:val="center"/>
              <w:rPr>
                <w:sz w:val="20"/>
                <w:szCs w:val="20"/>
                <w:lang w:val="en-GB"/>
              </w:rPr>
            </w:pPr>
            <w:r w:rsidRPr="004817BF">
              <w:rPr>
                <w:sz w:val="20"/>
                <w:szCs w:val="20"/>
                <w:lang w:val="en-GB"/>
              </w:rPr>
              <w:t>78.76</w:t>
            </w:r>
          </w:p>
        </w:tc>
        <w:tc>
          <w:tcPr>
            <w:tcW w:w="810" w:type="dxa"/>
            <w:noWrap/>
            <w:hideMark/>
          </w:tcPr>
          <w:p w14:paraId="78EED157" w14:textId="77777777" w:rsidR="007D54C3" w:rsidRPr="004817BF" w:rsidRDefault="007D54C3" w:rsidP="00C924B0">
            <w:pPr>
              <w:pStyle w:val="Footnote"/>
              <w:spacing w:before="40"/>
              <w:jc w:val="center"/>
              <w:rPr>
                <w:sz w:val="20"/>
                <w:szCs w:val="20"/>
                <w:lang w:val="en-GB"/>
              </w:rPr>
            </w:pPr>
            <w:r w:rsidRPr="004817BF">
              <w:rPr>
                <w:sz w:val="20"/>
                <w:szCs w:val="20"/>
                <w:lang w:val="en-GB"/>
              </w:rPr>
              <w:t>80.84</w:t>
            </w:r>
          </w:p>
        </w:tc>
        <w:tc>
          <w:tcPr>
            <w:tcW w:w="1318" w:type="dxa"/>
            <w:noWrap/>
            <w:hideMark/>
          </w:tcPr>
          <w:p w14:paraId="7CE1F049" w14:textId="77777777" w:rsidR="007D54C3" w:rsidRPr="004817BF" w:rsidRDefault="007D54C3" w:rsidP="00C924B0">
            <w:pPr>
              <w:pStyle w:val="Footnote"/>
              <w:spacing w:before="40"/>
              <w:jc w:val="center"/>
              <w:rPr>
                <w:sz w:val="20"/>
                <w:szCs w:val="20"/>
                <w:lang w:val="en-GB"/>
              </w:rPr>
            </w:pPr>
            <w:r w:rsidRPr="004817BF">
              <w:rPr>
                <w:sz w:val="20"/>
                <w:szCs w:val="20"/>
                <w:lang w:val="en-GB"/>
              </w:rPr>
              <w:t>82.45</w:t>
            </w:r>
          </w:p>
        </w:tc>
        <w:tc>
          <w:tcPr>
            <w:tcW w:w="1080" w:type="dxa"/>
            <w:noWrap/>
            <w:hideMark/>
          </w:tcPr>
          <w:p w14:paraId="02CC2020" w14:textId="77777777" w:rsidR="007D54C3" w:rsidRPr="004817BF" w:rsidRDefault="007D54C3" w:rsidP="00C924B0">
            <w:pPr>
              <w:pStyle w:val="Footnote"/>
              <w:spacing w:before="40"/>
              <w:jc w:val="center"/>
              <w:rPr>
                <w:sz w:val="20"/>
                <w:szCs w:val="20"/>
                <w:lang w:val="en-GB"/>
              </w:rPr>
            </w:pPr>
            <w:r w:rsidRPr="004817BF">
              <w:rPr>
                <w:sz w:val="20"/>
                <w:szCs w:val="20"/>
                <w:lang w:val="en-GB"/>
              </w:rPr>
              <w:t>116.86</w:t>
            </w:r>
          </w:p>
        </w:tc>
        <w:tc>
          <w:tcPr>
            <w:tcW w:w="1202" w:type="dxa"/>
            <w:noWrap/>
            <w:hideMark/>
          </w:tcPr>
          <w:p w14:paraId="6BF92BFC" w14:textId="77777777" w:rsidR="007D54C3" w:rsidRPr="004817BF" w:rsidRDefault="007D54C3" w:rsidP="00C924B0">
            <w:pPr>
              <w:pStyle w:val="Footnote"/>
              <w:spacing w:before="40"/>
              <w:jc w:val="center"/>
              <w:rPr>
                <w:sz w:val="20"/>
                <w:szCs w:val="20"/>
                <w:lang w:val="en-GB"/>
              </w:rPr>
            </w:pPr>
            <w:r w:rsidRPr="004817BF">
              <w:rPr>
                <w:sz w:val="20"/>
                <w:szCs w:val="20"/>
                <w:lang w:val="en-GB"/>
              </w:rPr>
              <w:t>118.07</w:t>
            </w:r>
          </w:p>
        </w:tc>
        <w:tc>
          <w:tcPr>
            <w:tcW w:w="900" w:type="dxa"/>
            <w:noWrap/>
            <w:hideMark/>
          </w:tcPr>
          <w:p w14:paraId="511963E0" w14:textId="05AAA74B" w:rsidR="007D54C3" w:rsidRPr="004817BF" w:rsidRDefault="007D54C3" w:rsidP="00C924B0">
            <w:pPr>
              <w:pStyle w:val="Footnote"/>
              <w:spacing w:before="40"/>
              <w:jc w:val="center"/>
              <w:rPr>
                <w:sz w:val="20"/>
                <w:szCs w:val="20"/>
                <w:lang w:val="en-GB"/>
              </w:rPr>
            </w:pPr>
            <w:r w:rsidRPr="004817BF">
              <w:rPr>
                <w:sz w:val="20"/>
                <w:szCs w:val="20"/>
                <w:lang w:val="en-GB"/>
              </w:rPr>
              <w:t>126.8</w:t>
            </w:r>
            <w:r w:rsidR="00B634E2" w:rsidRPr="004817BF">
              <w:rPr>
                <w:sz w:val="20"/>
                <w:szCs w:val="20"/>
                <w:lang w:val="en-GB"/>
              </w:rPr>
              <w:t>0</w:t>
            </w:r>
          </w:p>
        </w:tc>
        <w:tc>
          <w:tcPr>
            <w:tcW w:w="990" w:type="dxa"/>
            <w:noWrap/>
            <w:hideMark/>
          </w:tcPr>
          <w:p w14:paraId="5619668F" w14:textId="77777777" w:rsidR="007D54C3" w:rsidRPr="004817BF" w:rsidRDefault="007D54C3" w:rsidP="00C924B0">
            <w:pPr>
              <w:pStyle w:val="Footnote"/>
              <w:spacing w:before="40"/>
              <w:jc w:val="center"/>
              <w:rPr>
                <w:sz w:val="20"/>
                <w:szCs w:val="20"/>
                <w:lang w:val="en-GB"/>
              </w:rPr>
            </w:pPr>
            <w:r w:rsidRPr="004817BF">
              <w:rPr>
                <w:sz w:val="20"/>
                <w:szCs w:val="20"/>
                <w:lang w:val="en-GB"/>
              </w:rPr>
              <w:t>129.25</w:t>
            </w:r>
          </w:p>
        </w:tc>
      </w:tr>
    </w:tbl>
    <w:p w14:paraId="450BDBEA" w14:textId="77777777" w:rsidR="00980931" w:rsidRPr="00FD52C4" w:rsidRDefault="00980931" w:rsidP="00D63212">
      <w:pPr>
        <w:pStyle w:val="Footnote"/>
        <w:rPr>
          <w:lang w:val="en-GB"/>
        </w:rPr>
      </w:pPr>
    </w:p>
    <w:p w14:paraId="23B295D5" w14:textId="5533D0F0" w:rsidR="00626659" w:rsidRPr="0062513A" w:rsidRDefault="00626659" w:rsidP="00D63212">
      <w:pPr>
        <w:pStyle w:val="Footnote"/>
        <w:rPr>
          <w:lang w:val="en-GB"/>
        </w:rPr>
      </w:pPr>
      <w:r w:rsidRPr="004817BF">
        <w:rPr>
          <w:lang w:val="en-GB"/>
        </w:rPr>
        <w:t>Source:</w:t>
      </w:r>
      <w:r w:rsidR="00AB3946" w:rsidRPr="004817BF">
        <w:rPr>
          <w:lang w:val="en-GB"/>
        </w:rPr>
        <w:t xml:space="preserve"> </w:t>
      </w:r>
      <w:r w:rsidRPr="00DA1A3B">
        <w:rPr>
          <w:lang w:val="en-GB"/>
        </w:rPr>
        <w:t xml:space="preserve">Compiled by the authors </w:t>
      </w:r>
      <w:r w:rsidR="00B634E2" w:rsidRPr="00DA1A3B">
        <w:rPr>
          <w:lang w:val="en-GB"/>
        </w:rPr>
        <w:t>using</w:t>
      </w:r>
      <w:r w:rsidRPr="00DA1A3B">
        <w:rPr>
          <w:lang w:val="en-GB"/>
        </w:rPr>
        <w:t xml:space="preserve"> data from </w:t>
      </w:r>
      <w:r w:rsidR="006925AE" w:rsidRPr="00D904D3">
        <w:rPr>
          <w:lang w:val="en-GB"/>
        </w:rPr>
        <w:t xml:space="preserve">the </w:t>
      </w:r>
      <w:r w:rsidRPr="00D904D3">
        <w:rPr>
          <w:lang w:val="en-GB"/>
        </w:rPr>
        <w:t>World Bank, U</w:t>
      </w:r>
      <w:r w:rsidR="006925AE" w:rsidRPr="00D904D3">
        <w:rPr>
          <w:lang w:val="en-GB"/>
        </w:rPr>
        <w:t>nited Nations Development Programme</w:t>
      </w:r>
      <w:r w:rsidRPr="002D720D">
        <w:rPr>
          <w:lang w:val="en-GB"/>
        </w:rPr>
        <w:t xml:space="preserve">, TheGlobalEconomy.com, Telecom Regulatory Authority of India, </w:t>
      </w:r>
      <w:r w:rsidR="008B7DCE" w:rsidRPr="00555FC5">
        <w:rPr>
          <w:lang w:val="en-GB"/>
        </w:rPr>
        <w:t xml:space="preserve">and </w:t>
      </w:r>
      <w:r w:rsidRPr="00555FC5">
        <w:rPr>
          <w:lang w:val="en-GB"/>
        </w:rPr>
        <w:t>Bangladesh Telecom Regulatory C</w:t>
      </w:r>
      <w:r w:rsidRPr="0062513A">
        <w:rPr>
          <w:lang w:val="en-GB"/>
        </w:rPr>
        <w:t xml:space="preserve">ommission. </w:t>
      </w:r>
    </w:p>
    <w:p w14:paraId="0E1E7572" w14:textId="77777777" w:rsidR="00A26C03" w:rsidRPr="004817BF" w:rsidRDefault="00A26C03" w:rsidP="00FD52C4">
      <w:pPr>
        <w:pStyle w:val="BodyTextMain"/>
        <w:rPr>
          <w:rStyle w:val="lookup-resultcontent"/>
          <w:lang w:val="en-GB"/>
        </w:rPr>
      </w:pPr>
    </w:p>
    <w:p w14:paraId="418C3D9A" w14:textId="77777777" w:rsidR="00626659" w:rsidRPr="004817BF" w:rsidRDefault="00626659" w:rsidP="00FD52C4">
      <w:pPr>
        <w:pStyle w:val="BodyTextMain"/>
        <w:rPr>
          <w:rStyle w:val="lookup-resultcontent"/>
          <w:lang w:val="en-GB"/>
        </w:rPr>
      </w:pPr>
    </w:p>
    <w:p w14:paraId="3C2416B6" w14:textId="3FE363B9" w:rsidR="00626659" w:rsidRPr="004817BF" w:rsidRDefault="007D54C3" w:rsidP="00E13F92">
      <w:pPr>
        <w:pStyle w:val="ExhibitHeading"/>
        <w:rPr>
          <w:lang w:val="en-GB"/>
        </w:rPr>
      </w:pPr>
      <w:r w:rsidRPr="004817BF">
        <w:rPr>
          <w:lang w:val="en-GB"/>
        </w:rPr>
        <w:t>Exhibit 2</w:t>
      </w:r>
      <w:r w:rsidR="00626659" w:rsidRPr="004817BF">
        <w:rPr>
          <w:lang w:val="en-GB"/>
        </w:rPr>
        <w:t>: bKash pricing structure</w:t>
      </w:r>
    </w:p>
    <w:p w14:paraId="4F880ED2" w14:textId="77777777" w:rsidR="00E13F92" w:rsidRPr="004817BF" w:rsidRDefault="00E13F92" w:rsidP="00E13F92">
      <w:pPr>
        <w:pStyle w:val="ExhibitHeading"/>
        <w:rPr>
          <w:lang w:val="en-GB"/>
        </w:rPr>
      </w:pPr>
    </w:p>
    <w:tbl>
      <w:tblPr>
        <w:tblW w:w="8812" w:type="dxa"/>
        <w:tblInd w:w="274" w:type="dxa"/>
        <w:tblCellMar>
          <w:left w:w="0" w:type="dxa"/>
          <w:right w:w="0" w:type="dxa"/>
        </w:tblCellMar>
        <w:tblLook w:val="04A0" w:firstRow="1" w:lastRow="0" w:firstColumn="1" w:lastColumn="0" w:noHBand="0" w:noVBand="1"/>
      </w:tblPr>
      <w:tblGrid>
        <w:gridCol w:w="5040"/>
        <w:gridCol w:w="3772"/>
      </w:tblGrid>
      <w:tr w:rsidR="00A05E0C" w:rsidRPr="004817BF" w14:paraId="4DF4F06D" w14:textId="77777777" w:rsidTr="00DF45FD">
        <w:trPr>
          <w:trHeight w:val="209"/>
        </w:trPr>
        <w:tc>
          <w:tcPr>
            <w:tcW w:w="504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1AD6BCD" w14:textId="11759690" w:rsidR="00626659" w:rsidRPr="004817BF" w:rsidRDefault="00626659" w:rsidP="00C924B0">
            <w:pPr>
              <w:spacing w:before="40" w:after="40"/>
              <w:jc w:val="center"/>
              <w:rPr>
                <w:rFonts w:ascii="Arial" w:hAnsi="Arial" w:cs="Arial"/>
                <w:b/>
                <w:bCs/>
                <w:lang w:val="en-GB"/>
              </w:rPr>
            </w:pPr>
            <w:r w:rsidRPr="004817BF">
              <w:rPr>
                <w:rFonts w:ascii="Arial" w:hAnsi="Arial" w:cs="Arial"/>
                <w:b/>
                <w:bCs/>
                <w:lang w:val="en-GB"/>
              </w:rPr>
              <w:t xml:space="preserve">Type of </w:t>
            </w:r>
            <w:r w:rsidR="008B7DCE" w:rsidRPr="004817BF">
              <w:rPr>
                <w:rFonts w:ascii="Arial" w:hAnsi="Arial" w:cs="Arial"/>
                <w:b/>
                <w:bCs/>
                <w:lang w:val="en-GB"/>
              </w:rPr>
              <w:t>T</w:t>
            </w:r>
            <w:r w:rsidRPr="004817BF">
              <w:rPr>
                <w:rFonts w:ascii="Arial" w:hAnsi="Arial" w:cs="Arial"/>
                <w:b/>
                <w:bCs/>
                <w:lang w:val="en-GB"/>
              </w:rPr>
              <w:t>ransaction</w:t>
            </w:r>
          </w:p>
        </w:tc>
        <w:tc>
          <w:tcPr>
            <w:tcW w:w="377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50D6552" w14:textId="77777777" w:rsidR="00626659" w:rsidRPr="004817BF" w:rsidRDefault="00626659" w:rsidP="00C924B0">
            <w:pPr>
              <w:spacing w:before="40" w:after="40"/>
              <w:jc w:val="center"/>
              <w:rPr>
                <w:rFonts w:ascii="Arial" w:hAnsi="Arial" w:cs="Arial"/>
                <w:b/>
                <w:bCs/>
                <w:lang w:val="en-GB"/>
              </w:rPr>
            </w:pPr>
            <w:r w:rsidRPr="004817BF">
              <w:rPr>
                <w:rFonts w:ascii="Arial" w:hAnsi="Arial" w:cs="Arial"/>
                <w:b/>
                <w:bCs/>
                <w:lang w:val="en-GB"/>
              </w:rPr>
              <w:t>Fee</w:t>
            </w:r>
          </w:p>
        </w:tc>
      </w:tr>
      <w:tr w:rsidR="00A05E0C" w:rsidRPr="004817BF" w14:paraId="365E65F9" w14:textId="77777777" w:rsidTr="00DF45FD">
        <w:trPr>
          <w:trHeight w:val="243"/>
        </w:trPr>
        <w:tc>
          <w:tcPr>
            <w:tcW w:w="5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8B8662E" w14:textId="143B2918" w:rsidR="00626659" w:rsidRPr="004817BF" w:rsidRDefault="00626659" w:rsidP="00C924B0">
            <w:pPr>
              <w:spacing w:before="40" w:after="40"/>
              <w:ind w:firstLine="165"/>
              <w:rPr>
                <w:rFonts w:ascii="Arial" w:hAnsi="Arial" w:cs="Arial"/>
                <w:lang w:val="en-GB"/>
              </w:rPr>
            </w:pPr>
            <w:r w:rsidRPr="004817BF">
              <w:rPr>
                <w:rFonts w:ascii="Arial" w:hAnsi="Arial" w:cs="Arial"/>
                <w:lang w:val="en-GB"/>
              </w:rPr>
              <w:t>Account opening</w:t>
            </w:r>
          </w:p>
        </w:tc>
        <w:tc>
          <w:tcPr>
            <w:tcW w:w="377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534D1B8" w14:textId="77777777" w:rsidR="00626659" w:rsidRPr="004817BF" w:rsidRDefault="00626659" w:rsidP="00C924B0">
            <w:pPr>
              <w:spacing w:before="40" w:after="40"/>
              <w:ind w:firstLine="131"/>
              <w:rPr>
                <w:rFonts w:ascii="Arial" w:hAnsi="Arial" w:cs="Arial"/>
                <w:lang w:val="en-GB"/>
              </w:rPr>
            </w:pPr>
            <w:r w:rsidRPr="004817BF">
              <w:rPr>
                <w:rFonts w:ascii="Arial" w:hAnsi="Arial" w:cs="Arial"/>
                <w:lang w:val="en-GB"/>
              </w:rPr>
              <w:t>Free</w:t>
            </w:r>
          </w:p>
        </w:tc>
      </w:tr>
      <w:tr w:rsidR="00A05E0C" w:rsidRPr="004817BF" w14:paraId="58361545" w14:textId="77777777" w:rsidTr="00DF45FD">
        <w:trPr>
          <w:trHeight w:val="234"/>
        </w:trPr>
        <w:tc>
          <w:tcPr>
            <w:tcW w:w="5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E7ACB09" w14:textId="3CA440DB" w:rsidR="00626659" w:rsidRPr="004817BF" w:rsidRDefault="00626659" w:rsidP="00C924B0">
            <w:pPr>
              <w:spacing w:before="40" w:after="40"/>
              <w:ind w:firstLine="165"/>
              <w:rPr>
                <w:rFonts w:ascii="Arial" w:hAnsi="Arial" w:cs="Arial"/>
                <w:lang w:val="en-GB"/>
              </w:rPr>
            </w:pPr>
            <w:r w:rsidRPr="004817BF">
              <w:rPr>
                <w:rFonts w:ascii="Arial" w:hAnsi="Arial" w:cs="Arial"/>
                <w:lang w:val="en-GB"/>
              </w:rPr>
              <w:t>Cash-in at agent</w:t>
            </w:r>
          </w:p>
        </w:tc>
        <w:tc>
          <w:tcPr>
            <w:tcW w:w="377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7CC0059" w14:textId="77777777" w:rsidR="00626659" w:rsidRPr="004817BF" w:rsidRDefault="00626659" w:rsidP="00C924B0">
            <w:pPr>
              <w:spacing w:before="40" w:after="40"/>
              <w:ind w:firstLine="131"/>
              <w:rPr>
                <w:rFonts w:ascii="Arial" w:hAnsi="Arial" w:cs="Arial"/>
                <w:lang w:val="en-GB"/>
              </w:rPr>
            </w:pPr>
            <w:r w:rsidRPr="004817BF">
              <w:rPr>
                <w:rFonts w:ascii="Arial" w:hAnsi="Arial" w:cs="Arial"/>
                <w:lang w:val="en-GB"/>
              </w:rPr>
              <w:t>Free</w:t>
            </w:r>
          </w:p>
        </w:tc>
      </w:tr>
      <w:tr w:rsidR="00A05E0C" w:rsidRPr="004817BF" w14:paraId="091E13AC" w14:textId="77777777" w:rsidTr="00DF45FD">
        <w:trPr>
          <w:trHeight w:val="227"/>
        </w:trPr>
        <w:tc>
          <w:tcPr>
            <w:tcW w:w="5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DDAE816" w14:textId="77777777" w:rsidR="00626659" w:rsidRPr="004817BF" w:rsidRDefault="00626659" w:rsidP="00C924B0">
            <w:pPr>
              <w:spacing w:before="40" w:after="40"/>
              <w:ind w:firstLine="165"/>
              <w:rPr>
                <w:rFonts w:ascii="Arial" w:hAnsi="Arial" w:cs="Arial"/>
                <w:lang w:val="en-GB"/>
              </w:rPr>
            </w:pPr>
            <w:r w:rsidRPr="004817BF">
              <w:rPr>
                <w:rFonts w:ascii="Arial" w:hAnsi="Arial" w:cs="Arial"/>
                <w:lang w:val="en-GB"/>
              </w:rPr>
              <w:t>Cash-out from agent</w:t>
            </w:r>
          </w:p>
        </w:tc>
        <w:tc>
          <w:tcPr>
            <w:tcW w:w="377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2065CAC" w14:textId="7CEBE008" w:rsidR="00626659" w:rsidRPr="004817BF" w:rsidRDefault="00626659" w:rsidP="00C924B0">
            <w:pPr>
              <w:spacing w:before="40" w:after="40"/>
              <w:ind w:firstLine="131"/>
              <w:rPr>
                <w:rFonts w:ascii="Arial" w:hAnsi="Arial" w:cs="Arial"/>
                <w:lang w:val="en-GB"/>
              </w:rPr>
            </w:pPr>
            <w:r w:rsidRPr="004817BF">
              <w:rPr>
                <w:rFonts w:ascii="Arial" w:hAnsi="Arial" w:cs="Arial"/>
                <w:lang w:val="en-GB"/>
              </w:rPr>
              <w:t>1.85</w:t>
            </w:r>
            <w:r w:rsidR="008B7DCE" w:rsidRPr="004817BF">
              <w:rPr>
                <w:rFonts w:ascii="Arial" w:hAnsi="Arial" w:cs="Arial"/>
                <w:lang w:val="en-GB"/>
              </w:rPr>
              <w:t>%</w:t>
            </w:r>
            <w:r w:rsidRPr="004817BF">
              <w:rPr>
                <w:rFonts w:ascii="Arial" w:hAnsi="Arial" w:cs="Arial"/>
                <w:lang w:val="en-GB"/>
              </w:rPr>
              <w:t xml:space="preserve"> flat fee</w:t>
            </w:r>
          </w:p>
        </w:tc>
      </w:tr>
      <w:tr w:rsidR="00A05E0C" w:rsidRPr="004817BF" w14:paraId="4D040518" w14:textId="77777777" w:rsidTr="00DF45FD">
        <w:trPr>
          <w:trHeight w:val="234"/>
        </w:trPr>
        <w:tc>
          <w:tcPr>
            <w:tcW w:w="5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1E55126" w14:textId="736E176F" w:rsidR="00626659" w:rsidRPr="004817BF" w:rsidRDefault="00626659" w:rsidP="00C924B0">
            <w:pPr>
              <w:spacing w:before="40" w:after="40"/>
              <w:ind w:firstLine="165"/>
              <w:rPr>
                <w:rFonts w:ascii="Arial" w:hAnsi="Arial" w:cs="Arial"/>
                <w:lang w:val="en-GB"/>
              </w:rPr>
            </w:pPr>
            <w:r w:rsidRPr="004817BF">
              <w:rPr>
                <w:rFonts w:ascii="Arial" w:hAnsi="Arial" w:cs="Arial"/>
                <w:lang w:val="en-GB"/>
              </w:rPr>
              <w:t>Person</w:t>
            </w:r>
            <w:r w:rsidR="008B7DCE" w:rsidRPr="004817BF">
              <w:rPr>
                <w:rFonts w:ascii="Arial" w:hAnsi="Arial" w:cs="Arial"/>
                <w:lang w:val="en-GB"/>
              </w:rPr>
              <w:t>-</w:t>
            </w:r>
            <w:r w:rsidRPr="004817BF">
              <w:rPr>
                <w:rFonts w:ascii="Arial" w:hAnsi="Arial" w:cs="Arial"/>
                <w:lang w:val="en-GB"/>
              </w:rPr>
              <w:t>to</w:t>
            </w:r>
            <w:r w:rsidR="00B634E2" w:rsidRPr="004817BF">
              <w:rPr>
                <w:rFonts w:ascii="Arial" w:hAnsi="Arial" w:cs="Arial"/>
                <w:lang w:val="en-GB"/>
              </w:rPr>
              <w:t>-</w:t>
            </w:r>
            <w:r w:rsidRPr="004817BF">
              <w:rPr>
                <w:rFonts w:ascii="Arial" w:hAnsi="Arial" w:cs="Arial"/>
                <w:lang w:val="en-GB"/>
              </w:rPr>
              <w:t>person</w:t>
            </w:r>
            <w:r w:rsidR="00B634E2" w:rsidRPr="004817BF">
              <w:rPr>
                <w:rFonts w:ascii="Arial" w:hAnsi="Arial" w:cs="Arial"/>
                <w:lang w:val="en-GB"/>
              </w:rPr>
              <w:t xml:space="preserve"> </w:t>
            </w:r>
            <w:r w:rsidRPr="004817BF">
              <w:rPr>
                <w:rFonts w:ascii="Arial" w:hAnsi="Arial" w:cs="Arial"/>
                <w:lang w:val="en-GB"/>
              </w:rPr>
              <w:t xml:space="preserve">money transfer </w:t>
            </w:r>
          </w:p>
        </w:tc>
        <w:tc>
          <w:tcPr>
            <w:tcW w:w="377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5670A54" w14:textId="4B36C414" w:rsidR="00626659" w:rsidRPr="004817BF" w:rsidRDefault="00574898" w:rsidP="00AC7D85">
            <w:pPr>
              <w:spacing w:before="40" w:after="40"/>
              <w:ind w:left="156"/>
              <w:rPr>
                <w:rFonts w:ascii="Arial" w:hAnsi="Arial" w:cs="Arial"/>
                <w:lang w:val="en-GB"/>
              </w:rPr>
            </w:pPr>
            <w:r w:rsidRPr="004817BF">
              <w:rPr>
                <w:rFonts w:ascii="Arial" w:hAnsi="Arial" w:cs="Arial"/>
                <w:lang w:val="en-GB"/>
              </w:rPr>
              <w:t>Tk</w:t>
            </w:r>
            <w:r w:rsidR="00626659" w:rsidRPr="004817BF">
              <w:rPr>
                <w:rFonts w:ascii="Arial" w:hAnsi="Arial" w:cs="Arial"/>
                <w:lang w:val="en-GB"/>
              </w:rPr>
              <w:t>5 (</w:t>
            </w:r>
            <w:r w:rsidRPr="004817BF">
              <w:rPr>
                <w:rFonts w:ascii="Arial" w:hAnsi="Arial" w:cs="Arial"/>
                <w:lang w:val="en-GB"/>
              </w:rPr>
              <w:t>US$0.</w:t>
            </w:r>
            <w:r w:rsidR="00A05E0C" w:rsidRPr="004817BF">
              <w:rPr>
                <w:rFonts w:ascii="Arial" w:hAnsi="Arial" w:cs="Arial"/>
                <w:lang w:val="en-GB"/>
              </w:rPr>
              <w:t>0</w:t>
            </w:r>
            <w:r w:rsidR="00626659" w:rsidRPr="004817BF">
              <w:rPr>
                <w:rFonts w:ascii="Arial" w:hAnsi="Arial" w:cs="Arial"/>
                <w:lang w:val="en-GB"/>
              </w:rPr>
              <w:t>6</w:t>
            </w:r>
            <w:r w:rsidR="00A05E0C" w:rsidRPr="004817BF">
              <w:rPr>
                <w:rFonts w:ascii="Arial" w:hAnsi="Arial" w:cs="Arial"/>
                <w:lang w:val="en-GB"/>
              </w:rPr>
              <w:t xml:space="preserve">, </w:t>
            </w:r>
            <w:r w:rsidR="006B0614" w:rsidRPr="006B0614">
              <w:rPr>
                <w:rFonts w:ascii="Arial" w:hAnsi="Arial" w:cs="Arial"/>
                <w:lang w:val="en-GB"/>
              </w:rPr>
              <w:t>based on the exchange rate</w:t>
            </w:r>
            <w:r w:rsidR="00A05E0C" w:rsidRPr="004817BF">
              <w:rPr>
                <w:rFonts w:ascii="Arial" w:hAnsi="Arial" w:cs="Arial"/>
                <w:lang w:val="en-GB"/>
              </w:rPr>
              <w:t xml:space="preserve"> of December 2016)</w:t>
            </w:r>
          </w:p>
        </w:tc>
      </w:tr>
      <w:tr w:rsidR="00A05E0C" w:rsidRPr="004817BF" w14:paraId="22D63B7D" w14:textId="77777777" w:rsidTr="00DF45FD">
        <w:trPr>
          <w:trHeight w:val="234"/>
        </w:trPr>
        <w:tc>
          <w:tcPr>
            <w:tcW w:w="5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E44359F" w14:textId="77777777" w:rsidR="00626659" w:rsidRPr="004817BF" w:rsidRDefault="00626659" w:rsidP="00C924B0">
            <w:pPr>
              <w:spacing w:before="40" w:after="40"/>
              <w:ind w:firstLine="165"/>
              <w:rPr>
                <w:rFonts w:ascii="Arial" w:hAnsi="Arial" w:cs="Arial"/>
                <w:lang w:val="en-GB"/>
              </w:rPr>
            </w:pPr>
            <w:r w:rsidRPr="004817BF">
              <w:rPr>
                <w:rFonts w:ascii="Arial" w:hAnsi="Arial" w:cs="Arial"/>
                <w:lang w:val="en-GB"/>
              </w:rPr>
              <w:t>Bill and merchant payments (fee to customer)</w:t>
            </w:r>
          </w:p>
        </w:tc>
        <w:tc>
          <w:tcPr>
            <w:tcW w:w="377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9C9EEAE" w14:textId="77777777" w:rsidR="00626659" w:rsidRPr="004817BF" w:rsidRDefault="00626659" w:rsidP="00C924B0">
            <w:pPr>
              <w:spacing w:before="40" w:after="40"/>
              <w:ind w:firstLine="131"/>
              <w:rPr>
                <w:rFonts w:ascii="Arial" w:hAnsi="Arial" w:cs="Arial"/>
                <w:lang w:val="en-GB"/>
              </w:rPr>
            </w:pPr>
            <w:r w:rsidRPr="004817BF">
              <w:rPr>
                <w:rFonts w:ascii="Arial" w:hAnsi="Arial" w:cs="Arial"/>
                <w:lang w:val="en-GB"/>
              </w:rPr>
              <w:t>Free</w:t>
            </w:r>
          </w:p>
        </w:tc>
      </w:tr>
      <w:tr w:rsidR="00A05E0C" w:rsidRPr="004817BF" w14:paraId="7410E7CA" w14:textId="77777777" w:rsidTr="00DF45FD">
        <w:trPr>
          <w:trHeight w:val="234"/>
        </w:trPr>
        <w:tc>
          <w:tcPr>
            <w:tcW w:w="5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FB4FFAF" w14:textId="77777777" w:rsidR="00626659" w:rsidRPr="004817BF" w:rsidRDefault="00626659" w:rsidP="00C924B0">
            <w:pPr>
              <w:spacing w:before="40" w:after="40"/>
              <w:ind w:firstLine="165"/>
              <w:rPr>
                <w:rFonts w:ascii="Arial" w:hAnsi="Arial" w:cs="Arial"/>
                <w:lang w:val="en-GB"/>
              </w:rPr>
            </w:pPr>
            <w:r w:rsidRPr="004817BF">
              <w:rPr>
                <w:rFonts w:ascii="Arial" w:hAnsi="Arial" w:cs="Arial"/>
                <w:lang w:val="en-GB"/>
              </w:rPr>
              <w:t>Merchant payments (cost to merchants)</w:t>
            </w:r>
          </w:p>
        </w:tc>
        <w:tc>
          <w:tcPr>
            <w:tcW w:w="377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DC184D0" w14:textId="45C07918" w:rsidR="00626659" w:rsidRPr="004817BF" w:rsidRDefault="00626659" w:rsidP="00C924B0">
            <w:pPr>
              <w:spacing w:before="40" w:after="40"/>
              <w:ind w:firstLine="131"/>
              <w:rPr>
                <w:rFonts w:ascii="Arial" w:hAnsi="Arial" w:cs="Arial"/>
                <w:lang w:val="en-GB"/>
              </w:rPr>
            </w:pPr>
            <w:r w:rsidRPr="004817BF">
              <w:rPr>
                <w:rFonts w:ascii="Arial" w:hAnsi="Arial" w:cs="Arial"/>
                <w:lang w:val="en-GB"/>
              </w:rPr>
              <w:t>1.3</w:t>
            </w:r>
            <w:r w:rsidR="008B7DCE" w:rsidRPr="004817BF">
              <w:rPr>
                <w:rFonts w:ascii="Arial" w:hAnsi="Arial" w:cs="Arial"/>
                <w:lang w:val="en-GB"/>
              </w:rPr>
              <w:t>0</w:t>
            </w:r>
            <w:r w:rsidR="00A314AD">
              <w:rPr>
                <w:rFonts w:ascii="Arial" w:hAnsi="Arial" w:cs="Arial"/>
                <w:lang w:val="en-GB"/>
              </w:rPr>
              <w:t>%</w:t>
            </w:r>
            <w:r w:rsidR="00DC6470" w:rsidRPr="004817BF">
              <w:rPr>
                <w:rFonts w:ascii="Arial" w:hAnsi="Arial" w:cs="Arial"/>
                <w:lang w:val="en-GB"/>
              </w:rPr>
              <w:t xml:space="preserve"> </w:t>
            </w:r>
            <w:r w:rsidRPr="004817BF">
              <w:rPr>
                <w:rFonts w:ascii="Arial" w:hAnsi="Arial" w:cs="Arial"/>
                <w:lang w:val="en-GB"/>
              </w:rPr>
              <w:t>to 1.8</w:t>
            </w:r>
            <w:r w:rsidR="008B7DCE" w:rsidRPr="004817BF">
              <w:rPr>
                <w:rFonts w:ascii="Arial" w:hAnsi="Arial" w:cs="Arial"/>
                <w:lang w:val="en-GB"/>
              </w:rPr>
              <w:t>0%</w:t>
            </w:r>
          </w:p>
        </w:tc>
      </w:tr>
      <w:tr w:rsidR="00A05E0C" w:rsidRPr="004817BF" w14:paraId="3A34D2D5" w14:textId="77777777" w:rsidTr="00DF45FD">
        <w:trPr>
          <w:trHeight w:val="152"/>
        </w:trPr>
        <w:tc>
          <w:tcPr>
            <w:tcW w:w="5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799347B" w14:textId="22B67BA5" w:rsidR="00626659" w:rsidRPr="004817BF" w:rsidRDefault="00626659" w:rsidP="00C924B0">
            <w:pPr>
              <w:spacing w:before="40" w:after="40"/>
              <w:ind w:firstLine="165"/>
              <w:rPr>
                <w:rFonts w:ascii="Arial" w:hAnsi="Arial" w:cs="Arial"/>
                <w:lang w:val="en-GB"/>
              </w:rPr>
            </w:pPr>
            <w:r w:rsidRPr="004817BF">
              <w:rPr>
                <w:rFonts w:ascii="Arial" w:hAnsi="Arial" w:cs="Arial"/>
                <w:lang w:val="en-GB"/>
              </w:rPr>
              <w:t>Business</w:t>
            </w:r>
            <w:r w:rsidR="008B7DCE" w:rsidRPr="004817BF">
              <w:rPr>
                <w:rFonts w:ascii="Arial" w:hAnsi="Arial" w:cs="Arial"/>
                <w:lang w:val="en-GB"/>
              </w:rPr>
              <w:t>-</w:t>
            </w:r>
            <w:r w:rsidRPr="004817BF">
              <w:rPr>
                <w:rFonts w:ascii="Arial" w:hAnsi="Arial" w:cs="Arial"/>
                <w:lang w:val="en-GB"/>
              </w:rPr>
              <w:t>to</w:t>
            </w:r>
            <w:r w:rsidR="008B7DCE" w:rsidRPr="004817BF">
              <w:rPr>
                <w:rFonts w:ascii="Arial" w:hAnsi="Arial" w:cs="Arial"/>
                <w:lang w:val="en-GB"/>
              </w:rPr>
              <w:t>-</w:t>
            </w:r>
            <w:r w:rsidRPr="004817BF">
              <w:rPr>
                <w:rFonts w:ascii="Arial" w:hAnsi="Arial" w:cs="Arial"/>
                <w:lang w:val="en-GB"/>
              </w:rPr>
              <w:t>person disbursement (fee to business)</w:t>
            </w:r>
          </w:p>
        </w:tc>
        <w:tc>
          <w:tcPr>
            <w:tcW w:w="377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B7F3583" w14:textId="4DB22123" w:rsidR="00626659" w:rsidRPr="004817BF" w:rsidRDefault="00626659" w:rsidP="00C924B0">
            <w:pPr>
              <w:spacing w:before="40" w:after="40"/>
              <w:ind w:firstLine="131"/>
              <w:rPr>
                <w:rFonts w:ascii="Arial" w:hAnsi="Arial" w:cs="Arial"/>
                <w:lang w:val="en-GB"/>
              </w:rPr>
            </w:pPr>
            <w:r w:rsidRPr="004817BF">
              <w:rPr>
                <w:rFonts w:ascii="Arial" w:hAnsi="Arial" w:cs="Arial"/>
                <w:lang w:val="en-GB"/>
              </w:rPr>
              <w:t>0.5</w:t>
            </w:r>
            <w:r w:rsidR="008B7DCE" w:rsidRPr="004817BF">
              <w:rPr>
                <w:rFonts w:ascii="Arial" w:hAnsi="Arial" w:cs="Arial"/>
                <w:lang w:val="en-GB"/>
              </w:rPr>
              <w:t>0%</w:t>
            </w:r>
            <w:r w:rsidRPr="004817BF">
              <w:rPr>
                <w:rFonts w:ascii="Arial" w:hAnsi="Arial" w:cs="Arial"/>
                <w:lang w:val="en-GB"/>
              </w:rPr>
              <w:t xml:space="preserve"> (negotiable)</w:t>
            </w:r>
          </w:p>
        </w:tc>
      </w:tr>
    </w:tbl>
    <w:p w14:paraId="56046452" w14:textId="77777777" w:rsidR="00574898" w:rsidRPr="004817BF" w:rsidRDefault="00574898" w:rsidP="00DF45FD">
      <w:pPr>
        <w:pStyle w:val="Footnote"/>
        <w:rPr>
          <w:spacing w:val="-2"/>
          <w:kern w:val="17"/>
          <w:lang w:val="en-GB"/>
        </w:rPr>
      </w:pPr>
    </w:p>
    <w:p w14:paraId="0F8CD4FB" w14:textId="381ECFB5" w:rsidR="00FB30D1" w:rsidRPr="004817BF" w:rsidRDefault="00626659" w:rsidP="00DF45FD">
      <w:pPr>
        <w:pStyle w:val="Footnote"/>
        <w:rPr>
          <w:spacing w:val="-2"/>
          <w:kern w:val="17"/>
          <w:lang w:val="en-GB"/>
        </w:rPr>
      </w:pPr>
      <w:r w:rsidRPr="004817BF">
        <w:rPr>
          <w:spacing w:val="-2"/>
          <w:kern w:val="17"/>
          <w:lang w:val="en-GB"/>
        </w:rPr>
        <w:t xml:space="preserve">Source: </w:t>
      </w:r>
      <w:r w:rsidR="00D63212" w:rsidRPr="004817BF">
        <w:rPr>
          <w:spacing w:val="-2"/>
          <w:kern w:val="17"/>
          <w:lang w:val="en-GB"/>
        </w:rPr>
        <w:t xml:space="preserve">International Finance Corporation, </w:t>
      </w:r>
      <w:r w:rsidR="00D63212" w:rsidRPr="00FD52C4">
        <w:rPr>
          <w:i/>
          <w:spacing w:val="-2"/>
          <w:kern w:val="17"/>
          <w:lang w:val="en-GB"/>
        </w:rPr>
        <w:t xml:space="preserve">bKash: </w:t>
      </w:r>
      <w:r w:rsidR="00FB30D1" w:rsidRPr="00FD52C4">
        <w:rPr>
          <w:i/>
          <w:spacing w:val="-2"/>
          <w:kern w:val="17"/>
          <w:lang w:val="en-GB"/>
        </w:rPr>
        <w:t>IFC Inclusive Business Case Study</w:t>
      </w:r>
      <w:r w:rsidR="00FB30D1" w:rsidRPr="004817BF">
        <w:rPr>
          <w:spacing w:val="-2"/>
          <w:kern w:val="17"/>
          <w:lang w:val="en-GB"/>
        </w:rPr>
        <w:t>, 2016</w:t>
      </w:r>
      <w:r w:rsidR="00D63212" w:rsidRPr="004817BF">
        <w:rPr>
          <w:spacing w:val="-2"/>
          <w:kern w:val="17"/>
          <w:lang w:val="en-GB"/>
        </w:rPr>
        <w:t xml:space="preserve">, accessed </w:t>
      </w:r>
      <w:r w:rsidR="00FB30D1" w:rsidRPr="004817BF">
        <w:rPr>
          <w:spacing w:val="-2"/>
          <w:kern w:val="17"/>
          <w:lang w:val="en-GB"/>
        </w:rPr>
        <w:t xml:space="preserve">January </w:t>
      </w:r>
      <w:r w:rsidR="00D63212" w:rsidRPr="004817BF">
        <w:rPr>
          <w:spacing w:val="-2"/>
          <w:kern w:val="17"/>
          <w:lang w:val="en-GB"/>
        </w:rPr>
        <w:t xml:space="preserve">1, </w:t>
      </w:r>
      <w:r w:rsidR="00FB30D1" w:rsidRPr="004817BF">
        <w:rPr>
          <w:spacing w:val="-2"/>
          <w:kern w:val="17"/>
          <w:lang w:val="en-GB"/>
        </w:rPr>
        <w:t>2017, https://www.ifc.org/wps/wcm/connect/5c993b23-8dd1-40c5-88cf-eb64618e871b/bKash_FINAL_low+res.pdf?MOD=AJPERES</w:t>
      </w:r>
      <w:r w:rsidR="00D63212" w:rsidRPr="004817BF">
        <w:rPr>
          <w:spacing w:val="-2"/>
          <w:kern w:val="17"/>
          <w:lang w:val="en-GB"/>
        </w:rPr>
        <w:t>.</w:t>
      </w:r>
    </w:p>
    <w:p w14:paraId="2FCDF1D6" w14:textId="76084820" w:rsidR="00FD52C4" w:rsidRDefault="00FD52C4">
      <w:pPr>
        <w:spacing w:after="200" w:line="276" w:lineRule="auto"/>
        <w:rPr>
          <w:sz w:val="22"/>
          <w:szCs w:val="22"/>
          <w:lang w:val="en-GB"/>
        </w:rPr>
      </w:pPr>
      <w:r>
        <w:rPr>
          <w:lang w:val="en-GB"/>
        </w:rPr>
        <w:br w:type="page"/>
      </w:r>
    </w:p>
    <w:p w14:paraId="042FE942" w14:textId="278112C4" w:rsidR="006C2BEB" w:rsidRPr="004817BF" w:rsidRDefault="007D54C3" w:rsidP="00DF45FD">
      <w:pPr>
        <w:pStyle w:val="ExhibitHeading"/>
        <w:rPr>
          <w:lang w:val="en-GB"/>
        </w:rPr>
      </w:pPr>
      <w:r w:rsidRPr="004817BF">
        <w:rPr>
          <w:lang w:val="en-GB"/>
        </w:rPr>
        <w:lastRenderedPageBreak/>
        <w:t>Exhibit 3</w:t>
      </w:r>
      <w:r w:rsidR="00626659" w:rsidRPr="004817BF">
        <w:rPr>
          <w:lang w:val="en-GB"/>
        </w:rPr>
        <w:t>: bKash financial</w:t>
      </w:r>
      <w:r w:rsidR="00D63212" w:rsidRPr="004817BF">
        <w:rPr>
          <w:lang w:val="en-GB"/>
        </w:rPr>
        <w:t xml:space="preserve"> statement</w:t>
      </w:r>
      <w:r w:rsidR="00626659" w:rsidRPr="004817BF">
        <w:rPr>
          <w:lang w:val="en-GB"/>
        </w:rPr>
        <w:t>s</w:t>
      </w:r>
    </w:p>
    <w:p w14:paraId="21FAA1AF" w14:textId="77777777" w:rsidR="00DF45FD" w:rsidRPr="004817BF" w:rsidRDefault="00DF45FD" w:rsidP="00DF45FD">
      <w:pPr>
        <w:pStyle w:val="ExhibitHeading"/>
        <w:rPr>
          <w:lang w:val="en-GB"/>
        </w:rPr>
      </w:pPr>
    </w:p>
    <w:tbl>
      <w:tblPr>
        <w:tblW w:w="8385" w:type="dxa"/>
        <w:jc w:val="center"/>
        <w:tblLook w:val="04A0" w:firstRow="1" w:lastRow="0" w:firstColumn="1" w:lastColumn="0" w:noHBand="0" w:noVBand="1"/>
      </w:tblPr>
      <w:tblGrid>
        <w:gridCol w:w="3068"/>
        <w:gridCol w:w="824"/>
        <w:gridCol w:w="828"/>
        <w:gridCol w:w="957"/>
        <w:gridCol w:w="971"/>
        <w:gridCol w:w="834"/>
        <w:gridCol w:w="918"/>
      </w:tblGrid>
      <w:tr w:rsidR="00162A7D" w:rsidRPr="004817BF" w14:paraId="4CD8BA61" w14:textId="77777777" w:rsidTr="004F75F9">
        <w:trPr>
          <w:trHeight w:val="70"/>
          <w:jc w:val="center"/>
        </w:trPr>
        <w:tc>
          <w:tcPr>
            <w:tcW w:w="8385" w:type="dxa"/>
            <w:gridSpan w:val="7"/>
            <w:tcBorders>
              <w:top w:val="single" w:sz="8" w:space="0" w:color="auto"/>
              <w:left w:val="single" w:sz="8" w:space="0" w:color="auto"/>
              <w:bottom w:val="nil"/>
              <w:right w:val="single" w:sz="8" w:space="0" w:color="000000"/>
            </w:tcBorders>
            <w:shd w:val="clear" w:color="auto" w:fill="auto"/>
            <w:noWrap/>
            <w:vAlign w:val="bottom"/>
            <w:hideMark/>
          </w:tcPr>
          <w:p w14:paraId="3D143F9A" w14:textId="01AD1558" w:rsidR="00626659" w:rsidRPr="004817BF" w:rsidRDefault="00626659" w:rsidP="00C924B0">
            <w:pPr>
              <w:spacing w:before="40" w:after="40"/>
              <w:jc w:val="center"/>
              <w:rPr>
                <w:rFonts w:ascii="Arial" w:hAnsi="Arial" w:cs="Arial"/>
                <w:b/>
                <w:bCs/>
                <w:lang w:val="en-GB"/>
              </w:rPr>
            </w:pPr>
            <w:r w:rsidRPr="004817BF">
              <w:rPr>
                <w:rFonts w:ascii="Arial" w:hAnsi="Arial" w:cs="Arial"/>
                <w:b/>
                <w:bCs/>
                <w:lang w:val="en-GB"/>
              </w:rPr>
              <w:t>INCOME STATEMENT (in US</w:t>
            </w:r>
            <w:r w:rsidR="00866999" w:rsidRPr="004817BF">
              <w:rPr>
                <w:rFonts w:ascii="Arial" w:hAnsi="Arial" w:cs="Arial"/>
                <w:b/>
                <w:bCs/>
                <w:lang w:val="en-GB"/>
              </w:rPr>
              <w:t>$</w:t>
            </w:r>
            <w:r w:rsidR="005950D1" w:rsidRPr="004817BF">
              <w:rPr>
                <w:rFonts w:ascii="Arial" w:hAnsi="Arial" w:cs="Arial"/>
                <w:b/>
                <w:bCs/>
                <w:lang w:val="en-GB"/>
              </w:rPr>
              <w:t xml:space="preserve"> M</w:t>
            </w:r>
            <w:r w:rsidR="000D472F" w:rsidRPr="004817BF">
              <w:rPr>
                <w:rFonts w:ascii="Arial" w:hAnsi="Arial" w:cs="Arial"/>
                <w:b/>
                <w:bCs/>
                <w:lang w:val="en-GB"/>
              </w:rPr>
              <w:t>illion</w:t>
            </w:r>
            <w:r w:rsidRPr="004817BF">
              <w:rPr>
                <w:rFonts w:ascii="Arial" w:hAnsi="Arial" w:cs="Arial"/>
                <w:b/>
                <w:bCs/>
                <w:lang w:val="en-GB"/>
              </w:rPr>
              <w:t>)</w:t>
            </w:r>
          </w:p>
        </w:tc>
      </w:tr>
      <w:tr w:rsidR="00162A7D" w:rsidRPr="004817BF" w14:paraId="2AF04549" w14:textId="77777777" w:rsidTr="004F75F9">
        <w:trPr>
          <w:trHeight w:val="196"/>
          <w:jc w:val="center"/>
        </w:trPr>
        <w:tc>
          <w:tcPr>
            <w:tcW w:w="3068" w:type="dxa"/>
            <w:tcBorders>
              <w:top w:val="nil"/>
              <w:left w:val="single" w:sz="8" w:space="0" w:color="auto"/>
              <w:bottom w:val="single" w:sz="8" w:space="0" w:color="auto"/>
              <w:right w:val="single" w:sz="8" w:space="0" w:color="auto"/>
            </w:tcBorders>
            <w:shd w:val="clear" w:color="auto" w:fill="auto"/>
            <w:noWrap/>
            <w:vAlign w:val="bottom"/>
            <w:hideMark/>
          </w:tcPr>
          <w:p w14:paraId="3173075C" w14:textId="77777777" w:rsidR="00626659" w:rsidRPr="004817BF" w:rsidRDefault="00626659" w:rsidP="00246852">
            <w:pPr>
              <w:rPr>
                <w:rFonts w:ascii="Arial" w:hAnsi="Arial" w:cs="Arial"/>
                <w:lang w:val="en-GB"/>
              </w:rPr>
            </w:pPr>
            <w:r w:rsidRPr="004817BF">
              <w:rPr>
                <w:rFonts w:ascii="Arial" w:hAnsi="Arial" w:cs="Arial"/>
                <w:lang w:val="en-GB"/>
              </w:rPr>
              <w:t> </w:t>
            </w:r>
          </w:p>
        </w:tc>
        <w:tc>
          <w:tcPr>
            <w:tcW w:w="824" w:type="dxa"/>
            <w:tcBorders>
              <w:top w:val="single" w:sz="8" w:space="0" w:color="auto"/>
              <w:left w:val="nil"/>
              <w:bottom w:val="single" w:sz="8" w:space="0" w:color="auto"/>
              <w:right w:val="nil"/>
            </w:tcBorders>
            <w:shd w:val="clear" w:color="auto" w:fill="auto"/>
            <w:noWrap/>
            <w:vAlign w:val="bottom"/>
            <w:hideMark/>
          </w:tcPr>
          <w:p w14:paraId="24EE3262" w14:textId="77777777" w:rsidR="00626659" w:rsidRPr="004817BF" w:rsidRDefault="00626659" w:rsidP="00FD52C4">
            <w:pPr>
              <w:spacing w:before="40" w:after="40"/>
              <w:jc w:val="center"/>
              <w:rPr>
                <w:rFonts w:ascii="Arial" w:hAnsi="Arial" w:cs="Arial"/>
                <w:b/>
                <w:bCs/>
                <w:lang w:val="en-GB"/>
              </w:rPr>
            </w:pPr>
            <w:r w:rsidRPr="004817BF">
              <w:rPr>
                <w:rFonts w:ascii="Arial" w:hAnsi="Arial" w:cs="Arial"/>
                <w:b/>
                <w:bCs/>
                <w:lang w:val="en-GB"/>
              </w:rPr>
              <w:t>2010</w:t>
            </w:r>
          </w:p>
        </w:tc>
        <w:tc>
          <w:tcPr>
            <w:tcW w:w="828" w:type="dxa"/>
            <w:tcBorders>
              <w:top w:val="single" w:sz="8" w:space="0" w:color="auto"/>
              <w:left w:val="nil"/>
              <w:bottom w:val="single" w:sz="8" w:space="0" w:color="auto"/>
              <w:right w:val="nil"/>
            </w:tcBorders>
            <w:shd w:val="clear" w:color="auto" w:fill="auto"/>
            <w:noWrap/>
            <w:vAlign w:val="bottom"/>
            <w:hideMark/>
          </w:tcPr>
          <w:p w14:paraId="610FAAE6" w14:textId="77777777" w:rsidR="00626659" w:rsidRPr="004817BF" w:rsidRDefault="00626659" w:rsidP="00FD52C4">
            <w:pPr>
              <w:spacing w:before="40" w:after="40"/>
              <w:jc w:val="center"/>
              <w:rPr>
                <w:rFonts w:ascii="Arial" w:hAnsi="Arial" w:cs="Arial"/>
                <w:b/>
                <w:bCs/>
                <w:lang w:val="en-GB"/>
              </w:rPr>
            </w:pPr>
            <w:r w:rsidRPr="004817BF">
              <w:rPr>
                <w:rFonts w:ascii="Arial" w:hAnsi="Arial" w:cs="Arial"/>
                <w:b/>
                <w:bCs/>
                <w:lang w:val="en-GB"/>
              </w:rPr>
              <w:t>2011</w:t>
            </w:r>
          </w:p>
        </w:tc>
        <w:tc>
          <w:tcPr>
            <w:tcW w:w="957" w:type="dxa"/>
            <w:tcBorders>
              <w:top w:val="single" w:sz="8" w:space="0" w:color="auto"/>
              <w:left w:val="nil"/>
              <w:bottom w:val="single" w:sz="8" w:space="0" w:color="auto"/>
              <w:right w:val="nil"/>
            </w:tcBorders>
            <w:shd w:val="clear" w:color="auto" w:fill="auto"/>
            <w:noWrap/>
            <w:vAlign w:val="bottom"/>
            <w:hideMark/>
          </w:tcPr>
          <w:p w14:paraId="311C1678" w14:textId="77777777" w:rsidR="00626659" w:rsidRPr="004817BF" w:rsidRDefault="00626659" w:rsidP="00FD52C4">
            <w:pPr>
              <w:spacing w:before="40" w:after="40"/>
              <w:jc w:val="center"/>
              <w:rPr>
                <w:rFonts w:ascii="Arial" w:hAnsi="Arial" w:cs="Arial"/>
                <w:b/>
                <w:bCs/>
                <w:lang w:val="en-GB"/>
              </w:rPr>
            </w:pPr>
            <w:r w:rsidRPr="004817BF">
              <w:rPr>
                <w:rFonts w:ascii="Arial" w:hAnsi="Arial" w:cs="Arial"/>
                <w:b/>
                <w:bCs/>
                <w:lang w:val="en-GB"/>
              </w:rPr>
              <w:t>2012</w:t>
            </w:r>
          </w:p>
        </w:tc>
        <w:tc>
          <w:tcPr>
            <w:tcW w:w="971" w:type="dxa"/>
            <w:tcBorders>
              <w:top w:val="single" w:sz="8" w:space="0" w:color="auto"/>
              <w:left w:val="nil"/>
              <w:bottom w:val="single" w:sz="8" w:space="0" w:color="auto"/>
              <w:right w:val="nil"/>
            </w:tcBorders>
            <w:shd w:val="clear" w:color="auto" w:fill="auto"/>
            <w:noWrap/>
            <w:vAlign w:val="bottom"/>
            <w:hideMark/>
          </w:tcPr>
          <w:p w14:paraId="1D96B610" w14:textId="77777777" w:rsidR="00626659" w:rsidRPr="004817BF" w:rsidRDefault="00626659" w:rsidP="00FD52C4">
            <w:pPr>
              <w:spacing w:before="40" w:after="40"/>
              <w:jc w:val="center"/>
              <w:rPr>
                <w:rFonts w:ascii="Arial" w:hAnsi="Arial" w:cs="Arial"/>
                <w:b/>
                <w:bCs/>
                <w:lang w:val="en-GB"/>
              </w:rPr>
            </w:pPr>
            <w:r w:rsidRPr="004817BF">
              <w:rPr>
                <w:rFonts w:ascii="Arial" w:hAnsi="Arial" w:cs="Arial"/>
                <w:b/>
                <w:bCs/>
                <w:lang w:val="en-GB"/>
              </w:rPr>
              <w:t>2013</w:t>
            </w:r>
          </w:p>
        </w:tc>
        <w:tc>
          <w:tcPr>
            <w:tcW w:w="819" w:type="dxa"/>
            <w:tcBorders>
              <w:top w:val="single" w:sz="8" w:space="0" w:color="auto"/>
              <w:left w:val="nil"/>
              <w:bottom w:val="single" w:sz="8" w:space="0" w:color="auto"/>
              <w:right w:val="nil"/>
            </w:tcBorders>
            <w:shd w:val="clear" w:color="auto" w:fill="auto"/>
            <w:noWrap/>
            <w:vAlign w:val="bottom"/>
            <w:hideMark/>
          </w:tcPr>
          <w:p w14:paraId="39D34DB1" w14:textId="77777777" w:rsidR="00626659" w:rsidRPr="004817BF" w:rsidRDefault="00626659" w:rsidP="00FD52C4">
            <w:pPr>
              <w:spacing w:before="40" w:after="40"/>
              <w:jc w:val="center"/>
              <w:rPr>
                <w:rFonts w:ascii="Arial" w:hAnsi="Arial" w:cs="Arial"/>
                <w:b/>
                <w:bCs/>
                <w:lang w:val="en-GB"/>
              </w:rPr>
            </w:pPr>
            <w:r w:rsidRPr="004817BF">
              <w:rPr>
                <w:rFonts w:ascii="Arial" w:hAnsi="Arial" w:cs="Arial"/>
                <w:b/>
                <w:bCs/>
                <w:lang w:val="en-GB"/>
              </w:rPr>
              <w:t>2014</w:t>
            </w:r>
          </w:p>
        </w:tc>
        <w:tc>
          <w:tcPr>
            <w:tcW w:w="918" w:type="dxa"/>
            <w:tcBorders>
              <w:top w:val="single" w:sz="8" w:space="0" w:color="auto"/>
              <w:left w:val="nil"/>
              <w:bottom w:val="single" w:sz="8" w:space="0" w:color="auto"/>
              <w:right w:val="single" w:sz="8" w:space="0" w:color="auto"/>
            </w:tcBorders>
            <w:shd w:val="clear" w:color="auto" w:fill="auto"/>
            <w:noWrap/>
            <w:vAlign w:val="bottom"/>
            <w:hideMark/>
          </w:tcPr>
          <w:p w14:paraId="7A585CE2" w14:textId="77777777" w:rsidR="00626659" w:rsidRPr="004817BF" w:rsidRDefault="00626659" w:rsidP="00FD52C4">
            <w:pPr>
              <w:spacing w:before="40" w:after="40"/>
              <w:jc w:val="center"/>
              <w:rPr>
                <w:rFonts w:ascii="Arial" w:hAnsi="Arial" w:cs="Arial"/>
                <w:b/>
                <w:bCs/>
                <w:lang w:val="en-GB"/>
              </w:rPr>
            </w:pPr>
            <w:r w:rsidRPr="004817BF">
              <w:rPr>
                <w:rFonts w:ascii="Arial" w:hAnsi="Arial" w:cs="Arial"/>
                <w:b/>
                <w:bCs/>
                <w:lang w:val="en-GB"/>
              </w:rPr>
              <w:t>2015</w:t>
            </w:r>
          </w:p>
        </w:tc>
      </w:tr>
      <w:tr w:rsidR="00162A7D" w:rsidRPr="004817BF" w14:paraId="14AEEAC5" w14:textId="77777777" w:rsidTr="004F75F9">
        <w:trPr>
          <w:trHeight w:val="223"/>
          <w:jc w:val="center"/>
        </w:trPr>
        <w:tc>
          <w:tcPr>
            <w:tcW w:w="3068" w:type="dxa"/>
            <w:tcBorders>
              <w:top w:val="nil"/>
              <w:left w:val="single" w:sz="8" w:space="0" w:color="auto"/>
              <w:bottom w:val="nil"/>
              <w:right w:val="single" w:sz="8" w:space="0" w:color="auto"/>
            </w:tcBorders>
            <w:shd w:val="clear" w:color="auto" w:fill="auto"/>
            <w:noWrap/>
            <w:vAlign w:val="bottom"/>
            <w:hideMark/>
          </w:tcPr>
          <w:p w14:paraId="5E9ECCAC" w14:textId="77777777" w:rsidR="00626659" w:rsidRPr="004817BF" w:rsidRDefault="00626659" w:rsidP="00C924B0">
            <w:pPr>
              <w:spacing w:before="40"/>
              <w:rPr>
                <w:rFonts w:ascii="Arial" w:hAnsi="Arial" w:cs="Arial"/>
                <w:iCs/>
                <w:lang w:val="en-GB"/>
              </w:rPr>
            </w:pPr>
            <w:r w:rsidRPr="004817BF">
              <w:rPr>
                <w:rFonts w:ascii="Arial" w:hAnsi="Arial" w:cs="Arial"/>
                <w:iCs/>
                <w:lang w:val="en-GB"/>
              </w:rPr>
              <w:t>Revenue</w:t>
            </w:r>
          </w:p>
        </w:tc>
        <w:tc>
          <w:tcPr>
            <w:tcW w:w="824" w:type="dxa"/>
            <w:tcBorders>
              <w:top w:val="nil"/>
              <w:left w:val="nil"/>
              <w:bottom w:val="nil"/>
              <w:right w:val="nil"/>
            </w:tcBorders>
            <w:shd w:val="clear" w:color="auto" w:fill="auto"/>
            <w:noWrap/>
            <w:vAlign w:val="bottom"/>
            <w:hideMark/>
          </w:tcPr>
          <w:p w14:paraId="0D1EC372" w14:textId="681878FA"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828" w:type="dxa"/>
            <w:tcBorders>
              <w:top w:val="single" w:sz="8" w:space="0" w:color="auto"/>
              <w:left w:val="nil"/>
              <w:bottom w:val="nil"/>
              <w:right w:val="nil"/>
            </w:tcBorders>
            <w:shd w:val="clear" w:color="auto" w:fill="auto"/>
            <w:noWrap/>
            <w:vAlign w:val="bottom"/>
            <w:hideMark/>
          </w:tcPr>
          <w:p w14:paraId="703CA189" w14:textId="0DE60EE1" w:rsidR="00626659" w:rsidRPr="004817BF" w:rsidRDefault="00626659" w:rsidP="00440F36">
            <w:pPr>
              <w:jc w:val="right"/>
              <w:rPr>
                <w:rFonts w:ascii="Arial" w:hAnsi="Arial" w:cs="Arial"/>
                <w:lang w:val="en-GB"/>
              </w:rPr>
            </w:pP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 xml:space="preserve">01 </w:t>
            </w:r>
          </w:p>
        </w:tc>
        <w:tc>
          <w:tcPr>
            <w:tcW w:w="957" w:type="dxa"/>
            <w:tcBorders>
              <w:top w:val="single" w:sz="8" w:space="0" w:color="auto"/>
              <w:left w:val="nil"/>
              <w:bottom w:val="nil"/>
              <w:right w:val="nil"/>
            </w:tcBorders>
            <w:shd w:val="clear" w:color="auto" w:fill="auto"/>
            <w:noWrap/>
            <w:vAlign w:val="bottom"/>
            <w:hideMark/>
          </w:tcPr>
          <w:p w14:paraId="610DFCA7" w14:textId="4DD5821D" w:rsidR="00626659" w:rsidRPr="004817BF" w:rsidRDefault="00626659" w:rsidP="00440F36">
            <w:pPr>
              <w:jc w:val="right"/>
              <w:rPr>
                <w:rFonts w:ascii="Arial" w:hAnsi="Arial" w:cs="Arial"/>
                <w:lang w:val="en-GB"/>
              </w:rPr>
            </w:pPr>
            <w:r w:rsidRPr="004817BF">
              <w:rPr>
                <w:rFonts w:ascii="Arial" w:hAnsi="Arial" w:cs="Arial"/>
                <w:lang w:val="en-GB"/>
              </w:rPr>
              <w:t>4</w:t>
            </w:r>
            <w:r w:rsidR="004612EF" w:rsidRPr="004817BF">
              <w:rPr>
                <w:rFonts w:ascii="Arial" w:hAnsi="Arial" w:cs="Arial"/>
                <w:lang w:val="en-GB"/>
              </w:rPr>
              <w:t>.</w:t>
            </w:r>
            <w:r w:rsidRPr="004817BF">
              <w:rPr>
                <w:rFonts w:ascii="Arial" w:hAnsi="Arial" w:cs="Arial"/>
                <w:lang w:val="en-GB"/>
              </w:rPr>
              <w:t xml:space="preserve">66 </w:t>
            </w:r>
          </w:p>
        </w:tc>
        <w:tc>
          <w:tcPr>
            <w:tcW w:w="971" w:type="dxa"/>
            <w:tcBorders>
              <w:top w:val="single" w:sz="8" w:space="0" w:color="auto"/>
              <w:left w:val="nil"/>
              <w:bottom w:val="nil"/>
              <w:right w:val="nil"/>
            </w:tcBorders>
            <w:shd w:val="clear" w:color="auto" w:fill="auto"/>
            <w:noWrap/>
            <w:vAlign w:val="bottom"/>
            <w:hideMark/>
          </w:tcPr>
          <w:p w14:paraId="70A2847B" w14:textId="12ED6B1A" w:rsidR="00626659" w:rsidRPr="004817BF" w:rsidRDefault="00626659" w:rsidP="00440F36">
            <w:pPr>
              <w:jc w:val="right"/>
              <w:rPr>
                <w:rFonts w:ascii="Arial" w:hAnsi="Arial" w:cs="Arial"/>
                <w:lang w:val="en-GB"/>
              </w:rPr>
            </w:pPr>
            <w:r w:rsidRPr="004817BF">
              <w:rPr>
                <w:rFonts w:ascii="Arial" w:hAnsi="Arial" w:cs="Arial"/>
                <w:lang w:val="en-GB"/>
              </w:rPr>
              <w:t>40</w:t>
            </w:r>
            <w:r w:rsidR="004612EF" w:rsidRPr="004817BF">
              <w:rPr>
                <w:rFonts w:ascii="Arial" w:hAnsi="Arial" w:cs="Arial"/>
                <w:lang w:val="en-GB"/>
              </w:rPr>
              <w:t>.</w:t>
            </w:r>
            <w:r w:rsidRPr="004817BF">
              <w:rPr>
                <w:rFonts w:ascii="Arial" w:hAnsi="Arial" w:cs="Arial"/>
                <w:lang w:val="en-GB"/>
              </w:rPr>
              <w:t xml:space="preserve">61 </w:t>
            </w:r>
          </w:p>
        </w:tc>
        <w:tc>
          <w:tcPr>
            <w:tcW w:w="819" w:type="dxa"/>
            <w:tcBorders>
              <w:top w:val="single" w:sz="8" w:space="0" w:color="auto"/>
              <w:left w:val="nil"/>
              <w:bottom w:val="nil"/>
              <w:right w:val="nil"/>
            </w:tcBorders>
            <w:shd w:val="clear" w:color="auto" w:fill="auto"/>
            <w:noWrap/>
            <w:vAlign w:val="bottom"/>
            <w:hideMark/>
          </w:tcPr>
          <w:p w14:paraId="25C15F84" w14:textId="393292BF" w:rsidR="00626659" w:rsidRPr="004817BF" w:rsidRDefault="00626659" w:rsidP="00440F36">
            <w:pPr>
              <w:jc w:val="right"/>
              <w:rPr>
                <w:rFonts w:ascii="Arial" w:hAnsi="Arial" w:cs="Arial"/>
                <w:lang w:val="en-GB"/>
              </w:rPr>
            </w:pPr>
            <w:r w:rsidRPr="004817BF">
              <w:rPr>
                <w:rFonts w:ascii="Arial" w:hAnsi="Arial" w:cs="Arial"/>
                <w:lang w:val="en-GB"/>
              </w:rPr>
              <w:t>73</w:t>
            </w:r>
            <w:r w:rsidR="004612EF" w:rsidRPr="004817BF">
              <w:rPr>
                <w:rFonts w:ascii="Arial" w:hAnsi="Arial" w:cs="Arial"/>
                <w:lang w:val="en-GB"/>
              </w:rPr>
              <w:t>.</w:t>
            </w:r>
            <w:r w:rsidRPr="004817BF">
              <w:rPr>
                <w:rFonts w:ascii="Arial" w:hAnsi="Arial" w:cs="Arial"/>
                <w:lang w:val="en-GB"/>
              </w:rPr>
              <w:t xml:space="preserve">88 </w:t>
            </w:r>
          </w:p>
        </w:tc>
        <w:tc>
          <w:tcPr>
            <w:tcW w:w="918" w:type="dxa"/>
            <w:tcBorders>
              <w:top w:val="nil"/>
              <w:left w:val="nil"/>
              <w:bottom w:val="nil"/>
              <w:right w:val="single" w:sz="8" w:space="0" w:color="auto"/>
            </w:tcBorders>
            <w:shd w:val="clear" w:color="auto" w:fill="auto"/>
            <w:noWrap/>
            <w:vAlign w:val="bottom"/>
            <w:hideMark/>
          </w:tcPr>
          <w:p w14:paraId="067A161C" w14:textId="64347C1B" w:rsidR="00626659" w:rsidRPr="004817BF" w:rsidRDefault="00626659" w:rsidP="00440F36">
            <w:pPr>
              <w:jc w:val="right"/>
              <w:rPr>
                <w:rFonts w:ascii="Arial" w:hAnsi="Arial" w:cs="Arial"/>
                <w:lang w:val="en-GB"/>
              </w:rPr>
            </w:pPr>
            <w:r w:rsidRPr="004817BF">
              <w:rPr>
                <w:rFonts w:ascii="Arial" w:hAnsi="Arial" w:cs="Arial"/>
                <w:lang w:val="en-GB"/>
              </w:rPr>
              <w:t>110</w:t>
            </w:r>
            <w:r w:rsidR="004612EF" w:rsidRPr="004817BF">
              <w:rPr>
                <w:rFonts w:ascii="Arial" w:hAnsi="Arial" w:cs="Arial"/>
                <w:lang w:val="en-GB"/>
              </w:rPr>
              <w:t>.</w:t>
            </w:r>
            <w:r w:rsidRPr="004817BF">
              <w:rPr>
                <w:rFonts w:ascii="Arial" w:hAnsi="Arial" w:cs="Arial"/>
                <w:lang w:val="en-GB"/>
              </w:rPr>
              <w:t xml:space="preserve">26 </w:t>
            </w:r>
          </w:p>
        </w:tc>
      </w:tr>
      <w:tr w:rsidR="00162A7D" w:rsidRPr="004817BF" w14:paraId="07BC430E" w14:textId="77777777" w:rsidTr="004F75F9">
        <w:trPr>
          <w:trHeight w:val="180"/>
          <w:jc w:val="center"/>
        </w:trPr>
        <w:tc>
          <w:tcPr>
            <w:tcW w:w="3068" w:type="dxa"/>
            <w:tcBorders>
              <w:top w:val="nil"/>
              <w:left w:val="single" w:sz="8" w:space="0" w:color="auto"/>
              <w:bottom w:val="nil"/>
              <w:right w:val="single" w:sz="8" w:space="0" w:color="auto"/>
            </w:tcBorders>
            <w:shd w:val="clear" w:color="auto" w:fill="auto"/>
            <w:noWrap/>
            <w:vAlign w:val="bottom"/>
            <w:hideMark/>
          </w:tcPr>
          <w:p w14:paraId="15713CB2" w14:textId="77777777" w:rsidR="00626659" w:rsidRPr="004817BF" w:rsidRDefault="00626659" w:rsidP="00C924B0">
            <w:pPr>
              <w:rPr>
                <w:rFonts w:ascii="Arial" w:hAnsi="Arial" w:cs="Arial"/>
                <w:iCs/>
                <w:lang w:val="en-GB"/>
              </w:rPr>
            </w:pPr>
            <w:r w:rsidRPr="004817BF">
              <w:rPr>
                <w:rFonts w:ascii="Arial" w:hAnsi="Arial" w:cs="Arial"/>
                <w:iCs/>
                <w:lang w:val="en-GB"/>
              </w:rPr>
              <w:t>Cost of service</w:t>
            </w:r>
          </w:p>
        </w:tc>
        <w:tc>
          <w:tcPr>
            <w:tcW w:w="824" w:type="dxa"/>
            <w:tcBorders>
              <w:top w:val="nil"/>
              <w:left w:val="nil"/>
              <w:bottom w:val="nil"/>
              <w:right w:val="nil"/>
            </w:tcBorders>
            <w:shd w:val="clear" w:color="auto" w:fill="auto"/>
            <w:noWrap/>
            <w:vAlign w:val="bottom"/>
            <w:hideMark/>
          </w:tcPr>
          <w:p w14:paraId="343223D3" w14:textId="4C8A0607"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828" w:type="dxa"/>
            <w:tcBorders>
              <w:top w:val="nil"/>
              <w:left w:val="nil"/>
              <w:bottom w:val="nil"/>
              <w:right w:val="nil"/>
            </w:tcBorders>
            <w:shd w:val="clear" w:color="auto" w:fill="auto"/>
            <w:noWrap/>
            <w:vAlign w:val="bottom"/>
            <w:hideMark/>
          </w:tcPr>
          <w:p w14:paraId="0295211C" w14:textId="28E76647" w:rsidR="00626659" w:rsidRPr="004817BF" w:rsidRDefault="00A314AD" w:rsidP="00A314AD">
            <w:pPr>
              <w:jc w:val="right"/>
              <w:rPr>
                <w:rFonts w:ascii="Arial" w:hAnsi="Arial" w:cs="Arial"/>
                <w:lang w:val="en-GB"/>
              </w:rPr>
            </w:pPr>
            <w:r w:rsidRPr="00A314AD">
              <w:rPr>
                <w:rFonts w:ascii="Arial" w:hAnsi="Arial" w:cs="Arial"/>
                <w:lang w:val="en-GB"/>
              </w:rPr>
              <w:t>−</w:t>
            </w:r>
            <w:r w:rsidR="00626659" w:rsidRPr="004817BF">
              <w:rPr>
                <w:rFonts w:ascii="Arial" w:hAnsi="Arial" w:cs="Arial"/>
                <w:lang w:val="en-GB"/>
              </w:rPr>
              <w:t>0</w:t>
            </w:r>
            <w:r w:rsidR="004612EF" w:rsidRPr="004817BF">
              <w:rPr>
                <w:rFonts w:ascii="Arial" w:hAnsi="Arial" w:cs="Arial"/>
                <w:lang w:val="en-GB"/>
              </w:rPr>
              <w:t>.</w:t>
            </w:r>
            <w:r w:rsidR="00626659" w:rsidRPr="004817BF">
              <w:rPr>
                <w:rFonts w:ascii="Arial" w:hAnsi="Arial" w:cs="Arial"/>
                <w:lang w:val="en-GB"/>
              </w:rPr>
              <w:t>00</w:t>
            </w:r>
          </w:p>
        </w:tc>
        <w:tc>
          <w:tcPr>
            <w:tcW w:w="957" w:type="dxa"/>
            <w:tcBorders>
              <w:top w:val="nil"/>
              <w:left w:val="nil"/>
              <w:bottom w:val="nil"/>
              <w:right w:val="nil"/>
            </w:tcBorders>
            <w:shd w:val="clear" w:color="auto" w:fill="auto"/>
            <w:noWrap/>
            <w:vAlign w:val="bottom"/>
            <w:hideMark/>
          </w:tcPr>
          <w:p w14:paraId="2E23DF47" w14:textId="7C5B417A" w:rsidR="00626659" w:rsidRPr="004817BF" w:rsidRDefault="00626659" w:rsidP="00555FC5">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4</w:t>
            </w:r>
            <w:r w:rsidR="004612EF" w:rsidRPr="004817BF">
              <w:rPr>
                <w:rFonts w:ascii="Arial" w:hAnsi="Arial" w:cs="Arial"/>
                <w:lang w:val="en-GB"/>
              </w:rPr>
              <w:t>.</w:t>
            </w:r>
            <w:r w:rsidRPr="004817BF">
              <w:rPr>
                <w:rFonts w:ascii="Arial" w:hAnsi="Arial" w:cs="Arial"/>
                <w:lang w:val="en-GB"/>
              </w:rPr>
              <w:t>24</w:t>
            </w:r>
          </w:p>
        </w:tc>
        <w:tc>
          <w:tcPr>
            <w:tcW w:w="971" w:type="dxa"/>
            <w:tcBorders>
              <w:top w:val="nil"/>
              <w:left w:val="nil"/>
              <w:bottom w:val="nil"/>
              <w:right w:val="nil"/>
            </w:tcBorders>
            <w:shd w:val="clear" w:color="auto" w:fill="auto"/>
            <w:noWrap/>
            <w:vAlign w:val="bottom"/>
            <w:hideMark/>
          </w:tcPr>
          <w:p w14:paraId="313971CD" w14:textId="1D4F6627"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36</w:t>
            </w:r>
            <w:r w:rsidR="004612EF" w:rsidRPr="004817BF">
              <w:rPr>
                <w:rFonts w:ascii="Arial" w:hAnsi="Arial" w:cs="Arial"/>
                <w:lang w:val="en-GB"/>
              </w:rPr>
              <w:t>.</w:t>
            </w:r>
            <w:r w:rsidRPr="004817BF">
              <w:rPr>
                <w:rFonts w:ascii="Arial" w:hAnsi="Arial" w:cs="Arial"/>
                <w:lang w:val="en-GB"/>
              </w:rPr>
              <w:t>10</w:t>
            </w:r>
          </w:p>
        </w:tc>
        <w:tc>
          <w:tcPr>
            <w:tcW w:w="819" w:type="dxa"/>
            <w:tcBorders>
              <w:top w:val="nil"/>
              <w:left w:val="nil"/>
              <w:bottom w:val="nil"/>
              <w:right w:val="nil"/>
            </w:tcBorders>
            <w:shd w:val="clear" w:color="auto" w:fill="auto"/>
            <w:noWrap/>
            <w:vAlign w:val="bottom"/>
            <w:hideMark/>
          </w:tcPr>
          <w:p w14:paraId="03CF8923" w14:textId="7131122F" w:rsidR="00626659" w:rsidRPr="004817BF" w:rsidRDefault="00A314AD">
            <w:pPr>
              <w:jc w:val="right"/>
              <w:rPr>
                <w:rFonts w:ascii="Arial" w:hAnsi="Arial" w:cs="Arial"/>
                <w:lang w:val="en-GB"/>
              </w:rPr>
            </w:pPr>
            <w:r w:rsidRPr="00A314AD">
              <w:rPr>
                <w:rFonts w:ascii="Arial" w:hAnsi="Arial" w:cs="Arial"/>
                <w:lang w:val="en-GB"/>
              </w:rPr>
              <w:t>−</w:t>
            </w:r>
            <w:r w:rsidR="00626659" w:rsidRPr="004817BF">
              <w:rPr>
                <w:rFonts w:ascii="Arial" w:hAnsi="Arial" w:cs="Arial"/>
                <w:lang w:val="en-GB"/>
              </w:rPr>
              <w:t>61</w:t>
            </w:r>
            <w:r w:rsidR="004612EF" w:rsidRPr="004817BF">
              <w:rPr>
                <w:rFonts w:ascii="Arial" w:hAnsi="Arial" w:cs="Arial"/>
                <w:lang w:val="en-GB"/>
              </w:rPr>
              <w:t>.</w:t>
            </w:r>
            <w:r w:rsidR="00626659" w:rsidRPr="004817BF">
              <w:rPr>
                <w:rFonts w:ascii="Arial" w:hAnsi="Arial" w:cs="Arial"/>
                <w:lang w:val="en-GB"/>
              </w:rPr>
              <w:t>53</w:t>
            </w:r>
          </w:p>
        </w:tc>
        <w:tc>
          <w:tcPr>
            <w:tcW w:w="918" w:type="dxa"/>
            <w:tcBorders>
              <w:top w:val="nil"/>
              <w:left w:val="nil"/>
              <w:bottom w:val="nil"/>
              <w:right w:val="single" w:sz="8" w:space="0" w:color="auto"/>
            </w:tcBorders>
            <w:shd w:val="clear" w:color="auto" w:fill="auto"/>
            <w:noWrap/>
            <w:vAlign w:val="bottom"/>
            <w:hideMark/>
          </w:tcPr>
          <w:p w14:paraId="4BCCB804" w14:textId="6F829C9D"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90</w:t>
            </w:r>
            <w:r w:rsidR="004612EF" w:rsidRPr="004817BF">
              <w:rPr>
                <w:rFonts w:ascii="Arial" w:hAnsi="Arial" w:cs="Arial"/>
                <w:lang w:val="en-GB"/>
              </w:rPr>
              <w:t>.</w:t>
            </w:r>
            <w:r w:rsidRPr="004817BF">
              <w:rPr>
                <w:rFonts w:ascii="Arial" w:hAnsi="Arial" w:cs="Arial"/>
                <w:lang w:val="en-GB"/>
              </w:rPr>
              <w:t>02</w:t>
            </w:r>
          </w:p>
        </w:tc>
      </w:tr>
      <w:tr w:rsidR="00162A7D" w:rsidRPr="004817BF" w14:paraId="7525A8D4" w14:textId="77777777" w:rsidTr="004F75F9">
        <w:trPr>
          <w:trHeight w:val="234"/>
          <w:jc w:val="center"/>
        </w:trPr>
        <w:tc>
          <w:tcPr>
            <w:tcW w:w="3068" w:type="dxa"/>
            <w:tcBorders>
              <w:top w:val="nil"/>
              <w:left w:val="single" w:sz="8" w:space="0" w:color="auto"/>
              <w:bottom w:val="nil"/>
              <w:right w:val="single" w:sz="8" w:space="0" w:color="auto"/>
            </w:tcBorders>
            <w:shd w:val="clear" w:color="auto" w:fill="auto"/>
            <w:noWrap/>
            <w:vAlign w:val="bottom"/>
            <w:hideMark/>
          </w:tcPr>
          <w:p w14:paraId="5C651C24" w14:textId="77777777" w:rsidR="00626659" w:rsidRPr="004817BF" w:rsidRDefault="00626659" w:rsidP="00C924B0">
            <w:pPr>
              <w:rPr>
                <w:rFonts w:ascii="Arial" w:hAnsi="Arial" w:cs="Arial"/>
                <w:b/>
                <w:bCs/>
                <w:lang w:val="en-GB"/>
              </w:rPr>
            </w:pPr>
            <w:r w:rsidRPr="004817BF">
              <w:rPr>
                <w:rFonts w:ascii="Arial" w:hAnsi="Arial" w:cs="Arial"/>
                <w:b/>
                <w:bCs/>
                <w:lang w:val="en-GB"/>
              </w:rPr>
              <w:t>Gross profit</w:t>
            </w:r>
          </w:p>
        </w:tc>
        <w:tc>
          <w:tcPr>
            <w:tcW w:w="824" w:type="dxa"/>
            <w:tcBorders>
              <w:top w:val="nil"/>
              <w:left w:val="nil"/>
              <w:bottom w:val="single" w:sz="4" w:space="0" w:color="auto"/>
              <w:right w:val="nil"/>
            </w:tcBorders>
            <w:shd w:val="clear" w:color="auto" w:fill="auto"/>
            <w:noWrap/>
            <w:vAlign w:val="bottom"/>
            <w:hideMark/>
          </w:tcPr>
          <w:p w14:paraId="2DF589CA" w14:textId="52ECAB78"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828" w:type="dxa"/>
            <w:tcBorders>
              <w:top w:val="nil"/>
              <w:left w:val="nil"/>
              <w:bottom w:val="single" w:sz="4" w:space="0" w:color="auto"/>
              <w:right w:val="nil"/>
            </w:tcBorders>
            <w:shd w:val="clear" w:color="auto" w:fill="auto"/>
            <w:noWrap/>
            <w:vAlign w:val="bottom"/>
            <w:hideMark/>
          </w:tcPr>
          <w:p w14:paraId="3FB3D5C3" w14:textId="5C7AF51B" w:rsidR="00626659" w:rsidRPr="004817BF" w:rsidRDefault="00626659" w:rsidP="00440F36">
            <w:pPr>
              <w:jc w:val="right"/>
              <w:rPr>
                <w:rFonts w:ascii="Arial" w:hAnsi="Arial" w:cs="Arial"/>
                <w:lang w:val="en-GB"/>
              </w:rPr>
            </w:pP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 xml:space="preserve">01 </w:t>
            </w:r>
          </w:p>
        </w:tc>
        <w:tc>
          <w:tcPr>
            <w:tcW w:w="957" w:type="dxa"/>
            <w:tcBorders>
              <w:top w:val="nil"/>
              <w:left w:val="nil"/>
              <w:bottom w:val="single" w:sz="4" w:space="0" w:color="auto"/>
              <w:right w:val="nil"/>
            </w:tcBorders>
            <w:shd w:val="clear" w:color="auto" w:fill="auto"/>
            <w:noWrap/>
            <w:vAlign w:val="bottom"/>
            <w:hideMark/>
          </w:tcPr>
          <w:p w14:paraId="711C6956" w14:textId="7419F6D4" w:rsidR="00626659" w:rsidRPr="004817BF" w:rsidRDefault="00626659" w:rsidP="00440F36">
            <w:pPr>
              <w:jc w:val="right"/>
              <w:rPr>
                <w:rFonts w:ascii="Arial" w:hAnsi="Arial" w:cs="Arial"/>
                <w:lang w:val="en-GB"/>
              </w:rPr>
            </w:pP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 xml:space="preserve">42 </w:t>
            </w:r>
          </w:p>
        </w:tc>
        <w:tc>
          <w:tcPr>
            <w:tcW w:w="971" w:type="dxa"/>
            <w:tcBorders>
              <w:top w:val="nil"/>
              <w:left w:val="nil"/>
              <w:bottom w:val="single" w:sz="4" w:space="0" w:color="auto"/>
              <w:right w:val="nil"/>
            </w:tcBorders>
            <w:shd w:val="clear" w:color="auto" w:fill="auto"/>
            <w:noWrap/>
            <w:vAlign w:val="bottom"/>
            <w:hideMark/>
          </w:tcPr>
          <w:p w14:paraId="6A01FDBA" w14:textId="231F240B" w:rsidR="00626659" w:rsidRPr="004817BF" w:rsidRDefault="00626659" w:rsidP="00440F36">
            <w:pPr>
              <w:jc w:val="right"/>
              <w:rPr>
                <w:rFonts w:ascii="Arial" w:hAnsi="Arial" w:cs="Arial"/>
                <w:lang w:val="en-GB"/>
              </w:rPr>
            </w:pPr>
            <w:r w:rsidRPr="004817BF">
              <w:rPr>
                <w:rFonts w:ascii="Arial" w:hAnsi="Arial" w:cs="Arial"/>
                <w:lang w:val="en-GB"/>
              </w:rPr>
              <w:t>4</w:t>
            </w:r>
            <w:r w:rsidR="004612EF" w:rsidRPr="004817BF">
              <w:rPr>
                <w:rFonts w:ascii="Arial" w:hAnsi="Arial" w:cs="Arial"/>
                <w:lang w:val="en-GB"/>
              </w:rPr>
              <w:t>.</w:t>
            </w:r>
            <w:r w:rsidRPr="004817BF">
              <w:rPr>
                <w:rFonts w:ascii="Arial" w:hAnsi="Arial" w:cs="Arial"/>
                <w:lang w:val="en-GB"/>
              </w:rPr>
              <w:t xml:space="preserve">51 </w:t>
            </w:r>
          </w:p>
        </w:tc>
        <w:tc>
          <w:tcPr>
            <w:tcW w:w="819" w:type="dxa"/>
            <w:tcBorders>
              <w:top w:val="nil"/>
              <w:left w:val="nil"/>
              <w:bottom w:val="single" w:sz="4" w:space="0" w:color="auto"/>
              <w:right w:val="nil"/>
            </w:tcBorders>
            <w:shd w:val="clear" w:color="auto" w:fill="auto"/>
            <w:noWrap/>
            <w:vAlign w:val="bottom"/>
            <w:hideMark/>
          </w:tcPr>
          <w:p w14:paraId="696FC194" w14:textId="7CB68BBD" w:rsidR="00626659" w:rsidRPr="004817BF" w:rsidRDefault="00626659" w:rsidP="00440F36">
            <w:pPr>
              <w:jc w:val="right"/>
              <w:rPr>
                <w:rFonts w:ascii="Arial" w:hAnsi="Arial" w:cs="Arial"/>
                <w:lang w:val="en-GB"/>
              </w:rPr>
            </w:pPr>
            <w:r w:rsidRPr="004817BF">
              <w:rPr>
                <w:rFonts w:ascii="Arial" w:hAnsi="Arial" w:cs="Arial"/>
                <w:lang w:val="en-GB"/>
              </w:rPr>
              <w:t>12</w:t>
            </w:r>
            <w:r w:rsidR="004612EF" w:rsidRPr="004817BF">
              <w:rPr>
                <w:rFonts w:ascii="Arial" w:hAnsi="Arial" w:cs="Arial"/>
                <w:lang w:val="en-GB"/>
              </w:rPr>
              <w:t>.</w:t>
            </w:r>
            <w:r w:rsidRPr="004817BF">
              <w:rPr>
                <w:rFonts w:ascii="Arial" w:hAnsi="Arial" w:cs="Arial"/>
                <w:lang w:val="en-GB"/>
              </w:rPr>
              <w:t xml:space="preserve">35 </w:t>
            </w:r>
          </w:p>
        </w:tc>
        <w:tc>
          <w:tcPr>
            <w:tcW w:w="918" w:type="dxa"/>
            <w:tcBorders>
              <w:top w:val="nil"/>
              <w:left w:val="nil"/>
              <w:bottom w:val="single" w:sz="4" w:space="0" w:color="auto"/>
              <w:right w:val="single" w:sz="8" w:space="0" w:color="auto"/>
            </w:tcBorders>
            <w:shd w:val="clear" w:color="auto" w:fill="auto"/>
            <w:noWrap/>
            <w:vAlign w:val="bottom"/>
            <w:hideMark/>
          </w:tcPr>
          <w:p w14:paraId="7F623203" w14:textId="021BD863" w:rsidR="00626659" w:rsidRPr="004817BF" w:rsidRDefault="00626659" w:rsidP="00440F36">
            <w:pPr>
              <w:jc w:val="right"/>
              <w:rPr>
                <w:rFonts w:ascii="Arial" w:hAnsi="Arial" w:cs="Arial"/>
                <w:lang w:val="en-GB"/>
              </w:rPr>
            </w:pPr>
            <w:r w:rsidRPr="004817BF">
              <w:rPr>
                <w:rFonts w:ascii="Arial" w:hAnsi="Arial" w:cs="Arial"/>
                <w:lang w:val="en-GB"/>
              </w:rPr>
              <w:t>20</w:t>
            </w:r>
            <w:r w:rsidR="004612EF" w:rsidRPr="004817BF">
              <w:rPr>
                <w:rFonts w:ascii="Arial" w:hAnsi="Arial" w:cs="Arial"/>
                <w:lang w:val="en-GB"/>
              </w:rPr>
              <w:t>.</w:t>
            </w:r>
            <w:r w:rsidRPr="004817BF">
              <w:rPr>
                <w:rFonts w:ascii="Arial" w:hAnsi="Arial" w:cs="Arial"/>
                <w:lang w:val="en-GB"/>
              </w:rPr>
              <w:t xml:space="preserve">24 </w:t>
            </w:r>
          </w:p>
        </w:tc>
      </w:tr>
      <w:tr w:rsidR="00162A7D" w:rsidRPr="004817BF" w14:paraId="09868269" w14:textId="77777777" w:rsidTr="004F75F9">
        <w:trPr>
          <w:trHeight w:val="170"/>
          <w:jc w:val="center"/>
        </w:trPr>
        <w:tc>
          <w:tcPr>
            <w:tcW w:w="3068" w:type="dxa"/>
            <w:tcBorders>
              <w:top w:val="nil"/>
              <w:left w:val="single" w:sz="8" w:space="0" w:color="auto"/>
              <w:bottom w:val="nil"/>
              <w:right w:val="single" w:sz="8" w:space="0" w:color="auto"/>
            </w:tcBorders>
            <w:shd w:val="clear" w:color="auto" w:fill="auto"/>
            <w:noWrap/>
            <w:vAlign w:val="bottom"/>
            <w:hideMark/>
          </w:tcPr>
          <w:p w14:paraId="40CAC414" w14:textId="77777777" w:rsidR="00626659" w:rsidRPr="004817BF" w:rsidRDefault="00626659" w:rsidP="00C924B0">
            <w:pPr>
              <w:rPr>
                <w:rFonts w:ascii="Arial" w:hAnsi="Arial" w:cs="Arial"/>
                <w:iCs/>
                <w:lang w:val="en-GB"/>
              </w:rPr>
            </w:pPr>
            <w:r w:rsidRPr="004817BF">
              <w:rPr>
                <w:rFonts w:ascii="Arial" w:hAnsi="Arial" w:cs="Arial"/>
                <w:iCs/>
                <w:lang w:val="en-GB"/>
              </w:rPr>
              <w:t>Other income</w:t>
            </w:r>
          </w:p>
        </w:tc>
        <w:tc>
          <w:tcPr>
            <w:tcW w:w="824" w:type="dxa"/>
            <w:tcBorders>
              <w:top w:val="nil"/>
              <w:left w:val="nil"/>
              <w:bottom w:val="nil"/>
              <w:right w:val="nil"/>
            </w:tcBorders>
            <w:shd w:val="clear" w:color="auto" w:fill="auto"/>
            <w:noWrap/>
            <w:vAlign w:val="bottom"/>
            <w:hideMark/>
          </w:tcPr>
          <w:p w14:paraId="3DD0FEDE" w14:textId="0148F1DC"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828" w:type="dxa"/>
            <w:tcBorders>
              <w:top w:val="nil"/>
              <w:left w:val="nil"/>
              <w:bottom w:val="nil"/>
              <w:right w:val="nil"/>
            </w:tcBorders>
            <w:shd w:val="clear" w:color="auto" w:fill="auto"/>
            <w:noWrap/>
            <w:vAlign w:val="bottom"/>
            <w:hideMark/>
          </w:tcPr>
          <w:p w14:paraId="15CE6F0E" w14:textId="6673389F" w:rsidR="00626659" w:rsidRPr="004817BF" w:rsidRDefault="00626659" w:rsidP="00440F36">
            <w:pPr>
              <w:jc w:val="right"/>
              <w:rPr>
                <w:rFonts w:ascii="Arial" w:hAnsi="Arial" w:cs="Arial"/>
                <w:lang w:val="en-GB"/>
              </w:rPr>
            </w:pP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 xml:space="preserve">76 </w:t>
            </w:r>
          </w:p>
        </w:tc>
        <w:tc>
          <w:tcPr>
            <w:tcW w:w="957" w:type="dxa"/>
            <w:tcBorders>
              <w:top w:val="nil"/>
              <w:left w:val="nil"/>
              <w:bottom w:val="nil"/>
              <w:right w:val="nil"/>
            </w:tcBorders>
            <w:shd w:val="clear" w:color="auto" w:fill="auto"/>
            <w:noWrap/>
            <w:vAlign w:val="bottom"/>
            <w:hideMark/>
          </w:tcPr>
          <w:p w14:paraId="2B872ED9" w14:textId="6D502955" w:rsidR="00626659" w:rsidRPr="004817BF" w:rsidRDefault="00626659" w:rsidP="00440F36">
            <w:pPr>
              <w:jc w:val="right"/>
              <w:rPr>
                <w:rFonts w:ascii="Arial" w:hAnsi="Arial" w:cs="Arial"/>
                <w:lang w:val="en-GB"/>
              </w:rPr>
            </w:pPr>
            <w:r w:rsidRPr="004817BF">
              <w:rPr>
                <w:rFonts w:ascii="Arial" w:hAnsi="Arial" w:cs="Arial"/>
                <w:lang w:val="en-GB"/>
              </w:rPr>
              <w:t>4</w:t>
            </w:r>
            <w:r w:rsidR="004612EF" w:rsidRPr="004817BF">
              <w:rPr>
                <w:rFonts w:ascii="Arial" w:hAnsi="Arial" w:cs="Arial"/>
                <w:lang w:val="en-GB"/>
              </w:rPr>
              <w:t>.</w:t>
            </w:r>
            <w:r w:rsidRPr="004817BF">
              <w:rPr>
                <w:rFonts w:ascii="Arial" w:hAnsi="Arial" w:cs="Arial"/>
                <w:lang w:val="en-GB"/>
              </w:rPr>
              <w:t xml:space="preserve">11 </w:t>
            </w:r>
          </w:p>
        </w:tc>
        <w:tc>
          <w:tcPr>
            <w:tcW w:w="971" w:type="dxa"/>
            <w:tcBorders>
              <w:top w:val="nil"/>
              <w:left w:val="nil"/>
              <w:bottom w:val="nil"/>
              <w:right w:val="nil"/>
            </w:tcBorders>
            <w:shd w:val="clear" w:color="auto" w:fill="auto"/>
            <w:noWrap/>
            <w:vAlign w:val="bottom"/>
            <w:hideMark/>
          </w:tcPr>
          <w:p w14:paraId="7C1D0E99" w14:textId="374E9F76" w:rsidR="00626659" w:rsidRPr="004817BF" w:rsidRDefault="00626659" w:rsidP="00440F36">
            <w:pPr>
              <w:jc w:val="right"/>
              <w:rPr>
                <w:rFonts w:ascii="Arial" w:hAnsi="Arial" w:cs="Arial"/>
                <w:lang w:val="en-GB"/>
              </w:rPr>
            </w:pPr>
            <w:r w:rsidRPr="004817BF">
              <w:rPr>
                <w:rFonts w:ascii="Arial" w:hAnsi="Arial" w:cs="Arial"/>
                <w:lang w:val="en-GB"/>
              </w:rPr>
              <w:t>6</w:t>
            </w:r>
            <w:r w:rsidR="004612EF" w:rsidRPr="004817BF">
              <w:rPr>
                <w:rFonts w:ascii="Arial" w:hAnsi="Arial" w:cs="Arial"/>
                <w:lang w:val="en-GB"/>
              </w:rPr>
              <w:t>.</w:t>
            </w:r>
            <w:r w:rsidRPr="004817BF">
              <w:rPr>
                <w:rFonts w:ascii="Arial" w:hAnsi="Arial" w:cs="Arial"/>
                <w:lang w:val="en-GB"/>
              </w:rPr>
              <w:t xml:space="preserve">06 </w:t>
            </w:r>
          </w:p>
        </w:tc>
        <w:tc>
          <w:tcPr>
            <w:tcW w:w="819" w:type="dxa"/>
            <w:tcBorders>
              <w:top w:val="nil"/>
              <w:left w:val="nil"/>
              <w:bottom w:val="nil"/>
              <w:right w:val="nil"/>
            </w:tcBorders>
            <w:shd w:val="clear" w:color="auto" w:fill="auto"/>
            <w:noWrap/>
            <w:vAlign w:val="bottom"/>
            <w:hideMark/>
          </w:tcPr>
          <w:p w14:paraId="01C606A3" w14:textId="5E4835D3" w:rsidR="00626659" w:rsidRPr="004817BF" w:rsidRDefault="00626659" w:rsidP="00440F36">
            <w:pPr>
              <w:jc w:val="right"/>
              <w:rPr>
                <w:rFonts w:ascii="Arial" w:hAnsi="Arial" w:cs="Arial"/>
                <w:lang w:val="en-GB"/>
              </w:rPr>
            </w:pPr>
            <w:r w:rsidRPr="004817BF">
              <w:rPr>
                <w:rFonts w:ascii="Arial" w:hAnsi="Arial" w:cs="Arial"/>
                <w:lang w:val="en-GB"/>
              </w:rPr>
              <w:t>8</w:t>
            </w:r>
            <w:r w:rsidR="004612EF" w:rsidRPr="004817BF">
              <w:rPr>
                <w:rFonts w:ascii="Arial" w:hAnsi="Arial" w:cs="Arial"/>
                <w:lang w:val="en-GB"/>
              </w:rPr>
              <w:t>.</w:t>
            </w:r>
            <w:r w:rsidRPr="004817BF">
              <w:rPr>
                <w:rFonts w:ascii="Arial" w:hAnsi="Arial" w:cs="Arial"/>
                <w:lang w:val="en-GB"/>
              </w:rPr>
              <w:t xml:space="preserve">54 </w:t>
            </w:r>
          </w:p>
        </w:tc>
        <w:tc>
          <w:tcPr>
            <w:tcW w:w="918" w:type="dxa"/>
            <w:tcBorders>
              <w:top w:val="nil"/>
              <w:left w:val="nil"/>
              <w:bottom w:val="nil"/>
              <w:right w:val="single" w:sz="8" w:space="0" w:color="auto"/>
            </w:tcBorders>
            <w:shd w:val="clear" w:color="auto" w:fill="auto"/>
            <w:noWrap/>
            <w:vAlign w:val="bottom"/>
            <w:hideMark/>
          </w:tcPr>
          <w:p w14:paraId="24F942DB" w14:textId="1345D631" w:rsidR="00626659" w:rsidRPr="004817BF" w:rsidRDefault="00626659" w:rsidP="00440F36">
            <w:pPr>
              <w:jc w:val="right"/>
              <w:rPr>
                <w:rFonts w:ascii="Arial" w:hAnsi="Arial" w:cs="Arial"/>
                <w:lang w:val="en-GB"/>
              </w:rPr>
            </w:pPr>
            <w:r w:rsidRPr="004817BF">
              <w:rPr>
                <w:rFonts w:ascii="Arial" w:hAnsi="Arial" w:cs="Arial"/>
                <w:lang w:val="en-GB"/>
              </w:rPr>
              <w:t>13</w:t>
            </w:r>
            <w:r w:rsidR="004612EF" w:rsidRPr="004817BF">
              <w:rPr>
                <w:rFonts w:ascii="Arial" w:hAnsi="Arial" w:cs="Arial"/>
                <w:lang w:val="en-GB"/>
              </w:rPr>
              <w:t>.</w:t>
            </w:r>
            <w:r w:rsidRPr="004817BF">
              <w:rPr>
                <w:rFonts w:ascii="Arial" w:hAnsi="Arial" w:cs="Arial"/>
                <w:lang w:val="en-GB"/>
              </w:rPr>
              <w:t xml:space="preserve">04 </w:t>
            </w:r>
          </w:p>
        </w:tc>
      </w:tr>
      <w:tr w:rsidR="00162A7D" w:rsidRPr="004817BF" w14:paraId="74120561" w14:textId="77777777" w:rsidTr="004F75F9">
        <w:trPr>
          <w:trHeight w:val="216"/>
          <w:jc w:val="center"/>
        </w:trPr>
        <w:tc>
          <w:tcPr>
            <w:tcW w:w="3068" w:type="dxa"/>
            <w:tcBorders>
              <w:top w:val="nil"/>
              <w:left w:val="single" w:sz="8" w:space="0" w:color="auto"/>
              <w:bottom w:val="nil"/>
              <w:right w:val="single" w:sz="8" w:space="0" w:color="auto"/>
            </w:tcBorders>
            <w:shd w:val="clear" w:color="auto" w:fill="auto"/>
            <w:noWrap/>
            <w:vAlign w:val="bottom"/>
            <w:hideMark/>
          </w:tcPr>
          <w:p w14:paraId="0845BF21" w14:textId="77777777" w:rsidR="00626659" w:rsidRPr="004817BF" w:rsidRDefault="00626659" w:rsidP="00C924B0">
            <w:pPr>
              <w:rPr>
                <w:rFonts w:ascii="Arial" w:hAnsi="Arial" w:cs="Arial"/>
                <w:iCs/>
                <w:lang w:val="en-GB"/>
              </w:rPr>
            </w:pPr>
            <w:r w:rsidRPr="004817BF">
              <w:rPr>
                <w:rFonts w:ascii="Arial" w:hAnsi="Arial" w:cs="Arial"/>
                <w:iCs/>
                <w:lang w:val="en-GB"/>
              </w:rPr>
              <w:t>Salary and other allowances</w:t>
            </w:r>
          </w:p>
        </w:tc>
        <w:tc>
          <w:tcPr>
            <w:tcW w:w="824" w:type="dxa"/>
            <w:tcBorders>
              <w:top w:val="nil"/>
              <w:left w:val="nil"/>
              <w:bottom w:val="nil"/>
              <w:right w:val="nil"/>
            </w:tcBorders>
            <w:shd w:val="clear" w:color="auto" w:fill="auto"/>
            <w:noWrap/>
            <w:vAlign w:val="bottom"/>
            <w:hideMark/>
          </w:tcPr>
          <w:p w14:paraId="76C20550" w14:textId="7936D6E9"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828" w:type="dxa"/>
            <w:tcBorders>
              <w:top w:val="nil"/>
              <w:left w:val="nil"/>
              <w:bottom w:val="nil"/>
              <w:right w:val="nil"/>
            </w:tcBorders>
            <w:shd w:val="clear" w:color="auto" w:fill="auto"/>
            <w:noWrap/>
            <w:vAlign w:val="bottom"/>
            <w:hideMark/>
          </w:tcPr>
          <w:p w14:paraId="0C52D456" w14:textId="47DFA2ED"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957" w:type="dxa"/>
            <w:tcBorders>
              <w:top w:val="nil"/>
              <w:left w:val="nil"/>
              <w:bottom w:val="nil"/>
              <w:right w:val="nil"/>
            </w:tcBorders>
            <w:shd w:val="clear" w:color="auto" w:fill="auto"/>
            <w:noWrap/>
            <w:vAlign w:val="bottom"/>
            <w:hideMark/>
          </w:tcPr>
          <w:p w14:paraId="60A8ADE6" w14:textId="697A48B8" w:rsidR="00626659" w:rsidRPr="004817BF" w:rsidRDefault="00626659" w:rsidP="00440F36">
            <w:pPr>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971" w:type="dxa"/>
            <w:tcBorders>
              <w:top w:val="nil"/>
              <w:left w:val="nil"/>
              <w:bottom w:val="nil"/>
              <w:right w:val="nil"/>
            </w:tcBorders>
            <w:shd w:val="clear" w:color="auto" w:fill="auto"/>
            <w:noWrap/>
            <w:vAlign w:val="bottom"/>
            <w:hideMark/>
          </w:tcPr>
          <w:p w14:paraId="42243569" w14:textId="40434940"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3</w:t>
            </w:r>
            <w:r w:rsidR="004612EF" w:rsidRPr="004817BF">
              <w:rPr>
                <w:rFonts w:ascii="Arial" w:hAnsi="Arial" w:cs="Arial"/>
                <w:lang w:val="en-GB"/>
              </w:rPr>
              <w:t>.</w:t>
            </w:r>
            <w:r w:rsidRPr="004817BF">
              <w:rPr>
                <w:rFonts w:ascii="Arial" w:hAnsi="Arial" w:cs="Arial"/>
                <w:lang w:val="en-GB"/>
              </w:rPr>
              <w:t>30</w:t>
            </w:r>
          </w:p>
        </w:tc>
        <w:tc>
          <w:tcPr>
            <w:tcW w:w="819" w:type="dxa"/>
            <w:tcBorders>
              <w:top w:val="nil"/>
              <w:left w:val="nil"/>
              <w:bottom w:val="nil"/>
              <w:right w:val="nil"/>
            </w:tcBorders>
            <w:shd w:val="clear" w:color="auto" w:fill="auto"/>
            <w:noWrap/>
            <w:vAlign w:val="bottom"/>
            <w:hideMark/>
          </w:tcPr>
          <w:p w14:paraId="0221C35B" w14:textId="5DBFA41F" w:rsidR="00626659" w:rsidRPr="004817BF" w:rsidRDefault="00626659" w:rsidP="00555FC5">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5</w:t>
            </w:r>
            <w:r w:rsidR="004612EF" w:rsidRPr="004817BF">
              <w:rPr>
                <w:rFonts w:ascii="Arial" w:hAnsi="Arial" w:cs="Arial"/>
                <w:lang w:val="en-GB"/>
              </w:rPr>
              <w:t>.</w:t>
            </w:r>
            <w:r w:rsidRPr="004817BF">
              <w:rPr>
                <w:rFonts w:ascii="Arial" w:hAnsi="Arial" w:cs="Arial"/>
                <w:lang w:val="en-GB"/>
              </w:rPr>
              <w:t>26</w:t>
            </w:r>
          </w:p>
        </w:tc>
        <w:tc>
          <w:tcPr>
            <w:tcW w:w="918" w:type="dxa"/>
            <w:tcBorders>
              <w:top w:val="nil"/>
              <w:left w:val="nil"/>
              <w:bottom w:val="nil"/>
              <w:right w:val="single" w:sz="8" w:space="0" w:color="auto"/>
            </w:tcBorders>
            <w:shd w:val="clear" w:color="auto" w:fill="auto"/>
            <w:noWrap/>
            <w:vAlign w:val="bottom"/>
            <w:hideMark/>
          </w:tcPr>
          <w:p w14:paraId="6450351A" w14:textId="002477D7"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7</w:t>
            </w:r>
            <w:r w:rsidR="004612EF" w:rsidRPr="004817BF">
              <w:rPr>
                <w:rFonts w:ascii="Arial" w:hAnsi="Arial" w:cs="Arial"/>
                <w:lang w:val="en-GB"/>
              </w:rPr>
              <w:t>.</w:t>
            </w:r>
            <w:r w:rsidRPr="004817BF">
              <w:rPr>
                <w:rFonts w:ascii="Arial" w:hAnsi="Arial" w:cs="Arial"/>
                <w:lang w:val="en-GB"/>
              </w:rPr>
              <w:t>62</w:t>
            </w:r>
          </w:p>
        </w:tc>
      </w:tr>
      <w:tr w:rsidR="00162A7D" w:rsidRPr="004817BF" w14:paraId="4DEFF70B" w14:textId="77777777" w:rsidTr="004F75F9">
        <w:trPr>
          <w:trHeight w:val="225"/>
          <w:jc w:val="center"/>
        </w:trPr>
        <w:tc>
          <w:tcPr>
            <w:tcW w:w="3068" w:type="dxa"/>
            <w:tcBorders>
              <w:top w:val="nil"/>
              <w:left w:val="single" w:sz="8" w:space="0" w:color="auto"/>
              <w:bottom w:val="nil"/>
              <w:right w:val="single" w:sz="8" w:space="0" w:color="auto"/>
            </w:tcBorders>
            <w:shd w:val="clear" w:color="auto" w:fill="auto"/>
            <w:noWrap/>
            <w:vAlign w:val="bottom"/>
            <w:hideMark/>
          </w:tcPr>
          <w:p w14:paraId="72655066" w14:textId="2C59FC4B" w:rsidR="00626659" w:rsidRPr="004817BF" w:rsidRDefault="00626659" w:rsidP="00C924B0">
            <w:pPr>
              <w:rPr>
                <w:rFonts w:ascii="Arial" w:hAnsi="Arial" w:cs="Arial"/>
                <w:iCs/>
                <w:lang w:val="en-GB"/>
              </w:rPr>
            </w:pPr>
            <w:r w:rsidRPr="004817BF">
              <w:rPr>
                <w:rFonts w:ascii="Arial" w:hAnsi="Arial" w:cs="Arial"/>
                <w:iCs/>
                <w:lang w:val="en-GB"/>
              </w:rPr>
              <w:t xml:space="preserve">Depreciation and </w:t>
            </w:r>
            <w:r w:rsidR="005950D1" w:rsidRPr="004817BF">
              <w:rPr>
                <w:rFonts w:ascii="Arial" w:hAnsi="Arial" w:cs="Arial"/>
                <w:iCs/>
                <w:lang w:val="en-GB"/>
              </w:rPr>
              <w:t>a</w:t>
            </w:r>
            <w:r w:rsidRPr="004817BF">
              <w:rPr>
                <w:rFonts w:ascii="Arial" w:hAnsi="Arial" w:cs="Arial"/>
                <w:iCs/>
                <w:lang w:val="en-GB"/>
              </w:rPr>
              <w:t>mortization</w:t>
            </w:r>
          </w:p>
        </w:tc>
        <w:tc>
          <w:tcPr>
            <w:tcW w:w="824" w:type="dxa"/>
            <w:tcBorders>
              <w:top w:val="nil"/>
              <w:left w:val="nil"/>
              <w:bottom w:val="nil"/>
              <w:right w:val="nil"/>
            </w:tcBorders>
            <w:shd w:val="clear" w:color="auto" w:fill="auto"/>
            <w:noWrap/>
            <w:vAlign w:val="bottom"/>
            <w:hideMark/>
          </w:tcPr>
          <w:p w14:paraId="33CA4421" w14:textId="1330893D" w:rsidR="00626659" w:rsidRPr="004817BF" w:rsidRDefault="00626659" w:rsidP="00440F36">
            <w:pPr>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828" w:type="dxa"/>
            <w:tcBorders>
              <w:top w:val="nil"/>
              <w:left w:val="nil"/>
              <w:bottom w:val="nil"/>
              <w:right w:val="nil"/>
            </w:tcBorders>
            <w:shd w:val="clear" w:color="auto" w:fill="auto"/>
            <w:noWrap/>
            <w:vAlign w:val="bottom"/>
            <w:hideMark/>
          </w:tcPr>
          <w:p w14:paraId="71A46F31" w14:textId="480DA148"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957" w:type="dxa"/>
            <w:tcBorders>
              <w:top w:val="nil"/>
              <w:left w:val="nil"/>
              <w:bottom w:val="nil"/>
              <w:right w:val="nil"/>
            </w:tcBorders>
            <w:shd w:val="clear" w:color="auto" w:fill="auto"/>
            <w:noWrap/>
            <w:vAlign w:val="bottom"/>
            <w:hideMark/>
          </w:tcPr>
          <w:p w14:paraId="4C4A9666" w14:textId="4DF122DE"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971" w:type="dxa"/>
            <w:tcBorders>
              <w:top w:val="nil"/>
              <w:left w:val="nil"/>
              <w:bottom w:val="nil"/>
              <w:right w:val="nil"/>
            </w:tcBorders>
            <w:shd w:val="clear" w:color="auto" w:fill="auto"/>
            <w:noWrap/>
            <w:vAlign w:val="bottom"/>
            <w:hideMark/>
          </w:tcPr>
          <w:p w14:paraId="64789A99" w14:textId="77ECA720"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47</w:t>
            </w:r>
          </w:p>
        </w:tc>
        <w:tc>
          <w:tcPr>
            <w:tcW w:w="819" w:type="dxa"/>
            <w:tcBorders>
              <w:top w:val="nil"/>
              <w:left w:val="nil"/>
              <w:bottom w:val="nil"/>
              <w:right w:val="nil"/>
            </w:tcBorders>
            <w:shd w:val="clear" w:color="auto" w:fill="auto"/>
            <w:noWrap/>
            <w:vAlign w:val="bottom"/>
            <w:hideMark/>
          </w:tcPr>
          <w:p w14:paraId="01CFCDBB" w14:textId="0CED479B" w:rsidR="00626659" w:rsidRPr="004817BF" w:rsidRDefault="00626659" w:rsidP="00555FC5">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1</w:t>
            </w:r>
            <w:r w:rsidR="004612EF" w:rsidRPr="004817BF">
              <w:rPr>
                <w:rFonts w:ascii="Arial" w:hAnsi="Arial" w:cs="Arial"/>
                <w:lang w:val="en-GB"/>
              </w:rPr>
              <w:t>.</w:t>
            </w:r>
            <w:r w:rsidRPr="004817BF">
              <w:rPr>
                <w:rFonts w:ascii="Arial" w:hAnsi="Arial" w:cs="Arial"/>
                <w:lang w:val="en-GB"/>
              </w:rPr>
              <w:t>03</w:t>
            </w:r>
          </w:p>
        </w:tc>
        <w:tc>
          <w:tcPr>
            <w:tcW w:w="918" w:type="dxa"/>
            <w:tcBorders>
              <w:top w:val="nil"/>
              <w:left w:val="nil"/>
              <w:bottom w:val="nil"/>
              <w:right w:val="single" w:sz="8" w:space="0" w:color="auto"/>
            </w:tcBorders>
            <w:shd w:val="clear" w:color="auto" w:fill="auto"/>
            <w:noWrap/>
            <w:vAlign w:val="bottom"/>
            <w:hideMark/>
          </w:tcPr>
          <w:p w14:paraId="1C1432DD" w14:textId="19996322"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1</w:t>
            </w:r>
            <w:r w:rsidR="004612EF" w:rsidRPr="004817BF">
              <w:rPr>
                <w:rFonts w:ascii="Arial" w:hAnsi="Arial" w:cs="Arial"/>
                <w:lang w:val="en-GB"/>
              </w:rPr>
              <w:t>.</w:t>
            </w:r>
            <w:r w:rsidRPr="004817BF">
              <w:rPr>
                <w:rFonts w:ascii="Arial" w:hAnsi="Arial" w:cs="Arial"/>
                <w:lang w:val="en-GB"/>
              </w:rPr>
              <w:t>32</w:t>
            </w:r>
          </w:p>
        </w:tc>
      </w:tr>
      <w:tr w:rsidR="00162A7D" w:rsidRPr="004817BF" w14:paraId="1A6BC479" w14:textId="77777777" w:rsidTr="004F75F9">
        <w:trPr>
          <w:trHeight w:val="234"/>
          <w:jc w:val="center"/>
        </w:trPr>
        <w:tc>
          <w:tcPr>
            <w:tcW w:w="3068" w:type="dxa"/>
            <w:tcBorders>
              <w:top w:val="nil"/>
              <w:left w:val="single" w:sz="8" w:space="0" w:color="auto"/>
              <w:bottom w:val="nil"/>
              <w:right w:val="single" w:sz="8" w:space="0" w:color="auto"/>
            </w:tcBorders>
            <w:shd w:val="clear" w:color="auto" w:fill="auto"/>
            <w:noWrap/>
            <w:vAlign w:val="bottom"/>
            <w:hideMark/>
          </w:tcPr>
          <w:p w14:paraId="09E538AA" w14:textId="77777777" w:rsidR="00626659" w:rsidRPr="004817BF" w:rsidRDefault="00626659" w:rsidP="00C924B0">
            <w:pPr>
              <w:rPr>
                <w:rFonts w:ascii="Arial" w:hAnsi="Arial" w:cs="Arial"/>
                <w:iCs/>
                <w:lang w:val="en-GB"/>
              </w:rPr>
            </w:pPr>
            <w:r w:rsidRPr="004817BF">
              <w:rPr>
                <w:rFonts w:ascii="Arial" w:hAnsi="Arial" w:cs="Arial"/>
                <w:iCs/>
                <w:lang w:val="en-GB"/>
              </w:rPr>
              <w:t>Operating expenses</w:t>
            </w:r>
          </w:p>
        </w:tc>
        <w:tc>
          <w:tcPr>
            <w:tcW w:w="824" w:type="dxa"/>
            <w:tcBorders>
              <w:top w:val="nil"/>
              <w:left w:val="nil"/>
              <w:bottom w:val="nil"/>
              <w:right w:val="nil"/>
            </w:tcBorders>
            <w:shd w:val="clear" w:color="auto" w:fill="auto"/>
            <w:noWrap/>
            <w:vAlign w:val="bottom"/>
            <w:hideMark/>
          </w:tcPr>
          <w:p w14:paraId="39BB992A" w14:textId="4B6A583F"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33</w:t>
            </w:r>
          </w:p>
        </w:tc>
        <w:tc>
          <w:tcPr>
            <w:tcW w:w="828" w:type="dxa"/>
            <w:tcBorders>
              <w:top w:val="nil"/>
              <w:left w:val="nil"/>
              <w:bottom w:val="nil"/>
              <w:right w:val="nil"/>
            </w:tcBorders>
            <w:shd w:val="clear" w:color="auto" w:fill="auto"/>
            <w:noWrap/>
            <w:vAlign w:val="bottom"/>
            <w:hideMark/>
          </w:tcPr>
          <w:p w14:paraId="6CEFBE11" w14:textId="20E5E011" w:rsidR="00626659" w:rsidRPr="004817BF" w:rsidRDefault="00626659" w:rsidP="00555FC5">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73</w:t>
            </w:r>
          </w:p>
        </w:tc>
        <w:tc>
          <w:tcPr>
            <w:tcW w:w="957" w:type="dxa"/>
            <w:tcBorders>
              <w:top w:val="nil"/>
              <w:left w:val="nil"/>
              <w:bottom w:val="nil"/>
              <w:right w:val="nil"/>
            </w:tcBorders>
            <w:shd w:val="clear" w:color="auto" w:fill="auto"/>
            <w:noWrap/>
            <w:vAlign w:val="bottom"/>
            <w:hideMark/>
          </w:tcPr>
          <w:p w14:paraId="445B7BE6" w14:textId="5F876896"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2</w:t>
            </w:r>
            <w:r w:rsidR="004612EF" w:rsidRPr="004817BF">
              <w:rPr>
                <w:rFonts w:ascii="Arial" w:hAnsi="Arial" w:cs="Arial"/>
                <w:lang w:val="en-GB"/>
              </w:rPr>
              <w:t>.</w:t>
            </w:r>
            <w:r w:rsidRPr="004817BF">
              <w:rPr>
                <w:rFonts w:ascii="Arial" w:hAnsi="Arial" w:cs="Arial"/>
                <w:lang w:val="en-GB"/>
              </w:rPr>
              <w:t>37</w:t>
            </w:r>
          </w:p>
        </w:tc>
        <w:tc>
          <w:tcPr>
            <w:tcW w:w="971" w:type="dxa"/>
            <w:tcBorders>
              <w:top w:val="nil"/>
              <w:left w:val="nil"/>
              <w:bottom w:val="nil"/>
              <w:right w:val="nil"/>
            </w:tcBorders>
            <w:shd w:val="clear" w:color="auto" w:fill="auto"/>
            <w:noWrap/>
            <w:vAlign w:val="bottom"/>
            <w:hideMark/>
          </w:tcPr>
          <w:p w14:paraId="04AD0BC9" w14:textId="48DE3F43"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2</w:t>
            </w:r>
            <w:r w:rsidR="004612EF" w:rsidRPr="004817BF">
              <w:rPr>
                <w:rFonts w:ascii="Arial" w:hAnsi="Arial" w:cs="Arial"/>
                <w:lang w:val="en-GB"/>
              </w:rPr>
              <w:t>.</w:t>
            </w:r>
            <w:r w:rsidRPr="004817BF">
              <w:rPr>
                <w:rFonts w:ascii="Arial" w:hAnsi="Arial" w:cs="Arial"/>
                <w:lang w:val="en-GB"/>
              </w:rPr>
              <w:t>73</w:t>
            </w:r>
          </w:p>
        </w:tc>
        <w:tc>
          <w:tcPr>
            <w:tcW w:w="819" w:type="dxa"/>
            <w:tcBorders>
              <w:top w:val="nil"/>
              <w:left w:val="nil"/>
              <w:bottom w:val="nil"/>
              <w:right w:val="nil"/>
            </w:tcBorders>
            <w:shd w:val="clear" w:color="auto" w:fill="auto"/>
            <w:noWrap/>
            <w:vAlign w:val="bottom"/>
            <w:hideMark/>
          </w:tcPr>
          <w:p w14:paraId="7DA9E0B4" w14:textId="26194C0C"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3</w:t>
            </w:r>
            <w:r w:rsidR="004612EF" w:rsidRPr="004817BF">
              <w:rPr>
                <w:rFonts w:ascii="Arial" w:hAnsi="Arial" w:cs="Arial"/>
                <w:lang w:val="en-GB"/>
              </w:rPr>
              <w:t>.</w:t>
            </w:r>
            <w:r w:rsidRPr="004817BF">
              <w:rPr>
                <w:rFonts w:ascii="Arial" w:hAnsi="Arial" w:cs="Arial"/>
                <w:lang w:val="en-GB"/>
              </w:rPr>
              <w:t>86</w:t>
            </w:r>
          </w:p>
        </w:tc>
        <w:tc>
          <w:tcPr>
            <w:tcW w:w="918" w:type="dxa"/>
            <w:tcBorders>
              <w:top w:val="nil"/>
              <w:left w:val="nil"/>
              <w:bottom w:val="nil"/>
              <w:right w:val="single" w:sz="8" w:space="0" w:color="auto"/>
            </w:tcBorders>
            <w:shd w:val="clear" w:color="auto" w:fill="auto"/>
            <w:noWrap/>
            <w:vAlign w:val="bottom"/>
            <w:hideMark/>
          </w:tcPr>
          <w:p w14:paraId="791E4C8D" w14:textId="62C7C0F4"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6</w:t>
            </w:r>
            <w:r w:rsidR="004612EF" w:rsidRPr="004817BF">
              <w:rPr>
                <w:rFonts w:ascii="Arial" w:hAnsi="Arial" w:cs="Arial"/>
                <w:lang w:val="en-GB"/>
              </w:rPr>
              <w:t>.</w:t>
            </w:r>
            <w:r w:rsidRPr="004817BF">
              <w:rPr>
                <w:rFonts w:ascii="Arial" w:hAnsi="Arial" w:cs="Arial"/>
                <w:lang w:val="en-GB"/>
              </w:rPr>
              <w:t>73</w:t>
            </w:r>
          </w:p>
        </w:tc>
      </w:tr>
      <w:tr w:rsidR="00162A7D" w:rsidRPr="004817BF" w14:paraId="3EB1EBE5" w14:textId="77777777" w:rsidTr="004F75F9">
        <w:trPr>
          <w:trHeight w:val="171"/>
          <w:jc w:val="center"/>
        </w:trPr>
        <w:tc>
          <w:tcPr>
            <w:tcW w:w="3068" w:type="dxa"/>
            <w:tcBorders>
              <w:top w:val="nil"/>
              <w:left w:val="single" w:sz="8" w:space="0" w:color="auto"/>
              <w:bottom w:val="nil"/>
              <w:right w:val="single" w:sz="8" w:space="0" w:color="auto"/>
            </w:tcBorders>
            <w:shd w:val="clear" w:color="auto" w:fill="auto"/>
            <w:noWrap/>
            <w:vAlign w:val="bottom"/>
            <w:hideMark/>
          </w:tcPr>
          <w:p w14:paraId="335D0430" w14:textId="77777777" w:rsidR="00626659" w:rsidRPr="004817BF" w:rsidRDefault="00626659" w:rsidP="00C924B0">
            <w:pPr>
              <w:rPr>
                <w:rFonts w:ascii="Arial" w:hAnsi="Arial" w:cs="Arial"/>
                <w:iCs/>
                <w:lang w:val="en-GB"/>
              </w:rPr>
            </w:pPr>
            <w:r w:rsidRPr="004817BF">
              <w:rPr>
                <w:rFonts w:ascii="Arial" w:hAnsi="Arial" w:cs="Arial"/>
                <w:iCs/>
                <w:lang w:val="en-GB"/>
              </w:rPr>
              <w:t>Other expenses</w:t>
            </w:r>
          </w:p>
        </w:tc>
        <w:tc>
          <w:tcPr>
            <w:tcW w:w="824" w:type="dxa"/>
            <w:tcBorders>
              <w:top w:val="nil"/>
              <w:left w:val="nil"/>
              <w:bottom w:val="nil"/>
              <w:right w:val="nil"/>
            </w:tcBorders>
            <w:shd w:val="clear" w:color="auto" w:fill="auto"/>
            <w:noWrap/>
            <w:vAlign w:val="bottom"/>
            <w:hideMark/>
          </w:tcPr>
          <w:p w14:paraId="1276820D" w14:textId="42E92584" w:rsidR="00626659" w:rsidRPr="004817BF" w:rsidRDefault="00626659" w:rsidP="00440F36">
            <w:pPr>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828" w:type="dxa"/>
            <w:tcBorders>
              <w:top w:val="nil"/>
              <w:left w:val="nil"/>
              <w:bottom w:val="nil"/>
              <w:right w:val="nil"/>
            </w:tcBorders>
            <w:shd w:val="clear" w:color="auto" w:fill="auto"/>
            <w:noWrap/>
            <w:vAlign w:val="bottom"/>
            <w:hideMark/>
          </w:tcPr>
          <w:p w14:paraId="6767F3AD" w14:textId="1C304228"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75</w:t>
            </w:r>
          </w:p>
        </w:tc>
        <w:tc>
          <w:tcPr>
            <w:tcW w:w="957" w:type="dxa"/>
            <w:tcBorders>
              <w:top w:val="nil"/>
              <w:left w:val="nil"/>
              <w:bottom w:val="nil"/>
              <w:right w:val="nil"/>
            </w:tcBorders>
            <w:shd w:val="clear" w:color="auto" w:fill="auto"/>
            <w:noWrap/>
            <w:vAlign w:val="bottom"/>
            <w:hideMark/>
          </w:tcPr>
          <w:p w14:paraId="19FC3494" w14:textId="39432A7E"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3</w:t>
            </w:r>
            <w:r w:rsidR="004612EF" w:rsidRPr="004817BF">
              <w:rPr>
                <w:rFonts w:ascii="Arial" w:hAnsi="Arial" w:cs="Arial"/>
                <w:lang w:val="en-GB"/>
              </w:rPr>
              <w:t>.</w:t>
            </w:r>
            <w:r w:rsidRPr="004817BF">
              <w:rPr>
                <w:rFonts w:ascii="Arial" w:hAnsi="Arial" w:cs="Arial"/>
                <w:lang w:val="en-GB"/>
              </w:rPr>
              <w:t>57</w:t>
            </w:r>
          </w:p>
        </w:tc>
        <w:tc>
          <w:tcPr>
            <w:tcW w:w="971" w:type="dxa"/>
            <w:tcBorders>
              <w:top w:val="nil"/>
              <w:left w:val="nil"/>
              <w:bottom w:val="nil"/>
              <w:right w:val="nil"/>
            </w:tcBorders>
            <w:shd w:val="clear" w:color="auto" w:fill="auto"/>
            <w:noWrap/>
            <w:vAlign w:val="bottom"/>
            <w:hideMark/>
          </w:tcPr>
          <w:p w14:paraId="7B79C77C" w14:textId="0BE0C796"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7</w:t>
            </w:r>
            <w:r w:rsidR="004612EF" w:rsidRPr="004817BF">
              <w:rPr>
                <w:rFonts w:ascii="Arial" w:hAnsi="Arial" w:cs="Arial"/>
                <w:lang w:val="en-GB"/>
              </w:rPr>
              <w:t>.</w:t>
            </w:r>
            <w:r w:rsidRPr="004817BF">
              <w:rPr>
                <w:rFonts w:ascii="Arial" w:hAnsi="Arial" w:cs="Arial"/>
                <w:lang w:val="en-GB"/>
              </w:rPr>
              <w:t>79</w:t>
            </w:r>
          </w:p>
        </w:tc>
        <w:tc>
          <w:tcPr>
            <w:tcW w:w="819" w:type="dxa"/>
            <w:tcBorders>
              <w:top w:val="nil"/>
              <w:left w:val="nil"/>
              <w:bottom w:val="nil"/>
              <w:right w:val="nil"/>
            </w:tcBorders>
            <w:shd w:val="clear" w:color="auto" w:fill="auto"/>
            <w:noWrap/>
            <w:vAlign w:val="bottom"/>
            <w:hideMark/>
          </w:tcPr>
          <w:p w14:paraId="09E6E952" w14:textId="6FA9CCC8" w:rsidR="00626659" w:rsidRPr="004817BF" w:rsidRDefault="00626659" w:rsidP="00555FC5">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6</w:t>
            </w:r>
            <w:r w:rsidR="004612EF" w:rsidRPr="004817BF">
              <w:rPr>
                <w:rFonts w:ascii="Arial" w:hAnsi="Arial" w:cs="Arial"/>
                <w:lang w:val="en-GB"/>
              </w:rPr>
              <w:t>.</w:t>
            </w:r>
            <w:r w:rsidRPr="004817BF">
              <w:rPr>
                <w:rFonts w:ascii="Arial" w:hAnsi="Arial" w:cs="Arial"/>
                <w:lang w:val="en-GB"/>
              </w:rPr>
              <w:t>60</w:t>
            </w:r>
          </w:p>
        </w:tc>
        <w:tc>
          <w:tcPr>
            <w:tcW w:w="918" w:type="dxa"/>
            <w:tcBorders>
              <w:top w:val="nil"/>
              <w:left w:val="nil"/>
              <w:bottom w:val="nil"/>
              <w:right w:val="single" w:sz="8" w:space="0" w:color="auto"/>
            </w:tcBorders>
            <w:shd w:val="clear" w:color="auto" w:fill="auto"/>
            <w:noWrap/>
            <w:vAlign w:val="bottom"/>
            <w:hideMark/>
          </w:tcPr>
          <w:p w14:paraId="7A919945" w14:textId="11DB4379"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12</w:t>
            </w:r>
            <w:r w:rsidR="004612EF" w:rsidRPr="004817BF">
              <w:rPr>
                <w:rFonts w:ascii="Arial" w:hAnsi="Arial" w:cs="Arial"/>
                <w:lang w:val="en-GB"/>
              </w:rPr>
              <w:t>.</w:t>
            </w:r>
            <w:r w:rsidRPr="004817BF">
              <w:rPr>
                <w:rFonts w:ascii="Arial" w:hAnsi="Arial" w:cs="Arial"/>
                <w:lang w:val="en-GB"/>
              </w:rPr>
              <w:t>73</w:t>
            </w:r>
          </w:p>
        </w:tc>
      </w:tr>
      <w:tr w:rsidR="00162A7D" w:rsidRPr="004817BF" w14:paraId="04DCDA92" w14:textId="77777777" w:rsidTr="004F75F9">
        <w:trPr>
          <w:trHeight w:val="180"/>
          <w:jc w:val="center"/>
        </w:trPr>
        <w:tc>
          <w:tcPr>
            <w:tcW w:w="3068" w:type="dxa"/>
            <w:tcBorders>
              <w:top w:val="nil"/>
              <w:left w:val="single" w:sz="8" w:space="0" w:color="auto"/>
              <w:bottom w:val="nil"/>
              <w:right w:val="single" w:sz="8" w:space="0" w:color="auto"/>
            </w:tcBorders>
            <w:shd w:val="clear" w:color="auto" w:fill="auto"/>
            <w:noWrap/>
            <w:vAlign w:val="bottom"/>
            <w:hideMark/>
          </w:tcPr>
          <w:p w14:paraId="4AB38589" w14:textId="23B826F7" w:rsidR="00626659" w:rsidRPr="004817BF" w:rsidRDefault="00626659" w:rsidP="00D63212">
            <w:pPr>
              <w:rPr>
                <w:rFonts w:ascii="Arial" w:hAnsi="Arial" w:cs="Arial"/>
                <w:b/>
                <w:bCs/>
                <w:lang w:val="en-GB"/>
              </w:rPr>
            </w:pPr>
            <w:r w:rsidRPr="004817BF">
              <w:rPr>
                <w:rFonts w:ascii="Arial" w:hAnsi="Arial" w:cs="Arial"/>
                <w:b/>
                <w:bCs/>
                <w:lang w:val="en-GB"/>
              </w:rPr>
              <w:t xml:space="preserve">Profit before </w:t>
            </w:r>
            <w:r w:rsidR="00D63212" w:rsidRPr="004817BF">
              <w:rPr>
                <w:rFonts w:ascii="Arial" w:hAnsi="Arial" w:cs="Arial"/>
                <w:b/>
                <w:bCs/>
                <w:lang w:val="en-GB"/>
              </w:rPr>
              <w:t>tax</w:t>
            </w:r>
          </w:p>
        </w:tc>
        <w:tc>
          <w:tcPr>
            <w:tcW w:w="824" w:type="dxa"/>
            <w:tcBorders>
              <w:top w:val="nil"/>
              <w:left w:val="nil"/>
              <w:bottom w:val="single" w:sz="4" w:space="0" w:color="auto"/>
              <w:right w:val="nil"/>
            </w:tcBorders>
            <w:shd w:val="clear" w:color="auto" w:fill="auto"/>
            <w:noWrap/>
            <w:vAlign w:val="bottom"/>
            <w:hideMark/>
          </w:tcPr>
          <w:p w14:paraId="6416AE56" w14:textId="39FA3102"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33</w:t>
            </w:r>
          </w:p>
        </w:tc>
        <w:tc>
          <w:tcPr>
            <w:tcW w:w="828" w:type="dxa"/>
            <w:tcBorders>
              <w:top w:val="nil"/>
              <w:left w:val="nil"/>
              <w:bottom w:val="single" w:sz="4" w:space="0" w:color="auto"/>
              <w:right w:val="nil"/>
            </w:tcBorders>
            <w:shd w:val="clear" w:color="auto" w:fill="auto"/>
            <w:noWrap/>
            <w:vAlign w:val="bottom"/>
            <w:hideMark/>
          </w:tcPr>
          <w:p w14:paraId="552B03B7" w14:textId="2D13D462" w:rsidR="00626659" w:rsidRPr="004817BF" w:rsidRDefault="00626659" w:rsidP="00555FC5">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72</w:t>
            </w:r>
          </w:p>
        </w:tc>
        <w:tc>
          <w:tcPr>
            <w:tcW w:w="957" w:type="dxa"/>
            <w:tcBorders>
              <w:top w:val="nil"/>
              <w:left w:val="nil"/>
              <w:bottom w:val="single" w:sz="4" w:space="0" w:color="auto"/>
              <w:right w:val="nil"/>
            </w:tcBorders>
            <w:shd w:val="clear" w:color="auto" w:fill="auto"/>
            <w:noWrap/>
            <w:vAlign w:val="bottom"/>
            <w:hideMark/>
          </w:tcPr>
          <w:p w14:paraId="6E3A6197" w14:textId="3DA9C3CF"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1</w:t>
            </w:r>
            <w:r w:rsidR="004612EF" w:rsidRPr="004817BF">
              <w:rPr>
                <w:rFonts w:ascii="Arial" w:hAnsi="Arial" w:cs="Arial"/>
                <w:lang w:val="en-GB"/>
              </w:rPr>
              <w:t>.</w:t>
            </w:r>
            <w:r w:rsidRPr="004817BF">
              <w:rPr>
                <w:rFonts w:ascii="Arial" w:hAnsi="Arial" w:cs="Arial"/>
                <w:lang w:val="en-GB"/>
              </w:rPr>
              <w:t>41</w:t>
            </w:r>
          </w:p>
        </w:tc>
        <w:tc>
          <w:tcPr>
            <w:tcW w:w="971" w:type="dxa"/>
            <w:tcBorders>
              <w:top w:val="nil"/>
              <w:left w:val="nil"/>
              <w:bottom w:val="single" w:sz="4" w:space="0" w:color="auto"/>
              <w:right w:val="nil"/>
            </w:tcBorders>
            <w:shd w:val="clear" w:color="auto" w:fill="auto"/>
            <w:noWrap/>
            <w:vAlign w:val="bottom"/>
            <w:hideMark/>
          </w:tcPr>
          <w:p w14:paraId="50BEBD17" w14:textId="3B75D6FE" w:rsidR="00626659" w:rsidRPr="004817BF" w:rsidRDefault="00626659">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3</w:t>
            </w:r>
            <w:r w:rsidR="004612EF" w:rsidRPr="004817BF">
              <w:rPr>
                <w:rFonts w:ascii="Arial" w:hAnsi="Arial" w:cs="Arial"/>
                <w:lang w:val="en-GB"/>
              </w:rPr>
              <w:t>.</w:t>
            </w:r>
            <w:r w:rsidRPr="004817BF">
              <w:rPr>
                <w:rFonts w:ascii="Arial" w:hAnsi="Arial" w:cs="Arial"/>
                <w:lang w:val="en-GB"/>
              </w:rPr>
              <w:t>72</w:t>
            </w:r>
          </w:p>
        </w:tc>
        <w:tc>
          <w:tcPr>
            <w:tcW w:w="819" w:type="dxa"/>
            <w:tcBorders>
              <w:top w:val="nil"/>
              <w:left w:val="nil"/>
              <w:bottom w:val="single" w:sz="4" w:space="0" w:color="auto"/>
              <w:right w:val="nil"/>
            </w:tcBorders>
            <w:shd w:val="clear" w:color="auto" w:fill="auto"/>
            <w:noWrap/>
            <w:vAlign w:val="bottom"/>
            <w:hideMark/>
          </w:tcPr>
          <w:p w14:paraId="4068F01A" w14:textId="469319F2" w:rsidR="00626659" w:rsidRPr="004817BF" w:rsidRDefault="00626659" w:rsidP="00440F36">
            <w:pPr>
              <w:jc w:val="right"/>
              <w:rPr>
                <w:rFonts w:ascii="Arial" w:hAnsi="Arial" w:cs="Arial"/>
                <w:lang w:val="en-GB"/>
              </w:rPr>
            </w:pPr>
            <w:r w:rsidRPr="004817BF">
              <w:rPr>
                <w:rFonts w:ascii="Arial" w:hAnsi="Arial" w:cs="Arial"/>
                <w:lang w:val="en-GB"/>
              </w:rPr>
              <w:t xml:space="preserve">  4</w:t>
            </w:r>
            <w:r w:rsidR="004612EF" w:rsidRPr="004817BF">
              <w:rPr>
                <w:rFonts w:ascii="Arial" w:hAnsi="Arial" w:cs="Arial"/>
                <w:lang w:val="en-GB"/>
              </w:rPr>
              <w:t>.</w:t>
            </w:r>
            <w:r w:rsidRPr="004817BF">
              <w:rPr>
                <w:rFonts w:ascii="Arial" w:hAnsi="Arial" w:cs="Arial"/>
                <w:lang w:val="en-GB"/>
              </w:rPr>
              <w:t xml:space="preserve">20 </w:t>
            </w:r>
          </w:p>
        </w:tc>
        <w:tc>
          <w:tcPr>
            <w:tcW w:w="918" w:type="dxa"/>
            <w:tcBorders>
              <w:top w:val="nil"/>
              <w:left w:val="nil"/>
              <w:bottom w:val="single" w:sz="4" w:space="0" w:color="auto"/>
              <w:right w:val="single" w:sz="8" w:space="0" w:color="auto"/>
            </w:tcBorders>
            <w:shd w:val="clear" w:color="auto" w:fill="auto"/>
            <w:noWrap/>
            <w:vAlign w:val="bottom"/>
            <w:hideMark/>
          </w:tcPr>
          <w:p w14:paraId="14CFD9A2" w14:textId="14573C0C" w:rsidR="00626659" w:rsidRPr="004817BF" w:rsidRDefault="00626659" w:rsidP="00440F36">
            <w:pPr>
              <w:jc w:val="right"/>
              <w:rPr>
                <w:rFonts w:ascii="Arial" w:hAnsi="Arial" w:cs="Arial"/>
                <w:lang w:val="en-GB"/>
              </w:rPr>
            </w:pPr>
            <w:r w:rsidRPr="004817BF">
              <w:rPr>
                <w:rFonts w:ascii="Arial" w:hAnsi="Arial" w:cs="Arial"/>
                <w:lang w:val="en-GB"/>
              </w:rPr>
              <w:t xml:space="preserve"> 4</w:t>
            </w:r>
            <w:r w:rsidR="004612EF" w:rsidRPr="004817BF">
              <w:rPr>
                <w:rFonts w:ascii="Arial" w:hAnsi="Arial" w:cs="Arial"/>
                <w:lang w:val="en-GB"/>
              </w:rPr>
              <w:t>.</w:t>
            </w:r>
            <w:r w:rsidRPr="004817BF">
              <w:rPr>
                <w:rFonts w:ascii="Arial" w:hAnsi="Arial" w:cs="Arial"/>
                <w:lang w:val="en-GB"/>
              </w:rPr>
              <w:t xml:space="preserve">88 </w:t>
            </w:r>
          </w:p>
        </w:tc>
      </w:tr>
      <w:tr w:rsidR="00162A7D" w:rsidRPr="004817BF" w14:paraId="527AADED" w14:textId="77777777" w:rsidTr="004F75F9">
        <w:trPr>
          <w:trHeight w:val="224"/>
          <w:jc w:val="center"/>
        </w:trPr>
        <w:tc>
          <w:tcPr>
            <w:tcW w:w="3068" w:type="dxa"/>
            <w:tcBorders>
              <w:top w:val="nil"/>
              <w:left w:val="single" w:sz="8" w:space="0" w:color="auto"/>
              <w:bottom w:val="nil"/>
              <w:right w:val="single" w:sz="8" w:space="0" w:color="auto"/>
            </w:tcBorders>
            <w:shd w:val="clear" w:color="auto" w:fill="auto"/>
            <w:noWrap/>
            <w:vAlign w:val="bottom"/>
            <w:hideMark/>
          </w:tcPr>
          <w:p w14:paraId="27B9C7CA" w14:textId="77777777" w:rsidR="00626659" w:rsidRPr="004817BF" w:rsidRDefault="00626659" w:rsidP="00C924B0">
            <w:pPr>
              <w:rPr>
                <w:rFonts w:ascii="Arial" w:hAnsi="Arial" w:cs="Arial"/>
                <w:iCs/>
                <w:lang w:val="en-GB"/>
              </w:rPr>
            </w:pPr>
            <w:r w:rsidRPr="004817BF">
              <w:rPr>
                <w:rFonts w:ascii="Arial" w:hAnsi="Arial" w:cs="Arial"/>
                <w:iCs/>
                <w:lang w:val="en-GB"/>
              </w:rPr>
              <w:t>Tax expenses</w:t>
            </w:r>
          </w:p>
        </w:tc>
        <w:tc>
          <w:tcPr>
            <w:tcW w:w="824" w:type="dxa"/>
            <w:tcBorders>
              <w:top w:val="nil"/>
              <w:left w:val="nil"/>
              <w:bottom w:val="nil"/>
              <w:right w:val="nil"/>
            </w:tcBorders>
            <w:shd w:val="clear" w:color="auto" w:fill="auto"/>
            <w:noWrap/>
            <w:vAlign w:val="bottom"/>
            <w:hideMark/>
          </w:tcPr>
          <w:p w14:paraId="1D32656E" w14:textId="71A757BF" w:rsidR="00626659" w:rsidRPr="004817BF" w:rsidRDefault="00626659" w:rsidP="00440F36">
            <w:pPr>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828" w:type="dxa"/>
            <w:tcBorders>
              <w:top w:val="nil"/>
              <w:left w:val="nil"/>
              <w:bottom w:val="nil"/>
              <w:right w:val="nil"/>
            </w:tcBorders>
            <w:shd w:val="clear" w:color="auto" w:fill="auto"/>
            <w:noWrap/>
            <w:vAlign w:val="bottom"/>
            <w:hideMark/>
          </w:tcPr>
          <w:p w14:paraId="3169E6A8" w14:textId="3BDE2DDA"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957" w:type="dxa"/>
            <w:tcBorders>
              <w:top w:val="nil"/>
              <w:left w:val="nil"/>
              <w:bottom w:val="nil"/>
              <w:right w:val="nil"/>
            </w:tcBorders>
            <w:shd w:val="clear" w:color="auto" w:fill="auto"/>
            <w:noWrap/>
            <w:vAlign w:val="bottom"/>
            <w:hideMark/>
          </w:tcPr>
          <w:p w14:paraId="46C28FA0" w14:textId="5591DA96" w:rsidR="00626659" w:rsidRPr="004817BF" w:rsidRDefault="00C62748" w:rsidP="00440F36">
            <w:pPr>
              <w:jc w:val="right"/>
              <w:rPr>
                <w:rFonts w:ascii="Arial" w:hAnsi="Arial" w:cs="Arial"/>
                <w:lang w:val="en-GB"/>
              </w:rPr>
            </w:pPr>
            <w:r w:rsidRPr="004817BF">
              <w:rPr>
                <w:rFonts w:ascii="Arial" w:hAnsi="Arial" w:cs="Arial"/>
                <w:lang w:val="en-GB"/>
              </w:rPr>
              <w:t>–</w:t>
            </w:r>
            <w:r w:rsidR="00626659" w:rsidRPr="004817BF">
              <w:rPr>
                <w:rFonts w:ascii="Arial" w:hAnsi="Arial" w:cs="Arial"/>
                <w:lang w:val="en-GB"/>
              </w:rPr>
              <w:t xml:space="preserve">   </w:t>
            </w:r>
          </w:p>
        </w:tc>
        <w:tc>
          <w:tcPr>
            <w:tcW w:w="971" w:type="dxa"/>
            <w:tcBorders>
              <w:top w:val="nil"/>
              <w:left w:val="nil"/>
              <w:bottom w:val="nil"/>
              <w:right w:val="nil"/>
            </w:tcBorders>
            <w:shd w:val="clear" w:color="auto" w:fill="auto"/>
            <w:noWrap/>
            <w:vAlign w:val="bottom"/>
            <w:hideMark/>
          </w:tcPr>
          <w:p w14:paraId="310CC9BD" w14:textId="577B96E4" w:rsidR="00626659" w:rsidRPr="004817BF" w:rsidRDefault="00626659" w:rsidP="00440F36">
            <w:pPr>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819" w:type="dxa"/>
            <w:tcBorders>
              <w:top w:val="nil"/>
              <w:left w:val="nil"/>
              <w:bottom w:val="nil"/>
              <w:right w:val="nil"/>
            </w:tcBorders>
            <w:shd w:val="clear" w:color="auto" w:fill="auto"/>
            <w:noWrap/>
            <w:vAlign w:val="bottom"/>
            <w:hideMark/>
          </w:tcPr>
          <w:p w14:paraId="52A41E9E" w14:textId="629E7FEA"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1</w:t>
            </w:r>
            <w:r w:rsidR="004612EF" w:rsidRPr="004817BF">
              <w:rPr>
                <w:rFonts w:ascii="Arial" w:hAnsi="Arial" w:cs="Arial"/>
                <w:lang w:val="en-GB"/>
              </w:rPr>
              <w:t>.</w:t>
            </w:r>
            <w:r w:rsidRPr="004817BF">
              <w:rPr>
                <w:rFonts w:ascii="Arial" w:hAnsi="Arial" w:cs="Arial"/>
                <w:lang w:val="en-GB"/>
              </w:rPr>
              <w:t>77</w:t>
            </w:r>
          </w:p>
        </w:tc>
        <w:tc>
          <w:tcPr>
            <w:tcW w:w="918" w:type="dxa"/>
            <w:tcBorders>
              <w:top w:val="nil"/>
              <w:left w:val="nil"/>
              <w:bottom w:val="nil"/>
              <w:right w:val="single" w:sz="8" w:space="0" w:color="auto"/>
            </w:tcBorders>
            <w:shd w:val="clear" w:color="auto" w:fill="auto"/>
            <w:noWrap/>
            <w:vAlign w:val="bottom"/>
            <w:hideMark/>
          </w:tcPr>
          <w:p w14:paraId="7D376DC2" w14:textId="4DADF6AC" w:rsidR="00626659" w:rsidRPr="004817BF" w:rsidRDefault="00626659" w:rsidP="00555FC5">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1</w:t>
            </w:r>
            <w:r w:rsidR="004612EF" w:rsidRPr="004817BF">
              <w:rPr>
                <w:rFonts w:ascii="Arial" w:hAnsi="Arial" w:cs="Arial"/>
                <w:lang w:val="en-GB"/>
              </w:rPr>
              <w:t>.</w:t>
            </w:r>
            <w:r w:rsidRPr="004817BF">
              <w:rPr>
                <w:rFonts w:ascii="Arial" w:hAnsi="Arial" w:cs="Arial"/>
                <w:lang w:val="en-GB"/>
              </w:rPr>
              <w:t>83</w:t>
            </w:r>
          </w:p>
        </w:tc>
      </w:tr>
      <w:tr w:rsidR="00162A7D" w:rsidRPr="004817BF" w14:paraId="357C27CA" w14:textId="77777777" w:rsidTr="004F75F9">
        <w:trPr>
          <w:trHeight w:val="180"/>
          <w:jc w:val="center"/>
        </w:trPr>
        <w:tc>
          <w:tcPr>
            <w:tcW w:w="3068" w:type="dxa"/>
            <w:tcBorders>
              <w:top w:val="nil"/>
              <w:left w:val="single" w:sz="8" w:space="0" w:color="auto"/>
              <w:bottom w:val="nil"/>
              <w:right w:val="single" w:sz="8" w:space="0" w:color="auto"/>
            </w:tcBorders>
            <w:shd w:val="clear" w:color="auto" w:fill="auto"/>
            <w:noWrap/>
            <w:vAlign w:val="bottom"/>
            <w:hideMark/>
          </w:tcPr>
          <w:p w14:paraId="476F4014" w14:textId="77777777" w:rsidR="00626659" w:rsidRPr="004817BF" w:rsidRDefault="00626659" w:rsidP="00C924B0">
            <w:pPr>
              <w:rPr>
                <w:rFonts w:ascii="Arial" w:hAnsi="Arial" w:cs="Arial"/>
                <w:iCs/>
                <w:lang w:val="en-GB"/>
              </w:rPr>
            </w:pPr>
            <w:r w:rsidRPr="004817BF">
              <w:rPr>
                <w:rFonts w:ascii="Arial" w:hAnsi="Arial" w:cs="Arial"/>
                <w:iCs/>
                <w:lang w:val="en-GB"/>
              </w:rPr>
              <w:t>Deferred</w:t>
            </w:r>
          </w:p>
        </w:tc>
        <w:tc>
          <w:tcPr>
            <w:tcW w:w="824" w:type="dxa"/>
            <w:tcBorders>
              <w:top w:val="nil"/>
              <w:left w:val="nil"/>
              <w:bottom w:val="nil"/>
              <w:right w:val="nil"/>
            </w:tcBorders>
            <w:shd w:val="clear" w:color="auto" w:fill="auto"/>
            <w:noWrap/>
            <w:vAlign w:val="bottom"/>
            <w:hideMark/>
          </w:tcPr>
          <w:p w14:paraId="11FA1716" w14:textId="77777777" w:rsidR="00626659" w:rsidRPr="004817BF" w:rsidRDefault="00626659" w:rsidP="00440F36">
            <w:pPr>
              <w:jc w:val="right"/>
              <w:rPr>
                <w:rFonts w:ascii="Arial" w:hAnsi="Arial" w:cs="Arial"/>
                <w:lang w:val="en-GB"/>
              </w:rPr>
            </w:pPr>
            <w:r w:rsidRPr="004817BF">
              <w:rPr>
                <w:rFonts w:ascii="Arial" w:hAnsi="Arial" w:cs="Arial"/>
                <w:lang w:val="en-GB"/>
              </w:rPr>
              <w:t> </w:t>
            </w:r>
          </w:p>
        </w:tc>
        <w:tc>
          <w:tcPr>
            <w:tcW w:w="828" w:type="dxa"/>
            <w:tcBorders>
              <w:top w:val="nil"/>
              <w:left w:val="nil"/>
              <w:bottom w:val="nil"/>
              <w:right w:val="nil"/>
            </w:tcBorders>
            <w:shd w:val="clear" w:color="auto" w:fill="auto"/>
            <w:noWrap/>
            <w:vAlign w:val="bottom"/>
            <w:hideMark/>
          </w:tcPr>
          <w:p w14:paraId="425455F9" w14:textId="2C31EF83" w:rsidR="00626659" w:rsidRPr="004817BF" w:rsidRDefault="00626659" w:rsidP="00A314AD">
            <w:pPr>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26</w:t>
            </w:r>
          </w:p>
        </w:tc>
        <w:tc>
          <w:tcPr>
            <w:tcW w:w="957" w:type="dxa"/>
            <w:tcBorders>
              <w:top w:val="nil"/>
              <w:left w:val="nil"/>
              <w:bottom w:val="nil"/>
              <w:right w:val="nil"/>
            </w:tcBorders>
            <w:shd w:val="clear" w:color="auto" w:fill="auto"/>
            <w:noWrap/>
            <w:vAlign w:val="bottom"/>
            <w:hideMark/>
          </w:tcPr>
          <w:p w14:paraId="38730707" w14:textId="653319A3" w:rsidR="00626659" w:rsidRPr="004817BF" w:rsidRDefault="00626659" w:rsidP="00440F36">
            <w:pPr>
              <w:jc w:val="right"/>
              <w:rPr>
                <w:rFonts w:ascii="Arial" w:hAnsi="Arial" w:cs="Arial"/>
                <w:lang w:val="en-GB"/>
              </w:rPr>
            </w:pPr>
            <w:r w:rsidRPr="004817BF">
              <w:rPr>
                <w:rFonts w:ascii="Arial" w:hAnsi="Arial" w:cs="Arial"/>
                <w:lang w:val="en-GB"/>
              </w:rPr>
              <w:t xml:space="preserve">  0</w:t>
            </w:r>
            <w:r w:rsidR="004612EF" w:rsidRPr="004817BF">
              <w:rPr>
                <w:rFonts w:ascii="Arial" w:hAnsi="Arial" w:cs="Arial"/>
                <w:lang w:val="en-GB"/>
              </w:rPr>
              <w:t>.</w:t>
            </w:r>
            <w:r w:rsidRPr="004817BF">
              <w:rPr>
                <w:rFonts w:ascii="Arial" w:hAnsi="Arial" w:cs="Arial"/>
                <w:lang w:val="en-GB"/>
              </w:rPr>
              <w:t xml:space="preserve">40 </w:t>
            </w:r>
          </w:p>
        </w:tc>
        <w:tc>
          <w:tcPr>
            <w:tcW w:w="971" w:type="dxa"/>
            <w:tcBorders>
              <w:top w:val="nil"/>
              <w:left w:val="nil"/>
              <w:bottom w:val="nil"/>
              <w:right w:val="nil"/>
            </w:tcBorders>
            <w:shd w:val="clear" w:color="auto" w:fill="auto"/>
            <w:noWrap/>
            <w:vAlign w:val="bottom"/>
            <w:hideMark/>
          </w:tcPr>
          <w:p w14:paraId="2FE15BA7" w14:textId="746B8004" w:rsidR="00626659" w:rsidRPr="004817BF" w:rsidRDefault="00626659" w:rsidP="00440F36">
            <w:pPr>
              <w:jc w:val="right"/>
              <w:rPr>
                <w:rFonts w:ascii="Arial" w:hAnsi="Arial" w:cs="Arial"/>
                <w:lang w:val="en-GB"/>
              </w:rPr>
            </w:pPr>
            <w:r w:rsidRPr="004817BF">
              <w:rPr>
                <w:rFonts w:ascii="Arial" w:hAnsi="Arial" w:cs="Arial"/>
                <w:lang w:val="en-GB"/>
              </w:rPr>
              <w:t xml:space="preserve">  1</w:t>
            </w:r>
            <w:r w:rsidR="004612EF" w:rsidRPr="004817BF">
              <w:rPr>
                <w:rFonts w:ascii="Arial" w:hAnsi="Arial" w:cs="Arial"/>
                <w:lang w:val="en-GB"/>
              </w:rPr>
              <w:t>.</w:t>
            </w:r>
            <w:r w:rsidRPr="004817BF">
              <w:rPr>
                <w:rFonts w:ascii="Arial" w:hAnsi="Arial" w:cs="Arial"/>
                <w:lang w:val="en-GB"/>
              </w:rPr>
              <w:t xml:space="preserve">09 </w:t>
            </w:r>
          </w:p>
        </w:tc>
        <w:tc>
          <w:tcPr>
            <w:tcW w:w="819" w:type="dxa"/>
            <w:tcBorders>
              <w:top w:val="nil"/>
              <w:left w:val="nil"/>
              <w:bottom w:val="nil"/>
              <w:right w:val="nil"/>
            </w:tcBorders>
            <w:shd w:val="clear" w:color="auto" w:fill="auto"/>
            <w:noWrap/>
            <w:vAlign w:val="bottom"/>
            <w:hideMark/>
          </w:tcPr>
          <w:p w14:paraId="7385F3C6" w14:textId="5B1B18AE" w:rsidR="00626659" w:rsidRPr="004817BF" w:rsidRDefault="00626659" w:rsidP="00440F36">
            <w:pPr>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918" w:type="dxa"/>
            <w:tcBorders>
              <w:top w:val="nil"/>
              <w:left w:val="nil"/>
              <w:bottom w:val="nil"/>
              <w:right w:val="single" w:sz="8" w:space="0" w:color="auto"/>
            </w:tcBorders>
            <w:shd w:val="clear" w:color="auto" w:fill="auto"/>
            <w:noWrap/>
            <w:vAlign w:val="bottom"/>
            <w:hideMark/>
          </w:tcPr>
          <w:p w14:paraId="74E5F886" w14:textId="398EB589" w:rsidR="00626659" w:rsidRPr="004817BF" w:rsidRDefault="00626659" w:rsidP="00440F36">
            <w:pPr>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r>
      <w:tr w:rsidR="00162A7D" w:rsidRPr="004817BF" w14:paraId="32C2D70B" w14:textId="77777777" w:rsidTr="004F75F9">
        <w:trPr>
          <w:trHeight w:val="234"/>
          <w:jc w:val="center"/>
        </w:trPr>
        <w:tc>
          <w:tcPr>
            <w:tcW w:w="3068" w:type="dxa"/>
            <w:tcBorders>
              <w:top w:val="nil"/>
              <w:left w:val="single" w:sz="8" w:space="0" w:color="auto"/>
              <w:bottom w:val="single" w:sz="8" w:space="0" w:color="auto"/>
              <w:right w:val="single" w:sz="8" w:space="0" w:color="auto"/>
            </w:tcBorders>
            <w:shd w:val="clear" w:color="auto" w:fill="auto"/>
            <w:noWrap/>
            <w:vAlign w:val="bottom"/>
            <w:hideMark/>
          </w:tcPr>
          <w:p w14:paraId="770F34A4" w14:textId="32D718F2" w:rsidR="00626659" w:rsidRPr="004817BF" w:rsidRDefault="00626659" w:rsidP="00C924B0">
            <w:pPr>
              <w:spacing w:after="40"/>
              <w:rPr>
                <w:rFonts w:ascii="Arial" w:hAnsi="Arial" w:cs="Arial"/>
                <w:b/>
                <w:bCs/>
                <w:lang w:val="en-GB"/>
              </w:rPr>
            </w:pPr>
            <w:r w:rsidRPr="004817BF">
              <w:rPr>
                <w:rFonts w:ascii="Arial" w:hAnsi="Arial" w:cs="Arial"/>
                <w:b/>
                <w:bCs/>
                <w:lang w:val="en-GB"/>
              </w:rPr>
              <w:t xml:space="preserve">Total comprehensive </w:t>
            </w:r>
            <w:r w:rsidR="005950D1" w:rsidRPr="004817BF">
              <w:rPr>
                <w:rFonts w:ascii="Arial" w:hAnsi="Arial" w:cs="Arial"/>
                <w:b/>
                <w:bCs/>
                <w:lang w:val="en-GB"/>
              </w:rPr>
              <w:t>p</w:t>
            </w:r>
            <w:r w:rsidRPr="004817BF">
              <w:rPr>
                <w:rFonts w:ascii="Arial" w:hAnsi="Arial" w:cs="Arial"/>
                <w:b/>
                <w:bCs/>
                <w:lang w:val="en-GB"/>
              </w:rPr>
              <w:t>rofit</w:t>
            </w:r>
          </w:p>
        </w:tc>
        <w:tc>
          <w:tcPr>
            <w:tcW w:w="824" w:type="dxa"/>
            <w:tcBorders>
              <w:top w:val="nil"/>
              <w:left w:val="nil"/>
              <w:bottom w:val="single" w:sz="8" w:space="0" w:color="auto"/>
              <w:right w:val="nil"/>
            </w:tcBorders>
            <w:shd w:val="clear" w:color="auto" w:fill="auto"/>
            <w:noWrap/>
            <w:vAlign w:val="bottom"/>
            <w:hideMark/>
          </w:tcPr>
          <w:p w14:paraId="1D6363A1" w14:textId="28A2F158" w:rsidR="00626659" w:rsidRPr="004817BF" w:rsidRDefault="00626659" w:rsidP="00A314AD">
            <w:pPr>
              <w:spacing w:after="40"/>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33</w:t>
            </w:r>
          </w:p>
        </w:tc>
        <w:tc>
          <w:tcPr>
            <w:tcW w:w="828" w:type="dxa"/>
            <w:tcBorders>
              <w:top w:val="nil"/>
              <w:left w:val="nil"/>
              <w:bottom w:val="single" w:sz="8" w:space="0" w:color="auto"/>
              <w:right w:val="nil"/>
            </w:tcBorders>
            <w:shd w:val="clear" w:color="auto" w:fill="auto"/>
            <w:noWrap/>
            <w:vAlign w:val="bottom"/>
            <w:hideMark/>
          </w:tcPr>
          <w:p w14:paraId="08F1C845" w14:textId="503B7E41" w:rsidR="00626659" w:rsidRPr="004817BF" w:rsidRDefault="00626659" w:rsidP="00555FC5">
            <w:pPr>
              <w:spacing w:after="40"/>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4612EF" w:rsidRPr="004817BF">
              <w:rPr>
                <w:rFonts w:ascii="Arial" w:hAnsi="Arial" w:cs="Arial"/>
                <w:lang w:val="en-GB"/>
              </w:rPr>
              <w:t>.</w:t>
            </w:r>
            <w:r w:rsidRPr="004817BF">
              <w:rPr>
                <w:rFonts w:ascii="Arial" w:hAnsi="Arial" w:cs="Arial"/>
                <w:lang w:val="en-GB"/>
              </w:rPr>
              <w:t>46</w:t>
            </w:r>
          </w:p>
        </w:tc>
        <w:tc>
          <w:tcPr>
            <w:tcW w:w="957" w:type="dxa"/>
            <w:tcBorders>
              <w:top w:val="nil"/>
              <w:left w:val="nil"/>
              <w:bottom w:val="single" w:sz="8" w:space="0" w:color="auto"/>
              <w:right w:val="nil"/>
            </w:tcBorders>
            <w:shd w:val="clear" w:color="auto" w:fill="auto"/>
            <w:noWrap/>
            <w:vAlign w:val="bottom"/>
            <w:hideMark/>
          </w:tcPr>
          <w:p w14:paraId="3E9CBC0F" w14:textId="3B8FA4C2" w:rsidR="00626659" w:rsidRPr="004817BF" w:rsidRDefault="00626659">
            <w:pPr>
              <w:spacing w:after="40"/>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1</w:t>
            </w:r>
            <w:r w:rsidR="004612EF" w:rsidRPr="004817BF">
              <w:rPr>
                <w:rFonts w:ascii="Arial" w:hAnsi="Arial" w:cs="Arial"/>
                <w:lang w:val="en-GB"/>
              </w:rPr>
              <w:t>.</w:t>
            </w:r>
            <w:r w:rsidRPr="004817BF">
              <w:rPr>
                <w:rFonts w:ascii="Arial" w:hAnsi="Arial" w:cs="Arial"/>
                <w:lang w:val="en-GB"/>
              </w:rPr>
              <w:t>02</w:t>
            </w:r>
          </w:p>
        </w:tc>
        <w:tc>
          <w:tcPr>
            <w:tcW w:w="971" w:type="dxa"/>
            <w:tcBorders>
              <w:top w:val="nil"/>
              <w:left w:val="nil"/>
              <w:bottom w:val="single" w:sz="8" w:space="0" w:color="auto"/>
              <w:right w:val="nil"/>
            </w:tcBorders>
            <w:shd w:val="clear" w:color="auto" w:fill="auto"/>
            <w:noWrap/>
            <w:vAlign w:val="bottom"/>
            <w:hideMark/>
          </w:tcPr>
          <w:p w14:paraId="1DE75FBF" w14:textId="5E42F494" w:rsidR="00626659" w:rsidRPr="004817BF" w:rsidRDefault="00A314AD">
            <w:pPr>
              <w:spacing w:after="40"/>
              <w:jc w:val="right"/>
              <w:rPr>
                <w:rFonts w:ascii="Arial" w:hAnsi="Arial" w:cs="Arial"/>
                <w:lang w:val="en-GB"/>
              </w:rPr>
            </w:pPr>
            <w:r w:rsidRPr="00A314AD">
              <w:rPr>
                <w:rFonts w:ascii="Arial" w:hAnsi="Arial" w:cs="Arial"/>
                <w:lang w:val="en-GB"/>
              </w:rPr>
              <w:t>−</w:t>
            </w:r>
            <w:r w:rsidR="00626659" w:rsidRPr="004817BF">
              <w:rPr>
                <w:rFonts w:ascii="Arial" w:hAnsi="Arial" w:cs="Arial"/>
                <w:lang w:val="en-GB"/>
              </w:rPr>
              <w:t>2</w:t>
            </w:r>
            <w:r w:rsidR="004612EF" w:rsidRPr="004817BF">
              <w:rPr>
                <w:rFonts w:ascii="Arial" w:hAnsi="Arial" w:cs="Arial"/>
                <w:lang w:val="en-GB"/>
              </w:rPr>
              <w:t>.</w:t>
            </w:r>
            <w:r w:rsidR="00626659" w:rsidRPr="004817BF">
              <w:rPr>
                <w:rFonts w:ascii="Arial" w:hAnsi="Arial" w:cs="Arial"/>
                <w:lang w:val="en-GB"/>
              </w:rPr>
              <w:t>63</w:t>
            </w:r>
          </w:p>
        </w:tc>
        <w:tc>
          <w:tcPr>
            <w:tcW w:w="819" w:type="dxa"/>
            <w:tcBorders>
              <w:top w:val="nil"/>
              <w:left w:val="nil"/>
              <w:bottom w:val="single" w:sz="8" w:space="0" w:color="auto"/>
              <w:right w:val="nil"/>
            </w:tcBorders>
            <w:shd w:val="clear" w:color="auto" w:fill="auto"/>
            <w:noWrap/>
            <w:vAlign w:val="bottom"/>
            <w:hideMark/>
          </w:tcPr>
          <w:p w14:paraId="5050E320" w14:textId="1429A4B6" w:rsidR="00626659" w:rsidRPr="004817BF" w:rsidRDefault="00626659" w:rsidP="00C924B0">
            <w:pPr>
              <w:spacing w:after="40"/>
              <w:jc w:val="right"/>
              <w:rPr>
                <w:rFonts w:ascii="Arial" w:hAnsi="Arial" w:cs="Arial"/>
                <w:lang w:val="en-GB"/>
              </w:rPr>
            </w:pPr>
            <w:r w:rsidRPr="004817BF">
              <w:rPr>
                <w:rFonts w:ascii="Arial" w:hAnsi="Arial" w:cs="Arial"/>
                <w:lang w:val="en-GB"/>
              </w:rPr>
              <w:t xml:space="preserve"> 2</w:t>
            </w:r>
            <w:r w:rsidR="004612EF" w:rsidRPr="004817BF">
              <w:rPr>
                <w:rFonts w:ascii="Arial" w:hAnsi="Arial" w:cs="Arial"/>
                <w:lang w:val="en-GB"/>
              </w:rPr>
              <w:t>.</w:t>
            </w:r>
            <w:r w:rsidRPr="004817BF">
              <w:rPr>
                <w:rFonts w:ascii="Arial" w:hAnsi="Arial" w:cs="Arial"/>
                <w:lang w:val="en-GB"/>
              </w:rPr>
              <w:t xml:space="preserve">43 </w:t>
            </w:r>
          </w:p>
        </w:tc>
        <w:tc>
          <w:tcPr>
            <w:tcW w:w="918" w:type="dxa"/>
            <w:tcBorders>
              <w:top w:val="nil"/>
              <w:left w:val="nil"/>
              <w:bottom w:val="single" w:sz="8" w:space="0" w:color="auto"/>
              <w:right w:val="single" w:sz="8" w:space="0" w:color="auto"/>
            </w:tcBorders>
            <w:shd w:val="clear" w:color="auto" w:fill="auto"/>
            <w:noWrap/>
            <w:vAlign w:val="bottom"/>
            <w:hideMark/>
          </w:tcPr>
          <w:p w14:paraId="4A261A11" w14:textId="1CA09ED4" w:rsidR="00626659" w:rsidRPr="004817BF" w:rsidRDefault="00626659" w:rsidP="00C924B0">
            <w:pPr>
              <w:keepNext/>
              <w:spacing w:after="40"/>
              <w:jc w:val="right"/>
              <w:rPr>
                <w:rFonts w:ascii="Arial" w:hAnsi="Arial" w:cs="Arial"/>
                <w:lang w:val="en-GB"/>
              </w:rPr>
            </w:pPr>
            <w:r w:rsidRPr="004817BF">
              <w:rPr>
                <w:rFonts w:ascii="Arial" w:hAnsi="Arial" w:cs="Arial"/>
                <w:lang w:val="en-GB"/>
              </w:rPr>
              <w:t xml:space="preserve"> 3</w:t>
            </w:r>
            <w:r w:rsidR="004612EF" w:rsidRPr="004817BF">
              <w:rPr>
                <w:rFonts w:ascii="Arial" w:hAnsi="Arial" w:cs="Arial"/>
                <w:lang w:val="en-GB"/>
              </w:rPr>
              <w:t>.</w:t>
            </w:r>
            <w:r w:rsidRPr="004817BF">
              <w:rPr>
                <w:rFonts w:ascii="Arial" w:hAnsi="Arial" w:cs="Arial"/>
                <w:lang w:val="en-GB"/>
              </w:rPr>
              <w:t xml:space="preserve">05 </w:t>
            </w:r>
          </w:p>
        </w:tc>
      </w:tr>
    </w:tbl>
    <w:p w14:paraId="5CF6F915" w14:textId="77777777" w:rsidR="002A6E8E" w:rsidRPr="004817BF" w:rsidRDefault="002A6E8E" w:rsidP="00FD52C4">
      <w:pPr>
        <w:pStyle w:val="BodyTextMain"/>
        <w:keepNext/>
        <w:keepLines/>
        <w:rPr>
          <w:lang w:val="en-GB"/>
        </w:rPr>
      </w:pPr>
    </w:p>
    <w:tbl>
      <w:tblPr>
        <w:tblpPr w:leftFromText="180" w:rightFromText="180" w:vertAnchor="text" w:horzAnchor="margin" w:tblpY="90"/>
        <w:tblW w:w="9356" w:type="dxa"/>
        <w:tblLook w:val="04A0" w:firstRow="1" w:lastRow="0" w:firstColumn="1" w:lastColumn="0" w:noHBand="0" w:noVBand="1"/>
      </w:tblPr>
      <w:tblGrid>
        <w:gridCol w:w="1277"/>
        <w:gridCol w:w="2551"/>
        <w:gridCol w:w="798"/>
        <w:gridCol w:w="851"/>
        <w:gridCol w:w="992"/>
        <w:gridCol w:w="851"/>
        <w:gridCol w:w="1044"/>
        <w:gridCol w:w="992"/>
      </w:tblGrid>
      <w:tr w:rsidR="00A10CD4" w:rsidRPr="004817BF" w14:paraId="1D2A810B" w14:textId="77777777" w:rsidTr="00A10CD4">
        <w:trPr>
          <w:trHeight w:val="252"/>
        </w:trPr>
        <w:tc>
          <w:tcPr>
            <w:tcW w:w="9356"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B3BB70" w14:textId="08181413" w:rsidR="00A10CD4" w:rsidRPr="004817BF" w:rsidRDefault="00A10CD4" w:rsidP="00FD52C4">
            <w:pPr>
              <w:keepNext/>
              <w:keepLines/>
              <w:spacing w:before="40" w:after="40"/>
              <w:jc w:val="center"/>
              <w:rPr>
                <w:rFonts w:ascii="Arial" w:hAnsi="Arial" w:cs="Arial"/>
                <w:b/>
                <w:bCs/>
                <w:lang w:val="en-GB"/>
              </w:rPr>
            </w:pPr>
            <w:r w:rsidRPr="004817BF">
              <w:rPr>
                <w:rFonts w:ascii="Arial" w:hAnsi="Arial" w:cs="Arial"/>
                <w:b/>
                <w:bCs/>
                <w:lang w:val="en-GB"/>
              </w:rPr>
              <w:t>BALANCE SHEET (i</w:t>
            </w:r>
            <w:r w:rsidR="000D472F" w:rsidRPr="004817BF">
              <w:rPr>
                <w:rFonts w:ascii="Arial" w:hAnsi="Arial" w:cs="Arial"/>
                <w:b/>
                <w:bCs/>
                <w:lang w:val="en-GB"/>
              </w:rPr>
              <w:t xml:space="preserve">n </w:t>
            </w:r>
            <w:r w:rsidRPr="004817BF">
              <w:rPr>
                <w:rFonts w:ascii="Arial" w:hAnsi="Arial" w:cs="Arial"/>
                <w:b/>
                <w:bCs/>
                <w:lang w:val="en-GB"/>
              </w:rPr>
              <w:t>US</w:t>
            </w:r>
            <w:r w:rsidR="00866999" w:rsidRPr="004817BF">
              <w:rPr>
                <w:rFonts w:ascii="Arial" w:hAnsi="Arial" w:cs="Arial"/>
                <w:b/>
                <w:bCs/>
                <w:lang w:val="en-GB"/>
              </w:rPr>
              <w:t>$</w:t>
            </w:r>
            <w:r w:rsidR="000D3241" w:rsidRPr="004817BF">
              <w:rPr>
                <w:rFonts w:ascii="Arial" w:hAnsi="Arial" w:cs="Arial"/>
                <w:b/>
                <w:bCs/>
                <w:lang w:val="en-GB"/>
              </w:rPr>
              <w:t xml:space="preserve"> </w:t>
            </w:r>
            <w:r w:rsidR="005950D1" w:rsidRPr="004817BF">
              <w:rPr>
                <w:rFonts w:ascii="Arial" w:hAnsi="Arial" w:cs="Arial"/>
                <w:b/>
                <w:bCs/>
                <w:lang w:val="en-GB"/>
              </w:rPr>
              <w:t>M</w:t>
            </w:r>
            <w:r w:rsidR="000D472F" w:rsidRPr="004817BF">
              <w:rPr>
                <w:rFonts w:ascii="Arial" w:hAnsi="Arial" w:cs="Arial"/>
                <w:b/>
                <w:bCs/>
                <w:lang w:val="en-GB"/>
              </w:rPr>
              <w:t>illion</w:t>
            </w:r>
            <w:r w:rsidRPr="004817BF">
              <w:rPr>
                <w:rFonts w:ascii="Arial" w:hAnsi="Arial" w:cs="Arial"/>
                <w:b/>
                <w:bCs/>
                <w:lang w:val="en-GB"/>
              </w:rPr>
              <w:t>) (Not all items are listed)</w:t>
            </w:r>
          </w:p>
        </w:tc>
      </w:tr>
      <w:tr w:rsidR="00A10CD4" w:rsidRPr="004817BF" w14:paraId="2C675F7C" w14:textId="77777777" w:rsidTr="00A10CD4">
        <w:trPr>
          <w:trHeight w:val="186"/>
        </w:trPr>
        <w:tc>
          <w:tcPr>
            <w:tcW w:w="1277" w:type="dxa"/>
            <w:tcBorders>
              <w:top w:val="nil"/>
              <w:left w:val="single" w:sz="8" w:space="0" w:color="auto"/>
              <w:bottom w:val="nil"/>
              <w:right w:val="nil"/>
            </w:tcBorders>
            <w:shd w:val="clear" w:color="auto" w:fill="auto"/>
            <w:noWrap/>
            <w:vAlign w:val="bottom"/>
            <w:hideMark/>
          </w:tcPr>
          <w:p w14:paraId="02A5562C" w14:textId="77777777" w:rsidR="00A10CD4" w:rsidRPr="004817BF" w:rsidRDefault="00A10CD4" w:rsidP="00FD52C4">
            <w:pPr>
              <w:keepNext/>
              <w:keepLines/>
              <w:rPr>
                <w:rFonts w:ascii="Arial" w:hAnsi="Arial" w:cs="Arial"/>
                <w:sz w:val="18"/>
                <w:szCs w:val="16"/>
                <w:lang w:val="en-GB"/>
              </w:rPr>
            </w:pPr>
            <w:r w:rsidRPr="004817BF">
              <w:rPr>
                <w:rFonts w:ascii="Arial" w:hAnsi="Arial" w:cs="Arial"/>
                <w:sz w:val="18"/>
                <w:szCs w:val="16"/>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1BE77AED" w14:textId="77777777" w:rsidR="00A10CD4" w:rsidRPr="004817BF" w:rsidRDefault="00A10CD4" w:rsidP="00FD52C4">
            <w:pPr>
              <w:keepNext/>
              <w:keepLines/>
              <w:rPr>
                <w:rFonts w:ascii="Arial" w:hAnsi="Arial" w:cs="Arial"/>
                <w:lang w:val="en-GB"/>
              </w:rPr>
            </w:pPr>
            <w:r w:rsidRPr="004817BF">
              <w:rPr>
                <w:rFonts w:ascii="Arial" w:hAnsi="Arial" w:cs="Arial"/>
                <w:lang w:val="en-GB"/>
              </w:rPr>
              <w:t xml:space="preserve"> </w:t>
            </w:r>
          </w:p>
        </w:tc>
        <w:tc>
          <w:tcPr>
            <w:tcW w:w="798" w:type="dxa"/>
            <w:tcBorders>
              <w:top w:val="nil"/>
              <w:left w:val="nil"/>
              <w:bottom w:val="single" w:sz="8" w:space="0" w:color="auto"/>
              <w:right w:val="nil"/>
            </w:tcBorders>
            <w:shd w:val="clear" w:color="auto" w:fill="auto"/>
            <w:noWrap/>
            <w:vAlign w:val="bottom"/>
            <w:hideMark/>
          </w:tcPr>
          <w:p w14:paraId="1A639EA2" w14:textId="77777777" w:rsidR="00A10CD4" w:rsidRPr="004817BF" w:rsidRDefault="00A10CD4" w:rsidP="00FD52C4">
            <w:pPr>
              <w:keepNext/>
              <w:keepLines/>
              <w:spacing w:before="40" w:after="40"/>
              <w:jc w:val="center"/>
              <w:rPr>
                <w:rFonts w:ascii="Arial" w:hAnsi="Arial" w:cs="Arial"/>
                <w:b/>
                <w:lang w:val="en-GB"/>
              </w:rPr>
            </w:pPr>
            <w:r w:rsidRPr="004817BF">
              <w:rPr>
                <w:rFonts w:ascii="Arial" w:hAnsi="Arial" w:cs="Arial"/>
                <w:b/>
                <w:lang w:val="en-GB"/>
              </w:rPr>
              <w:t>2010</w:t>
            </w:r>
          </w:p>
        </w:tc>
        <w:tc>
          <w:tcPr>
            <w:tcW w:w="851" w:type="dxa"/>
            <w:tcBorders>
              <w:top w:val="nil"/>
              <w:left w:val="single" w:sz="4" w:space="0" w:color="auto"/>
              <w:bottom w:val="single" w:sz="8" w:space="0" w:color="auto"/>
              <w:right w:val="nil"/>
            </w:tcBorders>
            <w:shd w:val="clear" w:color="auto" w:fill="auto"/>
            <w:noWrap/>
            <w:vAlign w:val="bottom"/>
            <w:hideMark/>
          </w:tcPr>
          <w:p w14:paraId="7AC970BC" w14:textId="77777777" w:rsidR="00A10CD4" w:rsidRPr="004817BF" w:rsidRDefault="00A10CD4" w:rsidP="00FD52C4">
            <w:pPr>
              <w:keepNext/>
              <w:keepLines/>
              <w:spacing w:before="40" w:after="40"/>
              <w:jc w:val="center"/>
              <w:rPr>
                <w:rFonts w:ascii="Arial" w:hAnsi="Arial" w:cs="Arial"/>
                <w:b/>
                <w:lang w:val="en-GB"/>
              </w:rPr>
            </w:pPr>
            <w:r w:rsidRPr="004817BF">
              <w:rPr>
                <w:rFonts w:ascii="Arial" w:hAnsi="Arial" w:cs="Arial"/>
                <w:b/>
                <w:lang w:val="en-GB"/>
              </w:rPr>
              <w:t>2011</w:t>
            </w:r>
          </w:p>
        </w:tc>
        <w:tc>
          <w:tcPr>
            <w:tcW w:w="992" w:type="dxa"/>
            <w:tcBorders>
              <w:top w:val="nil"/>
              <w:left w:val="single" w:sz="4" w:space="0" w:color="auto"/>
              <w:bottom w:val="single" w:sz="8" w:space="0" w:color="auto"/>
              <w:right w:val="single" w:sz="4" w:space="0" w:color="auto"/>
            </w:tcBorders>
            <w:shd w:val="clear" w:color="auto" w:fill="auto"/>
            <w:noWrap/>
            <w:vAlign w:val="bottom"/>
            <w:hideMark/>
          </w:tcPr>
          <w:p w14:paraId="1CF6CBDE" w14:textId="77777777" w:rsidR="00A10CD4" w:rsidRPr="004817BF" w:rsidRDefault="00A10CD4" w:rsidP="00FD52C4">
            <w:pPr>
              <w:keepNext/>
              <w:keepLines/>
              <w:spacing w:before="40" w:after="40"/>
              <w:jc w:val="center"/>
              <w:rPr>
                <w:rFonts w:ascii="Arial" w:hAnsi="Arial" w:cs="Arial"/>
                <w:b/>
                <w:lang w:val="en-GB"/>
              </w:rPr>
            </w:pPr>
            <w:r w:rsidRPr="004817BF">
              <w:rPr>
                <w:rFonts w:ascii="Arial" w:hAnsi="Arial" w:cs="Arial"/>
                <w:b/>
                <w:lang w:val="en-GB"/>
              </w:rPr>
              <w:t>2012</w:t>
            </w:r>
          </w:p>
        </w:tc>
        <w:tc>
          <w:tcPr>
            <w:tcW w:w="851" w:type="dxa"/>
            <w:tcBorders>
              <w:top w:val="nil"/>
              <w:left w:val="nil"/>
              <w:bottom w:val="single" w:sz="8" w:space="0" w:color="auto"/>
              <w:right w:val="nil"/>
            </w:tcBorders>
            <w:shd w:val="clear" w:color="auto" w:fill="auto"/>
            <w:noWrap/>
            <w:vAlign w:val="bottom"/>
            <w:hideMark/>
          </w:tcPr>
          <w:p w14:paraId="42F7C8F5" w14:textId="77777777" w:rsidR="00A10CD4" w:rsidRPr="004817BF" w:rsidRDefault="00A10CD4" w:rsidP="00FD52C4">
            <w:pPr>
              <w:keepNext/>
              <w:keepLines/>
              <w:spacing w:before="40" w:after="40"/>
              <w:jc w:val="center"/>
              <w:rPr>
                <w:rFonts w:ascii="Arial" w:hAnsi="Arial" w:cs="Arial"/>
                <w:b/>
                <w:lang w:val="en-GB"/>
              </w:rPr>
            </w:pPr>
            <w:r w:rsidRPr="004817BF">
              <w:rPr>
                <w:rFonts w:ascii="Arial" w:hAnsi="Arial" w:cs="Arial"/>
                <w:b/>
                <w:lang w:val="en-GB"/>
              </w:rPr>
              <w:t>2013</w:t>
            </w:r>
          </w:p>
        </w:tc>
        <w:tc>
          <w:tcPr>
            <w:tcW w:w="1044" w:type="dxa"/>
            <w:tcBorders>
              <w:top w:val="nil"/>
              <w:left w:val="single" w:sz="4" w:space="0" w:color="auto"/>
              <w:bottom w:val="single" w:sz="8" w:space="0" w:color="auto"/>
              <w:right w:val="single" w:sz="4" w:space="0" w:color="auto"/>
            </w:tcBorders>
            <w:shd w:val="clear" w:color="auto" w:fill="auto"/>
            <w:noWrap/>
            <w:vAlign w:val="bottom"/>
            <w:hideMark/>
          </w:tcPr>
          <w:p w14:paraId="36E53985" w14:textId="77777777" w:rsidR="00A10CD4" w:rsidRPr="004817BF" w:rsidRDefault="00A10CD4" w:rsidP="00FD52C4">
            <w:pPr>
              <w:keepNext/>
              <w:keepLines/>
              <w:spacing w:before="40" w:after="40"/>
              <w:jc w:val="center"/>
              <w:rPr>
                <w:rFonts w:ascii="Arial" w:hAnsi="Arial" w:cs="Arial"/>
                <w:b/>
                <w:lang w:val="en-GB"/>
              </w:rPr>
            </w:pPr>
            <w:r w:rsidRPr="004817BF">
              <w:rPr>
                <w:rFonts w:ascii="Arial" w:hAnsi="Arial" w:cs="Arial"/>
                <w:b/>
                <w:lang w:val="en-GB"/>
              </w:rPr>
              <w:t>2014</w:t>
            </w:r>
          </w:p>
        </w:tc>
        <w:tc>
          <w:tcPr>
            <w:tcW w:w="992" w:type="dxa"/>
            <w:tcBorders>
              <w:top w:val="nil"/>
              <w:left w:val="nil"/>
              <w:bottom w:val="single" w:sz="8" w:space="0" w:color="auto"/>
              <w:right w:val="single" w:sz="8" w:space="0" w:color="auto"/>
            </w:tcBorders>
            <w:shd w:val="clear" w:color="auto" w:fill="auto"/>
            <w:noWrap/>
            <w:vAlign w:val="bottom"/>
            <w:hideMark/>
          </w:tcPr>
          <w:p w14:paraId="12DC66FB" w14:textId="77777777" w:rsidR="00A10CD4" w:rsidRPr="004817BF" w:rsidRDefault="00A10CD4" w:rsidP="00FD52C4">
            <w:pPr>
              <w:keepNext/>
              <w:keepLines/>
              <w:spacing w:before="40" w:after="40"/>
              <w:jc w:val="center"/>
              <w:rPr>
                <w:rFonts w:ascii="Arial" w:hAnsi="Arial" w:cs="Arial"/>
                <w:b/>
                <w:lang w:val="en-GB"/>
              </w:rPr>
            </w:pPr>
            <w:r w:rsidRPr="004817BF">
              <w:rPr>
                <w:rFonts w:ascii="Arial" w:hAnsi="Arial" w:cs="Arial"/>
                <w:b/>
                <w:lang w:val="en-GB"/>
              </w:rPr>
              <w:t>2015</w:t>
            </w:r>
          </w:p>
        </w:tc>
      </w:tr>
      <w:tr w:rsidR="00A10CD4" w:rsidRPr="004817BF" w14:paraId="7840AE6C" w14:textId="77777777" w:rsidTr="00A10CD4">
        <w:trPr>
          <w:trHeight w:val="60"/>
        </w:trPr>
        <w:tc>
          <w:tcPr>
            <w:tcW w:w="1277" w:type="dxa"/>
            <w:tcBorders>
              <w:top w:val="nil"/>
              <w:left w:val="single" w:sz="8" w:space="0" w:color="auto"/>
              <w:bottom w:val="nil"/>
              <w:right w:val="nil"/>
            </w:tcBorders>
            <w:shd w:val="clear" w:color="auto" w:fill="auto"/>
            <w:noWrap/>
            <w:vAlign w:val="bottom"/>
            <w:hideMark/>
          </w:tcPr>
          <w:p w14:paraId="14C6E9A6"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Assets</w:t>
            </w:r>
          </w:p>
        </w:tc>
        <w:tc>
          <w:tcPr>
            <w:tcW w:w="2551" w:type="dxa"/>
            <w:tcBorders>
              <w:top w:val="nil"/>
              <w:left w:val="single" w:sz="8" w:space="0" w:color="auto"/>
              <w:bottom w:val="single" w:sz="8" w:space="0" w:color="auto"/>
              <w:right w:val="single" w:sz="8" w:space="0" w:color="auto"/>
            </w:tcBorders>
            <w:shd w:val="clear" w:color="auto" w:fill="auto"/>
            <w:noWrap/>
            <w:vAlign w:val="bottom"/>
            <w:hideMark/>
          </w:tcPr>
          <w:p w14:paraId="2DFE315D" w14:textId="77777777" w:rsidR="00A10CD4" w:rsidRPr="004817BF" w:rsidRDefault="00A10CD4" w:rsidP="00FD52C4">
            <w:pPr>
              <w:keepNext/>
              <w:keepLines/>
              <w:rPr>
                <w:rFonts w:ascii="Arial" w:hAnsi="Arial" w:cs="Arial"/>
                <w:lang w:val="en-GB"/>
              </w:rPr>
            </w:pPr>
            <w:r w:rsidRPr="004817BF">
              <w:rPr>
                <w:rFonts w:ascii="Arial" w:hAnsi="Arial" w:cs="Arial"/>
                <w:lang w:val="en-GB"/>
              </w:rPr>
              <w:t> </w:t>
            </w:r>
          </w:p>
        </w:tc>
        <w:tc>
          <w:tcPr>
            <w:tcW w:w="798" w:type="dxa"/>
            <w:tcBorders>
              <w:top w:val="nil"/>
              <w:left w:val="nil"/>
              <w:bottom w:val="nil"/>
              <w:right w:val="nil"/>
            </w:tcBorders>
            <w:shd w:val="clear" w:color="auto" w:fill="auto"/>
            <w:noWrap/>
            <w:vAlign w:val="bottom"/>
            <w:hideMark/>
          </w:tcPr>
          <w:p w14:paraId="0BB88F23" w14:textId="77777777" w:rsidR="00A10CD4" w:rsidRPr="004817BF" w:rsidRDefault="00A10CD4" w:rsidP="00FD52C4">
            <w:pPr>
              <w:keepNext/>
              <w:keepLines/>
              <w:rPr>
                <w:rFonts w:ascii="Arial" w:hAnsi="Arial" w:cs="Arial"/>
                <w:lang w:val="en-GB"/>
              </w:rPr>
            </w:pPr>
          </w:p>
        </w:tc>
        <w:tc>
          <w:tcPr>
            <w:tcW w:w="851" w:type="dxa"/>
            <w:tcBorders>
              <w:top w:val="nil"/>
              <w:left w:val="single" w:sz="4" w:space="0" w:color="auto"/>
              <w:bottom w:val="nil"/>
              <w:right w:val="nil"/>
            </w:tcBorders>
            <w:shd w:val="clear" w:color="auto" w:fill="auto"/>
            <w:noWrap/>
            <w:vAlign w:val="bottom"/>
            <w:hideMark/>
          </w:tcPr>
          <w:p w14:paraId="4257D6BB" w14:textId="77777777" w:rsidR="00A10CD4" w:rsidRPr="004817BF" w:rsidRDefault="00A10CD4" w:rsidP="00FD52C4">
            <w:pPr>
              <w:keepNext/>
              <w:keepLines/>
              <w:rPr>
                <w:rFonts w:ascii="Arial" w:hAnsi="Arial" w:cs="Arial"/>
                <w:lang w:val="en-GB"/>
              </w:rPr>
            </w:pPr>
            <w:r w:rsidRPr="004817BF">
              <w:rPr>
                <w:rFonts w:ascii="Arial" w:hAnsi="Arial" w:cs="Arial"/>
                <w:lang w:val="en-GB"/>
              </w:rPr>
              <w:t> </w:t>
            </w:r>
          </w:p>
        </w:tc>
        <w:tc>
          <w:tcPr>
            <w:tcW w:w="992" w:type="dxa"/>
            <w:tcBorders>
              <w:top w:val="nil"/>
              <w:left w:val="single" w:sz="4" w:space="0" w:color="auto"/>
              <w:bottom w:val="nil"/>
              <w:right w:val="single" w:sz="4" w:space="0" w:color="auto"/>
            </w:tcBorders>
            <w:shd w:val="clear" w:color="auto" w:fill="auto"/>
            <w:noWrap/>
            <w:vAlign w:val="bottom"/>
            <w:hideMark/>
          </w:tcPr>
          <w:p w14:paraId="3ED5936F" w14:textId="77777777" w:rsidR="00A10CD4" w:rsidRPr="004817BF" w:rsidRDefault="00A10CD4" w:rsidP="00FD52C4">
            <w:pPr>
              <w:keepNext/>
              <w:keepLines/>
              <w:rPr>
                <w:rFonts w:ascii="Arial" w:hAnsi="Arial" w:cs="Arial"/>
                <w:lang w:val="en-GB"/>
              </w:rPr>
            </w:pPr>
            <w:r w:rsidRPr="004817BF">
              <w:rPr>
                <w:rFonts w:ascii="Arial" w:hAnsi="Arial" w:cs="Arial"/>
                <w:lang w:val="en-GB"/>
              </w:rPr>
              <w:t> </w:t>
            </w:r>
          </w:p>
        </w:tc>
        <w:tc>
          <w:tcPr>
            <w:tcW w:w="851" w:type="dxa"/>
            <w:tcBorders>
              <w:top w:val="nil"/>
              <w:left w:val="nil"/>
              <w:bottom w:val="nil"/>
              <w:right w:val="nil"/>
            </w:tcBorders>
            <w:shd w:val="clear" w:color="auto" w:fill="auto"/>
            <w:noWrap/>
            <w:vAlign w:val="bottom"/>
            <w:hideMark/>
          </w:tcPr>
          <w:p w14:paraId="2285D873" w14:textId="77777777" w:rsidR="00A10CD4" w:rsidRPr="004817BF" w:rsidRDefault="00A10CD4" w:rsidP="00FD52C4">
            <w:pPr>
              <w:keepNext/>
              <w:keepLines/>
              <w:rPr>
                <w:rFonts w:ascii="Arial" w:hAnsi="Arial" w:cs="Arial"/>
                <w:lang w:val="en-GB"/>
              </w:rPr>
            </w:pPr>
          </w:p>
        </w:tc>
        <w:tc>
          <w:tcPr>
            <w:tcW w:w="1044" w:type="dxa"/>
            <w:tcBorders>
              <w:top w:val="nil"/>
              <w:left w:val="single" w:sz="4" w:space="0" w:color="auto"/>
              <w:bottom w:val="nil"/>
              <w:right w:val="single" w:sz="4" w:space="0" w:color="auto"/>
            </w:tcBorders>
            <w:shd w:val="clear" w:color="auto" w:fill="auto"/>
            <w:noWrap/>
            <w:vAlign w:val="bottom"/>
            <w:hideMark/>
          </w:tcPr>
          <w:p w14:paraId="03CD866D" w14:textId="77777777" w:rsidR="00A10CD4" w:rsidRPr="004817BF" w:rsidRDefault="00A10CD4" w:rsidP="00FD52C4">
            <w:pPr>
              <w:keepNext/>
              <w:keepLines/>
              <w:rPr>
                <w:rFonts w:ascii="Arial" w:hAnsi="Arial" w:cs="Arial"/>
                <w:lang w:val="en-GB"/>
              </w:rPr>
            </w:pPr>
            <w:r w:rsidRPr="004817BF">
              <w:rPr>
                <w:rFonts w:ascii="Arial" w:hAnsi="Arial" w:cs="Arial"/>
                <w:lang w:val="en-GB"/>
              </w:rPr>
              <w:t> </w:t>
            </w:r>
          </w:p>
        </w:tc>
        <w:tc>
          <w:tcPr>
            <w:tcW w:w="992" w:type="dxa"/>
            <w:tcBorders>
              <w:top w:val="nil"/>
              <w:left w:val="nil"/>
              <w:bottom w:val="nil"/>
              <w:right w:val="single" w:sz="8" w:space="0" w:color="auto"/>
            </w:tcBorders>
            <w:shd w:val="clear" w:color="auto" w:fill="auto"/>
            <w:noWrap/>
            <w:vAlign w:val="bottom"/>
            <w:hideMark/>
          </w:tcPr>
          <w:p w14:paraId="7EAAC47B" w14:textId="77777777" w:rsidR="00A10CD4" w:rsidRPr="004817BF" w:rsidRDefault="00A10CD4" w:rsidP="00FD52C4">
            <w:pPr>
              <w:keepNext/>
              <w:keepLines/>
              <w:rPr>
                <w:rFonts w:ascii="Arial" w:hAnsi="Arial" w:cs="Arial"/>
                <w:lang w:val="en-GB"/>
              </w:rPr>
            </w:pPr>
            <w:r w:rsidRPr="004817BF">
              <w:rPr>
                <w:rFonts w:ascii="Arial" w:hAnsi="Arial" w:cs="Arial"/>
                <w:lang w:val="en-GB"/>
              </w:rPr>
              <w:t> </w:t>
            </w:r>
          </w:p>
        </w:tc>
      </w:tr>
      <w:tr w:rsidR="00A10CD4" w:rsidRPr="004817BF" w14:paraId="77AC10D1" w14:textId="77777777" w:rsidTr="00A10CD4">
        <w:trPr>
          <w:trHeight w:val="231"/>
        </w:trPr>
        <w:tc>
          <w:tcPr>
            <w:tcW w:w="1277" w:type="dxa"/>
            <w:tcBorders>
              <w:top w:val="nil"/>
              <w:left w:val="single" w:sz="8" w:space="0" w:color="auto"/>
              <w:bottom w:val="nil"/>
              <w:right w:val="nil"/>
            </w:tcBorders>
            <w:shd w:val="clear" w:color="auto" w:fill="auto"/>
            <w:noWrap/>
            <w:vAlign w:val="bottom"/>
            <w:hideMark/>
          </w:tcPr>
          <w:p w14:paraId="64705C4B" w14:textId="77777777" w:rsidR="00A10CD4" w:rsidRPr="004817BF" w:rsidRDefault="00A10CD4" w:rsidP="00FD52C4">
            <w:pPr>
              <w:keepNext/>
              <w:keepLines/>
              <w:rPr>
                <w:rFonts w:ascii="Arial" w:hAnsi="Arial" w:cs="Arial"/>
                <w:iCs/>
                <w:lang w:val="en-GB"/>
              </w:rPr>
            </w:pPr>
            <w:r w:rsidRPr="004817BF">
              <w:rPr>
                <w:rFonts w:ascii="Arial" w:hAnsi="Arial" w:cs="Arial"/>
                <w:iCs/>
                <w:lang w:val="en-GB"/>
              </w:rPr>
              <w:t>Non-current assets</w:t>
            </w:r>
          </w:p>
        </w:tc>
        <w:tc>
          <w:tcPr>
            <w:tcW w:w="2551" w:type="dxa"/>
            <w:tcBorders>
              <w:top w:val="nil"/>
              <w:left w:val="single" w:sz="8" w:space="0" w:color="auto"/>
              <w:bottom w:val="nil"/>
              <w:right w:val="single" w:sz="8" w:space="0" w:color="auto"/>
            </w:tcBorders>
            <w:shd w:val="clear" w:color="auto" w:fill="auto"/>
            <w:noWrap/>
            <w:vAlign w:val="bottom"/>
            <w:hideMark/>
          </w:tcPr>
          <w:p w14:paraId="45919B36" w14:textId="1EC6CE35" w:rsidR="00A10CD4" w:rsidRPr="004817BF" w:rsidRDefault="00A10CD4" w:rsidP="00FD52C4">
            <w:pPr>
              <w:keepNext/>
              <w:keepLines/>
              <w:rPr>
                <w:rFonts w:ascii="Arial" w:hAnsi="Arial" w:cs="Arial"/>
                <w:lang w:val="en-GB"/>
              </w:rPr>
            </w:pPr>
            <w:r w:rsidRPr="004817BF">
              <w:rPr>
                <w:rFonts w:ascii="Arial" w:hAnsi="Arial" w:cs="Arial"/>
                <w:lang w:val="en-GB"/>
              </w:rPr>
              <w:t>Property, plant</w:t>
            </w:r>
            <w:r w:rsidR="000D472F" w:rsidRPr="004817BF">
              <w:rPr>
                <w:rFonts w:ascii="Arial" w:hAnsi="Arial" w:cs="Arial"/>
                <w:lang w:val="en-GB"/>
              </w:rPr>
              <w:t>,</w:t>
            </w:r>
            <w:r w:rsidRPr="004817BF">
              <w:rPr>
                <w:rFonts w:ascii="Arial" w:hAnsi="Arial" w:cs="Arial"/>
                <w:lang w:val="en-GB"/>
              </w:rPr>
              <w:t xml:space="preserve"> and </w:t>
            </w:r>
            <w:r w:rsidR="000D472F" w:rsidRPr="004817BF">
              <w:rPr>
                <w:rFonts w:ascii="Arial" w:hAnsi="Arial" w:cs="Arial"/>
                <w:lang w:val="en-GB"/>
              </w:rPr>
              <w:t xml:space="preserve">  </w:t>
            </w:r>
            <w:r w:rsidRPr="004817BF">
              <w:rPr>
                <w:rFonts w:ascii="Arial" w:hAnsi="Arial" w:cs="Arial"/>
                <w:lang w:val="en-GB"/>
              </w:rPr>
              <w:t xml:space="preserve">equipment </w:t>
            </w:r>
          </w:p>
        </w:tc>
        <w:tc>
          <w:tcPr>
            <w:tcW w:w="798" w:type="dxa"/>
            <w:tcBorders>
              <w:top w:val="nil"/>
              <w:left w:val="nil"/>
              <w:bottom w:val="nil"/>
              <w:right w:val="nil"/>
            </w:tcBorders>
            <w:shd w:val="clear" w:color="auto" w:fill="auto"/>
            <w:noWrap/>
            <w:vAlign w:val="bottom"/>
            <w:hideMark/>
          </w:tcPr>
          <w:p w14:paraId="7DFC4B05" w14:textId="4BE18EA9"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03 </w:t>
            </w:r>
          </w:p>
        </w:tc>
        <w:tc>
          <w:tcPr>
            <w:tcW w:w="851" w:type="dxa"/>
            <w:tcBorders>
              <w:top w:val="nil"/>
              <w:left w:val="single" w:sz="4" w:space="0" w:color="auto"/>
              <w:bottom w:val="nil"/>
              <w:right w:val="nil"/>
            </w:tcBorders>
            <w:shd w:val="clear" w:color="auto" w:fill="auto"/>
            <w:noWrap/>
            <w:vAlign w:val="bottom"/>
            <w:hideMark/>
          </w:tcPr>
          <w:p w14:paraId="52D6E7F1" w14:textId="272AC735"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74 </w:t>
            </w:r>
          </w:p>
        </w:tc>
        <w:tc>
          <w:tcPr>
            <w:tcW w:w="992" w:type="dxa"/>
            <w:tcBorders>
              <w:top w:val="nil"/>
              <w:left w:val="single" w:sz="4" w:space="0" w:color="auto"/>
              <w:bottom w:val="nil"/>
              <w:right w:val="single" w:sz="4" w:space="0" w:color="auto"/>
            </w:tcBorders>
            <w:shd w:val="clear" w:color="auto" w:fill="auto"/>
            <w:noWrap/>
            <w:vAlign w:val="bottom"/>
            <w:hideMark/>
          </w:tcPr>
          <w:p w14:paraId="198CDC66" w14:textId="2F28FF9E"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w:t>
            </w:r>
            <w:r w:rsidR="00E949D8" w:rsidRPr="004817BF">
              <w:rPr>
                <w:rFonts w:ascii="Arial" w:hAnsi="Arial" w:cs="Arial"/>
                <w:lang w:val="en-GB"/>
              </w:rPr>
              <w:t>.</w:t>
            </w:r>
            <w:r w:rsidRPr="004817BF">
              <w:rPr>
                <w:rFonts w:ascii="Arial" w:hAnsi="Arial" w:cs="Arial"/>
                <w:lang w:val="en-GB"/>
              </w:rPr>
              <w:t xml:space="preserve">03 </w:t>
            </w:r>
          </w:p>
        </w:tc>
        <w:tc>
          <w:tcPr>
            <w:tcW w:w="851" w:type="dxa"/>
            <w:tcBorders>
              <w:top w:val="nil"/>
              <w:left w:val="nil"/>
              <w:bottom w:val="nil"/>
              <w:right w:val="nil"/>
            </w:tcBorders>
            <w:shd w:val="clear" w:color="auto" w:fill="auto"/>
            <w:noWrap/>
            <w:vAlign w:val="bottom"/>
            <w:hideMark/>
          </w:tcPr>
          <w:p w14:paraId="4BEFF258" w14:textId="52E30F30"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2</w:t>
            </w:r>
            <w:r w:rsidR="00E949D8" w:rsidRPr="004817BF">
              <w:rPr>
                <w:rFonts w:ascii="Arial" w:hAnsi="Arial" w:cs="Arial"/>
                <w:lang w:val="en-GB"/>
              </w:rPr>
              <w:t>.</w:t>
            </w:r>
            <w:r w:rsidRPr="004817BF">
              <w:rPr>
                <w:rFonts w:ascii="Arial" w:hAnsi="Arial" w:cs="Arial"/>
                <w:lang w:val="en-GB"/>
              </w:rPr>
              <w:t xml:space="preserve">01 </w:t>
            </w:r>
          </w:p>
        </w:tc>
        <w:tc>
          <w:tcPr>
            <w:tcW w:w="1044" w:type="dxa"/>
            <w:tcBorders>
              <w:top w:val="nil"/>
              <w:left w:val="single" w:sz="4" w:space="0" w:color="auto"/>
              <w:bottom w:val="nil"/>
              <w:right w:val="single" w:sz="4" w:space="0" w:color="auto"/>
            </w:tcBorders>
            <w:shd w:val="clear" w:color="auto" w:fill="auto"/>
            <w:noWrap/>
            <w:vAlign w:val="bottom"/>
            <w:hideMark/>
          </w:tcPr>
          <w:p w14:paraId="4F310A23" w14:textId="6BCA8684"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2</w:t>
            </w:r>
            <w:r w:rsidR="00E949D8" w:rsidRPr="004817BF">
              <w:rPr>
                <w:rFonts w:ascii="Arial" w:hAnsi="Arial" w:cs="Arial"/>
                <w:lang w:val="en-GB"/>
              </w:rPr>
              <w:t>.</w:t>
            </w:r>
            <w:r w:rsidRPr="004817BF">
              <w:rPr>
                <w:rFonts w:ascii="Arial" w:hAnsi="Arial" w:cs="Arial"/>
                <w:lang w:val="en-GB"/>
              </w:rPr>
              <w:t xml:space="preserve">60 </w:t>
            </w:r>
          </w:p>
        </w:tc>
        <w:tc>
          <w:tcPr>
            <w:tcW w:w="992" w:type="dxa"/>
            <w:tcBorders>
              <w:top w:val="nil"/>
              <w:left w:val="nil"/>
              <w:bottom w:val="nil"/>
              <w:right w:val="single" w:sz="8" w:space="0" w:color="auto"/>
            </w:tcBorders>
            <w:shd w:val="clear" w:color="auto" w:fill="auto"/>
            <w:noWrap/>
            <w:vAlign w:val="bottom"/>
            <w:hideMark/>
          </w:tcPr>
          <w:p w14:paraId="275EB755" w14:textId="53976D3D" w:rsidR="00A10CD4" w:rsidRPr="004817BF" w:rsidRDefault="00A10CD4" w:rsidP="00FD52C4">
            <w:pPr>
              <w:keepNext/>
              <w:keepLines/>
              <w:jc w:val="right"/>
              <w:rPr>
                <w:rFonts w:ascii="Arial" w:hAnsi="Arial" w:cs="Arial"/>
                <w:lang w:val="en-GB"/>
              </w:rPr>
            </w:pPr>
            <w:r w:rsidRPr="004817BF">
              <w:rPr>
                <w:rFonts w:ascii="Arial" w:hAnsi="Arial" w:cs="Arial"/>
                <w:lang w:val="en-GB"/>
              </w:rPr>
              <w:t>5</w:t>
            </w:r>
            <w:r w:rsidR="00E949D8" w:rsidRPr="004817BF">
              <w:rPr>
                <w:rFonts w:ascii="Arial" w:hAnsi="Arial" w:cs="Arial"/>
                <w:lang w:val="en-GB"/>
              </w:rPr>
              <w:t>.</w:t>
            </w:r>
            <w:r w:rsidRPr="004817BF">
              <w:rPr>
                <w:rFonts w:ascii="Arial" w:hAnsi="Arial" w:cs="Arial"/>
                <w:lang w:val="en-GB"/>
              </w:rPr>
              <w:t xml:space="preserve">18 </w:t>
            </w:r>
          </w:p>
        </w:tc>
      </w:tr>
      <w:tr w:rsidR="00A10CD4" w:rsidRPr="004817BF" w14:paraId="4BC725E1" w14:textId="77777777" w:rsidTr="00A10CD4">
        <w:trPr>
          <w:trHeight w:val="63"/>
        </w:trPr>
        <w:tc>
          <w:tcPr>
            <w:tcW w:w="1277" w:type="dxa"/>
            <w:tcBorders>
              <w:top w:val="nil"/>
              <w:left w:val="single" w:sz="8" w:space="0" w:color="auto"/>
              <w:bottom w:val="nil"/>
              <w:right w:val="nil"/>
            </w:tcBorders>
            <w:shd w:val="clear" w:color="auto" w:fill="auto"/>
            <w:noWrap/>
            <w:vAlign w:val="bottom"/>
            <w:hideMark/>
          </w:tcPr>
          <w:p w14:paraId="1F0E1312" w14:textId="77777777" w:rsidR="00A10CD4" w:rsidRPr="004817BF" w:rsidRDefault="00A10CD4" w:rsidP="00FD52C4">
            <w:pPr>
              <w:keepNext/>
              <w:keepLines/>
              <w:rPr>
                <w:rFonts w:ascii="Arial" w:hAnsi="Arial" w:cs="Arial"/>
                <w:iCs/>
                <w:lang w:val="en-GB"/>
              </w:rPr>
            </w:pPr>
            <w:r w:rsidRPr="004817BF">
              <w:rPr>
                <w:rFonts w:ascii="Arial" w:hAnsi="Arial" w:cs="Arial"/>
                <w:i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79FE57CD" w14:textId="73469D97" w:rsidR="00A10CD4" w:rsidRPr="004817BF" w:rsidRDefault="00A10CD4" w:rsidP="00FD52C4">
            <w:pPr>
              <w:keepNext/>
              <w:keepLines/>
              <w:rPr>
                <w:rFonts w:ascii="Arial" w:hAnsi="Arial" w:cs="Arial"/>
                <w:lang w:val="en-GB"/>
              </w:rPr>
            </w:pPr>
            <w:r w:rsidRPr="004817BF">
              <w:rPr>
                <w:rFonts w:ascii="Arial" w:hAnsi="Arial" w:cs="Arial"/>
                <w:lang w:val="en-GB"/>
              </w:rPr>
              <w:t xml:space="preserve">Intangible assets </w:t>
            </w:r>
          </w:p>
        </w:tc>
        <w:tc>
          <w:tcPr>
            <w:tcW w:w="798" w:type="dxa"/>
            <w:tcBorders>
              <w:top w:val="nil"/>
              <w:left w:val="nil"/>
              <w:bottom w:val="nil"/>
              <w:right w:val="nil"/>
            </w:tcBorders>
            <w:shd w:val="clear" w:color="auto" w:fill="auto"/>
            <w:noWrap/>
            <w:vAlign w:val="bottom"/>
            <w:hideMark/>
          </w:tcPr>
          <w:p w14:paraId="2D7B5181" w14:textId="7718A14A"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01 </w:t>
            </w:r>
          </w:p>
        </w:tc>
        <w:tc>
          <w:tcPr>
            <w:tcW w:w="851" w:type="dxa"/>
            <w:tcBorders>
              <w:top w:val="nil"/>
              <w:left w:val="single" w:sz="4" w:space="0" w:color="auto"/>
              <w:bottom w:val="nil"/>
              <w:right w:val="nil"/>
            </w:tcBorders>
            <w:shd w:val="clear" w:color="auto" w:fill="auto"/>
            <w:noWrap/>
            <w:vAlign w:val="bottom"/>
            <w:hideMark/>
          </w:tcPr>
          <w:p w14:paraId="6EF2896B" w14:textId="06F08268"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48 </w:t>
            </w:r>
          </w:p>
        </w:tc>
        <w:tc>
          <w:tcPr>
            <w:tcW w:w="992" w:type="dxa"/>
            <w:tcBorders>
              <w:top w:val="nil"/>
              <w:left w:val="single" w:sz="4" w:space="0" w:color="auto"/>
              <w:bottom w:val="nil"/>
              <w:right w:val="single" w:sz="4" w:space="0" w:color="auto"/>
            </w:tcBorders>
            <w:shd w:val="clear" w:color="auto" w:fill="auto"/>
            <w:noWrap/>
            <w:vAlign w:val="bottom"/>
            <w:hideMark/>
          </w:tcPr>
          <w:p w14:paraId="698EB99E" w14:textId="53C78042"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51 </w:t>
            </w:r>
          </w:p>
        </w:tc>
        <w:tc>
          <w:tcPr>
            <w:tcW w:w="851" w:type="dxa"/>
            <w:tcBorders>
              <w:top w:val="nil"/>
              <w:left w:val="nil"/>
              <w:bottom w:val="nil"/>
              <w:right w:val="nil"/>
            </w:tcBorders>
            <w:shd w:val="clear" w:color="auto" w:fill="auto"/>
            <w:noWrap/>
            <w:vAlign w:val="bottom"/>
            <w:hideMark/>
          </w:tcPr>
          <w:p w14:paraId="2373C408" w14:textId="279051D3"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48 </w:t>
            </w:r>
          </w:p>
        </w:tc>
        <w:tc>
          <w:tcPr>
            <w:tcW w:w="1044" w:type="dxa"/>
            <w:tcBorders>
              <w:top w:val="nil"/>
              <w:left w:val="single" w:sz="4" w:space="0" w:color="auto"/>
              <w:bottom w:val="nil"/>
              <w:right w:val="single" w:sz="4" w:space="0" w:color="auto"/>
            </w:tcBorders>
            <w:shd w:val="clear" w:color="auto" w:fill="auto"/>
            <w:noWrap/>
            <w:vAlign w:val="bottom"/>
            <w:hideMark/>
          </w:tcPr>
          <w:p w14:paraId="2B343462" w14:textId="669FCA11" w:rsidR="00A10CD4" w:rsidRPr="004817BF" w:rsidRDefault="00A10CD4" w:rsidP="00FD52C4">
            <w:pPr>
              <w:keepNext/>
              <w:keepLines/>
              <w:jc w:val="right"/>
              <w:rPr>
                <w:rFonts w:ascii="Arial" w:hAnsi="Arial" w:cs="Arial"/>
                <w:lang w:val="en-GB"/>
              </w:rPr>
            </w:pPr>
            <w:r w:rsidRPr="004817BF">
              <w:rPr>
                <w:rFonts w:ascii="Arial" w:hAnsi="Arial" w:cs="Arial"/>
                <w:lang w:val="en-GB"/>
              </w:rPr>
              <w:t>1</w:t>
            </w:r>
            <w:r w:rsidR="00E949D8" w:rsidRPr="004817BF">
              <w:rPr>
                <w:rFonts w:ascii="Arial" w:hAnsi="Arial" w:cs="Arial"/>
                <w:lang w:val="en-GB"/>
              </w:rPr>
              <w:t>.</w:t>
            </w:r>
            <w:r w:rsidRPr="004817BF">
              <w:rPr>
                <w:rFonts w:ascii="Arial" w:hAnsi="Arial" w:cs="Arial"/>
                <w:lang w:val="en-GB"/>
              </w:rPr>
              <w:t xml:space="preserve">89 </w:t>
            </w:r>
          </w:p>
        </w:tc>
        <w:tc>
          <w:tcPr>
            <w:tcW w:w="992" w:type="dxa"/>
            <w:tcBorders>
              <w:top w:val="nil"/>
              <w:left w:val="nil"/>
              <w:bottom w:val="nil"/>
              <w:right w:val="single" w:sz="8" w:space="0" w:color="auto"/>
            </w:tcBorders>
            <w:shd w:val="clear" w:color="auto" w:fill="auto"/>
            <w:noWrap/>
            <w:vAlign w:val="bottom"/>
            <w:hideMark/>
          </w:tcPr>
          <w:p w14:paraId="0CCA6667" w14:textId="1B17D3C8"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4</w:t>
            </w:r>
            <w:r w:rsidR="00E949D8" w:rsidRPr="004817BF">
              <w:rPr>
                <w:rFonts w:ascii="Arial" w:hAnsi="Arial" w:cs="Arial"/>
                <w:lang w:val="en-GB"/>
              </w:rPr>
              <w:t>.</w:t>
            </w:r>
            <w:r w:rsidRPr="004817BF">
              <w:rPr>
                <w:rFonts w:ascii="Arial" w:hAnsi="Arial" w:cs="Arial"/>
                <w:lang w:val="en-GB"/>
              </w:rPr>
              <w:t xml:space="preserve">28 </w:t>
            </w:r>
          </w:p>
        </w:tc>
      </w:tr>
      <w:tr w:rsidR="00A10CD4" w:rsidRPr="004817BF" w14:paraId="1EC9C29C" w14:textId="77777777" w:rsidTr="00A10CD4">
        <w:trPr>
          <w:trHeight w:val="164"/>
        </w:trPr>
        <w:tc>
          <w:tcPr>
            <w:tcW w:w="1277" w:type="dxa"/>
            <w:tcBorders>
              <w:top w:val="nil"/>
              <w:left w:val="single" w:sz="8" w:space="0" w:color="auto"/>
              <w:bottom w:val="nil"/>
              <w:right w:val="nil"/>
            </w:tcBorders>
            <w:shd w:val="clear" w:color="auto" w:fill="auto"/>
            <w:noWrap/>
            <w:vAlign w:val="bottom"/>
            <w:hideMark/>
          </w:tcPr>
          <w:p w14:paraId="320505E0" w14:textId="77777777" w:rsidR="00A10CD4" w:rsidRPr="004817BF" w:rsidRDefault="00A10CD4" w:rsidP="00FD52C4">
            <w:pPr>
              <w:keepNext/>
              <w:keepLines/>
              <w:rPr>
                <w:rFonts w:ascii="Arial" w:hAnsi="Arial" w:cs="Arial"/>
                <w:iCs/>
                <w:lang w:val="en-GB"/>
              </w:rPr>
            </w:pPr>
            <w:r w:rsidRPr="004817BF">
              <w:rPr>
                <w:rFonts w:ascii="Arial" w:hAnsi="Arial" w:cs="Arial"/>
                <w:i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05BF33C0" w14:textId="7C245ED1" w:rsidR="00A10CD4" w:rsidRPr="004817BF" w:rsidRDefault="00A10CD4" w:rsidP="00FD52C4">
            <w:pPr>
              <w:keepNext/>
              <w:keepLines/>
              <w:rPr>
                <w:rFonts w:ascii="Arial" w:hAnsi="Arial" w:cs="Arial"/>
                <w:b/>
                <w:bCs/>
                <w:lang w:val="en-GB"/>
              </w:rPr>
            </w:pPr>
            <w:r w:rsidRPr="004817BF">
              <w:rPr>
                <w:rFonts w:ascii="Arial" w:hAnsi="Arial" w:cs="Arial"/>
                <w:b/>
                <w:bCs/>
                <w:lang w:val="en-GB"/>
              </w:rPr>
              <w:t xml:space="preserve">Total non-current assets </w:t>
            </w:r>
          </w:p>
        </w:tc>
        <w:tc>
          <w:tcPr>
            <w:tcW w:w="798" w:type="dxa"/>
            <w:tcBorders>
              <w:top w:val="nil"/>
              <w:left w:val="nil"/>
              <w:bottom w:val="single" w:sz="4" w:space="0" w:color="auto"/>
              <w:right w:val="nil"/>
            </w:tcBorders>
            <w:shd w:val="clear" w:color="auto" w:fill="auto"/>
            <w:noWrap/>
            <w:vAlign w:val="bottom"/>
            <w:hideMark/>
          </w:tcPr>
          <w:p w14:paraId="13310A45" w14:textId="1A567CDA"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04 </w:t>
            </w:r>
          </w:p>
        </w:tc>
        <w:tc>
          <w:tcPr>
            <w:tcW w:w="851" w:type="dxa"/>
            <w:tcBorders>
              <w:top w:val="nil"/>
              <w:left w:val="single" w:sz="4" w:space="0" w:color="auto"/>
              <w:bottom w:val="single" w:sz="4" w:space="0" w:color="auto"/>
              <w:right w:val="nil"/>
            </w:tcBorders>
            <w:shd w:val="clear" w:color="auto" w:fill="auto"/>
            <w:noWrap/>
            <w:vAlign w:val="bottom"/>
            <w:hideMark/>
          </w:tcPr>
          <w:p w14:paraId="5B63B169" w14:textId="030073AB" w:rsidR="00A10CD4" w:rsidRPr="004817BF" w:rsidRDefault="00A10CD4" w:rsidP="00FD52C4">
            <w:pPr>
              <w:keepNext/>
              <w:keepLines/>
              <w:jc w:val="right"/>
              <w:rPr>
                <w:rFonts w:ascii="Arial" w:hAnsi="Arial" w:cs="Arial"/>
                <w:lang w:val="en-GB"/>
              </w:rPr>
            </w:pPr>
            <w:r w:rsidRPr="004817BF">
              <w:rPr>
                <w:rFonts w:ascii="Arial" w:hAnsi="Arial" w:cs="Arial"/>
                <w:lang w:val="en-GB"/>
              </w:rPr>
              <w:t>1</w:t>
            </w:r>
            <w:r w:rsidR="00E949D8" w:rsidRPr="004817BF">
              <w:rPr>
                <w:rFonts w:ascii="Arial" w:hAnsi="Arial" w:cs="Arial"/>
                <w:lang w:val="en-GB"/>
              </w:rPr>
              <w:t>.</w:t>
            </w:r>
            <w:r w:rsidRPr="004817BF">
              <w:rPr>
                <w:rFonts w:ascii="Arial" w:hAnsi="Arial" w:cs="Arial"/>
                <w:lang w:val="en-GB"/>
              </w:rPr>
              <w:t xml:space="preserve">45 </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1A99F9C4" w14:textId="43620AA3" w:rsidR="00A10CD4" w:rsidRPr="004817BF" w:rsidRDefault="00A10CD4" w:rsidP="00FD52C4">
            <w:pPr>
              <w:keepNext/>
              <w:keepLines/>
              <w:jc w:val="right"/>
              <w:rPr>
                <w:rFonts w:ascii="Arial" w:hAnsi="Arial" w:cs="Arial"/>
                <w:lang w:val="en-GB"/>
              </w:rPr>
            </w:pPr>
            <w:r w:rsidRPr="004817BF">
              <w:rPr>
                <w:rFonts w:ascii="Arial" w:hAnsi="Arial" w:cs="Arial"/>
                <w:lang w:val="en-GB"/>
              </w:rPr>
              <w:t>2</w:t>
            </w:r>
            <w:r w:rsidR="00E949D8" w:rsidRPr="004817BF">
              <w:rPr>
                <w:rFonts w:ascii="Arial" w:hAnsi="Arial" w:cs="Arial"/>
                <w:lang w:val="en-GB"/>
              </w:rPr>
              <w:t>.</w:t>
            </w:r>
            <w:r w:rsidRPr="004817BF">
              <w:rPr>
                <w:rFonts w:ascii="Arial" w:hAnsi="Arial" w:cs="Arial"/>
                <w:lang w:val="en-GB"/>
              </w:rPr>
              <w:t xml:space="preserve">28 </w:t>
            </w:r>
          </w:p>
        </w:tc>
        <w:tc>
          <w:tcPr>
            <w:tcW w:w="851" w:type="dxa"/>
            <w:tcBorders>
              <w:top w:val="nil"/>
              <w:left w:val="nil"/>
              <w:bottom w:val="single" w:sz="4" w:space="0" w:color="auto"/>
              <w:right w:val="nil"/>
            </w:tcBorders>
            <w:shd w:val="clear" w:color="auto" w:fill="auto"/>
            <w:noWrap/>
            <w:vAlign w:val="bottom"/>
            <w:hideMark/>
          </w:tcPr>
          <w:p w14:paraId="200F87E8" w14:textId="233EECCE"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4</w:t>
            </w:r>
            <w:r w:rsidR="00E949D8" w:rsidRPr="004817BF">
              <w:rPr>
                <w:rFonts w:ascii="Arial" w:hAnsi="Arial" w:cs="Arial"/>
                <w:lang w:val="en-GB"/>
              </w:rPr>
              <w:t>.</w:t>
            </w:r>
            <w:r w:rsidRPr="004817BF">
              <w:rPr>
                <w:rFonts w:ascii="Arial" w:hAnsi="Arial" w:cs="Arial"/>
                <w:lang w:val="en-GB"/>
              </w:rPr>
              <w:t xml:space="preserve">54 </w:t>
            </w:r>
          </w:p>
        </w:tc>
        <w:tc>
          <w:tcPr>
            <w:tcW w:w="1044" w:type="dxa"/>
            <w:tcBorders>
              <w:top w:val="nil"/>
              <w:left w:val="single" w:sz="4" w:space="0" w:color="auto"/>
              <w:bottom w:val="single" w:sz="4" w:space="0" w:color="auto"/>
              <w:right w:val="single" w:sz="4" w:space="0" w:color="auto"/>
            </w:tcBorders>
            <w:shd w:val="clear" w:color="auto" w:fill="auto"/>
            <w:noWrap/>
            <w:vAlign w:val="bottom"/>
            <w:hideMark/>
          </w:tcPr>
          <w:p w14:paraId="0EDD8F80" w14:textId="400F604B" w:rsidR="00A10CD4" w:rsidRPr="004817BF" w:rsidRDefault="00A10CD4" w:rsidP="00FD52C4">
            <w:pPr>
              <w:keepNext/>
              <w:keepLines/>
              <w:jc w:val="right"/>
              <w:rPr>
                <w:rFonts w:ascii="Arial" w:hAnsi="Arial" w:cs="Arial"/>
                <w:lang w:val="en-GB"/>
              </w:rPr>
            </w:pPr>
            <w:r w:rsidRPr="004817BF">
              <w:rPr>
                <w:rFonts w:ascii="Arial" w:hAnsi="Arial" w:cs="Arial"/>
                <w:lang w:val="en-GB"/>
              </w:rPr>
              <w:t>5</w:t>
            </w:r>
            <w:r w:rsidR="00E949D8" w:rsidRPr="004817BF">
              <w:rPr>
                <w:rFonts w:ascii="Arial" w:hAnsi="Arial" w:cs="Arial"/>
                <w:lang w:val="en-GB"/>
              </w:rPr>
              <w:t>.</w:t>
            </w:r>
            <w:r w:rsidRPr="004817BF">
              <w:rPr>
                <w:rFonts w:ascii="Arial" w:hAnsi="Arial" w:cs="Arial"/>
                <w:lang w:val="en-GB"/>
              </w:rPr>
              <w:t xml:space="preserve">00 </w:t>
            </w:r>
          </w:p>
        </w:tc>
        <w:tc>
          <w:tcPr>
            <w:tcW w:w="992" w:type="dxa"/>
            <w:tcBorders>
              <w:top w:val="nil"/>
              <w:left w:val="nil"/>
              <w:bottom w:val="single" w:sz="4" w:space="0" w:color="auto"/>
              <w:right w:val="single" w:sz="8" w:space="0" w:color="auto"/>
            </w:tcBorders>
            <w:shd w:val="clear" w:color="auto" w:fill="auto"/>
            <w:noWrap/>
            <w:vAlign w:val="bottom"/>
            <w:hideMark/>
          </w:tcPr>
          <w:p w14:paraId="64D6C829" w14:textId="28EE05B3"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9</w:t>
            </w:r>
            <w:r w:rsidR="00E949D8" w:rsidRPr="004817BF">
              <w:rPr>
                <w:rFonts w:ascii="Arial" w:hAnsi="Arial" w:cs="Arial"/>
                <w:lang w:val="en-GB"/>
              </w:rPr>
              <w:t>.</w:t>
            </w:r>
            <w:r w:rsidRPr="004817BF">
              <w:rPr>
                <w:rFonts w:ascii="Arial" w:hAnsi="Arial" w:cs="Arial"/>
                <w:lang w:val="en-GB"/>
              </w:rPr>
              <w:t xml:space="preserve">46 </w:t>
            </w:r>
          </w:p>
        </w:tc>
      </w:tr>
      <w:tr w:rsidR="00A10CD4" w:rsidRPr="004817BF" w14:paraId="1491AD94" w14:textId="77777777" w:rsidTr="00A10CD4">
        <w:trPr>
          <w:trHeight w:val="196"/>
        </w:trPr>
        <w:tc>
          <w:tcPr>
            <w:tcW w:w="1277" w:type="dxa"/>
            <w:tcBorders>
              <w:top w:val="nil"/>
              <w:left w:val="single" w:sz="8" w:space="0" w:color="auto"/>
              <w:bottom w:val="nil"/>
              <w:right w:val="nil"/>
            </w:tcBorders>
            <w:shd w:val="clear" w:color="auto" w:fill="auto"/>
            <w:noWrap/>
            <w:vAlign w:val="bottom"/>
            <w:hideMark/>
          </w:tcPr>
          <w:p w14:paraId="3D3B9BDC" w14:textId="4E5D5F72" w:rsidR="00A10CD4" w:rsidRPr="004817BF" w:rsidRDefault="00A10CD4" w:rsidP="00FD52C4">
            <w:pPr>
              <w:keepNext/>
              <w:keepLines/>
              <w:rPr>
                <w:rFonts w:ascii="Arial" w:hAnsi="Arial" w:cs="Arial"/>
                <w:iCs/>
                <w:lang w:val="en-GB"/>
              </w:rPr>
            </w:pPr>
            <w:r w:rsidRPr="004817BF">
              <w:rPr>
                <w:rFonts w:ascii="Arial" w:hAnsi="Arial" w:cs="Arial"/>
                <w:iCs/>
                <w:lang w:val="en-GB"/>
              </w:rPr>
              <w:t xml:space="preserve">Current </w:t>
            </w:r>
            <w:r w:rsidR="000D472F" w:rsidRPr="004817BF">
              <w:rPr>
                <w:rFonts w:ascii="Arial" w:hAnsi="Arial" w:cs="Arial"/>
                <w:iCs/>
                <w:lang w:val="en-GB"/>
              </w:rPr>
              <w:t>a</w:t>
            </w:r>
            <w:r w:rsidRPr="004817BF">
              <w:rPr>
                <w:rFonts w:ascii="Arial" w:hAnsi="Arial" w:cs="Arial"/>
                <w:iCs/>
                <w:lang w:val="en-GB"/>
              </w:rPr>
              <w:t>ssets</w:t>
            </w:r>
          </w:p>
        </w:tc>
        <w:tc>
          <w:tcPr>
            <w:tcW w:w="2551" w:type="dxa"/>
            <w:tcBorders>
              <w:top w:val="nil"/>
              <w:left w:val="single" w:sz="8" w:space="0" w:color="auto"/>
              <w:bottom w:val="nil"/>
              <w:right w:val="single" w:sz="8" w:space="0" w:color="auto"/>
            </w:tcBorders>
            <w:shd w:val="clear" w:color="auto" w:fill="auto"/>
            <w:noWrap/>
            <w:vAlign w:val="bottom"/>
            <w:hideMark/>
          </w:tcPr>
          <w:p w14:paraId="32D721D0" w14:textId="6F2373D3" w:rsidR="00A10CD4" w:rsidRPr="004817BF" w:rsidRDefault="00A10CD4" w:rsidP="00FD52C4">
            <w:pPr>
              <w:keepNext/>
              <w:keepLines/>
              <w:rPr>
                <w:rFonts w:ascii="Arial" w:hAnsi="Arial" w:cs="Arial"/>
                <w:lang w:val="en-GB"/>
              </w:rPr>
            </w:pPr>
            <w:r w:rsidRPr="004817BF">
              <w:rPr>
                <w:rFonts w:ascii="Arial" w:hAnsi="Arial" w:cs="Arial"/>
                <w:lang w:val="en-GB"/>
              </w:rPr>
              <w:t xml:space="preserve">Accounts receivable </w:t>
            </w:r>
          </w:p>
        </w:tc>
        <w:tc>
          <w:tcPr>
            <w:tcW w:w="798" w:type="dxa"/>
            <w:tcBorders>
              <w:top w:val="nil"/>
              <w:left w:val="nil"/>
              <w:bottom w:val="nil"/>
              <w:right w:val="nil"/>
            </w:tcBorders>
            <w:shd w:val="clear" w:color="auto" w:fill="auto"/>
            <w:noWrap/>
            <w:vAlign w:val="bottom"/>
            <w:hideMark/>
          </w:tcPr>
          <w:p w14:paraId="0238E8B5" w14:textId="3E1F5692"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851" w:type="dxa"/>
            <w:tcBorders>
              <w:top w:val="nil"/>
              <w:left w:val="single" w:sz="4" w:space="0" w:color="auto"/>
              <w:bottom w:val="nil"/>
              <w:right w:val="nil"/>
            </w:tcBorders>
            <w:shd w:val="clear" w:color="auto" w:fill="auto"/>
            <w:noWrap/>
            <w:vAlign w:val="bottom"/>
            <w:hideMark/>
          </w:tcPr>
          <w:p w14:paraId="5C440772" w14:textId="5348EEB0"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02 </w:t>
            </w:r>
          </w:p>
        </w:tc>
        <w:tc>
          <w:tcPr>
            <w:tcW w:w="992" w:type="dxa"/>
            <w:tcBorders>
              <w:top w:val="nil"/>
              <w:left w:val="single" w:sz="4" w:space="0" w:color="auto"/>
              <w:bottom w:val="nil"/>
              <w:right w:val="single" w:sz="4" w:space="0" w:color="auto"/>
            </w:tcBorders>
            <w:shd w:val="clear" w:color="auto" w:fill="auto"/>
            <w:noWrap/>
            <w:vAlign w:val="bottom"/>
            <w:hideMark/>
          </w:tcPr>
          <w:p w14:paraId="38DE9A40" w14:textId="2FF9B300"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12 </w:t>
            </w:r>
          </w:p>
        </w:tc>
        <w:tc>
          <w:tcPr>
            <w:tcW w:w="851" w:type="dxa"/>
            <w:tcBorders>
              <w:top w:val="nil"/>
              <w:left w:val="nil"/>
              <w:bottom w:val="nil"/>
              <w:right w:val="nil"/>
            </w:tcBorders>
            <w:shd w:val="clear" w:color="auto" w:fill="auto"/>
            <w:noWrap/>
            <w:vAlign w:val="bottom"/>
            <w:hideMark/>
          </w:tcPr>
          <w:p w14:paraId="4ED06111" w14:textId="1954D168"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87 </w:t>
            </w:r>
          </w:p>
        </w:tc>
        <w:tc>
          <w:tcPr>
            <w:tcW w:w="1044" w:type="dxa"/>
            <w:tcBorders>
              <w:top w:val="nil"/>
              <w:left w:val="single" w:sz="4" w:space="0" w:color="auto"/>
              <w:bottom w:val="nil"/>
              <w:right w:val="single" w:sz="4" w:space="0" w:color="auto"/>
            </w:tcBorders>
            <w:shd w:val="clear" w:color="auto" w:fill="auto"/>
            <w:noWrap/>
            <w:vAlign w:val="bottom"/>
            <w:hideMark/>
          </w:tcPr>
          <w:p w14:paraId="2B289E85" w14:textId="65F2446B"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w:t>
            </w:r>
            <w:r w:rsidR="00E949D8" w:rsidRPr="004817BF">
              <w:rPr>
                <w:rFonts w:ascii="Arial" w:hAnsi="Arial" w:cs="Arial"/>
                <w:lang w:val="en-GB"/>
              </w:rPr>
              <w:t>.</w:t>
            </w:r>
            <w:r w:rsidRPr="004817BF">
              <w:rPr>
                <w:rFonts w:ascii="Arial" w:hAnsi="Arial" w:cs="Arial"/>
                <w:lang w:val="en-GB"/>
              </w:rPr>
              <w:t xml:space="preserve">28 </w:t>
            </w:r>
          </w:p>
        </w:tc>
        <w:tc>
          <w:tcPr>
            <w:tcW w:w="992" w:type="dxa"/>
            <w:tcBorders>
              <w:top w:val="nil"/>
              <w:left w:val="nil"/>
              <w:bottom w:val="nil"/>
              <w:right w:val="single" w:sz="8" w:space="0" w:color="auto"/>
            </w:tcBorders>
            <w:shd w:val="clear" w:color="auto" w:fill="auto"/>
            <w:noWrap/>
            <w:vAlign w:val="bottom"/>
            <w:hideMark/>
          </w:tcPr>
          <w:p w14:paraId="505629E2" w14:textId="1A379B35"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2</w:t>
            </w:r>
            <w:r w:rsidR="00E949D8" w:rsidRPr="004817BF">
              <w:rPr>
                <w:rFonts w:ascii="Arial" w:hAnsi="Arial" w:cs="Arial"/>
                <w:lang w:val="en-GB"/>
              </w:rPr>
              <w:t>.</w:t>
            </w:r>
            <w:r w:rsidRPr="004817BF">
              <w:rPr>
                <w:rFonts w:ascii="Arial" w:hAnsi="Arial" w:cs="Arial"/>
                <w:lang w:val="en-GB"/>
              </w:rPr>
              <w:t xml:space="preserve">63 </w:t>
            </w:r>
          </w:p>
        </w:tc>
      </w:tr>
      <w:tr w:rsidR="00A10CD4" w:rsidRPr="004817BF" w14:paraId="5A00CE0C" w14:textId="77777777" w:rsidTr="00A10CD4">
        <w:trPr>
          <w:trHeight w:val="188"/>
        </w:trPr>
        <w:tc>
          <w:tcPr>
            <w:tcW w:w="1277" w:type="dxa"/>
            <w:tcBorders>
              <w:top w:val="nil"/>
              <w:left w:val="single" w:sz="8" w:space="0" w:color="auto"/>
              <w:bottom w:val="nil"/>
              <w:right w:val="nil"/>
            </w:tcBorders>
            <w:shd w:val="clear" w:color="auto" w:fill="auto"/>
            <w:noWrap/>
            <w:vAlign w:val="bottom"/>
            <w:hideMark/>
          </w:tcPr>
          <w:p w14:paraId="33BCBE83" w14:textId="77777777" w:rsidR="00A10CD4" w:rsidRPr="004817BF" w:rsidRDefault="00A10CD4" w:rsidP="00FD52C4">
            <w:pPr>
              <w:keepNext/>
              <w:keepLines/>
              <w:rPr>
                <w:rFonts w:ascii="Arial" w:hAnsi="Arial" w:cs="Arial"/>
                <w:iCs/>
                <w:lang w:val="en-GB"/>
              </w:rPr>
            </w:pPr>
            <w:r w:rsidRPr="004817BF">
              <w:rPr>
                <w:rFonts w:ascii="Arial" w:hAnsi="Arial" w:cs="Arial"/>
                <w:i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6AE586D2" w14:textId="624A0E07" w:rsidR="00A10CD4" w:rsidRPr="004817BF" w:rsidRDefault="00A10CD4" w:rsidP="00FD52C4">
            <w:pPr>
              <w:keepNext/>
              <w:keepLines/>
              <w:rPr>
                <w:rFonts w:ascii="Arial" w:hAnsi="Arial" w:cs="Arial"/>
                <w:b/>
                <w:bCs/>
                <w:lang w:val="en-GB"/>
              </w:rPr>
            </w:pPr>
            <w:r w:rsidRPr="004817BF">
              <w:rPr>
                <w:rFonts w:ascii="Arial" w:hAnsi="Arial" w:cs="Arial"/>
                <w:b/>
                <w:bCs/>
                <w:lang w:val="en-GB"/>
              </w:rPr>
              <w:t xml:space="preserve">Total current assets </w:t>
            </w:r>
          </w:p>
        </w:tc>
        <w:tc>
          <w:tcPr>
            <w:tcW w:w="798" w:type="dxa"/>
            <w:tcBorders>
              <w:top w:val="nil"/>
              <w:left w:val="nil"/>
              <w:bottom w:val="nil"/>
              <w:right w:val="nil"/>
            </w:tcBorders>
            <w:shd w:val="clear" w:color="auto" w:fill="auto"/>
            <w:noWrap/>
            <w:vAlign w:val="bottom"/>
            <w:hideMark/>
          </w:tcPr>
          <w:p w14:paraId="02722153" w14:textId="4E091136"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49 </w:t>
            </w:r>
          </w:p>
        </w:tc>
        <w:tc>
          <w:tcPr>
            <w:tcW w:w="851" w:type="dxa"/>
            <w:tcBorders>
              <w:top w:val="nil"/>
              <w:left w:val="single" w:sz="4" w:space="0" w:color="auto"/>
              <w:bottom w:val="nil"/>
              <w:right w:val="nil"/>
            </w:tcBorders>
            <w:shd w:val="clear" w:color="auto" w:fill="auto"/>
            <w:noWrap/>
            <w:vAlign w:val="bottom"/>
            <w:hideMark/>
          </w:tcPr>
          <w:p w14:paraId="6F752A84" w14:textId="4CE62952"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w:t>
            </w:r>
            <w:r w:rsidR="00E949D8" w:rsidRPr="004817BF">
              <w:rPr>
                <w:rFonts w:ascii="Arial" w:hAnsi="Arial" w:cs="Arial"/>
                <w:lang w:val="en-GB"/>
              </w:rPr>
              <w:t>.</w:t>
            </w:r>
            <w:r w:rsidRPr="004817BF">
              <w:rPr>
                <w:rFonts w:ascii="Arial" w:hAnsi="Arial" w:cs="Arial"/>
                <w:lang w:val="en-GB"/>
              </w:rPr>
              <w:t xml:space="preserve">10 </w:t>
            </w:r>
          </w:p>
        </w:tc>
        <w:tc>
          <w:tcPr>
            <w:tcW w:w="992" w:type="dxa"/>
            <w:tcBorders>
              <w:top w:val="nil"/>
              <w:left w:val="single" w:sz="4" w:space="0" w:color="auto"/>
              <w:bottom w:val="nil"/>
              <w:right w:val="single" w:sz="4" w:space="0" w:color="auto"/>
            </w:tcBorders>
            <w:shd w:val="clear" w:color="auto" w:fill="auto"/>
            <w:noWrap/>
            <w:vAlign w:val="bottom"/>
            <w:hideMark/>
          </w:tcPr>
          <w:p w14:paraId="7CED0117" w14:textId="34CC0D6D"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16</w:t>
            </w:r>
            <w:r w:rsidR="00E949D8" w:rsidRPr="004817BF">
              <w:rPr>
                <w:rFonts w:ascii="Arial" w:hAnsi="Arial" w:cs="Arial"/>
                <w:lang w:val="en-GB"/>
              </w:rPr>
              <w:t>.</w:t>
            </w:r>
            <w:r w:rsidRPr="004817BF">
              <w:rPr>
                <w:rFonts w:ascii="Arial" w:hAnsi="Arial" w:cs="Arial"/>
                <w:lang w:val="en-GB"/>
              </w:rPr>
              <w:t xml:space="preserve">67 </w:t>
            </w:r>
          </w:p>
        </w:tc>
        <w:tc>
          <w:tcPr>
            <w:tcW w:w="851" w:type="dxa"/>
            <w:tcBorders>
              <w:top w:val="nil"/>
              <w:left w:val="nil"/>
              <w:bottom w:val="nil"/>
              <w:right w:val="nil"/>
            </w:tcBorders>
            <w:shd w:val="clear" w:color="auto" w:fill="auto"/>
            <w:noWrap/>
            <w:vAlign w:val="bottom"/>
            <w:hideMark/>
          </w:tcPr>
          <w:p w14:paraId="2B4FB8EE" w14:textId="132BD1E3"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65</w:t>
            </w:r>
            <w:r w:rsidR="00E949D8" w:rsidRPr="004817BF">
              <w:rPr>
                <w:rFonts w:ascii="Arial" w:hAnsi="Arial" w:cs="Arial"/>
                <w:lang w:val="en-GB"/>
              </w:rPr>
              <w:t>.</w:t>
            </w:r>
            <w:r w:rsidRPr="004817BF">
              <w:rPr>
                <w:rFonts w:ascii="Arial" w:hAnsi="Arial" w:cs="Arial"/>
                <w:lang w:val="en-GB"/>
              </w:rPr>
              <w:t xml:space="preserve">97 </w:t>
            </w:r>
          </w:p>
        </w:tc>
        <w:tc>
          <w:tcPr>
            <w:tcW w:w="1044" w:type="dxa"/>
            <w:tcBorders>
              <w:top w:val="nil"/>
              <w:left w:val="single" w:sz="4" w:space="0" w:color="auto"/>
              <w:bottom w:val="nil"/>
              <w:right w:val="single" w:sz="4" w:space="0" w:color="auto"/>
            </w:tcBorders>
            <w:shd w:val="clear" w:color="auto" w:fill="auto"/>
            <w:noWrap/>
            <w:vAlign w:val="bottom"/>
            <w:hideMark/>
          </w:tcPr>
          <w:p w14:paraId="2C7659C1" w14:textId="131FA94A"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117</w:t>
            </w:r>
            <w:r w:rsidR="00E949D8" w:rsidRPr="004817BF">
              <w:rPr>
                <w:rFonts w:ascii="Arial" w:hAnsi="Arial" w:cs="Arial"/>
                <w:lang w:val="en-GB"/>
              </w:rPr>
              <w:t>.</w:t>
            </w:r>
            <w:r w:rsidRPr="004817BF">
              <w:rPr>
                <w:rFonts w:ascii="Arial" w:hAnsi="Arial" w:cs="Arial"/>
                <w:lang w:val="en-GB"/>
              </w:rPr>
              <w:t xml:space="preserve">47 </w:t>
            </w:r>
          </w:p>
        </w:tc>
        <w:tc>
          <w:tcPr>
            <w:tcW w:w="992" w:type="dxa"/>
            <w:tcBorders>
              <w:top w:val="nil"/>
              <w:left w:val="nil"/>
              <w:bottom w:val="nil"/>
              <w:right w:val="single" w:sz="8" w:space="0" w:color="auto"/>
            </w:tcBorders>
            <w:shd w:val="clear" w:color="auto" w:fill="auto"/>
            <w:noWrap/>
            <w:vAlign w:val="bottom"/>
            <w:hideMark/>
          </w:tcPr>
          <w:p w14:paraId="535E0C0A" w14:textId="40AE3BB9" w:rsidR="00A10CD4" w:rsidRPr="004817BF" w:rsidRDefault="00A10CD4" w:rsidP="00FD52C4">
            <w:pPr>
              <w:keepNext/>
              <w:keepLines/>
              <w:jc w:val="right"/>
              <w:rPr>
                <w:rFonts w:ascii="Arial" w:hAnsi="Arial" w:cs="Arial"/>
                <w:lang w:val="en-GB"/>
              </w:rPr>
            </w:pPr>
            <w:r w:rsidRPr="004817BF">
              <w:rPr>
                <w:rFonts w:ascii="Arial" w:hAnsi="Arial" w:cs="Arial"/>
                <w:lang w:val="en-GB"/>
              </w:rPr>
              <w:t>175</w:t>
            </w:r>
            <w:r w:rsidR="00E949D8" w:rsidRPr="004817BF">
              <w:rPr>
                <w:rFonts w:ascii="Arial" w:hAnsi="Arial" w:cs="Arial"/>
                <w:lang w:val="en-GB"/>
              </w:rPr>
              <w:t>.</w:t>
            </w:r>
            <w:r w:rsidRPr="004817BF">
              <w:rPr>
                <w:rFonts w:ascii="Arial" w:hAnsi="Arial" w:cs="Arial"/>
                <w:lang w:val="en-GB"/>
              </w:rPr>
              <w:t xml:space="preserve">95 </w:t>
            </w:r>
          </w:p>
        </w:tc>
      </w:tr>
      <w:tr w:rsidR="00A10CD4" w:rsidRPr="004817BF" w14:paraId="2D6C3880" w14:textId="77777777" w:rsidTr="00A10CD4">
        <w:trPr>
          <w:trHeight w:val="70"/>
        </w:trPr>
        <w:tc>
          <w:tcPr>
            <w:tcW w:w="1277" w:type="dxa"/>
            <w:tcBorders>
              <w:top w:val="nil"/>
              <w:left w:val="single" w:sz="8" w:space="0" w:color="auto"/>
              <w:bottom w:val="nil"/>
              <w:right w:val="nil"/>
            </w:tcBorders>
            <w:shd w:val="clear" w:color="auto" w:fill="auto"/>
            <w:noWrap/>
            <w:vAlign w:val="bottom"/>
            <w:hideMark/>
          </w:tcPr>
          <w:p w14:paraId="6BED8A35"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12DC0A05" w14:textId="7735F8C0" w:rsidR="00A10CD4" w:rsidRPr="004817BF" w:rsidRDefault="00A10CD4" w:rsidP="00FD52C4">
            <w:pPr>
              <w:keepNext/>
              <w:keepLines/>
              <w:rPr>
                <w:rFonts w:ascii="Arial" w:hAnsi="Arial" w:cs="Arial"/>
                <w:b/>
                <w:bCs/>
                <w:lang w:val="en-GB"/>
              </w:rPr>
            </w:pPr>
            <w:r w:rsidRPr="004817BF">
              <w:rPr>
                <w:rFonts w:ascii="Arial" w:hAnsi="Arial" w:cs="Arial"/>
                <w:b/>
                <w:bCs/>
                <w:lang w:val="en-GB"/>
              </w:rPr>
              <w:t xml:space="preserve">Total assets </w:t>
            </w:r>
          </w:p>
        </w:tc>
        <w:tc>
          <w:tcPr>
            <w:tcW w:w="798" w:type="dxa"/>
            <w:tcBorders>
              <w:top w:val="single" w:sz="4" w:space="0" w:color="auto"/>
              <w:left w:val="nil"/>
              <w:bottom w:val="single" w:sz="4" w:space="0" w:color="auto"/>
              <w:right w:val="nil"/>
            </w:tcBorders>
            <w:shd w:val="clear" w:color="auto" w:fill="auto"/>
            <w:noWrap/>
            <w:vAlign w:val="bottom"/>
            <w:hideMark/>
          </w:tcPr>
          <w:p w14:paraId="1E79118C" w14:textId="6C94E811" w:rsidR="00A10CD4" w:rsidRPr="004817BF" w:rsidRDefault="00A10CD4" w:rsidP="00FD52C4">
            <w:pPr>
              <w:keepNext/>
              <w:keepLines/>
              <w:jc w:val="right"/>
              <w:rPr>
                <w:rFonts w:ascii="Arial" w:hAnsi="Arial" w:cs="Arial"/>
                <w:b/>
                <w:lang w:val="en-GB"/>
              </w:rPr>
            </w:pPr>
            <w:r w:rsidRPr="004817BF">
              <w:rPr>
                <w:rFonts w:ascii="Arial" w:hAnsi="Arial" w:cs="Arial"/>
                <w:b/>
                <w:lang w:val="en-GB"/>
              </w:rPr>
              <w:t>0</w:t>
            </w:r>
            <w:r w:rsidR="00E949D8" w:rsidRPr="004817BF">
              <w:rPr>
                <w:rFonts w:ascii="Arial" w:hAnsi="Arial" w:cs="Arial"/>
                <w:b/>
                <w:lang w:val="en-GB"/>
              </w:rPr>
              <w:t>.</w:t>
            </w:r>
            <w:r w:rsidRPr="004817BF">
              <w:rPr>
                <w:rFonts w:ascii="Arial" w:hAnsi="Arial" w:cs="Arial"/>
                <w:b/>
                <w:lang w:val="en-GB"/>
              </w:rPr>
              <w:t xml:space="preserve">53 </w:t>
            </w:r>
          </w:p>
        </w:tc>
        <w:tc>
          <w:tcPr>
            <w:tcW w:w="851" w:type="dxa"/>
            <w:tcBorders>
              <w:top w:val="single" w:sz="4" w:space="0" w:color="auto"/>
              <w:left w:val="single" w:sz="4" w:space="0" w:color="auto"/>
              <w:bottom w:val="single" w:sz="4" w:space="0" w:color="auto"/>
              <w:right w:val="nil"/>
            </w:tcBorders>
            <w:shd w:val="clear" w:color="auto" w:fill="auto"/>
            <w:noWrap/>
            <w:vAlign w:val="bottom"/>
            <w:hideMark/>
          </w:tcPr>
          <w:p w14:paraId="25A2F663" w14:textId="2797BA01" w:rsidR="00A10CD4" w:rsidRPr="004817BF" w:rsidRDefault="00A10CD4" w:rsidP="00FD52C4">
            <w:pPr>
              <w:keepNext/>
              <w:keepLines/>
              <w:jc w:val="right"/>
              <w:rPr>
                <w:rFonts w:ascii="Arial" w:hAnsi="Arial" w:cs="Arial"/>
                <w:b/>
                <w:lang w:val="en-GB"/>
              </w:rPr>
            </w:pPr>
            <w:r w:rsidRPr="004817BF">
              <w:rPr>
                <w:rFonts w:ascii="Arial" w:hAnsi="Arial" w:cs="Arial"/>
                <w:b/>
                <w:lang w:val="en-GB"/>
              </w:rPr>
              <w:t>2</w:t>
            </w:r>
            <w:r w:rsidR="00E949D8" w:rsidRPr="004817BF">
              <w:rPr>
                <w:rFonts w:ascii="Arial" w:hAnsi="Arial" w:cs="Arial"/>
                <w:b/>
                <w:lang w:val="en-GB"/>
              </w:rPr>
              <w:t>.</w:t>
            </w:r>
            <w:r w:rsidRPr="004817BF">
              <w:rPr>
                <w:rFonts w:ascii="Arial" w:hAnsi="Arial" w:cs="Arial"/>
                <w:b/>
                <w:lang w:val="en-GB"/>
              </w:rPr>
              <w:t xml:space="preserve">55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2F539" w14:textId="02C78C83" w:rsidR="00A10CD4" w:rsidRPr="004817BF" w:rsidRDefault="00A10CD4" w:rsidP="00FD52C4">
            <w:pPr>
              <w:keepNext/>
              <w:keepLines/>
              <w:jc w:val="right"/>
              <w:rPr>
                <w:rFonts w:ascii="Arial" w:hAnsi="Arial" w:cs="Arial"/>
                <w:b/>
                <w:lang w:val="en-GB"/>
              </w:rPr>
            </w:pPr>
            <w:r w:rsidRPr="004817BF">
              <w:rPr>
                <w:rFonts w:ascii="Arial" w:hAnsi="Arial" w:cs="Arial"/>
                <w:b/>
                <w:lang w:val="en-GB"/>
              </w:rPr>
              <w:t>18</w:t>
            </w:r>
            <w:r w:rsidR="00E949D8" w:rsidRPr="004817BF">
              <w:rPr>
                <w:rFonts w:ascii="Arial" w:hAnsi="Arial" w:cs="Arial"/>
                <w:b/>
                <w:lang w:val="en-GB"/>
              </w:rPr>
              <w:t>.</w:t>
            </w:r>
            <w:r w:rsidRPr="004817BF">
              <w:rPr>
                <w:rFonts w:ascii="Arial" w:hAnsi="Arial" w:cs="Arial"/>
                <w:b/>
                <w:lang w:val="en-GB"/>
              </w:rPr>
              <w:t xml:space="preserve">95 </w:t>
            </w:r>
          </w:p>
        </w:tc>
        <w:tc>
          <w:tcPr>
            <w:tcW w:w="851" w:type="dxa"/>
            <w:tcBorders>
              <w:top w:val="single" w:sz="4" w:space="0" w:color="auto"/>
              <w:left w:val="nil"/>
              <w:bottom w:val="single" w:sz="4" w:space="0" w:color="auto"/>
              <w:right w:val="nil"/>
            </w:tcBorders>
            <w:shd w:val="clear" w:color="auto" w:fill="auto"/>
            <w:noWrap/>
            <w:vAlign w:val="bottom"/>
            <w:hideMark/>
          </w:tcPr>
          <w:p w14:paraId="731693ED" w14:textId="3C663064" w:rsidR="00A10CD4" w:rsidRPr="004817BF" w:rsidRDefault="00A10CD4" w:rsidP="00FD52C4">
            <w:pPr>
              <w:keepNext/>
              <w:keepLines/>
              <w:jc w:val="right"/>
              <w:rPr>
                <w:rFonts w:ascii="Arial" w:hAnsi="Arial" w:cs="Arial"/>
                <w:b/>
                <w:lang w:val="en-GB"/>
              </w:rPr>
            </w:pPr>
            <w:r w:rsidRPr="004817BF">
              <w:rPr>
                <w:rFonts w:ascii="Arial" w:hAnsi="Arial" w:cs="Arial"/>
                <w:b/>
                <w:lang w:val="en-GB"/>
              </w:rPr>
              <w:t xml:space="preserve">  70</w:t>
            </w:r>
            <w:r w:rsidR="00E949D8" w:rsidRPr="004817BF">
              <w:rPr>
                <w:rFonts w:ascii="Arial" w:hAnsi="Arial" w:cs="Arial"/>
                <w:b/>
                <w:lang w:val="en-GB"/>
              </w:rPr>
              <w:t>.</w:t>
            </w:r>
            <w:r w:rsidRPr="004817BF">
              <w:rPr>
                <w:rFonts w:ascii="Arial" w:hAnsi="Arial" w:cs="Arial"/>
                <w:b/>
                <w:lang w:val="en-GB"/>
              </w:rPr>
              <w:t xml:space="preserve">50 </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5CDA1" w14:textId="375B4C04" w:rsidR="00A10CD4" w:rsidRPr="004817BF" w:rsidRDefault="00A10CD4" w:rsidP="00FD52C4">
            <w:pPr>
              <w:keepNext/>
              <w:keepLines/>
              <w:jc w:val="right"/>
              <w:rPr>
                <w:rFonts w:ascii="Arial" w:hAnsi="Arial" w:cs="Arial"/>
                <w:b/>
                <w:lang w:val="en-GB"/>
              </w:rPr>
            </w:pPr>
            <w:r w:rsidRPr="004817BF">
              <w:rPr>
                <w:rFonts w:ascii="Arial" w:hAnsi="Arial" w:cs="Arial"/>
                <w:b/>
                <w:lang w:val="en-GB"/>
              </w:rPr>
              <w:t>122</w:t>
            </w:r>
            <w:r w:rsidR="00E949D8" w:rsidRPr="004817BF">
              <w:rPr>
                <w:rFonts w:ascii="Arial" w:hAnsi="Arial" w:cs="Arial"/>
                <w:b/>
                <w:lang w:val="en-GB"/>
              </w:rPr>
              <w:t>.</w:t>
            </w:r>
            <w:r w:rsidRPr="004817BF">
              <w:rPr>
                <w:rFonts w:ascii="Arial" w:hAnsi="Arial" w:cs="Arial"/>
                <w:b/>
                <w:lang w:val="en-GB"/>
              </w:rPr>
              <w:t xml:space="preserve">50 </w:t>
            </w:r>
          </w:p>
        </w:tc>
        <w:tc>
          <w:tcPr>
            <w:tcW w:w="992" w:type="dxa"/>
            <w:tcBorders>
              <w:top w:val="single" w:sz="4" w:space="0" w:color="auto"/>
              <w:left w:val="nil"/>
              <w:bottom w:val="single" w:sz="4" w:space="0" w:color="auto"/>
              <w:right w:val="single" w:sz="8" w:space="0" w:color="auto"/>
            </w:tcBorders>
            <w:shd w:val="clear" w:color="auto" w:fill="auto"/>
            <w:noWrap/>
            <w:vAlign w:val="bottom"/>
            <w:hideMark/>
          </w:tcPr>
          <w:p w14:paraId="5F1E6DEE" w14:textId="447FFE35" w:rsidR="00A10CD4" w:rsidRPr="004817BF" w:rsidRDefault="00A10CD4" w:rsidP="00FD52C4">
            <w:pPr>
              <w:keepNext/>
              <w:keepLines/>
              <w:jc w:val="right"/>
              <w:rPr>
                <w:rFonts w:ascii="Arial" w:hAnsi="Arial" w:cs="Arial"/>
                <w:b/>
                <w:lang w:val="en-GB"/>
              </w:rPr>
            </w:pPr>
            <w:r w:rsidRPr="004817BF">
              <w:rPr>
                <w:rFonts w:ascii="Arial" w:hAnsi="Arial" w:cs="Arial"/>
                <w:b/>
                <w:lang w:val="en-GB"/>
              </w:rPr>
              <w:t>185</w:t>
            </w:r>
            <w:r w:rsidR="00E949D8" w:rsidRPr="004817BF">
              <w:rPr>
                <w:rFonts w:ascii="Arial" w:hAnsi="Arial" w:cs="Arial"/>
                <w:b/>
                <w:lang w:val="en-GB"/>
              </w:rPr>
              <w:t>.</w:t>
            </w:r>
            <w:r w:rsidRPr="004817BF">
              <w:rPr>
                <w:rFonts w:ascii="Arial" w:hAnsi="Arial" w:cs="Arial"/>
                <w:b/>
                <w:lang w:val="en-GB"/>
              </w:rPr>
              <w:t xml:space="preserve">40 </w:t>
            </w:r>
          </w:p>
        </w:tc>
      </w:tr>
      <w:tr w:rsidR="00A10CD4" w:rsidRPr="004817BF" w14:paraId="47084BD9" w14:textId="77777777" w:rsidTr="00A10CD4">
        <w:trPr>
          <w:trHeight w:val="70"/>
        </w:trPr>
        <w:tc>
          <w:tcPr>
            <w:tcW w:w="1277" w:type="dxa"/>
            <w:tcBorders>
              <w:top w:val="nil"/>
              <w:left w:val="single" w:sz="8" w:space="0" w:color="auto"/>
              <w:bottom w:val="nil"/>
              <w:right w:val="nil"/>
            </w:tcBorders>
            <w:shd w:val="clear" w:color="auto" w:fill="auto"/>
            <w:noWrap/>
            <w:vAlign w:val="bottom"/>
            <w:hideMark/>
          </w:tcPr>
          <w:p w14:paraId="2BC055B3"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Equity</w:t>
            </w:r>
          </w:p>
        </w:tc>
        <w:tc>
          <w:tcPr>
            <w:tcW w:w="2551" w:type="dxa"/>
            <w:tcBorders>
              <w:top w:val="nil"/>
              <w:left w:val="single" w:sz="8" w:space="0" w:color="auto"/>
              <w:bottom w:val="nil"/>
              <w:right w:val="single" w:sz="8" w:space="0" w:color="auto"/>
            </w:tcBorders>
            <w:shd w:val="clear" w:color="auto" w:fill="auto"/>
            <w:noWrap/>
            <w:vAlign w:val="bottom"/>
            <w:hideMark/>
          </w:tcPr>
          <w:p w14:paraId="0CA48DA5"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 </w:t>
            </w:r>
          </w:p>
        </w:tc>
        <w:tc>
          <w:tcPr>
            <w:tcW w:w="798" w:type="dxa"/>
            <w:tcBorders>
              <w:top w:val="nil"/>
              <w:left w:val="nil"/>
              <w:bottom w:val="nil"/>
              <w:right w:val="nil"/>
            </w:tcBorders>
            <w:shd w:val="clear" w:color="auto" w:fill="auto"/>
            <w:noWrap/>
            <w:vAlign w:val="bottom"/>
            <w:hideMark/>
          </w:tcPr>
          <w:p w14:paraId="1FDAAFB6" w14:textId="77777777" w:rsidR="00A10CD4" w:rsidRPr="004817BF" w:rsidRDefault="00A10CD4" w:rsidP="00FD52C4">
            <w:pPr>
              <w:keepNext/>
              <w:keepLines/>
              <w:jc w:val="right"/>
              <w:rPr>
                <w:rFonts w:ascii="Arial" w:hAnsi="Arial" w:cs="Arial"/>
                <w:b/>
                <w:bCs/>
                <w:lang w:val="en-GB"/>
              </w:rPr>
            </w:pPr>
          </w:p>
        </w:tc>
        <w:tc>
          <w:tcPr>
            <w:tcW w:w="851" w:type="dxa"/>
            <w:tcBorders>
              <w:top w:val="nil"/>
              <w:left w:val="single" w:sz="4" w:space="0" w:color="auto"/>
              <w:bottom w:val="nil"/>
              <w:right w:val="nil"/>
            </w:tcBorders>
            <w:shd w:val="clear" w:color="auto" w:fill="auto"/>
            <w:noWrap/>
            <w:vAlign w:val="bottom"/>
            <w:hideMark/>
          </w:tcPr>
          <w:p w14:paraId="23939882"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w:t>
            </w:r>
          </w:p>
        </w:tc>
        <w:tc>
          <w:tcPr>
            <w:tcW w:w="992" w:type="dxa"/>
            <w:tcBorders>
              <w:top w:val="nil"/>
              <w:left w:val="single" w:sz="4" w:space="0" w:color="auto"/>
              <w:bottom w:val="nil"/>
              <w:right w:val="single" w:sz="4" w:space="0" w:color="auto"/>
            </w:tcBorders>
            <w:shd w:val="clear" w:color="auto" w:fill="auto"/>
            <w:noWrap/>
            <w:vAlign w:val="bottom"/>
            <w:hideMark/>
          </w:tcPr>
          <w:p w14:paraId="704E8053"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w:t>
            </w:r>
          </w:p>
        </w:tc>
        <w:tc>
          <w:tcPr>
            <w:tcW w:w="851" w:type="dxa"/>
            <w:tcBorders>
              <w:top w:val="nil"/>
              <w:left w:val="nil"/>
              <w:bottom w:val="nil"/>
              <w:right w:val="nil"/>
            </w:tcBorders>
            <w:shd w:val="clear" w:color="auto" w:fill="auto"/>
            <w:noWrap/>
            <w:vAlign w:val="bottom"/>
            <w:hideMark/>
          </w:tcPr>
          <w:p w14:paraId="0E9DECD6" w14:textId="77777777" w:rsidR="00A10CD4" w:rsidRPr="004817BF" w:rsidRDefault="00A10CD4" w:rsidP="00FD52C4">
            <w:pPr>
              <w:keepNext/>
              <w:keepLines/>
              <w:jc w:val="right"/>
              <w:rPr>
                <w:rFonts w:ascii="Arial" w:hAnsi="Arial" w:cs="Arial"/>
                <w:lang w:val="en-GB"/>
              </w:rPr>
            </w:pPr>
          </w:p>
        </w:tc>
        <w:tc>
          <w:tcPr>
            <w:tcW w:w="1044" w:type="dxa"/>
            <w:tcBorders>
              <w:top w:val="nil"/>
              <w:left w:val="single" w:sz="4" w:space="0" w:color="auto"/>
              <w:bottom w:val="nil"/>
              <w:right w:val="single" w:sz="4" w:space="0" w:color="auto"/>
            </w:tcBorders>
            <w:shd w:val="clear" w:color="auto" w:fill="auto"/>
            <w:noWrap/>
            <w:vAlign w:val="bottom"/>
            <w:hideMark/>
          </w:tcPr>
          <w:p w14:paraId="5B938ACF"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w:t>
            </w:r>
          </w:p>
        </w:tc>
        <w:tc>
          <w:tcPr>
            <w:tcW w:w="992" w:type="dxa"/>
            <w:tcBorders>
              <w:top w:val="nil"/>
              <w:left w:val="nil"/>
              <w:bottom w:val="nil"/>
              <w:right w:val="single" w:sz="8" w:space="0" w:color="auto"/>
            </w:tcBorders>
            <w:shd w:val="clear" w:color="auto" w:fill="auto"/>
            <w:noWrap/>
            <w:vAlign w:val="bottom"/>
            <w:hideMark/>
          </w:tcPr>
          <w:p w14:paraId="46410276"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w:t>
            </w:r>
          </w:p>
        </w:tc>
      </w:tr>
      <w:tr w:rsidR="00A10CD4" w:rsidRPr="004817BF" w14:paraId="7C4F3AF1" w14:textId="77777777" w:rsidTr="00A10CD4">
        <w:trPr>
          <w:trHeight w:val="80"/>
        </w:trPr>
        <w:tc>
          <w:tcPr>
            <w:tcW w:w="1277" w:type="dxa"/>
            <w:tcBorders>
              <w:top w:val="nil"/>
              <w:left w:val="single" w:sz="8" w:space="0" w:color="auto"/>
              <w:bottom w:val="nil"/>
              <w:right w:val="nil"/>
            </w:tcBorders>
            <w:shd w:val="clear" w:color="auto" w:fill="auto"/>
            <w:noWrap/>
            <w:vAlign w:val="bottom"/>
            <w:hideMark/>
          </w:tcPr>
          <w:p w14:paraId="24529BA6"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102A04A7" w14:textId="7D481F67" w:rsidR="00A10CD4" w:rsidRPr="004817BF" w:rsidRDefault="00A10CD4" w:rsidP="00FD52C4">
            <w:pPr>
              <w:keepNext/>
              <w:keepLines/>
              <w:rPr>
                <w:rFonts w:ascii="Arial" w:hAnsi="Arial" w:cs="Arial"/>
                <w:lang w:val="en-GB"/>
              </w:rPr>
            </w:pPr>
            <w:r w:rsidRPr="004817BF">
              <w:rPr>
                <w:rFonts w:ascii="Arial" w:hAnsi="Arial" w:cs="Arial"/>
                <w:lang w:val="en-GB"/>
              </w:rPr>
              <w:t xml:space="preserve">Share capital </w:t>
            </w:r>
          </w:p>
        </w:tc>
        <w:tc>
          <w:tcPr>
            <w:tcW w:w="798" w:type="dxa"/>
            <w:tcBorders>
              <w:top w:val="nil"/>
              <w:left w:val="nil"/>
              <w:bottom w:val="nil"/>
              <w:right w:val="nil"/>
            </w:tcBorders>
            <w:shd w:val="clear" w:color="auto" w:fill="auto"/>
            <w:noWrap/>
            <w:vAlign w:val="bottom"/>
            <w:hideMark/>
          </w:tcPr>
          <w:p w14:paraId="370129E0" w14:textId="52E99EB0"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05 </w:t>
            </w:r>
          </w:p>
        </w:tc>
        <w:tc>
          <w:tcPr>
            <w:tcW w:w="851" w:type="dxa"/>
            <w:tcBorders>
              <w:top w:val="nil"/>
              <w:left w:val="single" w:sz="4" w:space="0" w:color="auto"/>
              <w:bottom w:val="nil"/>
              <w:right w:val="nil"/>
            </w:tcBorders>
            <w:shd w:val="clear" w:color="auto" w:fill="auto"/>
            <w:noWrap/>
            <w:vAlign w:val="bottom"/>
            <w:hideMark/>
          </w:tcPr>
          <w:p w14:paraId="42B03A7C" w14:textId="5629BE94" w:rsidR="00A10CD4" w:rsidRPr="004817BF" w:rsidRDefault="00D51E57" w:rsidP="00FD52C4">
            <w:pPr>
              <w:keepNext/>
              <w:keepLines/>
              <w:jc w:val="right"/>
              <w:rPr>
                <w:rFonts w:ascii="Arial" w:hAnsi="Arial" w:cs="Arial"/>
                <w:lang w:val="en-GB"/>
              </w:rPr>
            </w:pPr>
            <w:r w:rsidRPr="004817BF">
              <w:rPr>
                <w:rFonts w:ascii="Arial" w:hAnsi="Arial" w:cs="Arial"/>
                <w:lang w:val="en-GB"/>
              </w:rPr>
              <w:t xml:space="preserve">    </w:t>
            </w:r>
            <w:r w:rsidR="00A10CD4" w:rsidRPr="004817BF">
              <w:rPr>
                <w:rFonts w:ascii="Arial" w:hAnsi="Arial" w:cs="Arial"/>
                <w:lang w:val="en-GB"/>
              </w:rPr>
              <w:t>0</w:t>
            </w:r>
            <w:r w:rsidR="00E949D8" w:rsidRPr="004817BF">
              <w:rPr>
                <w:rFonts w:ascii="Arial" w:hAnsi="Arial" w:cs="Arial"/>
                <w:lang w:val="en-GB"/>
              </w:rPr>
              <w:t>.</w:t>
            </w:r>
            <w:r w:rsidR="00A10CD4" w:rsidRPr="004817BF">
              <w:rPr>
                <w:rFonts w:ascii="Arial" w:hAnsi="Arial" w:cs="Arial"/>
                <w:lang w:val="en-GB"/>
              </w:rPr>
              <w:t xml:space="preserve">04 </w:t>
            </w:r>
          </w:p>
        </w:tc>
        <w:tc>
          <w:tcPr>
            <w:tcW w:w="992" w:type="dxa"/>
            <w:tcBorders>
              <w:top w:val="nil"/>
              <w:left w:val="single" w:sz="4" w:space="0" w:color="auto"/>
              <w:bottom w:val="nil"/>
              <w:right w:val="single" w:sz="4" w:space="0" w:color="auto"/>
            </w:tcBorders>
            <w:shd w:val="clear" w:color="auto" w:fill="auto"/>
            <w:noWrap/>
            <w:vAlign w:val="bottom"/>
            <w:hideMark/>
          </w:tcPr>
          <w:p w14:paraId="7DC08527" w14:textId="42AB07AB"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36 </w:t>
            </w:r>
          </w:p>
        </w:tc>
        <w:tc>
          <w:tcPr>
            <w:tcW w:w="851" w:type="dxa"/>
            <w:tcBorders>
              <w:top w:val="nil"/>
              <w:left w:val="nil"/>
              <w:bottom w:val="nil"/>
              <w:right w:val="nil"/>
            </w:tcBorders>
            <w:shd w:val="clear" w:color="auto" w:fill="auto"/>
            <w:noWrap/>
            <w:vAlign w:val="bottom"/>
            <w:hideMark/>
          </w:tcPr>
          <w:p w14:paraId="5DC12EC3" w14:textId="0C6C7407" w:rsidR="00A10CD4" w:rsidRPr="004817BF" w:rsidRDefault="00D51E57" w:rsidP="00FD52C4">
            <w:pPr>
              <w:keepNext/>
              <w:keepLines/>
              <w:jc w:val="right"/>
              <w:rPr>
                <w:rFonts w:ascii="Arial" w:hAnsi="Arial" w:cs="Arial"/>
                <w:lang w:val="en-GB"/>
              </w:rPr>
            </w:pPr>
            <w:r w:rsidRPr="004817BF">
              <w:rPr>
                <w:rFonts w:ascii="Arial" w:hAnsi="Arial" w:cs="Arial"/>
                <w:lang w:val="en-GB"/>
              </w:rPr>
              <w:t xml:space="preserve">  </w:t>
            </w:r>
            <w:r w:rsidR="00A10CD4" w:rsidRPr="004817BF">
              <w:rPr>
                <w:rFonts w:ascii="Arial" w:hAnsi="Arial" w:cs="Arial"/>
                <w:lang w:val="en-GB"/>
              </w:rPr>
              <w:t>0</w:t>
            </w:r>
            <w:r w:rsidR="00E949D8" w:rsidRPr="004817BF">
              <w:rPr>
                <w:rFonts w:ascii="Arial" w:hAnsi="Arial" w:cs="Arial"/>
                <w:lang w:val="en-GB"/>
              </w:rPr>
              <w:t>.</w:t>
            </w:r>
            <w:r w:rsidR="00A10CD4" w:rsidRPr="004817BF">
              <w:rPr>
                <w:rFonts w:ascii="Arial" w:hAnsi="Arial" w:cs="Arial"/>
                <w:lang w:val="en-GB"/>
              </w:rPr>
              <w:t xml:space="preserve">49 </w:t>
            </w:r>
          </w:p>
        </w:tc>
        <w:tc>
          <w:tcPr>
            <w:tcW w:w="1044" w:type="dxa"/>
            <w:tcBorders>
              <w:top w:val="nil"/>
              <w:left w:val="single" w:sz="4" w:space="0" w:color="auto"/>
              <w:bottom w:val="nil"/>
              <w:right w:val="single" w:sz="4" w:space="0" w:color="auto"/>
            </w:tcBorders>
            <w:shd w:val="clear" w:color="auto" w:fill="auto"/>
            <w:noWrap/>
            <w:vAlign w:val="bottom"/>
            <w:hideMark/>
          </w:tcPr>
          <w:p w14:paraId="572BE9F2" w14:textId="0389A38F"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49 </w:t>
            </w:r>
          </w:p>
        </w:tc>
        <w:tc>
          <w:tcPr>
            <w:tcW w:w="992" w:type="dxa"/>
            <w:tcBorders>
              <w:top w:val="nil"/>
              <w:left w:val="nil"/>
              <w:bottom w:val="nil"/>
              <w:right w:val="single" w:sz="8" w:space="0" w:color="auto"/>
            </w:tcBorders>
            <w:shd w:val="clear" w:color="auto" w:fill="auto"/>
            <w:noWrap/>
            <w:vAlign w:val="bottom"/>
            <w:hideMark/>
          </w:tcPr>
          <w:p w14:paraId="4ABAD376" w14:textId="52546875"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49 </w:t>
            </w:r>
          </w:p>
        </w:tc>
      </w:tr>
      <w:tr w:rsidR="00A10CD4" w:rsidRPr="004817BF" w14:paraId="096CE75F" w14:textId="77777777" w:rsidTr="00A10CD4">
        <w:trPr>
          <w:trHeight w:val="80"/>
        </w:trPr>
        <w:tc>
          <w:tcPr>
            <w:tcW w:w="1277" w:type="dxa"/>
            <w:tcBorders>
              <w:top w:val="nil"/>
              <w:left w:val="single" w:sz="8" w:space="0" w:color="auto"/>
              <w:bottom w:val="nil"/>
              <w:right w:val="nil"/>
            </w:tcBorders>
            <w:shd w:val="clear" w:color="auto" w:fill="auto"/>
            <w:noWrap/>
            <w:vAlign w:val="bottom"/>
            <w:hideMark/>
          </w:tcPr>
          <w:p w14:paraId="06953108"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2486AE97" w14:textId="0885F810" w:rsidR="00A10CD4" w:rsidRPr="004817BF" w:rsidRDefault="00A10CD4" w:rsidP="00FD52C4">
            <w:pPr>
              <w:keepNext/>
              <w:keepLines/>
              <w:rPr>
                <w:rFonts w:ascii="Arial" w:hAnsi="Arial" w:cs="Arial"/>
                <w:lang w:val="en-GB"/>
              </w:rPr>
            </w:pPr>
            <w:r w:rsidRPr="004817BF">
              <w:rPr>
                <w:rFonts w:ascii="Arial" w:hAnsi="Arial" w:cs="Arial"/>
                <w:lang w:val="en-GB"/>
              </w:rPr>
              <w:t xml:space="preserve">Share </w:t>
            </w:r>
            <w:r w:rsidR="005950D1" w:rsidRPr="004817BF">
              <w:rPr>
                <w:rFonts w:ascii="Arial" w:hAnsi="Arial" w:cs="Arial"/>
                <w:lang w:val="en-GB"/>
              </w:rPr>
              <w:t>p</w:t>
            </w:r>
            <w:r w:rsidRPr="004817BF">
              <w:rPr>
                <w:rFonts w:ascii="Arial" w:hAnsi="Arial" w:cs="Arial"/>
                <w:lang w:val="en-GB"/>
              </w:rPr>
              <w:t xml:space="preserve">remium </w:t>
            </w:r>
          </w:p>
        </w:tc>
        <w:tc>
          <w:tcPr>
            <w:tcW w:w="798" w:type="dxa"/>
            <w:tcBorders>
              <w:top w:val="nil"/>
              <w:left w:val="nil"/>
              <w:bottom w:val="nil"/>
              <w:right w:val="nil"/>
            </w:tcBorders>
            <w:shd w:val="clear" w:color="auto" w:fill="auto"/>
            <w:noWrap/>
            <w:vAlign w:val="bottom"/>
            <w:hideMark/>
          </w:tcPr>
          <w:p w14:paraId="5DE4908C" w14:textId="168A2920" w:rsidR="00A10CD4" w:rsidRPr="004817BF" w:rsidRDefault="00C62748" w:rsidP="00FD52C4">
            <w:pPr>
              <w:keepNext/>
              <w:keepLines/>
              <w:jc w:val="right"/>
              <w:rPr>
                <w:rFonts w:ascii="Arial" w:hAnsi="Arial" w:cs="Arial"/>
                <w:lang w:val="en-GB"/>
              </w:rPr>
            </w:pPr>
            <w:r w:rsidRPr="004817BF">
              <w:rPr>
                <w:rFonts w:ascii="Arial" w:hAnsi="Arial" w:cs="Arial"/>
                <w:lang w:val="en-GB"/>
              </w:rPr>
              <w:t>–</w:t>
            </w:r>
            <w:r w:rsidR="00A10CD4" w:rsidRPr="004817BF">
              <w:rPr>
                <w:rFonts w:ascii="Arial" w:hAnsi="Arial" w:cs="Arial"/>
                <w:lang w:val="en-GB"/>
              </w:rPr>
              <w:t xml:space="preserve">            </w:t>
            </w:r>
          </w:p>
        </w:tc>
        <w:tc>
          <w:tcPr>
            <w:tcW w:w="851" w:type="dxa"/>
            <w:tcBorders>
              <w:top w:val="nil"/>
              <w:left w:val="single" w:sz="4" w:space="0" w:color="auto"/>
              <w:bottom w:val="nil"/>
              <w:right w:val="nil"/>
            </w:tcBorders>
            <w:shd w:val="clear" w:color="auto" w:fill="auto"/>
            <w:noWrap/>
            <w:vAlign w:val="bottom"/>
            <w:hideMark/>
          </w:tcPr>
          <w:p w14:paraId="248A45D2" w14:textId="4D5863A7" w:rsidR="00A10CD4" w:rsidRPr="004817BF" w:rsidRDefault="00C62748" w:rsidP="00FD52C4">
            <w:pPr>
              <w:keepNext/>
              <w:keepLines/>
              <w:jc w:val="right"/>
              <w:rPr>
                <w:rFonts w:ascii="Arial" w:hAnsi="Arial" w:cs="Arial"/>
                <w:lang w:val="en-GB"/>
              </w:rPr>
            </w:pPr>
            <w:r w:rsidRPr="004817BF">
              <w:rPr>
                <w:rFonts w:ascii="Arial" w:hAnsi="Arial" w:cs="Arial"/>
                <w:lang w:val="en-GB"/>
              </w:rPr>
              <w:t>–</w:t>
            </w:r>
            <w:r w:rsidR="00A10CD4" w:rsidRPr="004817BF">
              <w:rPr>
                <w:rFonts w:ascii="Arial" w:hAnsi="Arial" w:cs="Arial"/>
                <w:lang w:val="en-GB"/>
              </w:rPr>
              <w:t xml:space="preserve">              </w:t>
            </w:r>
          </w:p>
        </w:tc>
        <w:tc>
          <w:tcPr>
            <w:tcW w:w="992" w:type="dxa"/>
            <w:tcBorders>
              <w:top w:val="nil"/>
              <w:left w:val="single" w:sz="4" w:space="0" w:color="auto"/>
              <w:bottom w:val="nil"/>
              <w:right w:val="single" w:sz="4" w:space="0" w:color="auto"/>
            </w:tcBorders>
            <w:shd w:val="clear" w:color="auto" w:fill="auto"/>
            <w:noWrap/>
            <w:vAlign w:val="bottom"/>
            <w:hideMark/>
          </w:tcPr>
          <w:p w14:paraId="67A53F89" w14:textId="52F3CBE4"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4</w:t>
            </w:r>
            <w:r w:rsidR="00E949D8" w:rsidRPr="004817BF">
              <w:rPr>
                <w:rFonts w:ascii="Arial" w:hAnsi="Arial" w:cs="Arial"/>
                <w:lang w:val="en-GB"/>
              </w:rPr>
              <w:t>.</w:t>
            </w:r>
            <w:r w:rsidRPr="004817BF">
              <w:rPr>
                <w:rFonts w:ascii="Arial" w:hAnsi="Arial" w:cs="Arial"/>
                <w:lang w:val="en-GB"/>
              </w:rPr>
              <w:t xml:space="preserve">60 </w:t>
            </w:r>
          </w:p>
        </w:tc>
        <w:tc>
          <w:tcPr>
            <w:tcW w:w="851" w:type="dxa"/>
            <w:tcBorders>
              <w:top w:val="nil"/>
              <w:left w:val="nil"/>
              <w:bottom w:val="nil"/>
              <w:right w:val="nil"/>
            </w:tcBorders>
            <w:shd w:val="clear" w:color="auto" w:fill="auto"/>
            <w:noWrap/>
            <w:vAlign w:val="bottom"/>
            <w:hideMark/>
          </w:tcPr>
          <w:p w14:paraId="49835817" w14:textId="6DE1DBF1"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16</w:t>
            </w:r>
            <w:r w:rsidR="00E949D8" w:rsidRPr="004817BF">
              <w:rPr>
                <w:rFonts w:ascii="Arial" w:hAnsi="Arial" w:cs="Arial"/>
                <w:lang w:val="en-GB"/>
              </w:rPr>
              <w:t>.</w:t>
            </w:r>
            <w:r w:rsidRPr="004817BF">
              <w:rPr>
                <w:rFonts w:ascii="Arial" w:hAnsi="Arial" w:cs="Arial"/>
                <w:lang w:val="en-GB"/>
              </w:rPr>
              <w:t xml:space="preserve">62 </w:t>
            </w:r>
          </w:p>
        </w:tc>
        <w:tc>
          <w:tcPr>
            <w:tcW w:w="1044" w:type="dxa"/>
            <w:tcBorders>
              <w:top w:val="nil"/>
              <w:left w:val="single" w:sz="4" w:space="0" w:color="auto"/>
              <w:bottom w:val="nil"/>
              <w:right w:val="single" w:sz="4" w:space="0" w:color="auto"/>
            </w:tcBorders>
            <w:shd w:val="clear" w:color="auto" w:fill="auto"/>
            <w:noWrap/>
            <w:vAlign w:val="bottom"/>
            <w:hideMark/>
          </w:tcPr>
          <w:p w14:paraId="4ED744B8" w14:textId="0CBF9EE5"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w:t>
            </w:r>
            <w:r w:rsidR="00E949D8" w:rsidRPr="004817BF">
              <w:rPr>
                <w:rFonts w:ascii="Arial" w:hAnsi="Arial" w:cs="Arial"/>
                <w:lang w:val="en-GB"/>
              </w:rPr>
              <w:t>.</w:t>
            </w:r>
            <w:r w:rsidRPr="004817BF">
              <w:rPr>
                <w:rFonts w:ascii="Arial" w:hAnsi="Arial" w:cs="Arial"/>
                <w:lang w:val="en-GB"/>
              </w:rPr>
              <w:t xml:space="preserve">71 </w:t>
            </w:r>
          </w:p>
        </w:tc>
        <w:tc>
          <w:tcPr>
            <w:tcW w:w="992" w:type="dxa"/>
            <w:tcBorders>
              <w:top w:val="nil"/>
              <w:left w:val="nil"/>
              <w:bottom w:val="nil"/>
              <w:right w:val="single" w:sz="8" w:space="0" w:color="auto"/>
            </w:tcBorders>
            <w:shd w:val="clear" w:color="auto" w:fill="auto"/>
            <w:noWrap/>
            <w:vAlign w:val="bottom"/>
            <w:hideMark/>
          </w:tcPr>
          <w:p w14:paraId="337422EF" w14:textId="2E3F71DD" w:rsidR="00A10CD4" w:rsidRPr="004817BF" w:rsidRDefault="00A10CD4" w:rsidP="00FD52C4">
            <w:pPr>
              <w:keepNext/>
              <w:keepLines/>
              <w:jc w:val="right"/>
              <w:rPr>
                <w:rFonts w:ascii="Arial" w:hAnsi="Arial" w:cs="Arial"/>
                <w:lang w:val="en-GB"/>
              </w:rPr>
            </w:pPr>
            <w:r w:rsidRPr="004817BF">
              <w:rPr>
                <w:rFonts w:ascii="Arial" w:hAnsi="Arial" w:cs="Arial"/>
                <w:lang w:val="en-GB"/>
              </w:rPr>
              <w:t>27</w:t>
            </w:r>
            <w:r w:rsidR="00E949D8" w:rsidRPr="004817BF">
              <w:rPr>
                <w:rFonts w:ascii="Arial" w:hAnsi="Arial" w:cs="Arial"/>
                <w:lang w:val="en-GB"/>
              </w:rPr>
              <w:t>.</w:t>
            </w:r>
            <w:r w:rsidRPr="004817BF">
              <w:rPr>
                <w:rFonts w:ascii="Arial" w:hAnsi="Arial" w:cs="Arial"/>
                <w:lang w:val="en-GB"/>
              </w:rPr>
              <w:t xml:space="preserve">28 </w:t>
            </w:r>
          </w:p>
        </w:tc>
      </w:tr>
      <w:tr w:rsidR="00A10CD4" w:rsidRPr="004817BF" w14:paraId="4B373DCC" w14:textId="77777777" w:rsidTr="00A10CD4">
        <w:trPr>
          <w:trHeight w:val="80"/>
        </w:trPr>
        <w:tc>
          <w:tcPr>
            <w:tcW w:w="1277" w:type="dxa"/>
            <w:tcBorders>
              <w:top w:val="nil"/>
              <w:left w:val="single" w:sz="8" w:space="0" w:color="auto"/>
              <w:bottom w:val="nil"/>
              <w:right w:val="nil"/>
            </w:tcBorders>
            <w:shd w:val="clear" w:color="auto" w:fill="auto"/>
            <w:noWrap/>
            <w:vAlign w:val="bottom"/>
            <w:hideMark/>
          </w:tcPr>
          <w:p w14:paraId="31F4D1FF"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1828FD1B" w14:textId="52FFE760" w:rsidR="00A10CD4" w:rsidRPr="004817BF" w:rsidRDefault="00A10CD4" w:rsidP="00FD52C4">
            <w:pPr>
              <w:keepNext/>
              <w:keepLines/>
              <w:rPr>
                <w:rFonts w:ascii="Arial" w:hAnsi="Arial" w:cs="Arial"/>
                <w:lang w:val="en-GB"/>
              </w:rPr>
            </w:pPr>
            <w:r w:rsidRPr="004817BF">
              <w:rPr>
                <w:rFonts w:ascii="Arial" w:hAnsi="Arial" w:cs="Arial"/>
                <w:lang w:val="en-GB"/>
              </w:rPr>
              <w:t xml:space="preserve">Retained earnings </w:t>
            </w:r>
          </w:p>
        </w:tc>
        <w:tc>
          <w:tcPr>
            <w:tcW w:w="798" w:type="dxa"/>
            <w:tcBorders>
              <w:top w:val="nil"/>
              <w:left w:val="nil"/>
              <w:bottom w:val="nil"/>
              <w:right w:val="nil"/>
            </w:tcBorders>
            <w:shd w:val="clear" w:color="auto" w:fill="auto"/>
            <w:noWrap/>
            <w:vAlign w:val="bottom"/>
            <w:hideMark/>
          </w:tcPr>
          <w:p w14:paraId="7782A3A3" w14:textId="29D345FF"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32</w:t>
            </w:r>
          </w:p>
        </w:tc>
        <w:tc>
          <w:tcPr>
            <w:tcW w:w="851" w:type="dxa"/>
            <w:tcBorders>
              <w:top w:val="nil"/>
              <w:left w:val="single" w:sz="4" w:space="0" w:color="auto"/>
              <w:bottom w:val="nil"/>
              <w:right w:val="nil"/>
            </w:tcBorders>
            <w:shd w:val="clear" w:color="auto" w:fill="auto"/>
            <w:noWrap/>
            <w:vAlign w:val="bottom"/>
            <w:hideMark/>
          </w:tcPr>
          <w:p w14:paraId="69CC9235" w14:textId="58A5479E"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69</w:t>
            </w:r>
          </w:p>
        </w:tc>
        <w:tc>
          <w:tcPr>
            <w:tcW w:w="992" w:type="dxa"/>
            <w:tcBorders>
              <w:top w:val="nil"/>
              <w:left w:val="single" w:sz="4" w:space="0" w:color="auto"/>
              <w:bottom w:val="nil"/>
              <w:right w:val="single" w:sz="4" w:space="0" w:color="auto"/>
            </w:tcBorders>
            <w:shd w:val="clear" w:color="auto" w:fill="auto"/>
            <w:noWrap/>
            <w:vAlign w:val="bottom"/>
            <w:hideMark/>
          </w:tcPr>
          <w:p w14:paraId="6811EDF8" w14:textId="7DC266BD" w:rsidR="00A10CD4" w:rsidRPr="004817BF" w:rsidRDefault="00A314AD" w:rsidP="00FD52C4">
            <w:pPr>
              <w:keepNext/>
              <w:keepLines/>
              <w:jc w:val="right"/>
              <w:rPr>
                <w:rFonts w:ascii="Arial" w:hAnsi="Arial" w:cs="Arial"/>
                <w:lang w:val="en-GB"/>
              </w:rPr>
            </w:pPr>
            <w:r w:rsidRPr="00A314AD">
              <w:rPr>
                <w:rFonts w:ascii="Arial" w:hAnsi="Arial" w:cs="Arial"/>
                <w:lang w:val="en-GB"/>
              </w:rPr>
              <w:t>−</w:t>
            </w:r>
            <w:r w:rsidR="00A10CD4" w:rsidRPr="004817BF">
              <w:rPr>
                <w:rFonts w:ascii="Arial" w:hAnsi="Arial" w:cs="Arial"/>
                <w:lang w:val="en-GB"/>
              </w:rPr>
              <w:t>1</w:t>
            </w:r>
            <w:r w:rsidR="00E949D8" w:rsidRPr="004817BF">
              <w:rPr>
                <w:rFonts w:ascii="Arial" w:hAnsi="Arial" w:cs="Arial"/>
                <w:lang w:val="en-GB"/>
              </w:rPr>
              <w:t>.</w:t>
            </w:r>
            <w:r w:rsidR="00A10CD4" w:rsidRPr="004817BF">
              <w:rPr>
                <w:rFonts w:ascii="Arial" w:hAnsi="Arial" w:cs="Arial"/>
                <w:lang w:val="en-GB"/>
              </w:rPr>
              <w:t>76</w:t>
            </w:r>
          </w:p>
        </w:tc>
        <w:tc>
          <w:tcPr>
            <w:tcW w:w="851" w:type="dxa"/>
            <w:tcBorders>
              <w:top w:val="nil"/>
              <w:left w:val="nil"/>
              <w:bottom w:val="nil"/>
              <w:right w:val="nil"/>
            </w:tcBorders>
            <w:shd w:val="clear" w:color="auto" w:fill="auto"/>
            <w:noWrap/>
            <w:vAlign w:val="bottom"/>
            <w:hideMark/>
          </w:tcPr>
          <w:p w14:paraId="12E32075" w14:textId="79274633"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w:t>
            </w:r>
            <w:r w:rsidR="00A314AD" w:rsidRPr="00A314AD">
              <w:rPr>
                <w:rFonts w:ascii="Arial" w:hAnsi="Arial" w:cs="Arial"/>
                <w:lang w:val="en-GB"/>
              </w:rPr>
              <w:t>−</w:t>
            </w:r>
            <w:r w:rsidRPr="004817BF">
              <w:rPr>
                <w:rFonts w:ascii="Arial" w:hAnsi="Arial" w:cs="Arial"/>
                <w:lang w:val="en-GB"/>
              </w:rPr>
              <w:t>4</w:t>
            </w:r>
            <w:r w:rsidR="00E949D8" w:rsidRPr="004817BF">
              <w:rPr>
                <w:rFonts w:ascii="Arial" w:hAnsi="Arial" w:cs="Arial"/>
                <w:lang w:val="en-GB"/>
              </w:rPr>
              <w:t>.</w:t>
            </w:r>
            <w:r w:rsidRPr="004817BF">
              <w:rPr>
                <w:rFonts w:ascii="Arial" w:hAnsi="Arial" w:cs="Arial"/>
                <w:lang w:val="en-GB"/>
              </w:rPr>
              <w:t>47</w:t>
            </w:r>
          </w:p>
        </w:tc>
        <w:tc>
          <w:tcPr>
            <w:tcW w:w="1044" w:type="dxa"/>
            <w:tcBorders>
              <w:top w:val="nil"/>
              <w:left w:val="single" w:sz="4" w:space="0" w:color="auto"/>
              <w:bottom w:val="nil"/>
              <w:right w:val="single" w:sz="4" w:space="0" w:color="auto"/>
            </w:tcBorders>
            <w:shd w:val="clear" w:color="auto" w:fill="auto"/>
            <w:noWrap/>
            <w:vAlign w:val="bottom"/>
            <w:hideMark/>
          </w:tcPr>
          <w:p w14:paraId="2E60E86B" w14:textId="0D5151A6" w:rsidR="00A10CD4" w:rsidRPr="004817BF" w:rsidRDefault="00A10CD4" w:rsidP="00FD52C4">
            <w:pPr>
              <w:keepNext/>
              <w:keepLines/>
              <w:jc w:val="right"/>
              <w:rPr>
                <w:rFonts w:ascii="Arial" w:hAnsi="Arial" w:cs="Arial"/>
                <w:lang w:val="en-GB"/>
              </w:rPr>
            </w:pPr>
            <w:r w:rsidRPr="004817BF">
              <w:rPr>
                <w:rFonts w:ascii="Arial" w:hAnsi="Arial" w:cs="Arial"/>
                <w:lang w:val="en-GB"/>
              </w:rPr>
              <w:t>2</w:t>
            </w:r>
            <w:r w:rsidR="00E949D8" w:rsidRPr="004817BF">
              <w:rPr>
                <w:rFonts w:ascii="Arial" w:hAnsi="Arial" w:cs="Arial"/>
                <w:lang w:val="en-GB"/>
              </w:rPr>
              <w:t>.</w:t>
            </w:r>
            <w:r w:rsidRPr="004817BF">
              <w:rPr>
                <w:rFonts w:ascii="Arial" w:hAnsi="Arial" w:cs="Arial"/>
                <w:lang w:val="en-GB"/>
              </w:rPr>
              <w:t xml:space="preserve">02 </w:t>
            </w:r>
          </w:p>
        </w:tc>
        <w:tc>
          <w:tcPr>
            <w:tcW w:w="992" w:type="dxa"/>
            <w:tcBorders>
              <w:top w:val="nil"/>
              <w:left w:val="nil"/>
              <w:bottom w:val="nil"/>
              <w:right w:val="single" w:sz="8" w:space="0" w:color="auto"/>
            </w:tcBorders>
            <w:shd w:val="clear" w:color="auto" w:fill="auto"/>
            <w:noWrap/>
            <w:vAlign w:val="bottom"/>
            <w:hideMark/>
          </w:tcPr>
          <w:p w14:paraId="56C12863" w14:textId="03B5F4F2"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w:t>
            </w:r>
            <w:r w:rsidR="00E949D8" w:rsidRPr="004817BF">
              <w:rPr>
                <w:rFonts w:ascii="Arial" w:hAnsi="Arial" w:cs="Arial"/>
                <w:lang w:val="en-GB"/>
              </w:rPr>
              <w:t>.</w:t>
            </w:r>
            <w:r w:rsidRPr="004817BF">
              <w:rPr>
                <w:rFonts w:ascii="Arial" w:hAnsi="Arial" w:cs="Arial"/>
                <w:lang w:val="en-GB"/>
              </w:rPr>
              <w:t xml:space="preserve">03 </w:t>
            </w:r>
          </w:p>
        </w:tc>
      </w:tr>
      <w:tr w:rsidR="00A10CD4" w:rsidRPr="004817BF" w14:paraId="42B4A699" w14:textId="77777777" w:rsidTr="00A10CD4">
        <w:trPr>
          <w:trHeight w:val="155"/>
        </w:trPr>
        <w:tc>
          <w:tcPr>
            <w:tcW w:w="1277" w:type="dxa"/>
            <w:tcBorders>
              <w:top w:val="nil"/>
              <w:left w:val="single" w:sz="8" w:space="0" w:color="auto"/>
              <w:bottom w:val="nil"/>
              <w:right w:val="nil"/>
            </w:tcBorders>
            <w:shd w:val="clear" w:color="auto" w:fill="auto"/>
            <w:noWrap/>
            <w:vAlign w:val="bottom"/>
            <w:hideMark/>
          </w:tcPr>
          <w:p w14:paraId="214AA12A"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47158ADE" w14:textId="76829EC2" w:rsidR="00A10CD4" w:rsidRPr="004817BF" w:rsidRDefault="00A10CD4" w:rsidP="00FD52C4">
            <w:pPr>
              <w:keepNext/>
              <w:keepLines/>
              <w:rPr>
                <w:rFonts w:ascii="Arial" w:hAnsi="Arial" w:cs="Arial"/>
                <w:b/>
                <w:bCs/>
                <w:lang w:val="en-GB"/>
              </w:rPr>
            </w:pPr>
            <w:r w:rsidRPr="004817BF">
              <w:rPr>
                <w:rFonts w:ascii="Arial" w:hAnsi="Arial" w:cs="Arial"/>
                <w:b/>
                <w:bCs/>
                <w:lang w:val="en-GB"/>
              </w:rPr>
              <w:t xml:space="preserve">Total equity </w:t>
            </w:r>
          </w:p>
        </w:tc>
        <w:tc>
          <w:tcPr>
            <w:tcW w:w="798" w:type="dxa"/>
            <w:tcBorders>
              <w:top w:val="single" w:sz="4" w:space="0" w:color="auto"/>
              <w:left w:val="nil"/>
              <w:bottom w:val="single" w:sz="4" w:space="0" w:color="auto"/>
              <w:right w:val="nil"/>
            </w:tcBorders>
            <w:shd w:val="clear" w:color="auto" w:fill="auto"/>
            <w:noWrap/>
            <w:vAlign w:val="bottom"/>
            <w:hideMark/>
          </w:tcPr>
          <w:p w14:paraId="207D52D9" w14:textId="0C11772F"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41 </w:t>
            </w:r>
          </w:p>
        </w:tc>
        <w:tc>
          <w:tcPr>
            <w:tcW w:w="851" w:type="dxa"/>
            <w:tcBorders>
              <w:top w:val="single" w:sz="4" w:space="0" w:color="auto"/>
              <w:left w:val="single" w:sz="4" w:space="0" w:color="auto"/>
              <w:bottom w:val="single" w:sz="4" w:space="0" w:color="auto"/>
              <w:right w:val="nil"/>
            </w:tcBorders>
            <w:shd w:val="clear" w:color="auto" w:fill="auto"/>
            <w:noWrap/>
            <w:vAlign w:val="bottom"/>
            <w:hideMark/>
          </w:tcPr>
          <w:p w14:paraId="02E00D67" w14:textId="1515FF8C"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8</w:t>
            </w:r>
            <w:r w:rsidR="00E949D8" w:rsidRPr="004817BF">
              <w:rPr>
                <w:rFonts w:ascii="Arial" w:hAnsi="Arial" w:cs="Arial"/>
                <w:lang w:val="en-GB"/>
              </w:rPr>
              <w:t>.</w:t>
            </w:r>
            <w:r w:rsidRPr="004817BF">
              <w:rPr>
                <w:rFonts w:ascii="Arial" w:hAnsi="Arial" w:cs="Arial"/>
                <w:lang w:val="en-GB"/>
              </w:rPr>
              <w:t xml:space="preserve">33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ECF3B" w14:textId="07F95D8D" w:rsidR="00A10CD4" w:rsidRPr="004817BF" w:rsidRDefault="00A10CD4" w:rsidP="00FD52C4">
            <w:pPr>
              <w:keepNext/>
              <w:keepLines/>
              <w:jc w:val="right"/>
              <w:rPr>
                <w:rFonts w:ascii="Arial" w:hAnsi="Arial" w:cs="Arial"/>
                <w:lang w:val="en-GB"/>
              </w:rPr>
            </w:pPr>
            <w:r w:rsidRPr="004817BF">
              <w:rPr>
                <w:rFonts w:ascii="Arial" w:hAnsi="Arial" w:cs="Arial"/>
                <w:lang w:val="en-GB"/>
              </w:rPr>
              <w:t>3</w:t>
            </w:r>
            <w:r w:rsidR="00E949D8" w:rsidRPr="004817BF">
              <w:rPr>
                <w:rFonts w:ascii="Arial" w:hAnsi="Arial" w:cs="Arial"/>
                <w:lang w:val="en-GB"/>
              </w:rPr>
              <w:t>.</w:t>
            </w:r>
            <w:r w:rsidRPr="004817BF">
              <w:rPr>
                <w:rFonts w:ascii="Arial" w:hAnsi="Arial" w:cs="Arial"/>
                <w:lang w:val="en-GB"/>
              </w:rPr>
              <w:t xml:space="preserve">20 </w:t>
            </w:r>
          </w:p>
        </w:tc>
        <w:tc>
          <w:tcPr>
            <w:tcW w:w="851" w:type="dxa"/>
            <w:tcBorders>
              <w:top w:val="single" w:sz="4" w:space="0" w:color="auto"/>
              <w:left w:val="nil"/>
              <w:bottom w:val="single" w:sz="4" w:space="0" w:color="auto"/>
              <w:right w:val="nil"/>
            </w:tcBorders>
            <w:shd w:val="clear" w:color="auto" w:fill="auto"/>
            <w:noWrap/>
            <w:vAlign w:val="bottom"/>
            <w:hideMark/>
          </w:tcPr>
          <w:p w14:paraId="7E10E7B8" w14:textId="0486ACD6"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12</w:t>
            </w:r>
            <w:r w:rsidR="00E949D8" w:rsidRPr="004817BF">
              <w:rPr>
                <w:rFonts w:ascii="Arial" w:hAnsi="Arial" w:cs="Arial"/>
                <w:lang w:val="en-GB"/>
              </w:rPr>
              <w:t>.</w:t>
            </w:r>
            <w:r w:rsidRPr="004817BF">
              <w:rPr>
                <w:rFonts w:ascii="Arial" w:hAnsi="Arial" w:cs="Arial"/>
                <w:lang w:val="en-GB"/>
              </w:rPr>
              <w:t xml:space="preserve">65 </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67427" w14:textId="3DA15393"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25</w:t>
            </w:r>
            <w:r w:rsidR="00E949D8" w:rsidRPr="004817BF">
              <w:rPr>
                <w:rFonts w:ascii="Arial" w:hAnsi="Arial" w:cs="Arial"/>
                <w:lang w:val="en-GB"/>
              </w:rPr>
              <w:t>.</w:t>
            </w:r>
            <w:r w:rsidRPr="004817BF">
              <w:rPr>
                <w:rFonts w:ascii="Arial" w:hAnsi="Arial" w:cs="Arial"/>
                <w:lang w:val="en-GB"/>
              </w:rPr>
              <w:t xml:space="preserve">91 </w:t>
            </w:r>
          </w:p>
        </w:tc>
        <w:tc>
          <w:tcPr>
            <w:tcW w:w="992" w:type="dxa"/>
            <w:tcBorders>
              <w:top w:val="single" w:sz="4" w:space="0" w:color="auto"/>
              <w:left w:val="nil"/>
              <w:bottom w:val="single" w:sz="4" w:space="0" w:color="auto"/>
              <w:right w:val="single" w:sz="8" w:space="0" w:color="auto"/>
            </w:tcBorders>
            <w:shd w:val="clear" w:color="auto" w:fill="auto"/>
            <w:noWrap/>
            <w:vAlign w:val="bottom"/>
            <w:hideMark/>
          </w:tcPr>
          <w:p w14:paraId="4BF2F52D" w14:textId="71101354"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28</w:t>
            </w:r>
            <w:r w:rsidR="00E949D8" w:rsidRPr="004817BF">
              <w:rPr>
                <w:rFonts w:ascii="Arial" w:hAnsi="Arial" w:cs="Arial"/>
                <w:lang w:val="en-GB"/>
              </w:rPr>
              <w:t>.</w:t>
            </w:r>
            <w:r w:rsidRPr="004817BF">
              <w:rPr>
                <w:rFonts w:ascii="Arial" w:hAnsi="Arial" w:cs="Arial"/>
                <w:lang w:val="en-GB"/>
              </w:rPr>
              <w:t xml:space="preserve">86 </w:t>
            </w:r>
          </w:p>
        </w:tc>
      </w:tr>
      <w:tr w:rsidR="00A10CD4" w:rsidRPr="004817BF" w14:paraId="37019A36" w14:textId="77777777" w:rsidTr="00A10CD4">
        <w:trPr>
          <w:trHeight w:val="70"/>
        </w:trPr>
        <w:tc>
          <w:tcPr>
            <w:tcW w:w="1277" w:type="dxa"/>
            <w:tcBorders>
              <w:top w:val="nil"/>
              <w:left w:val="single" w:sz="8" w:space="0" w:color="auto"/>
              <w:bottom w:val="nil"/>
              <w:right w:val="nil"/>
            </w:tcBorders>
            <w:shd w:val="clear" w:color="auto" w:fill="auto"/>
            <w:noWrap/>
            <w:vAlign w:val="bottom"/>
            <w:hideMark/>
          </w:tcPr>
          <w:p w14:paraId="276820F6"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Liabilities</w:t>
            </w:r>
          </w:p>
        </w:tc>
        <w:tc>
          <w:tcPr>
            <w:tcW w:w="2551" w:type="dxa"/>
            <w:tcBorders>
              <w:top w:val="nil"/>
              <w:left w:val="single" w:sz="8" w:space="0" w:color="auto"/>
              <w:bottom w:val="nil"/>
              <w:right w:val="single" w:sz="8" w:space="0" w:color="auto"/>
            </w:tcBorders>
            <w:shd w:val="clear" w:color="auto" w:fill="auto"/>
            <w:noWrap/>
            <w:vAlign w:val="bottom"/>
            <w:hideMark/>
          </w:tcPr>
          <w:p w14:paraId="60C54DFD" w14:textId="77777777" w:rsidR="00A10CD4" w:rsidRPr="004817BF" w:rsidRDefault="00A10CD4" w:rsidP="00FD52C4">
            <w:pPr>
              <w:keepNext/>
              <w:keepLines/>
              <w:rPr>
                <w:rFonts w:ascii="Arial" w:hAnsi="Arial" w:cs="Arial"/>
                <w:b/>
                <w:bCs/>
                <w:lang w:val="en-GB"/>
              </w:rPr>
            </w:pPr>
            <w:r w:rsidRPr="004817BF">
              <w:rPr>
                <w:rFonts w:ascii="Arial" w:hAnsi="Arial" w:cs="Arial"/>
                <w:b/>
                <w:bCs/>
                <w:lang w:val="en-GB"/>
              </w:rPr>
              <w:t> </w:t>
            </w:r>
          </w:p>
        </w:tc>
        <w:tc>
          <w:tcPr>
            <w:tcW w:w="798" w:type="dxa"/>
            <w:tcBorders>
              <w:top w:val="nil"/>
              <w:left w:val="nil"/>
              <w:bottom w:val="nil"/>
              <w:right w:val="nil"/>
            </w:tcBorders>
            <w:shd w:val="clear" w:color="auto" w:fill="auto"/>
            <w:noWrap/>
            <w:vAlign w:val="bottom"/>
            <w:hideMark/>
          </w:tcPr>
          <w:p w14:paraId="0C4DCDD6" w14:textId="77777777" w:rsidR="00A10CD4" w:rsidRPr="004817BF" w:rsidRDefault="00A10CD4" w:rsidP="00FD52C4">
            <w:pPr>
              <w:keepNext/>
              <w:keepLines/>
              <w:jc w:val="right"/>
              <w:rPr>
                <w:rFonts w:ascii="Arial" w:hAnsi="Arial" w:cs="Arial"/>
                <w:b/>
                <w:bCs/>
                <w:lang w:val="en-GB"/>
              </w:rPr>
            </w:pPr>
          </w:p>
        </w:tc>
        <w:tc>
          <w:tcPr>
            <w:tcW w:w="851" w:type="dxa"/>
            <w:tcBorders>
              <w:top w:val="nil"/>
              <w:left w:val="single" w:sz="4" w:space="0" w:color="auto"/>
              <w:bottom w:val="nil"/>
              <w:right w:val="nil"/>
            </w:tcBorders>
            <w:shd w:val="clear" w:color="auto" w:fill="auto"/>
            <w:noWrap/>
            <w:vAlign w:val="bottom"/>
            <w:hideMark/>
          </w:tcPr>
          <w:p w14:paraId="1FDE45F0"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w:t>
            </w:r>
          </w:p>
        </w:tc>
        <w:tc>
          <w:tcPr>
            <w:tcW w:w="992" w:type="dxa"/>
            <w:tcBorders>
              <w:top w:val="nil"/>
              <w:left w:val="single" w:sz="4" w:space="0" w:color="auto"/>
              <w:bottom w:val="nil"/>
              <w:right w:val="single" w:sz="4" w:space="0" w:color="auto"/>
            </w:tcBorders>
            <w:shd w:val="clear" w:color="auto" w:fill="auto"/>
            <w:noWrap/>
            <w:vAlign w:val="bottom"/>
            <w:hideMark/>
          </w:tcPr>
          <w:p w14:paraId="2D2DCEB2"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w:t>
            </w:r>
          </w:p>
        </w:tc>
        <w:tc>
          <w:tcPr>
            <w:tcW w:w="851" w:type="dxa"/>
            <w:tcBorders>
              <w:top w:val="nil"/>
              <w:left w:val="nil"/>
              <w:bottom w:val="nil"/>
              <w:right w:val="nil"/>
            </w:tcBorders>
            <w:shd w:val="clear" w:color="auto" w:fill="auto"/>
            <w:noWrap/>
            <w:vAlign w:val="bottom"/>
            <w:hideMark/>
          </w:tcPr>
          <w:p w14:paraId="515F5995" w14:textId="77777777" w:rsidR="00A10CD4" w:rsidRPr="004817BF" w:rsidRDefault="00A10CD4" w:rsidP="00FD52C4">
            <w:pPr>
              <w:keepNext/>
              <w:keepLines/>
              <w:jc w:val="right"/>
              <w:rPr>
                <w:rFonts w:ascii="Arial" w:hAnsi="Arial" w:cs="Arial"/>
                <w:lang w:val="en-GB"/>
              </w:rPr>
            </w:pPr>
          </w:p>
        </w:tc>
        <w:tc>
          <w:tcPr>
            <w:tcW w:w="1044" w:type="dxa"/>
            <w:tcBorders>
              <w:top w:val="nil"/>
              <w:left w:val="single" w:sz="4" w:space="0" w:color="auto"/>
              <w:bottom w:val="nil"/>
              <w:right w:val="single" w:sz="4" w:space="0" w:color="auto"/>
            </w:tcBorders>
            <w:shd w:val="clear" w:color="auto" w:fill="auto"/>
            <w:noWrap/>
            <w:vAlign w:val="bottom"/>
            <w:hideMark/>
          </w:tcPr>
          <w:p w14:paraId="51FC7794"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w:t>
            </w:r>
          </w:p>
        </w:tc>
        <w:tc>
          <w:tcPr>
            <w:tcW w:w="992" w:type="dxa"/>
            <w:tcBorders>
              <w:top w:val="nil"/>
              <w:left w:val="nil"/>
              <w:bottom w:val="nil"/>
              <w:right w:val="single" w:sz="8" w:space="0" w:color="auto"/>
            </w:tcBorders>
            <w:shd w:val="clear" w:color="auto" w:fill="auto"/>
            <w:noWrap/>
            <w:vAlign w:val="bottom"/>
            <w:hideMark/>
          </w:tcPr>
          <w:p w14:paraId="5D84496C"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w:t>
            </w:r>
          </w:p>
        </w:tc>
      </w:tr>
      <w:tr w:rsidR="00A10CD4" w:rsidRPr="004817BF" w14:paraId="0B64610C" w14:textId="77777777" w:rsidTr="00A10CD4">
        <w:trPr>
          <w:trHeight w:val="300"/>
        </w:trPr>
        <w:tc>
          <w:tcPr>
            <w:tcW w:w="1277" w:type="dxa"/>
            <w:tcBorders>
              <w:top w:val="nil"/>
              <w:left w:val="single" w:sz="8" w:space="0" w:color="auto"/>
              <w:bottom w:val="nil"/>
              <w:right w:val="nil"/>
            </w:tcBorders>
            <w:shd w:val="clear" w:color="auto" w:fill="auto"/>
            <w:noWrap/>
            <w:vAlign w:val="bottom"/>
            <w:hideMark/>
          </w:tcPr>
          <w:p w14:paraId="5385EB9F" w14:textId="0E780386" w:rsidR="00A10CD4" w:rsidRPr="004817BF" w:rsidRDefault="00A10CD4" w:rsidP="00FD52C4">
            <w:pPr>
              <w:keepNext/>
              <w:keepLines/>
              <w:rPr>
                <w:rFonts w:ascii="Arial" w:hAnsi="Arial" w:cs="Arial"/>
                <w:iCs/>
                <w:lang w:val="en-GB"/>
              </w:rPr>
            </w:pPr>
            <w:r w:rsidRPr="004817BF">
              <w:rPr>
                <w:rFonts w:ascii="Arial" w:hAnsi="Arial" w:cs="Arial"/>
                <w:iCs/>
                <w:lang w:val="en-GB"/>
              </w:rPr>
              <w:t xml:space="preserve">Non-current </w:t>
            </w:r>
            <w:r w:rsidR="000D472F" w:rsidRPr="004817BF">
              <w:rPr>
                <w:rFonts w:ascii="Arial" w:hAnsi="Arial" w:cs="Arial"/>
                <w:iCs/>
                <w:lang w:val="en-GB"/>
              </w:rPr>
              <w:t>l</w:t>
            </w:r>
            <w:r w:rsidRPr="004817BF">
              <w:rPr>
                <w:rFonts w:ascii="Arial" w:hAnsi="Arial" w:cs="Arial"/>
                <w:iCs/>
                <w:lang w:val="en-GB"/>
              </w:rPr>
              <w:t xml:space="preserve">iabilities </w:t>
            </w:r>
          </w:p>
        </w:tc>
        <w:tc>
          <w:tcPr>
            <w:tcW w:w="2551" w:type="dxa"/>
            <w:tcBorders>
              <w:top w:val="nil"/>
              <w:left w:val="single" w:sz="8" w:space="0" w:color="auto"/>
              <w:bottom w:val="nil"/>
              <w:right w:val="single" w:sz="8" w:space="0" w:color="auto"/>
            </w:tcBorders>
            <w:shd w:val="clear" w:color="auto" w:fill="auto"/>
            <w:noWrap/>
            <w:vAlign w:val="bottom"/>
            <w:hideMark/>
          </w:tcPr>
          <w:p w14:paraId="53AD2314" w14:textId="2D2BF290" w:rsidR="00A10CD4" w:rsidRPr="004817BF" w:rsidRDefault="00A10CD4" w:rsidP="00FD52C4">
            <w:pPr>
              <w:keepNext/>
              <w:keepLines/>
              <w:rPr>
                <w:rFonts w:ascii="Arial" w:hAnsi="Arial" w:cs="Arial"/>
                <w:lang w:val="en-GB"/>
              </w:rPr>
            </w:pPr>
            <w:r w:rsidRPr="004817BF">
              <w:rPr>
                <w:rFonts w:ascii="Arial" w:hAnsi="Arial" w:cs="Arial"/>
                <w:lang w:val="en-GB"/>
              </w:rPr>
              <w:t xml:space="preserve">Deferred liabilities </w:t>
            </w:r>
          </w:p>
        </w:tc>
        <w:tc>
          <w:tcPr>
            <w:tcW w:w="798" w:type="dxa"/>
            <w:tcBorders>
              <w:top w:val="nil"/>
              <w:left w:val="nil"/>
              <w:bottom w:val="nil"/>
              <w:right w:val="nil"/>
            </w:tcBorders>
            <w:shd w:val="clear" w:color="auto" w:fill="auto"/>
            <w:noWrap/>
            <w:vAlign w:val="bottom"/>
            <w:hideMark/>
          </w:tcPr>
          <w:p w14:paraId="34279AD2" w14:textId="77777777"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0.10 </w:t>
            </w:r>
          </w:p>
        </w:tc>
        <w:tc>
          <w:tcPr>
            <w:tcW w:w="851" w:type="dxa"/>
            <w:tcBorders>
              <w:top w:val="nil"/>
              <w:left w:val="single" w:sz="4" w:space="0" w:color="auto"/>
              <w:bottom w:val="nil"/>
              <w:right w:val="nil"/>
            </w:tcBorders>
            <w:shd w:val="clear" w:color="auto" w:fill="auto"/>
            <w:noWrap/>
            <w:vAlign w:val="bottom"/>
            <w:hideMark/>
          </w:tcPr>
          <w:p w14:paraId="6E6B3AFC" w14:textId="0A0551B6"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87 </w:t>
            </w:r>
          </w:p>
        </w:tc>
        <w:tc>
          <w:tcPr>
            <w:tcW w:w="992" w:type="dxa"/>
            <w:tcBorders>
              <w:top w:val="nil"/>
              <w:left w:val="single" w:sz="4" w:space="0" w:color="auto"/>
              <w:bottom w:val="nil"/>
              <w:right w:val="single" w:sz="4" w:space="0" w:color="auto"/>
            </w:tcBorders>
            <w:shd w:val="clear" w:color="auto" w:fill="auto"/>
            <w:noWrap/>
            <w:vAlign w:val="bottom"/>
            <w:hideMark/>
          </w:tcPr>
          <w:p w14:paraId="22C2C771" w14:textId="091C6CF7"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09 </w:t>
            </w:r>
          </w:p>
        </w:tc>
        <w:tc>
          <w:tcPr>
            <w:tcW w:w="851" w:type="dxa"/>
            <w:tcBorders>
              <w:top w:val="nil"/>
              <w:left w:val="nil"/>
              <w:bottom w:val="nil"/>
              <w:right w:val="nil"/>
            </w:tcBorders>
            <w:shd w:val="clear" w:color="auto" w:fill="auto"/>
            <w:noWrap/>
            <w:vAlign w:val="bottom"/>
            <w:hideMark/>
          </w:tcPr>
          <w:p w14:paraId="2569F120" w14:textId="228CFBE6"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09 </w:t>
            </w:r>
          </w:p>
        </w:tc>
        <w:tc>
          <w:tcPr>
            <w:tcW w:w="1044" w:type="dxa"/>
            <w:tcBorders>
              <w:top w:val="nil"/>
              <w:left w:val="single" w:sz="4" w:space="0" w:color="auto"/>
              <w:bottom w:val="nil"/>
              <w:right w:val="single" w:sz="4" w:space="0" w:color="auto"/>
            </w:tcBorders>
            <w:shd w:val="clear" w:color="auto" w:fill="auto"/>
            <w:noWrap/>
            <w:vAlign w:val="bottom"/>
            <w:hideMark/>
          </w:tcPr>
          <w:p w14:paraId="6C541F81" w14:textId="15A87AED"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09 </w:t>
            </w:r>
          </w:p>
        </w:tc>
        <w:tc>
          <w:tcPr>
            <w:tcW w:w="992" w:type="dxa"/>
            <w:tcBorders>
              <w:top w:val="nil"/>
              <w:left w:val="nil"/>
              <w:bottom w:val="nil"/>
              <w:right w:val="single" w:sz="8" w:space="0" w:color="auto"/>
            </w:tcBorders>
            <w:shd w:val="clear" w:color="auto" w:fill="auto"/>
            <w:noWrap/>
            <w:vAlign w:val="bottom"/>
            <w:hideMark/>
          </w:tcPr>
          <w:p w14:paraId="7249919E" w14:textId="7B809DCD"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09 </w:t>
            </w:r>
          </w:p>
        </w:tc>
      </w:tr>
      <w:tr w:rsidR="00A10CD4" w:rsidRPr="004817BF" w14:paraId="1A3B988F" w14:textId="77777777" w:rsidTr="00A10CD4">
        <w:trPr>
          <w:trHeight w:val="60"/>
        </w:trPr>
        <w:tc>
          <w:tcPr>
            <w:tcW w:w="1277" w:type="dxa"/>
            <w:tcBorders>
              <w:top w:val="nil"/>
              <w:left w:val="single" w:sz="8" w:space="0" w:color="auto"/>
              <w:bottom w:val="nil"/>
              <w:right w:val="nil"/>
            </w:tcBorders>
            <w:shd w:val="clear" w:color="auto" w:fill="auto"/>
            <w:noWrap/>
            <w:vAlign w:val="bottom"/>
            <w:hideMark/>
          </w:tcPr>
          <w:p w14:paraId="24EBCC92" w14:textId="77777777" w:rsidR="00A10CD4" w:rsidRPr="004817BF" w:rsidRDefault="00A10CD4" w:rsidP="00FD52C4">
            <w:pPr>
              <w:keepNext/>
              <w:keepLines/>
              <w:rPr>
                <w:rFonts w:ascii="Arial" w:hAnsi="Arial" w:cs="Arial"/>
                <w:iCs/>
                <w:lang w:val="en-GB"/>
              </w:rPr>
            </w:pPr>
            <w:r w:rsidRPr="004817BF">
              <w:rPr>
                <w:rFonts w:ascii="Arial" w:hAnsi="Arial" w:cs="Arial"/>
                <w:i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0513D442" w14:textId="1032BB29" w:rsidR="00A10CD4" w:rsidRPr="004817BF" w:rsidRDefault="00A10CD4" w:rsidP="00FD52C4">
            <w:pPr>
              <w:keepNext/>
              <w:keepLines/>
              <w:rPr>
                <w:rFonts w:ascii="Arial" w:hAnsi="Arial" w:cs="Arial"/>
                <w:lang w:val="en-GB"/>
              </w:rPr>
            </w:pPr>
            <w:r w:rsidRPr="004817BF">
              <w:rPr>
                <w:rFonts w:ascii="Arial" w:hAnsi="Arial" w:cs="Arial"/>
                <w:lang w:val="en-GB"/>
              </w:rPr>
              <w:t xml:space="preserve">Accrued expenses </w:t>
            </w:r>
          </w:p>
        </w:tc>
        <w:tc>
          <w:tcPr>
            <w:tcW w:w="798" w:type="dxa"/>
            <w:tcBorders>
              <w:top w:val="nil"/>
              <w:left w:val="nil"/>
              <w:bottom w:val="nil"/>
              <w:right w:val="nil"/>
            </w:tcBorders>
            <w:shd w:val="clear" w:color="auto" w:fill="auto"/>
            <w:noWrap/>
            <w:vAlign w:val="bottom"/>
            <w:hideMark/>
          </w:tcPr>
          <w:p w14:paraId="64C2ABEF" w14:textId="0542C6C6"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01 </w:t>
            </w:r>
          </w:p>
        </w:tc>
        <w:tc>
          <w:tcPr>
            <w:tcW w:w="851" w:type="dxa"/>
            <w:tcBorders>
              <w:top w:val="nil"/>
              <w:left w:val="single" w:sz="4" w:space="0" w:color="auto"/>
              <w:bottom w:val="nil"/>
              <w:right w:val="nil"/>
            </w:tcBorders>
            <w:shd w:val="clear" w:color="auto" w:fill="auto"/>
            <w:noWrap/>
            <w:vAlign w:val="bottom"/>
            <w:hideMark/>
          </w:tcPr>
          <w:p w14:paraId="1B4AE65D" w14:textId="6DD05A37"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04 </w:t>
            </w:r>
          </w:p>
        </w:tc>
        <w:tc>
          <w:tcPr>
            <w:tcW w:w="992" w:type="dxa"/>
            <w:tcBorders>
              <w:top w:val="nil"/>
              <w:left w:val="single" w:sz="4" w:space="0" w:color="auto"/>
              <w:bottom w:val="nil"/>
              <w:right w:val="single" w:sz="4" w:space="0" w:color="auto"/>
            </w:tcBorders>
            <w:shd w:val="clear" w:color="auto" w:fill="auto"/>
            <w:noWrap/>
            <w:vAlign w:val="bottom"/>
            <w:hideMark/>
          </w:tcPr>
          <w:p w14:paraId="23743EE6" w14:textId="6D21EA56"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53 </w:t>
            </w:r>
          </w:p>
        </w:tc>
        <w:tc>
          <w:tcPr>
            <w:tcW w:w="851" w:type="dxa"/>
            <w:tcBorders>
              <w:top w:val="nil"/>
              <w:left w:val="nil"/>
              <w:bottom w:val="nil"/>
              <w:right w:val="nil"/>
            </w:tcBorders>
            <w:shd w:val="clear" w:color="auto" w:fill="auto"/>
            <w:noWrap/>
            <w:vAlign w:val="bottom"/>
            <w:hideMark/>
          </w:tcPr>
          <w:p w14:paraId="3D9DD17A" w14:textId="4927D6E8"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3</w:t>
            </w:r>
            <w:r w:rsidR="00E949D8" w:rsidRPr="004817BF">
              <w:rPr>
                <w:rFonts w:ascii="Arial" w:hAnsi="Arial" w:cs="Arial"/>
                <w:lang w:val="en-GB"/>
              </w:rPr>
              <w:t>.</w:t>
            </w:r>
            <w:r w:rsidRPr="004817BF">
              <w:rPr>
                <w:rFonts w:ascii="Arial" w:hAnsi="Arial" w:cs="Arial"/>
                <w:lang w:val="en-GB"/>
              </w:rPr>
              <w:t xml:space="preserve">13 </w:t>
            </w:r>
          </w:p>
        </w:tc>
        <w:tc>
          <w:tcPr>
            <w:tcW w:w="1044" w:type="dxa"/>
            <w:tcBorders>
              <w:top w:val="nil"/>
              <w:left w:val="single" w:sz="4" w:space="0" w:color="auto"/>
              <w:bottom w:val="nil"/>
              <w:right w:val="single" w:sz="4" w:space="0" w:color="auto"/>
            </w:tcBorders>
            <w:shd w:val="clear" w:color="auto" w:fill="auto"/>
            <w:noWrap/>
            <w:vAlign w:val="bottom"/>
            <w:hideMark/>
          </w:tcPr>
          <w:p w14:paraId="6A79F994" w14:textId="186C7141"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3</w:t>
            </w:r>
            <w:r w:rsidR="00E949D8" w:rsidRPr="004817BF">
              <w:rPr>
                <w:rFonts w:ascii="Arial" w:hAnsi="Arial" w:cs="Arial"/>
                <w:lang w:val="en-GB"/>
              </w:rPr>
              <w:t>.</w:t>
            </w:r>
            <w:r w:rsidRPr="004817BF">
              <w:rPr>
                <w:rFonts w:ascii="Arial" w:hAnsi="Arial" w:cs="Arial"/>
                <w:lang w:val="en-GB"/>
              </w:rPr>
              <w:t xml:space="preserve">92 </w:t>
            </w:r>
          </w:p>
        </w:tc>
        <w:tc>
          <w:tcPr>
            <w:tcW w:w="992" w:type="dxa"/>
            <w:tcBorders>
              <w:top w:val="nil"/>
              <w:left w:val="nil"/>
              <w:bottom w:val="nil"/>
              <w:right w:val="single" w:sz="8" w:space="0" w:color="auto"/>
            </w:tcBorders>
            <w:shd w:val="clear" w:color="auto" w:fill="auto"/>
            <w:noWrap/>
            <w:vAlign w:val="bottom"/>
            <w:hideMark/>
          </w:tcPr>
          <w:p w14:paraId="64688ECF" w14:textId="13417E77" w:rsidR="00A10CD4" w:rsidRPr="004817BF" w:rsidRDefault="00A10CD4" w:rsidP="00FD52C4">
            <w:pPr>
              <w:keepNext/>
              <w:keepLines/>
              <w:jc w:val="right"/>
              <w:rPr>
                <w:rFonts w:ascii="Arial" w:hAnsi="Arial" w:cs="Arial"/>
                <w:lang w:val="en-GB"/>
              </w:rPr>
            </w:pPr>
            <w:r w:rsidRPr="004817BF">
              <w:rPr>
                <w:rFonts w:ascii="Arial" w:hAnsi="Arial" w:cs="Arial"/>
                <w:lang w:val="en-GB"/>
              </w:rPr>
              <w:t>7</w:t>
            </w:r>
            <w:r w:rsidR="00E949D8" w:rsidRPr="004817BF">
              <w:rPr>
                <w:rFonts w:ascii="Arial" w:hAnsi="Arial" w:cs="Arial"/>
                <w:lang w:val="en-GB"/>
              </w:rPr>
              <w:t>.</w:t>
            </w:r>
            <w:r w:rsidRPr="004817BF">
              <w:rPr>
                <w:rFonts w:ascii="Arial" w:hAnsi="Arial" w:cs="Arial"/>
                <w:lang w:val="en-GB"/>
              </w:rPr>
              <w:t xml:space="preserve">75 </w:t>
            </w:r>
          </w:p>
        </w:tc>
      </w:tr>
      <w:tr w:rsidR="00A10CD4" w:rsidRPr="004817BF" w14:paraId="339FC435" w14:textId="77777777" w:rsidTr="00A10CD4">
        <w:trPr>
          <w:trHeight w:val="179"/>
        </w:trPr>
        <w:tc>
          <w:tcPr>
            <w:tcW w:w="1277" w:type="dxa"/>
            <w:tcBorders>
              <w:top w:val="nil"/>
              <w:left w:val="single" w:sz="8" w:space="0" w:color="auto"/>
              <w:bottom w:val="nil"/>
              <w:right w:val="nil"/>
            </w:tcBorders>
            <w:shd w:val="clear" w:color="auto" w:fill="auto"/>
            <w:noWrap/>
            <w:vAlign w:val="bottom"/>
            <w:hideMark/>
          </w:tcPr>
          <w:p w14:paraId="7B585500" w14:textId="77777777" w:rsidR="00A10CD4" w:rsidRPr="004817BF" w:rsidRDefault="00A10CD4" w:rsidP="00FD52C4">
            <w:pPr>
              <w:keepNext/>
              <w:keepLines/>
              <w:rPr>
                <w:rFonts w:ascii="Arial" w:hAnsi="Arial" w:cs="Arial"/>
                <w:iCs/>
                <w:lang w:val="en-GB"/>
              </w:rPr>
            </w:pPr>
            <w:r w:rsidRPr="004817BF">
              <w:rPr>
                <w:rFonts w:ascii="Arial" w:hAnsi="Arial" w:cs="Arial"/>
                <w:i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06C1E3E7" w14:textId="529D6961" w:rsidR="00A10CD4" w:rsidRPr="004817BF" w:rsidRDefault="00A10CD4" w:rsidP="00FD52C4">
            <w:pPr>
              <w:keepNext/>
              <w:keepLines/>
              <w:rPr>
                <w:rFonts w:ascii="Arial" w:hAnsi="Arial" w:cs="Arial"/>
                <w:lang w:val="en-GB"/>
              </w:rPr>
            </w:pPr>
            <w:r w:rsidRPr="004817BF">
              <w:rPr>
                <w:rFonts w:ascii="Arial" w:hAnsi="Arial" w:cs="Arial"/>
                <w:lang w:val="en-GB"/>
              </w:rPr>
              <w:t xml:space="preserve">Accounts payable </w:t>
            </w:r>
          </w:p>
        </w:tc>
        <w:tc>
          <w:tcPr>
            <w:tcW w:w="798" w:type="dxa"/>
            <w:tcBorders>
              <w:top w:val="nil"/>
              <w:left w:val="nil"/>
              <w:bottom w:val="nil"/>
              <w:right w:val="nil"/>
            </w:tcBorders>
            <w:shd w:val="clear" w:color="auto" w:fill="auto"/>
            <w:noWrap/>
            <w:vAlign w:val="bottom"/>
            <w:hideMark/>
          </w:tcPr>
          <w:p w14:paraId="5750D4FB" w14:textId="7BE09962"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00 </w:t>
            </w:r>
          </w:p>
        </w:tc>
        <w:tc>
          <w:tcPr>
            <w:tcW w:w="851" w:type="dxa"/>
            <w:tcBorders>
              <w:top w:val="nil"/>
              <w:left w:val="single" w:sz="4" w:space="0" w:color="auto"/>
              <w:bottom w:val="nil"/>
              <w:right w:val="nil"/>
            </w:tcBorders>
            <w:shd w:val="clear" w:color="auto" w:fill="auto"/>
            <w:noWrap/>
            <w:vAlign w:val="bottom"/>
            <w:hideMark/>
          </w:tcPr>
          <w:p w14:paraId="530786A3" w14:textId="72693B0F"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68 </w:t>
            </w:r>
          </w:p>
        </w:tc>
        <w:tc>
          <w:tcPr>
            <w:tcW w:w="992" w:type="dxa"/>
            <w:tcBorders>
              <w:top w:val="nil"/>
              <w:left w:val="single" w:sz="4" w:space="0" w:color="auto"/>
              <w:bottom w:val="nil"/>
              <w:right w:val="single" w:sz="4" w:space="0" w:color="auto"/>
            </w:tcBorders>
            <w:shd w:val="clear" w:color="auto" w:fill="auto"/>
            <w:noWrap/>
            <w:vAlign w:val="bottom"/>
            <w:hideMark/>
          </w:tcPr>
          <w:p w14:paraId="62C4F2CE" w14:textId="4A0BB565"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97 </w:t>
            </w:r>
          </w:p>
        </w:tc>
        <w:tc>
          <w:tcPr>
            <w:tcW w:w="851" w:type="dxa"/>
            <w:tcBorders>
              <w:top w:val="nil"/>
              <w:left w:val="nil"/>
              <w:bottom w:val="nil"/>
              <w:right w:val="nil"/>
            </w:tcBorders>
            <w:shd w:val="clear" w:color="auto" w:fill="auto"/>
            <w:noWrap/>
            <w:vAlign w:val="bottom"/>
            <w:hideMark/>
          </w:tcPr>
          <w:p w14:paraId="38A3AFA3" w14:textId="3E3AC2C7"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2</w:t>
            </w:r>
            <w:r w:rsidR="00E949D8" w:rsidRPr="004817BF">
              <w:rPr>
                <w:rFonts w:ascii="Arial" w:hAnsi="Arial" w:cs="Arial"/>
                <w:lang w:val="en-GB"/>
              </w:rPr>
              <w:t>.</w:t>
            </w:r>
            <w:r w:rsidRPr="004817BF">
              <w:rPr>
                <w:rFonts w:ascii="Arial" w:hAnsi="Arial" w:cs="Arial"/>
                <w:lang w:val="en-GB"/>
              </w:rPr>
              <w:t xml:space="preserve">40 </w:t>
            </w:r>
          </w:p>
        </w:tc>
        <w:tc>
          <w:tcPr>
            <w:tcW w:w="1044" w:type="dxa"/>
            <w:tcBorders>
              <w:top w:val="nil"/>
              <w:left w:val="single" w:sz="4" w:space="0" w:color="auto"/>
              <w:bottom w:val="nil"/>
              <w:right w:val="single" w:sz="4" w:space="0" w:color="auto"/>
            </w:tcBorders>
            <w:shd w:val="clear" w:color="auto" w:fill="auto"/>
            <w:noWrap/>
            <w:vAlign w:val="bottom"/>
            <w:hideMark/>
          </w:tcPr>
          <w:p w14:paraId="7A95E225" w14:textId="6F4F1306"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w:t>
            </w:r>
            <w:r w:rsidR="00E949D8" w:rsidRPr="004817BF">
              <w:rPr>
                <w:rFonts w:ascii="Arial" w:hAnsi="Arial" w:cs="Arial"/>
                <w:lang w:val="en-GB"/>
              </w:rPr>
              <w:t>.</w:t>
            </w:r>
            <w:r w:rsidRPr="004817BF">
              <w:rPr>
                <w:rFonts w:ascii="Arial" w:hAnsi="Arial" w:cs="Arial"/>
                <w:lang w:val="en-GB"/>
              </w:rPr>
              <w:t xml:space="preserve">62 </w:t>
            </w:r>
          </w:p>
        </w:tc>
        <w:tc>
          <w:tcPr>
            <w:tcW w:w="992" w:type="dxa"/>
            <w:tcBorders>
              <w:top w:val="nil"/>
              <w:left w:val="nil"/>
              <w:bottom w:val="nil"/>
              <w:right w:val="single" w:sz="8" w:space="0" w:color="auto"/>
            </w:tcBorders>
            <w:shd w:val="clear" w:color="auto" w:fill="auto"/>
            <w:noWrap/>
            <w:vAlign w:val="bottom"/>
            <w:hideMark/>
          </w:tcPr>
          <w:p w14:paraId="63118ECA" w14:textId="4799B900"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0</w:t>
            </w:r>
            <w:r w:rsidR="00E949D8" w:rsidRPr="004817BF">
              <w:rPr>
                <w:rFonts w:ascii="Arial" w:hAnsi="Arial" w:cs="Arial"/>
                <w:lang w:val="en-GB"/>
              </w:rPr>
              <w:t>.</w:t>
            </w:r>
            <w:r w:rsidRPr="004817BF">
              <w:rPr>
                <w:rFonts w:ascii="Arial" w:hAnsi="Arial" w:cs="Arial"/>
                <w:lang w:val="en-GB"/>
              </w:rPr>
              <w:t xml:space="preserve">35 </w:t>
            </w:r>
          </w:p>
        </w:tc>
      </w:tr>
      <w:tr w:rsidR="00A10CD4" w:rsidRPr="004817BF" w14:paraId="1F9E6898" w14:textId="77777777" w:rsidTr="00A10CD4">
        <w:trPr>
          <w:trHeight w:val="80"/>
        </w:trPr>
        <w:tc>
          <w:tcPr>
            <w:tcW w:w="1277" w:type="dxa"/>
            <w:tcBorders>
              <w:top w:val="nil"/>
              <w:left w:val="single" w:sz="8" w:space="0" w:color="auto"/>
              <w:bottom w:val="nil"/>
              <w:right w:val="nil"/>
            </w:tcBorders>
            <w:shd w:val="clear" w:color="auto" w:fill="auto"/>
            <w:noWrap/>
            <w:vAlign w:val="bottom"/>
            <w:hideMark/>
          </w:tcPr>
          <w:p w14:paraId="13370384" w14:textId="1588866F" w:rsidR="00A10CD4" w:rsidRPr="004817BF" w:rsidRDefault="00A10CD4" w:rsidP="00FD52C4">
            <w:pPr>
              <w:keepNext/>
              <w:keepLines/>
              <w:rPr>
                <w:rFonts w:ascii="Arial" w:hAnsi="Arial" w:cs="Arial"/>
                <w:iCs/>
                <w:lang w:val="en-GB"/>
              </w:rPr>
            </w:pPr>
            <w:r w:rsidRPr="004817BF">
              <w:rPr>
                <w:rFonts w:ascii="Arial" w:hAnsi="Arial" w:cs="Arial"/>
                <w:iCs/>
                <w:lang w:val="en-GB"/>
              </w:rPr>
              <w:t xml:space="preserve">Current </w:t>
            </w:r>
            <w:r w:rsidR="000D472F" w:rsidRPr="004817BF">
              <w:rPr>
                <w:rFonts w:ascii="Arial" w:hAnsi="Arial" w:cs="Arial"/>
                <w:iCs/>
                <w:lang w:val="en-GB"/>
              </w:rPr>
              <w:t>l</w:t>
            </w:r>
            <w:r w:rsidRPr="004817BF">
              <w:rPr>
                <w:rFonts w:ascii="Arial" w:hAnsi="Arial" w:cs="Arial"/>
                <w:iCs/>
                <w:lang w:val="en-GB"/>
              </w:rPr>
              <w:t xml:space="preserve">iabilities </w:t>
            </w:r>
          </w:p>
        </w:tc>
        <w:tc>
          <w:tcPr>
            <w:tcW w:w="2551" w:type="dxa"/>
            <w:tcBorders>
              <w:top w:val="nil"/>
              <w:left w:val="single" w:sz="8" w:space="0" w:color="auto"/>
              <w:bottom w:val="nil"/>
              <w:right w:val="single" w:sz="8" w:space="0" w:color="auto"/>
            </w:tcBorders>
            <w:shd w:val="clear" w:color="auto" w:fill="auto"/>
            <w:noWrap/>
            <w:vAlign w:val="bottom"/>
            <w:hideMark/>
          </w:tcPr>
          <w:p w14:paraId="408EA5C3" w14:textId="319A0167" w:rsidR="00A10CD4" w:rsidRPr="004817BF" w:rsidRDefault="00A10CD4" w:rsidP="00FD52C4">
            <w:pPr>
              <w:keepNext/>
              <w:keepLines/>
              <w:rPr>
                <w:rFonts w:ascii="Arial" w:hAnsi="Arial" w:cs="Arial"/>
                <w:lang w:val="en-GB"/>
              </w:rPr>
            </w:pPr>
            <w:r w:rsidRPr="004817BF">
              <w:rPr>
                <w:rFonts w:ascii="Arial" w:hAnsi="Arial" w:cs="Arial"/>
                <w:lang w:val="en-GB"/>
              </w:rPr>
              <w:t xml:space="preserve">Current liabilities </w:t>
            </w:r>
          </w:p>
        </w:tc>
        <w:tc>
          <w:tcPr>
            <w:tcW w:w="798" w:type="dxa"/>
            <w:tcBorders>
              <w:top w:val="nil"/>
              <w:left w:val="nil"/>
              <w:bottom w:val="nil"/>
              <w:right w:val="nil"/>
            </w:tcBorders>
            <w:shd w:val="clear" w:color="auto" w:fill="auto"/>
            <w:noWrap/>
            <w:vAlign w:val="bottom"/>
            <w:hideMark/>
          </w:tcPr>
          <w:p w14:paraId="3B79F644" w14:textId="7C34A548"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851" w:type="dxa"/>
            <w:tcBorders>
              <w:top w:val="nil"/>
              <w:left w:val="single" w:sz="4" w:space="0" w:color="auto"/>
              <w:bottom w:val="nil"/>
              <w:right w:val="nil"/>
            </w:tcBorders>
            <w:shd w:val="clear" w:color="auto" w:fill="auto"/>
            <w:noWrap/>
            <w:vAlign w:val="bottom"/>
            <w:hideMark/>
          </w:tcPr>
          <w:p w14:paraId="50E97308" w14:textId="0AB5A555"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w:t>
            </w:r>
            <w:r w:rsidR="00C62748" w:rsidRPr="004817BF">
              <w:rPr>
                <w:rFonts w:ascii="Arial" w:hAnsi="Arial" w:cs="Arial"/>
                <w:lang w:val="en-GB"/>
              </w:rPr>
              <w:t>–</w:t>
            </w:r>
            <w:r w:rsidRPr="004817BF">
              <w:rPr>
                <w:rFonts w:ascii="Arial" w:hAnsi="Arial" w:cs="Arial"/>
                <w:lang w:val="en-GB"/>
              </w:rPr>
              <w:t xml:space="preserve">   </w:t>
            </w:r>
          </w:p>
        </w:tc>
        <w:tc>
          <w:tcPr>
            <w:tcW w:w="992" w:type="dxa"/>
            <w:tcBorders>
              <w:top w:val="nil"/>
              <w:left w:val="single" w:sz="4" w:space="0" w:color="auto"/>
              <w:bottom w:val="nil"/>
              <w:right w:val="single" w:sz="4" w:space="0" w:color="auto"/>
            </w:tcBorders>
            <w:shd w:val="clear" w:color="auto" w:fill="auto"/>
            <w:noWrap/>
            <w:vAlign w:val="bottom"/>
            <w:hideMark/>
          </w:tcPr>
          <w:p w14:paraId="26EEDC10" w14:textId="75947030"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15</w:t>
            </w:r>
            <w:r w:rsidR="00E949D8" w:rsidRPr="004817BF">
              <w:rPr>
                <w:rFonts w:ascii="Arial" w:hAnsi="Arial" w:cs="Arial"/>
                <w:lang w:val="en-GB"/>
              </w:rPr>
              <w:t>.</w:t>
            </w:r>
            <w:r w:rsidRPr="004817BF">
              <w:rPr>
                <w:rFonts w:ascii="Arial" w:hAnsi="Arial" w:cs="Arial"/>
                <w:lang w:val="en-GB"/>
              </w:rPr>
              <w:t xml:space="preserve">66 </w:t>
            </w:r>
          </w:p>
        </w:tc>
        <w:tc>
          <w:tcPr>
            <w:tcW w:w="851" w:type="dxa"/>
            <w:tcBorders>
              <w:top w:val="nil"/>
              <w:left w:val="nil"/>
              <w:bottom w:val="nil"/>
              <w:right w:val="nil"/>
            </w:tcBorders>
            <w:shd w:val="clear" w:color="auto" w:fill="auto"/>
            <w:noWrap/>
            <w:vAlign w:val="bottom"/>
            <w:hideMark/>
          </w:tcPr>
          <w:p w14:paraId="347D29B4" w14:textId="5AA0D81F"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57</w:t>
            </w:r>
            <w:r w:rsidR="00E949D8" w:rsidRPr="004817BF">
              <w:rPr>
                <w:rFonts w:ascii="Arial" w:hAnsi="Arial" w:cs="Arial"/>
                <w:lang w:val="en-GB"/>
              </w:rPr>
              <w:t>.</w:t>
            </w:r>
            <w:r w:rsidRPr="004817BF">
              <w:rPr>
                <w:rFonts w:ascii="Arial" w:hAnsi="Arial" w:cs="Arial"/>
                <w:lang w:val="en-GB"/>
              </w:rPr>
              <w:t xml:space="preserve">76 </w:t>
            </w:r>
          </w:p>
        </w:tc>
        <w:tc>
          <w:tcPr>
            <w:tcW w:w="1044" w:type="dxa"/>
            <w:tcBorders>
              <w:top w:val="nil"/>
              <w:left w:val="single" w:sz="4" w:space="0" w:color="auto"/>
              <w:bottom w:val="nil"/>
              <w:right w:val="single" w:sz="4" w:space="0" w:color="auto"/>
            </w:tcBorders>
            <w:shd w:val="clear" w:color="auto" w:fill="auto"/>
            <w:noWrap/>
            <w:vAlign w:val="bottom"/>
            <w:hideMark/>
          </w:tcPr>
          <w:p w14:paraId="40B5BAB4" w14:textId="679012AC" w:rsidR="00A10CD4" w:rsidRPr="004817BF" w:rsidRDefault="00A10CD4" w:rsidP="00FD52C4">
            <w:pPr>
              <w:keepNext/>
              <w:keepLines/>
              <w:jc w:val="right"/>
              <w:rPr>
                <w:rFonts w:ascii="Arial" w:hAnsi="Arial" w:cs="Arial"/>
                <w:lang w:val="en-GB"/>
              </w:rPr>
            </w:pPr>
            <w:r w:rsidRPr="004817BF">
              <w:rPr>
                <w:rFonts w:ascii="Arial" w:hAnsi="Arial" w:cs="Arial"/>
                <w:lang w:val="en-GB"/>
              </w:rPr>
              <w:t>96</w:t>
            </w:r>
            <w:r w:rsidR="00E949D8" w:rsidRPr="004817BF">
              <w:rPr>
                <w:rFonts w:ascii="Arial" w:hAnsi="Arial" w:cs="Arial"/>
                <w:lang w:val="en-GB"/>
              </w:rPr>
              <w:t>.</w:t>
            </w:r>
            <w:r w:rsidRPr="004817BF">
              <w:rPr>
                <w:rFonts w:ascii="Arial" w:hAnsi="Arial" w:cs="Arial"/>
                <w:lang w:val="en-GB"/>
              </w:rPr>
              <w:t xml:space="preserve">47 </w:t>
            </w:r>
          </w:p>
        </w:tc>
        <w:tc>
          <w:tcPr>
            <w:tcW w:w="992" w:type="dxa"/>
            <w:tcBorders>
              <w:top w:val="nil"/>
              <w:left w:val="nil"/>
              <w:bottom w:val="nil"/>
              <w:right w:val="single" w:sz="8" w:space="0" w:color="auto"/>
            </w:tcBorders>
            <w:shd w:val="clear" w:color="auto" w:fill="auto"/>
            <w:noWrap/>
            <w:vAlign w:val="bottom"/>
            <w:hideMark/>
          </w:tcPr>
          <w:p w14:paraId="16C85CD7" w14:textId="1D294287"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155</w:t>
            </w:r>
            <w:r w:rsidR="00E949D8" w:rsidRPr="004817BF">
              <w:rPr>
                <w:rFonts w:ascii="Arial" w:hAnsi="Arial" w:cs="Arial"/>
                <w:lang w:val="en-GB"/>
              </w:rPr>
              <w:t>.</w:t>
            </w:r>
            <w:r w:rsidRPr="004817BF">
              <w:rPr>
                <w:rFonts w:ascii="Arial" w:hAnsi="Arial" w:cs="Arial"/>
                <w:lang w:val="en-GB"/>
              </w:rPr>
              <w:t xml:space="preserve">70 </w:t>
            </w:r>
          </w:p>
        </w:tc>
      </w:tr>
      <w:tr w:rsidR="00A10CD4" w:rsidRPr="004817BF" w14:paraId="0E7CE05A" w14:textId="77777777" w:rsidTr="00A10CD4">
        <w:trPr>
          <w:trHeight w:val="70"/>
        </w:trPr>
        <w:tc>
          <w:tcPr>
            <w:tcW w:w="1277" w:type="dxa"/>
            <w:tcBorders>
              <w:top w:val="nil"/>
              <w:left w:val="single" w:sz="8" w:space="0" w:color="auto"/>
              <w:bottom w:val="nil"/>
              <w:right w:val="nil"/>
            </w:tcBorders>
            <w:shd w:val="clear" w:color="auto" w:fill="auto"/>
            <w:noWrap/>
            <w:vAlign w:val="bottom"/>
            <w:hideMark/>
          </w:tcPr>
          <w:p w14:paraId="1B1F4372" w14:textId="77777777" w:rsidR="00A10CD4" w:rsidRPr="004817BF" w:rsidRDefault="00A10CD4" w:rsidP="00FD52C4">
            <w:pPr>
              <w:keepNext/>
              <w:keepLines/>
              <w:rPr>
                <w:rFonts w:ascii="Arial" w:hAnsi="Arial" w:cs="Arial"/>
                <w:i/>
                <w:iCs/>
                <w:lang w:val="en-GB"/>
              </w:rPr>
            </w:pPr>
            <w:r w:rsidRPr="004817BF">
              <w:rPr>
                <w:rFonts w:ascii="Arial" w:hAnsi="Arial" w:cs="Arial"/>
                <w:i/>
                <w:iCs/>
                <w:lang w:val="en-GB"/>
              </w:rPr>
              <w:t> </w:t>
            </w:r>
          </w:p>
        </w:tc>
        <w:tc>
          <w:tcPr>
            <w:tcW w:w="2551" w:type="dxa"/>
            <w:tcBorders>
              <w:top w:val="nil"/>
              <w:left w:val="single" w:sz="8" w:space="0" w:color="auto"/>
              <w:bottom w:val="nil"/>
              <w:right w:val="single" w:sz="8" w:space="0" w:color="auto"/>
            </w:tcBorders>
            <w:shd w:val="clear" w:color="auto" w:fill="auto"/>
            <w:noWrap/>
            <w:vAlign w:val="bottom"/>
            <w:hideMark/>
          </w:tcPr>
          <w:p w14:paraId="196B370C" w14:textId="752AA9B9" w:rsidR="00A10CD4" w:rsidRPr="004817BF" w:rsidRDefault="00A10CD4" w:rsidP="00FD52C4">
            <w:pPr>
              <w:keepNext/>
              <w:keepLines/>
              <w:rPr>
                <w:rFonts w:ascii="Arial" w:hAnsi="Arial" w:cs="Arial"/>
                <w:b/>
                <w:bCs/>
                <w:lang w:val="en-GB"/>
              </w:rPr>
            </w:pPr>
            <w:r w:rsidRPr="004817BF">
              <w:rPr>
                <w:rFonts w:ascii="Arial" w:hAnsi="Arial" w:cs="Arial"/>
                <w:b/>
                <w:bCs/>
                <w:lang w:val="en-GB"/>
              </w:rPr>
              <w:t xml:space="preserve">Total </w:t>
            </w:r>
            <w:r w:rsidR="005950D1" w:rsidRPr="004817BF">
              <w:rPr>
                <w:rFonts w:ascii="Arial" w:hAnsi="Arial" w:cs="Arial"/>
                <w:b/>
                <w:bCs/>
                <w:lang w:val="en-GB"/>
              </w:rPr>
              <w:t>l</w:t>
            </w:r>
            <w:r w:rsidRPr="004817BF">
              <w:rPr>
                <w:rFonts w:ascii="Arial" w:hAnsi="Arial" w:cs="Arial"/>
                <w:b/>
                <w:bCs/>
                <w:lang w:val="en-GB"/>
              </w:rPr>
              <w:t xml:space="preserve">iabilities </w:t>
            </w:r>
          </w:p>
        </w:tc>
        <w:tc>
          <w:tcPr>
            <w:tcW w:w="798" w:type="dxa"/>
            <w:tcBorders>
              <w:top w:val="single" w:sz="4" w:space="0" w:color="auto"/>
              <w:left w:val="nil"/>
              <w:bottom w:val="nil"/>
              <w:right w:val="nil"/>
            </w:tcBorders>
            <w:shd w:val="clear" w:color="auto" w:fill="auto"/>
            <w:noWrap/>
            <w:vAlign w:val="bottom"/>
            <w:hideMark/>
          </w:tcPr>
          <w:p w14:paraId="412B778A" w14:textId="00BE18B8" w:rsidR="00A10CD4" w:rsidRPr="004817BF" w:rsidRDefault="00A10CD4" w:rsidP="00FD52C4">
            <w:pPr>
              <w:keepNext/>
              <w:keepLines/>
              <w:jc w:val="right"/>
              <w:rPr>
                <w:rFonts w:ascii="Arial" w:hAnsi="Arial" w:cs="Arial"/>
                <w:lang w:val="en-GB"/>
              </w:rPr>
            </w:pPr>
            <w:r w:rsidRPr="004817BF">
              <w:rPr>
                <w:rFonts w:ascii="Arial" w:hAnsi="Arial" w:cs="Arial"/>
                <w:lang w:val="en-GB"/>
              </w:rPr>
              <w:t>0</w:t>
            </w:r>
            <w:r w:rsidR="00E949D8" w:rsidRPr="004817BF">
              <w:rPr>
                <w:rFonts w:ascii="Arial" w:hAnsi="Arial" w:cs="Arial"/>
                <w:lang w:val="en-GB"/>
              </w:rPr>
              <w:t>.</w:t>
            </w:r>
            <w:r w:rsidRPr="004817BF">
              <w:rPr>
                <w:rFonts w:ascii="Arial" w:hAnsi="Arial" w:cs="Arial"/>
                <w:lang w:val="en-GB"/>
              </w:rPr>
              <w:t xml:space="preserve">01 </w:t>
            </w:r>
          </w:p>
        </w:tc>
        <w:tc>
          <w:tcPr>
            <w:tcW w:w="851" w:type="dxa"/>
            <w:tcBorders>
              <w:top w:val="single" w:sz="4" w:space="0" w:color="auto"/>
              <w:left w:val="single" w:sz="4" w:space="0" w:color="auto"/>
              <w:bottom w:val="nil"/>
              <w:right w:val="nil"/>
            </w:tcBorders>
            <w:shd w:val="clear" w:color="auto" w:fill="auto"/>
            <w:noWrap/>
            <w:vAlign w:val="bottom"/>
            <w:hideMark/>
          </w:tcPr>
          <w:p w14:paraId="3B95BB1B" w14:textId="17C6FDB9"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w:t>
            </w:r>
            <w:r w:rsidR="00E949D8" w:rsidRPr="004817BF">
              <w:rPr>
                <w:rFonts w:ascii="Arial" w:hAnsi="Arial" w:cs="Arial"/>
                <w:lang w:val="en-GB"/>
              </w:rPr>
              <w:t>.</w:t>
            </w:r>
            <w:r w:rsidRPr="004817BF">
              <w:rPr>
                <w:rFonts w:ascii="Arial" w:hAnsi="Arial" w:cs="Arial"/>
                <w:lang w:val="en-GB"/>
              </w:rPr>
              <w:t xml:space="preserve">62 </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7A37C9B4" w14:textId="4800627F"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15</w:t>
            </w:r>
            <w:r w:rsidR="00E949D8" w:rsidRPr="004817BF">
              <w:rPr>
                <w:rFonts w:ascii="Arial" w:hAnsi="Arial" w:cs="Arial"/>
                <w:lang w:val="en-GB"/>
              </w:rPr>
              <w:t>.</w:t>
            </w:r>
            <w:r w:rsidRPr="004817BF">
              <w:rPr>
                <w:rFonts w:ascii="Arial" w:hAnsi="Arial" w:cs="Arial"/>
                <w:lang w:val="en-GB"/>
              </w:rPr>
              <w:t xml:space="preserve">71 </w:t>
            </w:r>
          </w:p>
        </w:tc>
        <w:tc>
          <w:tcPr>
            <w:tcW w:w="851" w:type="dxa"/>
            <w:tcBorders>
              <w:top w:val="single" w:sz="4" w:space="0" w:color="auto"/>
              <w:left w:val="nil"/>
              <w:bottom w:val="nil"/>
              <w:right w:val="nil"/>
            </w:tcBorders>
            <w:shd w:val="clear" w:color="auto" w:fill="auto"/>
            <w:noWrap/>
            <w:vAlign w:val="bottom"/>
            <w:hideMark/>
          </w:tcPr>
          <w:p w14:paraId="494208DC" w14:textId="51CF81A2" w:rsidR="00A10CD4" w:rsidRPr="004817BF" w:rsidRDefault="00A10CD4" w:rsidP="00FD52C4">
            <w:pPr>
              <w:keepNext/>
              <w:keepLines/>
              <w:jc w:val="right"/>
              <w:rPr>
                <w:rFonts w:ascii="Arial" w:hAnsi="Arial" w:cs="Arial"/>
                <w:lang w:val="en-GB"/>
              </w:rPr>
            </w:pPr>
            <w:r w:rsidRPr="004817BF">
              <w:rPr>
                <w:rFonts w:ascii="Arial" w:hAnsi="Arial" w:cs="Arial"/>
                <w:lang w:val="en-GB"/>
              </w:rPr>
              <w:t xml:space="preserve">  57</w:t>
            </w:r>
            <w:r w:rsidR="00E949D8" w:rsidRPr="004817BF">
              <w:rPr>
                <w:rFonts w:ascii="Arial" w:hAnsi="Arial" w:cs="Arial"/>
                <w:lang w:val="en-GB"/>
              </w:rPr>
              <w:t>.</w:t>
            </w:r>
            <w:r w:rsidRPr="004817BF">
              <w:rPr>
                <w:rFonts w:ascii="Arial" w:hAnsi="Arial" w:cs="Arial"/>
                <w:lang w:val="en-GB"/>
              </w:rPr>
              <w:t xml:space="preserve">85 </w:t>
            </w:r>
          </w:p>
        </w:tc>
        <w:tc>
          <w:tcPr>
            <w:tcW w:w="1044" w:type="dxa"/>
            <w:tcBorders>
              <w:top w:val="single" w:sz="4" w:space="0" w:color="auto"/>
              <w:left w:val="single" w:sz="4" w:space="0" w:color="auto"/>
              <w:bottom w:val="nil"/>
              <w:right w:val="single" w:sz="4" w:space="0" w:color="auto"/>
            </w:tcBorders>
            <w:shd w:val="clear" w:color="auto" w:fill="auto"/>
            <w:noWrap/>
            <w:vAlign w:val="bottom"/>
            <w:hideMark/>
          </w:tcPr>
          <w:p w14:paraId="055AAD2D" w14:textId="20ACFDC5" w:rsidR="00A10CD4" w:rsidRPr="004817BF" w:rsidRDefault="00A10CD4" w:rsidP="00FD52C4">
            <w:pPr>
              <w:keepNext/>
              <w:keepLines/>
              <w:jc w:val="right"/>
              <w:rPr>
                <w:rFonts w:ascii="Arial" w:hAnsi="Arial" w:cs="Arial"/>
                <w:lang w:val="en-GB"/>
              </w:rPr>
            </w:pPr>
            <w:r w:rsidRPr="004817BF">
              <w:rPr>
                <w:rFonts w:ascii="Arial" w:hAnsi="Arial" w:cs="Arial"/>
                <w:lang w:val="en-GB"/>
              </w:rPr>
              <w:t>96</w:t>
            </w:r>
            <w:r w:rsidR="00E949D8" w:rsidRPr="004817BF">
              <w:rPr>
                <w:rFonts w:ascii="Arial" w:hAnsi="Arial" w:cs="Arial"/>
                <w:lang w:val="en-GB"/>
              </w:rPr>
              <w:t>.</w:t>
            </w:r>
            <w:r w:rsidRPr="004817BF">
              <w:rPr>
                <w:rFonts w:ascii="Arial" w:hAnsi="Arial" w:cs="Arial"/>
                <w:lang w:val="en-GB"/>
              </w:rPr>
              <w:t xml:space="preserve">53 </w:t>
            </w:r>
          </w:p>
        </w:tc>
        <w:tc>
          <w:tcPr>
            <w:tcW w:w="992" w:type="dxa"/>
            <w:tcBorders>
              <w:top w:val="single" w:sz="4" w:space="0" w:color="auto"/>
              <w:left w:val="nil"/>
              <w:bottom w:val="nil"/>
              <w:right w:val="single" w:sz="8" w:space="0" w:color="auto"/>
            </w:tcBorders>
            <w:shd w:val="clear" w:color="auto" w:fill="auto"/>
            <w:noWrap/>
            <w:vAlign w:val="bottom"/>
            <w:hideMark/>
          </w:tcPr>
          <w:p w14:paraId="02B2553E" w14:textId="279020D8" w:rsidR="00A10CD4" w:rsidRPr="004817BF" w:rsidRDefault="00A10CD4" w:rsidP="00FD52C4">
            <w:pPr>
              <w:keepNext/>
              <w:keepLines/>
              <w:jc w:val="right"/>
              <w:rPr>
                <w:rFonts w:ascii="Arial" w:hAnsi="Arial" w:cs="Arial"/>
                <w:lang w:val="en-GB"/>
              </w:rPr>
            </w:pPr>
            <w:r w:rsidRPr="004817BF">
              <w:rPr>
                <w:rFonts w:ascii="Arial" w:hAnsi="Arial" w:cs="Arial"/>
                <w:lang w:val="en-GB"/>
              </w:rPr>
              <w:t>156</w:t>
            </w:r>
            <w:r w:rsidR="00E949D8" w:rsidRPr="004817BF">
              <w:rPr>
                <w:rFonts w:ascii="Arial" w:hAnsi="Arial" w:cs="Arial"/>
                <w:lang w:val="en-GB"/>
              </w:rPr>
              <w:t>.</w:t>
            </w:r>
            <w:r w:rsidRPr="004817BF">
              <w:rPr>
                <w:rFonts w:ascii="Arial" w:hAnsi="Arial" w:cs="Arial"/>
                <w:lang w:val="en-GB"/>
              </w:rPr>
              <w:t xml:space="preserve">55 </w:t>
            </w:r>
          </w:p>
        </w:tc>
      </w:tr>
      <w:tr w:rsidR="00A10CD4" w:rsidRPr="004817BF" w14:paraId="43C00321" w14:textId="77777777" w:rsidTr="00A10CD4">
        <w:trPr>
          <w:trHeight w:val="70"/>
        </w:trPr>
        <w:tc>
          <w:tcPr>
            <w:tcW w:w="1277" w:type="dxa"/>
            <w:tcBorders>
              <w:top w:val="nil"/>
              <w:left w:val="single" w:sz="8" w:space="0" w:color="auto"/>
              <w:bottom w:val="single" w:sz="8" w:space="0" w:color="auto"/>
              <w:right w:val="nil"/>
            </w:tcBorders>
            <w:shd w:val="clear" w:color="auto" w:fill="auto"/>
            <w:noWrap/>
            <w:vAlign w:val="bottom"/>
            <w:hideMark/>
          </w:tcPr>
          <w:p w14:paraId="67B79258" w14:textId="77777777" w:rsidR="00A10CD4" w:rsidRPr="004817BF" w:rsidRDefault="00A10CD4" w:rsidP="00FD52C4">
            <w:pPr>
              <w:keepNext/>
              <w:keepLines/>
              <w:rPr>
                <w:rFonts w:ascii="Arial" w:hAnsi="Arial" w:cs="Arial"/>
                <w:i/>
                <w:iCs/>
                <w:sz w:val="18"/>
                <w:szCs w:val="16"/>
                <w:lang w:val="en-GB"/>
              </w:rPr>
            </w:pPr>
            <w:r w:rsidRPr="004817BF">
              <w:rPr>
                <w:rFonts w:ascii="Arial" w:hAnsi="Arial" w:cs="Arial"/>
                <w:i/>
                <w:iCs/>
                <w:sz w:val="18"/>
                <w:szCs w:val="16"/>
                <w:lang w:val="en-GB"/>
              </w:rPr>
              <w:t> </w:t>
            </w:r>
          </w:p>
        </w:tc>
        <w:tc>
          <w:tcPr>
            <w:tcW w:w="2551" w:type="dxa"/>
            <w:tcBorders>
              <w:top w:val="nil"/>
              <w:left w:val="single" w:sz="8" w:space="0" w:color="auto"/>
              <w:bottom w:val="single" w:sz="8" w:space="0" w:color="auto"/>
              <w:right w:val="single" w:sz="8" w:space="0" w:color="auto"/>
            </w:tcBorders>
            <w:shd w:val="clear" w:color="auto" w:fill="auto"/>
            <w:noWrap/>
            <w:vAlign w:val="bottom"/>
            <w:hideMark/>
          </w:tcPr>
          <w:p w14:paraId="08762CEA" w14:textId="5F48D3BC" w:rsidR="00A10CD4" w:rsidRPr="004817BF" w:rsidRDefault="00A10CD4" w:rsidP="00FD52C4">
            <w:pPr>
              <w:keepNext/>
              <w:keepLines/>
              <w:ind w:left="135" w:hanging="135"/>
              <w:rPr>
                <w:rFonts w:ascii="Arial" w:hAnsi="Arial" w:cs="Arial"/>
                <w:b/>
                <w:bCs/>
                <w:lang w:val="en-GB"/>
              </w:rPr>
            </w:pPr>
            <w:r w:rsidRPr="004817BF">
              <w:rPr>
                <w:rFonts w:ascii="Arial" w:hAnsi="Arial" w:cs="Arial"/>
                <w:b/>
                <w:bCs/>
                <w:lang w:val="en-GB"/>
              </w:rPr>
              <w:t xml:space="preserve">Total equity and </w:t>
            </w:r>
            <w:r w:rsidR="00DE71F8" w:rsidRPr="004817BF">
              <w:rPr>
                <w:rFonts w:ascii="Arial" w:hAnsi="Arial" w:cs="Arial"/>
                <w:b/>
                <w:bCs/>
                <w:lang w:val="en-GB"/>
              </w:rPr>
              <w:t xml:space="preserve">  </w:t>
            </w:r>
            <w:r w:rsidRPr="004817BF">
              <w:rPr>
                <w:rFonts w:ascii="Arial" w:hAnsi="Arial" w:cs="Arial"/>
                <w:b/>
                <w:bCs/>
                <w:lang w:val="en-GB"/>
              </w:rPr>
              <w:t xml:space="preserve">liabilities </w:t>
            </w:r>
          </w:p>
        </w:tc>
        <w:tc>
          <w:tcPr>
            <w:tcW w:w="798" w:type="dxa"/>
            <w:tcBorders>
              <w:top w:val="single" w:sz="4" w:space="0" w:color="auto"/>
              <w:left w:val="nil"/>
              <w:bottom w:val="single" w:sz="8" w:space="0" w:color="auto"/>
              <w:right w:val="nil"/>
            </w:tcBorders>
            <w:shd w:val="clear" w:color="auto" w:fill="auto"/>
            <w:noWrap/>
            <w:vAlign w:val="bottom"/>
            <w:hideMark/>
          </w:tcPr>
          <w:p w14:paraId="38A5B28C" w14:textId="07EFC844" w:rsidR="00A10CD4" w:rsidRPr="004817BF" w:rsidRDefault="00A10CD4" w:rsidP="00FD52C4">
            <w:pPr>
              <w:keepNext/>
              <w:keepLines/>
              <w:jc w:val="right"/>
              <w:rPr>
                <w:rFonts w:ascii="Arial" w:hAnsi="Arial" w:cs="Arial"/>
                <w:b/>
                <w:lang w:val="en-GB"/>
              </w:rPr>
            </w:pPr>
            <w:r w:rsidRPr="004817BF">
              <w:rPr>
                <w:rFonts w:ascii="Arial" w:hAnsi="Arial" w:cs="Arial"/>
                <w:b/>
                <w:lang w:val="en-GB"/>
              </w:rPr>
              <w:t>0</w:t>
            </w:r>
            <w:r w:rsidR="00E949D8" w:rsidRPr="004817BF">
              <w:rPr>
                <w:rFonts w:ascii="Arial" w:hAnsi="Arial" w:cs="Arial"/>
                <w:b/>
                <w:lang w:val="en-GB"/>
              </w:rPr>
              <w:t>.</w:t>
            </w:r>
            <w:r w:rsidRPr="004817BF">
              <w:rPr>
                <w:rFonts w:ascii="Arial" w:hAnsi="Arial" w:cs="Arial"/>
                <w:b/>
                <w:lang w:val="en-GB"/>
              </w:rPr>
              <w:t xml:space="preserve">53 </w:t>
            </w:r>
          </w:p>
        </w:tc>
        <w:tc>
          <w:tcPr>
            <w:tcW w:w="851" w:type="dxa"/>
            <w:tcBorders>
              <w:top w:val="single" w:sz="4" w:space="0" w:color="auto"/>
              <w:left w:val="single" w:sz="4" w:space="0" w:color="auto"/>
              <w:bottom w:val="single" w:sz="8" w:space="0" w:color="auto"/>
              <w:right w:val="nil"/>
            </w:tcBorders>
            <w:shd w:val="clear" w:color="auto" w:fill="auto"/>
            <w:noWrap/>
            <w:vAlign w:val="bottom"/>
            <w:hideMark/>
          </w:tcPr>
          <w:p w14:paraId="47BF7EC6" w14:textId="14E27A93" w:rsidR="00A10CD4" w:rsidRPr="004817BF" w:rsidRDefault="00A10CD4" w:rsidP="00FD52C4">
            <w:pPr>
              <w:keepNext/>
              <w:keepLines/>
              <w:jc w:val="right"/>
              <w:rPr>
                <w:rFonts w:ascii="Arial" w:hAnsi="Arial" w:cs="Arial"/>
                <w:b/>
                <w:lang w:val="en-GB"/>
              </w:rPr>
            </w:pPr>
            <w:r w:rsidRPr="004817BF">
              <w:rPr>
                <w:rFonts w:ascii="Arial" w:hAnsi="Arial" w:cs="Arial"/>
                <w:b/>
                <w:lang w:val="en-GB"/>
              </w:rPr>
              <w:t xml:space="preserve">   2</w:t>
            </w:r>
            <w:r w:rsidR="00E949D8" w:rsidRPr="004817BF">
              <w:rPr>
                <w:rFonts w:ascii="Arial" w:hAnsi="Arial" w:cs="Arial"/>
                <w:b/>
                <w:lang w:val="en-GB"/>
              </w:rPr>
              <w:t>.</w:t>
            </w:r>
            <w:r w:rsidRPr="004817BF">
              <w:rPr>
                <w:rFonts w:ascii="Arial" w:hAnsi="Arial" w:cs="Arial"/>
                <w:b/>
                <w:lang w:val="en-GB"/>
              </w:rPr>
              <w:t xml:space="preserve">55 </w:t>
            </w:r>
          </w:p>
        </w:tc>
        <w:tc>
          <w:tcPr>
            <w:tcW w:w="99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86F4A93" w14:textId="4F8510C6" w:rsidR="00A10CD4" w:rsidRPr="004817BF" w:rsidRDefault="00A10CD4" w:rsidP="00FD52C4">
            <w:pPr>
              <w:keepNext/>
              <w:keepLines/>
              <w:jc w:val="right"/>
              <w:rPr>
                <w:rFonts w:ascii="Arial" w:hAnsi="Arial" w:cs="Arial"/>
                <w:b/>
                <w:lang w:val="en-GB"/>
              </w:rPr>
            </w:pPr>
            <w:r w:rsidRPr="004817BF">
              <w:rPr>
                <w:rFonts w:ascii="Arial" w:hAnsi="Arial" w:cs="Arial"/>
                <w:b/>
                <w:lang w:val="en-GB"/>
              </w:rPr>
              <w:t xml:space="preserve">    18</w:t>
            </w:r>
            <w:r w:rsidR="00E949D8" w:rsidRPr="004817BF">
              <w:rPr>
                <w:rFonts w:ascii="Arial" w:hAnsi="Arial" w:cs="Arial"/>
                <w:b/>
                <w:lang w:val="en-GB"/>
              </w:rPr>
              <w:t>.</w:t>
            </w:r>
            <w:r w:rsidRPr="004817BF">
              <w:rPr>
                <w:rFonts w:ascii="Arial" w:hAnsi="Arial" w:cs="Arial"/>
                <w:b/>
                <w:lang w:val="en-GB"/>
              </w:rPr>
              <w:t xml:space="preserve">95 </w:t>
            </w:r>
          </w:p>
        </w:tc>
        <w:tc>
          <w:tcPr>
            <w:tcW w:w="851" w:type="dxa"/>
            <w:tcBorders>
              <w:top w:val="single" w:sz="4" w:space="0" w:color="auto"/>
              <w:left w:val="nil"/>
              <w:bottom w:val="single" w:sz="8" w:space="0" w:color="auto"/>
              <w:right w:val="nil"/>
            </w:tcBorders>
            <w:shd w:val="clear" w:color="auto" w:fill="auto"/>
            <w:noWrap/>
            <w:vAlign w:val="bottom"/>
            <w:hideMark/>
          </w:tcPr>
          <w:p w14:paraId="008C9850" w14:textId="3EE15EB0" w:rsidR="00A10CD4" w:rsidRPr="004817BF" w:rsidRDefault="00A10CD4" w:rsidP="00FD52C4">
            <w:pPr>
              <w:keepNext/>
              <w:keepLines/>
              <w:jc w:val="right"/>
              <w:rPr>
                <w:rFonts w:ascii="Arial" w:hAnsi="Arial" w:cs="Arial"/>
                <w:b/>
                <w:lang w:val="en-GB"/>
              </w:rPr>
            </w:pPr>
            <w:r w:rsidRPr="004817BF">
              <w:rPr>
                <w:rFonts w:ascii="Arial" w:hAnsi="Arial" w:cs="Arial"/>
                <w:b/>
                <w:lang w:val="en-GB"/>
              </w:rPr>
              <w:t xml:space="preserve">  70</w:t>
            </w:r>
            <w:r w:rsidR="00E949D8" w:rsidRPr="004817BF">
              <w:rPr>
                <w:rFonts w:ascii="Arial" w:hAnsi="Arial" w:cs="Arial"/>
                <w:b/>
                <w:lang w:val="en-GB"/>
              </w:rPr>
              <w:t>.</w:t>
            </w:r>
            <w:r w:rsidRPr="004817BF">
              <w:rPr>
                <w:rFonts w:ascii="Arial" w:hAnsi="Arial" w:cs="Arial"/>
                <w:b/>
                <w:lang w:val="en-GB"/>
              </w:rPr>
              <w:t xml:space="preserve">50 </w:t>
            </w:r>
          </w:p>
        </w:tc>
        <w:tc>
          <w:tcPr>
            <w:tcW w:w="1044"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CBBDD4D" w14:textId="66FA48D9" w:rsidR="00A10CD4" w:rsidRPr="004817BF" w:rsidRDefault="00A10CD4" w:rsidP="00FD52C4">
            <w:pPr>
              <w:keepNext/>
              <w:keepLines/>
              <w:jc w:val="right"/>
              <w:rPr>
                <w:rFonts w:ascii="Arial" w:hAnsi="Arial" w:cs="Arial"/>
                <w:b/>
                <w:lang w:val="en-GB"/>
              </w:rPr>
            </w:pPr>
            <w:r w:rsidRPr="004817BF">
              <w:rPr>
                <w:rFonts w:ascii="Arial" w:hAnsi="Arial" w:cs="Arial"/>
                <w:b/>
                <w:lang w:val="en-GB"/>
              </w:rPr>
              <w:t xml:space="preserve"> 122</w:t>
            </w:r>
            <w:r w:rsidR="00E949D8" w:rsidRPr="004817BF">
              <w:rPr>
                <w:rFonts w:ascii="Arial" w:hAnsi="Arial" w:cs="Arial"/>
                <w:b/>
                <w:lang w:val="en-GB"/>
              </w:rPr>
              <w:t>.</w:t>
            </w:r>
            <w:r w:rsidRPr="004817BF">
              <w:rPr>
                <w:rFonts w:ascii="Arial" w:hAnsi="Arial" w:cs="Arial"/>
                <w:b/>
                <w:lang w:val="en-GB"/>
              </w:rPr>
              <w:t xml:space="preserve">50 </w:t>
            </w:r>
          </w:p>
        </w:tc>
        <w:tc>
          <w:tcPr>
            <w:tcW w:w="992" w:type="dxa"/>
            <w:tcBorders>
              <w:top w:val="single" w:sz="4" w:space="0" w:color="auto"/>
              <w:left w:val="nil"/>
              <w:bottom w:val="single" w:sz="8" w:space="0" w:color="auto"/>
              <w:right w:val="single" w:sz="8" w:space="0" w:color="auto"/>
            </w:tcBorders>
            <w:shd w:val="clear" w:color="auto" w:fill="auto"/>
            <w:noWrap/>
            <w:vAlign w:val="bottom"/>
            <w:hideMark/>
          </w:tcPr>
          <w:p w14:paraId="3E259B35" w14:textId="2AC98E8A" w:rsidR="00A10CD4" w:rsidRPr="004817BF" w:rsidRDefault="00A10CD4" w:rsidP="00FD52C4">
            <w:pPr>
              <w:keepNext/>
              <w:keepLines/>
              <w:jc w:val="right"/>
              <w:rPr>
                <w:rFonts w:ascii="Arial" w:hAnsi="Arial" w:cs="Arial"/>
                <w:b/>
                <w:lang w:val="en-GB"/>
              </w:rPr>
            </w:pPr>
            <w:r w:rsidRPr="004817BF">
              <w:rPr>
                <w:rFonts w:ascii="Arial" w:hAnsi="Arial" w:cs="Arial"/>
                <w:b/>
                <w:lang w:val="en-GB"/>
              </w:rPr>
              <w:t>185</w:t>
            </w:r>
            <w:r w:rsidR="00E949D8" w:rsidRPr="004817BF">
              <w:rPr>
                <w:rFonts w:ascii="Arial" w:hAnsi="Arial" w:cs="Arial"/>
                <w:b/>
                <w:lang w:val="en-GB"/>
              </w:rPr>
              <w:t>.</w:t>
            </w:r>
            <w:r w:rsidRPr="004817BF">
              <w:rPr>
                <w:rFonts w:ascii="Arial" w:hAnsi="Arial" w:cs="Arial"/>
                <w:b/>
                <w:lang w:val="en-GB"/>
              </w:rPr>
              <w:t xml:space="preserve">40 </w:t>
            </w:r>
          </w:p>
        </w:tc>
      </w:tr>
    </w:tbl>
    <w:p w14:paraId="0443EDF4" w14:textId="77777777" w:rsidR="00FD52C4" w:rsidRDefault="00FD52C4" w:rsidP="00FD52C4">
      <w:pPr>
        <w:pStyle w:val="ExhibitHeading"/>
        <w:rPr>
          <w:lang w:val="en-GB"/>
        </w:rPr>
      </w:pPr>
    </w:p>
    <w:p w14:paraId="3D0C6C1A" w14:textId="209BFFB5" w:rsidR="00FD52C4" w:rsidRDefault="00FD52C4">
      <w:pPr>
        <w:spacing w:after="200" w:line="276" w:lineRule="auto"/>
        <w:rPr>
          <w:rFonts w:ascii="Arial" w:hAnsi="Arial" w:cs="Arial"/>
          <w:b/>
          <w:caps/>
          <w:lang w:val="en-GB"/>
        </w:rPr>
      </w:pPr>
      <w:r>
        <w:rPr>
          <w:lang w:val="en-GB"/>
        </w:rPr>
        <w:br w:type="page"/>
      </w:r>
    </w:p>
    <w:p w14:paraId="6E853769" w14:textId="1406B971" w:rsidR="002A6E8E" w:rsidRDefault="00FD52C4" w:rsidP="00FD52C4">
      <w:pPr>
        <w:pStyle w:val="ExhibitHeading"/>
        <w:rPr>
          <w:lang w:val="en-GB"/>
        </w:rPr>
      </w:pPr>
      <w:r>
        <w:rPr>
          <w:lang w:val="en-GB"/>
        </w:rPr>
        <w:lastRenderedPageBreak/>
        <w:t>EXHIBIT 3 (CONTINUED)</w:t>
      </w:r>
    </w:p>
    <w:p w14:paraId="6B8325BD" w14:textId="77777777" w:rsidR="00FD52C4" w:rsidRPr="004817BF" w:rsidRDefault="00FD52C4" w:rsidP="00FD52C4">
      <w:pPr>
        <w:pStyle w:val="ExhibitHeading"/>
        <w:rPr>
          <w:lang w:val="en-GB"/>
        </w:rPr>
      </w:pPr>
    </w:p>
    <w:tbl>
      <w:tblPr>
        <w:tblW w:w="8995" w:type="dxa"/>
        <w:tblCellMar>
          <w:left w:w="70" w:type="dxa"/>
          <w:right w:w="70" w:type="dxa"/>
        </w:tblCellMar>
        <w:tblLook w:val="04A0" w:firstRow="1" w:lastRow="0" w:firstColumn="1" w:lastColumn="0" w:noHBand="0" w:noVBand="1"/>
      </w:tblPr>
      <w:tblGrid>
        <w:gridCol w:w="4384"/>
        <w:gridCol w:w="705"/>
        <w:gridCol w:w="709"/>
        <w:gridCol w:w="708"/>
        <w:gridCol w:w="779"/>
        <w:gridCol w:w="783"/>
        <w:gridCol w:w="927"/>
      </w:tblGrid>
      <w:tr w:rsidR="008756C7" w:rsidRPr="004817BF" w14:paraId="22B9D939" w14:textId="77777777" w:rsidTr="00FD52C4">
        <w:trPr>
          <w:trHeight w:val="260"/>
        </w:trPr>
        <w:tc>
          <w:tcPr>
            <w:tcW w:w="899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29C0F" w14:textId="47B1B471" w:rsidR="008756C7" w:rsidRPr="004817BF" w:rsidRDefault="008756C7" w:rsidP="00FD52C4">
            <w:pPr>
              <w:pStyle w:val="BodyTextMain"/>
              <w:keepNext/>
              <w:keepLines/>
              <w:spacing w:before="40" w:after="40"/>
              <w:jc w:val="center"/>
              <w:rPr>
                <w:rFonts w:ascii="Arial" w:hAnsi="Arial" w:cs="Arial"/>
                <w:b/>
                <w:sz w:val="20"/>
                <w:szCs w:val="20"/>
                <w:lang w:val="en-GB" w:eastAsia="de-DE"/>
              </w:rPr>
            </w:pPr>
            <w:r w:rsidRPr="004817BF">
              <w:rPr>
                <w:rFonts w:ascii="Arial" w:hAnsi="Arial" w:cs="Arial"/>
                <w:b/>
                <w:sz w:val="20"/>
                <w:szCs w:val="20"/>
                <w:lang w:val="en-GB" w:eastAsia="de-DE"/>
              </w:rPr>
              <w:t>CASH FLOW STATEMENT (in US</w:t>
            </w:r>
            <w:r w:rsidR="00866999" w:rsidRPr="004817BF">
              <w:rPr>
                <w:rFonts w:ascii="Arial" w:hAnsi="Arial" w:cs="Arial"/>
                <w:b/>
                <w:sz w:val="20"/>
                <w:szCs w:val="20"/>
                <w:lang w:val="en-GB" w:eastAsia="de-DE"/>
              </w:rPr>
              <w:t>$</w:t>
            </w:r>
            <w:r w:rsidR="005950D1" w:rsidRPr="004817BF">
              <w:rPr>
                <w:rFonts w:ascii="Arial" w:hAnsi="Arial" w:cs="Arial"/>
                <w:b/>
                <w:sz w:val="20"/>
                <w:szCs w:val="20"/>
                <w:lang w:val="en-GB" w:eastAsia="de-DE"/>
              </w:rPr>
              <w:t xml:space="preserve"> M</w:t>
            </w:r>
            <w:r w:rsidR="000D472F" w:rsidRPr="004817BF">
              <w:rPr>
                <w:rFonts w:ascii="Arial" w:hAnsi="Arial" w:cs="Arial"/>
                <w:b/>
                <w:sz w:val="20"/>
                <w:szCs w:val="20"/>
                <w:lang w:val="en-GB" w:eastAsia="de-DE"/>
              </w:rPr>
              <w:t>illion</w:t>
            </w:r>
            <w:r w:rsidRPr="004817BF">
              <w:rPr>
                <w:rFonts w:ascii="Arial" w:hAnsi="Arial" w:cs="Arial"/>
                <w:b/>
                <w:sz w:val="20"/>
                <w:szCs w:val="20"/>
                <w:lang w:val="en-GB" w:eastAsia="de-DE"/>
              </w:rPr>
              <w:t>)</w:t>
            </w:r>
          </w:p>
        </w:tc>
      </w:tr>
      <w:tr w:rsidR="008756C7" w:rsidRPr="004817BF" w14:paraId="6DD8BCEC" w14:textId="77777777" w:rsidTr="00FD52C4">
        <w:trPr>
          <w:trHeight w:val="224"/>
        </w:trPr>
        <w:tc>
          <w:tcPr>
            <w:tcW w:w="4384" w:type="dxa"/>
            <w:tcBorders>
              <w:top w:val="nil"/>
              <w:left w:val="single" w:sz="4" w:space="0" w:color="auto"/>
              <w:bottom w:val="single" w:sz="4" w:space="0" w:color="auto"/>
              <w:right w:val="single" w:sz="4" w:space="0" w:color="auto"/>
            </w:tcBorders>
            <w:shd w:val="clear" w:color="auto" w:fill="auto"/>
            <w:noWrap/>
            <w:vAlign w:val="center"/>
            <w:hideMark/>
          </w:tcPr>
          <w:p w14:paraId="4ECF1727" w14:textId="77777777" w:rsidR="008756C7" w:rsidRPr="004817BF" w:rsidRDefault="008756C7" w:rsidP="00FD52C4">
            <w:pPr>
              <w:pStyle w:val="BodyTextMain"/>
              <w:keepNext/>
              <w:keepLines/>
              <w:spacing w:before="40" w:after="40"/>
              <w:rPr>
                <w:rFonts w:ascii="Arial" w:hAnsi="Arial" w:cs="Arial"/>
                <w:sz w:val="20"/>
                <w:szCs w:val="20"/>
                <w:lang w:val="en-GB" w:eastAsia="de-DE"/>
              </w:rPr>
            </w:pPr>
            <w:r w:rsidRPr="004817BF">
              <w:rPr>
                <w:rFonts w:ascii="Arial" w:hAnsi="Arial" w:cs="Arial"/>
                <w:sz w:val="20"/>
                <w:szCs w:val="20"/>
                <w:lang w:val="en-GB" w:eastAsia="de-DE"/>
              </w:rPr>
              <w:t> </w:t>
            </w:r>
          </w:p>
        </w:tc>
        <w:tc>
          <w:tcPr>
            <w:tcW w:w="705" w:type="dxa"/>
            <w:tcBorders>
              <w:top w:val="nil"/>
              <w:left w:val="nil"/>
              <w:bottom w:val="single" w:sz="4" w:space="0" w:color="auto"/>
              <w:right w:val="single" w:sz="4" w:space="0" w:color="auto"/>
            </w:tcBorders>
            <w:shd w:val="clear" w:color="auto" w:fill="auto"/>
            <w:noWrap/>
            <w:vAlign w:val="center"/>
            <w:hideMark/>
          </w:tcPr>
          <w:p w14:paraId="79B81CE3" w14:textId="77777777" w:rsidR="008756C7" w:rsidRPr="004817BF" w:rsidRDefault="008756C7" w:rsidP="00FD52C4">
            <w:pPr>
              <w:pStyle w:val="BodyTextMain"/>
              <w:keepNext/>
              <w:keepLines/>
              <w:spacing w:before="40" w:after="40"/>
              <w:jc w:val="center"/>
              <w:rPr>
                <w:rFonts w:ascii="Arial" w:hAnsi="Arial" w:cs="Arial"/>
                <w:b/>
                <w:sz w:val="20"/>
                <w:szCs w:val="20"/>
                <w:lang w:val="en-GB" w:eastAsia="de-DE"/>
              </w:rPr>
            </w:pPr>
            <w:r w:rsidRPr="004817BF">
              <w:rPr>
                <w:rFonts w:ascii="Arial" w:hAnsi="Arial" w:cs="Arial"/>
                <w:b/>
                <w:sz w:val="20"/>
                <w:szCs w:val="20"/>
                <w:lang w:val="en-GB" w:eastAsia="de-DE"/>
              </w:rPr>
              <w:t>2010</w:t>
            </w:r>
          </w:p>
        </w:tc>
        <w:tc>
          <w:tcPr>
            <w:tcW w:w="709" w:type="dxa"/>
            <w:tcBorders>
              <w:top w:val="nil"/>
              <w:left w:val="nil"/>
              <w:bottom w:val="single" w:sz="4" w:space="0" w:color="auto"/>
              <w:right w:val="single" w:sz="4" w:space="0" w:color="auto"/>
            </w:tcBorders>
            <w:shd w:val="clear" w:color="auto" w:fill="auto"/>
            <w:noWrap/>
            <w:vAlign w:val="center"/>
            <w:hideMark/>
          </w:tcPr>
          <w:p w14:paraId="27393BFC" w14:textId="77777777" w:rsidR="008756C7" w:rsidRPr="004817BF" w:rsidRDefault="008756C7" w:rsidP="00FD52C4">
            <w:pPr>
              <w:pStyle w:val="BodyTextMain"/>
              <w:keepNext/>
              <w:keepLines/>
              <w:spacing w:before="40" w:after="40"/>
              <w:jc w:val="center"/>
              <w:rPr>
                <w:rFonts w:ascii="Arial" w:hAnsi="Arial" w:cs="Arial"/>
                <w:b/>
                <w:sz w:val="20"/>
                <w:szCs w:val="20"/>
                <w:lang w:val="en-GB" w:eastAsia="de-DE"/>
              </w:rPr>
            </w:pPr>
            <w:r w:rsidRPr="004817BF">
              <w:rPr>
                <w:rFonts w:ascii="Arial" w:hAnsi="Arial" w:cs="Arial"/>
                <w:b/>
                <w:sz w:val="20"/>
                <w:szCs w:val="20"/>
                <w:lang w:val="en-GB" w:eastAsia="de-DE"/>
              </w:rPr>
              <w:t>2011</w:t>
            </w:r>
          </w:p>
        </w:tc>
        <w:tc>
          <w:tcPr>
            <w:tcW w:w="708" w:type="dxa"/>
            <w:tcBorders>
              <w:top w:val="nil"/>
              <w:left w:val="nil"/>
              <w:bottom w:val="single" w:sz="4" w:space="0" w:color="auto"/>
              <w:right w:val="single" w:sz="4" w:space="0" w:color="auto"/>
            </w:tcBorders>
            <w:shd w:val="clear" w:color="auto" w:fill="auto"/>
            <w:noWrap/>
            <w:vAlign w:val="center"/>
            <w:hideMark/>
          </w:tcPr>
          <w:p w14:paraId="59BEEE6A" w14:textId="77777777" w:rsidR="008756C7" w:rsidRPr="004817BF" w:rsidRDefault="008756C7" w:rsidP="00FD52C4">
            <w:pPr>
              <w:pStyle w:val="BodyTextMain"/>
              <w:keepNext/>
              <w:keepLines/>
              <w:spacing w:before="40" w:after="40"/>
              <w:jc w:val="center"/>
              <w:rPr>
                <w:rFonts w:ascii="Arial" w:hAnsi="Arial" w:cs="Arial"/>
                <w:b/>
                <w:sz w:val="20"/>
                <w:szCs w:val="20"/>
                <w:lang w:val="en-GB" w:eastAsia="de-DE"/>
              </w:rPr>
            </w:pPr>
            <w:r w:rsidRPr="004817BF">
              <w:rPr>
                <w:rFonts w:ascii="Arial" w:hAnsi="Arial" w:cs="Arial"/>
                <w:b/>
                <w:sz w:val="20"/>
                <w:szCs w:val="20"/>
                <w:lang w:val="en-GB" w:eastAsia="de-DE"/>
              </w:rPr>
              <w:t>2012</w:t>
            </w:r>
          </w:p>
        </w:tc>
        <w:tc>
          <w:tcPr>
            <w:tcW w:w="779" w:type="dxa"/>
            <w:tcBorders>
              <w:top w:val="nil"/>
              <w:left w:val="nil"/>
              <w:bottom w:val="single" w:sz="4" w:space="0" w:color="auto"/>
              <w:right w:val="single" w:sz="4" w:space="0" w:color="auto"/>
            </w:tcBorders>
            <w:shd w:val="clear" w:color="auto" w:fill="auto"/>
            <w:noWrap/>
            <w:vAlign w:val="center"/>
            <w:hideMark/>
          </w:tcPr>
          <w:p w14:paraId="0CCD375F" w14:textId="77777777" w:rsidR="008756C7" w:rsidRPr="004817BF" w:rsidRDefault="008756C7" w:rsidP="00FD52C4">
            <w:pPr>
              <w:pStyle w:val="BodyTextMain"/>
              <w:keepNext/>
              <w:keepLines/>
              <w:spacing w:before="40" w:after="40"/>
              <w:jc w:val="center"/>
              <w:rPr>
                <w:rFonts w:ascii="Arial" w:hAnsi="Arial" w:cs="Arial"/>
                <w:b/>
                <w:sz w:val="20"/>
                <w:szCs w:val="20"/>
                <w:lang w:val="en-GB" w:eastAsia="de-DE"/>
              </w:rPr>
            </w:pPr>
            <w:r w:rsidRPr="004817BF">
              <w:rPr>
                <w:rFonts w:ascii="Arial" w:hAnsi="Arial" w:cs="Arial"/>
                <w:b/>
                <w:sz w:val="20"/>
                <w:szCs w:val="20"/>
                <w:lang w:val="en-GB" w:eastAsia="de-DE"/>
              </w:rPr>
              <w:t>2013</w:t>
            </w:r>
          </w:p>
        </w:tc>
        <w:tc>
          <w:tcPr>
            <w:tcW w:w="783" w:type="dxa"/>
            <w:tcBorders>
              <w:top w:val="nil"/>
              <w:left w:val="nil"/>
              <w:bottom w:val="single" w:sz="4" w:space="0" w:color="auto"/>
              <w:right w:val="single" w:sz="4" w:space="0" w:color="auto"/>
            </w:tcBorders>
            <w:shd w:val="clear" w:color="auto" w:fill="auto"/>
            <w:noWrap/>
            <w:vAlign w:val="center"/>
            <w:hideMark/>
          </w:tcPr>
          <w:p w14:paraId="37D1E957" w14:textId="77777777" w:rsidR="008756C7" w:rsidRPr="004817BF" w:rsidRDefault="008756C7" w:rsidP="00FD52C4">
            <w:pPr>
              <w:pStyle w:val="BodyTextMain"/>
              <w:keepNext/>
              <w:keepLines/>
              <w:spacing w:before="40" w:after="40"/>
              <w:jc w:val="center"/>
              <w:rPr>
                <w:rFonts w:ascii="Arial" w:hAnsi="Arial" w:cs="Arial"/>
                <w:b/>
                <w:sz w:val="20"/>
                <w:szCs w:val="20"/>
                <w:lang w:val="en-GB" w:eastAsia="de-DE"/>
              </w:rPr>
            </w:pPr>
            <w:r w:rsidRPr="004817BF">
              <w:rPr>
                <w:rFonts w:ascii="Arial" w:hAnsi="Arial" w:cs="Arial"/>
                <w:b/>
                <w:sz w:val="20"/>
                <w:szCs w:val="20"/>
                <w:lang w:val="en-GB" w:eastAsia="de-DE"/>
              </w:rPr>
              <w:t>2014</w:t>
            </w:r>
          </w:p>
        </w:tc>
        <w:tc>
          <w:tcPr>
            <w:tcW w:w="927" w:type="dxa"/>
            <w:tcBorders>
              <w:top w:val="nil"/>
              <w:left w:val="nil"/>
              <w:bottom w:val="single" w:sz="4" w:space="0" w:color="auto"/>
              <w:right w:val="single" w:sz="4" w:space="0" w:color="auto"/>
            </w:tcBorders>
            <w:shd w:val="clear" w:color="auto" w:fill="auto"/>
            <w:noWrap/>
            <w:vAlign w:val="center"/>
            <w:hideMark/>
          </w:tcPr>
          <w:p w14:paraId="0AF1806E" w14:textId="77777777" w:rsidR="008756C7" w:rsidRPr="004817BF" w:rsidRDefault="008756C7" w:rsidP="00FD52C4">
            <w:pPr>
              <w:pStyle w:val="BodyTextMain"/>
              <w:keepNext/>
              <w:keepLines/>
              <w:spacing w:before="40" w:after="40"/>
              <w:jc w:val="center"/>
              <w:rPr>
                <w:rFonts w:ascii="Arial" w:hAnsi="Arial" w:cs="Arial"/>
                <w:b/>
                <w:sz w:val="20"/>
                <w:szCs w:val="20"/>
                <w:lang w:val="en-GB" w:eastAsia="de-DE"/>
              </w:rPr>
            </w:pPr>
            <w:r w:rsidRPr="004817BF">
              <w:rPr>
                <w:rFonts w:ascii="Arial" w:hAnsi="Arial" w:cs="Arial"/>
                <w:b/>
                <w:sz w:val="20"/>
                <w:szCs w:val="20"/>
                <w:lang w:val="en-GB" w:eastAsia="de-DE"/>
              </w:rPr>
              <w:t>2015</w:t>
            </w:r>
          </w:p>
        </w:tc>
      </w:tr>
      <w:tr w:rsidR="008756C7" w:rsidRPr="004817BF" w14:paraId="000EFE10" w14:textId="77777777" w:rsidTr="00FD52C4">
        <w:trPr>
          <w:trHeight w:val="179"/>
        </w:trPr>
        <w:tc>
          <w:tcPr>
            <w:tcW w:w="4384" w:type="dxa"/>
            <w:tcBorders>
              <w:top w:val="single" w:sz="4" w:space="0" w:color="auto"/>
              <w:left w:val="single" w:sz="4" w:space="0" w:color="auto"/>
              <w:right w:val="single" w:sz="4" w:space="0" w:color="auto"/>
            </w:tcBorders>
            <w:shd w:val="clear" w:color="auto" w:fill="auto"/>
            <w:noWrap/>
            <w:vAlign w:val="center"/>
            <w:hideMark/>
          </w:tcPr>
          <w:p w14:paraId="2ED49615" w14:textId="77777777" w:rsidR="008756C7" w:rsidRPr="004817BF" w:rsidRDefault="008756C7" w:rsidP="00FD52C4">
            <w:pPr>
              <w:pStyle w:val="BodyTextMain"/>
              <w:keepNext/>
              <w:keepLines/>
              <w:spacing w:before="40"/>
              <w:jc w:val="left"/>
              <w:rPr>
                <w:rFonts w:ascii="Arial" w:hAnsi="Arial" w:cs="Arial"/>
                <w:sz w:val="20"/>
                <w:szCs w:val="20"/>
                <w:lang w:val="en-GB" w:eastAsia="de-DE"/>
              </w:rPr>
            </w:pPr>
            <w:r w:rsidRPr="004817BF">
              <w:rPr>
                <w:rFonts w:ascii="Arial" w:hAnsi="Arial" w:cs="Arial"/>
                <w:sz w:val="20"/>
                <w:szCs w:val="20"/>
                <w:lang w:val="en-GB" w:eastAsia="de-DE"/>
              </w:rPr>
              <w:t>Net cash from operating activities</w:t>
            </w:r>
          </w:p>
        </w:tc>
        <w:tc>
          <w:tcPr>
            <w:tcW w:w="705" w:type="dxa"/>
            <w:tcBorders>
              <w:top w:val="single" w:sz="4" w:space="0" w:color="auto"/>
              <w:left w:val="nil"/>
            </w:tcBorders>
            <w:shd w:val="clear" w:color="auto" w:fill="auto"/>
            <w:noWrap/>
            <w:vAlign w:val="center"/>
            <w:hideMark/>
          </w:tcPr>
          <w:p w14:paraId="2C8E7048" w14:textId="5A8D015E" w:rsidR="008756C7" w:rsidRPr="004817BF" w:rsidRDefault="00A314AD" w:rsidP="00FD52C4">
            <w:pPr>
              <w:pStyle w:val="BodyTextMain"/>
              <w:keepNext/>
              <w:keepLines/>
              <w:spacing w:before="40"/>
              <w:jc w:val="right"/>
              <w:rPr>
                <w:rFonts w:ascii="Arial" w:hAnsi="Arial" w:cs="Arial"/>
                <w:sz w:val="20"/>
                <w:szCs w:val="20"/>
                <w:lang w:val="en-GB" w:eastAsia="de-DE"/>
              </w:rPr>
            </w:pPr>
            <w:r>
              <w:rPr>
                <w:rFonts w:ascii="Arial" w:hAnsi="Arial" w:cs="Arial"/>
                <w:sz w:val="20"/>
                <w:szCs w:val="20"/>
                <w:lang w:val="en-GB" w:eastAsia="de-DE"/>
              </w:rPr>
              <w:t>−</w:t>
            </w:r>
            <w:r w:rsidR="008756C7"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008756C7" w:rsidRPr="004817BF">
              <w:rPr>
                <w:rFonts w:ascii="Arial" w:hAnsi="Arial" w:cs="Arial"/>
                <w:sz w:val="20"/>
                <w:szCs w:val="20"/>
                <w:lang w:val="en-GB" w:eastAsia="de-DE"/>
              </w:rPr>
              <w:t>23</w:t>
            </w:r>
          </w:p>
        </w:tc>
        <w:tc>
          <w:tcPr>
            <w:tcW w:w="709" w:type="dxa"/>
            <w:tcBorders>
              <w:top w:val="single" w:sz="4" w:space="0" w:color="auto"/>
            </w:tcBorders>
            <w:shd w:val="clear" w:color="auto" w:fill="auto"/>
            <w:noWrap/>
            <w:vAlign w:val="center"/>
            <w:hideMark/>
          </w:tcPr>
          <w:p w14:paraId="6F764D06" w14:textId="65165583" w:rsidR="008756C7" w:rsidRPr="004817BF" w:rsidRDefault="00A314AD" w:rsidP="00FD52C4">
            <w:pPr>
              <w:pStyle w:val="BodyTextMain"/>
              <w:keepNext/>
              <w:keepLines/>
              <w:spacing w:before="40"/>
              <w:jc w:val="right"/>
              <w:rPr>
                <w:rFonts w:ascii="Arial" w:hAnsi="Arial" w:cs="Arial"/>
                <w:sz w:val="20"/>
                <w:szCs w:val="20"/>
                <w:lang w:val="en-GB" w:eastAsia="de-DE"/>
              </w:rPr>
            </w:pPr>
            <w:r>
              <w:rPr>
                <w:rFonts w:ascii="Arial" w:hAnsi="Arial" w:cs="Arial"/>
                <w:sz w:val="20"/>
                <w:szCs w:val="20"/>
                <w:lang w:val="en-GB" w:eastAsia="de-DE"/>
              </w:rPr>
              <w:t>−</w:t>
            </w:r>
            <w:r w:rsidR="008756C7"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008756C7" w:rsidRPr="004817BF">
              <w:rPr>
                <w:rFonts w:ascii="Arial" w:hAnsi="Arial" w:cs="Arial"/>
                <w:sz w:val="20"/>
                <w:szCs w:val="20"/>
                <w:lang w:val="en-GB" w:eastAsia="de-DE"/>
              </w:rPr>
              <w:t>72</w:t>
            </w:r>
          </w:p>
        </w:tc>
        <w:tc>
          <w:tcPr>
            <w:tcW w:w="708" w:type="dxa"/>
            <w:tcBorders>
              <w:top w:val="single" w:sz="4" w:space="0" w:color="auto"/>
            </w:tcBorders>
            <w:shd w:val="clear" w:color="auto" w:fill="auto"/>
            <w:noWrap/>
            <w:vAlign w:val="center"/>
            <w:hideMark/>
          </w:tcPr>
          <w:p w14:paraId="2875DB56" w14:textId="10082788" w:rsidR="008756C7" w:rsidRPr="004817BF" w:rsidRDefault="00A314AD" w:rsidP="00FD52C4">
            <w:pPr>
              <w:pStyle w:val="BodyTextMain"/>
              <w:keepNext/>
              <w:keepLines/>
              <w:spacing w:before="40"/>
              <w:jc w:val="right"/>
              <w:rPr>
                <w:rFonts w:ascii="Arial" w:hAnsi="Arial" w:cs="Arial"/>
                <w:sz w:val="20"/>
                <w:szCs w:val="20"/>
                <w:lang w:val="en-GB" w:eastAsia="de-DE"/>
              </w:rPr>
            </w:pPr>
            <w:r w:rsidRPr="00A314AD">
              <w:rPr>
                <w:rFonts w:ascii="Arial" w:hAnsi="Arial" w:cs="Arial"/>
                <w:sz w:val="20"/>
                <w:szCs w:val="20"/>
                <w:lang w:val="en-GB" w:eastAsia="de-DE"/>
              </w:rPr>
              <w:t>−</w:t>
            </w:r>
            <w:r w:rsidR="008756C7"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008756C7" w:rsidRPr="004817BF">
              <w:rPr>
                <w:rFonts w:ascii="Arial" w:hAnsi="Arial" w:cs="Arial"/>
                <w:sz w:val="20"/>
                <w:szCs w:val="20"/>
                <w:lang w:val="en-GB" w:eastAsia="de-DE"/>
              </w:rPr>
              <w:t>95</w:t>
            </w:r>
          </w:p>
        </w:tc>
        <w:tc>
          <w:tcPr>
            <w:tcW w:w="779" w:type="dxa"/>
            <w:tcBorders>
              <w:top w:val="single" w:sz="4" w:space="0" w:color="auto"/>
            </w:tcBorders>
            <w:shd w:val="clear" w:color="auto" w:fill="auto"/>
            <w:noWrap/>
            <w:vAlign w:val="center"/>
            <w:hideMark/>
          </w:tcPr>
          <w:p w14:paraId="4C6C4B55" w14:textId="1311D624" w:rsidR="008756C7" w:rsidRPr="004817BF" w:rsidRDefault="00A314AD" w:rsidP="00FD52C4">
            <w:pPr>
              <w:pStyle w:val="BodyTextMain"/>
              <w:keepNext/>
              <w:keepLines/>
              <w:spacing w:before="40"/>
              <w:jc w:val="right"/>
              <w:rPr>
                <w:rFonts w:ascii="Arial" w:hAnsi="Arial" w:cs="Arial"/>
                <w:sz w:val="20"/>
                <w:szCs w:val="20"/>
                <w:lang w:val="en-GB" w:eastAsia="de-DE"/>
              </w:rPr>
            </w:pPr>
            <w:r w:rsidRPr="00A314AD">
              <w:rPr>
                <w:rFonts w:ascii="Arial" w:hAnsi="Arial" w:cs="Arial"/>
                <w:sz w:val="20"/>
                <w:szCs w:val="20"/>
                <w:lang w:val="en-GB" w:eastAsia="de-DE"/>
              </w:rPr>
              <w:t>−</w:t>
            </w:r>
            <w:r w:rsidR="008756C7" w:rsidRPr="004817BF">
              <w:rPr>
                <w:rFonts w:ascii="Arial" w:hAnsi="Arial" w:cs="Arial"/>
                <w:sz w:val="20"/>
                <w:szCs w:val="20"/>
                <w:lang w:val="en-GB" w:eastAsia="de-DE"/>
              </w:rPr>
              <w:t>1</w:t>
            </w:r>
            <w:r w:rsidR="00083810" w:rsidRPr="004817BF">
              <w:rPr>
                <w:rFonts w:ascii="Arial" w:hAnsi="Arial" w:cs="Arial"/>
                <w:sz w:val="20"/>
                <w:szCs w:val="20"/>
                <w:lang w:val="en-GB" w:eastAsia="de-DE"/>
              </w:rPr>
              <w:t>.</w:t>
            </w:r>
            <w:r w:rsidR="008756C7" w:rsidRPr="004817BF">
              <w:rPr>
                <w:rFonts w:ascii="Arial" w:hAnsi="Arial" w:cs="Arial"/>
                <w:sz w:val="20"/>
                <w:szCs w:val="20"/>
                <w:lang w:val="en-GB" w:eastAsia="de-DE"/>
              </w:rPr>
              <w:t>06</w:t>
            </w:r>
          </w:p>
        </w:tc>
        <w:tc>
          <w:tcPr>
            <w:tcW w:w="783" w:type="dxa"/>
            <w:tcBorders>
              <w:top w:val="single" w:sz="4" w:space="0" w:color="auto"/>
            </w:tcBorders>
            <w:shd w:val="clear" w:color="auto" w:fill="auto"/>
            <w:noWrap/>
            <w:vAlign w:val="center"/>
            <w:hideMark/>
          </w:tcPr>
          <w:p w14:paraId="7192D497" w14:textId="38753A71" w:rsidR="008756C7" w:rsidRPr="004817BF" w:rsidRDefault="008756C7" w:rsidP="00FD52C4">
            <w:pPr>
              <w:pStyle w:val="BodyTextMain"/>
              <w:keepNext/>
              <w:keepLines/>
              <w:spacing w:before="40"/>
              <w:jc w:val="right"/>
              <w:rPr>
                <w:rFonts w:ascii="Arial" w:hAnsi="Arial" w:cs="Arial"/>
                <w:sz w:val="20"/>
                <w:szCs w:val="20"/>
                <w:lang w:val="en-GB" w:eastAsia="de-DE"/>
              </w:rPr>
            </w:pPr>
            <w:r w:rsidRPr="004817BF">
              <w:rPr>
                <w:rFonts w:ascii="Arial" w:hAnsi="Arial" w:cs="Arial"/>
                <w:sz w:val="20"/>
                <w:szCs w:val="20"/>
                <w:lang w:val="en-GB" w:eastAsia="de-DE"/>
              </w:rPr>
              <w:t>41</w:t>
            </w:r>
            <w:r w:rsidR="00083810" w:rsidRPr="004817BF">
              <w:rPr>
                <w:rFonts w:ascii="Arial" w:hAnsi="Arial" w:cs="Arial"/>
                <w:sz w:val="20"/>
                <w:szCs w:val="20"/>
                <w:lang w:val="en-GB" w:eastAsia="de-DE"/>
              </w:rPr>
              <w:t>.</w:t>
            </w:r>
            <w:r w:rsidRPr="004817BF">
              <w:rPr>
                <w:rFonts w:ascii="Arial" w:hAnsi="Arial" w:cs="Arial"/>
                <w:sz w:val="20"/>
                <w:szCs w:val="20"/>
                <w:lang w:val="en-GB" w:eastAsia="de-DE"/>
              </w:rPr>
              <w:t>3</w:t>
            </w:r>
            <w:r w:rsidR="00083810" w:rsidRPr="004817BF">
              <w:rPr>
                <w:rFonts w:ascii="Arial" w:hAnsi="Arial" w:cs="Arial"/>
                <w:sz w:val="20"/>
                <w:szCs w:val="20"/>
                <w:lang w:val="en-GB" w:eastAsia="de-DE"/>
              </w:rPr>
              <w:t>0</w:t>
            </w:r>
          </w:p>
        </w:tc>
        <w:tc>
          <w:tcPr>
            <w:tcW w:w="927" w:type="dxa"/>
            <w:tcBorders>
              <w:top w:val="single" w:sz="4" w:space="0" w:color="auto"/>
              <w:right w:val="single" w:sz="4" w:space="0" w:color="auto"/>
            </w:tcBorders>
            <w:shd w:val="clear" w:color="auto" w:fill="auto"/>
            <w:noWrap/>
            <w:vAlign w:val="center"/>
            <w:hideMark/>
          </w:tcPr>
          <w:p w14:paraId="28F2A775" w14:textId="044FD75F" w:rsidR="008756C7" w:rsidRPr="004817BF" w:rsidRDefault="008756C7" w:rsidP="00FD52C4">
            <w:pPr>
              <w:pStyle w:val="BodyTextMain"/>
              <w:keepNext/>
              <w:keepLines/>
              <w:spacing w:before="40"/>
              <w:jc w:val="right"/>
              <w:rPr>
                <w:rFonts w:ascii="Arial" w:hAnsi="Arial" w:cs="Arial"/>
                <w:sz w:val="20"/>
                <w:szCs w:val="20"/>
                <w:lang w:val="en-GB" w:eastAsia="de-DE"/>
              </w:rPr>
            </w:pPr>
            <w:r w:rsidRPr="004817BF">
              <w:rPr>
                <w:rFonts w:ascii="Arial" w:hAnsi="Arial" w:cs="Arial"/>
                <w:sz w:val="20"/>
                <w:szCs w:val="20"/>
                <w:lang w:val="en-GB" w:eastAsia="de-DE"/>
              </w:rPr>
              <w:t>57</w:t>
            </w:r>
            <w:r w:rsidR="00083810" w:rsidRPr="004817BF">
              <w:rPr>
                <w:rFonts w:ascii="Arial" w:hAnsi="Arial" w:cs="Arial"/>
                <w:sz w:val="20"/>
                <w:szCs w:val="20"/>
                <w:lang w:val="en-GB" w:eastAsia="de-DE"/>
              </w:rPr>
              <w:t>.</w:t>
            </w:r>
            <w:r w:rsidRPr="004817BF">
              <w:rPr>
                <w:rFonts w:ascii="Arial" w:hAnsi="Arial" w:cs="Arial"/>
                <w:sz w:val="20"/>
                <w:szCs w:val="20"/>
                <w:lang w:val="en-GB" w:eastAsia="de-DE"/>
              </w:rPr>
              <w:t>7</w:t>
            </w:r>
            <w:r w:rsidR="00083810" w:rsidRPr="004817BF">
              <w:rPr>
                <w:rFonts w:ascii="Arial" w:hAnsi="Arial" w:cs="Arial"/>
                <w:sz w:val="20"/>
                <w:szCs w:val="20"/>
                <w:lang w:val="en-GB" w:eastAsia="de-DE"/>
              </w:rPr>
              <w:t>0</w:t>
            </w:r>
          </w:p>
        </w:tc>
      </w:tr>
      <w:tr w:rsidR="008756C7" w:rsidRPr="004817BF" w14:paraId="0508DAFD" w14:textId="77777777" w:rsidTr="00FD52C4">
        <w:trPr>
          <w:trHeight w:val="243"/>
        </w:trPr>
        <w:tc>
          <w:tcPr>
            <w:tcW w:w="4384" w:type="dxa"/>
            <w:tcBorders>
              <w:top w:val="nil"/>
              <w:left w:val="single" w:sz="4" w:space="0" w:color="auto"/>
              <w:right w:val="single" w:sz="4" w:space="0" w:color="auto"/>
            </w:tcBorders>
            <w:shd w:val="clear" w:color="auto" w:fill="auto"/>
            <w:noWrap/>
            <w:vAlign w:val="center"/>
            <w:hideMark/>
          </w:tcPr>
          <w:p w14:paraId="5A355506" w14:textId="77777777" w:rsidR="008756C7" w:rsidRPr="004817BF" w:rsidRDefault="008756C7" w:rsidP="00FD52C4">
            <w:pPr>
              <w:pStyle w:val="BodyTextMain"/>
              <w:keepNext/>
              <w:keepLines/>
              <w:jc w:val="left"/>
              <w:rPr>
                <w:rFonts w:ascii="Arial" w:hAnsi="Arial" w:cs="Arial"/>
                <w:sz w:val="20"/>
                <w:szCs w:val="20"/>
                <w:lang w:val="en-GB" w:eastAsia="de-DE"/>
              </w:rPr>
            </w:pPr>
            <w:r w:rsidRPr="004817BF">
              <w:rPr>
                <w:rFonts w:ascii="Arial" w:hAnsi="Arial" w:cs="Arial"/>
                <w:sz w:val="20"/>
                <w:szCs w:val="20"/>
                <w:lang w:val="en-GB" w:eastAsia="de-DE"/>
              </w:rPr>
              <w:t>Net cash from investing activities</w:t>
            </w:r>
          </w:p>
        </w:tc>
        <w:tc>
          <w:tcPr>
            <w:tcW w:w="705" w:type="dxa"/>
            <w:tcBorders>
              <w:top w:val="nil"/>
              <w:left w:val="nil"/>
            </w:tcBorders>
            <w:shd w:val="clear" w:color="auto" w:fill="auto"/>
            <w:noWrap/>
            <w:vAlign w:val="center"/>
            <w:hideMark/>
          </w:tcPr>
          <w:p w14:paraId="4B0B9D46" w14:textId="6D01E5BD" w:rsidR="008756C7" w:rsidRPr="004817BF" w:rsidRDefault="00A314AD" w:rsidP="00FD52C4">
            <w:pPr>
              <w:pStyle w:val="BodyTextMain"/>
              <w:keepNext/>
              <w:keepLines/>
              <w:jc w:val="right"/>
              <w:rPr>
                <w:rFonts w:ascii="Arial" w:hAnsi="Arial" w:cs="Arial"/>
                <w:sz w:val="20"/>
                <w:szCs w:val="20"/>
                <w:lang w:val="en-GB" w:eastAsia="de-DE"/>
              </w:rPr>
            </w:pPr>
            <w:r>
              <w:rPr>
                <w:rFonts w:ascii="Arial" w:hAnsi="Arial" w:cs="Arial"/>
                <w:sz w:val="20"/>
                <w:szCs w:val="20"/>
                <w:lang w:val="en-GB" w:eastAsia="de-DE"/>
              </w:rPr>
              <w:t>−</w:t>
            </w:r>
            <w:r w:rsidR="008756C7"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008756C7" w:rsidRPr="004817BF">
              <w:rPr>
                <w:rFonts w:ascii="Arial" w:hAnsi="Arial" w:cs="Arial"/>
                <w:sz w:val="20"/>
                <w:szCs w:val="20"/>
                <w:lang w:val="en-GB" w:eastAsia="de-DE"/>
              </w:rPr>
              <w:t>04</w:t>
            </w:r>
          </w:p>
        </w:tc>
        <w:tc>
          <w:tcPr>
            <w:tcW w:w="709" w:type="dxa"/>
            <w:tcBorders>
              <w:top w:val="nil"/>
            </w:tcBorders>
            <w:shd w:val="clear" w:color="auto" w:fill="auto"/>
            <w:noWrap/>
            <w:vAlign w:val="center"/>
            <w:hideMark/>
          </w:tcPr>
          <w:p w14:paraId="179D6298" w14:textId="730745BC" w:rsidR="008756C7" w:rsidRPr="004817BF" w:rsidRDefault="00A314AD" w:rsidP="00FD52C4">
            <w:pPr>
              <w:pStyle w:val="BodyTextMain"/>
              <w:keepNext/>
              <w:keepLines/>
              <w:jc w:val="right"/>
              <w:rPr>
                <w:rFonts w:ascii="Arial" w:hAnsi="Arial" w:cs="Arial"/>
                <w:sz w:val="20"/>
                <w:szCs w:val="20"/>
                <w:lang w:val="en-GB" w:eastAsia="de-DE"/>
              </w:rPr>
            </w:pPr>
            <w:r>
              <w:rPr>
                <w:rFonts w:ascii="Arial" w:hAnsi="Arial" w:cs="Arial"/>
                <w:sz w:val="20"/>
                <w:szCs w:val="20"/>
                <w:lang w:val="en-GB" w:eastAsia="de-DE"/>
              </w:rPr>
              <w:t>−</w:t>
            </w:r>
            <w:r w:rsidR="008756C7" w:rsidRPr="004817BF">
              <w:rPr>
                <w:rFonts w:ascii="Arial" w:hAnsi="Arial" w:cs="Arial"/>
                <w:sz w:val="20"/>
                <w:szCs w:val="20"/>
                <w:lang w:val="en-GB" w:eastAsia="de-DE"/>
              </w:rPr>
              <w:t>1</w:t>
            </w:r>
            <w:r w:rsidR="00E949D8" w:rsidRPr="004817BF">
              <w:rPr>
                <w:rFonts w:ascii="Arial" w:hAnsi="Arial" w:cs="Arial"/>
                <w:sz w:val="20"/>
                <w:szCs w:val="20"/>
                <w:lang w:val="en-GB" w:eastAsia="de-DE"/>
              </w:rPr>
              <w:t>.</w:t>
            </w:r>
            <w:r w:rsidR="008756C7" w:rsidRPr="004817BF">
              <w:rPr>
                <w:rFonts w:ascii="Arial" w:hAnsi="Arial" w:cs="Arial"/>
                <w:sz w:val="20"/>
                <w:szCs w:val="20"/>
                <w:lang w:val="en-GB" w:eastAsia="de-DE"/>
              </w:rPr>
              <w:t>40</w:t>
            </w:r>
          </w:p>
        </w:tc>
        <w:tc>
          <w:tcPr>
            <w:tcW w:w="708" w:type="dxa"/>
            <w:tcBorders>
              <w:top w:val="nil"/>
            </w:tcBorders>
            <w:shd w:val="clear" w:color="auto" w:fill="auto"/>
            <w:noWrap/>
            <w:vAlign w:val="center"/>
            <w:hideMark/>
          </w:tcPr>
          <w:p w14:paraId="0BDC24BC" w14:textId="3FD2E2C8" w:rsidR="008756C7" w:rsidRPr="004817BF" w:rsidRDefault="00A314AD" w:rsidP="00FD52C4">
            <w:pPr>
              <w:pStyle w:val="BodyTextMain"/>
              <w:keepNext/>
              <w:keepLines/>
              <w:jc w:val="right"/>
              <w:rPr>
                <w:rFonts w:ascii="Arial" w:hAnsi="Arial" w:cs="Arial"/>
                <w:sz w:val="20"/>
                <w:szCs w:val="20"/>
                <w:lang w:val="en-GB" w:eastAsia="de-DE"/>
              </w:rPr>
            </w:pPr>
            <w:r w:rsidRPr="00A314AD">
              <w:rPr>
                <w:rFonts w:ascii="Arial" w:hAnsi="Arial" w:cs="Arial"/>
                <w:sz w:val="20"/>
                <w:szCs w:val="20"/>
                <w:lang w:val="en-GB" w:eastAsia="de-DE"/>
              </w:rPr>
              <w:t>−</w:t>
            </w:r>
            <w:r w:rsidR="008756C7"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008756C7" w:rsidRPr="004817BF">
              <w:rPr>
                <w:rFonts w:ascii="Arial" w:hAnsi="Arial" w:cs="Arial"/>
                <w:sz w:val="20"/>
                <w:szCs w:val="20"/>
                <w:lang w:val="en-GB" w:eastAsia="de-DE"/>
              </w:rPr>
              <w:t>64</w:t>
            </w:r>
          </w:p>
        </w:tc>
        <w:tc>
          <w:tcPr>
            <w:tcW w:w="779" w:type="dxa"/>
            <w:tcBorders>
              <w:top w:val="nil"/>
            </w:tcBorders>
            <w:shd w:val="clear" w:color="auto" w:fill="auto"/>
            <w:noWrap/>
            <w:vAlign w:val="center"/>
            <w:hideMark/>
          </w:tcPr>
          <w:p w14:paraId="1779E6AA" w14:textId="3F226300" w:rsidR="008756C7" w:rsidRPr="004817BF" w:rsidRDefault="00A314AD" w:rsidP="00FD52C4">
            <w:pPr>
              <w:pStyle w:val="BodyTextMain"/>
              <w:keepNext/>
              <w:keepLines/>
              <w:jc w:val="right"/>
              <w:rPr>
                <w:rFonts w:ascii="Arial" w:hAnsi="Arial" w:cs="Arial"/>
                <w:sz w:val="20"/>
                <w:szCs w:val="20"/>
                <w:lang w:val="en-GB" w:eastAsia="de-DE"/>
              </w:rPr>
            </w:pPr>
            <w:r w:rsidRPr="00A314AD">
              <w:rPr>
                <w:rFonts w:ascii="Arial" w:hAnsi="Arial" w:cs="Arial"/>
                <w:sz w:val="20"/>
                <w:szCs w:val="20"/>
                <w:lang w:val="en-GB" w:eastAsia="de-DE"/>
              </w:rPr>
              <w:t>−</w:t>
            </w:r>
            <w:r w:rsidR="008756C7" w:rsidRPr="004817BF">
              <w:rPr>
                <w:rFonts w:ascii="Arial" w:hAnsi="Arial" w:cs="Arial"/>
                <w:sz w:val="20"/>
                <w:szCs w:val="20"/>
                <w:lang w:val="en-GB" w:eastAsia="de-DE"/>
              </w:rPr>
              <w:t>1</w:t>
            </w:r>
            <w:r w:rsidR="00083810" w:rsidRPr="004817BF">
              <w:rPr>
                <w:rFonts w:ascii="Arial" w:hAnsi="Arial" w:cs="Arial"/>
                <w:sz w:val="20"/>
                <w:szCs w:val="20"/>
                <w:lang w:val="en-GB" w:eastAsia="de-DE"/>
              </w:rPr>
              <w:t>.</w:t>
            </w:r>
            <w:r w:rsidR="008756C7" w:rsidRPr="004817BF">
              <w:rPr>
                <w:rFonts w:ascii="Arial" w:hAnsi="Arial" w:cs="Arial"/>
                <w:sz w:val="20"/>
                <w:szCs w:val="20"/>
                <w:lang w:val="en-GB" w:eastAsia="de-DE"/>
              </w:rPr>
              <w:t>32</w:t>
            </w:r>
          </w:p>
        </w:tc>
        <w:tc>
          <w:tcPr>
            <w:tcW w:w="783" w:type="dxa"/>
            <w:tcBorders>
              <w:top w:val="nil"/>
            </w:tcBorders>
            <w:shd w:val="clear" w:color="auto" w:fill="auto"/>
            <w:noWrap/>
            <w:vAlign w:val="center"/>
            <w:hideMark/>
          </w:tcPr>
          <w:p w14:paraId="3A92BB3C" w14:textId="28D41D66" w:rsidR="008756C7" w:rsidRPr="004817BF" w:rsidRDefault="00A314AD" w:rsidP="00FD52C4">
            <w:pPr>
              <w:pStyle w:val="BodyTextMain"/>
              <w:keepNext/>
              <w:keepLines/>
              <w:jc w:val="right"/>
              <w:rPr>
                <w:rFonts w:ascii="Arial" w:hAnsi="Arial" w:cs="Arial"/>
                <w:sz w:val="20"/>
                <w:szCs w:val="20"/>
                <w:lang w:val="en-GB" w:eastAsia="de-DE"/>
              </w:rPr>
            </w:pPr>
            <w:r w:rsidRPr="00A314AD">
              <w:rPr>
                <w:rFonts w:ascii="Arial" w:hAnsi="Arial" w:cs="Arial"/>
                <w:sz w:val="20"/>
                <w:szCs w:val="20"/>
                <w:lang w:val="en-GB" w:eastAsia="de-DE"/>
              </w:rPr>
              <w:t>−</w:t>
            </w:r>
            <w:r w:rsidR="008756C7" w:rsidRPr="004817BF">
              <w:rPr>
                <w:rFonts w:ascii="Arial" w:hAnsi="Arial" w:cs="Arial"/>
                <w:sz w:val="20"/>
                <w:szCs w:val="20"/>
                <w:lang w:val="en-GB" w:eastAsia="de-DE"/>
              </w:rPr>
              <w:t>8</w:t>
            </w:r>
            <w:r w:rsidR="00083810" w:rsidRPr="004817BF">
              <w:rPr>
                <w:rFonts w:ascii="Arial" w:hAnsi="Arial" w:cs="Arial"/>
                <w:sz w:val="20"/>
                <w:szCs w:val="20"/>
                <w:lang w:val="en-GB" w:eastAsia="de-DE"/>
              </w:rPr>
              <w:t>.</w:t>
            </w:r>
            <w:r w:rsidR="008756C7" w:rsidRPr="004817BF">
              <w:rPr>
                <w:rFonts w:ascii="Arial" w:hAnsi="Arial" w:cs="Arial"/>
                <w:sz w:val="20"/>
                <w:szCs w:val="20"/>
                <w:lang w:val="en-GB" w:eastAsia="de-DE"/>
              </w:rPr>
              <w:t>21</w:t>
            </w:r>
          </w:p>
        </w:tc>
        <w:tc>
          <w:tcPr>
            <w:tcW w:w="927" w:type="dxa"/>
            <w:tcBorders>
              <w:top w:val="nil"/>
              <w:right w:val="single" w:sz="4" w:space="0" w:color="auto"/>
            </w:tcBorders>
            <w:shd w:val="clear" w:color="auto" w:fill="auto"/>
            <w:noWrap/>
            <w:vAlign w:val="center"/>
            <w:hideMark/>
          </w:tcPr>
          <w:p w14:paraId="2A25BE78" w14:textId="6C61821F" w:rsidR="008756C7" w:rsidRPr="004817BF" w:rsidRDefault="00A314AD" w:rsidP="00FD52C4">
            <w:pPr>
              <w:pStyle w:val="BodyTextMain"/>
              <w:keepNext/>
              <w:keepLines/>
              <w:jc w:val="right"/>
              <w:rPr>
                <w:rFonts w:ascii="Arial" w:hAnsi="Arial" w:cs="Arial"/>
                <w:sz w:val="20"/>
                <w:szCs w:val="20"/>
                <w:lang w:val="en-GB" w:eastAsia="de-DE"/>
              </w:rPr>
            </w:pPr>
            <w:r w:rsidRPr="00A314AD">
              <w:rPr>
                <w:rFonts w:ascii="Arial" w:hAnsi="Arial" w:cs="Arial"/>
                <w:sz w:val="20"/>
                <w:szCs w:val="20"/>
                <w:lang w:val="en-GB" w:eastAsia="de-DE"/>
              </w:rPr>
              <w:t>−</w:t>
            </w:r>
            <w:r w:rsidR="008756C7" w:rsidRPr="004817BF">
              <w:rPr>
                <w:rFonts w:ascii="Arial" w:hAnsi="Arial" w:cs="Arial"/>
                <w:sz w:val="20"/>
                <w:szCs w:val="20"/>
                <w:lang w:val="en-GB" w:eastAsia="de-DE"/>
              </w:rPr>
              <w:t>17</w:t>
            </w:r>
            <w:r w:rsidR="00083810" w:rsidRPr="004817BF">
              <w:rPr>
                <w:rFonts w:ascii="Arial" w:hAnsi="Arial" w:cs="Arial"/>
                <w:sz w:val="20"/>
                <w:szCs w:val="20"/>
                <w:lang w:val="en-GB" w:eastAsia="de-DE"/>
              </w:rPr>
              <w:t>.</w:t>
            </w:r>
            <w:r w:rsidR="008756C7" w:rsidRPr="004817BF">
              <w:rPr>
                <w:rFonts w:ascii="Arial" w:hAnsi="Arial" w:cs="Arial"/>
                <w:sz w:val="20"/>
                <w:szCs w:val="20"/>
                <w:lang w:val="en-GB" w:eastAsia="de-DE"/>
              </w:rPr>
              <w:t>21</w:t>
            </w:r>
          </w:p>
        </w:tc>
      </w:tr>
      <w:tr w:rsidR="008756C7" w:rsidRPr="004817BF" w14:paraId="3A2C0A99" w14:textId="77777777" w:rsidTr="00FD52C4">
        <w:trPr>
          <w:trHeight w:val="288"/>
        </w:trPr>
        <w:tc>
          <w:tcPr>
            <w:tcW w:w="4384" w:type="dxa"/>
            <w:tcBorders>
              <w:top w:val="nil"/>
              <w:left w:val="single" w:sz="4" w:space="0" w:color="auto"/>
              <w:right w:val="single" w:sz="4" w:space="0" w:color="auto"/>
            </w:tcBorders>
            <w:shd w:val="clear" w:color="auto" w:fill="auto"/>
            <w:noWrap/>
            <w:vAlign w:val="center"/>
            <w:hideMark/>
          </w:tcPr>
          <w:p w14:paraId="3FC5C3C6" w14:textId="77777777" w:rsidR="008756C7" w:rsidRPr="004817BF" w:rsidRDefault="008756C7" w:rsidP="00FD52C4">
            <w:pPr>
              <w:pStyle w:val="BodyTextMain"/>
              <w:keepNext/>
              <w:keepLines/>
              <w:jc w:val="left"/>
              <w:rPr>
                <w:rFonts w:ascii="Arial" w:hAnsi="Arial" w:cs="Arial"/>
                <w:sz w:val="20"/>
                <w:szCs w:val="20"/>
                <w:lang w:val="en-GB" w:eastAsia="de-DE"/>
              </w:rPr>
            </w:pPr>
            <w:r w:rsidRPr="004817BF">
              <w:rPr>
                <w:rFonts w:ascii="Arial" w:hAnsi="Arial" w:cs="Arial"/>
                <w:sz w:val="20"/>
                <w:szCs w:val="20"/>
                <w:lang w:val="en-GB" w:eastAsia="de-DE"/>
              </w:rPr>
              <w:t>Net cash from financing activities</w:t>
            </w:r>
          </w:p>
        </w:tc>
        <w:tc>
          <w:tcPr>
            <w:tcW w:w="705" w:type="dxa"/>
            <w:tcBorders>
              <w:top w:val="nil"/>
              <w:left w:val="nil"/>
            </w:tcBorders>
            <w:shd w:val="clear" w:color="auto" w:fill="auto"/>
            <w:noWrap/>
            <w:vAlign w:val="center"/>
            <w:hideMark/>
          </w:tcPr>
          <w:p w14:paraId="20F44EAF" w14:textId="0728BEBA"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Pr="004817BF">
              <w:rPr>
                <w:rFonts w:ascii="Arial" w:hAnsi="Arial" w:cs="Arial"/>
                <w:sz w:val="20"/>
                <w:szCs w:val="20"/>
                <w:lang w:val="en-GB" w:eastAsia="de-DE"/>
              </w:rPr>
              <w:t>75</w:t>
            </w:r>
          </w:p>
        </w:tc>
        <w:tc>
          <w:tcPr>
            <w:tcW w:w="709" w:type="dxa"/>
            <w:tcBorders>
              <w:top w:val="nil"/>
            </w:tcBorders>
            <w:shd w:val="clear" w:color="auto" w:fill="auto"/>
            <w:noWrap/>
            <w:vAlign w:val="center"/>
            <w:hideMark/>
          </w:tcPr>
          <w:p w14:paraId="577B5B8D" w14:textId="41299D51"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2</w:t>
            </w:r>
            <w:r w:rsidR="00E949D8" w:rsidRPr="004817BF">
              <w:rPr>
                <w:rFonts w:ascii="Arial" w:hAnsi="Arial" w:cs="Arial"/>
                <w:sz w:val="20"/>
                <w:szCs w:val="20"/>
                <w:lang w:val="en-GB" w:eastAsia="de-DE"/>
              </w:rPr>
              <w:t>.</w:t>
            </w:r>
            <w:r w:rsidRPr="004817BF">
              <w:rPr>
                <w:rFonts w:ascii="Arial" w:hAnsi="Arial" w:cs="Arial"/>
                <w:sz w:val="20"/>
                <w:szCs w:val="20"/>
                <w:lang w:val="en-GB" w:eastAsia="de-DE"/>
              </w:rPr>
              <w:t>78</w:t>
            </w:r>
          </w:p>
        </w:tc>
        <w:tc>
          <w:tcPr>
            <w:tcW w:w="708" w:type="dxa"/>
            <w:tcBorders>
              <w:top w:val="nil"/>
            </w:tcBorders>
            <w:shd w:val="clear" w:color="auto" w:fill="auto"/>
            <w:noWrap/>
            <w:vAlign w:val="center"/>
            <w:hideMark/>
          </w:tcPr>
          <w:p w14:paraId="3274111B" w14:textId="74850BA8"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16</w:t>
            </w:r>
            <w:r w:rsidR="00E949D8" w:rsidRPr="004817BF">
              <w:rPr>
                <w:rFonts w:ascii="Arial" w:hAnsi="Arial" w:cs="Arial"/>
                <w:sz w:val="20"/>
                <w:szCs w:val="20"/>
                <w:lang w:val="en-GB" w:eastAsia="de-DE"/>
              </w:rPr>
              <w:t>.</w:t>
            </w:r>
            <w:r w:rsidRPr="004817BF">
              <w:rPr>
                <w:rFonts w:ascii="Arial" w:hAnsi="Arial" w:cs="Arial"/>
                <w:sz w:val="20"/>
                <w:szCs w:val="20"/>
                <w:lang w:val="en-GB" w:eastAsia="de-DE"/>
              </w:rPr>
              <w:t>11</w:t>
            </w:r>
          </w:p>
        </w:tc>
        <w:tc>
          <w:tcPr>
            <w:tcW w:w="779" w:type="dxa"/>
            <w:tcBorders>
              <w:top w:val="nil"/>
            </w:tcBorders>
            <w:shd w:val="clear" w:color="auto" w:fill="auto"/>
            <w:noWrap/>
            <w:vAlign w:val="center"/>
            <w:hideMark/>
          </w:tcPr>
          <w:p w14:paraId="29C10D54" w14:textId="2F1D2711"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48</w:t>
            </w:r>
            <w:r w:rsidR="00083810" w:rsidRPr="004817BF">
              <w:rPr>
                <w:rFonts w:ascii="Arial" w:hAnsi="Arial" w:cs="Arial"/>
                <w:sz w:val="20"/>
                <w:szCs w:val="20"/>
                <w:lang w:val="en-GB" w:eastAsia="de-DE"/>
              </w:rPr>
              <w:t>.</w:t>
            </w:r>
            <w:r w:rsidRPr="004817BF">
              <w:rPr>
                <w:rFonts w:ascii="Arial" w:hAnsi="Arial" w:cs="Arial"/>
                <w:sz w:val="20"/>
                <w:szCs w:val="20"/>
                <w:lang w:val="en-GB" w:eastAsia="de-DE"/>
              </w:rPr>
              <w:t>97</w:t>
            </w:r>
          </w:p>
        </w:tc>
        <w:tc>
          <w:tcPr>
            <w:tcW w:w="783" w:type="dxa"/>
            <w:tcBorders>
              <w:top w:val="nil"/>
            </w:tcBorders>
            <w:shd w:val="clear" w:color="auto" w:fill="auto"/>
            <w:noWrap/>
            <w:vAlign w:val="center"/>
            <w:hideMark/>
          </w:tcPr>
          <w:p w14:paraId="6E292528" w14:textId="0C70748C"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44</w:t>
            </w:r>
            <w:r w:rsidR="00083810" w:rsidRPr="004817BF">
              <w:rPr>
                <w:rFonts w:ascii="Arial" w:hAnsi="Arial" w:cs="Arial"/>
                <w:sz w:val="20"/>
                <w:szCs w:val="20"/>
                <w:lang w:val="en-GB" w:eastAsia="de-DE"/>
              </w:rPr>
              <w:t>.</w:t>
            </w:r>
            <w:r w:rsidRPr="004817BF">
              <w:rPr>
                <w:rFonts w:ascii="Arial" w:hAnsi="Arial" w:cs="Arial"/>
                <w:sz w:val="20"/>
                <w:szCs w:val="20"/>
                <w:lang w:val="en-GB" w:eastAsia="de-DE"/>
              </w:rPr>
              <w:t>04</w:t>
            </w:r>
          </w:p>
        </w:tc>
        <w:tc>
          <w:tcPr>
            <w:tcW w:w="927" w:type="dxa"/>
            <w:tcBorders>
              <w:top w:val="nil"/>
              <w:right w:val="single" w:sz="4" w:space="0" w:color="auto"/>
            </w:tcBorders>
            <w:shd w:val="clear" w:color="auto" w:fill="auto"/>
            <w:noWrap/>
            <w:vAlign w:val="center"/>
            <w:hideMark/>
          </w:tcPr>
          <w:p w14:paraId="3B8360F9" w14:textId="5133C945"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40</w:t>
            </w:r>
            <w:r w:rsidR="00083810" w:rsidRPr="004817BF">
              <w:rPr>
                <w:rFonts w:ascii="Arial" w:hAnsi="Arial" w:cs="Arial"/>
                <w:sz w:val="20"/>
                <w:szCs w:val="20"/>
                <w:lang w:val="en-GB" w:eastAsia="de-DE"/>
              </w:rPr>
              <w:t>.</w:t>
            </w:r>
            <w:r w:rsidRPr="004817BF">
              <w:rPr>
                <w:rFonts w:ascii="Arial" w:hAnsi="Arial" w:cs="Arial"/>
                <w:sz w:val="20"/>
                <w:szCs w:val="20"/>
                <w:lang w:val="en-GB" w:eastAsia="de-DE"/>
              </w:rPr>
              <w:t>48</w:t>
            </w:r>
          </w:p>
        </w:tc>
      </w:tr>
      <w:tr w:rsidR="008756C7" w:rsidRPr="004817BF" w14:paraId="5B53F1C6" w14:textId="77777777" w:rsidTr="00FD52C4">
        <w:trPr>
          <w:trHeight w:val="189"/>
        </w:trPr>
        <w:tc>
          <w:tcPr>
            <w:tcW w:w="4384" w:type="dxa"/>
            <w:tcBorders>
              <w:top w:val="nil"/>
              <w:left w:val="single" w:sz="4" w:space="0" w:color="auto"/>
              <w:right w:val="single" w:sz="4" w:space="0" w:color="auto"/>
            </w:tcBorders>
            <w:shd w:val="clear" w:color="auto" w:fill="auto"/>
            <w:noWrap/>
            <w:vAlign w:val="center"/>
            <w:hideMark/>
          </w:tcPr>
          <w:p w14:paraId="469F56C4" w14:textId="4ABD2E90" w:rsidR="008756C7" w:rsidRPr="004817BF" w:rsidRDefault="008756C7" w:rsidP="00FD52C4">
            <w:pPr>
              <w:pStyle w:val="BodyTextMain"/>
              <w:keepNext/>
              <w:keepLines/>
              <w:jc w:val="left"/>
              <w:rPr>
                <w:rFonts w:ascii="Arial" w:hAnsi="Arial" w:cs="Arial"/>
                <w:sz w:val="20"/>
                <w:szCs w:val="20"/>
                <w:lang w:val="en-GB" w:eastAsia="de-DE"/>
              </w:rPr>
            </w:pPr>
            <w:r w:rsidRPr="004817BF">
              <w:rPr>
                <w:rFonts w:ascii="Arial" w:hAnsi="Arial" w:cs="Arial"/>
                <w:sz w:val="20"/>
                <w:szCs w:val="20"/>
                <w:lang w:val="en-GB" w:eastAsia="de-DE"/>
              </w:rPr>
              <w:t>Cash and cash equivalents at beginning of the</w:t>
            </w:r>
            <w:r w:rsidR="00C82B9E" w:rsidRPr="004817BF">
              <w:rPr>
                <w:rFonts w:ascii="Arial" w:hAnsi="Arial" w:cs="Arial"/>
                <w:sz w:val="20"/>
                <w:szCs w:val="20"/>
                <w:lang w:val="en-GB" w:eastAsia="de-DE"/>
              </w:rPr>
              <w:t> </w:t>
            </w:r>
            <w:r w:rsidRPr="004817BF">
              <w:rPr>
                <w:rFonts w:ascii="Arial" w:hAnsi="Arial" w:cs="Arial"/>
                <w:sz w:val="20"/>
                <w:szCs w:val="20"/>
                <w:lang w:val="en-GB" w:eastAsia="de-DE"/>
              </w:rPr>
              <w:t>year</w:t>
            </w:r>
          </w:p>
        </w:tc>
        <w:tc>
          <w:tcPr>
            <w:tcW w:w="705" w:type="dxa"/>
            <w:tcBorders>
              <w:top w:val="nil"/>
              <w:left w:val="nil"/>
            </w:tcBorders>
            <w:shd w:val="clear" w:color="auto" w:fill="auto"/>
            <w:noWrap/>
            <w:vAlign w:val="center"/>
            <w:hideMark/>
          </w:tcPr>
          <w:p w14:paraId="69D0661B" w14:textId="56B023A0" w:rsidR="008756C7" w:rsidRPr="004817BF" w:rsidRDefault="00C62748"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rPr>
              <w:t>–</w:t>
            </w:r>
          </w:p>
        </w:tc>
        <w:tc>
          <w:tcPr>
            <w:tcW w:w="709" w:type="dxa"/>
            <w:tcBorders>
              <w:top w:val="nil"/>
            </w:tcBorders>
            <w:shd w:val="clear" w:color="auto" w:fill="auto"/>
            <w:noWrap/>
            <w:vAlign w:val="center"/>
            <w:hideMark/>
          </w:tcPr>
          <w:p w14:paraId="7AEA0FE4" w14:textId="3E539EBF"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Pr="004817BF">
              <w:rPr>
                <w:rFonts w:ascii="Arial" w:hAnsi="Arial" w:cs="Arial"/>
                <w:sz w:val="20"/>
                <w:szCs w:val="20"/>
                <w:lang w:val="en-GB" w:eastAsia="de-DE"/>
              </w:rPr>
              <w:t>45</w:t>
            </w:r>
          </w:p>
        </w:tc>
        <w:tc>
          <w:tcPr>
            <w:tcW w:w="708" w:type="dxa"/>
            <w:tcBorders>
              <w:top w:val="nil"/>
            </w:tcBorders>
            <w:shd w:val="clear" w:color="auto" w:fill="auto"/>
            <w:noWrap/>
            <w:vAlign w:val="center"/>
            <w:hideMark/>
          </w:tcPr>
          <w:p w14:paraId="0070A83A" w14:textId="28FDD543"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w:t>
            </w:r>
            <w:r w:rsidR="00E949D8" w:rsidRPr="004817BF">
              <w:rPr>
                <w:rFonts w:ascii="Arial" w:hAnsi="Arial" w:cs="Arial"/>
                <w:sz w:val="20"/>
                <w:szCs w:val="20"/>
                <w:lang w:val="en-GB" w:eastAsia="de-DE"/>
              </w:rPr>
              <w:t>.</w:t>
            </w:r>
            <w:r w:rsidRPr="004817BF">
              <w:rPr>
                <w:rFonts w:ascii="Arial" w:hAnsi="Arial" w:cs="Arial"/>
                <w:sz w:val="20"/>
                <w:szCs w:val="20"/>
                <w:lang w:val="en-GB" w:eastAsia="de-DE"/>
              </w:rPr>
              <w:t>0</w:t>
            </w:r>
            <w:r w:rsidR="00083810" w:rsidRPr="004817BF">
              <w:rPr>
                <w:rFonts w:ascii="Arial" w:hAnsi="Arial" w:cs="Arial"/>
                <w:sz w:val="20"/>
                <w:szCs w:val="20"/>
                <w:lang w:val="en-GB" w:eastAsia="de-DE"/>
              </w:rPr>
              <w:t>0</w:t>
            </w:r>
          </w:p>
        </w:tc>
        <w:tc>
          <w:tcPr>
            <w:tcW w:w="779" w:type="dxa"/>
            <w:tcBorders>
              <w:top w:val="nil"/>
            </w:tcBorders>
            <w:shd w:val="clear" w:color="auto" w:fill="auto"/>
            <w:noWrap/>
            <w:vAlign w:val="center"/>
            <w:hideMark/>
          </w:tcPr>
          <w:p w14:paraId="7CF25910" w14:textId="2CEB36F2"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16</w:t>
            </w:r>
            <w:r w:rsidR="00083810" w:rsidRPr="004817BF">
              <w:rPr>
                <w:rFonts w:ascii="Arial" w:hAnsi="Arial" w:cs="Arial"/>
                <w:sz w:val="20"/>
                <w:szCs w:val="20"/>
                <w:lang w:val="en-GB" w:eastAsia="de-DE"/>
              </w:rPr>
              <w:t>.</w:t>
            </w:r>
            <w:r w:rsidRPr="004817BF">
              <w:rPr>
                <w:rFonts w:ascii="Arial" w:hAnsi="Arial" w:cs="Arial"/>
                <w:sz w:val="20"/>
                <w:szCs w:val="20"/>
                <w:lang w:val="en-GB" w:eastAsia="de-DE"/>
              </w:rPr>
              <w:t>27</w:t>
            </w:r>
          </w:p>
        </w:tc>
        <w:tc>
          <w:tcPr>
            <w:tcW w:w="783" w:type="dxa"/>
            <w:tcBorders>
              <w:top w:val="nil"/>
            </w:tcBorders>
            <w:shd w:val="clear" w:color="auto" w:fill="auto"/>
            <w:noWrap/>
            <w:vAlign w:val="center"/>
            <w:hideMark/>
          </w:tcPr>
          <w:p w14:paraId="784FAA27" w14:textId="56A79FF4"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107</w:t>
            </w:r>
            <w:r w:rsidR="00083810" w:rsidRPr="004817BF">
              <w:rPr>
                <w:rFonts w:ascii="Arial" w:hAnsi="Arial" w:cs="Arial"/>
                <w:sz w:val="20"/>
                <w:szCs w:val="20"/>
                <w:lang w:val="en-GB" w:eastAsia="de-DE"/>
              </w:rPr>
              <w:t>.</w:t>
            </w:r>
            <w:r w:rsidRPr="004817BF">
              <w:rPr>
                <w:rFonts w:ascii="Arial" w:hAnsi="Arial" w:cs="Arial"/>
                <w:sz w:val="20"/>
                <w:szCs w:val="20"/>
                <w:lang w:val="en-GB" w:eastAsia="de-DE"/>
              </w:rPr>
              <w:t>32</w:t>
            </w:r>
          </w:p>
        </w:tc>
        <w:tc>
          <w:tcPr>
            <w:tcW w:w="927" w:type="dxa"/>
            <w:tcBorders>
              <w:top w:val="nil"/>
              <w:right w:val="single" w:sz="4" w:space="0" w:color="auto"/>
            </w:tcBorders>
            <w:shd w:val="clear" w:color="auto" w:fill="auto"/>
            <w:noWrap/>
            <w:vAlign w:val="center"/>
            <w:hideMark/>
          </w:tcPr>
          <w:p w14:paraId="233FA2C4" w14:textId="77B03CC3"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147</w:t>
            </w:r>
            <w:r w:rsidR="00083810" w:rsidRPr="004817BF">
              <w:rPr>
                <w:rFonts w:ascii="Arial" w:hAnsi="Arial" w:cs="Arial"/>
                <w:sz w:val="20"/>
                <w:szCs w:val="20"/>
                <w:lang w:val="en-GB" w:eastAsia="de-DE"/>
              </w:rPr>
              <w:t>.</w:t>
            </w:r>
            <w:r w:rsidRPr="004817BF">
              <w:rPr>
                <w:rFonts w:ascii="Arial" w:hAnsi="Arial" w:cs="Arial"/>
                <w:sz w:val="20"/>
                <w:szCs w:val="20"/>
                <w:lang w:val="en-GB" w:eastAsia="de-DE"/>
              </w:rPr>
              <w:t>39</w:t>
            </w:r>
          </w:p>
        </w:tc>
      </w:tr>
      <w:tr w:rsidR="008756C7" w:rsidRPr="004817BF" w14:paraId="5D3D4BE3" w14:textId="77777777" w:rsidTr="00FD52C4">
        <w:trPr>
          <w:trHeight w:val="270"/>
        </w:trPr>
        <w:tc>
          <w:tcPr>
            <w:tcW w:w="4384" w:type="dxa"/>
            <w:tcBorders>
              <w:top w:val="nil"/>
              <w:left w:val="single" w:sz="4" w:space="0" w:color="auto"/>
              <w:right w:val="single" w:sz="4" w:space="0" w:color="auto"/>
            </w:tcBorders>
            <w:shd w:val="clear" w:color="auto" w:fill="auto"/>
            <w:noWrap/>
            <w:vAlign w:val="center"/>
            <w:hideMark/>
          </w:tcPr>
          <w:p w14:paraId="3E6F1817" w14:textId="77777777" w:rsidR="008756C7" w:rsidRPr="004817BF" w:rsidRDefault="008756C7" w:rsidP="00FD52C4">
            <w:pPr>
              <w:pStyle w:val="BodyTextMain"/>
              <w:keepNext/>
              <w:keepLines/>
              <w:jc w:val="left"/>
              <w:rPr>
                <w:rFonts w:ascii="Arial" w:hAnsi="Arial" w:cs="Arial"/>
                <w:sz w:val="20"/>
                <w:szCs w:val="20"/>
                <w:lang w:val="en-GB" w:eastAsia="de-DE"/>
              </w:rPr>
            </w:pPr>
            <w:r w:rsidRPr="004817BF">
              <w:rPr>
                <w:rFonts w:ascii="Arial" w:hAnsi="Arial" w:cs="Arial"/>
                <w:sz w:val="20"/>
                <w:szCs w:val="20"/>
                <w:lang w:val="en-GB" w:eastAsia="de-DE"/>
              </w:rPr>
              <w:t>Change in cash and cash equivalents</w:t>
            </w:r>
          </w:p>
        </w:tc>
        <w:tc>
          <w:tcPr>
            <w:tcW w:w="705" w:type="dxa"/>
            <w:tcBorders>
              <w:top w:val="nil"/>
              <w:left w:val="nil"/>
            </w:tcBorders>
            <w:shd w:val="clear" w:color="auto" w:fill="auto"/>
            <w:noWrap/>
            <w:vAlign w:val="center"/>
            <w:hideMark/>
          </w:tcPr>
          <w:p w14:paraId="46FBF80E" w14:textId="3F17FEF9"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Pr="004817BF">
              <w:rPr>
                <w:rFonts w:ascii="Arial" w:hAnsi="Arial" w:cs="Arial"/>
                <w:sz w:val="20"/>
                <w:szCs w:val="20"/>
                <w:lang w:val="en-GB" w:eastAsia="de-DE"/>
              </w:rPr>
              <w:t>47</w:t>
            </w:r>
          </w:p>
        </w:tc>
        <w:tc>
          <w:tcPr>
            <w:tcW w:w="709" w:type="dxa"/>
            <w:tcBorders>
              <w:top w:val="nil"/>
            </w:tcBorders>
            <w:shd w:val="clear" w:color="auto" w:fill="auto"/>
            <w:noWrap/>
            <w:vAlign w:val="center"/>
            <w:hideMark/>
          </w:tcPr>
          <w:p w14:paraId="4B6818C9" w14:textId="169D734C"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Pr="004817BF">
              <w:rPr>
                <w:rFonts w:ascii="Arial" w:hAnsi="Arial" w:cs="Arial"/>
                <w:sz w:val="20"/>
                <w:szCs w:val="20"/>
                <w:lang w:val="en-GB" w:eastAsia="de-DE"/>
              </w:rPr>
              <w:t>66</w:t>
            </w:r>
          </w:p>
        </w:tc>
        <w:tc>
          <w:tcPr>
            <w:tcW w:w="708" w:type="dxa"/>
            <w:tcBorders>
              <w:top w:val="nil"/>
            </w:tcBorders>
            <w:shd w:val="clear" w:color="auto" w:fill="auto"/>
            <w:noWrap/>
            <w:vAlign w:val="center"/>
            <w:hideMark/>
          </w:tcPr>
          <w:p w14:paraId="738BBFD7" w14:textId="315CE01C"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14</w:t>
            </w:r>
            <w:r w:rsidR="00E949D8" w:rsidRPr="004817BF">
              <w:rPr>
                <w:rFonts w:ascii="Arial" w:hAnsi="Arial" w:cs="Arial"/>
                <w:sz w:val="20"/>
                <w:szCs w:val="20"/>
                <w:lang w:val="en-GB" w:eastAsia="de-DE"/>
              </w:rPr>
              <w:t>.</w:t>
            </w:r>
            <w:r w:rsidRPr="004817BF">
              <w:rPr>
                <w:rFonts w:ascii="Arial" w:hAnsi="Arial" w:cs="Arial"/>
                <w:sz w:val="20"/>
                <w:szCs w:val="20"/>
                <w:lang w:val="en-GB" w:eastAsia="de-DE"/>
              </w:rPr>
              <w:t>51</w:t>
            </w:r>
          </w:p>
        </w:tc>
        <w:tc>
          <w:tcPr>
            <w:tcW w:w="779" w:type="dxa"/>
            <w:tcBorders>
              <w:top w:val="nil"/>
            </w:tcBorders>
            <w:shd w:val="clear" w:color="auto" w:fill="auto"/>
            <w:noWrap/>
            <w:vAlign w:val="center"/>
            <w:hideMark/>
          </w:tcPr>
          <w:p w14:paraId="534B9FBA" w14:textId="530E602C"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46</w:t>
            </w:r>
            <w:r w:rsidR="00083810" w:rsidRPr="004817BF">
              <w:rPr>
                <w:rFonts w:ascii="Arial" w:hAnsi="Arial" w:cs="Arial"/>
                <w:sz w:val="20"/>
                <w:szCs w:val="20"/>
                <w:lang w:val="en-GB" w:eastAsia="de-DE"/>
              </w:rPr>
              <w:t>.</w:t>
            </w:r>
            <w:r w:rsidRPr="004817BF">
              <w:rPr>
                <w:rFonts w:ascii="Arial" w:hAnsi="Arial" w:cs="Arial"/>
                <w:sz w:val="20"/>
                <w:szCs w:val="20"/>
                <w:lang w:val="en-GB" w:eastAsia="de-DE"/>
              </w:rPr>
              <w:t>59</w:t>
            </w:r>
          </w:p>
        </w:tc>
        <w:tc>
          <w:tcPr>
            <w:tcW w:w="783" w:type="dxa"/>
            <w:tcBorders>
              <w:top w:val="nil"/>
            </w:tcBorders>
            <w:shd w:val="clear" w:color="auto" w:fill="auto"/>
            <w:noWrap/>
            <w:vAlign w:val="center"/>
            <w:hideMark/>
          </w:tcPr>
          <w:p w14:paraId="173B8FE5" w14:textId="698C5531"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63</w:t>
            </w:r>
            <w:r w:rsidR="00083810" w:rsidRPr="004817BF">
              <w:rPr>
                <w:rFonts w:ascii="Arial" w:hAnsi="Arial" w:cs="Arial"/>
                <w:sz w:val="20"/>
                <w:szCs w:val="20"/>
                <w:lang w:val="en-GB" w:eastAsia="de-DE"/>
              </w:rPr>
              <w:t>.</w:t>
            </w:r>
            <w:r w:rsidRPr="004817BF">
              <w:rPr>
                <w:rFonts w:ascii="Arial" w:hAnsi="Arial" w:cs="Arial"/>
                <w:sz w:val="20"/>
                <w:szCs w:val="20"/>
                <w:lang w:val="en-GB" w:eastAsia="de-DE"/>
              </w:rPr>
              <w:t>28</w:t>
            </w:r>
          </w:p>
        </w:tc>
        <w:tc>
          <w:tcPr>
            <w:tcW w:w="927" w:type="dxa"/>
            <w:tcBorders>
              <w:top w:val="nil"/>
              <w:right w:val="single" w:sz="4" w:space="0" w:color="auto"/>
            </w:tcBorders>
            <w:shd w:val="clear" w:color="auto" w:fill="auto"/>
            <w:noWrap/>
            <w:vAlign w:val="center"/>
            <w:hideMark/>
          </w:tcPr>
          <w:p w14:paraId="630BF831" w14:textId="47AD3781"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106</w:t>
            </w:r>
            <w:r w:rsidR="00083810" w:rsidRPr="004817BF">
              <w:rPr>
                <w:rFonts w:ascii="Arial" w:hAnsi="Arial" w:cs="Arial"/>
                <w:sz w:val="20"/>
                <w:szCs w:val="20"/>
                <w:lang w:val="en-GB" w:eastAsia="de-DE"/>
              </w:rPr>
              <w:t>.</w:t>
            </w:r>
            <w:r w:rsidRPr="004817BF">
              <w:rPr>
                <w:rFonts w:ascii="Arial" w:hAnsi="Arial" w:cs="Arial"/>
                <w:sz w:val="20"/>
                <w:szCs w:val="20"/>
                <w:lang w:val="en-GB" w:eastAsia="de-DE"/>
              </w:rPr>
              <w:t>91</w:t>
            </w:r>
          </w:p>
        </w:tc>
      </w:tr>
      <w:tr w:rsidR="008756C7" w:rsidRPr="004817BF" w14:paraId="189F62A7" w14:textId="77777777" w:rsidTr="00FD52C4">
        <w:trPr>
          <w:trHeight w:val="180"/>
        </w:trPr>
        <w:tc>
          <w:tcPr>
            <w:tcW w:w="4384" w:type="dxa"/>
            <w:tcBorders>
              <w:top w:val="nil"/>
              <w:left w:val="single" w:sz="4" w:space="0" w:color="auto"/>
              <w:right w:val="single" w:sz="4" w:space="0" w:color="auto"/>
            </w:tcBorders>
            <w:shd w:val="clear" w:color="auto" w:fill="auto"/>
            <w:noWrap/>
            <w:vAlign w:val="center"/>
            <w:hideMark/>
          </w:tcPr>
          <w:p w14:paraId="13952660" w14:textId="77777777" w:rsidR="008756C7" w:rsidRPr="004817BF" w:rsidRDefault="008756C7" w:rsidP="00FD52C4">
            <w:pPr>
              <w:pStyle w:val="BodyTextMain"/>
              <w:keepNext/>
              <w:keepLines/>
              <w:jc w:val="left"/>
              <w:rPr>
                <w:rFonts w:ascii="Arial" w:hAnsi="Arial" w:cs="Arial"/>
                <w:sz w:val="20"/>
                <w:szCs w:val="20"/>
                <w:lang w:val="en-GB" w:eastAsia="de-DE"/>
              </w:rPr>
            </w:pPr>
            <w:r w:rsidRPr="004817BF">
              <w:rPr>
                <w:rFonts w:ascii="Arial" w:hAnsi="Arial" w:cs="Arial"/>
                <w:sz w:val="20"/>
                <w:szCs w:val="20"/>
                <w:lang w:val="en-GB" w:eastAsia="de-DE"/>
              </w:rPr>
              <w:t>Cash and cash equivalents at end of the year</w:t>
            </w:r>
          </w:p>
        </w:tc>
        <w:tc>
          <w:tcPr>
            <w:tcW w:w="705" w:type="dxa"/>
            <w:tcBorders>
              <w:top w:val="nil"/>
              <w:left w:val="nil"/>
            </w:tcBorders>
            <w:shd w:val="clear" w:color="auto" w:fill="auto"/>
            <w:noWrap/>
            <w:vAlign w:val="center"/>
            <w:hideMark/>
          </w:tcPr>
          <w:p w14:paraId="5BEDDB5C" w14:textId="5B372F9F"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Pr="004817BF">
              <w:rPr>
                <w:rFonts w:ascii="Arial" w:hAnsi="Arial" w:cs="Arial"/>
                <w:sz w:val="20"/>
                <w:szCs w:val="20"/>
                <w:lang w:val="en-GB" w:eastAsia="de-DE"/>
              </w:rPr>
              <w:t>47</w:t>
            </w:r>
          </w:p>
        </w:tc>
        <w:tc>
          <w:tcPr>
            <w:tcW w:w="709" w:type="dxa"/>
            <w:tcBorders>
              <w:top w:val="nil"/>
            </w:tcBorders>
            <w:shd w:val="clear" w:color="auto" w:fill="auto"/>
            <w:noWrap/>
            <w:vAlign w:val="center"/>
            <w:hideMark/>
          </w:tcPr>
          <w:p w14:paraId="4F0531E3" w14:textId="6F2AC5D8"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w:t>
            </w:r>
            <w:r w:rsidR="00E949D8" w:rsidRPr="004817BF">
              <w:rPr>
                <w:rFonts w:ascii="Arial" w:hAnsi="Arial" w:cs="Arial"/>
                <w:sz w:val="20"/>
                <w:szCs w:val="20"/>
                <w:lang w:val="en-GB" w:eastAsia="de-DE"/>
              </w:rPr>
              <w:t>.</w:t>
            </w:r>
            <w:r w:rsidRPr="004817BF">
              <w:rPr>
                <w:rFonts w:ascii="Arial" w:hAnsi="Arial" w:cs="Arial"/>
                <w:sz w:val="20"/>
                <w:szCs w:val="20"/>
                <w:lang w:val="en-GB" w:eastAsia="de-DE"/>
              </w:rPr>
              <w:t>11</w:t>
            </w:r>
          </w:p>
        </w:tc>
        <w:tc>
          <w:tcPr>
            <w:tcW w:w="708" w:type="dxa"/>
            <w:tcBorders>
              <w:top w:val="nil"/>
            </w:tcBorders>
            <w:shd w:val="clear" w:color="auto" w:fill="auto"/>
            <w:noWrap/>
            <w:vAlign w:val="center"/>
            <w:hideMark/>
          </w:tcPr>
          <w:p w14:paraId="1557A6A9" w14:textId="56F4DC90"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15</w:t>
            </w:r>
            <w:r w:rsidR="00E949D8" w:rsidRPr="004817BF">
              <w:rPr>
                <w:rFonts w:ascii="Arial" w:hAnsi="Arial" w:cs="Arial"/>
                <w:sz w:val="20"/>
                <w:szCs w:val="20"/>
                <w:lang w:val="en-GB" w:eastAsia="de-DE"/>
              </w:rPr>
              <w:t>.</w:t>
            </w:r>
            <w:r w:rsidRPr="004817BF">
              <w:rPr>
                <w:rFonts w:ascii="Arial" w:hAnsi="Arial" w:cs="Arial"/>
                <w:sz w:val="20"/>
                <w:szCs w:val="20"/>
                <w:lang w:val="en-GB" w:eastAsia="de-DE"/>
              </w:rPr>
              <w:t>51</w:t>
            </w:r>
          </w:p>
        </w:tc>
        <w:tc>
          <w:tcPr>
            <w:tcW w:w="779" w:type="dxa"/>
            <w:tcBorders>
              <w:top w:val="nil"/>
            </w:tcBorders>
            <w:shd w:val="clear" w:color="auto" w:fill="auto"/>
            <w:noWrap/>
            <w:vAlign w:val="center"/>
            <w:hideMark/>
          </w:tcPr>
          <w:p w14:paraId="5EA16906" w14:textId="0ABE6C23"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62</w:t>
            </w:r>
            <w:r w:rsidR="00083810" w:rsidRPr="004817BF">
              <w:rPr>
                <w:rFonts w:ascii="Arial" w:hAnsi="Arial" w:cs="Arial"/>
                <w:sz w:val="20"/>
                <w:szCs w:val="20"/>
                <w:lang w:val="en-GB" w:eastAsia="de-DE"/>
              </w:rPr>
              <w:t>.</w:t>
            </w:r>
            <w:r w:rsidRPr="004817BF">
              <w:rPr>
                <w:rFonts w:ascii="Arial" w:hAnsi="Arial" w:cs="Arial"/>
                <w:sz w:val="20"/>
                <w:szCs w:val="20"/>
                <w:lang w:val="en-GB" w:eastAsia="de-DE"/>
              </w:rPr>
              <w:t>86</w:t>
            </w:r>
          </w:p>
        </w:tc>
        <w:tc>
          <w:tcPr>
            <w:tcW w:w="783" w:type="dxa"/>
            <w:tcBorders>
              <w:top w:val="nil"/>
            </w:tcBorders>
            <w:shd w:val="clear" w:color="auto" w:fill="auto"/>
            <w:noWrap/>
            <w:vAlign w:val="center"/>
            <w:hideMark/>
          </w:tcPr>
          <w:p w14:paraId="7146FDE4" w14:textId="46473CCD" w:rsidR="008756C7" w:rsidRPr="004817BF" w:rsidRDefault="00C62748"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rPr>
              <w:t>–</w:t>
            </w:r>
          </w:p>
        </w:tc>
        <w:tc>
          <w:tcPr>
            <w:tcW w:w="927" w:type="dxa"/>
            <w:tcBorders>
              <w:top w:val="nil"/>
              <w:right w:val="single" w:sz="4" w:space="0" w:color="auto"/>
            </w:tcBorders>
            <w:shd w:val="clear" w:color="auto" w:fill="auto"/>
            <w:noWrap/>
            <w:vAlign w:val="center"/>
            <w:hideMark/>
          </w:tcPr>
          <w:p w14:paraId="4B87178D" w14:textId="35F46641" w:rsidR="008756C7" w:rsidRPr="004817BF" w:rsidRDefault="00C62748"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rPr>
              <w:t>–</w:t>
            </w:r>
          </w:p>
        </w:tc>
      </w:tr>
      <w:tr w:rsidR="008756C7" w:rsidRPr="004817BF" w14:paraId="0FF1064E" w14:textId="77777777" w:rsidTr="00FD52C4">
        <w:trPr>
          <w:trHeight w:val="261"/>
        </w:trPr>
        <w:tc>
          <w:tcPr>
            <w:tcW w:w="4384" w:type="dxa"/>
            <w:tcBorders>
              <w:top w:val="nil"/>
              <w:left w:val="single" w:sz="4" w:space="0" w:color="auto"/>
              <w:right w:val="single" w:sz="4" w:space="0" w:color="auto"/>
            </w:tcBorders>
            <w:shd w:val="clear" w:color="auto" w:fill="auto"/>
            <w:noWrap/>
            <w:vAlign w:val="center"/>
            <w:hideMark/>
          </w:tcPr>
          <w:p w14:paraId="35985FC2" w14:textId="332B8219" w:rsidR="008756C7" w:rsidRPr="004817BF" w:rsidRDefault="008756C7" w:rsidP="00FD52C4">
            <w:pPr>
              <w:pStyle w:val="BodyTextMain"/>
              <w:keepNext/>
              <w:keepLines/>
              <w:jc w:val="left"/>
              <w:rPr>
                <w:rFonts w:ascii="Arial" w:hAnsi="Arial" w:cs="Arial"/>
                <w:i/>
                <w:sz w:val="20"/>
                <w:szCs w:val="20"/>
                <w:lang w:val="en-GB" w:eastAsia="de-DE"/>
              </w:rPr>
            </w:pPr>
            <w:r w:rsidRPr="004817BF">
              <w:rPr>
                <w:rFonts w:ascii="Arial" w:hAnsi="Arial" w:cs="Arial"/>
                <w:i/>
                <w:sz w:val="20"/>
                <w:szCs w:val="20"/>
                <w:lang w:val="en-GB" w:eastAsia="de-DE"/>
              </w:rPr>
              <w:t xml:space="preserve">Restricted </w:t>
            </w:r>
            <w:r w:rsidR="0005711E" w:rsidRPr="004817BF">
              <w:rPr>
                <w:rFonts w:ascii="Arial" w:hAnsi="Arial" w:cs="Arial"/>
                <w:i/>
                <w:sz w:val="20"/>
                <w:szCs w:val="20"/>
                <w:lang w:val="en-GB" w:eastAsia="de-DE"/>
              </w:rPr>
              <w:t>c</w:t>
            </w:r>
            <w:r w:rsidRPr="004817BF">
              <w:rPr>
                <w:rFonts w:ascii="Arial" w:hAnsi="Arial" w:cs="Arial"/>
                <w:i/>
                <w:sz w:val="20"/>
                <w:szCs w:val="20"/>
                <w:lang w:val="en-GB" w:eastAsia="de-DE"/>
              </w:rPr>
              <w:t xml:space="preserve">ash and </w:t>
            </w:r>
            <w:r w:rsidR="0005711E" w:rsidRPr="004817BF">
              <w:rPr>
                <w:rFonts w:ascii="Arial" w:hAnsi="Arial" w:cs="Arial"/>
                <w:i/>
                <w:sz w:val="20"/>
                <w:szCs w:val="20"/>
                <w:lang w:val="en-GB" w:eastAsia="de-DE"/>
              </w:rPr>
              <w:t>c</w:t>
            </w:r>
            <w:r w:rsidRPr="004817BF">
              <w:rPr>
                <w:rFonts w:ascii="Arial" w:hAnsi="Arial" w:cs="Arial"/>
                <w:i/>
                <w:sz w:val="20"/>
                <w:szCs w:val="20"/>
                <w:lang w:val="en-GB" w:eastAsia="de-DE"/>
              </w:rPr>
              <w:t>ash equivalents</w:t>
            </w:r>
          </w:p>
        </w:tc>
        <w:tc>
          <w:tcPr>
            <w:tcW w:w="705" w:type="dxa"/>
            <w:tcBorders>
              <w:top w:val="nil"/>
              <w:left w:val="nil"/>
            </w:tcBorders>
            <w:shd w:val="clear" w:color="auto" w:fill="auto"/>
            <w:noWrap/>
            <w:vAlign w:val="center"/>
            <w:hideMark/>
          </w:tcPr>
          <w:p w14:paraId="319E6D12" w14:textId="272AC8BC" w:rsidR="008756C7" w:rsidRPr="004817BF" w:rsidRDefault="00C62748"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rPr>
              <w:t>–</w:t>
            </w:r>
          </w:p>
        </w:tc>
        <w:tc>
          <w:tcPr>
            <w:tcW w:w="709" w:type="dxa"/>
            <w:tcBorders>
              <w:top w:val="nil"/>
            </w:tcBorders>
            <w:shd w:val="clear" w:color="auto" w:fill="auto"/>
            <w:noWrap/>
            <w:vAlign w:val="center"/>
            <w:hideMark/>
          </w:tcPr>
          <w:p w14:paraId="25CB0BFB" w14:textId="2F638AFF" w:rsidR="008756C7" w:rsidRPr="004817BF" w:rsidRDefault="00C62748"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rPr>
              <w:t>–</w:t>
            </w:r>
          </w:p>
        </w:tc>
        <w:tc>
          <w:tcPr>
            <w:tcW w:w="708" w:type="dxa"/>
            <w:tcBorders>
              <w:top w:val="nil"/>
            </w:tcBorders>
            <w:shd w:val="clear" w:color="auto" w:fill="auto"/>
            <w:noWrap/>
            <w:vAlign w:val="center"/>
            <w:hideMark/>
          </w:tcPr>
          <w:p w14:paraId="799757C0" w14:textId="18D8230B" w:rsidR="008756C7" w:rsidRPr="004817BF" w:rsidRDefault="00C62748"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rPr>
              <w:t>–</w:t>
            </w:r>
          </w:p>
        </w:tc>
        <w:tc>
          <w:tcPr>
            <w:tcW w:w="779" w:type="dxa"/>
            <w:tcBorders>
              <w:top w:val="nil"/>
            </w:tcBorders>
            <w:shd w:val="clear" w:color="auto" w:fill="auto"/>
            <w:noWrap/>
            <w:vAlign w:val="center"/>
            <w:hideMark/>
          </w:tcPr>
          <w:p w14:paraId="3E0E4A1A" w14:textId="1DF9DEBF" w:rsidR="008756C7" w:rsidRPr="004817BF" w:rsidRDefault="00A314AD" w:rsidP="00FD52C4">
            <w:pPr>
              <w:pStyle w:val="BodyTextMain"/>
              <w:keepNext/>
              <w:keepLines/>
              <w:jc w:val="right"/>
              <w:rPr>
                <w:rFonts w:ascii="Arial" w:hAnsi="Arial" w:cs="Arial"/>
                <w:i/>
                <w:sz w:val="20"/>
                <w:szCs w:val="20"/>
                <w:lang w:val="en-GB" w:eastAsia="de-DE"/>
              </w:rPr>
            </w:pPr>
            <w:r>
              <w:rPr>
                <w:rFonts w:ascii="Arial" w:hAnsi="Arial" w:cs="Arial"/>
                <w:i/>
                <w:sz w:val="20"/>
                <w:szCs w:val="20"/>
                <w:lang w:val="en-GB" w:eastAsia="de-DE"/>
              </w:rPr>
              <w:t>−</w:t>
            </w:r>
            <w:r w:rsidR="008756C7" w:rsidRPr="004817BF">
              <w:rPr>
                <w:rFonts w:ascii="Arial" w:hAnsi="Arial" w:cs="Arial"/>
                <w:i/>
                <w:sz w:val="20"/>
                <w:szCs w:val="20"/>
                <w:lang w:val="en-GB" w:eastAsia="de-DE"/>
              </w:rPr>
              <w:t>54</w:t>
            </w:r>
            <w:r w:rsidR="00083810" w:rsidRPr="004817BF">
              <w:rPr>
                <w:rFonts w:ascii="Arial" w:hAnsi="Arial" w:cs="Arial"/>
                <w:i/>
                <w:sz w:val="20"/>
                <w:szCs w:val="20"/>
                <w:lang w:val="en-GB" w:eastAsia="de-DE"/>
              </w:rPr>
              <w:t>.</w:t>
            </w:r>
            <w:r w:rsidR="008756C7" w:rsidRPr="004817BF">
              <w:rPr>
                <w:rFonts w:ascii="Arial" w:hAnsi="Arial" w:cs="Arial"/>
                <w:i/>
                <w:sz w:val="20"/>
                <w:szCs w:val="20"/>
                <w:lang w:val="en-GB" w:eastAsia="de-DE"/>
              </w:rPr>
              <w:t>73</w:t>
            </w:r>
          </w:p>
        </w:tc>
        <w:tc>
          <w:tcPr>
            <w:tcW w:w="783" w:type="dxa"/>
            <w:tcBorders>
              <w:top w:val="nil"/>
            </w:tcBorders>
            <w:shd w:val="clear" w:color="auto" w:fill="auto"/>
            <w:noWrap/>
            <w:vAlign w:val="center"/>
            <w:hideMark/>
          </w:tcPr>
          <w:p w14:paraId="453D89E8" w14:textId="3F7207F5" w:rsidR="008756C7" w:rsidRPr="004817BF" w:rsidRDefault="00A314AD" w:rsidP="00FD52C4">
            <w:pPr>
              <w:pStyle w:val="BodyTextMain"/>
              <w:keepNext/>
              <w:keepLines/>
              <w:jc w:val="right"/>
              <w:rPr>
                <w:rFonts w:ascii="Arial" w:hAnsi="Arial" w:cs="Arial"/>
                <w:i/>
                <w:sz w:val="20"/>
                <w:szCs w:val="20"/>
                <w:lang w:val="en-GB" w:eastAsia="de-DE"/>
              </w:rPr>
            </w:pPr>
            <w:r>
              <w:rPr>
                <w:rFonts w:ascii="Arial" w:hAnsi="Arial" w:cs="Arial"/>
                <w:i/>
                <w:sz w:val="20"/>
                <w:szCs w:val="20"/>
                <w:lang w:val="en-GB" w:eastAsia="de-DE"/>
              </w:rPr>
              <w:t>−</w:t>
            </w:r>
            <w:r w:rsidR="008756C7" w:rsidRPr="004817BF">
              <w:rPr>
                <w:rFonts w:ascii="Arial" w:hAnsi="Arial" w:cs="Arial"/>
                <w:i/>
                <w:sz w:val="20"/>
                <w:szCs w:val="20"/>
                <w:lang w:val="en-GB" w:eastAsia="de-DE"/>
              </w:rPr>
              <w:t>93</w:t>
            </w:r>
            <w:r w:rsidR="00083810" w:rsidRPr="004817BF">
              <w:rPr>
                <w:rFonts w:ascii="Arial" w:hAnsi="Arial" w:cs="Arial"/>
                <w:i/>
                <w:sz w:val="20"/>
                <w:szCs w:val="20"/>
                <w:lang w:val="en-GB" w:eastAsia="de-DE"/>
              </w:rPr>
              <w:t>.</w:t>
            </w:r>
            <w:r w:rsidR="008756C7" w:rsidRPr="004817BF">
              <w:rPr>
                <w:rFonts w:ascii="Arial" w:hAnsi="Arial" w:cs="Arial"/>
                <w:i/>
                <w:sz w:val="20"/>
                <w:szCs w:val="20"/>
                <w:lang w:val="en-GB" w:eastAsia="de-DE"/>
              </w:rPr>
              <w:t>10</w:t>
            </w:r>
          </w:p>
        </w:tc>
        <w:tc>
          <w:tcPr>
            <w:tcW w:w="927" w:type="dxa"/>
            <w:tcBorders>
              <w:top w:val="nil"/>
              <w:right w:val="single" w:sz="4" w:space="0" w:color="auto"/>
            </w:tcBorders>
            <w:shd w:val="clear" w:color="auto" w:fill="auto"/>
            <w:noWrap/>
            <w:vAlign w:val="center"/>
            <w:hideMark/>
          </w:tcPr>
          <w:p w14:paraId="64E0678A" w14:textId="102FBFEB" w:rsidR="008756C7" w:rsidRPr="004817BF" w:rsidRDefault="00A314AD" w:rsidP="00FD52C4">
            <w:pPr>
              <w:pStyle w:val="BodyTextMain"/>
              <w:keepNext/>
              <w:keepLines/>
              <w:jc w:val="right"/>
              <w:rPr>
                <w:rFonts w:ascii="Arial" w:hAnsi="Arial" w:cs="Arial"/>
                <w:i/>
                <w:sz w:val="20"/>
                <w:szCs w:val="20"/>
                <w:lang w:val="en-GB" w:eastAsia="de-DE"/>
              </w:rPr>
            </w:pPr>
            <w:r>
              <w:rPr>
                <w:rFonts w:ascii="Arial" w:hAnsi="Arial" w:cs="Arial"/>
                <w:i/>
                <w:sz w:val="20"/>
                <w:szCs w:val="20"/>
                <w:lang w:val="en-GB" w:eastAsia="de-DE"/>
              </w:rPr>
              <w:t>−</w:t>
            </w:r>
            <w:r w:rsidR="008756C7" w:rsidRPr="004817BF">
              <w:rPr>
                <w:rFonts w:ascii="Arial" w:hAnsi="Arial" w:cs="Arial"/>
                <w:i/>
                <w:sz w:val="20"/>
                <w:szCs w:val="20"/>
                <w:lang w:val="en-GB" w:eastAsia="de-DE"/>
              </w:rPr>
              <w:t>143</w:t>
            </w:r>
            <w:r w:rsidR="00083810" w:rsidRPr="004817BF">
              <w:rPr>
                <w:rFonts w:ascii="Arial" w:hAnsi="Arial" w:cs="Arial"/>
                <w:i/>
                <w:sz w:val="20"/>
                <w:szCs w:val="20"/>
                <w:lang w:val="en-GB" w:eastAsia="de-DE"/>
              </w:rPr>
              <w:t>.</w:t>
            </w:r>
            <w:r w:rsidR="008756C7" w:rsidRPr="004817BF">
              <w:rPr>
                <w:rFonts w:ascii="Arial" w:hAnsi="Arial" w:cs="Arial"/>
                <w:i/>
                <w:sz w:val="20"/>
                <w:szCs w:val="20"/>
                <w:lang w:val="en-GB" w:eastAsia="de-DE"/>
              </w:rPr>
              <w:t>46</w:t>
            </w:r>
          </w:p>
        </w:tc>
      </w:tr>
      <w:tr w:rsidR="008756C7" w:rsidRPr="004817BF" w14:paraId="6EC642DC" w14:textId="77777777" w:rsidTr="00FD52C4">
        <w:trPr>
          <w:trHeight w:val="300"/>
        </w:trPr>
        <w:tc>
          <w:tcPr>
            <w:tcW w:w="4384" w:type="dxa"/>
            <w:tcBorders>
              <w:top w:val="nil"/>
              <w:left w:val="single" w:sz="4" w:space="0" w:color="auto"/>
              <w:bottom w:val="single" w:sz="4" w:space="0" w:color="auto"/>
              <w:right w:val="single" w:sz="4" w:space="0" w:color="auto"/>
            </w:tcBorders>
            <w:shd w:val="clear" w:color="auto" w:fill="auto"/>
            <w:noWrap/>
            <w:vAlign w:val="center"/>
            <w:hideMark/>
          </w:tcPr>
          <w:p w14:paraId="2C8BAAC4" w14:textId="0BF74C4A" w:rsidR="008756C7" w:rsidRPr="004817BF" w:rsidRDefault="008756C7" w:rsidP="00FD52C4">
            <w:pPr>
              <w:pStyle w:val="BodyTextMain"/>
              <w:keepNext/>
              <w:keepLines/>
              <w:jc w:val="left"/>
              <w:rPr>
                <w:rFonts w:ascii="Arial" w:hAnsi="Arial" w:cs="Arial"/>
                <w:b/>
                <w:sz w:val="20"/>
                <w:szCs w:val="20"/>
                <w:lang w:val="en-GB" w:eastAsia="de-DE"/>
              </w:rPr>
            </w:pPr>
            <w:r w:rsidRPr="004817BF">
              <w:rPr>
                <w:rFonts w:ascii="Arial" w:hAnsi="Arial" w:cs="Arial"/>
                <w:b/>
                <w:sz w:val="20"/>
                <w:szCs w:val="20"/>
                <w:lang w:val="en-GB" w:eastAsia="de-DE"/>
              </w:rPr>
              <w:t xml:space="preserve">Cash and </w:t>
            </w:r>
            <w:r w:rsidR="0005711E" w:rsidRPr="004817BF">
              <w:rPr>
                <w:rFonts w:ascii="Arial" w:hAnsi="Arial" w:cs="Arial"/>
                <w:b/>
                <w:sz w:val="20"/>
                <w:szCs w:val="20"/>
                <w:lang w:val="en-GB" w:eastAsia="de-DE"/>
              </w:rPr>
              <w:t>c</w:t>
            </w:r>
            <w:r w:rsidRPr="004817BF">
              <w:rPr>
                <w:rFonts w:ascii="Arial" w:hAnsi="Arial" w:cs="Arial"/>
                <w:b/>
                <w:sz w:val="20"/>
                <w:szCs w:val="20"/>
                <w:lang w:val="en-GB" w:eastAsia="de-DE"/>
              </w:rPr>
              <w:t>ash equivalents</w:t>
            </w:r>
          </w:p>
        </w:tc>
        <w:tc>
          <w:tcPr>
            <w:tcW w:w="705" w:type="dxa"/>
            <w:tcBorders>
              <w:top w:val="nil"/>
              <w:left w:val="nil"/>
              <w:bottom w:val="single" w:sz="4" w:space="0" w:color="auto"/>
            </w:tcBorders>
            <w:shd w:val="clear" w:color="auto" w:fill="auto"/>
            <w:noWrap/>
            <w:vAlign w:val="center"/>
            <w:hideMark/>
          </w:tcPr>
          <w:p w14:paraId="0522DF2C" w14:textId="2936713A"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0</w:t>
            </w:r>
            <w:r w:rsidR="00E949D8" w:rsidRPr="004817BF">
              <w:rPr>
                <w:rFonts w:ascii="Arial" w:hAnsi="Arial" w:cs="Arial"/>
                <w:sz w:val="20"/>
                <w:szCs w:val="20"/>
                <w:lang w:val="en-GB" w:eastAsia="de-DE"/>
              </w:rPr>
              <w:t>.</w:t>
            </w:r>
            <w:r w:rsidRPr="004817BF">
              <w:rPr>
                <w:rFonts w:ascii="Arial" w:hAnsi="Arial" w:cs="Arial"/>
                <w:sz w:val="20"/>
                <w:szCs w:val="20"/>
                <w:lang w:val="en-GB" w:eastAsia="de-DE"/>
              </w:rPr>
              <w:t>47</w:t>
            </w:r>
          </w:p>
        </w:tc>
        <w:tc>
          <w:tcPr>
            <w:tcW w:w="709" w:type="dxa"/>
            <w:tcBorders>
              <w:top w:val="nil"/>
              <w:bottom w:val="single" w:sz="4" w:space="0" w:color="auto"/>
            </w:tcBorders>
            <w:shd w:val="clear" w:color="auto" w:fill="auto"/>
            <w:noWrap/>
            <w:vAlign w:val="center"/>
            <w:hideMark/>
          </w:tcPr>
          <w:p w14:paraId="25D856C7" w14:textId="28A27658"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w:t>
            </w:r>
            <w:r w:rsidR="00E949D8" w:rsidRPr="004817BF">
              <w:rPr>
                <w:rFonts w:ascii="Arial" w:hAnsi="Arial" w:cs="Arial"/>
                <w:sz w:val="20"/>
                <w:szCs w:val="20"/>
                <w:lang w:val="en-GB" w:eastAsia="de-DE"/>
              </w:rPr>
              <w:t>.</w:t>
            </w:r>
            <w:r w:rsidRPr="004817BF">
              <w:rPr>
                <w:rFonts w:ascii="Arial" w:hAnsi="Arial" w:cs="Arial"/>
                <w:sz w:val="20"/>
                <w:szCs w:val="20"/>
                <w:lang w:val="en-GB" w:eastAsia="de-DE"/>
              </w:rPr>
              <w:t>11</w:t>
            </w:r>
          </w:p>
        </w:tc>
        <w:tc>
          <w:tcPr>
            <w:tcW w:w="708" w:type="dxa"/>
            <w:tcBorders>
              <w:top w:val="nil"/>
              <w:bottom w:val="single" w:sz="4" w:space="0" w:color="auto"/>
            </w:tcBorders>
            <w:shd w:val="clear" w:color="auto" w:fill="auto"/>
            <w:noWrap/>
            <w:vAlign w:val="center"/>
            <w:hideMark/>
          </w:tcPr>
          <w:p w14:paraId="7785E82E" w14:textId="7BA2D140"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15</w:t>
            </w:r>
            <w:r w:rsidR="00E949D8" w:rsidRPr="004817BF">
              <w:rPr>
                <w:rFonts w:ascii="Arial" w:hAnsi="Arial" w:cs="Arial"/>
                <w:sz w:val="20"/>
                <w:szCs w:val="20"/>
                <w:lang w:val="en-GB" w:eastAsia="de-DE"/>
              </w:rPr>
              <w:t>.</w:t>
            </w:r>
            <w:r w:rsidRPr="004817BF">
              <w:rPr>
                <w:rFonts w:ascii="Arial" w:hAnsi="Arial" w:cs="Arial"/>
                <w:sz w:val="20"/>
                <w:szCs w:val="20"/>
                <w:lang w:val="en-GB" w:eastAsia="de-DE"/>
              </w:rPr>
              <w:t>51</w:t>
            </w:r>
          </w:p>
        </w:tc>
        <w:tc>
          <w:tcPr>
            <w:tcW w:w="779" w:type="dxa"/>
            <w:tcBorders>
              <w:top w:val="nil"/>
              <w:bottom w:val="single" w:sz="4" w:space="0" w:color="auto"/>
            </w:tcBorders>
            <w:shd w:val="clear" w:color="auto" w:fill="auto"/>
            <w:noWrap/>
            <w:vAlign w:val="center"/>
            <w:hideMark/>
          </w:tcPr>
          <w:p w14:paraId="67292F62" w14:textId="304288CD"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8</w:t>
            </w:r>
            <w:r w:rsidR="00083810" w:rsidRPr="004817BF">
              <w:rPr>
                <w:rFonts w:ascii="Arial" w:hAnsi="Arial" w:cs="Arial"/>
                <w:sz w:val="20"/>
                <w:szCs w:val="20"/>
                <w:lang w:val="en-GB" w:eastAsia="de-DE"/>
              </w:rPr>
              <w:t>.</w:t>
            </w:r>
            <w:r w:rsidRPr="004817BF">
              <w:rPr>
                <w:rFonts w:ascii="Arial" w:hAnsi="Arial" w:cs="Arial"/>
                <w:sz w:val="20"/>
                <w:szCs w:val="20"/>
                <w:lang w:val="en-GB" w:eastAsia="de-DE"/>
              </w:rPr>
              <w:t>13</w:t>
            </w:r>
          </w:p>
        </w:tc>
        <w:tc>
          <w:tcPr>
            <w:tcW w:w="783" w:type="dxa"/>
            <w:tcBorders>
              <w:top w:val="nil"/>
              <w:bottom w:val="single" w:sz="4" w:space="0" w:color="auto"/>
            </w:tcBorders>
            <w:shd w:val="clear" w:color="auto" w:fill="auto"/>
            <w:noWrap/>
            <w:vAlign w:val="center"/>
            <w:hideMark/>
          </w:tcPr>
          <w:p w14:paraId="320BBA6A" w14:textId="0386E064"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14</w:t>
            </w:r>
            <w:r w:rsidR="00083810" w:rsidRPr="004817BF">
              <w:rPr>
                <w:rFonts w:ascii="Arial" w:hAnsi="Arial" w:cs="Arial"/>
                <w:sz w:val="20"/>
                <w:szCs w:val="20"/>
                <w:lang w:val="en-GB" w:eastAsia="de-DE"/>
              </w:rPr>
              <w:t>.</w:t>
            </w:r>
            <w:r w:rsidRPr="004817BF">
              <w:rPr>
                <w:rFonts w:ascii="Arial" w:hAnsi="Arial" w:cs="Arial"/>
                <w:sz w:val="20"/>
                <w:szCs w:val="20"/>
                <w:lang w:val="en-GB" w:eastAsia="de-DE"/>
              </w:rPr>
              <w:t>22</w:t>
            </w:r>
          </w:p>
        </w:tc>
        <w:tc>
          <w:tcPr>
            <w:tcW w:w="927" w:type="dxa"/>
            <w:tcBorders>
              <w:top w:val="nil"/>
              <w:bottom w:val="single" w:sz="4" w:space="0" w:color="auto"/>
              <w:right w:val="single" w:sz="4" w:space="0" w:color="auto"/>
            </w:tcBorders>
            <w:shd w:val="clear" w:color="auto" w:fill="auto"/>
            <w:noWrap/>
            <w:vAlign w:val="center"/>
            <w:hideMark/>
          </w:tcPr>
          <w:p w14:paraId="06FB38FF" w14:textId="685B0D7B" w:rsidR="008756C7" w:rsidRPr="004817BF" w:rsidRDefault="008756C7" w:rsidP="00FD52C4">
            <w:pPr>
              <w:pStyle w:val="BodyTextMain"/>
              <w:keepNext/>
              <w:keepLines/>
              <w:jc w:val="right"/>
              <w:rPr>
                <w:rFonts w:ascii="Arial" w:hAnsi="Arial" w:cs="Arial"/>
                <w:sz w:val="20"/>
                <w:szCs w:val="20"/>
                <w:lang w:val="en-GB" w:eastAsia="de-DE"/>
              </w:rPr>
            </w:pPr>
            <w:r w:rsidRPr="004817BF">
              <w:rPr>
                <w:rFonts w:ascii="Arial" w:hAnsi="Arial" w:cs="Arial"/>
                <w:sz w:val="20"/>
                <w:szCs w:val="20"/>
                <w:lang w:val="en-GB" w:eastAsia="de-DE"/>
              </w:rPr>
              <w:t>3</w:t>
            </w:r>
            <w:r w:rsidR="00083810" w:rsidRPr="004817BF">
              <w:rPr>
                <w:rFonts w:ascii="Arial" w:hAnsi="Arial" w:cs="Arial"/>
                <w:sz w:val="20"/>
                <w:szCs w:val="20"/>
                <w:lang w:val="en-GB" w:eastAsia="de-DE"/>
              </w:rPr>
              <w:t>.</w:t>
            </w:r>
            <w:r w:rsidRPr="004817BF">
              <w:rPr>
                <w:rFonts w:ascii="Arial" w:hAnsi="Arial" w:cs="Arial"/>
                <w:sz w:val="20"/>
                <w:szCs w:val="20"/>
                <w:lang w:val="en-GB" w:eastAsia="de-DE"/>
              </w:rPr>
              <w:t>93</w:t>
            </w:r>
          </w:p>
        </w:tc>
      </w:tr>
    </w:tbl>
    <w:p w14:paraId="3CA97915" w14:textId="77777777" w:rsidR="00866999" w:rsidRPr="00FD52C4" w:rsidRDefault="00866999" w:rsidP="00FD52C4">
      <w:pPr>
        <w:pStyle w:val="Footnote"/>
        <w:keepNext/>
        <w:keepLines/>
        <w:rPr>
          <w:lang w:val="en-GB"/>
        </w:rPr>
      </w:pPr>
    </w:p>
    <w:p w14:paraId="57D36BE7" w14:textId="44AF9181" w:rsidR="008756C7" w:rsidRPr="004817BF" w:rsidRDefault="008756C7" w:rsidP="00FD52C4">
      <w:pPr>
        <w:pStyle w:val="Footnote"/>
        <w:keepNext/>
        <w:keepLines/>
        <w:rPr>
          <w:lang w:val="en-GB"/>
        </w:rPr>
      </w:pPr>
      <w:r w:rsidRPr="004817BF">
        <w:rPr>
          <w:lang w:val="en-GB"/>
        </w:rPr>
        <w:t xml:space="preserve">Source: </w:t>
      </w:r>
      <w:r w:rsidR="00DF45FD" w:rsidRPr="004817BF">
        <w:rPr>
          <w:lang w:val="en-GB"/>
        </w:rPr>
        <w:t xml:space="preserve">Company documents. </w:t>
      </w:r>
      <w:r w:rsidRPr="00DA1A3B">
        <w:rPr>
          <w:lang w:val="en-GB"/>
        </w:rPr>
        <w:t xml:space="preserve"> </w:t>
      </w:r>
    </w:p>
    <w:p w14:paraId="6FE4EFCE" w14:textId="77777777" w:rsidR="00C82B9E" w:rsidRPr="004817BF" w:rsidRDefault="00C82B9E" w:rsidP="00FD52C4">
      <w:pPr>
        <w:pStyle w:val="Footnote"/>
        <w:keepNext/>
        <w:keepLines/>
        <w:rPr>
          <w:lang w:val="en-GB"/>
        </w:rPr>
      </w:pPr>
    </w:p>
    <w:p w14:paraId="31CCC558" w14:textId="77777777" w:rsidR="002A6E8E" w:rsidRPr="004817BF" w:rsidRDefault="002A6E8E" w:rsidP="008756C7">
      <w:pPr>
        <w:pStyle w:val="Footnote"/>
        <w:rPr>
          <w:lang w:val="en-GB"/>
        </w:rPr>
      </w:pPr>
    </w:p>
    <w:p w14:paraId="10C20FEB" w14:textId="594E0383" w:rsidR="00F269DC" w:rsidRPr="004817BF" w:rsidRDefault="00F269DC" w:rsidP="00F269DC">
      <w:pPr>
        <w:pStyle w:val="ExhibitHeading"/>
        <w:rPr>
          <w:lang w:val="en-GB"/>
        </w:rPr>
      </w:pPr>
      <w:r w:rsidRPr="004817BF">
        <w:rPr>
          <w:lang w:val="en-GB"/>
        </w:rPr>
        <w:t>Exhibit 4: Liquidity imbalance</w:t>
      </w:r>
    </w:p>
    <w:p w14:paraId="2FCA4145" w14:textId="77777777" w:rsidR="001772F2" w:rsidRPr="004817BF" w:rsidRDefault="001772F2" w:rsidP="00F269DC">
      <w:pPr>
        <w:pStyle w:val="ExhibitHeading"/>
        <w:rPr>
          <w:lang w:val="en-GB"/>
        </w:rPr>
      </w:pPr>
    </w:p>
    <w:p w14:paraId="7D36B70D" w14:textId="51F5DF85" w:rsidR="001772F2" w:rsidRPr="004817BF" w:rsidRDefault="001772F2" w:rsidP="00F269DC">
      <w:pPr>
        <w:pStyle w:val="ExhibitHeading"/>
        <w:rPr>
          <w:lang w:val="en-GB"/>
        </w:rPr>
      </w:pPr>
      <w:r w:rsidRPr="004817BF">
        <w:rPr>
          <w:noProof/>
          <w:lang w:val="en-GB" w:eastAsia="en-GB"/>
        </w:rPr>
        <w:drawing>
          <wp:inline distT="0" distB="0" distL="0" distR="0" wp14:anchorId="608CD9C4" wp14:editId="004C2A88">
            <wp:extent cx="5943600" cy="3346450"/>
            <wp:effectExtent l="25400" t="25400" r="254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4 at 9.01.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6450"/>
                    </a:xfrm>
                    <a:prstGeom prst="rect">
                      <a:avLst/>
                    </a:prstGeom>
                    <a:ln>
                      <a:solidFill>
                        <a:schemeClr val="tx1"/>
                      </a:solidFill>
                    </a:ln>
                  </pic:spPr>
                </pic:pic>
              </a:graphicData>
            </a:graphic>
          </wp:inline>
        </w:drawing>
      </w:r>
    </w:p>
    <w:p w14:paraId="2EC5A71A" w14:textId="790ACB12" w:rsidR="00F269DC" w:rsidRPr="004817BF" w:rsidRDefault="00F269DC" w:rsidP="00FD52C4">
      <w:pPr>
        <w:pStyle w:val="Footnote"/>
        <w:rPr>
          <w:lang w:val="en-GB"/>
        </w:rPr>
      </w:pPr>
    </w:p>
    <w:p w14:paraId="1B63E6A3" w14:textId="1D15E723" w:rsidR="00F269DC" w:rsidRPr="004817BF" w:rsidRDefault="00F269DC">
      <w:pPr>
        <w:pStyle w:val="Footnote"/>
        <w:rPr>
          <w:lang w:val="en-GB"/>
        </w:rPr>
      </w:pPr>
      <w:r w:rsidRPr="004817BF">
        <w:rPr>
          <w:lang w:val="en-GB"/>
        </w:rPr>
        <w:t>Source: Created by the authors</w:t>
      </w:r>
      <w:r w:rsidR="00DF45FD" w:rsidRPr="004817BF">
        <w:rPr>
          <w:lang w:val="en-GB"/>
        </w:rPr>
        <w:t>.</w:t>
      </w:r>
    </w:p>
    <w:p w14:paraId="759AD727" w14:textId="214BA7FE" w:rsidR="00FD52C4" w:rsidRDefault="00FD52C4">
      <w:pPr>
        <w:spacing w:after="200" w:line="276" w:lineRule="auto"/>
        <w:rPr>
          <w:b/>
          <w:caps/>
          <w:lang w:val="en-GB"/>
        </w:rPr>
      </w:pPr>
      <w:r>
        <w:rPr>
          <w:b/>
          <w:caps/>
          <w:lang w:val="en-GB"/>
        </w:rPr>
        <w:br w:type="page"/>
      </w:r>
    </w:p>
    <w:p w14:paraId="0D01CCFC" w14:textId="2041684C" w:rsidR="0027465C" w:rsidRPr="004817BF" w:rsidRDefault="007D54C3" w:rsidP="00C924B0">
      <w:pPr>
        <w:pStyle w:val="ExhibitHeading"/>
        <w:rPr>
          <w:lang w:val="en-GB"/>
        </w:rPr>
      </w:pPr>
      <w:r w:rsidRPr="004817BF">
        <w:rPr>
          <w:lang w:val="en-GB"/>
        </w:rPr>
        <w:lastRenderedPageBreak/>
        <w:t xml:space="preserve">Exhibit </w:t>
      </w:r>
      <w:r w:rsidR="00F269DC" w:rsidRPr="004817BF">
        <w:rPr>
          <w:lang w:val="en-GB"/>
        </w:rPr>
        <w:t>5</w:t>
      </w:r>
      <w:r w:rsidR="00626659" w:rsidRPr="004817BF">
        <w:rPr>
          <w:lang w:val="en-GB"/>
        </w:rPr>
        <w:t>: Competitive landscape</w:t>
      </w:r>
    </w:p>
    <w:p w14:paraId="08608C6B" w14:textId="77777777" w:rsidR="004A6CA1" w:rsidRPr="004817BF" w:rsidRDefault="004A6CA1" w:rsidP="002E7B90">
      <w:pPr>
        <w:pStyle w:val="Footnote"/>
        <w:rPr>
          <w:lang w:val="en-GB"/>
        </w:rPr>
      </w:pPr>
    </w:p>
    <w:tbl>
      <w:tblPr>
        <w:tblStyle w:val="TableGrid"/>
        <w:tblW w:w="0" w:type="auto"/>
        <w:tblLayout w:type="fixed"/>
        <w:tblLook w:val="04A0" w:firstRow="1" w:lastRow="0" w:firstColumn="1" w:lastColumn="0" w:noHBand="0" w:noVBand="1"/>
      </w:tblPr>
      <w:tblGrid>
        <w:gridCol w:w="2335"/>
        <w:gridCol w:w="1170"/>
        <w:gridCol w:w="1170"/>
        <w:gridCol w:w="1080"/>
        <w:gridCol w:w="1170"/>
        <w:gridCol w:w="1260"/>
        <w:gridCol w:w="1165"/>
      </w:tblGrid>
      <w:tr w:rsidR="004A6CA1" w:rsidRPr="004817BF" w14:paraId="5A2AC045" w14:textId="77777777" w:rsidTr="004A6CA1">
        <w:trPr>
          <w:trHeight w:val="332"/>
        </w:trPr>
        <w:tc>
          <w:tcPr>
            <w:tcW w:w="2335" w:type="dxa"/>
            <w:noWrap/>
            <w:hideMark/>
          </w:tcPr>
          <w:p w14:paraId="306B81AB" w14:textId="77777777" w:rsidR="004A6CA1" w:rsidRPr="004817BF" w:rsidRDefault="004A6CA1" w:rsidP="00C924B0">
            <w:pPr>
              <w:pStyle w:val="Footnote"/>
              <w:spacing w:before="40" w:after="40"/>
              <w:rPr>
                <w:sz w:val="20"/>
                <w:szCs w:val="20"/>
                <w:lang w:val="en-GB" w:eastAsia="de-DE"/>
              </w:rPr>
            </w:pPr>
            <w:r w:rsidRPr="004817BF">
              <w:rPr>
                <w:sz w:val="20"/>
                <w:szCs w:val="20"/>
                <w:lang w:val="en-GB" w:eastAsia="de-DE"/>
              </w:rPr>
              <w:t> </w:t>
            </w:r>
          </w:p>
        </w:tc>
        <w:tc>
          <w:tcPr>
            <w:tcW w:w="1170" w:type="dxa"/>
            <w:noWrap/>
            <w:hideMark/>
          </w:tcPr>
          <w:p w14:paraId="275A4488"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bKash</w:t>
            </w:r>
          </w:p>
        </w:tc>
        <w:tc>
          <w:tcPr>
            <w:tcW w:w="1170" w:type="dxa"/>
            <w:noWrap/>
            <w:hideMark/>
          </w:tcPr>
          <w:p w14:paraId="4D03CCDA"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Rocket</w:t>
            </w:r>
          </w:p>
        </w:tc>
        <w:tc>
          <w:tcPr>
            <w:tcW w:w="1080" w:type="dxa"/>
            <w:noWrap/>
            <w:hideMark/>
          </w:tcPr>
          <w:p w14:paraId="25D6B0EC" w14:textId="77777777" w:rsidR="004A6CA1" w:rsidRPr="004817BF" w:rsidRDefault="004A6CA1" w:rsidP="00C924B0">
            <w:pPr>
              <w:pStyle w:val="Footnote"/>
              <w:spacing w:before="40" w:after="40"/>
              <w:jc w:val="center"/>
              <w:rPr>
                <w:sz w:val="20"/>
                <w:szCs w:val="20"/>
                <w:lang w:val="en-GB" w:eastAsia="de-DE"/>
              </w:rPr>
            </w:pPr>
            <w:proofErr w:type="spellStart"/>
            <w:r w:rsidRPr="004817BF">
              <w:rPr>
                <w:sz w:val="20"/>
                <w:szCs w:val="20"/>
                <w:lang w:val="en-GB" w:eastAsia="de-DE"/>
              </w:rPr>
              <w:t>mCash</w:t>
            </w:r>
            <w:proofErr w:type="spellEnd"/>
          </w:p>
        </w:tc>
        <w:tc>
          <w:tcPr>
            <w:tcW w:w="1170" w:type="dxa"/>
            <w:noWrap/>
            <w:hideMark/>
          </w:tcPr>
          <w:p w14:paraId="384E0C86" w14:textId="084AEEAD" w:rsidR="004A6CA1" w:rsidRPr="004817BF" w:rsidRDefault="004A6CA1" w:rsidP="00C924B0">
            <w:pPr>
              <w:pStyle w:val="Footnote"/>
              <w:spacing w:before="40" w:after="40"/>
              <w:jc w:val="center"/>
              <w:rPr>
                <w:sz w:val="20"/>
                <w:szCs w:val="20"/>
                <w:lang w:val="en-GB" w:eastAsia="de-DE"/>
              </w:rPr>
            </w:pPr>
            <w:proofErr w:type="spellStart"/>
            <w:r w:rsidRPr="004817BF">
              <w:rPr>
                <w:sz w:val="20"/>
                <w:szCs w:val="20"/>
                <w:lang w:val="en-GB" w:eastAsia="de-DE"/>
              </w:rPr>
              <w:t>U</w:t>
            </w:r>
            <w:r w:rsidR="00033D36" w:rsidRPr="004817BF">
              <w:rPr>
                <w:sz w:val="20"/>
                <w:szCs w:val="20"/>
                <w:lang w:val="en-GB" w:eastAsia="de-DE"/>
              </w:rPr>
              <w:t>C</w:t>
            </w:r>
            <w:r w:rsidRPr="004817BF">
              <w:rPr>
                <w:sz w:val="20"/>
                <w:szCs w:val="20"/>
                <w:lang w:val="en-GB" w:eastAsia="de-DE"/>
              </w:rPr>
              <w:t>ash</w:t>
            </w:r>
            <w:proofErr w:type="spellEnd"/>
          </w:p>
        </w:tc>
        <w:tc>
          <w:tcPr>
            <w:tcW w:w="1260" w:type="dxa"/>
            <w:noWrap/>
            <w:hideMark/>
          </w:tcPr>
          <w:p w14:paraId="254352C3" w14:textId="77777777" w:rsidR="004A6CA1" w:rsidRPr="004817BF" w:rsidRDefault="004A6CA1" w:rsidP="00C924B0">
            <w:pPr>
              <w:pStyle w:val="Footnote"/>
              <w:spacing w:before="40" w:after="40"/>
              <w:jc w:val="center"/>
              <w:rPr>
                <w:sz w:val="20"/>
                <w:szCs w:val="20"/>
                <w:lang w:val="en-GB" w:eastAsia="de-DE"/>
              </w:rPr>
            </w:pPr>
            <w:proofErr w:type="spellStart"/>
            <w:r w:rsidRPr="004817BF">
              <w:rPr>
                <w:sz w:val="20"/>
                <w:szCs w:val="20"/>
                <w:lang w:val="en-GB" w:eastAsia="de-DE"/>
              </w:rPr>
              <w:t>MYCash</w:t>
            </w:r>
            <w:proofErr w:type="spellEnd"/>
          </w:p>
        </w:tc>
        <w:tc>
          <w:tcPr>
            <w:tcW w:w="1165" w:type="dxa"/>
            <w:noWrap/>
            <w:hideMark/>
          </w:tcPr>
          <w:p w14:paraId="22CAD3C4"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Others</w:t>
            </w:r>
          </w:p>
        </w:tc>
      </w:tr>
      <w:tr w:rsidR="004A6CA1" w:rsidRPr="004817BF" w14:paraId="2F0438EF" w14:textId="77777777" w:rsidTr="008756C7">
        <w:trPr>
          <w:trHeight w:val="280"/>
        </w:trPr>
        <w:tc>
          <w:tcPr>
            <w:tcW w:w="2335" w:type="dxa"/>
            <w:noWrap/>
            <w:hideMark/>
          </w:tcPr>
          <w:p w14:paraId="351F0E81" w14:textId="77777777" w:rsidR="004A6CA1" w:rsidRPr="004817BF" w:rsidRDefault="004A6CA1" w:rsidP="00C924B0">
            <w:pPr>
              <w:pStyle w:val="Footnote"/>
              <w:spacing w:before="40" w:after="40"/>
              <w:rPr>
                <w:sz w:val="20"/>
                <w:szCs w:val="20"/>
                <w:lang w:val="en-GB" w:eastAsia="de-DE"/>
              </w:rPr>
            </w:pPr>
            <w:r w:rsidRPr="004817BF">
              <w:rPr>
                <w:sz w:val="20"/>
                <w:szCs w:val="20"/>
                <w:lang w:val="en-GB" w:eastAsia="de-DE"/>
              </w:rPr>
              <w:t>Market share (2015)</w:t>
            </w:r>
          </w:p>
        </w:tc>
        <w:tc>
          <w:tcPr>
            <w:tcW w:w="1170" w:type="dxa"/>
            <w:noWrap/>
            <w:hideMark/>
          </w:tcPr>
          <w:p w14:paraId="037C32E0"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58%</w:t>
            </w:r>
          </w:p>
        </w:tc>
        <w:tc>
          <w:tcPr>
            <w:tcW w:w="1170" w:type="dxa"/>
            <w:noWrap/>
            <w:hideMark/>
          </w:tcPr>
          <w:p w14:paraId="4EB85DD7"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16.60%</w:t>
            </w:r>
          </w:p>
        </w:tc>
        <w:tc>
          <w:tcPr>
            <w:tcW w:w="1080" w:type="dxa"/>
            <w:noWrap/>
            <w:hideMark/>
          </w:tcPr>
          <w:p w14:paraId="11F4F03A"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8.50%</w:t>
            </w:r>
          </w:p>
        </w:tc>
        <w:tc>
          <w:tcPr>
            <w:tcW w:w="1170" w:type="dxa"/>
            <w:noWrap/>
            <w:hideMark/>
          </w:tcPr>
          <w:p w14:paraId="7CB0A2DB"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7.70%</w:t>
            </w:r>
          </w:p>
        </w:tc>
        <w:tc>
          <w:tcPr>
            <w:tcW w:w="1260" w:type="dxa"/>
            <w:noWrap/>
            <w:hideMark/>
          </w:tcPr>
          <w:p w14:paraId="1F6497D5"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3%</w:t>
            </w:r>
          </w:p>
        </w:tc>
        <w:tc>
          <w:tcPr>
            <w:tcW w:w="1165" w:type="dxa"/>
            <w:noWrap/>
            <w:hideMark/>
          </w:tcPr>
          <w:p w14:paraId="71218BFC" w14:textId="77777777" w:rsidR="004A6CA1" w:rsidRPr="004817BF" w:rsidRDefault="004A6CA1" w:rsidP="00C924B0">
            <w:pPr>
              <w:pStyle w:val="Footnote"/>
              <w:spacing w:before="40" w:after="40"/>
              <w:jc w:val="center"/>
              <w:rPr>
                <w:sz w:val="20"/>
                <w:szCs w:val="20"/>
                <w:lang w:val="en-GB" w:eastAsia="de-DE"/>
              </w:rPr>
            </w:pPr>
            <w:r w:rsidRPr="004817BF">
              <w:rPr>
                <w:sz w:val="20"/>
                <w:szCs w:val="20"/>
                <w:lang w:val="en-GB" w:eastAsia="de-DE"/>
              </w:rPr>
              <w:t>6.10%</w:t>
            </w:r>
          </w:p>
        </w:tc>
      </w:tr>
    </w:tbl>
    <w:p w14:paraId="09C1674E" w14:textId="77777777" w:rsidR="004A6CA1" w:rsidRPr="004817BF" w:rsidRDefault="004A6CA1" w:rsidP="00C924B0">
      <w:pPr>
        <w:pStyle w:val="Footnote"/>
        <w:spacing w:before="40" w:after="40"/>
        <w:rPr>
          <w:i/>
          <w:lang w:val="en-GB"/>
        </w:rPr>
      </w:pPr>
    </w:p>
    <w:p w14:paraId="375D0700" w14:textId="4B26457E" w:rsidR="0027465C" w:rsidRPr="004817BF" w:rsidRDefault="002E7B90" w:rsidP="007E3B55">
      <w:pPr>
        <w:pStyle w:val="Footnote"/>
        <w:rPr>
          <w:lang w:val="en-GB"/>
        </w:rPr>
      </w:pPr>
      <w:r w:rsidRPr="004817BF">
        <w:rPr>
          <w:lang w:val="en-GB"/>
        </w:rPr>
        <w:t xml:space="preserve">Source: </w:t>
      </w:r>
      <w:r w:rsidR="00FD52C4">
        <w:rPr>
          <w:lang w:val="en-GB"/>
        </w:rPr>
        <w:t xml:space="preserve">Created by the authors based on </w:t>
      </w:r>
      <w:proofErr w:type="spellStart"/>
      <w:r w:rsidR="00767186" w:rsidRPr="004817BF">
        <w:rPr>
          <w:lang w:val="en-GB"/>
        </w:rPr>
        <w:t>Jaheed</w:t>
      </w:r>
      <w:proofErr w:type="spellEnd"/>
      <w:r w:rsidR="00767186" w:rsidRPr="004817BF">
        <w:rPr>
          <w:lang w:val="en-GB"/>
        </w:rPr>
        <w:t xml:space="preserve"> </w:t>
      </w:r>
      <w:proofErr w:type="spellStart"/>
      <w:r w:rsidRPr="004817BF">
        <w:rPr>
          <w:lang w:val="en-GB"/>
        </w:rPr>
        <w:t>Parvez</w:t>
      </w:r>
      <w:proofErr w:type="spellEnd"/>
      <w:r w:rsidRPr="004817BF">
        <w:rPr>
          <w:lang w:val="en-GB"/>
        </w:rPr>
        <w:t xml:space="preserve">, </w:t>
      </w:r>
      <w:proofErr w:type="spellStart"/>
      <w:r w:rsidR="00767186" w:rsidRPr="004817BF">
        <w:rPr>
          <w:lang w:val="en-GB"/>
        </w:rPr>
        <w:t>Ariful</w:t>
      </w:r>
      <w:proofErr w:type="spellEnd"/>
      <w:r w:rsidR="00C82B9E" w:rsidRPr="004817BF">
        <w:rPr>
          <w:lang w:val="en-GB"/>
        </w:rPr>
        <w:t xml:space="preserve"> </w:t>
      </w:r>
      <w:r w:rsidRPr="004817BF">
        <w:rPr>
          <w:lang w:val="en-GB"/>
        </w:rPr>
        <w:t xml:space="preserve">Islam, </w:t>
      </w:r>
      <w:r w:rsidR="00767186" w:rsidRPr="004817BF">
        <w:rPr>
          <w:lang w:val="en-GB"/>
        </w:rPr>
        <w:t>and Josh</w:t>
      </w:r>
      <w:r w:rsidR="00C82B9E" w:rsidRPr="004817BF">
        <w:rPr>
          <w:lang w:val="en-GB"/>
        </w:rPr>
        <w:t xml:space="preserve"> </w:t>
      </w:r>
      <w:r w:rsidRPr="004817BF">
        <w:rPr>
          <w:lang w:val="en-GB"/>
        </w:rPr>
        <w:t>Woodard,</w:t>
      </w:r>
      <w:r w:rsidR="00C82B9E" w:rsidRPr="004817BF">
        <w:rPr>
          <w:lang w:val="en-GB"/>
        </w:rPr>
        <w:t xml:space="preserve"> </w:t>
      </w:r>
      <w:r w:rsidR="00767186" w:rsidRPr="004817BF">
        <w:rPr>
          <w:i/>
          <w:lang w:val="en-GB"/>
        </w:rPr>
        <w:t xml:space="preserve">Mobile </w:t>
      </w:r>
      <w:r w:rsidR="005950D1" w:rsidRPr="004817BF">
        <w:rPr>
          <w:i/>
          <w:lang w:val="en-GB"/>
        </w:rPr>
        <w:t xml:space="preserve">Financial </w:t>
      </w:r>
      <w:r w:rsidR="00767186" w:rsidRPr="004817BF">
        <w:rPr>
          <w:i/>
          <w:lang w:val="en-GB"/>
        </w:rPr>
        <w:t xml:space="preserve">Services in Bangladesh, </w:t>
      </w:r>
      <w:r w:rsidRPr="004817BF">
        <w:rPr>
          <w:lang w:val="en-GB"/>
        </w:rPr>
        <w:t>April</w:t>
      </w:r>
      <w:r w:rsidR="00767186" w:rsidRPr="004817BF">
        <w:rPr>
          <w:lang w:val="en-GB"/>
        </w:rPr>
        <w:t xml:space="preserve"> 2015,</w:t>
      </w:r>
      <w:r w:rsidRPr="004817BF">
        <w:rPr>
          <w:lang w:val="en-GB"/>
        </w:rPr>
        <w:t xml:space="preserve"> accessed July</w:t>
      </w:r>
      <w:r w:rsidR="005950D1" w:rsidRPr="004817BF">
        <w:rPr>
          <w:lang w:val="en-GB"/>
        </w:rPr>
        <w:t> </w:t>
      </w:r>
      <w:r w:rsidRPr="004817BF">
        <w:rPr>
          <w:lang w:val="en-GB"/>
        </w:rPr>
        <w:t>15, 2016, www.cashlearning.org/downloads/mfsinbangladeshapril2015.pdf.</w:t>
      </w:r>
    </w:p>
    <w:p w14:paraId="34DC0DF2" w14:textId="77777777" w:rsidR="0027465C" w:rsidRPr="004817BF" w:rsidRDefault="0027465C" w:rsidP="00456285">
      <w:pPr>
        <w:pStyle w:val="Footnote"/>
        <w:rPr>
          <w:lang w:val="en-GB"/>
        </w:rPr>
      </w:pPr>
    </w:p>
    <w:p w14:paraId="6CF10DB2" w14:textId="77777777" w:rsidR="004A6CA1" w:rsidRPr="004817BF" w:rsidRDefault="004A6CA1" w:rsidP="00456285">
      <w:pPr>
        <w:pStyle w:val="Footnote"/>
        <w:rPr>
          <w:lang w:val="en-GB"/>
        </w:rPr>
      </w:pPr>
    </w:p>
    <w:p w14:paraId="28C48F6D" w14:textId="4CD9C456" w:rsidR="00C82B9E" w:rsidRPr="004817BF" w:rsidRDefault="00C82B9E" w:rsidP="008756C7">
      <w:pPr>
        <w:pStyle w:val="ExhibitHeading"/>
        <w:rPr>
          <w:lang w:val="en-GB"/>
        </w:rPr>
      </w:pPr>
    </w:p>
    <w:p w14:paraId="0CC42E9C" w14:textId="6ED5EF12" w:rsidR="00626659" w:rsidRPr="004817BF" w:rsidRDefault="00F269DC" w:rsidP="00C924B0">
      <w:pPr>
        <w:spacing w:after="200" w:line="276" w:lineRule="auto"/>
        <w:rPr>
          <w:lang w:val="en-GB"/>
        </w:rPr>
      </w:pPr>
      <w:r w:rsidRPr="004817BF">
        <w:rPr>
          <w:lang w:val="en-GB"/>
        </w:rPr>
        <w:br w:type="page"/>
      </w:r>
    </w:p>
    <w:p w14:paraId="428B81BA" w14:textId="58AD2A89" w:rsidR="00951296" w:rsidRPr="004817BF" w:rsidRDefault="005E5FBE" w:rsidP="00980931">
      <w:pPr>
        <w:pStyle w:val="Casehead1"/>
        <w:rPr>
          <w:lang w:val="en-GB"/>
        </w:rPr>
      </w:pPr>
      <w:r w:rsidRPr="004817BF">
        <w:rPr>
          <w:lang w:val="en-GB"/>
        </w:rPr>
        <w:lastRenderedPageBreak/>
        <w:t>ENDNOTES</w:t>
      </w:r>
    </w:p>
    <w:sectPr w:rsidR="00951296" w:rsidRPr="004817BF"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600BC" w14:textId="77777777" w:rsidR="006B0614" w:rsidRDefault="006B0614" w:rsidP="00D75295">
      <w:r>
        <w:separator/>
      </w:r>
    </w:p>
  </w:endnote>
  <w:endnote w:type="continuationSeparator" w:id="0">
    <w:p w14:paraId="139E1C22" w14:textId="77777777" w:rsidR="006B0614" w:rsidRDefault="006B0614" w:rsidP="00D75295">
      <w:r>
        <w:continuationSeparator/>
      </w:r>
    </w:p>
  </w:endnote>
  <w:endnote w:id="1">
    <w:p w14:paraId="7797FC9E" w14:textId="44AAC191" w:rsidR="006B0614" w:rsidRPr="00162A7D" w:rsidRDefault="006B0614" w:rsidP="004267B0">
      <w:pPr>
        <w:pStyle w:val="Footnote"/>
        <w:rPr>
          <w:rStyle w:val="Hyperlink"/>
          <w:color w:val="auto"/>
          <w:u w:val="none"/>
        </w:rPr>
      </w:pPr>
      <w:r w:rsidRPr="00162A7D">
        <w:rPr>
          <w:rStyle w:val="EndnoteReference"/>
        </w:rPr>
        <w:endnoteRef/>
      </w:r>
      <w:r w:rsidRPr="00162A7D">
        <w:t xml:space="preserve"> </w:t>
      </w:r>
      <w:r>
        <w:t xml:space="preserve">“Bangladesh,” </w:t>
      </w:r>
      <w:r w:rsidRPr="00C924B0">
        <w:rPr>
          <w:rStyle w:val="lookup-resultcontent"/>
          <w:i/>
        </w:rPr>
        <w:t xml:space="preserve">The World </w:t>
      </w:r>
      <w:proofErr w:type="spellStart"/>
      <w:r w:rsidRPr="00C924B0">
        <w:rPr>
          <w:rStyle w:val="lookup-resultcontent"/>
          <w:i/>
        </w:rPr>
        <w:t>Factbook</w:t>
      </w:r>
      <w:proofErr w:type="spellEnd"/>
      <w:r>
        <w:rPr>
          <w:rStyle w:val="lookup-resultcontent"/>
        </w:rPr>
        <w:t xml:space="preserve">, Central Intelligence Agency, updated </w:t>
      </w:r>
      <w:r w:rsidRPr="00162A7D">
        <w:rPr>
          <w:rStyle w:val="lookup-resultcontent"/>
        </w:rPr>
        <w:t>January 12</w:t>
      </w:r>
      <w:r>
        <w:rPr>
          <w:rStyle w:val="lookup-resultcontent"/>
        </w:rPr>
        <w:t>, 2017,</w:t>
      </w:r>
      <w:r w:rsidRPr="00162A7D">
        <w:rPr>
          <w:rStyle w:val="lookup-resultcontent"/>
        </w:rPr>
        <w:t xml:space="preserve"> accessed January 15, 2017, </w:t>
      </w:r>
      <w:hyperlink r:id="rId1" w:tgtFrame="_blank" w:history="1">
        <w:r w:rsidRPr="00162A7D">
          <w:rPr>
            <w:rStyle w:val="Hyperlink"/>
            <w:color w:val="auto"/>
            <w:u w:val="none"/>
          </w:rPr>
          <w:t>https://www.cia.gov/library/publications/the-world-factbook/geos/bg.html</w:t>
        </w:r>
      </w:hyperlink>
      <w:r>
        <w:rPr>
          <w:rStyle w:val="Hyperlink"/>
          <w:color w:val="auto"/>
          <w:u w:val="none"/>
        </w:rPr>
        <w:t>.</w:t>
      </w:r>
    </w:p>
  </w:endnote>
  <w:endnote w:id="2">
    <w:p w14:paraId="1CC3224D" w14:textId="73AECD5D" w:rsidR="006B0614" w:rsidRPr="00162A7D" w:rsidRDefault="006B0614" w:rsidP="004267B0">
      <w:pPr>
        <w:pStyle w:val="Footnote"/>
      </w:pPr>
      <w:r w:rsidRPr="00162A7D">
        <w:rPr>
          <w:rStyle w:val="EndnoteReference"/>
        </w:rPr>
        <w:endnoteRef/>
      </w:r>
      <w:r w:rsidRPr="00162A7D">
        <w:t xml:space="preserve"> </w:t>
      </w:r>
      <w:r>
        <w:t xml:space="preserve">“Bangladesh: Economy,” </w:t>
      </w:r>
      <w:r w:rsidRPr="00162A7D">
        <w:rPr>
          <w:rStyle w:val="lookup-resultcontent"/>
        </w:rPr>
        <w:t>Asian Development Bank</w:t>
      </w:r>
      <w:r>
        <w:rPr>
          <w:rStyle w:val="lookup-resultcontent"/>
        </w:rPr>
        <w:t xml:space="preserve">, accessed September 15, 2016, </w:t>
      </w:r>
      <w:hyperlink r:id="rId2" w:history="1">
        <w:r w:rsidRPr="00162A7D">
          <w:rPr>
            <w:rStyle w:val="Hyperlink"/>
            <w:color w:val="auto"/>
            <w:u w:val="none"/>
          </w:rPr>
          <w:t>https://www.adb.org/countries/bangladesh/economy</w:t>
        </w:r>
      </w:hyperlink>
      <w:r>
        <w:rPr>
          <w:rStyle w:val="Hyperlink"/>
          <w:color w:val="auto"/>
          <w:u w:val="none"/>
        </w:rPr>
        <w:t>.</w:t>
      </w:r>
    </w:p>
  </w:endnote>
  <w:endnote w:id="3">
    <w:p w14:paraId="0507A2D7" w14:textId="46B3BE17" w:rsidR="006B0614" w:rsidRPr="00162A7D" w:rsidRDefault="006B0614" w:rsidP="004267B0">
      <w:pPr>
        <w:pStyle w:val="Footnote"/>
        <w:rPr>
          <w:rStyle w:val="Hyperlink"/>
          <w:rFonts w:ascii="Times New Roman" w:hAnsi="Times New Roman" w:cs="Times New Roman"/>
          <w:color w:val="auto"/>
          <w:sz w:val="20"/>
          <w:szCs w:val="20"/>
          <w:u w:val="none"/>
        </w:rPr>
      </w:pPr>
      <w:r w:rsidRPr="00162A7D">
        <w:rPr>
          <w:rStyle w:val="EndnoteReference"/>
        </w:rPr>
        <w:endnoteRef/>
      </w:r>
      <w:r>
        <w:rPr>
          <w:rStyle w:val="lookup-resultcontent"/>
        </w:rPr>
        <w:t xml:space="preserve"> United Nations Development </w:t>
      </w:r>
      <w:proofErr w:type="spellStart"/>
      <w:r>
        <w:rPr>
          <w:rStyle w:val="lookup-resultcontent"/>
        </w:rPr>
        <w:t>Progamme</w:t>
      </w:r>
      <w:proofErr w:type="spellEnd"/>
      <w:r>
        <w:rPr>
          <w:rStyle w:val="lookup-resultcontent"/>
        </w:rPr>
        <w:t xml:space="preserve">, </w:t>
      </w:r>
      <w:r w:rsidRPr="00C924B0">
        <w:rPr>
          <w:rStyle w:val="lookup-resultcontent"/>
          <w:i/>
        </w:rPr>
        <w:t>Human Development Report 2016</w:t>
      </w:r>
      <w:r>
        <w:rPr>
          <w:rStyle w:val="lookup-resultcontent"/>
          <w:i/>
        </w:rPr>
        <w:t>: Bangladesh</w:t>
      </w:r>
      <w:r w:rsidRPr="00C924B0">
        <w:rPr>
          <w:rStyle w:val="lookup-resultcontent"/>
          <w:i/>
        </w:rPr>
        <w:t>,</w:t>
      </w:r>
      <w:r>
        <w:rPr>
          <w:rStyle w:val="lookup-resultcontent"/>
        </w:rPr>
        <w:t xml:space="preserve"> accessed</w:t>
      </w:r>
      <w:r w:rsidRPr="00162A7D">
        <w:rPr>
          <w:rStyle w:val="lookup-resultcontent"/>
        </w:rPr>
        <w:t xml:space="preserve"> September 15, 2016, </w:t>
      </w:r>
      <w:r w:rsidRPr="00162A7D">
        <w:rPr>
          <w:rStyle w:val="Hyperlink"/>
          <w:color w:val="auto"/>
          <w:u w:val="none"/>
        </w:rPr>
        <w:t>http://hdr.undp.org/sites/all/themes/hdr_theme/country-notes/BGD.pdf</w:t>
      </w:r>
      <w:r>
        <w:rPr>
          <w:rStyle w:val="Hyperlink"/>
          <w:color w:val="auto"/>
          <w:u w:val="none"/>
        </w:rPr>
        <w:t>.</w:t>
      </w:r>
    </w:p>
  </w:endnote>
  <w:endnote w:id="4">
    <w:p w14:paraId="10FED4CB" w14:textId="0D26A252" w:rsidR="006B0614" w:rsidRPr="00162A7D" w:rsidRDefault="006B0614" w:rsidP="004267B0">
      <w:pPr>
        <w:pStyle w:val="Footnote"/>
        <w:rPr>
          <w:rStyle w:val="Hyperlink"/>
          <w:rFonts w:ascii="Times New Roman" w:hAnsi="Times New Roman" w:cs="Times New Roman"/>
          <w:color w:val="auto"/>
          <w:sz w:val="20"/>
          <w:szCs w:val="20"/>
          <w:u w:val="none"/>
        </w:rPr>
      </w:pPr>
      <w:r w:rsidRPr="00162A7D">
        <w:rPr>
          <w:rStyle w:val="EndnoteReference"/>
        </w:rPr>
        <w:endnoteRef/>
      </w:r>
      <w:r w:rsidRPr="00162A7D">
        <w:t xml:space="preserve"> </w:t>
      </w:r>
      <w:r>
        <w:t xml:space="preserve">“Bangladesh: Statistics,” </w:t>
      </w:r>
      <w:r>
        <w:rPr>
          <w:rStyle w:val="lookup-resultcontent"/>
        </w:rPr>
        <w:t>UNICEF, updated December 18, 2013,</w:t>
      </w:r>
      <w:r w:rsidRPr="00162A7D">
        <w:rPr>
          <w:rStyle w:val="lookup-resultcontent"/>
        </w:rPr>
        <w:t xml:space="preserve"> September 16, 2016, </w:t>
      </w:r>
      <w:r w:rsidRPr="00162A7D">
        <w:rPr>
          <w:rStyle w:val="Hyperlink"/>
          <w:color w:val="auto"/>
          <w:u w:val="none"/>
        </w:rPr>
        <w:t>www.unicef.org/infobycountry/bangladesh_bangladesh_statistics.html</w:t>
      </w:r>
      <w:r>
        <w:rPr>
          <w:rStyle w:val="Hyperlink"/>
          <w:color w:val="auto"/>
          <w:u w:val="none"/>
        </w:rPr>
        <w:t>.</w:t>
      </w:r>
    </w:p>
  </w:endnote>
  <w:endnote w:id="5">
    <w:p w14:paraId="1B363C8D" w14:textId="7BDD68FD" w:rsidR="006B0614" w:rsidRPr="00162A7D" w:rsidRDefault="006B0614" w:rsidP="004267B0">
      <w:pPr>
        <w:pStyle w:val="Footnote"/>
        <w:rPr>
          <w:rStyle w:val="Hyperlink"/>
          <w:rFonts w:ascii="Times New Roman" w:hAnsi="Times New Roman" w:cs="Times New Roman"/>
          <w:color w:val="auto"/>
          <w:sz w:val="20"/>
          <w:szCs w:val="20"/>
          <w:u w:val="none"/>
        </w:rPr>
      </w:pPr>
      <w:r w:rsidRPr="00162A7D">
        <w:rPr>
          <w:rStyle w:val="EndnoteReference"/>
        </w:rPr>
        <w:endnoteRef/>
      </w:r>
      <w:r w:rsidRPr="00162A7D">
        <w:t xml:space="preserve"> </w:t>
      </w:r>
      <w:r>
        <w:t xml:space="preserve">R. K. </w:t>
      </w:r>
      <w:r w:rsidRPr="00162A7D">
        <w:rPr>
          <w:rStyle w:val="lookup-resultcontent"/>
        </w:rPr>
        <w:t>Byron</w:t>
      </w:r>
      <w:r>
        <w:rPr>
          <w:rStyle w:val="lookup-resultcontent"/>
        </w:rPr>
        <w:t xml:space="preserve"> and F. </w:t>
      </w:r>
      <w:r w:rsidRPr="00162A7D">
        <w:rPr>
          <w:rStyle w:val="lookup-resultcontent"/>
        </w:rPr>
        <w:t xml:space="preserve">Rahman, </w:t>
      </w:r>
      <w:r>
        <w:rPr>
          <w:rStyle w:val="lookup-resultcontent"/>
        </w:rPr>
        <w:t>“W</w:t>
      </w:r>
      <w:r w:rsidRPr="00162A7D">
        <w:rPr>
          <w:rStyle w:val="lookup-resultcontent"/>
        </w:rPr>
        <w:t xml:space="preserve">omen </w:t>
      </w:r>
      <w:r>
        <w:rPr>
          <w:rStyle w:val="lookup-resultcontent"/>
        </w:rPr>
        <w:t>W</w:t>
      </w:r>
      <w:r w:rsidRPr="00162A7D">
        <w:rPr>
          <w:rStyle w:val="lookup-resultcontent"/>
        </w:rPr>
        <w:t xml:space="preserve">orkforce </w:t>
      </w:r>
      <w:r>
        <w:rPr>
          <w:rStyle w:val="lookup-resultcontent"/>
        </w:rPr>
        <w:t>G</w:t>
      </w:r>
      <w:r w:rsidRPr="00162A7D">
        <w:rPr>
          <w:rStyle w:val="lookup-resultcontent"/>
        </w:rPr>
        <w:t xml:space="preserve">rowing </w:t>
      </w:r>
      <w:r>
        <w:rPr>
          <w:rStyle w:val="lookup-resultcontent"/>
        </w:rPr>
        <w:t>F</w:t>
      </w:r>
      <w:r w:rsidRPr="00162A7D">
        <w:rPr>
          <w:rStyle w:val="lookup-resultcontent"/>
        </w:rPr>
        <w:t>ast</w:t>
      </w:r>
      <w:r>
        <w:rPr>
          <w:rStyle w:val="lookup-resultcontent"/>
        </w:rPr>
        <w:t xml:space="preserve">,” </w:t>
      </w:r>
      <w:r w:rsidRPr="00C924B0">
        <w:rPr>
          <w:rStyle w:val="lookup-resultcontent"/>
          <w:i/>
          <w:iCs/>
        </w:rPr>
        <w:t>Daily Star</w:t>
      </w:r>
      <w:r>
        <w:rPr>
          <w:rStyle w:val="lookup-resultcontent"/>
        </w:rPr>
        <w:t>,</w:t>
      </w:r>
      <w:r w:rsidRPr="002F33AC">
        <w:rPr>
          <w:rStyle w:val="lookup-resultcontent"/>
        </w:rPr>
        <w:t xml:space="preserve"> </w:t>
      </w:r>
      <w:r w:rsidRPr="00162A7D">
        <w:rPr>
          <w:rStyle w:val="lookup-resultcontent"/>
        </w:rPr>
        <w:t>October 11</w:t>
      </w:r>
      <w:r>
        <w:rPr>
          <w:rStyle w:val="lookup-resultcontent"/>
        </w:rPr>
        <w:t xml:space="preserve">, 2015, </w:t>
      </w:r>
      <w:r w:rsidRPr="00162A7D">
        <w:rPr>
          <w:rStyle w:val="Hyperlink"/>
          <w:color w:val="auto"/>
          <w:u w:val="none"/>
        </w:rPr>
        <w:t>www.thedailystar.net/frontpage/women-workforce-growing-fast-155149</w:t>
      </w:r>
      <w:r>
        <w:rPr>
          <w:rStyle w:val="Hyperlink"/>
          <w:color w:val="auto"/>
          <w:u w:val="none"/>
        </w:rPr>
        <w:t>.</w:t>
      </w:r>
    </w:p>
  </w:endnote>
  <w:endnote w:id="6">
    <w:p w14:paraId="0ABDA7AC" w14:textId="420AE8E3" w:rsidR="006B0614" w:rsidRPr="00162A7D" w:rsidRDefault="006B0614" w:rsidP="004267B0">
      <w:pPr>
        <w:pStyle w:val="Footnote"/>
      </w:pPr>
      <w:r w:rsidRPr="00162A7D">
        <w:rPr>
          <w:rStyle w:val="EndnoteReference"/>
        </w:rPr>
        <w:endnoteRef/>
      </w:r>
      <w:r>
        <w:rPr>
          <w:rStyle w:val="lookup-resultcontent"/>
        </w:rPr>
        <w:t xml:space="preserve"> “Top Ten C</w:t>
      </w:r>
      <w:r w:rsidRPr="00162A7D">
        <w:rPr>
          <w:rStyle w:val="lookup-resultcontent"/>
        </w:rPr>
        <w:t xml:space="preserve">ountries with </w:t>
      </w:r>
      <w:r>
        <w:rPr>
          <w:rStyle w:val="lookup-resultcontent"/>
        </w:rPr>
        <w:t>L</w:t>
      </w:r>
      <w:r w:rsidRPr="00162A7D">
        <w:rPr>
          <w:rStyle w:val="lookup-resultcontent"/>
        </w:rPr>
        <w:t xml:space="preserve">argest Muslim </w:t>
      </w:r>
      <w:r>
        <w:rPr>
          <w:rStyle w:val="lookup-resultcontent"/>
        </w:rPr>
        <w:t>P</w:t>
      </w:r>
      <w:r w:rsidRPr="00162A7D">
        <w:rPr>
          <w:rStyle w:val="lookup-resultcontent"/>
        </w:rPr>
        <w:t>opulation</w:t>
      </w:r>
      <w:r>
        <w:rPr>
          <w:rStyle w:val="lookup-resultcontent"/>
        </w:rPr>
        <w:t xml:space="preserve"> (2010),” </w:t>
      </w:r>
      <w:r w:rsidRPr="00162A7D">
        <w:rPr>
          <w:rStyle w:val="lookup-resultcontent"/>
        </w:rPr>
        <w:t xml:space="preserve">Maps of World, </w:t>
      </w:r>
      <w:r>
        <w:rPr>
          <w:rStyle w:val="lookup-resultcontent"/>
        </w:rPr>
        <w:t>accessed</w:t>
      </w:r>
      <w:r w:rsidRPr="00162A7D">
        <w:rPr>
          <w:rStyle w:val="lookup-resultcontent"/>
        </w:rPr>
        <w:t xml:space="preserve"> September 17, 2016, </w:t>
      </w:r>
      <w:r w:rsidRPr="00162A7D">
        <w:rPr>
          <w:rStyle w:val="Hyperlink"/>
          <w:color w:val="auto"/>
          <w:u w:val="none"/>
        </w:rPr>
        <w:t>www.mapsofworld.com/world-top-ten/world-top-ten-countries-with-largest-muslim-populations-map.html</w:t>
      </w:r>
      <w:r>
        <w:rPr>
          <w:rStyle w:val="Hyperlink"/>
          <w:color w:val="auto"/>
          <w:u w:val="none"/>
        </w:rPr>
        <w:t>.</w:t>
      </w:r>
      <w:r w:rsidRPr="00162A7D">
        <w:rPr>
          <w:rStyle w:val="Hyperlink"/>
          <w:color w:val="auto"/>
          <w:u w:val="none"/>
        </w:rPr>
        <w:t xml:space="preserve"> </w:t>
      </w:r>
    </w:p>
  </w:endnote>
  <w:endnote w:id="7">
    <w:p w14:paraId="28D618AC" w14:textId="0C4D600D" w:rsidR="006B0614" w:rsidRPr="00162A7D" w:rsidRDefault="006B0614" w:rsidP="004267B0">
      <w:pPr>
        <w:pStyle w:val="Footnote"/>
      </w:pPr>
      <w:r w:rsidRPr="00162A7D">
        <w:rPr>
          <w:rStyle w:val="EndnoteReference"/>
        </w:rPr>
        <w:endnoteRef/>
      </w:r>
      <w:r w:rsidRPr="00162A7D">
        <w:t xml:space="preserve"> </w:t>
      </w:r>
      <w:r>
        <w:t>“</w:t>
      </w:r>
      <w:r w:rsidRPr="00162A7D">
        <w:rPr>
          <w:rStyle w:val="lookup-resultcontent"/>
        </w:rPr>
        <w:t xml:space="preserve">The </w:t>
      </w:r>
      <w:r>
        <w:rPr>
          <w:rStyle w:val="lookup-resultcontent"/>
        </w:rPr>
        <w:t>P</w:t>
      </w:r>
      <w:r w:rsidRPr="00162A7D">
        <w:rPr>
          <w:rStyle w:val="lookup-resultcontent"/>
        </w:rPr>
        <w:t xml:space="preserve">ath through the </w:t>
      </w:r>
      <w:r>
        <w:rPr>
          <w:rStyle w:val="lookup-resultcontent"/>
        </w:rPr>
        <w:t>F</w:t>
      </w:r>
      <w:r w:rsidRPr="00162A7D">
        <w:rPr>
          <w:rStyle w:val="lookup-resultcontent"/>
        </w:rPr>
        <w:t>ields</w:t>
      </w:r>
      <w:r>
        <w:rPr>
          <w:rStyle w:val="lookup-resultcontent"/>
        </w:rPr>
        <w:t>,”</w:t>
      </w:r>
      <w:r w:rsidRPr="00162A7D">
        <w:rPr>
          <w:rStyle w:val="lookup-resultcontent"/>
        </w:rPr>
        <w:t xml:space="preserve"> </w:t>
      </w:r>
      <w:r w:rsidRPr="00C924B0">
        <w:rPr>
          <w:rStyle w:val="lookup-resultcontent"/>
          <w:i/>
        </w:rPr>
        <w:t>Economist,</w:t>
      </w:r>
      <w:r>
        <w:rPr>
          <w:rStyle w:val="lookup-resultcontent"/>
        </w:rPr>
        <w:t xml:space="preserve"> November 3, 2012, accessed</w:t>
      </w:r>
      <w:r w:rsidRPr="00162A7D">
        <w:rPr>
          <w:rStyle w:val="lookup-resultcontent"/>
        </w:rPr>
        <w:t xml:space="preserve"> September 17, 2016, </w:t>
      </w:r>
      <w:r w:rsidRPr="00162A7D">
        <w:rPr>
          <w:rStyle w:val="Hyperlink"/>
          <w:color w:val="auto"/>
          <w:u w:val="none"/>
        </w:rPr>
        <w:t>www.economist.com/news/briefing/21565617-bangladesh-has-dysfunctional-politics-and-stunted-private-sector-yet-it-has-been-surprisingly</w:t>
      </w:r>
      <w:r>
        <w:rPr>
          <w:rStyle w:val="Hyperlink"/>
          <w:color w:val="auto"/>
          <w:u w:val="none"/>
        </w:rPr>
        <w:t>.</w:t>
      </w:r>
    </w:p>
  </w:endnote>
  <w:endnote w:id="8">
    <w:p w14:paraId="387D5840" w14:textId="059473CA" w:rsidR="006B0614" w:rsidRPr="00162A7D" w:rsidRDefault="006B0614" w:rsidP="004267B0">
      <w:pPr>
        <w:pStyle w:val="Footnote"/>
      </w:pPr>
      <w:r w:rsidRPr="00162A7D">
        <w:rPr>
          <w:rStyle w:val="EndnoteReference"/>
        </w:rPr>
        <w:endnoteRef/>
      </w:r>
      <w:r w:rsidRPr="00162A7D">
        <w:t xml:space="preserve"> </w:t>
      </w:r>
      <w:r>
        <w:rPr>
          <w:rStyle w:val="lookup-resultcontent"/>
        </w:rPr>
        <w:t>“</w:t>
      </w:r>
      <w:r w:rsidRPr="00162A7D">
        <w:rPr>
          <w:rStyle w:val="lookup-resultcontent"/>
        </w:rPr>
        <w:t xml:space="preserve">Rising </w:t>
      </w:r>
      <w:r>
        <w:rPr>
          <w:rStyle w:val="lookup-resultcontent"/>
        </w:rPr>
        <w:t>P</w:t>
      </w:r>
      <w:r w:rsidRPr="00162A7D">
        <w:rPr>
          <w:rStyle w:val="lookup-resultcontent"/>
        </w:rPr>
        <w:t xml:space="preserve">opulation </w:t>
      </w:r>
      <w:r>
        <w:rPr>
          <w:rStyle w:val="lookup-resultcontent"/>
        </w:rPr>
        <w:t>B</w:t>
      </w:r>
      <w:r w:rsidRPr="00162A7D">
        <w:rPr>
          <w:rStyle w:val="lookup-resultcontent"/>
        </w:rPr>
        <w:t xml:space="preserve">ig </w:t>
      </w:r>
      <w:r>
        <w:rPr>
          <w:rStyle w:val="lookup-resultcontent"/>
        </w:rPr>
        <w:t>C</w:t>
      </w:r>
      <w:r w:rsidRPr="00162A7D">
        <w:rPr>
          <w:rStyle w:val="lookup-resultcontent"/>
        </w:rPr>
        <w:t>oncern for Dhaka</w:t>
      </w:r>
      <w:r>
        <w:rPr>
          <w:rStyle w:val="lookup-resultcontent"/>
        </w:rPr>
        <w:t xml:space="preserve">,” </w:t>
      </w:r>
      <w:r w:rsidRPr="00C924B0">
        <w:rPr>
          <w:rStyle w:val="lookup-resultcontent"/>
          <w:i/>
        </w:rPr>
        <w:t>Daily Star,</w:t>
      </w:r>
      <w:r w:rsidRPr="00162A7D">
        <w:rPr>
          <w:rStyle w:val="lookup-resultcontent"/>
        </w:rPr>
        <w:t xml:space="preserve"> July 13</w:t>
      </w:r>
      <w:r>
        <w:rPr>
          <w:rStyle w:val="lookup-resultcontent"/>
        </w:rPr>
        <w:t xml:space="preserve">, 2014, accessed September 18, 2016, </w:t>
      </w:r>
      <w:r w:rsidRPr="00162A7D">
        <w:rPr>
          <w:rStyle w:val="Hyperlink"/>
          <w:color w:val="auto"/>
          <w:u w:val="none"/>
        </w:rPr>
        <w:t>www.thedailystar.net/rising-population-big-concern-for-dhaka-33081</w:t>
      </w:r>
      <w:r>
        <w:rPr>
          <w:rStyle w:val="Hyperlink"/>
          <w:color w:val="auto"/>
          <w:u w:val="none"/>
        </w:rPr>
        <w:t>.</w:t>
      </w:r>
    </w:p>
  </w:endnote>
  <w:endnote w:id="9">
    <w:p w14:paraId="3BAF59F4" w14:textId="12E26620" w:rsidR="006B0614" w:rsidRPr="00162A7D" w:rsidRDefault="006B0614" w:rsidP="004267B0">
      <w:pPr>
        <w:pStyle w:val="Footnote"/>
      </w:pPr>
      <w:r w:rsidRPr="00162A7D">
        <w:rPr>
          <w:rStyle w:val="EndnoteReference"/>
        </w:rPr>
        <w:endnoteRef/>
      </w:r>
      <w:r w:rsidRPr="00162A7D">
        <w:t xml:space="preserve"> </w:t>
      </w:r>
      <w:r>
        <w:t xml:space="preserve">“Mobile Phone Subscribers, Bangladesh, July 2016,” </w:t>
      </w:r>
      <w:r w:rsidRPr="00162A7D">
        <w:rPr>
          <w:rStyle w:val="lookup-resultcontent"/>
        </w:rPr>
        <w:t>Bangladesh Telecommunication Regulatory Commission</w:t>
      </w:r>
      <w:r>
        <w:rPr>
          <w:rStyle w:val="apple-converted-space"/>
        </w:rPr>
        <w:t xml:space="preserve">, </w:t>
      </w:r>
      <w:r w:rsidRPr="00C924B0">
        <w:rPr>
          <w:rStyle w:val="lookup-resultcontent"/>
          <w:iCs/>
        </w:rPr>
        <w:t>July 2016,</w:t>
      </w:r>
      <w:r>
        <w:rPr>
          <w:rStyle w:val="lookup-resultcontent"/>
        </w:rPr>
        <w:t xml:space="preserve"> accessed </w:t>
      </w:r>
      <w:r w:rsidRPr="00162A7D">
        <w:rPr>
          <w:rStyle w:val="lookup-resultcontent"/>
        </w:rPr>
        <w:t xml:space="preserve">September 15, 2016, </w:t>
      </w:r>
      <w:r w:rsidRPr="00162A7D">
        <w:rPr>
          <w:rStyle w:val="Hyperlink"/>
          <w:color w:val="auto"/>
          <w:u w:val="none"/>
        </w:rPr>
        <w:t>www.btrc.gov.bd/content/mobile-phone-subscribers-bangladesh-july-2016</w:t>
      </w:r>
      <w:r>
        <w:rPr>
          <w:rStyle w:val="Hyperlink"/>
          <w:color w:val="auto"/>
          <w:u w:val="none"/>
        </w:rPr>
        <w:t>.</w:t>
      </w:r>
    </w:p>
  </w:endnote>
  <w:endnote w:id="10">
    <w:p w14:paraId="511AC327" w14:textId="77777777" w:rsidR="006B0614" w:rsidRPr="005F58FD" w:rsidRDefault="006B0614" w:rsidP="004267B0">
      <w:pPr>
        <w:pStyle w:val="Footnote"/>
        <w:rPr>
          <w:vanish/>
          <w:sz w:val="3"/>
        </w:rPr>
      </w:pPr>
    </w:p>
    <w:p w14:paraId="0ABD7D06" w14:textId="6D708891" w:rsidR="006B0614" w:rsidRPr="00162A7D" w:rsidRDefault="006B0614" w:rsidP="004267B0">
      <w:pPr>
        <w:pStyle w:val="Footnote"/>
        <w:rPr>
          <w:rStyle w:val="lookup-resultcontent"/>
        </w:rPr>
      </w:pPr>
      <w:r w:rsidRPr="00162A7D">
        <w:rPr>
          <w:rStyle w:val="EndnoteReference"/>
        </w:rPr>
        <w:endnoteRef/>
      </w:r>
      <w:r w:rsidRPr="00162A7D">
        <w:rPr>
          <w:rStyle w:val="lookup-resultcontent"/>
        </w:rPr>
        <w:t xml:space="preserve"> </w:t>
      </w:r>
      <w:r>
        <w:rPr>
          <w:rStyle w:val="lookup-resultcontent"/>
        </w:rPr>
        <w:t>“</w:t>
      </w:r>
      <w:r w:rsidRPr="00B527B2">
        <w:rPr>
          <w:rStyle w:val="lookup-resultcontent"/>
        </w:rPr>
        <w:t xml:space="preserve">The bKash </w:t>
      </w:r>
      <w:proofErr w:type="spellStart"/>
      <w:r w:rsidRPr="00B527B2">
        <w:rPr>
          <w:rStyle w:val="lookup-resultcontent"/>
        </w:rPr>
        <w:t>Fundamo</w:t>
      </w:r>
      <w:proofErr w:type="spellEnd"/>
      <w:r w:rsidRPr="00B527B2">
        <w:rPr>
          <w:rStyle w:val="lookup-resultcontent"/>
        </w:rPr>
        <w:t xml:space="preserve"> Partnership Story</w:t>
      </w:r>
      <w:r>
        <w:rPr>
          <w:rStyle w:val="lookup-resultcontent"/>
        </w:rPr>
        <w:t>,” YouTube video, 3:37, posted by “</w:t>
      </w:r>
      <w:proofErr w:type="spellStart"/>
      <w:r w:rsidRPr="00FD150B">
        <w:t>Ashek</w:t>
      </w:r>
      <w:proofErr w:type="spellEnd"/>
      <w:r w:rsidRPr="00FD150B">
        <w:t xml:space="preserve"> </w:t>
      </w:r>
      <w:proofErr w:type="spellStart"/>
      <w:r w:rsidRPr="00FD150B">
        <w:t>E</w:t>
      </w:r>
      <w:r>
        <w:t>lahi</w:t>
      </w:r>
      <w:proofErr w:type="spellEnd"/>
      <w:r>
        <w:t xml:space="preserve">,” July 21, </w:t>
      </w:r>
      <w:r w:rsidRPr="00FD150B">
        <w:t>2012</w:t>
      </w:r>
      <w:r>
        <w:t>, accessed January</w:t>
      </w:r>
      <w:r w:rsidRPr="00FD150B">
        <w:t xml:space="preserve"> 1</w:t>
      </w:r>
      <w:r>
        <w:t xml:space="preserve">, </w:t>
      </w:r>
      <w:r w:rsidRPr="00FD150B">
        <w:t>2017</w:t>
      </w:r>
      <w:r>
        <w:t xml:space="preserve">, </w:t>
      </w:r>
      <w:r w:rsidRPr="00E76889">
        <w:t>https://youtu.be/Z7Ln2LLhfCw</w:t>
      </w:r>
      <w:r w:rsidRPr="00FD150B">
        <w:t>.</w:t>
      </w:r>
    </w:p>
  </w:endnote>
  <w:endnote w:id="11">
    <w:p w14:paraId="09476AF1" w14:textId="5BE49C8A" w:rsidR="006B0614" w:rsidRPr="00FD52C4" w:rsidRDefault="006B0614" w:rsidP="004267B0">
      <w:pPr>
        <w:pStyle w:val="Footnote"/>
        <w:rPr>
          <w:spacing w:val="-2"/>
          <w:kern w:val="17"/>
        </w:rPr>
      </w:pPr>
      <w:r w:rsidRPr="00FD52C4">
        <w:rPr>
          <w:rStyle w:val="EndnoteReference"/>
          <w:spacing w:val="-2"/>
          <w:kern w:val="17"/>
        </w:rPr>
        <w:endnoteRef/>
      </w:r>
      <w:r w:rsidRPr="00FD52C4">
        <w:rPr>
          <w:spacing w:val="-2"/>
          <w:kern w:val="17"/>
        </w:rPr>
        <w:t xml:space="preserve"> </w:t>
      </w:r>
      <w:proofErr w:type="spellStart"/>
      <w:r w:rsidRPr="00FD52C4">
        <w:rPr>
          <w:spacing w:val="-2"/>
          <w:kern w:val="17"/>
        </w:rPr>
        <w:t>Grameenphone</w:t>
      </w:r>
      <w:proofErr w:type="spellEnd"/>
      <w:r w:rsidRPr="00FD52C4">
        <w:rPr>
          <w:spacing w:val="-2"/>
          <w:kern w:val="17"/>
        </w:rPr>
        <w:t xml:space="preserve">, </w:t>
      </w:r>
      <w:r w:rsidRPr="00FD52C4">
        <w:rPr>
          <w:i/>
          <w:spacing w:val="-2"/>
          <w:kern w:val="17"/>
        </w:rPr>
        <w:t>Welcome to a World Unbound: Annual Report 2016,</w:t>
      </w:r>
      <w:r w:rsidRPr="00FD52C4">
        <w:rPr>
          <w:spacing w:val="-2"/>
          <w:kern w:val="17"/>
        </w:rPr>
        <w:t xml:space="preserve"> 12, accessed June 4, 2017, </w:t>
      </w:r>
      <w:hyperlink r:id="rId3" w:history="1">
        <w:r w:rsidRPr="00FD52C4">
          <w:rPr>
            <w:rStyle w:val="Hyperlink"/>
            <w:color w:val="auto"/>
            <w:spacing w:val="-2"/>
            <w:kern w:val="17"/>
            <w:u w:val="none"/>
          </w:rPr>
          <w:t>https://cdn01.grameenphone.com/sites/default/files/investor_relations/annual_report/GP_Annual_Report_2016_Optimized.pdf</w:t>
        </w:r>
      </w:hyperlink>
      <w:r w:rsidRPr="00FD52C4">
        <w:rPr>
          <w:spacing w:val="-2"/>
          <w:kern w:val="17"/>
        </w:rPr>
        <w:t>.</w:t>
      </w:r>
      <w:r w:rsidRPr="00FD52C4" w:rsidDel="00A06F03">
        <w:rPr>
          <w:rStyle w:val="lookup-resultcontent"/>
          <w:spacing w:val="-2"/>
          <w:kern w:val="17"/>
        </w:rPr>
        <w:t xml:space="preserve"> </w:t>
      </w:r>
    </w:p>
  </w:endnote>
  <w:endnote w:id="12">
    <w:p w14:paraId="792FF373" w14:textId="6C8467B8" w:rsidR="006B0614" w:rsidRPr="00C924B0" w:rsidRDefault="006B0614" w:rsidP="004267B0">
      <w:pPr>
        <w:pStyle w:val="EndnoteText"/>
        <w:jc w:val="both"/>
        <w:rPr>
          <w:rFonts w:ascii="Arial" w:hAnsi="Arial" w:cs="Arial"/>
          <w:sz w:val="17"/>
          <w:szCs w:val="17"/>
        </w:rPr>
      </w:pPr>
      <w:r w:rsidRPr="00C924B0">
        <w:rPr>
          <w:rStyle w:val="EndnoteReference"/>
          <w:rFonts w:ascii="Arial" w:hAnsi="Arial" w:cs="Arial"/>
          <w:sz w:val="17"/>
          <w:szCs w:val="17"/>
        </w:rPr>
        <w:endnoteRef/>
      </w:r>
      <w:r w:rsidRPr="00C924B0">
        <w:rPr>
          <w:rFonts w:ascii="Arial" w:hAnsi="Arial" w:cs="Arial"/>
          <w:sz w:val="17"/>
          <w:szCs w:val="17"/>
        </w:rPr>
        <w:t xml:space="preserve"> </w:t>
      </w:r>
      <w:proofErr w:type="spellStart"/>
      <w:r>
        <w:rPr>
          <w:rFonts w:ascii="Arial" w:hAnsi="Arial" w:cs="Arial"/>
          <w:sz w:val="17"/>
          <w:szCs w:val="17"/>
        </w:rPr>
        <w:t>Tk</w:t>
      </w:r>
      <w:proofErr w:type="spellEnd"/>
      <w:r>
        <w:rPr>
          <w:rFonts w:ascii="Arial" w:hAnsi="Arial" w:cs="Arial"/>
          <w:sz w:val="17"/>
          <w:szCs w:val="17"/>
        </w:rPr>
        <w:t xml:space="preserve"> = BDT</w:t>
      </w:r>
      <w:r w:rsidRPr="00C924B0">
        <w:rPr>
          <w:rFonts w:ascii="Arial" w:hAnsi="Arial" w:cs="Arial"/>
          <w:sz w:val="17"/>
          <w:szCs w:val="17"/>
        </w:rPr>
        <w:t xml:space="preserve"> = Bangladeshi Taka; </w:t>
      </w:r>
      <w:r>
        <w:rPr>
          <w:rFonts w:ascii="Arial" w:hAnsi="Arial" w:cs="Arial"/>
          <w:sz w:val="17"/>
          <w:szCs w:val="17"/>
        </w:rPr>
        <w:t>US$1.00 = Tk78.96 on December 31, 2016.</w:t>
      </w:r>
    </w:p>
  </w:endnote>
  <w:endnote w:id="13">
    <w:p w14:paraId="53EA5C4A" w14:textId="0A5F575B" w:rsidR="006B0614" w:rsidRPr="00162A7D" w:rsidRDefault="006B0614" w:rsidP="004267B0">
      <w:pPr>
        <w:pStyle w:val="Footnote"/>
      </w:pPr>
      <w:r w:rsidRPr="00162A7D">
        <w:rPr>
          <w:rStyle w:val="EndnoteReference"/>
        </w:rPr>
        <w:endnoteRef/>
      </w:r>
      <w:r w:rsidRPr="00162A7D">
        <w:t xml:space="preserve"> </w:t>
      </w:r>
      <w:r w:rsidRPr="004267B0">
        <w:rPr>
          <w:rStyle w:val="apple-converted-space"/>
        </w:rPr>
        <w:t>“</w:t>
      </w:r>
      <w:r w:rsidRPr="004267B0">
        <w:rPr>
          <w:iCs/>
        </w:rPr>
        <w:t>B</w:t>
      </w:r>
      <w:r w:rsidRPr="004267B0">
        <w:t xml:space="preserve">RAC at a Glance,” BRAC, accessed April 6, 2017, </w:t>
      </w:r>
      <w:r w:rsidRPr="00162A7D">
        <w:rPr>
          <w:rStyle w:val="Hyperlink"/>
          <w:color w:val="auto"/>
          <w:u w:val="none"/>
        </w:rPr>
        <w:t>www.brac.net/partnership</w:t>
      </w:r>
      <w:r>
        <w:t>.</w:t>
      </w:r>
    </w:p>
  </w:endnote>
  <w:endnote w:id="14">
    <w:p w14:paraId="60E372D3" w14:textId="59E28A4F" w:rsidR="006B0614" w:rsidRPr="00162A7D" w:rsidRDefault="006B0614" w:rsidP="004267B0">
      <w:pPr>
        <w:pStyle w:val="Footnote"/>
      </w:pPr>
      <w:r w:rsidRPr="00592AAB">
        <w:rPr>
          <w:rStyle w:val="EndnoteReference"/>
        </w:rPr>
        <w:endnoteRef/>
      </w:r>
      <w:r w:rsidRPr="00592AAB">
        <w:t xml:space="preserve"> Authors’ interview with Allah Malik </w:t>
      </w:r>
      <w:proofErr w:type="spellStart"/>
      <w:r w:rsidRPr="00592AAB">
        <w:t>Kazemi</w:t>
      </w:r>
      <w:proofErr w:type="spellEnd"/>
      <w:r w:rsidRPr="00592AAB">
        <w:t>, senior advisor to the central bank governor.</w:t>
      </w:r>
    </w:p>
  </w:endnote>
  <w:endnote w:id="15">
    <w:p w14:paraId="10B8F0BB" w14:textId="59D75624" w:rsidR="006B0614" w:rsidRPr="00162A7D" w:rsidRDefault="006B0614" w:rsidP="004267B0">
      <w:pPr>
        <w:pStyle w:val="Footnote"/>
      </w:pPr>
      <w:r w:rsidRPr="00162A7D">
        <w:rPr>
          <w:rStyle w:val="EndnoteReference"/>
        </w:rPr>
        <w:endnoteRef/>
      </w:r>
      <w:r w:rsidRPr="00162A7D">
        <w:t xml:space="preserve"> </w:t>
      </w:r>
      <w:r>
        <w:t xml:space="preserve">Michel </w:t>
      </w:r>
      <w:proofErr w:type="spellStart"/>
      <w:r>
        <w:t>Hanouch</w:t>
      </w:r>
      <w:proofErr w:type="spellEnd"/>
      <w:r>
        <w:t>, “</w:t>
      </w:r>
      <w:r w:rsidRPr="004267B0">
        <w:rPr>
          <w:iCs/>
        </w:rPr>
        <w:t>What Is USSD &amp; Why Does It Matter for Mobile Financial Services?”</w:t>
      </w:r>
      <w:r w:rsidRPr="004267B0">
        <w:t xml:space="preserve"> </w:t>
      </w:r>
      <w:r w:rsidRPr="004267B0">
        <w:rPr>
          <w:iCs/>
        </w:rPr>
        <w:t>CGAP</w:t>
      </w:r>
      <w:r w:rsidRPr="004267B0">
        <w:t>, February 17, 2015, accessed</w:t>
      </w:r>
      <w:r w:rsidRPr="00162A7D">
        <w:rPr>
          <w:shd w:val="clear" w:color="auto" w:fill="FFFFFF"/>
        </w:rPr>
        <w:t xml:space="preserve"> </w:t>
      </w:r>
      <w:r w:rsidRPr="004267B0">
        <w:t xml:space="preserve">April 5, 2017, </w:t>
      </w:r>
      <w:r w:rsidRPr="004267B0">
        <w:rPr>
          <w:rStyle w:val="Hyperlink"/>
          <w:color w:val="auto"/>
          <w:u w:val="none"/>
        </w:rPr>
        <w:t>www</w:t>
      </w:r>
      <w:r w:rsidRPr="00162A7D">
        <w:rPr>
          <w:rStyle w:val="Hyperlink"/>
          <w:color w:val="auto"/>
          <w:u w:val="none"/>
        </w:rPr>
        <w:t>.cgap.org/blog/what-ussd-why-does-it-matter-mobile-financial-services</w:t>
      </w:r>
      <w:r>
        <w:rPr>
          <w:rStyle w:val="Hyperlink"/>
          <w:color w:val="auto"/>
          <w:u w:val="none"/>
        </w:rPr>
        <w:t>.</w:t>
      </w:r>
    </w:p>
  </w:endnote>
  <w:endnote w:id="16">
    <w:p w14:paraId="21F7F4E0" w14:textId="17E7260C" w:rsidR="006B0614" w:rsidRPr="00C924B0" w:rsidRDefault="006B0614" w:rsidP="004267B0">
      <w:pPr>
        <w:pStyle w:val="Footnote"/>
        <w:rPr>
          <w:shd w:val="clear" w:color="auto" w:fill="FFFFFF"/>
        </w:rPr>
      </w:pPr>
      <w:r w:rsidRPr="00162A7D">
        <w:rPr>
          <w:rStyle w:val="EndnoteReference"/>
        </w:rPr>
        <w:endnoteRef/>
      </w:r>
      <w:r w:rsidRPr="00162A7D">
        <w:t xml:space="preserve"> </w:t>
      </w:r>
      <w:r>
        <w:t>“</w:t>
      </w:r>
      <w:r w:rsidRPr="004267B0">
        <w:rPr>
          <w:iCs/>
        </w:rPr>
        <w:t>Innovation,” BRAC, a</w:t>
      </w:r>
      <w:r w:rsidRPr="004267B0">
        <w:t xml:space="preserve">ccessed April 5, 2017, </w:t>
      </w:r>
      <w:r w:rsidRPr="004267B0">
        <w:rPr>
          <w:rStyle w:val="Hyperlink"/>
          <w:color w:val="auto"/>
          <w:u w:val="none"/>
        </w:rPr>
        <w:t>http</w:t>
      </w:r>
      <w:r w:rsidRPr="00162A7D">
        <w:rPr>
          <w:rStyle w:val="Hyperlink"/>
          <w:color w:val="auto"/>
          <w:u w:val="none"/>
        </w:rPr>
        <w:t>://innovation.brac.net/fundchallenge/</w:t>
      </w:r>
      <w:r>
        <w:rPr>
          <w:rStyle w:val="Hyperlink"/>
          <w:color w:val="auto"/>
          <w:u w:val="none"/>
        </w:rPr>
        <w:t>.</w:t>
      </w:r>
    </w:p>
  </w:endnote>
  <w:endnote w:id="17">
    <w:p w14:paraId="4079FF08" w14:textId="54C7E1C2" w:rsidR="006B0614" w:rsidRPr="00DF45FD" w:rsidRDefault="006B0614" w:rsidP="004267B0">
      <w:pPr>
        <w:pStyle w:val="Footnote"/>
      </w:pPr>
      <w:r w:rsidRPr="00592AAB">
        <w:rPr>
          <w:rStyle w:val="EndnoteReference"/>
        </w:rPr>
        <w:endnoteRef/>
      </w:r>
      <w:r w:rsidRPr="00DF45FD">
        <w:t xml:space="preserve"> </w:t>
      </w:r>
      <w:proofErr w:type="spellStart"/>
      <w:r>
        <w:t>Shamsin</w:t>
      </w:r>
      <w:proofErr w:type="spellEnd"/>
      <w:r>
        <w:t xml:space="preserve"> </w:t>
      </w:r>
      <w:r w:rsidRPr="00DF45FD">
        <w:rPr>
          <w:rStyle w:val="Hyperlink"/>
          <w:color w:val="auto"/>
          <w:u w:val="none"/>
        </w:rPr>
        <w:t>Ahmed</w:t>
      </w:r>
      <w:r>
        <w:rPr>
          <w:rStyle w:val="Hyperlink"/>
          <w:color w:val="auto"/>
          <w:u w:val="none"/>
        </w:rPr>
        <w:t xml:space="preserve"> and Maria A. May</w:t>
      </w:r>
      <w:r w:rsidRPr="00DF45FD">
        <w:rPr>
          <w:rStyle w:val="Hyperlink"/>
          <w:color w:val="auto"/>
          <w:u w:val="none"/>
        </w:rPr>
        <w:t xml:space="preserve">, </w:t>
      </w:r>
      <w:r>
        <w:rPr>
          <w:rStyle w:val="Hyperlink"/>
          <w:color w:val="auto"/>
          <w:u w:val="none"/>
        </w:rPr>
        <w:t>“</w:t>
      </w:r>
      <w:r w:rsidRPr="00DF45FD">
        <w:rPr>
          <w:rStyle w:val="Hyperlink"/>
          <w:color w:val="auto"/>
          <w:u w:val="none"/>
        </w:rPr>
        <w:t>Mobile Money in Bangladesh: Shifting from Scale to Innovation</w:t>
      </w:r>
      <w:r>
        <w:rPr>
          <w:rStyle w:val="Hyperlink"/>
          <w:color w:val="auto"/>
          <w:u w:val="none"/>
        </w:rPr>
        <w:t xml:space="preserve">,” </w:t>
      </w:r>
      <w:r w:rsidRPr="00DF45FD">
        <w:rPr>
          <w:rStyle w:val="Hyperlink"/>
          <w:color w:val="auto"/>
          <w:u w:val="none"/>
        </w:rPr>
        <w:t>Impatient Optimists</w:t>
      </w:r>
      <w:r>
        <w:rPr>
          <w:rStyle w:val="Hyperlink"/>
          <w:color w:val="auto"/>
          <w:u w:val="none"/>
        </w:rPr>
        <w:t>,</w:t>
      </w:r>
      <w:r w:rsidRPr="00DF45FD">
        <w:rPr>
          <w:rStyle w:val="Hyperlink"/>
          <w:color w:val="auto"/>
          <w:u w:val="none"/>
        </w:rPr>
        <w:t xml:space="preserve"> </w:t>
      </w:r>
      <w:r>
        <w:rPr>
          <w:rStyle w:val="Hyperlink"/>
          <w:color w:val="auto"/>
          <w:u w:val="none"/>
        </w:rPr>
        <w:t xml:space="preserve">Bill and Melinda Gates Foundation, </w:t>
      </w:r>
      <w:r w:rsidRPr="003E0A08">
        <w:rPr>
          <w:rStyle w:val="Hyperlink"/>
          <w:color w:val="auto"/>
          <w:u w:val="none"/>
        </w:rPr>
        <w:t>June 18, 2014</w:t>
      </w:r>
      <w:r>
        <w:rPr>
          <w:rStyle w:val="Hyperlink"/>
          <w:color w:val="auto"/>
          <w:u w:val="none"/>
        </w:rPr>
        <w:t xml:space="preserve">, accessed </w:t>
      </w:r>
      <w:r w:rsidRPr="00DF45FD">
        <w:rPr>
          <w:rStyle w:val="Hyperlink"/>
          <w:color w:val="auto"/>
          <w:u w:val="none"/>
        </w:rPr>
        <w:t xml:space="preserve">December </w:t>
      </w:r>
      <w:r>
        <w:rPr>
          <w:rStyle w:val="Hyperlink"/>
          <w:color w:val="auto"/>
          <w:u w:val="none"/>
        </w:rPr>
        <w:t xml:space="preserve">4, </w:t>
      </w:r>
      <w:r w:rsidR="00FD52C4">
        <w:rPr>
          <w:rStyle w:val="Hyperlink"/>
          <w:color w:val="auto"/>
          <w:u w:val="none"/>
        </w:rPr>
        <w:t xml:space="preserve">2016, </w:t>
      </w:r>
      <w:r w:rsidRPr="00DF45FD">
        <w:rPr>
          <w:rStyle w:val="Hyperlink"/>
          <w:color w:val="auto"/>
          <w:u w:val="none"/>
        </w:rPr>
        <w:t>www.impatientoptimists.org/Posts/2014/06/Mobile-Money-in-Bangladesh-Shifting-from-Scale-to-Innovation.</w:t>
      </w:r>
    </w:p>
  </w:endnote>
  <w:endnote w:id="18">
    <w:p w14:paraId="23399E97" w14:textId="34A6F035" w:rsidR="006B0614" w:rsidRPr="00162A7D" w:rsidRDefault="006B0614" w:rsidP="004267B0">
      <w:pPr>
        <w:pStyle w:val="Footnote"/>
      </w:pPr>
      <w:r w:rsidRPr="00162A7D">
        <w:rPr>
          <w:rStyle w:val="EndnoteReference"/>
        </w:rPr>
        <w:endnoteRef/>
      </w:r>
      <w:r w:rsidRPr="00162A7D">
        <w:t xml:space="preserve"> McKinsey</w:t>
      </w:r>
      <w:r>
        <w:t xml:space="preserve"> &amp; Company,</w:t>
      </w:r>
      <w:r w:rsidRPr="00162A7D">
        <w:t xml:space="preserve"> </w:t>
      </w:r>
      <w:r w:rsidRPr="00C924B0">
        <w:rPr>
          <w:i/>
        </w:rPr>
        <w:t>McKinsey on Payments</w:t>
      </w:r>
      <w:r w:rsidRPr="00162A7D">
        <w:t xml:space="preserve"> </w:t>
      </w:r>
      <w:r>
        <w:t>20 (</w:t>
      </w:r>
      <w:r w:rsidRPr="00162A7D">
        <w:t>September</w:t>
      </w:r>
      <w:r>
        <w:t xml:space="preserve"> 2014):</w:t>
      </w:r>
      <w:r w:rsidRPr="00162A7D">
        <w:t xml:space="preserve"> </w:t>
      </w:r>
      <w:r>
        <w:t xml:space="preserve">4, accessed June 20, 2017, </w:t>
      </w:r>
      <w:r w:rsidRPr="003E0A08">
        <w:t>www.mckinsey.com/~/media/mckinsey/dotcom/client_service/financial%20services/latest%20thinking/payments/mop20_transforming_national_payments_systems.ashx</w:t>
      </w:r>
      <w:r w:rsidRPr="00162A7D">
        <w:t>.</w:t>
      </w:r>
    </w:p>
  </w:endnote>
  <w:endnote w:id="19">
    <w:p w14:paraId="7485C1AC" w14:textId="130AF597" w:rsidR="006B0614" w:rsidRPr="00162A7D" w:rsidRDefault="006B0614" w:rsidP="004267B0">
      <w:pPr>
        <w:pStyle w:val="Footnote"/>
      </w:pPr>
      <w:r w:rsidRPr="00162A7D">
        <w:rPr>
          <w:rStyle w:val="EndnoteReference"/>
        </w:rPr>
        <w:endnoteRef/>
      </w:r>
      <w:r w:rsidRPr="00162A7D">
        <w:t xml:space="preserve"> </w:t>
      </w:r>
      <w:r>
        <w:t xml:space="preserve">Greg </w:t>
      </w:r>
      <w:r w:rsidRPr="00162A7D">
        <w:rPr>
          <w:rStyle w:val="lookup-resultcontent"/>
        </w:rPr>
        <w:t xml:space="preserve">Chen, </w:t>
      </w:r>
      <w:r>
        <w:rPr>
          <w:rStyle w:val="lookup-resultcontent"/>
        </w:rPr>
        <w:t>“</w:t>
      </w:r>
      <w:r w:rsidRPr="00162A7D">
        <w:rPr>
          <w:rStyle w:val="lookup-resultcontent"/>
        </w:rPr>
        <w:t xml:space="preserve">BKash Bangladesh: What Explains </w:t>
      </w:r>
      <w:r>
        <w:rPr>
          <w:rStyle w:val="lookup-resultcontent"/>
        </w:rPr>
        <w:t>I</w:t>
      </w:r>
      <w:r w:rsidRPr="00162A7D">
        <w:rPr>
          <w:rStyle w:val="lookup-resultcontent"/>
        </w:rPr>
        <w:t>ts Fast Start?</w:t>
      </w:r>
      <w:r>
        <w:rPr>
          <w:rStyle w:val="lookup-resultcontent"/>
        </w:rPr>
        <w:t>”</w:t>
      </w:r>
      <w:r w:rsidRPr="00162A7D">
        <w:rPr>
          <w:rStyle w:val="lookup-resultcontent"/>
        </w:rPr>
        <w:t xml:space="preserve"> CGAP, August 4</w:t>
      </w:r>
      <w:r>
        <w:rPr>
          <w:rStyle w:val="lookup-resultcontent"/>
        </w:rPr>
        <w:t>, 2014,</w:t>
      </w:r>
      <w:r w:rsidRPr="00162A7D">
        <w:rPr>
          <w:rStyle w:val="lookup-resultcontent"/>
        </w:rPr>
        <w:t xml:space="preserve"> </w:t>
      </w:r>
      <w:r>
        <w:rPr>
          <w:rStyle w:val="lookup-resultcontent"/>
        </w:rPr>
        <w:t xml:space="preserve">accessed </w:t>
      </w:r>
      <w:r w:rsidRPr="00162A7D">
        <w:rPr>
          <w:rStyle w:val="lookup-resultcontent"/>
        </w:rPr>
        <w:t xml:space="preserve">January 15, 2017, </w:t>
      </w:r>
      <w:r w:rsidRPr="00162A7D">
        <w:rPr>
          <w:rStyle w:val="Hyperlink"/>
          <w:color w:val="auto"/>
          <w:u w:val="none"/>
        </w:rPr>
        <w:t>www.cgap.org/blog/bkash-bangladesh-what-explains-its-fast-start</w:t>
      </w:r>
      <w:r>
        <w:rPr>
          <w:rStyle w:val="Hyperlink"/>
          <w:color w:val="auto"/>
          <w:u w:val="none"/>
        </w:rPr>
        <w:t>.</w:t>
      </w:r>
    </w:p>
  </w:endnote>
  <w:endnote w:id="20">
    <w:p w14:paraId="4A63D3E0" w14:textId="6625D7BA" w:rsidR="006B0614" w:rsidRPr="00162A7D" w:rsidRDefault="006B0614" w:rsidP="004267B0">
      <w:pPr>
        <w:pStyle w:val="Footnote"/>
      </w:pPr>
      <w:r w:rsidRPr="00162A7D">
        <w:rPr>
          <w:rStyle w:val="EndnoteReference"/>
        </w:rPr>
        <w:endnoteRef/>
      </w:r>
      <w:r w:rsidRPr="00162A7D">
        <w:t xml:space="preserve"> </w:t>
      </w:r>
      <w:r>
        <w:t xml:space="preserve">Matthew Cowgill, </w:t>
      </w:r>
      <w:proofErr w:type="spellStart"/>
      <w:r>
        <w:t>Malte</w:t>
      </w:r>
      <w:proofErr w:type="spellEnd"/>
      <w:r>
        <w:t xml:space="preserve"> </w:t>
      </w:r>
      <w:proofErr w:type="spellStart"/>
      <w:r>
        <w:t>Luebker</w:t>
      </w:r>
      <w:proofErr w:type="spellEnd"/>
      <w:r>
        <w:t xml:space="preserve">, and </w:t>
      </w:r>
      <w:proofErr w:type="spellStart"/>
      <w:r>
        <w:t>Cuntao</w:t>
      </w:r>
      <w:proofErr w:type="spellEnd"/>
      <w:r>
        <w:t xml:space="preserve"> Xia,</w:t>
      </w:r>
      <w:r w:rsidRPr="00162A7D">
        <w:t xml:space="preserve"> </w:t>
      </w:r>
      <w:r w:rsidRPr="00592AAB">
        <w:t>“</w:t>
      </w:r>
      <w:r w:rsidRPr="00FD52C4">
        <w:t xml:space="preserve">Minimum Wages in the Global Garment Industry,” </w:t>
      </w:r>
      <w:r w:rsidRPr="001C7232">
        <w:t>Research Note,</w:t>
      </w:r>
      <w:r>
        <w:t xml:space="preserve"> </w:t>
      </w:r>
      <w:r w:rsidRPr="00162A7D">
        <w:t>I</w:t>
      </w:r>
      <w:r>
        <w:t xml:space="preserve">nternational </w:t>
      </w:r>
      <w:proofErr w:type="spellStart"/>
      <w:r>
        <w:t>Labour</w:t>
      </w:r>
      <w:proofErr w:type="spellEnd"/>
      <w:r>
        <w:t xml:space="preserve"> Organization, </w:t>
      </w:r>
      <w:r w:rsidRPr="00162A7D">
        <w:t>December 2015</w:t>
      </w:r>
      <w:r>
        <w:t xml:space="preserve">, accessed June 20, 2017, </w:t>
      </w:r>
      <w:r w:rsidRPr="0002295E">
        <w:t>www.ilo.org/wcmsp5/groups/public/---</w:t>
      </w:r>
      <w:proofErr w:type="spellStart"/>
      <w:r w:rsidRPr="0002295E">
        <w:t>asia</w:t>
      </w:r>
      <w:proofErr w:type="spellEnd"/>
      <w:r w:rsidRPr="0002295E">
        <w:t>/---</w:t>
      </w:r>
      <w:proofErr w:type="spellStart"/>
      <w:r w:rsidRPr="0002295E">
        <w:t>ro-bangkok</w:t>
      </w:r>
      <w:proofErr w:type="spellEnd"/>
      <w:r w:rsidRPr="0002295E">
        <w:t>/documents/publication/wcms_436867.pdf</w:t>
      </w:r>
      <w:r>
        <w:t>.</w:t>
      </w:r>
    </w:p>
  </w:endnote>
  <w:endnote w:id="21">
    <w:p w14:paraId="72C423E5" w14:textId="54D1DB01" w:rsidR="006B0614" w:rsidRPr="00162A7D" w:rsidRDefault="006B0614" w:rsidP="004267B0">
      <w:pPr>
        <w:pStyle w:val="Footnote"/>
      </w:pPr>
      <w:r w:rsidRPr="00162A7D">
        <w:rPr>
          <w:rStyle w:val="EndnoteReference"/>
        </w:rPr>
        <w:endnoteRef/>
      </w:r>
      <w:r w:rsidRPr="00162A7D">
        <w:t xml:space="preserve"> </w:t>
      </w:r>
      <w:proofErr w:type="spellStart"/>
      <w:r>
        <w:t>Faruk</w:t>
      </w:r>
      <w:proofErr w:type="spellEnd"/>
      <w:r>
        <w:t xml:space="preserve"> </w:t>
      </w:r>
      <w:r w:rsidRPr="00162A7D">
        <w:t xml:space="preserve">Ahmed, </w:t>
      </w:r>
      <w:r>
        <w:t>“</w:t>
      </w:r>
      <w:r w:rsidRPr="00162A7D">
        <w:t xml:space="preserve">bKash under </w:t>
      </w:r>
      <w:r>
        <w:t>S</w:t>
      </w:r>
      <w:r w:rsidRPr="00162A7D">
        <w:t xml:space="preserve">crutiny for its </w:t>
      </w:r>
      <w:r>
        <w:t>C</w:t>
      </w:r>
      <w:r w:rsidRPr="00162A7D">
        <w:t xml:space="preserve">ontroversial </w:t>
      </w:r>
      <w:r>
        <w:t>R</w:t>
      </w:r>
      <w:r w:rsidRPr="00162A7D">
        <w:t xml:space="preserve">oles, </w:t>
      </w:r>
      <w:r w:rsidRPr="00C924B0">
        <w:rPr>
          <w:i/>
        </w:rPr>
        <w:t>Daily Observer,</w:t>
      </w:r>
      <w:r w:rsidRPr="00162A7D">
        <w:t xml:space="preserve"> September 8, 2015</w:t>
      </w:r>
      <w:r>
        <w:t xml:space="preserve">, accessed June 20, 201, </w:t>
      </w:r>
      <w:r w:rsidRPr="00DC6470">
        <w:t>www.observerbd.com/2015/09/08/109500.php</w:t>
      </w:r>
      <w:r>
        <w:t>.</w:t>
      </w:r>
    </w:p>
  </w:endnote>
  <w:endnote w:id="22">
    <w:p w14:paraId="47A5EA50" w14:textId="74599E57" w:rsidR="006B0614" w:rsidRDefault="006B0614" w:rsidP="004267B0">
      <w:pPr>
        <w:pStyle w:val="EndnoteText"/>
      </w:pPr>
      <w:r>
        <w:rPr>
          <w:rStyle w:val="EndnoteReference"/>
        </w:rPr>
        <w:endnoteRef/>
      </w:r>
      <w:r>
        <w:t xml:space="preserve"> </w:t>
      </w:r>
      <w:r w:rsidRPr="00592AAB">
        <w:rPr>
          <w:rFonts w:ascii="Arial" w:hAnsi="Arial" w:cs="Arial"/>
          <w:sz w:val="17"/>
          <w:szCs w:val="17"/>
        </w:rPr>
        <w:t xml:space="preserve">Authors’ interview with Allah Malik </w:t>
      </w:r>
      <w:proofErr w:type="spellStart"/>
      <w:r w:rsidRPr="00592AAB">
        <w:rPr>
          <w:rFonts w:ascii="Arial" w:hAnsi="Arial" w:cs="Arial"/>
          <w:sz w:val="17"/>
          <w:szCs w:val="17"/>
        </w:rPr>
        <w:t>Kazemi</w:t>
      </w:r>
      <w:proofErr w:type="spellEnd"/>
      <w:r w:rsidRPr="00592AAB">
        <w:rPr>
          <w:rFonts w:ascii="Arial" w:hAnsi="Arial" w:cs="Arial"/>
          <w:sz w:val="17"/>
          <w:szCs w:val="17"/>
        </w:rPr>
        <w:t>, senior advisor to the central bank governor.</w:t>
      </w:r>
    </w:p>
  </w:endnote>
  <w:endnote w:id="23">
    <w:p w14:paraId="335237A3" w14:textId="46952417" w:rsidR="006B0614" w:rsidRPr="00DF45FD" w:rsidRDefault="006B0614" w:rsidP="004267B0">
      <w:pPr>
        <w:pStyle w:val="Footnote"/>
      </w:pPr>
      <w:r w:rsidRPr="00162A7D">
        <w:rPr>
          <w:rStyle w:val="EndnoteReference"/>
        </w:rPr>
        <w:endnoteRef/>
      </w:r>
      <w:r>
        <w:t xml:space="preserve"> Bangladesh Bank, </w:t>
      </w:r>
      <w:r w:rsidRPr="00FD52C4">
        <w:rPr>
          <w:i/>
        </w:rPr>
        <w:t>Regulatory</w:t>
      </w:r>
      <w:r w:rsidRPr="00592AAB">
        <w:rPr>
          <w:i/>
        </w:rPr>
        <w:t xml:space="preserve"> </w:t>
      </w:r>
      <w:r w:rsidRPr="00FD52C4">
        <w:rPr>
          <w:i/>
        </w:rPr>
        <w:t xml:space="preserve">Guidelines for Mobile Financial Services (MFS) in Bangladesh (Revised </w:t>
      </w:r>
      <w:r>
        <w:rPr>
          <w:i/>
        </w:rPr>
        <w:t>V</w:t>
      </w:r>
      <w:r w:rsidRPr="00FD52C4">
        <w:rPr>
          <w:i/>
        </w:rPr>
        <w:t>ersion, July 2015)</w:t>
      </w:r>
      <w:r>
        <w:t>,</w:t>
      </w:r>
      <w:r w:rsidRPr="00DF45FD">
        <w:t xml:space="preserve"> 2015</w:t>
      </w:r>
      <w:r>
        <w:t xml:space="preserve">, accessed </w:t>
      </w:r>
      <w:r w:rsidRPr="00DF45FD">
        <w:t xml:space="preserve">September </w:t>
      </w:r>
      <w:r>
        <w:t xml:space="preserve">4, </w:t>
      </w:r>
      <w:r w:rsidRPr="00DF45FD">
        <w:t>2016, https://www.bb.org.bd/aboutus/draftguinotification/guideline/mfs_final_v9.pdf</w:t>
      </w:r>
      <w:r>
        <w:t>.</w:t>
      </w:r>
    </w:p>
    <w:p w14:paraId="38817205" w14:textId="77777777" w:rsidR="006B0614" w:rsidRPr="0054472C" w:rsidRDefault="006B0614" w:rsidP="004267B0">
      <w:pPr>
        <w:pStyle w:val="Foot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rightSan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C2216" w14:textId="77777777" w:rsidR="006B0614" w:rsidRDefault="006B0614" w:rsidP="00D75295">
      <w:r>
        <w:separator/>
      </w:r>
    </w:p>
  </w:footnote>
  <w:footnote w:type="continuationSeparator" w:id="0">
    <w:p w14:paraId="0CFC2159" w14:textId="77777777" w:rsidR="006B0614" w:rsidRDefault="006B0614"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881AD" w14:textId="21AC9CCE" w:rsidR="006B0614" w:rsidRDefault="006B061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95EFB">
      <w:rPr>
        <w:rFonts w:ascii="Arial" w:hAnsi="Arial"/>
        <w:b/>
        <w:noProof/>
      </w:rPr>
      <w:t>15</w:t>
    </w:r>
    <w:r>
      <w:rPr>
        <w:rFonts w:ascii="Arial" w:hAnsi="Arial"/>
        <w:b/>
      </w:rPr>
      <w:fldChar w:fldCharType="end"/>
    </w:r>
    <w:r>
      <w:rPr>
        <w:rFonts w:ascii="Arial" w:hAnsi="Arial"/>
        <w:b/>
      </w:rPr>
      <w:tab/>
      <w:t>9B17M</w:t>
    </w:r>
    <w:r w:rsidR="00FD52C4">
      <w:rPr>
        <w:rFonts w:ascii="Arial" w:hAnsi="Arial"/>
        <w:b/>
      </w:rPr>
      <w:t>097</w:t>
    </w:r>
  </w:p>
  <w:p w14:paraId="04939322" w14:textId="77777777" w:rsidR="006B0614" w:rsidRPr="00C92CC4" w:rsidRDefault="006B0614">
    <w:pPr>
      <w:pStyle w:val="Header"/>
      <w:rPr>
        <w:sz w:val="18"/>
        <w:szCs w:val="18"/>
      </w:rPr>
    </w:pPr>
  </w:p>
  <w:p w14:paraId="2C802531" w14:textId="77777777" w:rsidR="006B0614" w:rsidRPr="00C92CC4" w:rsidRDefault="006B061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B7A26"/>
    <w:multiLevelType w:val="hybridMultilevel"/>
    <w:tmpl w:val="D1844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91FAA"/>
    <w:multiLevelType w:val="hybridMultilevel"/>
    <w:tmpl w:val="FD0A2A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EC1F31"/>
    <w:multiLevelType w:val="hybridMultilevel"/>
    <w:tmpl w:val="8054BCB0"/>
    <w:lvl w:ilvl="0" w:tplc="D5B04F6C">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134F7E3B"/>
    <w:multiLevelType w:val="hybridMultilevel"/>
    <w:tmpl w:val="DABC1F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577739"/>
    <w:multiLevelType w:val="hybridMultilevel"/>
    <w:tmpl w:val="5B46E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1E33C55"/>
    <w:multiLevelType w:val="hybridMultilevel"/>
    <w:tmpl w:val="FE140B76"/>
    <w:lvl w:ilvl="0" w:tplc="D738F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73906"/>
    <w:multiLevelType w:val="hybridMultilevel"/>
    <w:tmpl w:val="93BC1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9D77FB"/>
    <w:multiLevelType w:val="hybridMultilevel"/>
    <w:tmpl w:val="3D9A9DE8"/>
    <w:lvl w:ilvl="0" w:tplc="2E2EEEA4">
      <w:start w:val="1"/>
      <w:numFmt w:val="decimal"/>
      <w:lvlText w:val="%1."/>
      <w:lvlJc w:val="left"/>
      <w:pPr>
        <w:ind w:left="1080" w:hanging="360"/>
      </w:pPr>
      <w:rPr>
        <w:rFonts w:ascii="AlrightSans-Bold" w:hAnsi="AlrightSans-Bold" w:cs="AlrightSans-Bol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4BFD7621"/>
    <w:multiLevelType w:val="hybridMultilevel"/>
    <w:tmpl w:val="3918C1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CF34C94"/>
    <w:multiLevelType w:val="hybridMultilevel"/>
    <w:tmpl w:val="CD68B414"/>
    <w:lvl w:ilvl="0" w:tplc="2E2EEEA4">
      <w:start w:val="1"/>
      <w:numFmt w:val="decimal"/>
      <w:lvlText w:val="%1."/>
      <w:lvlJc w:val="left"/>
      <w:pPr>
        <w:ind w:left="720" w:hanging="360"/>
      </w:pPr>
      <w:rPr>
        <w:rFonts w:ascii="AlrightSans-Bold" w:hAnsi="AlrightSans-Bold" w:cs="AlrightSan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55444A7"/>
    <w:multiLevelType w:val="hybridMultilevel"/>
    <w:tmpl w:val="7E4E103E"/>
    <w:lvl w:ilvl="0" w:tplc="60147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59E866D7"/>
    <w:multiLevelType w:val="hybridMultilevel"/>
    <w:tmpl w:val="2468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15:restartNumberingAfterBreak="0">
    <w:nsid w:val="61292D81"/>
    <w:multiLevelType w:val="hybridMultilevel"/>
    <w:tmpl w:val="B752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C1AD8"/>
    <w:multiLevelType w:val="hybridMultilevel"/>
    <w:tmpl w:val="297E2246"/>
    <w:lvl w:ilvl="0" w:tplc="D5B04F6C">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7" w15:restartNumberingAfterBreak="0">
    <w:nsid w:val="673F1738"/>
    <w:multiLevelType w:val="hybridMultilevel"/>
    <w:tmpl w:val="B8B6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66295C"/>
    <w:multiLevelType w:val="hybridMultilevel"/>
    <w:tmpl w:val="D9B6B2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AF33A51"/>
    <w:multiLevelType w:val="hybridMultilevel"/>
    <w:tmpl w:val="50ECCC7C"/>
    <w:lvl w:ilvl="0" w:tplc="D5B04F6C">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C36259F"/>
    <w:multiLevelType w:val="hybridMultilevel"/>
    <w:tmpl w:val="22B87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6"/>
  </w:num>
  <w:num w:numId="13">
    <w:abstractNumId w:val="14"/>
  </w:num>
  <w:num w:numId="14">
    <w:abstractNumId w:val="29"/>
  </w:num>
  <w:num w:numId="15">
    <w:abstractNumId w:val="31"/>
  </w:num>
  <w:num w:numId="16">
    <w:abstractNumId w:val="33"/>
  </w:num>
  <w:num w:numId="17">
    <w:abstractNumId w:val="21"/>
  </w:num>
  <w:num w:numId="18">
    <w:abstractNumId w:val="36"/>
  </w:num>
  <w:num w:numId="19">
    <w:abstractNumId w:val="13"/>
  </w:num>
  <w:num w:numId="20">
    <w:abstractNumId w:val="11"/>
  </w:num>
  <w:num w:numId="21">
    <w:abstractNumId w:val="41"/>
  </w:num>
  <w:num w:numId="22">
    <w:abstractNumId w:val="24"/>
  </w:num>
  <w:num w:numId="23">
    <w:abstractNumId w:val="4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3"/>
  </w:num>
  <w:num w:numId="28">
    <w:abstractNumId w:val="37"/>
  </w:num>
  <w:num w:numId="29">
    <w:abstractNumId w:val="28"/>
  </w:num>
  <w:num w:numId="30">
    <w:abstractNumId w:val="25"/>
  </w:num>
  <w:num w:numId="31">
    <w:abstractNumId w:val="40"/>
  </w:num>
  <w:num w:numId="32">
    <w:abstractNumId w:val="30"/>
  </w:num>
  <w:num w:numId="33">
    <w:abstractNumId w:val="18"/>
  </w:num>
  <w:num w:numId="34">
    <w:abstractNumId w:val="22"/>
  </w:num>
  <w:num w:numId="35">
    <w:abstractNumId w:val="38"/>
  </w:num>
  <w:num w:numId="36">
    <w:abstractNumId w:val="10"/>
  </w:num>
  <w:num w:numId="37">
    <w:abstractNumId w:val="27"/>
  </w:num>
  <w:num w:numId="38">
    <w:abstractNumId w:val="16"/>
  </w:num>
  <w:num w:numId="39">
    <w:abstractNumId w:val="12"/>
  </w:num>
  <w:num w:numId="40">
    <w:abstractNumId w:val="39"/>
  </w:num>
  <w:num w:numId="41">
    <w:abstractNumId w:val="35"/>
  </w:num>
  <w:num w:numId="42">
    <w:abstractNumId w:val="15"/>
  </w:num>
  <w:num w:numId="43">
    <w:abstractNumId w:val="32"/>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0CB8"/>
    <w:rsid w:val="000216CE"/>
    <w:rsid w:val="00022731"/>
    <w:rsid w:val="0002295E"/>
    <w:rsid w:val="00025DC7"/>
    <w:rsid w:val="00026486"/>
    <w:rsid w:val="00033D36"/>
    <w:rsid w:val="0004223A"/>
    <w:rsid w:val="00042B20"/>
    <w:rsid w:val="0004427F"/>
    <w:rsid w:val="00044ECC"/>
    <w:rsid w:val="00045447"/>
    <w:rsid w:val="000531D3"/>
    <w:rsid w:val="0005637F"/>
    <w:rsid w:val="0005646B"/>
    <w:rsid w:val="0005711E"/>
    <w:rsid w:val="0006320A"/>
    <w:rsid w:val="00066C5A"/>
    <w:rsid w:val="00075D23"/>
    <w:rsid w:val="0008102D"/>
    <w:rsid w:val="00083810"/>
    <w:rsid w:val="000854A1"/>
    <w:rsid w:val="00094C0E"/>
    <w:rsid w:val="0009617F"/>
    <w:rsid w:val="000B02A2"/>
    <w:rsid w:val="000D3241"/>
    <w:rsid w:val="000D472F"/>
    <w:rsid w:val="000E4653"/>
    <w:rsid w:val="000F0B5E"/>
    <w:rsid w:val="000F0C22"/>
    <w:rsid w:val="000F6B09"/>
    <w:rsid w:val="000F6FDC"/>
    <w:rsid w:val="00102CB8"/>
    <w:rsid w:val="00104567"/>
    <w:rsid w:val="001070C7"/>
    <w:rsid w:val="0012732D"/>
    <w:rsid w:val="00127D00"/>
    <w:rsid w:val="00154FC9"/>
    <w:rsid w:val="00162A7D"/>
    <w:rsid w:val="00166A51"/>
    <w:rsid w:val="001772F2"/>
    <w:rsid w:val="0019241A"/>
    <w:rsid w:val="00193864"/>
    <w:rsid w:val="001A5335"/>
    <w:rsid w:val="001A752D"/>
    <w:rsid w:val="001B172D"/>
    <w:rsid w:val="001B28E4"/>
    <w:rsid w:val="001C4A4E"/>
    <w:rsid w:val="001C7D23"/>
    <w:rsid w:val="001D20EB"/>
    <w:rsid w:val="001F61DB"/>
    <w:rsid w:val="00203AA1"/>
    <w:rsid w:val="00213E98"/>
    <w:rsid w:val="00237582"/>
    <w:rsid w:val="00240631"/>
    <w:rsid w:val="00246852"/>
    <w:rsid w:val="0027465C"/>
    <w:rsid w:val="00282EA1"/>
    <w:rsid w:val="00283F1F"/>
    <w:rsid w:val="002A6E8E"/>
    <w:rsid w:val="002B536C"/>
    <w:rsid w:val="002B6EC3"/>
    <w:rsid w:val="002B70AC"/>
    <w:rsid w:val="002C10FA"/>
    <w:rsid w:val="002D720D"/>
    <w:rsid w:val="002E32F0"/>
    <w:rsid w:val="002E6153"/>
    <w:rsid w:val="002E7B90"/>
    <w:rsid w:val="002F2C2F"/>
    <w:rsid w:val="002F33AC"/>
    <w:rsid w:val="002F460C"/>
    <w:rsid w:val="002F48D6"/>
    <w:rsid w:val="00300B31"/>
    <w:rsid w:val="003255CC"/>
    <w:rsid w:val="00326966"/>
    <w:rsid w:val="00331C31"/>
    <w:rsid w:val="00350F11"/>
    <w:rsid w:val="00354899"/>
    <w:rsid w:val="00355FD6"/>
    <w:rsid w:val="00361C8E"/>
    <w:rsid w:val="00364A5C"/>
    <w:rsid w:val="00373FB1"/>
    <w:rsid w:val="003A0C7A"/>
    <w:rsid w:val="003A4D46"/>
    <w:rsid w:val="003B30D8"/>
    <w:rsid w:val="003B3D71"/>
    <w:rsid w:val="003B517F"/>
    <w:rsid w:val="003B53E3"/>
    <w:rsid w:val="003B7EF2"/>
    <w:rsid w:val="003C3FA4"/>
    <w:rsid w:val="003C5E00"/>
    <w:rsid w:val="003E0A08"/>
    <w:rsid w:val="003E4AD3"/>
    <w:rsid w:val="003E4B67"/>
    <w:rsid w:val="003E7E4A"/>
    <w:rsid w:val="003F2B0C"/>
    <w:rsid w:val="003F3403"/>
    <w:rsid w:val="00410EED"/>
    <w:rsid w:val="004221E4"/>
    <w:rsid w:val="004267B0"/>
    <w:rsid w:val="00430B55"/>
    <w:rsid w:val="00440F36"/>
    <w:rsid w:val="0045048C"/>
    <w:rsid w:val="00456285"/>
    <w:rsid w:val="004612EF"/>
    <w:rsid w:val="00467FB5"/>
    <w:rsid w:val="00471088"/>
    <w:rsid w:val="0047169E"/>
    <w:rsid w:val="00473716"/>
    <w:rsid w:val="00474DDA"/>
    <w:rsid w:val="00475F09"/>
    <w:rsid w:val="004817BF"/>
    <w:rsid w:val="00483AF9"/>
    <w:rsid w:val="0049428B"/>
    <w:rsid w:val="004961AD"/>
    <w:rsid w:val="004962B3"/>
    <w:rsid w:val="004A02EB"/>
    <w:rsid w:val="004A26AC"/>
    <w:rsid w:val="004A6CA1"/>
    <w:rsid w:val="004A781D"/>
    <w:rsid w:val="004B1CCB"/>
    <w:rsid w:val="004B34DC"/>
    <w:rsid w:val="004C7BB7"/>
    <w:rsid w:val="004D3FF9"/>
    <w:rsid w:val="004D73A5"/>
    <w:rsid w:val="004E5A25"/>
    <w:rsid w:val="004E784C"/>
    <w:rsid w:val="004F2A95"/>
    <w:rsid w:val="004F75F9"/>
    <w:rsid w:val="00506783"/>
    <w:rsid w:val="00506C53"/>
    <w:rsid w:val="00506CB9"/>
    <w:rsid w:val="00507BE6"/>
    <w:rsid w:val="00510582"/>
    <w:rsid w:val="0051664A"/>
    <w:rsid w:val="005252E1"/>
    <w:rsid w:val="00532CF5"/>
    <w:rsid w:val="0054472C"/>
    <w:rsid w:val="005528CB"/>
    <w:rsid w:val="00555FC5"/>
    <w:rsid w:val="0055638A"/>
    <w:rsid w:val="00557F66"/>
    <w:rsid w:val="00560BD0"/>
    <w:rsid w:val="00566771"/>
    <w:rsid w:val="00566B9D"/>
    <w:rsid w:val="00574898"/>
    <w:rsid w:val="00580814"/>
    <w:rsid w:val="00581E2E"/>
    <w:rsid w:val="00584F15"/>
    <w:rsid w:val="00592AAB"/>
    <w:rsid w:val="00593EF9"/>
    <w:rsid w:val="005950D1"/>
    <w:rsid w:val="00595EFB"/>
    <w:rsid w:val="005B47ED"/>
    <w:rsid w:val="005C35C4"/>
    <w:rsid w:val="005D286E"/>
    <w:rsid w:val="005E5FBE"/>
    <w:rsid w:val="005E5FD0"/>
    <w:rsid w:val="005E7023"/>
    <w:rsid w:val="005F16A9"/>
    <w:rsid w:val="005F2FFF"/>
    <w:rsid w:val="005F58FD"/>
    <w:rsid w:val="005F6344"/>
    <w:rsid w:val="006144AA"/>
    <w:rsid w:val="006163F7"/>
    <w:rsid w:val="00616FF0"/>
    <w:rsid w:val="0062513A"/>
    <w:rsid w:val="00625B9B"/>
    <w:rsid w:val="00626659"/>
    <w:rsid w:val="00632D3F"/>
    <w:rsid w:val="00652606"/>
    <w:rsid w:val="006538AF"/>
    <w:rsid w:val="00677530"/>
    <w:rsid w:val="00682754"/>
    <w:rsid w:val="00684E11"/>
    <w:rsid w:val="006925AE"/>
    <w:rsid w:val="006976EB"/>
    <w:rsid w:val="006A506F"/>
    <w:rsid w:val="006A51CF"/>
    <w:rsid w:val="006A58A9"/>
    <w:rsid w:val="006A606D"/>
    <w:rsid w:val="006A742F"/>
    <w:rsid w:val="006B0614"/>
    <w:rsid w:val="006B7F7A"/>
    <w:rsid w:val="006C0371"/>
    <w:rsid w:val="006C08B6"/>
    <w:rsid w:val="006C0B1A"/>
    <w:rsid w:val="006C2BEB"/>
    <w:rsid w:val="006C4384"/>
    <w:rsid w:val="006C6065"/>
    <w:rsid w:val="006C7F9F"/>
    <w:rsid w:val="006E2F6D"/>
    <w:rsid w:val="006E58F6"/>
    <w:rsid w:val="006E77E1"/>
    <w:rsid w:val="006F131D"/>
    <w:rsid w:val="006F1D9E"/>
    <w:rsid w:val="00712BC4"/>
    <w:rsid w:val="00742BCB"/>
    <w:rsid w:val="00750F93"/>
    <w:rsid w:val="00752BCD"/>
    <w:rsid w:val="00753E4E"/>
    <w:rsid w:val="007648D7"/>
    <w:rsid w:val="00766DA1"/>
    <w:rsid w:val="00767186"/>
    <w:rsid w:val="00771040"/>
    <w:rsid w:val="00781152"/>
    <w:rsid w:val="007849A6"/>
    <w:rsid w:val="007866A6"/>
    <w:rsid w:val="007A130D"/>
    <w:rsid w:val="007A7E62"/>
    <w:rsid w:val="007B203C"/>
    <w:rsid w:val="007C46A6"/>
    <w:rsid w:val="007D4102"/>
    <w:rsid w:val="007D54C3"/>
    <w:rsid w:val="007E2FE8"/>
    <w:rsid w:val="007E3B55"/>
    <w:rsid w:val="007E5921"/>
    <w:rsid w:val="007E592F"/>
    <w:rsid w:val="007F5CE0"/>
    <w:rsid w:val="00801E5D"/>
    <w:rsid w:val="008172E9"/>
    <w:rsid w:val="00821FFC"/>
    <w:rsid w:val="008271CA"/>
    <w:rsid w:val="008467D5"/>
    <w:rsid w:val="00856D9F"/>
    <w:rsid w:val="008649CE"/>
    <w:rsid w:val="00866999"/>
    <w:rsid w:val="00866F6D"/>
    <w:rsid w:val="008756C7"/>
    <w:rsid w:val="008813D3"/>
    <w:rsid w:val="00881CA4"/>
    <w:rsid w:val="0088733D"/>
    <w:rsid w:val="008934F9"/>
    <w:rsid w:val="008945D8"/>
    <w:rsid w:val="008A4DC4"/>
    <w:rsid w:val="008B120B"/>
    <w:rsid w:val="008B1B28"/>
    <w:rsid w:val="008B5E0D"/>
    <w:rsid w:val="008B7DCE"/>
    <w:rsid w:val="008D29EC"/>
    <w:rsid w:val="008D4A0B"/>
    <w:rsid w:val="008D606F"/>
    <w:rsid w:val="008D6457"/>
    <w:rsid w:val="008D6A81"/>
    <w:rsid w:val="008F1EE7"/>
    <w:rsid w:val="008F2EC9"/>
    <w:rsid w:val="009067A4"/>
    <w:rsid w:val="0090722E"/>
    <w:rsid w:val="00920EDC"/>
    <w:rsid w:val="00922902"/>
    <w:rsid w:val="00923C0F"/>
    <w:rsid w:val="009263F8"/>
    <w:rsid w:val="00932484"/>
    <w:rsid w:val="009340DB"/>
    <w:rsid w:val="00945F9E"/>
    <w:rsid w:val="00950AC1"/>
    <w:rsid w:val="00951296"/>
    <w:rsid w:val="009551DD"/>
    <w:rsid w:val="0096082D"/>
    <w:rsid w:val="009619BE"/>
    <w:rsid w:val="00962F25"/>
    <w:rsid w:val="00970046"/>
    <w:rsid w:val="009704E9"/>
    <w:rsid w:val="00972498"/>
    <w:rsid w:val="00974CC6"/>
    <w:rsid w:val="00975F15"/>
    <w:rsid w:val="00976AD4"/>
    <w:rsid w:val="00980931"/>
    <w:rsid w:val="00982454"/>
    <w:rsid w:val="0098321E"/>
    <w:rsid w:val="009936E5"/>
    <w:rsid w:val="009A312F"/>
    <w:rsid w:val="009A5348"/>
    <w:rsid w:val="009A67BB"/>
    <w:rsid w:val="009B03C4"/>
    <w:rsid w:val="009C1A4D"/>
    <w:rsid w:val="009C2EB3"/>
    <w:rsid w:val="009C76D5"/>
    <w:rsid w:val="009D6566"/>
    <w:rsid w:val="009F7AA4"/>
    <w:rsid w:val="00A05E0C"/>
    <w:rsid w:val="00A06F03"/>
    <w:rsid w:val="00A10CD4"/>
    <w:rsid w:val="00A11505"/>
    <w:rsid w:val="00A2241D"/>
    <w:rsid w:val="00A26C03"/>
    <w:rsid w:val="00A27FB1"/>
    <w:rsid w:val="00A314AD"/>
    <w:rsid w:val="00A443F9"/>
    <w:rsid w:val="00A472F6"/>
    <w:rsid w:val="00A559DB"/>
    <w:rsid w:val="00A57BBD"/>
    <w:rsid w:val="00A601A7"/>
    <w:rsid w:val="00A61974"/>
    <w:rsid w:val="00A77D09"/>
    <w:rsid w:val="00A82921"/>
    <w:rsid w:val="00A83125"/>
    <w:rsid w:val="00A865AB"/>
    <w:rsid w:val="00A86D43"/>
    <w:rsid w:val="00A87320"/>
    <w:rsid w:val="00A87BA7"/>
    <w:rsid w:val="00A91D77"/>
    <w:rsid w:val="00A929D0"/>
    <w:rsid w:val="00AA3BEA"/>
    <w:rsid w:val="00AA3C9D"/>
    <w:rsid w:val="00AA4AA1"/>
    <w:rsid w:val="00AA75B7"/>
    <w:rsid w:val="00AB010C"/>
    <w:rsid w:val="00AB3946"/>
    <w:rsid w:val="00AC5F20"/>
    <w:rsid w:val="00AC7D85"/>
    <w:rsid w:val="00AF35FC"/>
    <w:rsid w:val="00B03639"/>
    <w:rsid w:val="00B055F0"/>
    <w:rsid w:val="00B0652A"/>
    <w:rsid w:val="00B077CC"/>
    <w:rsid w:val="00B1133D"/>
    <w:rsid w:val="00B22DD1"/>
    <w:rsid w:val="00B23543"/>
    <w:rsid w:val="00B266DB"/>
    <w:rsid w:val="00B2731C"/>
    <w:rsid w:val="00B35D93"/>
    <w:rsid w:val="00B3757D"/>
    <w:rsid w:val="00B40937"/>
    <w:rsid w:val="00B421CC"/>
    <w:rsid w:val="00B423EF"/>
    <w:rsid w:val="00B453DE"/>
    <w:rsid w:val="00B4742F"/>
    <w:rsid w:val="00B527B2"/>
    <w:rsid w:val="00B55B7B"/>
    <w:rsid w:val="00B634E2"/>
    <w:rsid w:val="00B70C15"/>
    <w:rsid w:val="00B72B5A"/>
    <w:rsid w:val="00B7407E"/>
    <w:rsid w:val="00B74FFC"/>
    <w:rsid w:val="00B901F9"/>
    <w:rsid w:val="00BC490A"/>
    <w:rsid w:val="00BC4984"/>
    <w:rsid w:val="00BC67C3"/>
    <w:rsid w:val="00BD6EFB"/>
    <w:rsid w:val="00BE1C6B"/>
    <w:rsid w:val="00BE6893"/>
    <w:rsid w:val="00BF186C"/>
    <w:rsid w:val="00BF1E6F"/>
    <w:rsid w:val="00C059BC"/>
    <w:rsid w:val="00C06315"/>
    <w:rsid w:val="00C065BF"/>
    <w:rsid w:val="00C15BE2"/>
    <w:rsid w:val="00C21E4E"/>
    <w:rsid w:val="00C22089"/>
    <w:rsid w:val="00C22219"/>
    <w:rsid w:val="00C252C7"/>
    <w:rsid w:val="00C3447F"/>
    <w:rsid w:val="00C40AE7"/>
    <w:rsid w:val="00C41870"/>
    <w:rsid w:val="00C4561A"/>
    <w:rsid w:val="00C46688"/>
    <w:rsid w:val="00C527F5"/>
    <w:rsid w:val="00C62748"/>
    <w:rsid w:val="00C75BAD"/>
    <w:rsid w:val="00C81491"/>
    <w:rsid w:val="00C81676"/>
    <w:rsid w:val="00C82B9E"/>
    <w:rsid w:val="00C85F35"/>
    <w:rsid w:val="00C924B0"/>
    <w:rsid w:val="00C92CC4"/>
    <w:rsid w:val="00CA0AFB"/>
    <w:rsid w:val="00CA2CE1"/>
    <w:rsid w:val="00CA3976"/>
    <w:rsid w:val="00CA3B5A"/>
    <w:rsid w:val="00CA757B"/>
    <w:rsid w:val="00CB6B09"/>
    <w:rsid w:val="00CB729E"/>
    <w:rsid w:val="00CC1787"/>
    <w:rsid w:val="00CC182C"/>
    <w:rsid w:val="00CC551C"/>
    <w:rsid w:val="00CC7545"/>
    <w:rsid w:val="00CD0824"/>
    <w:rsid w:val="00CD2908"/>
    <w:rsid w:val="00CE71C8"/>
    <w:rsid w:val="00D03A82"/>
    <w:rsid w:val="00D15344"/>
    <w:rsid w:val="00D22C88"/>
    <w:rsid w:val="00D31BEC"/>
    <w:rsid w:val="00D51E57"/>
    <w:rsid w:val="00D6025A"/>
    <w:rsid w:val="00D6227D"/>
    <w:rsid w:val="00D63150"/>
    <w:rsid w:val="00D63212"/>
    <w:rsid w:val="00D64A32"/>
    <w:rsid w:val="00D64EFC"/>
    <w:rsid w:val="00D65D74"/>
    <w:rsid w:val="00D75295"/>
    <w:rsid w:val="00D76CE9"/>
    <w:rsid w:val="00D904D3"/>
    <w:rsid w:val="00D97F12"/>
    <w:rsid w:val="00DA0244"/>
    <w:rsid w:val="00DA1A3B"/>
    <w:rsid w:val="00DA630A"/>
    <w:rsid w:val="00DB42E7"/>
    <w:rsid w:val="00DC15D4"/>
    <w:rsid w:val="00DC1D1D"/>
    <w:rsid w:val="00DC3CF0"/>
    <w:rsid w:val="00DC6470"/>
    <w:rsid w:val="00DC70BC"/>
    <w:rsid w:val="00DC7B77"/>
    <w:rsid w:val="00DE71F8"/>
    <w:rsid w:val="00DF32C2"/>
    <w:rsid w:val="00DF45FD"/>
    <w:rsid w:val="00E00200"/>
    <w:rsid w:val="00E037E9"/>
    <w:rsid w:val="00E05A43"/>
    <w:rsid w:val="00E073F8"/>
    <w:rsid w:val="00E10B96"/>
    <w:rsid w:val="00E11CAA"/>
    <w:rsid w:val="00E12031"/>
    <w:rsid w:val="00E13F92"/>
    <w:rsid w:val="00E17A26"/>
    <w:rsid w:val="00E2582B"/>
    <w:rsid w:val="00E3213F"/>
    <w:rsid w:val="00E46EC9"/>
    <w:rsid w:val="00E471A7"/>
    <w:rsid w:val="00E52C7B"/>
    <w:rsid w:val="00E635CF"/>
    <w:rsid w:val="00E725DD"/>
    <w:rsid w:val="00E74942"/>
    <w:rsid w:val="00E76889"/>
    <w:rsid w:val="00E85C0C"/>
    <w:rsid w:val="00E949D8"/>
    <w:rsid w:val="00EA010F"/>
    <w:rsid w:val="00EA4A33"/>
    <w:rsid w:val="00EA5C2A"/>
    <w:rsid w:val="00EB5410"/>
    <w:rsid w:val="00EC6E0A"/>
    <w:rsid w:val="00ED4E18"/>
    <w:rsid w:val="00ED691B"/>
    <w:rsid w:val="00EE17C9"/>
    <w:rsid w:val="00EE1F37"/>
    <w:rsid w:val="00EF6424"/>
    <w:rsid w:val="00F0159C"/>
    <w:rsid w:val="00F05547"/>
    <w:rsid w:val="00F105B7"/>
    <w:rsid w:val="00F17A21"/>
    <w:rsid w:val="00F269DC"/>
    <w:rsid w:val="00F3243D"/>
    <w:rsid w:val="00F361EE"/>
    <w:rsid w:val="00F41A0B"/>
    <w:rsid w:val="00F47CA1"/>
    <w:rsid w:val="00F50E91"/>
    <w:rsid w:val="00F57D29"/>
    <w:rsid w:val="00F74EC3"/>
    <w:rsid w:val="00F922FA"/>
    <w:rsid w:val="00F92A99"/>
    <w:rsid w:val="00F94D4D"/>
    <w:rsid w:val="00F96201"/>
    <w:rsid w:val="00F975AF"/>
    <w:rsid w:val="00FB30D1"/>
    <w:rsid w:val="00FB5760"/>
    <w:rsid w:val="00FC0CF5"/>
    <w:rsid w:val="00FC30E9"/>
    <w:rsid w:val="00FD0B18"/>
    <w:rsid w:val="00FD0F82"/>
    <w:rsid w:val="00FD3429"/>
    <w:rsid w:val="00FD52C4"/>
    <w:rsid w:val="00FE30F1"/>
    <w:rsid w:val="00FE6BB5"/>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49B454B3"/>
  <w15:docId w15:val="{40A7E201-7317-4974-90CA-F44CD675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2665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2665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26659"/>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26659"/>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626659"/>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aliases w:val="f t,ft"/>
    <w:basedOn w:val="Normal"/>
    <w:link w:val="FootnoteTextChar"/>
    <w:unhideWhenUsed/>
    <w:rsid w:val="006C0B1A"/>
  </w:style>
  <w:style w:type="character" w:customStyle="1" w:styleId="FootnoteTextChar">
    <w:name w:val="Footnote Text Char"/>
    <w:aliases w:val="f t Char,f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
    <w:rsid w:val="0062665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266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665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2665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26659"/>
    <w:rPr>
      <w:rFonts w:asciiTheme="majorHAnsi" w:eastAsiaTheme="majorEastAsia" w:hAnsiTheme="majorHAnsi" w:cstheme="majorBidi"/>
      <w:color w:val="365F91" w:themeColor="accent1" w:themeShade="BF"/>
      <w:sz w:val="24"/>
      <w:szCs w:val="24"/>
    </w:rPr>
  </w:style>
  <w:style w:type="paragraph" w:customStyle="1" w:styleId="dropcap">
    <w:name w:val="dropcap"/>
    <w:basedOn w:val="Normal"/>
    <w:rsid w:val="00626659"/>
    <w:pPr>
      <w:spacing w:before="100" w:beforeAutospacing="1" w:after="100" w:afterAutospacing="1"/>
    </w:pPr>
    <w:rPr>
      <w:sz w:val="24"/>
      <w:szCs w:val="24"/>
    </w:rPr>
  </w:style>
  <w:style w:type="character" w:customStyle="1" w:styleId="bquote">
    <w:name w:val="bquote"/>
    <w:basedOn w:val="DefaultParagraphFont"/>
    <w:rsid w:val="00626659"/>
  </w:style>
  <w:style w:type="paragraph" w:styleId="Caption">
    <w:name w:val="caption"/>
    <w:basedOn w:val="Normal"/>
    <w:next w:val="Normal"/>
    <w:uiPriority w:val="35"/>
    <w:unhideWhenUsed/>
    <w:qFormat/>
    <w:rsid w:val="00626659"/>
    <w:pPr>
      <w:spacing w:after="200"/>
    </w:pPr>
    <w:rPr>
      <w:rFonts w:asciiTheme="minorHAnsi" w:eastAsiaTheme="minorHAnsi" w:hAnsiTheme="minorHAnsi" w:cstheme="minorBidi"/>
      <w:i/>
      <w:iCs/>
      <w:color w:val="1F497D" w:themeColor="text2"/>
      <w:sz w:val="18"/>
      <w:szCs w:val="18"/>
    </w:rPr>
  </w:style>
  <w:style w:type="character" w:customStyle="1" w:styleId="lookup-resultcontent">
    <w:name w:val="lookup-result__content"/>
    <w:basedOn w:val="DefaultParagraphFont"/>
    <w:rsid w:val="00626659"/>
  </w:style>
  <w:style w:type="character" w:customStyle="1" w:styleId="apple-tab-span">
    <w:name w:val="apple-tab-span"/>
    <w:basedOn w:val="DefaultParagraphFont"/>
    <w:rsid w:val="00626659"/>
  </w:style>
  <w:style w:type="character" w:styleId="FollowedHyperlink">
    <w:name w:val="FollowedHyperlink"/>
    <w:basedOn w:val="DefaultParagraphFont"/>
    <w:uiPriority w:val="99"/>
    <w:semiHidden/>
    <w:unhideWhenUsed/>
    <w:rsid w:val="00626659"/>
    <w:rPr>
      <w:color w:val="800080" w:themeColor="followedHyperlink"/>
      <w:u w:val="single"/>
    </w:rPr>
  </w:style>
  <w:style w:type="character" w:customStyle="1" w:styleId="3oh-">
    <w:name w:val="_3oh-"/>
    <w:basedOn w:val="DefaultParagraphFont"/>
    <w:rsid w:val="00626659"/>
  </w:style>
  <w:style w:type="character" w:customStyle="1" w:styleId="selectable">
    <w:name w:val="selectable"/>
    <w:basedOn w:val="DefaultParagraphFont"/>
    <w:rsid w:val="00626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02672">
      <w:bodyDiv w:val="1"/>
      <w:marLeft w:val="0"/>
      <w:marRight w:val="0"/>
      <w:marTop w:val="0"/>
      <w:marBottom w:val="0"/>
      <w:divBdr>
        <w:top w:val="none" w:sz="0" w:space="0" w:color="auto"/>
        <w:left w:val="none" w:sz="0" w:space="0" w:color="auto"/>
        <w:bottom w:val="none" w:sz="0" w:space="0" w:color="auto"/>
        <w:right w:val="none" w:sz="0" w:space="0" w:color="auto"/>
      </w:divBdr>
    </w:div>
    <w:div w:id="310134952">
      <w:bodyDiv w:val="1"/>
      <w:marLeft w:val="0"/>
      <w:marRight w:val="0"/>
      <w:marTop w:val="0"/>
      <w:marBottom w:val="0"/>
      <w:divBdr>
        <w:top w:val="none" w:sz="0" w:space="0" w:color="auto"/>
        <w:left w:val="none" w:sz="0" w:space="0" w:color="auto"/>
        <w:bottom w:val="none" w:sz="0" w:space="0" w:color="auto"/>
        <w:right w:val="none" w:sz="0" w:space="0" w:color="auto"/>
      </w:divBdr>
    </w:div>
    <w:div w:id="608506245">
      <w:bodyDiv w:val="1"/>
      <w:marLeft w:val="0"/>
      <w:marRight w:val="0"/>
      <w:marTop w:val="0"/>
      <w:marBottom w:val="0"/>
      <w:divBdr>
        <w:top w:val="none" w:sz="0" w:space="0" w:color="auto"/>
        <w:left w:val="none" w:sz="0" w:space="0" w:color="auto"/>
        <w:bottom w:val="none" w:sz="0" w:space="0" w:color="auto"/>
        <w:right w:val="none" w:sz="0" w:space="0" w:color="auto"/>
      </w:divBdr>
    </w:div>
    <w:div w:id="671447459">
      <w:bodyDiv w:val="1"/>
      <w:marLeft w:val="0"/>
      <w:marRight w:val="0"/>
      <w:marTop w:val="0"/>
      <w:marBottom w:val="0"/>
      <w:divBdr>
        <w:top w:val="none" w:sz="0" w:space="0" w:color="auto"/>
        <w:left w:val="none" w:sz="0" w:space="0" w:color="auto"/>
        <w:bottom w:val="none" w:sz="0" w:space="0" w:color="auto"/>
        <w:right w:val="none" w:sz="0" w:space="0" w:color="auto"/>
      </w:divBdr>
    </w:div>
    <w:div w:id="935207387">
      <w:bodyDiv w:val="1"/>
      <w:marLeft w:val="0"/>
      <w:marRight w:val="0"/>
      <w:marTop w:val="0"/>
      <w:marBottom w:val="0"/>
      <w:divBdr>
        <w:top w:val="none" w:sz="0" w:space="0" w:color="auto"/>
        <w:left w:val="none" w:sz="0" w:space="0" w:color="auto"/>
        <w:bottom w:val="none" w:sz="0" w:space="0" w:color="auto"/>
        <w:right w:val="none" w:sz="0" w:space="0" w:color="auto"/>
      </w:divBdr>
    </w:div>
    <w:div w:id="998656565">
      <w:bodyDiv w:val="1"/>
      <w:marLeft w:val="0"/>
      <w:marRight w:val="0"/>
      <w:marTop w:val="0"/>
      <w:marBottom w:val="0"/>
      <w:divBdr>
        <w:top w:val="none" w:sz="0" w:space="0" w:color="auto"/>
        <w:left w:val="none" w:sz="0" w:space="0" w:color="auto"/>
        <w:bottom w:val="none" w:sz="0" w:space="0" w:color="auto"/>
        <w:right w:val="none" w:sz="0" w:space="0" w:color="auto"/>
      </w:divBdr>
    </w:div>
    <w:div w:id="1193348828">
      <w:bodyDiv w:val="1"/>
      <w:marLeft w:val="0"/>
      <w:marRight w:val="0"/>
      <w:marTop w:val="0"/>
      <w:marBottom w:val="0"/>
      <w:divBdr>
        <w:top w:val="none" w:sz="0" w:space="0" w:color="auto"/>
        <w:left w:val="none" w:sz="0" w:space="0" w:color="auto"/>
        <w:bottom w:val="none" w:sz="0" w:space="0" w:color="auto"/>
        <w:right w:val="none" w:sz="0" w:space="0" w:color="auto"/>
      </w:divBdr>
    </w:div>
    <w:div w:id="1271429727">
      <w:bodyDiv w:val="1"/>
      <w:marLeft w:val="0"/>
      <w:marRight w:val="0"/>
      <w:marTop w:val="0"/>
      <w:marBottom w:val="0"/>
      <w:divBdr>
        <w:top w:val="none" w:sz="0" w:space="0" w:color="auto"/>
        <w:left w:val="none" w:sz="0" w:space="0" w:color="auto"/>
        <w:bottom w:val="none" w:sz="0" w:space="0" w:color="auto"/>
        <w:right w:val="none" w:sz="0" w:space="0" w:color="auto"/>
      </w:divBdr>
    </w:div>
    <w:div w:id="1404641393">
      <w:bodyDiv w:val="1"/>
      <w:marLeft w:val="0"/>
      <w:marRight w:val="0"/>
      <w:marTop w:val="0"/>
      <w:marBottom w:val="0"/>
      <w:divBdr>
        <w:top w:val="none" w:sz="0" w:space="0" w:color="auto"/>
        <w:left w:val="none" w:sz="0" w:space="0" w:color="auto"/>
        <w:bottom w:val="none" w:sz="0" w:space="0" w:color="auto"/>
        <w:right w:val="none" w:sz="0" w:space="0" w:color="auto"/>
      </w:divBdr>
    </w:div>
    <w:div w:id="1523785991">
      <w:bodyDiv w:val="1"/>
      <w:marLeft w:val="0"/>
      <w:marRight w:val="0"/>
      <w:marTop w:val="0"/>
      <w:marBottom w:val="0"/>
      <w:divBdr>
        <w:top w:val="none" w:sz="0" w:space="0" w:color="auto"/>
        <w:left w:val="none" w:sz="0" w:space="0" w:color="auto"/>
        <w:bottom w:val="none" w:sz="0" w:space="0" w:color="auto"/>
        <w:right w:val="none" w:sz="0" w:space="0" w:color="auto"/>
      </w:divBdr>
    </w:div>
    <w:div w:id="1696613526">
      <w:bodyDiv w:val="1"/>
      <w:marLeft w:val="0"/>
      <w:marRight w:val="0"/>
      <w:marTop w:val="0"/>
      <w:marBottom w:val="0"/>
      <w:divBdr>
        <w:top w:val="none" w:sz="0" w:space="0" w:color="auto"/>
        <w:left w:val="none" w:sz="0" w:space="0" w:color="auto"/>
        <w:bottom w:val="none" w:sz="0" w:space="0" w:color="auto"/>
        <w:right w:val="none" w:sz="0" w:space="0" w:color="auto"/>
      </w:divBdr>
    </w:div>
    <w:div w:id="1915358675">
      <w:bodyDiv w:val="1"/>
      <w:marLeft w:val="0"/>
      <w:marRight w:val="0"/>
      <w:marTop w:val="0"/>
      <w:marBottom w:val="0"/>
      <w:divBdr>
        <w:top w:val="none" w:sz="0" w:space="0" w:color="auto"/>
        <w:left w:val="none" w:sz="0" w:space="0" w:color="auto"/>
        <w:bottom w:val="none" w:sz="0" w:space="0" w:color="auto"/>
        <w:right w:val="none" w:sz="0" w:space="0" w:color="auto"/>
      </w:divBdr>
    </w:div>
    <w:div w:id="1991325600">
      <w:bodyDiv w:val="1"/>
      <w:marLeft w:val="0"/>
      <w:marRight w:val="0"/>
      <w:marTop w:val="0"/>
      <w:marBottom w:val="0"/>
      <w:divBdr>
        <w:top w:val="none" w:sz="0" w:space="0" w:color="auto"/>
        <w:left w:val="none" w:sz="0" w:space="0" w:color="auto"/>
        <w:bottom w:val="none" w:sz="0" w:space="0" w:color="auto"/>
        <w:right w:val="none" w:sz="0" w:space="0" w:color="auto"/>
      </w:divBdr>
    </w:div>
    <w:div w:id="2051373456">
      <w:bodyDiv w:val="1"/>
      <w:marLeft w:val="0"/>
      <w:marRight w:val="0"/>
      <w:marTop w:val="0"/>
      <w:marBottom w:val="0"/>
      <w:divBdr>
        <w:top w:val="none" w:sz="0" w:space="0" w:color="auto"/>
        <w:left w:val="none" w:sz="0" w:space="0" w:color="auto"/>
        <w:bottom w:val="none" w:sz="0" w:space="0" w:color="auto"/>
        <w:right w:val="none" w:sz="0" w:space="0" w:color="auto"/>
      </w:divBdr>
    </w:div>
    <w:div w:id="20700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cdn01.grameenphone.com/sites/default/files/investor_relations/annual_report/GP_Annual_Report_2016_Optimized.pdf" TargetMode="External"/><Relationship Id="rId2" Type="http://schemas.openxmlformats.org/officeDocument/2006/relationships/hyperlink" Target="https://www.adb.org/countries/bangladesh/economy" TargetMode="External"/><Relationship Id="rId1" Type="http://schemas.openxmlformats.org/officeDocument/2006/relationships/hyperlink" Target="https://www.cia.gov/library/publications/the-world-factbook/geos/b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F62B8-FA5E-45B4-B960-F93F2335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6217</Words>
  <Characters>35439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5</cp:revision>
  <cp:lastPrinted>2017-05-18T21:12:00Z</cp:lastPrinted>
  <dcterms:created xsi:type="dcterms:W3CDTF">2017-06-26T15:51:00Z</dcterms:created>
  <dcterms:modified xsi:type="dcterms:W3CDTF">2017-09-25T13:18:00Z</dcterms:modified>
</cp:coreProperties>
</file>