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7EDB2" w14:textId="7D8D1B10" w:rsidR="008467D5" w:rsidRPr="00CB6B09" w:rsidRDefault="0054339A"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29542728" wp14:editId="1C6EE43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3C2B716"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FF6B2E4" w14:textId="0F91A993" w:rsidR="00D75295" w:rsidRPr="00CB6B09" w:rsidRDefault="00495227" w:rsidP="00F105B7">
      <w:pPr>
        <w:pStyle w:val="ProductNumber"/>
        <w:rPr>
          <w:lang w:val="en-GB"/>
        </w:rPr>
      </w:pPr>
      <w:r>
        <w:rPr>
          <w:lang w:val="en-GB"/>
        </w:rPr>
        <w:t>9B17M098</w:t>
      </w:r>
    </w:p>
    <w:p w14:paraId="06399DE3" w14:textId="77777777" w:rsidR="00D75295" w:rsidRPr="00CB6B09" w:rsidRDefault="00D75295" w:rsidP="00D75295">
      <w:pPr>
        <w:jc w:val="right"/>
        <w:rPr>
          <w:rFonts w:ascii="Arial" w:hAnsi="Arial"/>
          <w:b/>
          <w:sz w:val="28"/>
          <w:szCs w:val="28"/>
          <w:lang w:val="en-GB"/>
        </w:rPr>
      </w:pPr>
    </w:p>
    <w:p w14:paraId="6B6AC4C2" w14:textId="77777777" w:rsidR="00866F6D" w:rsidRPr="00CB6B09" w:rsidRDefault="00866F6D" w:rsidP="00D75295">
      <w:pPr>
        <w:jc w:val="right"/>
        <w:rPr>
          <w:rFonts w:ascii="Arial" w:hAnsi="Arial"/>
          <w:b/>
          <w:sz w:val="28"/>
          <w:szCs w:val="28"/>
          <w:lang w:val="en-GB"/>
        </w:rPr>
      </w:pPr>
    </w:p>
    <w:p w14:paraId="7A0B48A0" w14:textId="38EBBCAE" w:rsidR="00013360" w:rsidRPr="00CB6B09" w:rsidRDefault="00FE1852" w:rsidP="00013360">
      <w:pPr>
        <w:pStyle w:val="CaseTitle"/>
        <w:spacing w:after="0" w:line="240" w:lineRule="auto"/>
        <w:rPr>
          <w:lang w:val="en-GB"/>
        </w:rPr>
      </w:pPr>
      <w:r w:rsidRPr="00FE1852">
        <w:rPr>
          <w:lang w:val="en-GB"/>
        </w:rPr>
        <w:t xml:space="preserve">Finolex: </w:t>
      </w:r>
      <w:r w:rsidR="008154E8">
        <w:rPr>
          <w:lang w:val="en-GB"/>
        </w:rPr>
        <w:t xml:space="preserve">developing an integrated </w:t>
      </w:r>
      <w:r w:rsidR="00BD0978">
        <w:rPr>
          <w:lang w:val="en-GB"/>
        </w:rPr>
        <w:t>corporate social responsibility</w:t>
      </w:r>
      <w:r w:rsidR="008154E8">
        <w:rPr>
          <w:lang w:val="en-GB"/>
        </w:rPr>
        <w:t xml:space="preserve"> strategy</w:t>
      </w:r>
    </w:p>
    <w:p w14:paraId="1DEE0F99" w14:textId="77777777" w:rsidR="00013360" w:rsidRPr="00CB6B09" w:rsidRDefault="00013360" w:rsidP="00013360">
      <w:pPr>
        <w:pStyle w:val="CaseTitle"/>
        <w:spacing w:after="0" w:line="240" w:lineRule="auto"/>
        <w:rPr>
          <w:sz w:val="20"/>
          <w:szCs w:val="20"/>
          <w:lang w:val="en-GB"/>
        </w:rPr>
      </w:pPr>
    </w:p>
    <w:p w14:paraId="50D92298" w14:textId="77777777" w:rsidR="00CA3976" w:rsidRPr="00CB6B09" w:rsidRDefault="00CA3976" w:rsidP="00013360">
      <w:pPr>
        <w:pStyle w:val="CaseTitle"/>
        <w:spacing w:after="0" w:line="240" w:lineRule="auto"/>
        <w:rPr>
          <w:sz w:val="20"/>
          <w:szCs w:val="20"/>
          <w:lang w:val="en-GB"/>
        </w:rPr>
      </w:pPr>
    </w:p>
    <w:p w14:paraId="3510FC08" w14:textId="77777777" w:rsidR="00013360" w:rsidRPr="00CB6B09" w:rsidRDefault="00013360" w:rsidP="00013360">
      <w:pPr>
        <w:pStyle w:val="CaseTitle"/>
        <w:spacing w:after="0" w:line="240" w:lineRule="auto"/>
        <w:rPr>
          <w:sz w:val="20"/>
          <w:szCs w:val="20"/>
          <w:lang w:val="en-GB"/>
        </w:rPr>
      </w:pPr>
    </w:p>
    <w:p w14:paraId="67A19E70" w14:textId="77777777" w:rsidR="00013360" w:rsidRPr="00CB6B09" w:rsidRDefault="00884926" w:rsidP="00104567">
      <w:pPr>
        <w:pStyle w:val="StyleCopyrightStatementAfter0ptBottomSinglesolidline1"/>
        <w:rPr>
          <w:lang w:val="en-GB"/>
        </w:rPr>
      </w:pPr>
      <w:r w:rsidRPr="00884926">
        <w:rPr>
          <w:lang w:val="en-GB"/>
        </w:rPr>
        <w:t xml:space="preserve">Utkarsh Majmudar and Namrata Rana </w:t>
      </w:r>
      <w:r w:rsidR="007E5921" w:rsidRPr="00CB6B09">
        <w:rPr>
          <w:lang w:val="en-GB"/>
        </w:rPr>
        <w:t>wrote this case sol</w:t>
      </w:r>
      <w:r w:rsidR="00D75295" w:rsidRPr="00CB6B0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E481F3B" w14:textId="77777777" w:rsidR="00013360" w:rsidRPr="00CB6B09" w:rsidRDefault="00013360" w:rsidP="00104567">
      <w:pPr>
        <w:pStyle w:val="StyleCopyrightStatementAfter0ptBottomSinglesolidline1"/>
        <w:rPr>
          <w:lang w:val="en-GB"/>
        </w:rPr>
      </w:pPr>
    </w:p>
    <w:p w14:paraId="62CD8200" w14:textId="77777777" w:rsidR="0054339A" w:rsidRPr="0054339A" w:rsidRDefault="0054339A" w:rsidP="0054339A">
      <w:pPr>
        <w:pStyle w:val="StyleStyleCopyrightStatementAfter0ptBottomSinglesolid"/>
        <w:rPr>
          <w:lang w:val="en-GB"/>
        </w:rPr>
      </w:pPr>
      <w:r w:rsidRPr="0054339A">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1011E68" w14:textId="77777777" w:rsidR="0054339A" w:rsidRPr="0054339A" w:rsidRDefault="0054339A" w:rsidP="0054339A">
      <w:pPr>
        <w:pStyle w:val="StyleStyleCopyrightStatementAfter0ptBottomSinglesolid"/>
        <w:rPr>
          <w:lang w:val="en-GB"/>
        </w:rPr>
      </w:pPr>
    </w:p>
    <w:p w14:paraId="65C2661E" w14:textId="57AC9902" w:rsidR="003B7EF2" w:rsidRPr="00CB6B09" w:rsidRDefault="0054339A" w:rsidP="0054339A">
      <w:pPr>
        <w:pStyle w:val="StyleStyleCopyrightStatementAfter0ptBottomSinglesolid"/>
        <w:rPr>
          <w:lang w:val="en-GB"/>
        </w:rPr>
      </w:pPr>
      <w:r w:rsidRPr="0054339A">
        <w:rPr>
          <w:lang w:val="en-GB"/>
        </w:rPr>
        <w:t>Copyright © 2017, Richard Ivey School of Business Foundation</w:t>
      </w:r>
      <w:r w:rsidRPr="0054339A">
        <w:rPr>
          <w:lang w:val="en-GB"/>
        </w:rPr>
        <w:tab/>
        <w:t xml:space="preserve">Version: </w:t>
      </w:r>
      <w:r>
        <w:rPr>
          <w:lang w:val="en-GB"/>
        </w:rPr>
        <w:t>2017-06-</w:t>
      </w:r>
      <w:r w:rsidR="001E6BE7">
        <w:rPr>
          <w:lang w:val="en-GB"/>
        </w:rPr>
        <w:t>2</w:t>
      </w:r>
      <w:r w:rsidR="006F634A">
        <w:rPr>
          <w:lang w:val="en-GB"/>
        </w:rPr>
        <w:t>7</w:t>
      </w:r>
    </w:p>
    <w:p w14:paraId="6DD48561" w14:textId="77777777" w:rsidR="003B7EF2" w:rsidRPr="00CB6B09" w:rsidRDefault="003B7EF2" w:rsidP="00104567">
      <w:pPr>
        <w:pStyle w:val="StyleCopyrightStatementAfter0ptBottomSinglesolidline1"/>
        <w:rPr>
          <w:rFonts w:ascii="Times New Roman" w:hAnsi="Times New Roman"/>
          <w:sz w:val="20"/>
          <w:lang w:val="en-GB"/>
        </w:rPr>
      </w:pPr>
    </w:p>
    <w:p w14:paraId="0D0DDD71" w14:textId="77777777" w:rsidR="003B7EF2" w:rsidRDefault="003B7EF2" w:rsidP="006F1D9E">
      <w:pPr>
        <w:pStyle w:val="Footnote"/>
      </w:pPr>
    </w:p>
    <w:p w14:paraId="67F4ED9F" w14:textId="47D19BD7" w:rsidR="00F559AE" w:rsidRDefault="00F559AE" w:rsidP="00F559AE">
      <w:pPr>
        <w:pStyle w:val="BodyTextMain"/>
      </w:pPr>
      <w:r>
        <w:t xml:space="preserve">It was June 2016 and the first showers of the monsoon season had just started. Prakash and Ritu Chhabria were sitting </w:t>
      </w:r>
      <w:r w:rsidR="00F64D5B">
        <w:t>o</w:t>
      </w:r>
      <w:r>
        <w:t>n the large patio in front of their factory in Ratnagiri</w:t>
      </w:r>
      <w:r w:rsidR="00FC7501">
        <w:t>, India,</w:t>
      </w:r>
      <w:r>
        <w:t xml:space="preserve"> when Saurabh Dhanorkar, managing director of Finolex Industries</w:t>
      </w:r>
      <w:r w:rsidR="00A45C92">
        <w:t xml:space="preserve"> Limited (Finolex)</w:t>
      </w:r>
      <w:r>
        <w:t>, walked in. Prakash Chhabria was the owner and chairman of Finolex</w:t>
      </w:r>
      <w:r w:rsidR="00FC7501">
        <w:t>. H</w:t>
      </w:r>
      <w:r>
        <w:t xml:space="preserve">is wife, Ritu Chhabria, </w:t>
      </w:r>
      <w:r w:rsidR="00F64D5B">
        <w:t xml:space="preserve">was </w:t>
      </w:r>
      <w:r>
        <w:t xml:space="preserve">a director of Finolex and the </w:t>
      </w:r>
      <w:r w:rsidR="002A28E4">
        <w:t xml:space="preserve">force </w:t>
      </w:r>
      <w:r>
        <w:t>behind the Mukul Madhav Foundation</w:t>
      </w:r>
      <w:r w:rsidR="00662EC5">
        <w:t xml:space="preserve"> </w:t>
      </w:r>
      <w:r>
        <w:t>(MMF)</w:t>
      </w:r>
      <w:r w:rsidR="00F64D5B">
        <w:t>,</w:t>
      </w:r>
      <w:r>
        <w:t xml:space="preserve"> which undertook </w:t>
      </w:r>
      <w:r w:rsidR="001F29DE">
        <w:t xml:space="preserve">various </w:t>
      </w:r>
      <w:r>
        <w:t xml:space="preserve">philanthropic activities in the region. </w:t>
      </w:r>
    </w:p>
    <w:p w14:paraId="3A4CE818" w14:textId="77777777" w:rsidR="00F559AE" w:rsidRPr="0053144D" w:rsidRDefault="00F559AE" w:rsidP="00F559AE">
      <w:pPr>
        <w:pStyle w:val="BodyTextMain"/>
        <w:rPr>
          <w:sz w:val="20"/>
        </w:rPr>
      </w:pPr>
    </w:p>
    <w:p w14:paraId="3370B9CF" w14:textId="78B499D0" w:rsidR="00617E8C" w:rsidRDefault="00F559AE" w:rsidP="00F559AE">
      <w:pPr>
        <w:pStyle w:val="BodyTextMain"/>
        <w:rPr>
          <w:rFonts w:eastAsia="Arial Unicode MS"/>
        </w:rPr>
      </w:pPr>
      <w:r>
        <w:t xml:space="preserve">Dhanorkar had been looking for an opportunity to speak with Prakash and Ritu about the company’s </w:t>
      </w:r>
      <w:r w:rsidR="00F64D5B">
        <w:t xml:space="preserve">corporate </w:t>
      </w:r>
      <w:r>
        <w:t xml:space="preserve">social responsibility (CSR) strategy for the coming years. Several changes had taken place that warranted a </w:t>
      </w:r>
      <w:r w:rsidR="00A334EF">
        <w:t xml:space="preserve">re-examination of the company’s </w:t>
      </w:r>
      <w:r>
        <w:t>CSR and sustainability activities. For instance, the Indian government had in 2014 announced a mandatory CSR spend of 2</w:t>
      </w:r>
      <w:r w:rsidR="00A334EF">
        <w:t xml:space="preserve"> per cent </w:t>
      </w:r>
      <w:r>
        <w:t xml:space="preserve">of average profits of the past </w:t>
      </w:r>
      <w:r w:rsidR="00A334EF">
        <w:t xml:space="preserve">three </w:t>
      </w:r>
      <w:r>
        <w:t>years</w:t>
      </w:r>
      <w:r w:rsidR="002A28E4">
        <w:t xml:space="preserve"> for companies meeting certain criteria</w:t>
      </w:r>
      <w:r>
        <w:t xml:space="preserve">. In addition, India had ratified the Paris </w:t>
      </w:r>
      <w:r w:rsidR="002A28E4">
        <w:t>Agreement</w:t>
      </w:r>
      <w:r w:rsidR="00A334EF">
        <w:t>,</w:t>
      </w:r>
      <w:r w:rsidR="00617E8C">
        <w:rPr>
          <w:rStyle w:val="FootnoteReference"/>
        </w:rPr>
        <w:footnoteReference w:id="1"/>
      </w:r>
      <w:r w:rsidR="00617E8C">
        <w:t xml:space="preserve"> which required a mandatory cut in emissions. </w:t>
      </w:r>
    </w:p>
    <w:p w14:paraId="069512EB" w14:textId="77777777" w:rsidR="00617E8C" w:rsidRPr="0053144D" w:rsidRDefault="00617E8C" w:rsidP="00F559AE">
      <w:pPr>
        <w:pStyle w:val="BodyTextMain"/>
        <w:rPr>
          <w:sz w:val="20"/>
        </w:rPr>
      </w:pPr>
    </w:p>
    <w:p w14:paraId="2003773F" w14:textId="7300F69E" w:rsidR="00617E8C" w:rsidRDefault="00617E8C" w:rsidP="00F559AE">
      <w:pPr>
        <w:pStyle w:val="BodyTextMain"/>
      </w:pPr>
      <w:r>
        <w:t xml:space="preserve">Finolex had been donating funds to MMF since its inception in 1999. However, in 2014 the government had stipulated mandatory CSR spending by companies and disclosure in corporate accounts. </w:t>
      </w:r>
      <w:bookmarkStart w:id="0" w:name="OLE_LINK12"/>
      <w:bookmarkStart w:id="1" w:name="OLE_LINK11"/>
      <w:r>
        <w:t xml:space="preserve">This implied that </w:t>
      </w:r>
      <w:r w:rsidR="00A334EF">
        <w:t xml:space="preserve">the </w:t>
      </w:r>
      <w:r>
        <w:t xml:space="preserve">purely charitable approach that Finolex had adopted </w:t>
      </w:r>
      <w:r w:rsidR="00A334EF">
        <w:t>un</w:t>
      </w:r>
      <w:r>
        <w:t>til now needed a rethink. Dhanorkar was of the view that</w:t>
      </w:r>
      <w:r w:rsidR="00A334EF">
        <w:t>,</w:t>
      </w:r>
      <w:r>
        <w:t xml:space="preserve"> considering the regulatory requirements and positive brand image </w:t>
      </w:r>
      <w:r w:rsidR="00FC7501">
        <w:t xml:space="preserve">it </w:t>
      </w:r>
      <w:r>
        <w:t xml:space="preserve">enjoyed, Finolex needed to prepare a long-term vision of CSR. However, </w:t>
      </w:r>
      <w:r w:rsidR="00550FE3">
        <w:t xml:space="preserve">crafting </w:t>
      </w:r>
      <w:r>
        <w:t xml:space="preserve">a CSR strategy was not easy, </w:t>
      </w:r>
      <w:r w:rsidR="00A334EF">
        <w:t xml:space="preserve">and </w:t>
      </w:r>
      <w:r>
        <w:t xml:space="preserve">one of the big questions was which activity areas the company </w:t>
      </w:r>
      <w:r w:rsidR="00A334EF">
        <w:t xml:space="preserve">should </w:t>
      </w:r>
      <w:r>
        <w:t>invest in</w:t>
      </w:r>
      <w:r w:rsidR="00A334EF">
        <w:t xml:space="preserve">. </w:t>
      </w:r>
      <w:r>
        <w:t>How could Finolex leverage its internal strengths</w:t>
      </w:r>
      <w:r w:rsidR="00A334EF">
        <w:t>—</w:t>
      </w:r>
      <w:r>
        <w:t>people and technical capabilities</w:t>
      </w:r>
      <w:r w:rsidR="00A334EF">
        <w:t>—</w:t>
      </w:r>
      <w:r>
        <w:t xml:space="preserve">to make </w:t>
      </w:r>
      <w:r w:rsidR="00A334EF">
        <w:t xml:space="preserve">a </w:t>
      </w:r>
      <w:r>
        <w:t xml:space="preserve">genuine </w:t>
      </w:r>
      <w:r w:rsidR="00A334EF">
        <w:t>long-</w:t>
      </w:r>
      <w:r>
        <w:t xml:space="preserve">term impact on society? What </w:t>
      </w:r>
      <w:r w:rsidR="00A334EF">
        <w:t>was</w:t>
      </w:r>
      <w:r>
        <w:t xml:space="preserve"> the best model for achieving </w:t>
      </w:r>
      <w:r w:rsidR="0047494A">
        <w:t xml:space="preserve">responsible growth </w:t>
      </w:r>
      <w:r>
        <w:t>for Finolex?</w:t>
      </w:r>
    </w:p>
    <w:bookmarkEnd w:id="0"/>
    <w:bookmarkEnd w:id="1"/>
    <w:p w14:paraId="4002765E" w14:textId="77777777" w:rsidR="00617E8C" w:rsidRPr="0053144D" w:rsidRDefault="00617E8C" w:rsidP="00F559AE">
      <w:pPr>
        <w:pStyle w:val="BodyTextMain"/>
        <w:rPr>
          <w:sz w:val="20"/>
        </w:rPr>
      </w:pPr>
    </w:p>
    <w:p w14:paraId="3983BCC1" w14:textId="77777777" w:rsidR="004419DB" w:rsidRPr="0053144D" w:rsidRDefault="004419DB" w:rsidP="00F559AE">
      <w:pPr>
        <w:pStyle w:val="BodyTextMain"/>
        <w:rPr>
          <w:sz w:val="20"/>
        </w:rPr>
      </w:pPr>
    </w:p>
    <w:p w14:paraId="0DED1255" w14:textId="070205C3" w:rsidR="00617E8C" w:rsidRDefault="00617E8C" w:rsidP="0054339A">
      <w:pPr>
        <w:pStyle w:val="Casehead1"/>
        <w:keepNext/>
      </w:pPr>
      <w:r>
        <w:lastRenderedPageBreak/>
        <w:t xml:space="preserve">Finolex </w:t>
      </w:r>
      <w:r w:rsidR="00A45C92">
        <w:t>background</w:t>
      </w:r>
    </w:p>
    <w:p w14:paraId="5AE4EEAA" w14:textId="77777777" w:rsidR="00617E8C" w:rsidRPr="0053144D" w:rsidRDefault="00617E8C" w:rsidP="0054339A">
      <w:pPr>
        <w:pStyle w:val="BodyTextMain"/>
        <w:keepNext/>
        <w:rPr>
          <w:sz w:val="20"/>
        </w:rPr>
      </w:pPr>
    </w:p>
    <w:p w14:paraId="1BA4DAE8" w14:textId="77777777" w:rsidR="00617E8C" w:rsidRDefault="00617E8C" w:rsidP="0054339A">
      <w:pPr>
        <w:pStyle w:val="BodyTextMain"/>
        <w:keepNext/>
        <w:rPr>
          <w:sz w:val="24"/>
          <w:szCs w:val="24"/>
        </w:rPr>
      </w:pPr>
      <w:r>
        <w:t>In 1945, two brothers, P</w:t>
      </w:r>
      <w:r w:rsidR="002B0D4A">
        <w:t xml:space="preserve">. </w:t>
      </w:r>
      <w:r>
        <w:t>P</w:t>
      </w:r>
      <w:r w:rsidR="002B0D4A">
        <w:t>.</w:t>
      </w:r>
      <w:r>
        <w:t xml:space="preserve"> Chhabria and K</w:t>
      </w:r>
      <w:r w:rsidR="002B0D4A">
        <w:t xml:space="preserve">. </w:t>
      </w:r>
      <w:r>
        <w:t>P</w:t>
      </w:r>
      <w:r w:rsidR="002B0D4A">
        <w:t>.</w:t>
      </w:r>
      <w:r>
        <w:t xml:space="preserve"> Chhabria, came from Karachi (</w:t>
      </w:r>
      <w:r w:rsidR="00A33DB0">
        <w:t xml:space="preserve">now </w:t>
      </w:r>
      <w:r>
        <w:t xml:space="preserve">in Pakistan), to Pune, India, in search of a livelihood. They started a trading business of selling cables, which soon became successful. Their big break came with a sizeable order for </w:t>
      </w:r>
      <w:r w:rsidR="00A334EF">
        <w:t xml:space="preserve">the </w:t>
      </w:r>
      <w:r>
        <w:t>purchase of wire harnesses for trucks and tanks from the Government of India’s Ministry of Defence. Following up on this success, they decided to enter the business of manufacturing c</w:t>
      </w:r>
      <w:r>
        <w:rPr>
          <w:lang w:val="fr-FR"/>
        </w:rPr>
        <w:t>ables</w:t>
      </w:r>
      <w:r>
        <w:t xml:space="preserve">. </w:t>
      </w:r>
    </w:p>
    <w:p w14:paraId="1E6EC662" w14:textId="77777777" w:rsidR="00617E8C" w:rsidRPr="0053144D" w:rsidRDefault="00617E8C" w:rsidP="00F559AE">
      <w:pPr>
        <w:pStyle w:val="BodyTextMain"/>
        <w:rPr>
          <w:sz w:val="20"/>
        </w:rPr>
      </w:pPr>
    </w:p>
    <w:p w14:paraId="1ABD57C0" w14:textId="4A95D08B" w:rsidR="00617E8C" w:rsidRDefault="00617E8C" w:rsidP="00F559AE">
      <w:pPr>
        <w:pStyle w:val="BodyTextMain"/>
        <w:rPr>
          <w:rFonts w:eastAsia="Arial Unicode MS"/>
        </w:rPr>
      </w:pPr>
      <w:r>
        <w:t xml:space="preserve">They started as a small-scale </w:t>
      </w:r>
      <w:r w:rsidR="0047494A">
        <w:t xml:space="preserve">industrial firm </w:t>
      </w:r>
      <w:r>
        <w:t xml:space="preserve">in 1956, manufacturing polyvinyl chloride (PVC) insulated cables for the automobile industry. The company relentlessly searched for growth. </w:t>
      </w:r>
      <w:r w:rsidR="00BD3565">
        <w:t xml:space="preserve">It </w:t>
      </w:r>
      <w:r>
        <w:t xml:space="preserve">faced difficult times but by 1972 had stabilized and Finolex Cables Limited was incorporated as a public limited company. The brand name emerged from “Fine” and “Flexibles,” and </w:t>
      </w:r>
      <w:r w:rsidR="00BD3565">
        <w:t xml:space="preserve">an </w:t>
      </w:r>
      <w:r>
        <w:t>“O” with an electric arc across it</w:t>
      </w:r>
      <w:r w:rsidR="00A334EF">
        <w:t>—</w:t>
      </w:r>
      <w:r>
        <w:t xml:space="preserve">signifying the electrical cable business the company was </w:t>
      </w:r>
      <w:r w:rsidR="00BD3565">
        <w:t>involved in</w:t>
      </w:r>
      <w:r>
        <w:t xml:space="preserve">. </w:t>
      </w:r>
    </w:p>
    <w:p w14:paraId="6CDC126D" w14:textId="77777777" w:rsidR="00617E8C" w:rsidRPr="0053144D" w:rsidRDefault="00617E8C" w:rsidP="00F559AE">
      <w:pPr>
        <w:pStyle w:val="BodyTextMain"/>
        <w:rPr>
          <w:sz w:val="20"/>
        </w:rPr>
      </w:pPr>
    </w:p>
    <w:p w14:paraId="51BBC9D8" w14:textId="6974F72F" w:rsidR="00617E8C" w:rsidRDefault="00617E8C" w:rsidP="00F559AE">
      <w:pPr>
        <w:pStyle w:val="BodyTextMain"/>
      </w:pPr>
      <w:r>
        <w:t>Finolex Industries L</w:t>
      </w:r>
      <w:r w:rsidR="00A45C92">
        <w:t xml:space="preserve">imited </w:t>
      </w:r>
      <w:r>
        <w:t xml:space="preserve">was set up in 1981. The plant at Pune was set up to manufacture rigid PVC pipes and fittings. These products had </w:t>
      </w:r>
      <w:r w:rsidR="0047494A">
        <w:t>many</w:t>
      </w:r>
      <w:r>
        <w:t xml:space="preserve"> application</w:t>
      </w:r>
      <w:r w:rsidR="00BD0978">
        <w:t>s</w:t>
      </w:r>
      <w:r>
        <w:t xml:space="preserve"> in the agricultural sector. A move toward backward integration saw the company set up a plant at Ratnagiri to manufacture PVC resin.</w:t>
      </w:r>
    </w:p>
    <w:p w14:paraId="2C3B5330" w14:textId="77777777" w:rsidR="00617E8C" w:rsidRPr="0053144D" w:rsidRDefault="00617E8C" w:rsidP="00F559AE">
      <w:pPr>
        <w:pStyle w:val="BodyTextMain"/>
        <w:rPr>
          <w:sz w:val="20"/>
        </w:rPr>
      </w:pPr>
    </w:p>
    <w:p w14:paraId="7AF32B9B" w14:textId="5A356ED8" w:rsidR="00617E8C" w:rsidRDefault="00617E8C" w:rsidP="00F559AE">
      <w:pPr>
        <w:pStyle w:val="BodyTextMain"/>
      </w:pPr>
      <w:r>
        <w:t>The company progressed rapidly</w:t>
      </w:r>
      <w:r w:rsidR="00FC7501">
        <w:t>,</w:t>
      </w:r>
      <w:r>
        <w:t xml:space="preserve"> and an initial public offering took place in 1983. The company, through rapid expansion and modernization</w:t>
      </w:r>
      <w:r w:rsidR="00733ECA">
        <w:t>,</w:t>
      </w:r>
      <w:r>
        <w:t xml:space="preserve"> became the </w:t>
      </w:r>
      <w:r w:rsidR="00733ECA" w:rsidRPr="00733ECA">
        <w:t>largest</w:t>
      </w:r>
      <w:r w:rsidR="00733ECA">
        <w:t>,</w:t>
      </w:r>
      <w:r w:rsidR="00733ECA" w:rsidRPr="00733ECA">
        <w:t xml:space="preserve"> </w:t>
      </w:r>
      <w:r>
        <w:t>most diversified cable manufacturer in India. The early 1990s saw the Finolex Group expanding into new domains to manufacture optic</w:t>
      </w:r>
      <w:r w:rsidR="002B0D4A">
        <w:t>al</w:t>
      </w:r>
      <w:r>
        <w:t xml:space="preserve"> fibre cables and copper rods. Both Finolex Cables and Finolex </w:t>
      </w:r>
      <w:r w:rsidR="00550FE3">
        <w:t>Industries</w:t>
      </w:r>
      <w:r w:rsidR="00A45C92">
        <w:t xml:space="preserve"> </w:t>
      </w:r>
      <w:r>
        <w:t xml:space="preserve">were listed on the </w:t>
      </w:r>
      <w:r w:rsidR="0047494A">
        <w:t>two main</w:t>
      </w:r>
      <w:r>
        <w:t xml:space="preserve"> stock exchanges in India</w:t>
      </w:r>
      <w:r w:rsidR="00FC7501">
        <w:t>—</w:t>
      </w:r>
      <w:r w:rsidR="00BD3565">
        <w:t xml:space="preserve">the </w:t>
      </w:r>
      <w:r>
        <w:t xml:space="preserve">Bombay Stock Exchange and </w:t>
      </w:r>
      <w:r w:rsidR="00BD3565">
        <w:t xml:space="preserve">the </w:t>
      </w:r>
      <w:r>
        <w:t>National Stock Exchange.</w:t>
      </w:r>
    </w:p>
    <w:p w14:paraId="5DDCCAF9" w14:textId="77777777" w:rsidR="00617E8C" w:rsidRPr="0053144D" w:rsidRDefault="00617E8C" w:rsidP="00F559AE">
      <w:pPr>
        <w:pStyle w:val="BodyTextMain"/>
        <w:rPr>
          <w:sz w:val="20"/>
          <w:highlight w:val="yellow"/>
        </w:rPr>
      </w:pPr>
      <w:bookmarkStart w:id="2" w:name="OLE_LINK4"/>
      <w:bookmarkStart w:id="3" w:name="OLE_LINK3"/>
    </w:p>
    <w:p w14:paraId="0ED675B7" w14:textId="21FDB731" w:rsidR="00617E8C" w:rsidRDefault="00617E8C" w:rsidP="00F559AE">
      <w:pPr>
        <w:pStyle w:val="BodyTextMain"/>
      </w:pPr>
      <w:r>
        <w:t>F</w:t>
      </w:r>
      <w:r w:rsidR="00A45C92">
        <w:t>inolex</w:t>
      </w:r>
      <w:r>
        <w:t xml:space="preserve"> produced PVC resin, which was used as an input in its own production of PVC pipes and was also sold in the external market. PVC resin had multiple applications. These included </w:t>
      </w:r>
      <w:r w:rsidR="00BD3565">
        <w:t xml:space="preserve">the </w:t>
      </w:r>
      <w:r>
        <w:t xml:space="preserve">manufacturing of pipes, </w:t>
      </w:r>
      <w:r w:rsidR="00BD3565">
        <w:t xml:space="preserve">the </w:t>
      </w:r>
      <w:r>
        <w:t>insulation of cables, window profiles, flooring</w:t>
      </w:r>
      <w:r w:rsidR="00733ECA">
        <w:t>,</w:t>
      </w:r>
      <w:r>
        <w:t xml:space="preserve"> and blister packaging. Given the nature of the product, new areas of application were being developed continuously. </w:t>
      </w:r>
    </w:p>
    <w:p w14:paraId="546EB244" w14:textId="77777777" w:rsidR="00617E8C" w:rsidRPr="0053144D" w:rsidRDefault="00617E8C" w:rsidP="00F559AE">
      <w:pPr>
        <w:pStyle w:val="BodyTextMain"/>
        <w:rPr>
          <w:sz w:val="20"/>
        </w:rPr>
      </w:pPr>
    </w:p>
    <w:p w14:paraId="35B9AACD" w14:textId="4DE5CC62" w:rsidR="00617E8C" w:rsidRDefault="00617E8C" w:rsidP="00F559AE">
      <w:pPr>
        <w:pStyle w:val="BodyTextMain"/>
      </w:pPr>
      <w:r>
        <w:t>The company had two main product lines in pipes</w:t>
      </w:r>
      <w:r w:rsidR="00733ECA">
        <w:t xml:space="preserve">—1) </w:t>
      </w:r>
      <w:r w:rsidR="00733ECA">
        <w:rPr>
          <w:bCs/>
        </w:rPr>
        <w:t>a</w:t>
      </w:r>
      <w:r w:rsidR="00733ECA" w:rsidRPr="00043771">
        <w:rPr>
          <w:bCs/>
        </w:rPr>
        <w:t xml:space="preserve">gricultural </w:t>
      </w:r>
      <w:r w:rsidRPr="00043771">
        <w:rPr>
          <w:bCs/>
        </w:rPr>
        <w:t>pipes and fittings, which</w:t>
      </w:r>
      <w:r w:rsidRPr="00043771">
        <w:t xml:space="preserve"> included column pipes, casing pipes</w:t>
      </w:r>
      <w:r w:rsidR="00733ECA">
        <w:t>,</w:t>
      </w:r>
      <w:r w:rsidRPr="00043771">
        <w:t xml:space="preserve"> and solvent cement, and </w:t>
      </w:r>
      <w:r w:rsidR="00733ECA">
        <w:t xml:space="preserve">2) </w:t>
      </w:r>
      <w:r w:rsidR="00733ECA">
        <w:rPr>
          <w:bCs/>
        </w:rPr>
        <w:t>p</w:t>
      </w:r>
      <w:r w:rsidR="00733ECA" w:rsidRPr="00043771">
        <w:rPr>
          <w:bCs/>
        </w:rPr>
        <w:t xml:space="preserve">lumbing </w:t>
      </w:r>
      <w:r w:rsidRPr="00043771">
        <w:rPr>
          <w:bCs/>
        </w:rPr>
        <w:t>and sanitation pipes</w:t>
      </w:r>
      <w:r w:rsidRPr="00043771">
        <w:t xml:space="preserve"> and fittings, which included ASTM pipes and fittings</w:t>
      </w:r>
      <w:r w:rsidR="00A931D2">
        <w:t>;</w:t>
      </w:r>
      <w:r w:rsidR="0047494A">
        <w:t xml:space="preserve"> c</w:t>
      </w:r>
      <w:r w:rsidR="0047494A" w:rsidRPr="001250DE">
        <w:t>hlorinated polyvinyl chloride</w:t>
      </w:r>
      <w:r w:rsidR="0047494A">
        <w:t xml:space="preserve"> </w:t>
      </w:r>
      <w:r w:rsidRPr="00043771">
        <w:t>pipes and fittings</w:t>
      </w:r>
      <w:r w:rsidR="00A931D2">
        <w:t>;</w:t>
      </w:r>
      <w:r w:rsidRPr="00043771">
        <w:t xml:space="preserve"> sewage pipes</w:t>
      </w:r>
      <w:r w:rsidR="00A931D2">
        <w:t>;</w:t>
      </w:r>
      <w:r w:rsidRPr="00043771">
        <w:t xml:space="preserve"> </w:t>
      </w:r>
      <w:r w:rsidR="00A931D2">
        <w:t>soil, waste and rainwater</w:t>
      </w:r>
      <w:r w:rsidRPr="00043771">
        <w:t xml:space="preserve"> pipes and fittings</w:t>
      </w:r>
      <w:r w:rsidR="00A931D2">
        <w:t>;</w:t>
      </w:r>
      <w:r w:rsidRPr="00043771">
        <w:t xml:space="preserve"> and</w:t>
      </w:r>
      <w:r>
        <w:t xml:space="preserve"> solvent cement. </w:t>
      </w:r>
      <w:r w:rsidR="0053144D">
        <w:t>Their</w:t>
      </w:r>
      <w:r>
        <w:t xml:space="preserve"> PVC pipes and fittings products had a vast range in terms of sizes, pressure classes</w:t>
      </w:r>
      <w:r w:rsidR="00733ECA">
        <w:t>,</w:t>
      </w:r>
      <w:r>
        <w:t xml:space="preserve"> and diameters. </w:t>
      </w:r>
      <w:r w:rsidR="00FC7501">
        <w:t>Their</w:t>
      </w:r>
      <w:r>
        <w:t xml:space="preserve"> applications were in diverse sectors such as agriculture, housing, telecom</w:t>
      </w:r>
      <w:r w:rsidR="00FC7501">
        <w:t>munications</w:t>
      </w:r>
      <w:r>
        <w:t>, construction</w:t>
      </w:r>
      <w:r w:rsidR="00733ECA">
        <w:t>,</w:t>
      </w:r>
      <w:r>
        <w:t xml:space="preserve"> and industry. The company could cater to customers anywhere in the country. This was achieved by a network of over 16,000 outlets, spread across India. </w:t>
      </w:r>
    </w:p>
    <w:p w14:paraId="2EDA5AFB" w14:textId="77777777" w:rsidR="00617E8C" w:rsidRPr="0053144D" w:rsidRDefault="00617E8C" w:rsidP="00F559AE">
      <w:pPr>
        <w:pStyle w:val="BodyTextMain"/>
        <w:rPr>
          <w:sz w:val="20"/>
        </w:rPr>
      </w:pPr>
    </w:p>
    <w:p w14:paraId="09E1273A" w14:textId="77777777" w:rsidR="00617E8C" w:rsidRDefault="00617E8C" w:rsidP="00F559AE">
      <w:pPr>
        <w:pStyle w:val="BodyTextMain"/>
      </w:pPr>
      <w:r>
        <w:t xml:space="preserve">The company was </w:t>
      </w:r>
      <w:r w:rsidR="00733ECA">
        <w:t>family-</w:t>
      </w:r>
      <w:r>
        <w:t>owned</w:t>
      </w:r>
      <w:r w:rsidR="00733ECA">
        <w:t>,</w:t>
      </w:r>
      <w:r>
        <w:t xml:space="preserve"> with a shareholding of around 52</w:t>
      </w:r>
      <w:r w:rsidR="00733ECA">
        <w:t xml:space="preserve"> per cent </w:t>
      </w:r>
      <w:r>
        <w:t xml:space="preserve">of outstanding shares. The family exercised significant control </w:t>
      </w:r>
      <w:r w:rsidR="00733ECA">
        <w:t xml:space="preserve">over </w:t>
      </w:r>
      <w:r>
        <w:t>the company. However, the company was run by professional managers</w:t>
      </w:r>
      <w:r w:rsidR="00BD3565">
        <w:t>,</w:t>
      </w:r>
      <w:r>
        <w:t xml:space="preserve"> with a significant say by the owners in the strategy of the company.</w:t>
      </w:r>
    </w:p>
    <w:p w14:paraId="6C85C43B" w14:textId="77777777" w:rsidR="00F07590" w:rsidRPr="0053144D" w:rsidRDefault="00F07590" w:rsidP="00F559AE">
      <w:pPr>
        <w:pStyle w:val="BodyTextMain"/>
        <w:rPr>
          <w:sz w:val="20"/>
        </w:rPr>
      </w:pPr>
    </w:p>
    <w:p w14:paraId="1DAA9FF5" w14:textId="77777777" w:rsidR="00617E8C" w:rsidRPr="0053144D" w:rsidRDefault="00617E8C" w:rsidP="00F559AE">
      <w:pPr>
        <w:pStyle w:val="BodyTextMain"/>
        <w:rPr>
          <w:sz w:val="20"/>
        </w:rPr>
      </w:pPr>
    </w:p>
    <w:p w14:paraId="386A33DA" w14:textId="77777777" w:rsidR="00617E8C" w:rsidRDefault="00617E8C" w:rsidP="0054339A">
      <w:pPr>
        <w:pStyle w:val="Casehead1"/>
        <w:keepNext/>
        <w:rPr>
          <w:rFonts w:eastAsia="Arial Unicode MS"/>
        </w:rPr>
      </w:pPr>
      <w:r>
        <w:t>PVC Industry size and challenges</w:t>
      </w:r>
    </w:p>
    <w:p w14:paraId="5D5405BD" w14:textId="77777777" w:rsidR="00617E8C" w:rsidRPr="0053144D" w:rsidRDefault="00617E8C" w:rsidP="0054339A">
      <w:pPr>
        <w:pStyle w:val="BodyTextMain"/>
        <w:keepNext/>
        <w:rPr>
          <w:sz w:val="20"/>
        </w:rPr>
      </w:pPr>
    </w:p>
    <w:p w14:paraId="7B6D11CD" w14:textId="51AE60DE" w:rsidR="00617E8C" w:rsidRDefault="00617E8C" w:rsidP="0054339A">
      <w:pPr>
        <w:pStyle w:val="BodyTextMain"/>
        <w:keepNext/>
      </w:pPr>
      <w:r>
        <w:t xml:space="preserve">The PVC industry in India was valued at over </w:t>
      </w:r>
      <w:r w:rsidR="001250DE" w:rsidRPr="00631466">
        <w:rPr>
          <w:sz w:val="20"/>
          <w:szCs w:val="20"/>
        </w:rPr>
        <w:t>₹</w:t>
      </w:r>
      <w:r>
        <w:t>200 billion</w:t>
      </w:r>
      <w:r w:rsidR="00733ECA">
        <w:t>,</w:t>
      </w:r>
      <w:r w:rsidR="00631466">
        <w:rPr>
          <w:rStyle w:val="FootnoteReference"/>
        </w:rPr>
        <w:footnoteReference w:id="2"/>
      </w:r>
      <w:r>
        <w:t xml:space="preserve"> with five major producers and over 6,000 processors</w:t>
      </w:r>
      <w:r w:rsidR="00BD3565">
        <w:t xml:space="preserve">. It employed </w:t>
      </w:r>
      <w:r>
        <w:t>tens of thousands of people</w:t>
      </w:r>
      <w:r w:rsidR="00BD3565">
        <w:t xml:space="preserve"> and made </w:t>
      </w:r>
      <w:r>
        <w:t>consumer and industrial products. Finolex</w:t>
      </w:r>
      <w:r w:rsidR="00A45C92">
        <w:t xml:space="preserve"> </w:t>
      </w:r>
      <w:r>
        <w:t>was one of the largest PVC resin producers in India.</w:t>
      </w:r>
    </w:p>
    <w:p w14:paraId="2250E620" w14:textId="77777777" w:rsidR="00617E8C" w:rsidRPr="0053144D" w:rsidRDefault="00617E8C" w:rsidP="00F559AE">
      <w:pPr>
        <w:pStyle w:val="BodyTextMain"/>
        <w:rPr>
          <w:sz w:val="20"/>
        </w:rPr>
      </w:pPr>
    </w:p>
    <w:p w14:paraId="14992ED2" w14:textId="24A9E124" w:rsidR="00617E8C" w:rsidRDefault="00617E8C" w:rsidP="00F559AE">
      <w:pPr>
        <w:pStyle w:val="BodyTextMain"/>
      </w:pPr>
      <w:r>
        <w:lastRenderedPageBreak/>
        <w:t xml:space="preserve">PVC was the </w:t>
      </w:r>
      <w:r w:rsidR="00733ECA">
        <w:t>third</w:t>
      </w:r>
      <w:r w:rsidR="006846E3">
        <w:t xml:space="preserve"> </w:t>
      </w:r>
      <w:r w:rsidR="0047494A">
        <w:t xml:space="preserve">most common </w:t>
      </w:r>
      <w:r>
        <w:t>plastic produc</w:t>
      </w:r>
      <w:r w:rsidR="00550FE3">
        <w:t xml:space="preserve">ed </w:t>
      </w:r>
      <w:r>
        <w:t xml:space="preserve">and </w:t>
      </w:r>
      <w:r w:rsidR="00550FE3">
        <w:t xml:space="preserve">consumed </w:t>
      </w:r>
      <w:r>
        <w:t>globally. A key feature of PVC was that it could be combined with additives and converted into a wide variety of forms. These include</w:t>
      </w:r>
      <w:r w:rsidR="00FC7501">
        <w:t>d</w:t>
      </w:r>
      <w:r>
        <w:t xml:space="preserve"> pipes, fittings, profiles, tubes, windows, doors, sidings, wires, cables, films, sheets, flooring, toys</w:t>
      </w:r>
      <w:r w:rsidR="001800C3">
        <w:t>,</w:t>
      </w:r>
      <w:r>
        <w:t xml:space="preserve"> and other moulded products. Based on technology available in 2016, less than 1</w:t>
      </w:r>
      <w:r w:rsidR="001800C3">
        <w:t xml:space="preserve"> per cent </w:t>
      </w:r>
      <w:r>
        <w:t>of PVC was recyclable.</w:t>
      </w:r>
    </w:p>
    <w:p w14:paraId="53A5F5EB" w14:textId="77777777" w:rsidR="00617E8C" w:rsidRPr="0053144D" w:rsidRDefault="00617E8C" w:rsidP="00F559AE">
      <w:pPr>
        <w:pStyle w:val="BodyTextMain"/>
        <w:rPr>
          <w:sz w:val="20"/>
        </w:rPr>
      </w:pPr>
    </w:p>
    <w:p w14:paraId="20D82B17" w14:textId="242EF3C1" w:rsidR="00617E8C" w:rsidRDefault="00617E8C" w:rsidP="00F559AE">
      <w:pPr>
        <w:pStyle w:val="BodyTextMain"/>
      </w:pPr>
      <w:r>
        <w:t xml:space="preserve">Technology was emerging that could produce newer materials with properties like </w:t>
      </w:r>
      <w:r w:rsidR="00E27A5C">
        <w:t xml:space="preserve">those </w:t>
      </w:r>
      <w:r>
        <w:t>of PVC. Degradable plastics were being designed to break</w:t>
      </w:r>
      <w:r w:rsidR="00EC630B">
        <w:t xml:space="preserve"> </w:t>
      </w:r>
      <w:r>
        <w:t xml:space="preserve">down under landfill conditions within a few years without emitting toxins or other pollutants. It was believed that </w:t>
      </w:r>
      <w:r w:rsidR="00EC630B">
        <w:t xml:space="preserve">the </w:t>
      </w:r>
      <w:r>
        <w:t>costs of these new products would become commercially viable over a period.</w:t>
      </w:r>
    </w:p>
    <w:p w14:paraId="1FF9C85B" w14:textId="77777777" w:rsidR="00617E8C" w:rsidRPr="0053144D" w:rsidRDefault="00617E8C" w:rsidP="00F559AE">
      <w:pPr>
        <w:pStyle w:val="BodyTextMain"/>
        <w:rPr>
          <w:sz w:val="20"/>
        </w:rPr>
      </w:pPr>
    </w:p>
    <w:p w14:paraId="4C880AF9" w14:textId="77777777" w:rsidR="00617E8C" w:rsidRDefault="00617E8C" w:rsidP="00F559AE">
      <w:pPr>
        <w:pStyle w:val="BodyTextMain"/>
      </w:pPr>
      <w:r>
        <w:t xml:space="preserve">In India, the main driver for PVC consumption was irrigation and construction. PVC pipes </w:t>
      </w:r>
      <w:r w:rsidR="001D45F2">
        <w:t>and</w:t>
      </w:r>
      <w:r>
        <w:t xml:space="preserve"> fittings, which constituted only 14</w:t>
      </w:r>
      <w:r w:rsidR="00EC630B">
        <w:t xml:space="preserve"> per cent </w:t>
      </w:r>
      <w:r>
        <w:t>of total PVC consumption in 1975, had grown to over 70</w:t>
      </w:r>
      <w:r w:rsidR="00EC630B" w:rsidRPr="00EC630B">
        <w:t xml:space="preserve"> </w:t>
      </w:r>
      <w:r w:rsidR="00EC630B">
        <w:t>per cent</w:t>
      </w:r>
      <w:r>
        <w:t xml:space="preserve"> in 2016.</w:t>
      </w:r>
    </w:p>
    <w:p w14:paraId="1A19C9FA" w14:textId="77777777" w:rsidR="00617E8C" w:rsidRPr="0053144D" w:rsidRDefault="00617E8C" w:rsidP="00F559AE">
      <w:pPr>
        <w:pStyle w:val="BodyTextMain"/>
        <w:rPr>
          <w:sz w:val="20"/>
        </w:rPr>
      </w:pPr>
    </w:p>
    <w:p w14:paraId="6A66354A" w14:textId="7866BCCC" w:rsidR="00617E8C" w:rsidRDefault="00617E8C" w:rsidP="00F559AE">
      <w:pPr>
        <w:pStyle w:val="BodyTextMain"/>
      </w:pPr>
      <w:r>
        <w:t>The India</w:t>
      </w:r>
      <w:r w:rsidR="00E27A5C">
        <w:t>n government</w:t>
      </w:r>
      <w:r>
        <w:t xml:space="preserve"> had launched various programs in the agriculture sector focusing on increasing irrigation, farmer</w:t>
      </w:r>
      <w:r w:rsidR="00EC630B">
        <w:t>s</w:t>
      </w:r>
      <w:r>
        <w:t>’ income</w:t>
      </w:r>
      <w:r w:rsidR="00EC630B">
        <w:t>,</w:t>
      </w:r>
      <w:r>
        <w:t xml:space="preserve"> and production. These programs would give impetus to demand for pipes </w:t>
      </w:r>
      <w:r w:rsidR="00E27A5C">
        <w:t xml:space="preserve">and </w:t>
      </w:r>
      <w:r>
        <w:t>fittings. The Union Budget presented in Feb</w:t>
      </w:r>
      <w:r w:rsidR="00EC630B">
        <w:t>ruary</w:t>
      </w:r>
      <w:r>
        <w:t xml:space="preserve"> 2016 focused on boosting the rural economy</w:t>
      </w:r>
      <w:r w:rsidR="00E81B6A">
        <w:t xml:space="preserve"> and </w:t>
      </w:r>
      <w:r>
        <w:t>announc</w:t>
      </w:r>
      <w:r w:rsidR="00E81B6A">
        <w:t>ed</w:t>
      </w:r>
      <w:r>
        <w:t xml:space="preserve"> higher spending in the agricultural sector to </w:t>
      </w:r>
      <w:r w:rsidR="0047494A">
        <w:t xml:space="preserve">increase </w:t>
      </w:r>
      <w:r>
        <w:t xml:space="preserve">demand. In a bid to double </w:t>
      </w:r>
      <w:r w:rsidR="00EC630B">
        <w:t xml:space="preserve">farmers’ </w:t>
      </w:r>
      <w:r>
        <w:t xml:space="preserve">income in the next five years, the government allocated </w:t>
      </w:r>
      <w:r w:rsidR="001250DE" w:rsidRPr="007C430B">
        <w:rPr>
          <w:sz w:val="20"/>
          <w:szCs w:val="20"/>
        </w:rPr>
        <w:t>₹</w:t>
      </w:r>
      <w:r>
        <w:t xml:space="preserve">360 billion to the farming sector. The government </w:t>
      </w:r>
      <w:r w:rsidR="00EC630B">
        <w:t xml:space="preserve">had </w:t>
      </w:r>
      <w:r>
        <w:t>an all-</w:t>
      </w:r>
      <w:r w:rsidR="00EC630B">
        <w:t>time-</w:t>
      </w:r>
      <w:r>
        <w:t xml:space="preserve">high target of </w:t>
      </w:r>
      <w:r w:rsidR="001250DE" w:rsidRPr="007C430B">
        <w:rPr>
          <w:sz w:val="20"/>
          <w:szCs w:val="20"/>
        </w:rPr>
        <w:t>₹</w:t>
      </w:r>
      <w:r>
        <w:t xml:space="preserve">9 trillion for agricultural credit in </w:t>
      </w:r>
      <w:r w:rsidR="00805456">
        <w:t>financial year (</w:t>
      </w:r>
      <w:r>
        <w:t>FY</w:t>
      </w:r>
      <w:r w:rsidR="00805456">
        <w:t>) 20</w:t>
      </w:r>
      <w:r>
        <w:t xml:space="preserve">17. Implementation of 89 irrigation projects under </w:t>
      </w:r>
      <w:r w:rsidR="00EC630B">
        <w:t xml:space="preserve">the </w:t>
      </w:r>
      <w:r>
        <w:t xml:space="preserve">Accelerated Irrigation Benefits Programme, which </w:t>
      </w:r>
      <w:r w:rsidR="00EC630B">
        <w:t xml:space="preserve">had </w:t>
      </w:r>
      <w:r>
        <w:t>been languishing, would be fast</w:t>
      </w:r>
      <w:r w:rsidR="00EC630B">
        <w:t>-</w:t>
      </w:r>
      <w:r>
        <w:t xml:space="preserve">tracked. These projects required </w:t>
      </w:r>
      <w:r w:rsidR="001250DE" w:rsidRPr="007C430B">
        <w:rPr>
          <w:sz w:val="20"/>
          <w:szCs w:val="20"/>
        </w:rPr>
        <w:t>₹</w:t>
      </w:r>
      <w:r>
        <w:t xml:space="preserve">170 billion </w:t>
      </w:r>
      <w:r w:rsidR="007C430B">
        <w:t xml:space="preserve">in </w:t>
      </w:r>
      <w:r w:rsidR="006846E3">
        <w:t>FY</w:t>
      </w:r>
      <w:r w:rsidR="00805456">
        <w:t xml:space="preserve"> 20</w:t>
      </w:r>
      <w:r w:rsidR="006846E3">
        <w:t>17</w:t>
      </w:r>
      <w:r>
        <w:t xml:space="preserve"> and </w:t>
      </w:r>
      <w:r w:rsidR="001250DE" w:rsidRPr="007C430B">
        <w:rPr>
          <w:sz w:val="20"/>
          <w:szCs w:val="20"/>
        </w:rPr>
        <w:t>₹</w:t>
      </w:r>
      <w:r>
        <w:t>865 billion over the next five years. One of the key factors for the growth of the PVC industry was the projects and programs of the government</w:t>
      </w:r>
      <w:r w:rsidR="00805456">
        <w:t xml:space="preserve"> (see </w:t>
      </w:r>
      <w:r>
        <w:t xml:space="preserve">Exhibit </w:t>
      </w:r>
      <w:r w:rsidR="00892773">
        <w:t>1</w:t>
      </w:r>
      <w:r w:rsidR="00805456">
        <w:t>).</w:t>
      </w:r>
    </w:p>
    <w:p w14:paraId="6E173DEF" w14:textId="77777777" w:rsidR="00617E8C" w:rsidRPr="0053144D" w:rsidRDefault="00617E8C" w:rsidP="00F559AE">
      <w:pPr>
        <w:pStyle w:val="BodyTextMain"/>
        <w:rPr>
          <w:sz w:val="20"/>
        </w:rPr>
      </w:pPr>
    </w:p>
    <w:bookmarkEnd w:id="2"/>
    <w:bookmarkEnd w:id="3"/>
    <w:p w14:paraId="0CAFE2CD" w14:textId="77777777" w:rsidR="00617E8C" w:rsidRPr="0053144D" w:rsidRDefault="00617E8C" w:rsidP="00F559AE">
      <w:pPr>
        <w:pStyle w:val="BodyTextMain"/>
        <w:rPr>
          <w:sz w:val="20"/>
          <w:highlight w:val="yellow"/>
        </w:rPr>
      </w:pPr>
    </w:p>
    <w:p w14:paraId="529C9861" w14:textId="77777777" w:rsidR="00617E8C" w:rsidRDefault="00617E8C" w:rsidP="00347295">
      <w:pPr>
        <w:pStyle w:val="Casehead1"/>
      </w:pPr>
      <w:bookmarkStart w:id="4" w:name="OLE_LINK8"/>
      <w:bookmarkStart w:id="5" w:name="OLE_LINK7"/>
      <w:r>
        <w:t>Manufacturing</w:t>
      </w:r>
    </w:p>
    <w:p w14:paraId="5C8EAD22" w14:textId="77777777" w:rsidR="00617E8C" w:rsidRPr="0053144D" w:rsidRDefault="00617E8C" w:rsidP="00F559AE">
      <w:pPr>
        <w:pStyle w:val="BodyTextMain"/>
        <w:rPr>
          <w:rFonts w:eastAsia="Arial Unicode MS"/>
          <w:sz w:val="20"/>
        </w:rPr>
      </w:pPr>
    </w:p>
    <w:p w14:paraId="6894E0C5" w14:textId="77777777" w:rsidR="00617E8C" w:rsidRDefault="00617E8C" w:rsidP="00F559AE">
      <w:pPr>
        <w:pStyle w:val="BodyTextMain"/>
      </w:pPr>
      <w:r>
        <w:t xml:space="preserve">Finolex prided itself </w:t>
      </w:r>
      <w:r w:rsidR="00125568">
        <w:t xml:space="preserve">on </w:t>
      </w:r>
      <w:r>
        <w:t>its clean and pollution</w:t>
      </w:r>
      <w:r w:rsidR="00EC630B">
        <w:t>-</w:t>
      </w:r>
      <w:r>
        <w:t xml:space="preserve">free manufacturing processes. </w:t>
      </w:r>
    </w:p>
    <w:p w14:paraId="327FC33A" w14:textId="77777777" w:rsidR="00617E8C" w:rsidRPr="0053144D" w:rsidRDefault="00617E8C" w:rsidP="00F559AE">
      <w:pPr>
        <w:pStyle w:val="BodyTextMain"/>
        <w:rPr>
          <w:sz w:val="20"/>
        </w:rPr>
      </w:pPr>
    </w:p>
    <w:p w14:paraId="6A7163DB" w14:textId="77777777" w:rsidR="00347295" w:rsidRPr="0053144D" w:rsidRDefault="00347295" w:rsidP="00F559AE">
      <w:pPr>
        <w:pStyle w:val="BodyTextMain"/>
        <w:rPr>
          <w:sz w:val="20"/>
        </w:rPr>
      </w:pPr>
    </w:p>
    <w:p w14:paraId="1B10B5F5" w14:textId="77777777" w:rsidR="00617E8C" w:rsidRDefault="00617E8C" w:rsidP="00347295">
      <w:pPr>
        <w:pStyle w:val="Casehead2"/>
      </w:pPr>
      <w:r>
        <w:t xml:space="preserve">PVC Pipes </w:t>
      </w:r>
    </w:p>
    <w:p w14:paraId="6B2132F8" w14:textId="77777777" w:rsidR="00347295" w:rsidRPr="0053144D" w:rsidRDefault="00347295" w:rsidP="00F559AE">
      <w:pPr>
        <w:pStyle w:val="BodyTextMain"/>
        <w:rPr>
          <w:sz w:val="20"/>
        </w:rPr>
      </w:pPr>
    </w:p>
    <w:p w14:paraId="66185520" w14:textId="1865E283" w:rsidR="00805456" w:rsidRDefault="00617E8C" w:rsidP="00F559AE">
      <w:pPr>
        <w:pStyle w:val="BodyTextMain"/>
      </w:pPr>
      <w:r>
        <w:t>The company produced PVC pipes and fittings at its plants in Pune, Ratnagiri</w:t>
      </w:r>
      <w:r w:rsidR="00EC630B">
        <w:t>,</w:t>
      </w:r>
      <w:r>
        <w:t xml:space="preserve"> and Masar. These ultra-modern factories had a total production capacity of 250,000</w:t>
      </w:r>
      <w:r w:rsidR="0047494A">
        <w:t xml:space="preserve"> </w:t>
      </w:r>
      <w:r w:rsidR="00FF12AB">
        <w:t>metric</w:t>
      </w:r>
      <w:r w:rsidR="0047494A">
        <w:t xml:space="preserve"> tons per annum</w:t>
      </w:r>
      <w:r>
        <w:t xml:space="preserve"> </w:t>
      </w:r>
      <w:r w:rsidR="00BD0978">
        <w:t>(</w:t>
      </w:r>
      <w:r>
        <w:t>MTPA</w:t>
      </w:r>
      <w:r w:rsidR="00BD0978">
        <w:t>)</w:t>
      </w:r>
      <w:r>
        <w:t xml:space="preserve"> in 2016. In its endeavo</w:t>
      </w:r>
      <w:r w:rsidR="00ED52C4">
        <w:t>u</w:t>
      </w:r>
      <w:r>
        <w:t>r to be process-centric, F</w:t>
      </w:r>
      <w:r w:rsidR="00962964">
        <w:t>inolex</w:t>
      </w:r>
      <w:r>
        <w:t xml:space="preserve"> </w:t>
      </w:r>
      <w:r w:rsidR="00125568">
        <w:t xml:space="preserve">had become </w:t>
      </w:r>
      <w:r>
        <w:t xml:space="preserve">the first Indian PVC manufacturer to be awarded the ISO 9001:2008 certification. </w:t>
      </w:r>
    </w:p>
    <w:p w14:paraId="1B3D2542" w14:textId="77777777" w:rsidR="00805456" w:rsidRPr="0053144D" w:rsidRDefault="00805456" w:rsidP="00F559AE">
      <w:pPr>
        <w:pStyle w:val="BodyTextMain"/>
        <w:rPr>
          <w:sz w:val="20"/>
        </w:rPr>
      </w:pPr>
    </w:p>
    <w:p w14:paraId="73AD526C" w14:textId="304742FA" w:rsidR="00617E8C" w:rsidRDefault="00617E8C" w:rsidP="00F559AE">
      <w:pPr>
        <w:pStyle w:val="BodyTextMain"/>
      </w:pPr>
      <w:r>
        <w:t>PVC pipe manufacturing consisted of two steps</w:t>
      </w:r>
      <w:r w:rsidR="00EC630B">
        <w:t>:</w:t>
      </w:r>
      <w:r>
        <w:t xml:space="preserve"> compounding and extrusion. First</w:t>
      </w:r>
      <w:r w:rsidR="00EC630B">
        <w:t>,</w:t>
      </w:r>
      <w:r>
        <w:t xml:space="preserve"> PVC resin and additives were </w:t>
      </w:r>
      <w:r w:rsidR="00805456">
        <w:t>mixed</w:t>
      </w:r>
      <w:r>
        <w:t xml:space="preserve"> together. This process was called compounding. The mixture was then pushed into moulds. Each production line had moulds of a different diameter. The pipe was then cooled and removed from the mould by </w:t>
      </w:r>
      <w:r w:rsidR="00EC630B">
        <w:t xml:space="preserve">an </w:t>
      </w:r>
      <w:r>
        <w:t xml:space="preserve">extrusion process. One end of the pipe was pushed to create the pipe connector. The pipes were cut to </w:t>
      </w:r>
      <w:r w:rsidR="00EC630B">
        <w:t xml:space="preserve">a </w:t>
      </w:r>
      <w:r>
        <w:t>20-</w:t>
      </w:r>
      <w:r w:rsidR="00EC630B">
        <w:t xml:space="preserve">foot </w:t>
      </w:r>
      <w:r>
        <w:t>length, and each piece was then stamped with the company logo</w:t>
      </w:r>
      <w:r w:rsidR="00A931D2">
        <w:t>,</w:t>
      </w:r>
      <w:r>
        <w:t xml:space="preserve"> batch</w:t>
      </w:r>
      <w:r w:rsidR="00A931D2">
        <w:t>,</w:t>
      </w:r>
      <w:r>
        <w:t xml:space="preserve"> and time of manufacture.</w:t>
      </w:r>
    </w:p>
    <w:p w14:paraId="5B3FDCAA" w14:textId="77777777" w:rsidR="00617E8C" w:rsidRPr="0053144D" w:rsidRDefault="00617E8C" w:rsidP="00347295">
      <w:pPr>
        <w:pStyle w:val="BodyTextMain"/>
        <w:rPr>
          <w:sz w:val="20"/>
        </w:rPr>
      </w:pPr>
    </w:p>
    <w:p w14:paraId="3C014119" w14:textId="77777777" w:rsidR="00347295" w:rsidRPr="0053144D" w:rsidRDefault="00347295" w:rsidP="00347295">
      <w:pPr>
        <w:pStyle w:val="BodyTextMain"/>
        <w:rPr>
          <w:sz w:val="20"/>
        </w:rPr>
      </w:pPr>
    </w:p>
    <w:p w14:paraId="172B1FAC" w14:textId="77777777" w:rsidR="00617E8C" w:rsidRPr="00347295" w:rsidRDefault="00617E8C" w:rsidP="0053144D">
      <w:pPr>
        <w:pStyle w:val="Casehead2"/>
      </w:pPr>
      <w:r w:rsidRPr="00347295">
        <w:t xml:space="preserve">PVC Resin </w:t>
      </w:r>
    </w:p>
    <w:p w14:paraId="6C6AB6D0" w14:textId="77777777" w:rsidR="00347295" w:rsidRPr="0053144D" w:rsidRDefault="00347295" w:rsidP="0053144D">
      <w:pPr>
        <w:pStyle w:val="BodyTextMain"/>
        <w:rPr>
          <w:sz w:val="20"/>
        </w:rPr>
      </w:pPr>
    </w:p>
    <w:p w14:paraId="54F445A5" w14:textId="573950F1" w:rsidR="00617E8C" w:rsidRDefault="00617E8C" w:rsidP="0053144D">
      <w:pPr>
        <w:pStyle w:val="BodyTextMain"/>
      </w:pPr>
      <w:r>
        <w:t xml:space="preserve">This division manufactured PVC resin (the main ingredient for pipes) at its plant in Ratnagiri. The plant, spread over an area of more than 400 acres, </w:t>
      </w:r>
      <w:r w:rsidR="00E81B6A">
        <w:t xml:space="preserve">had been </w:t>
      </w:r>
      <w:r>
        <w:t>set up using Hoechst technology, in technical collaboration with U</w:t>
      </w:r>
      <w:r w:rsidR="006846E3">
        <w:t>hd</w:t>
      </w:r>
      <w:r>
        <w:t xml:space="preserve">e GmbH of Germany. The plant had a capacity of 272,000 MTPA. </w:t>
      </w:r>
    </w:p>
    <w:p w14:paraId="53641E6B" w14:textId="286B8DB0" w:rsidR="00617E8C" w:rsidRDefault="00617E8C" w:rsidP="00F559AE">
      <w:pPr>
        <w:pStyle w:val="BodyTextMain"/>
      </w:pPr>
      <w:r>
        <w:lastRenderedPageBreak/>
        <w:t xml:space="preserve">PVC resin could be manufactured by three methods: suspension </w:t>
      </w:r>
      <w:r w:rsidR="00ED52C4">
        <w:t>polymerization</w:t>
      </w:r>
      <w:r>
        <w:t xml:space="preserve">, emulsion </w:t>
      </w:r>
      <w:r w:rsidR="00EC630B">
        <w:t>polymerization,</w:t>
      </w:r>
      <w:r>
        <w:t xml:space="preserve"> and bulk polymerization. The most common method of PVC manufacture was suspen</w:t>
      </w:r>
      <w:r w:rsidR="00805456">
        <w:t>sion</w:t>
      </w:r>
      <w:r>
        <w:t xml:space="preserve"> polymerization. PVC could be used to manufacture </w:t>
      </w:r>
      <w:r w:rsidR="00125568">
        <w:t xml:space="preserve">a </w:t>
      </w:r>
      <w:r>
        <w:t>large number of products. The PVC production complex of F</w:t>
      </w:r>
      <w:r w:rsidR="00962964">
        <w:t xml:space="preserve">inolex </w:t>
      </w:r>
      <w:r>
        <w:t>had an open-sea cryogenic jetty. This was the first of its kind in the private sector in India.</w:t>
      </w:r>
      <w:r w:rsidR="00805456">
        <w:rPr>
          <w:bCs/>
        </w:rPr>
        <w:t xml:space="preserve"> (See </w:t>
      </w:r>
      <w:r>
        <w:rPr>
          <w:bCs/>
        </w:rPr>
        <w:t>Exhibit 2</w:t>
      </w:r>
      <w:r>
        <w:t xml:space="preserve"> </w:t>
      </w:r>
      <w:r w:rsidR="00805456">
        <w:t>for</w:t>
      </w:r>
      <w:r>
        <w:t xml:space="preserve"> the PVC resin and PVC </w:t>
      </w:r>
      <w:r w:rsidR="00EC630B">
        <w:t>pipe-</w:t>
      </w:r>
      <w:r>
        <w:t>manufacturing process at the Ratnagiri plant</w:t>
      </w:r>
      <w:r w:rsidR="00EC630B">
        <w:t>.</w:t>
      </w:r>
      <w:r w:rsidR="00805456">
        <w:t>)</w:t>
      </w:r>
    </w:p>
    <w:bookmarkEnd w:id="4"/>
    <w:bookmarkEnd w:id="5"/>
    <w:p w14:paraId="42EFCF9B" w14:textId="77777777" w:rsidR="00617E8C" w:rsidRPr="0053144D" w:rsidRDefault="00617E8C" w:rsidP="00F559AE">
      <w:pPr>
        <w:pStyle w:val="BodyTextMain"/>
        <w:rPr>
          <w:sz w:val="20"/>
        </w:rPr>
      </w:pPr>
    </w:p>
    <w:p w14:paraId="04FC33E5" w14:textId="77777777" w:rsidR="00617E8C" w:rsidRDefault="00617E8C" w:rsidP="00F559AE">
      <w:pPr>
        <w:pStyle w:val="BodyTextMain"/>
        <w:rPr>
          <w:rFonts w:eastAsia="Arial Unicode MS"/>
        </w:rPr>
      </w:pPr>
      <w:r>
        <w:t>Finolex used a large volume of water in its plant</w:t>
      </w:r>
      <w:r w:rsidR="00125568">
        <w:t>, with</w:t>
      </w:r>
      <w:r>
        <w:t xml:space="preserve"> estimated annual water requirement</w:t>
      </w:r>
      <w:r w:rsidR="00125568">
        <w:t xml:space="preserve">s </w:t>
      </w:r>
      <w:r w:rsidR="00CE2B71">
        <w:t>of</w:t>
      </w:r>
      <w:r w:rsidR="00125568">
        <w:t xml:space="preserve"> </w:t>
      </w:r>
      <w:r>
        <w:t xml:space="preserve">2.4 million cubic metres </w:t>
      </w:r>
      <w:r w:rsidR="00125568">
        <w:t>(</w:t>
      </w:r>
      <w:r>
        <w:t>m</w:t>
      </w:r>
      <w:r w:rsidRPr="00BE3D78">
        <w:rPr>
          <w:vertAlign w:val="superscript"/>
        </w:rPr>
        <w:t>3</w:t>
      </w:r>
      <w:r>
        <w:t>). Of this, 1.6 million m</w:t>
      </w:r>
      <w:r w:rsidRPr="00BE3D78">
        <w:rPr>
          <w:vertAlign w:val="superscript"/>
        </w:rPr>
        <w:t>3</w:t>
      </w:r>
      <w:r>
        <w:t xml:space="preserve"> was pumped from the river, 0.4 million m</w:t>
      </w:r>
      <w:r w:rsidRPr="00BE3D78">
        <w:rPr>
          <w:vertAlign w:val="superscript"/>
        </w:rPr>
        <w:t>3</w:t>
      </w:r>
      <w:r>
        <w:t xml:space="preserve"> came from rain water collected in reservoirs, 0.3 million m</w:t>
      </w:r>
      <w:r w:rsidRPr="00BE3D78">
        <w:rPr>
          <w:vertAlign w:val="superscript"/>
        </w:rPr>
        <w:t>3</w:t>
      </w:r>
      <w:r>
        <w:t xml:space="preserve"> </w:t>
      </w:r>
      <w:r w:rsidR="00492AE9">
        <w:t xml:space="preserve">came </w:t>
      </w:r>
      <w:r>
        <w:t xml:space="preserve">from an </w:t>
      </w:r>
      <w:r>
        <w:rPr>
          <w:lang w:val="fr-FR"/>
        </w:rPr>
        <w:t xml:space="preserve">effluent recycling plant </w:t>
      </w:r>
      <w:r>
        <w:t>that generated good-quality water</w:t>
      </w:r>
      <w:r w:rsidR="00492AE9">
        <w:t>,</w:t>
      </w:r>
      <w:r>
        <w:t xml:space="preserve"> and the rest </w:t>
      </w:r>
      <w:r w:rsidR="00492AE9">
        <w:t xml:space="preserve">came </w:t>
      </w:r>
      <w:r>
        <w:t xml:space="preserve">from the reverse osmosis plant that operated during the summer months. </w:t>
      </w:r>
    </w:p>
    <w:p w14:paraId="5A5F8FB6" w14:textId="480162F4" w:rsidR="00617E8C" w:rsidRPr="0053144D" w:rsidRDefault="00617E8C" w:rsidP="00F559AE">
      <w:pPr>
        <w:pStyle w:val="BodyTextMain"/>
        <w:rPr>
          <w:sz w:val="20"/>
        </w:rPr>
      </w:pPr>
    </w:p>
    <w:p w14:paraId="1F1929D0" w14:textId="77777777" w:rsidR="00617E8C" w:rsidRDefault="00617E8C" w:rsidP="00F559AE">
      <w:pPr>
        <w:pStyle w:val="BodyTextMain"/>
      </w:pPr>
      <w:r>
        <w:t>The company also used dams, reservoirs</w:t>
      </w:r>
      <w:r w:rsidR="00492AE9">
        <w:t>,</w:t>
      </w:r>
      <w:r>
        <w:t xml:space="preserve"> and a central effluent treatment system to manage its water. A dam had been created on the nearby Thorli river. Typically, water was available in the river from June to January. For the remaining months, water was taken from the reservoirs. Water was pumped from the dam to the plant about </w:t>
      </w:r>
      <w:r w:rsidR="00492AE9">
        <w:t xml:space="preserve">seven kilometres </w:t>
      </w:r>
      <w:r>
        <w:t xml:space="preserve">away using a PVC pipe </w:t>
      </w:r>
      <w:r w:rsidR="00492AE9">
        <w:t xml:space="preserve">16 inches in diameter </w:t>
      </w:r>
      <w:r>
        <w:t>made by Finolex. The dam was useful</w:t>
      </w:r>
      <w:r w:rsidR="00492AE9">
        <w:t>,</w:t>
      </w:r>
      <w:r>
        <w:t xml:space="preserve"> as it provided water to the plant and helped the neighbouring villages by raising the water table.</w:t>
      </w:r>
    </w:p>
    <w:p w14:paraId="2365CB3C" w14:textId="77777777" w:rsidR="00617E8C" w:rsidRPr="0053144D" w:rsidRDefault="00617E8C" w:rsidP="00BA718F">
      <w:pPr>
        <w:pStyle w:val="BodyTextMain"/>
        <w:rPr>
          <w:sz w:val="20"/>
        </w:rPr>
      </w:pPr>
    </w:p>
    <w:p w14:paraId="133278E4" w14:textId="3F7C5806" w:rsidR="00617E8C" w:rsidRDefault="00617E8C" w:rsidP="00F559AE">
      <w:pPr>
        <w:pStyle w:val="BodyTextMain"/>
      </w:pPr>
      <w:r w:rsidRPr="00BE3D78">
        <w:rPr>
          <w:bCs/>
          <w:i/>
        </w:rPr>
        <w:t>Reservoirs</w:t>
      </w:r>
      <w:r>
        <w:t>: There were two reservoirs</w:t>
      </w:r>
      <w:r w:rsidR="0047494A">
        <w:t xml:space="preserve"> with collection areas</w:t>
      </w:r>
      <w:r>
        <w:t xml:space="preserve"> of 90,000</w:t>
      </w:r>
      <w:r w:rsidR="00492AE9">
        <w:t xml:space="preserve"> </w:t>
      </w:r>
      <w:r>
        <w:t>m</w:t>
      </w:r>
      <w:r>
        <w:rPr>
          <w:vertAlign w:val="superscript"/>
        </w:rPr>
        <w:t>2</w:t>
      </w:r>
      <w:r>
        <w:t xml:space="preserve"> and 50,000</w:t>
      </w:r>
      <w:r w:rsidR="00262F0A">
        <w:t xml:space="preserve"> </w:t>
      </w:r>
      <w:r>
        <w:t>m</w:t>
      </w:r>
      <w:r>
        <w:rPr>
          <w:vertAlign w:val="superscript"/>
        </w:rPr>
        <w:t>2</w:t>
      </w:r>
      <w:r>
        <w:t xml:space="preserve"> </w:t>
      </w:r>
      <w:r w:rsidR="0047494A">
        <w:t>respectively</w:t>
      </w:r>
      <w:r>
        <w:t xml:space="preserve">. Both reservoirs had </w:t>
      </w:r>
      <w:r w:rsidR="0047494A">
        <w:t xml:space="preserve">reinforced concrete cement </w:t>
      </w:r>
      <w:r>
        <w:t xml:space="preserve">bottoms. However, due to the nature of the soil, seepage was inevitable. To reduce seepage, rolls of </w:t>
      </w:r>
      <w:r w:rsidR="00262F0A">
        <w:t>h</w:t>
      </w:r>
      <w:r w:rsidR="00262F0A" w:rsidRPr="00262F0A">
        <w:t>igh-density polyethylene</w:t>
      </w:r>
      <w:r w:rsidR="00262F0A" w:rsidRPr="00262F0A" w:rsidDel="00262F0A">
        <w:t xml:space="preserve"> </w:t>
      </w:r>
      <w:r>
        <w:t>film 9.4</w:t>
      </w:r>
      <w:r w:rsidR="00492AE9">
        <w:t xml:space="preserve"> </w:t>
      </w:r>
      <w:r>
        <w:t>m</w:t>
      </w:r>
      <w:r w:rsidR="00492AE9">
        <w:t>etres</w:t>
      </w:r>
      <w:r>
        <w:t xml:space="preserve"> wide, 1.5</w:t>
      </w:r>
      <w:r w:rsidR="00492AE9">
        <w:t xml:space="preserve"> </w:t>
      </w:r>
      <w:r>
        <w:t>m</w:t>
      </w:r>
      <w:r w:rsidR="00492AE9">
        <w:t>illi</w:t>
      </w:r>
      <w:r>
        <w:t>m</w:t>
      </w:r>
      <w:r w:rsidR="00492AE9">
        <w:t>etres</w:t>
      </w:r>
      <w:r>
        <w:t xml:space="preserve"> thick</w:t>
      </w:r>
      <w:r w:rsidR="00262F0A">
        <w:t>,</w:t>
      </w:r>
      <w:r>
        <w:t xml:space="preserve"> and 200</w:t>
      </w:r>
      <w:r w:rsidR="00492AE9">
        <w:t xml:space="preserve"> </w:t>
      </w:r>
      <w:r>
        <w:t>m</w:t>
      </w:r>
      <w:r w:rsidR="00492AE9">
        <w:t>etres</w:t>
      </w:r>
      <w:r>
        <w:t xml:space="preserve"> long were used to line the bottom of the reservoir. The </w:t>
      </w:r>
      <w:r w:rsidR="00262F0A">
        <w:t>h</w:t>
      </w:r>
      <w:r w:rsidR="00262F0A" w:rsidRPr="00262F0A">
        <w:t>igh-density polyethylene</w:t>
      </w:r>
      <w:r w:rsidR="00262F0A" w:rsidRPr="00262F0A" w:rsidDel="00262F0A">
        <w:t xml:space="preserve"> </w:t>
      </w:r>
      <w:r>
        <w:t xml:space="preserve">sheets were welded </w:t>
      </w:r>
      <w:r w:rsidR="00492AE9">
        <w:t xml:space="preserve">using the </w:t>
      </w:r>
      <w:r>
        <w:t>fusion wedge welding method. These reservoirs secured water availability for the three summer months.</w:t>
      </w:r>
    </w:p>
    <w:p w14:paraId="1254903B" w14:textId="77777777" w:rsidR="00617E8C" w:rsidRPr="0053144D" w:rsidRDefault="00617E8C" w:rsidP="00BA718F">
      <w:pPr>
        <w:pStyle w:val="BodyTextMain"/>
        <w:rPr>
          <w:sz w:val="20"/>
        </w:rPr>
      </w:pPr>
    </w:p>
    <w:p w14:paraId="512DF343" w14:textId="54D641F3" w:rsidR="00617E8C" w:rsidRDefault="00617E8C" w:rsidP="00F559AE">
      <w:pPr>
        <w:pStyle w:val="BodyTextMain"/>
      </w:pPr>
      <w:r w:rsidRPr="00BE3D78">
        <w:rPr>
          <w:bCs/>
          <w:i/>
        </w:rPr>
        <w:t>Central effluent treatment</w:t>
      </w:r>
      <w:r>
        <w:t xml:space="preserve">: The process plants had been provided with primary treatment facilities, which included </w:t>
      </w:r>
      <w:r w:rsidR="00805456">
        <w:t xml:space="preserve">the </w:t>
      </w:r>
      <w:r>
        <w:t>stripping of hydrocarbons wherever required. This effluent was further treated in the central effluent treatment plant, which had primary, secondary</w:t>
      </w:r>
      <w:r w:rsidR="00EB6599">
        <w:t>,</w:t>
      </w:r>
      <w:r>
        <w:t xml:space="preserve"> and tertiary treatment facilities. The treated water was used for gardening to create a green belt around the plant. The PVC reactor effluent (1,200</w:t>
      </w:r>
      <w:r w:rsidR="00492AE9">
        <w:t xml:space="preserve"> </w:t>
      </w:r>
      <w:r>
        <w:t>m</w:t>
      </w:r>
      <w:r w:rsidRPr="00BE3D78">
        <w:rPr>
          <w:vertAlign w:val="superscript"/>
        </w:rPr>
        <w:t>3</w:t>
      </w:r>
      <w:r w:rsidR="00CE2B71">
        <w:t xml:space="preserve"> per </w:t>
      </w:r>
      <w:r>
        <w:t>day) was treated separately</w:t>
      </w:r>
      <w:r w:rsidR="00BD0978">
        <w:t>,</w:t>
      </w:r>
      <w:r>
        <w:t xml:space="preserve"> recycled</w:t>
      </w:r>
      <w:r w:rsidR="00BD0978">
        <w:t>,</w:t>
      </w:r>
      <w:r>
        <w:t xml:space="preserve"> </w:t>
      </w:r>
      <w:r w:rsidR="00E70A19">
        <w:t>and used</w:t>
      </w:r>
      <w:r>
        <w:t xml:space="preserve"> for cooling towers.</w:t>
      </w:r>
    </w:p>
    <w:p w14:paraId="6ADA2448" w14:textId="77777777" w:rsidR="00617E8C" w:rsidRPr="0053144D" w:rsidRDefault="00617E8C" w:rsidP="00BA718F">
      <w:pPr>
        <w:pStyle w:val="BodyTextMain"/>
        <w:rPr>
          <w:sz w:val="20"/>
        </w:rPr>
      </w:pPr>
    </w:p>
    <w:p w14:paraId="4DAEE148" w14:textId="16140443" w:rsidR="00617E8C" w:rsidRDefault="00617E8C" w:rsidP="00F559AE">
      <w:pPr>
        <w:pStyle w:val="BodyTextMain"/>
        <w:rPr>
          <w:rFonts w:eastAsia="Arial Unicode MS"/>
          <w:color w:val="000000"/>
        </w:rPr>
      </w:pPr>
      <w:r>
        <w:t>While many water-based CSR activities had been undertaken around the plant</w:t>
      </w:r>
      <w:r w:rsidR="00492AE9">
        <w:t>,</w:t>
      </w:r>
      <w:r>
        <w:t xml:space="preserve"> villages near the plant faced two main problems: lack of </w:t>
      </w:r>
      <w:r w:rsidR="00EB6599">
        <w:t xml:space="preserve">an </w:t>
      </w:r>
      <w:r>
        <w:t xml:space="preserve">adequate supply of water during </w:t>
      </w:r>
      <w:r w:rsidR="00EB6599">
        <w:t xml:space="preserve">the </w:t>
      </w:r>
      <w:r>
        <w:t xml:space="preserve">summer months and lack of </w:t>
      </w:r>
      <w:r w:rsidR="00EB6599">
        <w:t xml:space="preserve">a supply of </w:t>
      </w:r>
      <w:r>
        <w:t xml:space="preserve">drinking water. Finolex helped these villages by providing support in </w:t>
      </w:r>
      <w:r w:rsidR="00EB6599">
        <w:t xml:space="preserve">the </w:t>
      </w:r>
      <w:r>
        <w:t>digging of wells</w:t>
      </w:r>
      <w:r w:rsidR="006E0A0B">
        <w:t>,</w:t>
      </w:r>
      <w:r>
        <w:t xml:space="preserve"> by providing water to water tanks in the villages</w:t>
      </w:r>
      <w:r w:rsidR="00A931D2">
        <w:t>,</w:t>
      </w:r>
      <w:r>
        <w:t xml:space="preserve"> and piping water to homes. Wherever required, check dams </w:t>
      </w:r>
      <w:r w:rsidR="00EB6599">
        <w:t>were</w:t>
      </w:r>
      <w:r>
        <w:t xml:space="preserve"> constructed to help raise the water table in the area. </w:t>
      </w:r>
    </w:p>
    <w:p w14:paraId="49055C33" w14:textId="77777777" w:rsidR="00617E8C" w:rsidRPr="0053144D" w:rsidRDefault="00617E8C" w:rsidP="00F559AE">
      <w:pPr>
        <w:pStyle w:val="BodyTextMain"/>
        <w:rPr>
          <w:sz w:val="20"/>
        </w:rPr>
      </w:pPr>
    </w:p>
    <w:p w14:paraId="6DAEF095" w14:textId="77777777" w:rsidR="00617E8C" w:rsidRPr="0053144D" w:rsidRDefault="00617E8C" w:rsidP="000F1CE0">
      <w:pPr>
        <w:pStyle w:val="BodyTextMain"/>
        <w:rPr>
          <w:sz w:val="20"/>
        </w:rPr>
      </w:pPr>
    </w:p>
    <w:p w14:paraId="6B507F15" w14:textId="77777777" w:rsidR="00617E8C" w:rsidRDefault="00617E8C" w:rsidP="0053144D">
      <w:pPr>
        <w:pStyle w:val="Casehead1"/>
        <w:keepNext/>
        <w:rPr>
          <w:rFonts w:eastAsia="Helvetica"/>
          <w:bCs/>
        </w:rPr>
      </w:pPr>
      <w:r>
        <w:t>Performance and Strategy</w:t>
      </w:r>
    </w:p>
    <w:p w14:paraId="0A284BAF" w14:textId="77777777" w:rsidR="00617E8C" w:rsidRPr="0053144D" w:rsidRDefault="00617E8C" w:rsidP="0053144D">
      <w:pPr>
        <w:pStyle w:val="BodyTextMain"/>
        <w:keepNext/>
        <w:rPr>
          <w:sz w:val="20"/>
        </w:rPr>
      </w:pPr>
    </w:p>
    <w:p w14:paraId="46EC2036" w14:textId="4127703B" w:rsidR="00617E8C" w:rsidRDefault="00617E8C" w:rsidP="0053144D">
      <w:pPr>
        <w:pStyle w:val="BodyTextMain"/>
        <w:keepNext/>
      </w:pPr>
      <w:r>
        <w:t>In 2015</w:t>
      </w:r>
      <w:r w:rsidR="00262F0A">
        <w:t>–</w:t>
      </w:r>
      <w:r>
        <w:t>16, F</w:t>
      </w:r>
      <w:r w:rsidR="00962964">
        <w:t>inolex</w:t>
      </w:r>
      <w:r>
        <w:t xml:space="preserve"> focused on the following:</w:t>
      </w:r>
    </w:p>
    <w:p w14:paraId="6B9C94D3" w14:textId="77777777" w:rsidR="00617E8C" w:rsidRPr="0053144D" w:rsidRDefault="00617E8C" w:rsidP="0053144D">
      <w:pPr>
        <w:pStyle w:val="BodyTextMain"/>
        <w:keepNext/>
        <w:rPr>
          <w:sz w:val="20"/>
        </w:rPr>
      </w:pPr>
    </w:p>
    <w:p w14:paraId="7106615A" w14:textId="2109525D" w:rsidR="00617E8C" w:rsidRDefault="00617E8C" w:rsidP="00F559AE">
      <w:pPr>
        <w:pStyle w:val="BodyTextMain"/>
      </w:pPr>
      <w:r w:rsidRPr="00BE3D78">
        <w:rPr>
          <w:bCs/>
          <w:i/>
        </w:rPr>
        <w:t>Capacity expansion</w:t>
      </w:r>
      <w:r>
        <w:t>: F</w:t>
      </w:r>
      <w:r w:rsidR="00962964">
        <w:t>inolex</w:t>
      </w:r>
      <w:r>
        <w:t xml:space="preserve"> added 30,000 </w:t>
      </w:r>
      <w:r w:rsidR="00E70A19">
        <w:t>metric ton</w:t>
      </w:r>
      <w:r w:rsidR="00E57664">
        <w:t>s</w:t>
      </w:r>
      <w:r w:rsidR="00E70A19">
        <w:t xml:space="preserve"> (</w:t>
      </w:r>
      <w:r>
        <w:t>MT</w:t>
      </w:r>
      <w:r w:rsidR="00E70A19">
        <w:t>)</w:t>
      </w:r>
      <w:r>
        <w:t xml:space="preserve"> </w:t>
      </w:r>
      <w:r w:rsidR="00CE2B71">
        <w:t xml:space="preserve">in </w:t>
      </w:r>
      <w:r>
        <w:t>capacity of pipes and fittings spread across three plants. The company planned to add another 60,000 MT over the next three years.</w:t>
      </w:r>
    </w:p>
    <w:p w14:paraId="1CD1BFE5" w14:textId="77777777" w:rsidR="00617E8C" w:rsidRPr="0053144D" w:rsidRDefault="00617E8C" w:rsidP="00F559AE">
      <w:pPr>
        <w:pStyle w:val="BodyTextMain"/>
        <w:rPr>
          <w:sz w:val="20"/>
        </w:rPr>
      </w:pPr>
    </w:p>
    <w:p w14:paraId="35BB73F5" w14:textId="18F43B8F" w:rsidR="00617E8C" w:rsidRDefault="00617E8C" w:rsidP="00F559AE">
      <w:pPr>
        <w:pStyle w:val="BodyTextMain"/>
      </w:pPr>
      <w:r w:rsidRPr="00BE3D78">
        <w:rPr>
          <w:bCs/>
          <w:i/>
        </w:rPr>
        <w:t>Margin improvement</w:t>
      </w:r>
      <w:r>
        <w:t xml:space="preserve">: </w:t>
      </w:r>
      <w:r w:rsidR="00962964">
        <w:t>Finolex</w:t>
      </w:r>
      <w:r>
        <w:t xml:space="preserve"> expanded its range of products. The fittings segment was growing at over 20</w:t>
      </w:r>
      <w:r w:rsidR="009A3F82">
        <w:t xml:space="preserve"> per cent </w:t>
      </w:r>
      <w:r w:rsidR="00EB6599">
        <w:t>per year</w:t>
      </w:r>
      <w:r>
        <w:t>. The company aimed to increase the share of fittings in its total sales volume. With the increase in the share of fittings in total sales, margins would also improve.</w:t>
      </w:r>
    </w:p>
    <w:p w14:paraId="735C4795" w14:textId="77777777" w:rsidR="00617E8C" w:rsidRPr="0053144D" w:rsidRDefault="00617E8C" w:rsidP="00F559AE">
      <w:pPr>
        <w:pStyle w:val="BodyTextMain"/>
        <w:rPr>
          <w:sz w:val="20"/>
        </w:rPr>
      </w:pPr>
    </w:p>
    <w:p w14:paraId="36330735" w14:textId="44D26442" w:rsidR="00617E8C" w:rsidRDefault="00617E8C" w:rsidP="00F559AE">
      <w:pPr>
        <w:pStyle w:val="BodyTextMain"/>
      </w:pPr>
      <w:r w:rsidRPr="00BE3D78">
        <w:rPr>
          <w:bCs/>
          <w:i/>
        </w:rPr>
        <w:lastRenderedPageBreak/>
        <w:t>New markets</w:t>
      </w:r>
      <w:r>
        <w:t xml:space="preserve">: The company was planning to increase its presence in relatively untapped markets such as northeastern India. A warehouse was opened in Cuttack, Odisha, in 2014 </w:t>
      </w:r>
      <w:r w:rsidR="00D24E21">
        <w:t xml:space="preserve">so the company could </w:t>
      </w:r>
      <w:r>
        <w:t>have a presence closer to the eastern markets. This warehouse would help the company cut down transit time</w:t>
      </w:r>
      <w:r w:rsidR="00CE2B71">
        <w:t>s</w:t>
      </w:r>
      <w:r>
        <w:t xml:space="preserve">. Also, it would help the company’s dealers stock smaller quantities, thus saving </w:t>
      </w:r>
      <w:r w:rsidR="00E70A19">
        <w:t xml:space="preserve">on </w:t>
      </w:r>
      <w:r>
        <w:t xml:space="preserve">inventory cost. Warehouses had also been opened in Delhi (north India) and Indore (central India). </w:t>
      </w:r>
    </w:p>
    <w:p w14:paraId="5EA83B44" w14:textId="77777777" w:rsidR="00617E8C" w:rsidRPr="0053144D" w:rsidRDefault="00617E8C" w:rsidP="00F559AE">
      <w:pPr>
        <w:pStyle w:val="BodyTextMain"/>
        <w:rPr>
          <w:sz w:val="20"/>
        </w:rPr>
      </w:pPr>
    </w:p>
    <w:p w14:paraId="76F696B0" w14:textId="392B74D9" w:rsidR="00617E8C" w:rsidRDefault="00617E8C" w:rsidP="00F559AE">
      <w:pPr>
        <w:pStyle w:val="BodyTextMain"/>
      </w:pPr>
      <w:r w:rsidRPr="00BE3D78">
        <w:rPr>
          <w:bCs/>
          <w:i/>
        </w:rPr>
        <w:t>Branding</w:t>
      </w:r>
      <w:r>
        <w:t>: While PVC pipes and fittings were treated more like commodities, branding still played a very important role. The company commanded a premium of 3</w:t>
      </w:r>
      <w:r w:rsidR="00202292">
        <w:t>–</w:t>
      </w:r>
      <w:r>
        <w:t>5</w:t>
      </w:r>
      <w:r w:rsidR="009A3F82" w:rsidRPr="009A3F82">
        <w:t xml:space="preserve"> </w:t>
      </w:r>
      <w:r w:rsidR="009A3F82">
        <w:t>per cent</w:t>
      </w:r>
      <w:r>
        <w:t xml:space="preserve"> over its peers due to its brand equity. In 2015</w:t>
      </w:r>
      <w:r w:rsidR="009A3F82">
        <w:t>–</w:t>
      </w:r>
      <w:r>
        <w:t xml:space="preserve">16, </w:t>
      </w:r>
      <w:r w:rsidR="001250DE" w:rsidRPr="00F348A5">
        <w:rPr>
          <w:sz w:val="20"/>
          <w:szCs w:val="20"/>
        </w:rPr>
        <w:t>₹</w:t>
      </w:r>
      <w:r>
        <w:t>300 million, or more than 1</w:t>
      </w:r>
      <w:r w:rsidR="009A3F82" w:rsidRPr="009A3F82">
        <w:t xml:space="preserve"> </w:t>
      </w:r>
      <w:r w:rsidR="009A3F82">
        <w:t>per cent</w:t>
      </w:r>
      <w:r>
        <w:t xml:space="preserve"> of sales, was spent on </w:t>
      </w:r>
      <w:r w:rsidR="00D24E21">
        <w:t xml:space="preserve">advertising </w:t>
      </w:r>
      <w:r>
        <w:t xml:space="preserve">and branding activities. In a first-of-its-kind activity, 60 plumber meetings were conducted simultaneously in 28 states, which saw overwhelming participation of over 3,000 plumbers. Another promotional mode was the sponsorship of </w:t>
      </w:r>
      <w:r w:rsidR="00E60183">
        <w:t>the company’s</w:t>
      </w:r>
      <w:r>
        <w:t xml:space="preserve"> home cricket team</w:t>
      </w:r>
      <w:r w:rsidR="00262F0A">
        <w:t>,</w:t>
      </w:r>
      <w:r w:rsidR="00262F0A" w:rsidRPr="00262F0A">
        <w:t xml:space="preserve"> </w:t>
      </w:r>
      <w:r w:rsidR="00262F0A">
        <w:t>Rising Pune Supergiants,</w:t>
      </w:r>
      <w:r>
        <w:t xml:space="preserve"> in the Indian Premier League.</w:t>
      </w:r>
    </w:p>
    <w:p w14:paraId="6CFFC8DC" w14:textId="77777777" w:rsidR="00617E8C" w:rsidRPr="0053144D" w:rsidRDefault="00617E8C" w:rsidP="00F559AE">
      <w:pPr>
        <w:pStyle w:val="BodyTextMain"/>
        <w:rPr>
          <w:sz w:val="20"/>
        </w:rPr>
      </w:pPr>
    </w:p>
    <w:p w14:paraId="2BC9818E" w14:textId="33BA79C5" w:rsidR="00617E8C" w:rsidRDefault="00617E8C" w:rsidP="00F559AE">
      <w:pPr>
        <w:pStyle w:val="BodyTextMain"/>
      </w:pPr>
      <w:r w:rsidRPr="00BE3D78">
        <w:rPr>
          <w:bCs/>
          <w:i/>
        </w:rPr>
        <w:t>Cash-n-carry</w:t>
      </w:r>
      <w:r>
        <w:t>: The co</w:t>
      </w:r>
      <w:bookmarkStart w:id="6" w:name="_GoBack"/>
      <w:bookmarkEnd w:id="6"/>
      <w:r>
        <w:t>mpany followed the cash-n-carry business model to keep the balance sheet light. It had negligible debtors as it received cash up</w:t>
      </w:r>
      <w:r w:rsidR="00E60183">
        <w:t xml:space="preserve"> </w:t>
      </w:r>
      <w:r>
        <w:t xml:space="preserve">front. This also helped the company reduce debt. The company was on track to be </w:t>
      </w:r>
      <w:r w:rsidR="00CE2B71">
        <w:t>debt-</w:t>
      </w:r>
      <w:r>
        <w:t>free by 2017.</w:t>
      </w:r>
    </w:p>
    <w:p w14:paraId="6C7BF222" w14:textId="77777777" w:rsidR="00617E8C" w:rsidRPr="0053144D" w:rsidRDefault="00617E8C" w:rsidP="00F559AE">
      <w:pPr>
        <w:pStyle w:val="BodyTextMain"/>
        <w:rPr>
          <w:sz w:val="20"/>
        </w:rPr>
      </w:pPr>
    </w:p>
    <w:p w14:paraId="6A05027A" w14:textId="77777777" w:rsidR="00617E8C" w:rsidRDefault="00617E8C" w:rsidP="00F559AE">
      <w:pPr>
        <w:pStyle w:val="BodyTextMain"/>
      </w:pPr>
      <w:r w:rsidRPr="00BE3D78">
        <w:rPr>
          <w:bCs/>
          <w:i/>
        </w:rPr>
        <w:t>New dealers</w:t>
      </w:r>
      <w:r>
        <w:t>: The company added about 100 dealers in 2015</w:t>
      </w:r>
      <w:r w:rsidR="00202292">
        <w:t>–</w:t>
      </w:r>
      <w:r>
        <w:t xml:space="preserve">16 across India, taking the total number of dealers to about 700. Finolex products were available at more than 17,000 retail outlets across the country. </w:t>
      </w:r>
    </w:p>
    <w:p w14:paraId="5D3CF389" w14:textId="77777777" w:rsidR="00617E8C" w:rsidRPr="0053144D" w:rsidRDefault="00617E8C" w:rsidP="00F559AE">
      <w:pPr>
        <w:pStyle w:val="BodyTextMain"/>
        <w:rPr>
          <w:sz w:val="20"/>
        </w:rPr>
      </w:pPr>
    </w:p>
    <w:p w14:paraId="0657BA38" w14:textId="1376BF51" w:rsidR="00617E8C" w:rsidRDefault="00617E8C" w:rsidP="00F559AE">
      <w:pPr>
        <w:pStyle w:val="BodyTextMain"/>
      </w:pPr>
      <w:r w:rsidRPr="00BE3D78">
        <w:rPr>
          <w:i/>
        </w:rPr>
        <w:t>Performance</w:t>
      </w:r>
      <w:r w:rsidRPr="00BE3D78">
        <w:t>:</w:t>
      </w:r>
      <w:r>
        <w:t xml:space="preserve"> The company maintained steady growth over the years. Over the period from 2010</w:t>
      </w:r>
      <w:r w:rsidR="00826808">
        <w:t>–</w:t>
      </w:r>
      <w:r>
        <w:t>11 (FY</w:t>
      </w:r>
      <w:r w:rsidR="001E6BE7">
        <w:t xml:space="preserve"> </w:t>
      </w:r>
      <w:r w:rsidR="00171407">
        <w:t>20</w:t>
      </w:r>
      <w:r>
        <w:t>11) to 2015</w:t>
      </w:r>
      <w:r w:rsidR="00826808">
        <w:t>–</w:t>
      </w:r>
      <w:r>
        <w:t>16 (FY</w:t>
      </w:r>
      <w:r w:rsidR="00171407">
        <w:t xml:space="preserve"> 20</w:t>
      </w:r>
      <w:r>
        <w:t xml:space="preserve">16), its revenue </w:t>
      </w:r>
      <w:r w:rsidR="00E60183">
        <w:t>grew</w:t>
      </w:r>
      <w:r>
        <w:t xml:space="preserve"> from </w:t>
      </w:r>
      <w:r w:rsidR="001250DE" w:rsidRPr="00BE3D78">
        <w:rPr>
          <w:sz w:val="20"/>
          <w:szCs w:val="20"/>
        </w:rPr>
        <w:t>₹</w:t>
      </w:r>
      <w:r>
        <w:t xml:space="preserve">19,777 million to </w:t>
      </w:r>
      <w:r w:rsidR="001250DE" w:rsidRPr="00BE3D78">
        <w:rPr>
          <w:sz w:val="20"/>
          <w:szCs w:val="20"/>
        </w:rPr>
        <w:t>₹</w:t>
      </w:r>
      <w:r>
        <w:t xml:space="preserve">24,528 million. Return on equity </w:t>
      </w:r>
      <w:r w:rsidR="00E60183">
        <w:t>grew</w:t>
      </w:r>
      <w:r>
        <w:t xml:space="preserve"> from 12.3</w:t>
      </w:r>
      <w:r w:rsidR="00202292">
        <w:t xml:space="preserve"> </w:t>
      </w:r>
      <w:r w:rsidR="009A3F82">
        <w:t>per cent</w:t>
      </w:r>
      <w:r>
        <w:t xml:space="preserve"> to 24.4</w:t>
      </w:r>
      <w:r w:rsidR="009A3F82" w:rsidRPr="009A3F82">
        <w:t xml:space="preserve"> </w:t>
      </w:r>
      <w:r w:rsidR="009A3F82">
        <w:t>per cent</w:t>
      </w:r>
      <w:r>
        <w:t xml:space="preserve">; </w:t>
      </w:r>
      <w:r w:rsidR="00202292">
        <w:t xml:space="preserve">the </w:t>
      </w:r>
      <w:r>
        <w:t>EBITDA (earnings before interest,</w:t>
      </w:r>
      <w:r w:rsidR="00A931D2">
        <w:t xml:space="preserve"> taxes,</w:t>
      </w:r>
      <w:r>
        <w:t xml:space="preserve"> depreciation, </w:t>
      </w:r>
      <w:r w:rsidR="006F634A">
        <w:t xml:space="preserve">and </w:t>
      </w:r>
      <w:r>
        <w:t xml:space="preserve">amortization) margin </w:t>
      </w:r>
      <w:r w:rsidR="00E60183">
        <w:t>grew</w:t>
      </w:r>
      <w:r w:rsidR="00202292">
        <w:t xml:space="preserve"> </w:t>
      </w:r>
      <w:r>
        <w:t>from 11.9</w:t>
      </w:r>
      <w:r w:rsidR="00826808" w:rsidRPr="00826808">
        <w:t xml:space="preserve"> </w:t>
      </w:r>
      <w:r w:rsidR="00826808">
        <w:t>per cent</w:t>
      </w:r>
      <w:r>
        <w:t xml:space="preserve"> to 15.3</w:t>
      </w:r>
      <w:r w:rsidR="00826808" w:rsidRPr="00826808">
        <w:t xml:space="preserve"> </w:t>
      </w:r>
      <w:r w:rsidR="00826808">
        <w:t>per cent</w:t>
      </w:r>
      <w:r>
        <w:t xml:space="preserve">; and fixed asset turnover </w:t>
      </w:r>
      <w:r w:rsidR="00E60183">
        <w:t>grew</w:t>
      </w:r>
      <w:r w:rsidR="00202292">
        <w:t xml:space="preserve"> </w:t>
      </w:r>
      <w:r>
        <w:t>from 2.29 times to 2.86 times. At the same time (2011</w:t>
      </w:r>
      <w:r w:rsidR="00826808">
        <w:t>–</w:t>
      </w:r>
      <w:r>
        <w:t>12), the company</w:t>
      </w:r>
      <w:r w:rsidR="00E60183">
        <w:t xml:space="preserve"> </w:t>
      </w:r>
      <w:r>
        <w:t xml:space="preserve">started a debt reduction program. Its gross debt declined from </w:t>
      </w:r>
      <w:r w:rsidR="001250DE" w:rsidRPr="00BE3D78">
        <w:rPr>
          <w:sz w:val="20"/>
          <w:szCs w:val="20"/>
        </w:rPr>
        <w:t>₹</w:t>
      </w:r>
      <w:r>
        <w:t>10,424 million at the end of FY</w:t>
      </w:r>
      <w:r w:rsidR="00B67753">
        <w:t xml:space="preserve"> 20</w:t>
      </w:r>
      <w:r>
        <w:t xml:space="preserve">12 to </w:t>
      </w:r>
      <w:r w:rsidR="001250DE" w:rsidRPr="00BE3D78">
        <w:rPr>
          <w:sz w:val="20"/>
          <w:szCs w:val="20"/>
        </w:rPr>
        <w:t>₹</w:t>
      </w:r>
      <w:r>
        <w:t>2,117 million at the end of FY</w:t>
      </w:r>
      <w:r w:rsidR="00171407">
        <w:t xml:space="preserve"> 20</w:t>
      </w:r>
      <w:r>
        <w:t>16. Over the period 2011</w:t>
      </w:r>
      <w:r w:rsidR="00826808">
        <w:t>–</w:t>
      </w:r>
      <w:r>
        <w:t>12 to 2015</w:t>
      </w:r>
      <w:r w:rsidR="00826808">
        <w:t>–</w:t>
      </w:r>
      <w:r>
        <w:t>1</w:t>
      </w:r>
      <w:r w:rsidR="00E70A19">
        <w:t>6</w:t>
      </w:r>
      <w:r w:rsidR="00202292">
        <w:t>,</w:t>
      </w:r>
      <w:r>
        <w:t xml:space="preserve"> the company’s </w:t>
      </w:r>
      <w:r w:rsidR="00202292" w:rsidRPr="00202292">
        <w:t>earnings per share</w:t>
      </w:r>
      <w:r w:rsidR="00202292">
        <w:t xml:space="preserve"> </w:t>
      </w:r>
      <w:r w:rsidR="00E60183">
        <w:t>grew</w:t>
      </w:r>
      <w:r>
        <w:t xml:space="preserve"> from </w:t>
      </w:r>
      <w:r w:rsidR="001250DE" w:rsidRPr="00BE3D78">
        <w:rPr>
          <w:sz w:val="20"/>
          <w:szCs w:val="20"/>
        </w:rPr>
        <w:t>₹</w:t>
      </w:r>
      <w:r>
        <w:t xml:space="preserve">6.1 to </w:t>
      </w:r>
      <w:r w:rsidR="001250DE" w:rsidRPr="00BE3D78">
        <w:rPr>
          <w:sz w:val="20"/>
          <w:szCs w:val="20"/>
        </w:rPr>
        <w:t>₹</w:t>
      </w:r>
      <w:r>
        <w:t>18.6 and its dividend payout ratio improved from 57.16</w:t>
      </w:r>
      <w:r w:rsidR="009A3F82" w:rsidRPr="009A3F82">
        <w:t xml:space="preserve"> </w:t>
      </w:r>
      <w:r w:rsidR="009A3F82">
        <w:t>per cent</w:t>
      </w:r>
      <w:r>
        <w:t xml:space="preserve"> to 63.94</w:t>
      </w:r>
      <w:r w:rsidR="009A3F82" w:rsidRPr="009A3F82">
        <w:t xml:space="preserve"> </w:t>
      </w:r>
      <w:r w:rsidR="009A3F82">
        <w:t>per cent</w:t>
      </w:r>
      <w:r>
        <w:t xml:space="preserve">. </w:t>
      </w:r>
      <w:r w:rsidR="00E60183">
        <w:t xml:space="preserve">(See </w:t>
      </w:r>
      <w:r w:rsidRPr="009942FA">
        <w:rPr>
          <w:bCs/>
        </w:rPr>
        <w:t>Exhibit</w:t>
      </w:r>
      <w:r w:rsidR="004B59BA">
        <w:rPr>
          <w:bCs/>
        </w:rPr>
        <w:t xml:space="preserve"> </w:t>
      </w:r>
      <w:r w:rsidR="00892773">
        <w:t xml:space="preserve">3 </w:t>
      </w:r>
      <w:r w:rsidR="00E60183">
        <w:t>for</w:t>
      </w:r>
      <w:r>
        <w:t xml:space="preserve"> the financial statements of the company.</w:t>
      </w:r>
      <w:r w:rsidR="00E60183">
        <w:t>)</w:t>
      </w:r>
    </w:p>
    <w:p w14:paraId="6E8FBBF3" w14:textId="77777777" w:rsidR="00617E8C" w:rsidRPr="0053144D" w:rsidRDefault="00617E8C" w:rsidP="00F559AE">
      <w:pPr>
        <w:pStyle w:val="BodyTextMain"/>
        <w:rPr>
          <w:sz w:val="20"/>
        </w:rPr>
      </w:pPr>
    </w:p>
    <w:p w14:paraId="1B2A4FAB" w14:textId="66BC0C82" w:rsidR="00617E8C" w:rsidRDefault="00617E8C" w:rsidP="00F559AE">
      <w:pPr>
        <w:pStyle w:val="BodyTextMain"/>
        <w:rPr>
          <w:rFonts w:eastAsia="Arial Unicode MS"/>
        </w:rPr>
      </w:pPr>
      <w:r>
        <w:t xml:space="preserve">The company’s shareholding pattern on March </w:t>
      </w:r>
      <w:r w:rsidR="00202292">
        <w:t xml:space="preserve">31, </w:t>
      </w:r>
      <w:r>
        <w:t>2016</w:t>
      </w:r>
      <w:r w:rsidR="00202292">
        <w:t>,</w:t>
      </w:r>
      <w:r>
        <w:t xml:space="preserve"> was as follows: 52.47</w:t>
      </w:r>
      <w:r w:rsidR="00826808" w:rsidRPr="00826808">
        <w:t xml:space="preserve"> </w:t>
      </w:r>
      <w:r w:rsidR="00826808">
        <w:t>per cent</w:t>
      </w:r>
      <w:r>
        <w:t xml:space="preserve"> with the promoters, 6.18</w:t>
      </w:r>
      <w:r w:rsidR="00826808" w:rsidRPr="00826808">
        <w:t xml:space="preserve"> </w:t>
      </w:r>
      <w:r w:rsidR="00826808">
        <w:t>per cent</w:t>
      </w:r>
      <w:r>
        <w:t xml:space="preserve"> with mutual funds, 5.16</w:t>
      </w:r>
      <w:r w:rsidR="00826808" w:rsidRPr="00826808">
        <w:t xml:space="preserve"> </w:t>
      </w:r>
      <w:r w:rsidR="00826808">
        <w:t>per cent</w:t>
      </w:r>
      <w:r>
        <w:t xml:space="preserve"> with foreign portfolio investors</w:t>
      </w:r>
      <w:r w:rsidR="00202292">
        <w:t>,</w:t>
      </w:r>
      <w:r>
        <w:t xml:space="preserve"> and the remaining 36.19</w:t>
      </w:r>
      <w:r w:rsidR="00826808" w:rsidRPr="00826808">
        <w:t xml:space="preserve"> </w:t>
      </w:r>
      <w:r w:rsidR="00826808">
        <w:t>per cent</w:t>
      </w:r>
      <w:r>
        <w:t xml:space="preserve"> with the public.</w:t>
      </w:r>
      <w:r w:rsidR="00826808">
        <w:t xml:space="preserve">   </w:t>
      </w:r>
    </w:p>
    <w:p w14:paraId="413F064C" w14:textId="77777777" w:rsidR="00617E8C" w:rsidRPr="0053144D" w:rsidRDefault="00617E8C" w:rsidP="00F559AE">
      <w:pPr>
        <w:pStyle w:val="BodyTextMain"/>
        <w:rPr>
          <w:sz w:val="20"/>
        </w:rPr>
      </w:pPr>
    </w:p>
    <w:p w14:paraId="29E16DC6" w14:textId="3D729CA1" w:rsidR="00617E8C" w:rsidRDefault="00617E8C" w:rsidP="00EB5DC2">
      <w:pPr>
        <w:pStyle w:val="BodyTextMain"/>
        <w:tabs>
          <w:tab w:val="left" w:pos="3828"/>
        </w:tabs>
      </w:pPr>
      <w:r w:rsidRPr="00EB5DC2">
        <w:rPr>
          <w:i/>
        </w:rPr>
        <w:t xml:space="preserve">CSR </w:t>
      </w:r>
      <w:r w:rsidR="00F635E9">
        <w:rPr>
          <w:i/>
        </w:rPr>
        <w:t>s</w:t>
      </w:r>
      <w:r w:rsidR="00F635E9" w:rsidRPr="00F348A5">
        <w:rPr>
          <w:i/>
        </w:rPr>
        <w:t>pend</w:t>
      </w:r>
      <w:r>
        <w:t xml:space="preserve">: The Companies Act 2013 brought about changes to how CSR activities would be taken up in India. It mandated </w:t>
      </w:r>
      <w:r w:rsidR="00202292">
        <w:t xml:space="preserve">that </w:t>
      </w:r>
      <w:r>
        <w:t xml:space="preserve">companies, subject to certain criteria, </w:t>
      </w:r>
      <w:r w:rsidR="00171407">
        <w:t>put</w:t>
      </w:r>
      <w:r w:rsidR="00202292">
        <w:t xml:space="preserve"> </w:t>
      </w:r>
      <w:r>
        <w:t>2</w:t>
      </w:r>
      <w:r w:rsidR="00826808" w:rsidRPr="00826808">
        <w:t xml:space="preserve"> </w:t>
      </w:r>
      <w:r w:rsidR="00826808">
        <w:t>per cent</w:t>
      </w:r>
      <w:r>
        <w:t xml:space="preserve"> of their profits toward</w:t>
      </w:r>
      <w:r w:rsidR="00171407">
        <w:t xml:space="preserve"> </w:t>
      </w:r>
      <w:r>
        <w:t xml:space="preserve">CSR. It also mandated that a </w:t>
      </w:r>
      <w:r w:rsidR="00202292">
        <w:t>board-</w:t>
      </w:r>
      <w:r>
        <w:t xml:space="preserve">level CSR committee be set up that would approve all CSR spending. Further, it required companies to frame rules for conducting </w:t>
      </w:r>
      <w:r w:rsidR="004B59BA">
        <w:t xml:space="preserve">CSR operations (see Exhibit </w:t>
      </w:r>
      <w:r w:rsidR="00461475">
        <w:t>4</w:t>
      </w:r>
      <w:r>
        <w:t>).</w:t>
      </w:r>
    </w:p>
    <w:p w14:paraId="483D0871" w14:textId="77777777" w:rsidR="00617E8C" w:rsidRPr="0053144D" w:rsidRDefault="00617E8C" w:rsidP="00F559AE">
      <w:pPr>
        <w:pStyle w:val="BodyTextMain"/>
        <w:rPr>
          <w:sz w:val="20"/>
        </w:rPr>
      </w:pPr>
    </w:p>
    <w:p w14:paraId="6879A3C6" w14:textId="33798573" w:rsidR="00617E8C" w:rsidRDefault="00617E8C" w:rsidP="00F559AE">
      <w:pPr>
        <w:pStyle w:val="BodyTextMain"/>
      </w:pPr>
      <w:r>
        <w:t>In 2015</w:t>
      </w:r>
      <w:r w:rsidR="00826808">
        <w:t>–</w:t>
      </w:r>
      <w:r>
        <w:t>16</w:t>
      </w:r>
      <w:r w:rsidR="00795E7F">
        <w:t>,</w:t>
      </w:r>
      <w:r>
        <w:t xml:space="preserve"> the company spent </w:t>
      </w:r>
      <w:r w:rsidR="00C05F49" w:rsidRPr="00F348A5">
        <w:rPr>
          <w:sz w:val="20"/>
          <w:szCs w:val="20"/>
        </w:rPr>
        <w:t>₹</w:t>
      </w:r>
      <w:r>
        <w:t xml:space="preserve">35 million on CSR through MMF. This money </w:t>
      </w:r>
      <w:r w:rsidR="007B46A8">
        <w:t>was</w:t>
      </w:r>
      <w:r>
        <w:t xml:space="preserve"> used for hospital </w:t>
      </w:r>
      <w:r w:rsidR="009177CA">
        <w:t>upgrades</w:t>
      </w:r>
      <w:r>
        <w:t>, helping cerebral palsy patients</w:t>
      </w:r>
      <w:r w:rsidR="00795E7F">
        <w:t>,</w:t>
      </w:r>
      <w:r>
        <w:t xml:space="preserve"> and educational initiatives. As required by law</w:t>
      </w:r>
      <w:r w:rsidR="00795E7F">
        <w:t>,</w:t>
      </w:r>
      <w:r>
        <w:t xml:space="preserve"> the company also formed a CSR policy and a CSR committee to oversee corporate </w:t>
      </w:r>
      <w:r w:rsidR="00C05F49">
        <w:t xml:space="preserve">spending </w:t>
      </w:r>
      <w:r>
        <w:t xml:space="preserve">in this area. </w:t>
      </w:r>
    </w:p>
    <w:p w14:paraId="1D8CE322" w14:textId="77777777" w:rsidR="00617E8C" w:rsidRPr="0053144D" w:rsidRDefault="00617E8C" w:rsidP="00F559AE">
      <w:pPr>
        <w:pStyle w:val="BodyTextMain"/>
        <w:rPr>
          <w:sz w:val="20"/>
        </w:rPr>
      </w:pPr>
    </w:p>
    <w:p w14:paraId="40F26106" w14:textId="783E16D5" w:rsidR="00617E8C" w:rsidRPr="0053144D" w:rsidRDefault="00617E8C" w:rsidP="00973EC7">
      <w:pPr>
        <w:pStyle w:val="BodyTextMain"/>
        <w:rPr>
          <w:sz w:val="20"/>
        </w:rPr>
      </w:pPr>
    </w:p>
    <w:p w14:paraId="2D80FC92" w14:textId="77777777" w:rsidR="00617E8C" w:rsidRDefault="00617E8C" w:rsidP="00A510BD">
      <w:pPr>
        <w:pStyle w:val="Casehead1"/>
      </w:pPr>
      <w:r>
        <w:t xml:space="preserve">Mukul Madhav Foundation </w:t>
      </w:r>
    </w:p>
    <w:p w14:paraId="48663B44" w14:textId="77777777" w:rsidR="00617E8C" w:rsidRPr="0053144D" w:rsidRDefault="00617E8C" w:rsidP="00F559AE">
      <w:pPr>
        <w:pStyle w:val="BodyTextMain"/>
        <w:rPr>
          <w:sz w:val="20"/>
        </w:rPr>
      </w:pPr>
    </w:p>
    <w:p w14:paraId="14FC6B75" w14:textId="6B48D317" w:rsidR="00617E8C" w:rsidRDefault="00617E8C" w:rsidP="00F559AE">
      <w:pPr>
        <w:pStyle w:val="BodyTextMain"/>
      </w:pPr>
      <w:r>
        <w:t xml:space="preserve">In 1999, </w:t>
      </w:r>
      <w:r w:rsidR="00307B9D">
        <w:t xml:space="preserve">the </w:t>
      </w:r>
      <w:r w:rsidR="00A931D2">
        <w:t>MMF</w:t>
      </w:r>
      <w:r w:rsidR="007B7B34">
        <w:t xml:space="preserve"> </w:t>
      </w:r>
      <w:r>
        <w:t xml:space="preserve">was established as a public charitable trust. </w:t>
      </w:r>
      <w:r w:rsidR="00171407">
        <w:t>Since that time, t</w:t>
      </w:r>
      <w:r>
        <w:t>he foundation</w:t>
      </w:r>
      <w:r w:rsidR="00171407">
        <w:t xml:space="preserve"> </w:t>
      </w:r>
      <w:r>
        <w:t xml:space="preserve">had helped in the medical treatment of the economically weaker sections of society and provided educational assistance </w:t>
      </w:r>
      <w:r w:rsidR="00307B9D">
        <w:t xml:space="preserve">to </w:t>
      </w:r>
      <w:r>
        <w:t xml:space="preserve">the underprivileged. </w:t>
      </w:r>
      <w:r w:rsidR="007B7B34">
        <w:t>MMF</w:t>
      </w:r>
      <w:r>
        <w:t xml:space="preserve"> acted as a CSR arm of Finolex. While the company undertook all sustainability activities in and around </w:t>
      </w:r>
      <w:r w:rsidR="00795E7F">
        <w:t xml:space="preserve">its </w:t>
      </w:r>
      <w:r>
        <w:t xml:space="preserve">factory premises, </w:t>
      </w:r>
      <w:r w:rsidR="00C05F49">
        <w:t>it</w:t>
      </w:r>
      <w:r>
        <w:t xml:space="preserve"> disbursed funds to MMF to undertake CSR </w:t>
      </w:r>
      <w:r>
        <w:lastRenderedPageBreak/>
        <w:t xml:space="preserve">activities. Thus, all mandatory CSR activities (see Exhibit </w:t>
      </w:r>
      <w:r w:rsidR="00461475">
        <w:t>4</w:t>
      </w:r>
      <w:r>
        <w:t>) came under MMF. The activities of MMF were largely driven by Ritu Chhabria’s areas of interest</w:t>
      </w:r>
      <w:r w:rsidR="00795E7F">
        <w:t>,</w:t>
      </w:r>
      <w:r>
        <w:t xml:space="preserve"> which were education and health. She was intrinsically </w:t>
      </w:r>
      <w:r w:rsidR="00C05F49">
        <w:t>charity-</w:t>
      </w:r>
      <w:r>
        <w:t>driven and would address projects as they came to her with funds sourced from Finolex.</w:t>
      </w:r>
    </w:p>
    <w:p w14:paraId="32B3337B" w14:textId="77777777" w:rsidR="00617E8C" w:rsidRPr="0053144D" w:rsidRDefault="00617E8C" w:rsidP="00F559AE">
      <w:pPr>
        <w:pStyle w:val="BodyTextMain"/>
        <w:rPr>
          <w:sz w:val="20"/>
        </w:rPr>
      </w:pPr>
    </w:p>
    <w:p w14:paraId="1FCAD691" w14:textId="723BF818" w:rsidR="00617E8C" w:rsidRDefault="00617E8C" w:rsidP="00F559AE">
      <w:pPr>
        <w:pStyle w:val="BodyTextMain"/>
        <w:rPr>
          <w:rFonts w:eastAsia="Arial Unicode MS"/>
        </w:rPr>
      </w:pPr>
      <w:r>
        <w:t xml:space="preserve">Hospitals and institutions such as orphanages and homes for the destitute and </w:t>
      </w:r>
      <w:r w:rsidR="00A931D2">
        <w:t>disabled</w:t>
      </w:r>
      <w:r>
        <w:t xml:space="preserve"> children received financial assistance in the form of donations from MMF. They also received equipment for their activities. The foundation helped schools in rural India with their infrastructure needs. It provided students with books, uniforms, shoes</w:t>
      </w:r>
      <w:r w:rsidR="00795E7F">
        <w:t>,</w:t>
      </w:r>
      <w:r>
        <w:t xml:space="preserve"> and other essential materials. The foundation also awarded scholarships and gave aid to deserving students for the pursuit of studies. Over the years</w:t>
      </w:r>
      <w:r w:rsidR="00795E7F">
        <w:t>,</w:t>
      </w:r>
      <w:r>
        <w:t xml:space="preserve"> MMF developed significant internal expertise in executing health</w:t>
      </w:r>
      <w:r w:rsidR="006A13DA">
        <w:t xml:space="preserve"> </w:t>
      </w:r>
      <w:r>
        <w:t xml:space="preserve">care and </w:t>
      </w:r>
      <w:r w:rsidR="00795E7F">
        <w:t>education-</w:t>
      </w:r>
      <w:r>
        <w:t xml:space="preserve">based projects and won many awards for </w:t>
      </w:r>
      <w:r w:rsidR="00795E7F">
        <w:t>this</w:t>
      </w:r>
      <w:r>
        <w:t>.</w:t>
      </w:r>
    </w:p>
    <w:p w14:paraId="43964D32" w14:textId="77777777" w:rsidR="00617E8C" w:rsidRPr="0053144D" w:rsidRDefault="00617E8C" w:rsidP="00F559AE">
      <w:pPr>
        <w:pStyle w:val="BodyTextMain"/>
        <w:rPr>
          <w:sz w:val="20"/>
        </w:rPr>
      </w:pPr>
    </w:p>
    <w:p w14:paraId="781C4CCE" w14:textId="2341F00D" w:rsidR="00617E8C" w:rsidRDefault="00617E8C" w:rsidP="00F559AE">
      <w:pPr>
        <w:pStyle w:val="BodyTextMain"/>
      </w:pPr>
      <w:r>
        <w:t>The founders of Finolex saw a need for uplifting the rural communities in the villages of Ratnagiri and its surrounding areas. F</w:t>
      </w:r>
      <w:r w:rsidR="00962964">
        <w:t xml:space="preserve">inolex </w:t>
      </w:r>
      <w:r w:rsidR="00140813">
        <w:t xml:space="preserve">had </w:t>
      </w:r>
      <w:r>
        <w:t xml:space="preserve">donated 10 acres of land in 2008 to MMF to set up a school on the outskirts of Ratnagiri. The Mukul Madhav Vidyalaya was established on June </w:t>
      </w:r>
      <w:r w:rsidR="00795E7F">
        <w:t xml:space="preserve">24, </w:t>
      </w:r>
      <w:r>
        <w:t>2010</w:t>
      </w:r>
      <w:r w:rsidR="00795E7F">
        <w:t>,</w:t>
      </w:r>
      <w:r>
        <w:t xml:space="preserve"> </w:t>
      </w:r>
      <w:r w:rsidR="00C05F49">
        <w:t xml:space="preserve">in </w:t>
      </w:r>
      <w:r>
        <w:t>the village of Golap in the state of Maharashtra. The school aimed to provide quality education in English at an affordable cost to the local community in this rural area.</w:t>
      </w:r>
    </w:p>
    <w:p w14:paraId="70BB6C46" w14:textId="77777777" w:rsidR="00617E8C" w:rsidRPr="0053144D" w:rsidRDefault="00617E8C" w:rsidP="00F559AE">
      <w:pPr>
        <w:pStyle w:val="BodyTextMain"/>
        <w:rPr>
          <w:sz w:val="20"/>
        </w:rPr>
      </w:pPr>
    </w:p>
    <w:p w14:paraId="6135B9EE" w14:textId="0658A612" w:rsidR="00F559AE" w:rsidRDefault="00617E8C" w:rsidP="00F559AE">
      <w:pPr>
        <w:pStyle w:val="BodyTextMain"/>
        <w:rPr>
          <w:rFonts w:eastAsia="Arial Unicode MS"/>
        </w:rPr>
      </w:pPr>
      <w:r>
        <w:t>The school started with 151 students and steadily grew</w:t>
      </w:r>
      <w:r w:rsidR="00B075BB">
        <w:t>.</w:t>
      </w:r>
      <w:r>
        <w:t xml:space="preserve"> </w:t>
      </w:r>
      <w:bookmarkStart w:id="7" w:name="OLE_LINK6"/>
      <w:bookmarkStart w:id="8" w:name="OLE_LINK5"/>
      <w:r w:rsidR="00F559AE">
        <w:t>By 2016</w:t>
      </w:r>
      <w:r w:rsidR="00795E7F">
        <w:t>,</w:t>
      </w:r>
      <w:r w:rsidR="00F559AE">
        <w:t xml:space="preserve"> </w:t>
      </w:r>
      <w:r w:rsidR="00171407">
        <w:t>it</w:t>
      </w:r>
      <w:r w:rsidR="00F559AE">
        <w:t xml:space="preserve"> had 492 students from nursery</w:t>
      </w:r>
      <w:r w:rsidR="003B7165">
        <w:t>-school level</w:t>
      </w:r>
      <w:r w:rsidR="00F559AE">
        <w:t xml:space="preserve"> to sixth grade. The school aimed to increase classes to the tenth grade in </w:t>
      </w:r>
      <w:r w:rsidR="003B7165">
        <w:t xml:space="preserve">the </w:t>
      </w:r>
      <w:r w:rsidR="00F559AE">
        <w:t xml:space="preserve">future. </w:t>
      </w:r>
      <w:r w:rsidR="00171407">
        <w:t>It</w:t>
      </w:r>
      <w:r w:rsidR="00F559AE">
        <w:t xml:space="preserve"> was spread over two buildings of 20,000 square feet. It provided adequate opportunities for the holistic development of students. The goal of the school was to develop students into skilled, confident</w:t>
      </w:r>
      <w:r w:rsidR="003B7165">
        <w:t>,</w:t>
      </w:r>
      <w:r w:rsidR="00F559AE">
        <w:t xml:space="preserve"> and responsible individuals with strong fundamentals and values. </w:t>
      </w:r>
      <w:r w:rsidR="00B075BB">
        <w:t xml:space="preserve">The school </w:t>
      </w:r>
      <w:r w:rsidR="00F559AE">
        <w:t xml:space="preserve">placed great emphasis on developing </w:t>
      </w:r>
      <w:r w:rsidR="00140813">
        <w:t>into</w:t>
      </w:r>
      <w:r w:rsidR="00F559AE">
        <w:t xml:space="preserve"> a place where student</w:t>
      </w:r>
      <w:r w:rsidR="00C05F49">
        <w:t>s</w:t>
      </w:r>
      <w:r w:rsidR="00F559AE">
        <w:t xml:space="preserve"> love</w:t>
      </w:r>
      <w:r w:rsidR="00C05F49">
        <w:t>d</w:t>
      </w:r>
      <w:r w:rsidR="00F559AE">
        <w:t xml:space="preserve"> to be. To this end, </w:t>
      </w:r>
      <w:r w:rsidR="00171407">
        <w:t xml:space="preserve">it </w:t>
      </w:r>
      <w:r w:rsidR="00F559AE">
        <w:t xml:space="preserve">paid attention to infrastructure and facilities to suit </w:t>
      </w:r>
      <w:r w:rsidR="003B7165">
        <w:t xml:space="preserve">students’ </w:t>
      </w:r>
      <w:r w:rsidR="00F559AE">
        <w:t>requirement</w:t>
      </w:r>
      <w:r w:rsidR="003B7165">
        <w:t>s</w:t>
      </w:r>
      <w:r w:rsidR="00F559AE">
        <w:t>.</w:t>
      </w:r>
    </w:p>
    <w:bookmarkEnd w:id="7"/>
    <w:bookmarkEnd w:id="8"/>
    <w:p w14:paraId="652ACD14" w14:textId="77777777" w:rsidR="00F559AE" w:rsidRPr="0053144D" w:rsidRDefault="00F559AE" w:rsidP="00F559AE">
      <w:pPr>
        <w:pStyle w:val="BodyTextMain"/>
        <w:rPr>
          <w:sz w:val="20"/>
        </w:rPr>
      </w:pPr>
    </w:p>
    <w:p w14:paraId="360A6E81" w14:textId="77777777" w:rsidR="00F559AE" w:rsidRPr="0053144D" w:rsidRDefault="00F559AE" w:rsidP="00F559AE">
      <w:pPr>
        <w:pStyle w:val="BodyTextMain"/>
        <w:rPr>
          <w:rFonts w:eastAsia="Arial Unicode MS"/>
          <w:sz w:val="20"/>
        </w:rPr>
      </w:pPr>
    </w:p>
    <w:p w14:paraId="493E1677" w14:textId="77777777" w:rsidR="00F559AE" w:rsidRDefault="00F559AE" w:rsidP="0054339A">
      <w:pPr>
        <w:pStyle w:val="Casehead1"/>
        <w:keepNext/>
      </w:pPr>
      <w:r>
        <w:t>Dhanorkar’s Dilemma</w:t>
      </w:r>
    </w:p>
    <w:p w14:paraId="6DF0B7A2" w14:textId="447C8877" w:rsidR="00F559AE" w:rsidRPr="0053144D" w:rsidRDefault="00F559AE" w:rsidP="0054339A">
      <w:pPr>
        <w:pStyle w:val="BodyTextMain"/>
        <w:keepNext/>
        <w:rPr>
          <w:sz w:val="20"/>
        </w:rPr>
      </w:pPr>
    </w:p>
    <w:p w14:paraId="46C1AAFA" w14:textId="7EF50603" w:rsidR="00F559AE" w:rsidRDefault="00F559AE" w:rsidP="0054339A">
      <w:pPr>
        <w:pStyle w:val="BodyTextMain"/>
        <w:keepNext/>
        <w:rPr>
          <w:rFonts w:eastAsia="Arial Unicode MS"/>
        </w:rPr>
      </w:pPr>
      <w:r>
        <w:t>Dhanorkar reviewed the situation that both Finolex and MMF faced. Finolex had operated consistently</w:t>
      </w:r>
      <w:r w:rsidR="00171407">
        <w:t>,</w:t>
      </w:r>
      <w:r>
        <w:t xml:space="preserve"> and its sustainability activities were in place. The focus had clearly been on water management and providing a green cover around </w:t>
      </w:r>
      <w:r w:rsidR="009B44F0">
        <w:t xml:space="preserve">the </w:t>
      </w:r>
      <w:r>
        <w:t xml:space="preserve">factory premises (see Exhibit 5). Could the company think in terms of improving its sustainability credentials by focusing on </w:t>
      </w:r>
      <w:r w:rsidR="00B075BB">
        <w:t xml:space="preserve">recycling and reusing </w:t>
      </w:r>
      <w:r>
        <w:t>PVC</w:t>
      </w:r>
      <w:r w:rsidR="00171407">
        <w:t xml:space="preserve">? </w:t>
      </w:r>
      <w:r w:rsidR="00A16322">
        <w:t xml:space="preserve">Dhanorkar </w:t>
      </w:r>
      <w:r>
        <w:t xml:space="preserve">had read about the circular economy framework. Could the company experiment with the </w:t>
      </w:r>
      <w:r w:rsidR="003B7165">
        <w:t>closed-</w:t>
      </w:r>
      <w:r>
        <w:t xml:space="preserve">loop system of </w:t>
      </w:r>
      <w:r w:rsidR="0010065C">
        <w:t xml:space="preserve">a </w:t>
      </w:r>
      <w:r>
        <w:t>circular economy? For Finolex</w:t>
      </w:r>
      <w:r w:rsidR="003B7165">
        <w:t>,</w:t>
      </w:r>
      <w:r>
        <w:t xml:space="preserve"> there was </w:t>
      </w:r>
      <w:r w:rsidR="00A16322">
        <w:t xml:space="preserve">also the </w:t>
      </w:r>
      <w:r>
        <w:t>issue of resolving competing claims on resources. Marketing needed funds for brand building; production</w:t>
      </w:r>
      <w:r w:rsidR="00B075BB">
        <w:t xml:space="preserve"> needed funds</w:t>
      </w:r>
      <w:r>
        <w:t xml:space="preserve"> for capacity expansion; finance </w:t>
      </w:r>
      <w:r w:rsidR="00B075BB">
        <w:t>needed funds for</w:t>
      </w:r>
      <w:r>
        <w:t xml:space="preserve"> improving profitability. This tension </w:t>
      </w:r>
      <w:r w:rsidR="009B44F0">
        <w:t xml:space="preserve">had </w:t>
      </w:r>
      <w:r>
        <w:t xml:space="preserve">led to spending on CSR and sustainability being thought of as non-critical. </w:t>
      </w:r>
      <w:r w:rsidR="00A16322">
        <w:t xml:space="preserve">Dhanorkar </w:t>
      </w:r>
      <w:r>
        <w:t>needed arguments to bring them into the mainstream.</w:t>
      </w:r>
    </w:p>
    <w:p w14:paraId="0EC90CAB" w14:textId="77777777" w:rsidR="00F559AE" w:rsidRPr="0053144D" w:rsidRDefault="00F559AE" w:rsidP="00F559AE">
      <w:pPr>
        <w:pStyle w:val="BodyTextMain"/>
        <w:rPr>
          <w:sz w:val="20"/>
        </w:rPr>
      </w:pPr>
    </w:p>
    <w:p w14:paraId="51F7B969" w14:textId="133E5233" w:rsidR="00F559AE" w:rsidRDefault="00F559AE" w:rsidP="00F559AE">
      <w:pPr>
        <w:pStyle w:val="BodyTextMain"/>
      </w:pPr>
      <w:r>
        <w:t xml:space="preserve">For MMF, he had simply written a cheque and the foundation </w:t>
      </w:r>
      <w:r w:rsidR="00A16322">
        <w:t xml:space="preserve">had </w:t>
      </w:r>
      <w:r>
        <w:t xml:space="preserve">spent it unilaterally. MMF had focused on education and health. </w:t>
      </w:r>
      <w:r w:rsidR="009B44F0">
        <w:t xml:space="preserve">Of </w:t>
      </w:r>
      <w:r>
        <w:t xml:space="preserve">the two heads, Ritu Chhabria approved projects </w:t>
      </w:r>
      <w:r w:rsidR="00B075BB">
        <w:t>based on intuition</w:t>
      </w:r>
      <w:r>
        <w:t xml:space="preserve">. She had been asking Dhanorkar whether there was a better way to look at projects. Also, </w:t>
      </w:r>
      <w:r w:rsidR="003B7165">
        <w:t xml:space="preserve">she wondered </w:t>
      </w:r>
      <w:r>
        <w:t xml:space="preserve">whether they should </w:t>
      </w:r>
      <w:r w:rsidR="003B7165">
        <w:t>focus on what they knew—</w:t>
      </w:r>
      <w:r>
        <w:t>health and education</w:t>
      </w:r>
      <w:r w:rsidR="003B7165">
        <w:t>—</w:t>
      </w:r>
      <w:r>
        <w:t>or branch out into other areas as suggested by government rules (see Exhibit</w:t>
      </w:r>
      <w:r w:rsidR="000E7F00">
        <w:t xml:space="preserve"> </w:t>
      </w:r>
      <w:r w:rsidR="00461475">
        <w:t>4</w:t>
      </w:r>
      <w:r>
        <w:t xml:space="preserve">). </w:t>
      </w:r>
      <w:r w:rsidR="00A16322">
        <w:t xml:space="preserve"> </w:t>
      </w:r>
    </w:p>
    <w:p w14:paraId="2790E150" w14:textId="77777777" w:rsidR="00C355DE" w:rsidRDefault="00C355DE">
      <w:pPr>
        <w:spacing w:after="200" w:line="276" w:lineRule="auto"/>
        <w:rPr>
          <w:b/>
          <w:bCs/>
          <w:sz w:val="22"/>
          <w:szCs w:val="22"/>
        </w:rPr>
      </w:pPr>
      <w:r>
        <w:rPr>
          <w:b/>
          <w:bCs/>
        </w:rPr>
        <w:br w:type="page"/>
      </w:r>
    </w:p>
    <w:p w14:paraId="7C2090AD" w14:textId="77777777" w:rsidR="004B59BA" w:rsidRPr="007B102D" w:rsidRDefault="004B59BA" w:rsidP="004B59BA">
      <w:pPr>
        <w:pStyle w:val="ExhibitHeading"/>
      </w:pPr>
      <w:r w:rsidRPr="007B102D">
        <w:lastRenderedPageBreak/>
        <w:t xml:space="preserve">Exhibit </w:t>
      </w:r>
      <w:r>
        <w:t>1</w:t>
      </w:r>
      <w:r w:rsidRPr="007B102D">
        <w:t>: Government programs</w:t>
      </w:r>
    </w:p>
    <w:p w14:paraId="085B3C28" w14:textId="77777777" w:rsidR="004B59BA" w:rsidRPr="001D45F2" w:rsidRDefault="004B59BA" w:rsidP="004B59BA">
      <w:pPr>
        <w:pStyle w:val="Body"/>
        <w:rPr>
          <w:rFonts w:ascii="Arial" w:hAnsi="Arial" w:cs="Arial"/>
          <w:color w:val="auto"/>
          <w:sz w:val="17"/>
          <w:szCs w:val="17"/>
        </w:rPr>
      </w:pPr>
    </w:p>
    <w:p w14:paraId="2F1F6F06" w14:textId="77777777" w:rsidR="004B59BA" w:rsidRPr="001D45F2" w:rsidRDefault="004B59BA" w:rsidP="004B59BA">
      <w:pPr>
        <w:pStyle w:val="Body"/>
        <w:rPr>
          <w:rFonts w:ascii="Arial" w:eastAsia="Times New Roman" w:hAnsi="Arial" w:cs="Arial"/>
          <w:color w:val="auto"/>
          <w:sz w:val="19"/>
          <w:szCs w:val="19"/>
        </w:rPr>
      </w:pPr>
      <w:r w:rsidRPr="001D45F2">
        <w:rPr>
          <w:rFonts w:ascii="Arial" w:hAnsi="Arial" w:cs="Arial"/>
          <w:color w:val="auto"/>
          <w:sz w:val="19"/>
          <w:szCs w:val="19"/>
        </w:rPr>
        <w:t xml:space="preserve">Some government schemes </w:t>
      </w:r>
      <w:r>
        <w:rPr>
          <w:rFonts w:ascii="Arial" w:hAnsi="Arial" w:cs="Arial"/>
          <w:color w:val="auto"/>
          <w:sz w:val="19"/>
          <w:szCs w:val="19"/>
        </w:rPr>
        <w:t>that</w:t>
      </w:r>
      <w:r w:rsidRPr="001D45F2">
        <w:rPr>
          <w:rFonts w:ascii="Arial" w:hAnsi="Arial" w:cs="Arial"/>
          <w:color w:val="auto"/>
          <w:sz w:val="19"/>
          <w:szCs w:val="19"/>
        </w:rPr>
        <w:t xml:space="preserve"> </w:t>
      </w:r>
      <w:r>
        <w:rPr>
          <w:rFonts w:ascii="Arial" w:hAnsi="Arial" w:cs="Arial"/>
          <w:color w:val="auto"/>
          <w:sz w:val="19"/>
          <w:szCs w:val="19"/>
        </w:rPr>
        <w:t>were</w:t>
      </w:r>
      <w:r w:rsidRPr="001D45F2">
        <w:rPr>
          <w:rFonts w:ascii="Arial" w:hAnsi="Arial" w:cs="Arial"/>
          <w:color w:val="auto"/>
          <w:sz w:val="19"/>
          <w:szCs w:val="19"/>
        </w:rPr>
        <w:t xml:space="preserve"> likely to benefit the industry </w:t>
      </w:r>
      <w:r>
        <w:rPr>
          <w:rFonts w:ascii="Arial" w:hAnsi="Arial" w:cs="Arial"/>
          <w:color w:val="auto"/>
          <w:sz w:val="19"/>
          <w:szCs w:val="19"/>
        </w:rPr>
        <w:t>were</w:t>
      </w:r>
      <w:r w:rsidRPr="001D45F2">
        <w:rPr>
          <w:rFonts w:ascii="Arial" w:hAnsi="Arial" w:cs="Arial"/>
          <w:color w:val="auto"/>
          <w:sz w:val="19"/>
          <w:szCs w:val="19"/>
        </w:rPr>
        <w:t xml:space="preserve"> as follows:</w:t>
      </w:r>
    </w:p>
    <w:p w14:paraId="63F2FE43" w14:textId="77777777" w:rsidR="004B59BA" w:rsidRPr="001D45F2" w:rsidRDefault="004B59BA" w:rsidP="004B59BA">
      <w:pPr>
        <w:pStyle w:val="Body"/>
        <w:rPr>
          <w:rFonts w:ascii="Arial" w:eastAsia="Times New Roman" w:hAnsi="Arial" w:cs="Arial"/>
          <w:color w:val="auto"/>
          <w:sz w:val="17"/>
          <w:szCs w:val="19"/>
        </w:rPr>
      </w:pPr>
    </w:p>
    <w:p w14:paraId="7C113C4F" w14:textId="77777777" w:rsidR="004B59BA" w:rsidRPr="001D45F2" w:rsidRDefault="004B59BA" w:rsidP="004B59BA">
      <w:pPr>
        <w:pStyle w:val="Body"/>
        <w:rPr>
          <w:rFonts w:ascii="Arial" w:eastAsia="Times New Roman" w:hAnsi="Arial" w:cs="Arial"/>
          <w:b/>
          <w:bCs/>
          <w:color w:val="auto"/>
          <w:sz w:val="19"/>
          <w:szCs w:val="19"/>
        </w:rPr>
      </w:pPr>
      <w:r w:rsidRPr="001D45F2">
        <w:rPr>
          <w:rFonts w:ascii="Arial" w:hAnsi="Arial" w:cs="Arial"/>
          <w:b/>
          <w:bCs/>
          <w:color w:val="auto"/>
          <w:sz w:val="19"/>
          <w:szCs w:val="19"/>
          <w:lang w:val="it-IT"/>
        </w:rPr>
        <w:t>Pradhan Mantri Krishi Sinchai Yojana</w:t>
      </w:r>
      <w:r w:rsidRPr="001D45F2">
        <w:rPr>
          <w:rFonts w:ascii="Arial" w:hAnsi="Arial" w:cs="Arial"/>
          <w:b/>
          <w:bCs/>
          <w:color w:val="auto"/>
          <w:sz w:val="19"/>
          <w:szCs w:val="19"/>
        </w:rPr>
        <w:t xml:space="preserve"> (PMKSY)</w:t>
      </w:r>
    </w:p>
    <w:p w14:paraId="3C439916" w14:textId="77777777" w:rsidR="004B59BA" w:rsidRPr="001D45F2" w:rsidRDefault="004B59BA" w:rsidP="004B59BA">
      <w:pPr>
        <w:pStyle w:val="Body"/>
        <w:rPr>
          <w:rFonts w:ascii="Arial" w:hAnsi="Arial" w:cs="Arial"/>
          <w:color w:val="auto"/>
          <w:sz w:val="17"/>
          <w:szCs w:val="19"/>
        </w:rPr>
      </w:pPr>
    </w:p>
    <w:p w14:paraId="0854BA89" w14:textId="18F4A15F" w:rsidR="004B59BA" w:rsidRPr="001D45F2" w:rsidRDefault="00B3036E" w:rsidP="004B59BA">
      <w:pPr>
        <w:pStyle w:val="Body"/>
        <w:rPr>
          <w:rFonts w:ascii="Arial" w:hAnsi="Arial" w:cs="Arial"/>
          <w:color w:val="auto"/>
          <w:sz w:val="19"/>
          <w:szCs w:val="19"/>
        </w:rPr>
      </w:pPr>
      <w:r>
        <w:rPr>
          <w:rFonts w:ascii="Arial" w:hAnsi="Arial" w:cs="Arial"/>
          <w:color w:val="auto"/>
          <w:sz w:val="19"/>
          <w:szCs w:val="19"/>
        </w:rPr>
        <w:t>O</w:t>
      </w:r>
      <w:r w:rsidR="004B59BA" w:rsidRPr="001D45F2">
        <w:rPr>
          <w:rFonts w:ascii="Arial" w:hAnsi="Arial" w:cs="Arial"/>
          <w:color w:val="auto"/>
          <w:sz w:val="19"/>
          <w:szCs w:val="19"/>
        </w:rPr>
        <w:t>bjectives of the scheme</w:t>
      </w:r>
      <w:r w:rsidR="004B59BA">
        <w:rPr>
          <w:rFonts w:ascii="Arial" w:hAnsi="Arial" w:cs="Arial"/>
          <w:color w:val="auto"/>
          <w:sz w:val="19"/>
          <w:szCs w:val="19"/>
        </w:rPr>
        <w:t>:</w:t>
      </w:r>
    </w:p>
    <w:p w14:paraId="3584CF92" w14:textId="77777777" w:rsidR="004B59BA" w:rsidRPr="001D45F2" w:rsidRDefault="004B59BA" w:rsidP="004B59BA">
      <w:pPr>
        <w:pStyle w:val="Body"/>
        <w:rPr>
          <w:rFonts w:ascii="Arial" w:eastAsia="Times New Roman" w:hAnsi="Arial" w:cs="Arial"/>
          <w:color w:val="auto"/>
          <w:sz w:val="17"/>
          <w:szCs w:val="19"/>
        </w:rPr>
      </w:pPr>
    </w:p>
    <w:p w14:paraId="431BD78D" w14:textId="77777777" w:rsidR="004B59BA" w:rsidRPr="001D45F2" w:rsidRDefault="004B59BA" w:rsidP="004B59BA">
      <w:pPr>
        <w:pStyle w:val="Body"/>
        <w:numPr>
          <w:ilvl w:val="0"/>
          <w:numId w:val="37"/>
        </w:numPr>
        <w:rPr>
          <w:rFonts w:ascii="Arial" w:eastAsia="Times New Roman" w:hAnsi="Arial" w:cs="Arial"/>
          <w:color w:val="auto"/>
          <w:sz w:val="19"/>
          <w:szCs w:val="19"/>
        </w:rPr>
      </w:pPr>
      <w:r w:rsidRPr="001D45F2">
        <w:rPr>
          <w:rFonts w:ascii="Arial" w:hAnsi="Arial" w:cs="Arial"/>
          <w:color w:val="auto"/>
          <w:sz w:val="19"/>
          <w:szCs w:val="19"/>
        </w:rPr>
        <w:t>Convergence of investments in irrigation</w:t>
      </w:r>
    </w:p>
    <w:p w14:paraId="1E2908F4" w14:textId="77777777" w:rsidR="004B59BA" w:rsidRPr="001D45F2" w:rsidRDefault="004B59BA" w:rsidP="004B59BA">
      <w:pPr>
        <w:pStyle w:val="Body"/>
        <w:numPr>
          <w:ilvl w:val="0"/>
          <w:numId w:val="37"/>
        </w:numPr>
        <w:rPr>
          <w:rFonts w:ascii="Arial" w:eastAsia="Times New Roman" w:hAnsi="Arial" w:cs="Arial"/>
          <w:color w:val="auto"/>
          <w:sz w:val="19"/>
          <w:szCs w:val="19"/>
        </w:rPr>
      </w:pPr>
      <w:r w:rsidRPr="001D45F2">
        <w:rPr>
          <w:rFonts w:ascii="Arial" w:hAnsi="Arial" w:cs="Arial"/>
          <w:color w:val="auto"/>
          <w:sz w:val="19"/>
          <w:szCs w:val="19"/>
        </w:rPr>
        <w:t>Expansion of cultivable area under irrigation (</w:t>
      </w:r>
      <w:r>
        <w:rPr>
          <w:rFonts w:ascii="Arial" w:hAnsi="Arial" w:cs="Arial"/>
          <w:color w:val="auto"/>
          <w:sz w:val="19"/>
          <w:szCs w:val="19"/>
        </w:rPr>
        <w:t>h</w:t>
      </w:r>
      <w:r w:rsidRPr="001D45F2">
        <w:rPr>
          <w:rFonts w:ascii="Arial" w:hAnsi="Arial" w:cs="Arial"/>
          <w:color w:val="auto"/>
          <w:sz w:val="19"/>
          <w:szCs w:val="19"/>
        </w:rPr>
        <w:t>ar khet ko pani)</w:t>
      </w:r>
    </w:p>
    <w:p w14:paraId="27492C1E" w14:textId="77777777" w:rsidR="004B59BA" w:rsidRPr="001D45F2" w:rsidRDefault="004B59BA" w:rsidP="004B59BA">
      <w:pPr>
        <w:pStyle w:val="Body"/>
        <w:numPr>
          <w:ilvl w:val="0"/>
          <w:numId w:val="37"/>
        </w:numPr>
        <w:rPr>
          <w:rFonts w:ascii="Arial" w:eastAsia="Times New Roman" w:hAnsi="Arial" w:cs="Arial"/>
          <w:color w:val="auto"/>
          <w:sz w:val="19"/>
          <w:szCs w:val="19"/>
        </w:rPr>
      </w:pPr>
      <w:r w:rsidRPr="001D45F2">
        <w:rPr>
          <w:rFonts w:ascii="Arial" w:hAnsi="Arial" w:cs="Arial"/>
          <w:color w:val="auto"/>
          <w:sz w:val="19"/>
          <w:szCs w:val="19"/>
        </w:rPr>
        <w:t>Improvement in on-farm water use efficiency (</w:t>
      </w:r>
      <w:r>
        <w:rPr>
          <w:rFonts w:ascii="Arial" w:hAnsi="Arial" w:cs="Arial"/>
          <w:color w:val="auto"/>
          <w:sz w:val="19"/>
          <w:szCs w:val="19"/>
        </w:rPr>
        <w:t>j</w:t>
      </w:r>
      <w:r w:rsidRPr="001D45F2">
        <w:rPr>
          <w:rFonts w:ascii="Arial" w:hAnsi="Arial" w:cs="Arial"/>
          <w:color w:val="auto"/>
          <w:sz w:val="19"/>
          <w:szCs w:val="19"/>
        </w:rPr>
        <w:t>al sinchan)</w:t>
      </w:r>
    </w:p>
    <w:p w14:paraId="3D2E4C92" w14:textId="77777777" w:rsidR="004B59BA" w:rsidRPr="001D45F2" w:rsidRDefault="004B59BA" w:rsidP="004B59BA">
      <w:pPr>
        <w:pStyle w:val="Body"/>
        <w:numPr>
          <w:ilvl w:val="0"/>
          <w:numId w:val="37"/>
        </w:numPr>
        <w:rPr>
          <w:rFonts w:ascii="Arial" w:eastAsia="Times New Roman" w:hAnsi="Arial" w:cs="Arial"/>
          <w:color w:val="auto"/>
          <w:sz w:val="19"/>
          <w:szCs w:val="19"/>
        </w:rPr>
      </w:pPr>
      <w:r w:rsidRPr="001D45F2">
        <w:rPr>
          <w:rFonts w:ascii="Arial" w:hAnsi="Arial" w:cs="Arial"/>
          <w:color w:val="auto"/>
          <w:sz w:val="19"/>
          <w:szCs w:val="19"/>
        </w:rPr>
        <w:t>Sustainable water conservation practices (</w:t>
      </w:r>
      <w:r>
        <w:rPr>
          <w:rFonts w:ascii="Arial" w:hAnsi="Arial" w:cs="Arial"/>
          <w:color w:val="auto"/>
          <w:sz w:val="19"/>
          <w:szCs w:val="19"/>
        </w:rPr>
        <w:t>j</w:t>
      </w:r>
      <w:r w:rsidRPr="001D45F2">
        <w:rPr>
          <w:rFonts w:ascii="Arial" w:hAnsi="Arial" w:cs="Arial"/>
          <w:color w:val="auto"/>
          <w:sz w:val="19"/>
          <w:szCs w:val="19"/>
        </w:rPr>
        <w:t>al sanchay)</w:t>
      </w:r>
    </w:p>
    <w:p w14:paraId="343C566E" w14:textId="77777777" w:rsidR="004B59BA" w:rsidRPr="001D45F2" w:rsidRDefault="004B59BA" w:rsidP="004B59BA">
      <w:pPr>
        <w:pStyle w:val="Body"/>
        <w:numPr>
          <w:ilvl w:val="0"/>
          <w:numId w:val="37"/>
        </w:numPr>
        <w:rPr>
          <w:rFonts w:ascii="Arial" w:eastAsia="Times New Roman" w:hAnsi="Arial" w:cs="Arial"/>
          <w:color w:val="auto"/>
          <w:sz w:val="19"/>
          <w:szCs w:val="19"/>
        </w:rPr>
      </w:pPr>
      <w:r w:rsidRPr="001D45F2">
        <w:rPr>
          <w:rFonts w:ascii="Arial" w:hAnsi="Arial" w:cs="Arial"/>
          <w:color w:val="auto"/>
          <w:sz w:val="19"/>
          <w:szCs w:val="19"/>
        </w:rPr>
        <w:t>Greater private investments in irrigation</w:t>
      </w:r>
    </w:p>
    <w:p w14:paraId="09CC8831" w14:textId="77777777" w:rsidR="004B59BA" w:rsidRPr="001D45F2" w:rsidRDefault="004B59BA" w:rsidP="004B59BA">
      <w:pPr>
        <w:pStyle w:val="Body"/>
        <w:rPr>
          <w:rFonts w:ascii="Arial" w:eastAsia="Times New Roman" w:hAnsi="Arial" w:cs="Arial"/>
          <w:color w:val="auto"/>
          <w:sz w:val="17"/>
          <w:szCs w:val="19"/>
        </w:rPr>
      </w:pPr>
    </w:p>
    <w:p w14:paraId="06916532" w14:textId="7BDF6BC9" w:rsidR="004B59BA" w:rsidRPr="00CC2B22" w:rsidRDefault="004B59BA" w:rsidP="001D45F2">
      <w:pPr>
        <w:pStyle w:val="Body"/>
        <w:jc w:val="both"/>
        <w:rPr>
          <w:rFonts w:ascii="Arial" w:eastAsia="Times New Roman" w:hAnsi="Arial" w:cs="Arial"/>
          <w:color w:val="auto"/>
          <w:sz w:val="19"/>
          <w:szCs w:val="19"/>
        </w:rPr>
      </w:pPr>
      <w:r w:rsidRPr="001D45F2">
        <w:rPr>
          <w:rFonts w:ascii="Arial" w:hAnsi="Arial" w:cs="Arial"/>
          <w:color w:val="auto"/>
          <w:sz w:val="19"/>
          <w:szCs w:val="19"/>
        </w:rPr>
        <w:t xml:space="preserve">PMKSY </w:t>
      </w:r>
      <w:r>
        <w:rPr>
          <w:rFonts w:ascii="Arial" w:hAnsi="Arial" w:cs="Arial"/>
          <w:color w:val="auto"/>
          <w:sz w:val="19"/>
          <w:szCs w:val="19"/>
        </w:rPr>
        <w:t xml:space="preserve">was </w:t>
      </w:r>
      <w:r w:rsidRPr="00CC2B22">
        <w:rPr>
          <w:rFonts w:ascii="Arial" w:hAnsi="Arial" w:cs="Arial"/>
          <w:color w:val="auto"/>
          <w:sz w:val="19"/>
          <w:szCs w:val="19"/>
        </w:rPr>
        <w:t>to be implemented w</w:t>
      </w:r>
      <w:r w:rsidR="00B075BB">
        <w:rPr>
          <w:rFonts w:ascii="Arial" w:hAnsi="Arial" w:cs="Arial"/>
          <w:color w:val="auto"/>
          <w:sz w:val="19"/>
          <w:szCs w:val="19"/>
        </w:rPr>
        <w:t>here</w:t>
      </w:r>
      <w:r w:rsidRPr="00CC2B22">
        <w:rPr>
          <w:rFonts w:ascii="Arial" w:hAnsi="Arial" w:cs="Arial"/>
          <w:color w:val="auto"/>
          <w:sz w:val="19"/>
          <w:szCs w:val="19"/>
        </w:rPr>
        <w:t xml:space="preserve"> 2.85 million hectares of land would be brought under irrigation. This would create a demand for PVC pipes and fittings. As per PMKSY, in Maharashtra, only 19</w:t>
      </w:r>
      <w:r>
        <w:rPr>
          <w:rFonts w:ascii="Arial" w:hAnsi="Arial" w:cs="Arial"/>
          <w:color w:val="auto"/>
          <w:sz w:val="19"/>
          <w:szCs w:val="19"/>
        </w:rPr>
        <w:t xml:space="preserve"> per cent</w:t>
      </w:r>
      <w:r w:rsidRPr="00CC2B22">
        <w:rPr>
          <w:rFonts w:ascii="Arial" w:hAnsi="Arial" w:cs="Arial"/>
          <w:color w:val="auto"/>
          <w:sz w:val="19"/>
          <w:szCs w:val="19"/>
        </w:rPr>
        <w:t xml:space="preserve"> of the total sown area ha</w:t>
      </w:r>
      <w:r>
        <w:rPr>
          <w:rFonts w:ascii="Arial" w:hAnsi="Arial" w:cs="Arial"/>
          <w:color w:val="auto"/>
          <w:sz w:val="19"/>
          <w:szCs w:val="19"/>
        </w:rPr>
        <w:t>d</w:t>
      </w:r>
      <w:r w:rsidRPr="00CC2B22">
        <w:rPr>
          <w:rFonts w:ascii="Arial" w:hAnsi="Arial" w:cs="Arial"/>
          <w:color w:val="auto"/>
          <w:sz w:val="19"/>
          <w:szCs w:val="19"/>
        </w:rPr>
        <w:t xml:space="preserve"> irrigation facilit</w:t>
      </w:r>
      <w:r w:rsidR="00B075BB">
        <w:rPr>
          <w:rFonts w:ascii="Arial" w:hAnsi="Arial" w:cs="Arial"/>
          <w:color w:val="auto"/>
          <w:sz w:val="19"/>
          <w:szCs w:val="19"/>
        </w:rPr>
        <w:t>ies</w:t>
      </w:r>
      <w:r w:rsidRPr="00CC2B22">
        <w:rPr>
          <w:rFonts w:ascii="Arial" w:hAnsi="Arial" w:cs="Arial"/>
          <w:color w:val="auto"/>
          <w:sz w:val="19"/>
          <w:szCs w:val="19"/>
        </w:rPr>
        <w:t xml:space="preserve"> </w:t>
      </w:r>
      <w:r w:rsidR="00B3036E">
        <w:rPr>
          <w:rFonts w:ascii="Arial" w:hAnsi="Arial" w:cs="Arial"/>
          <w:color w:val="auto"/>
          <w:sz w:val="19"/>
          <w:szCs w:val="19"/>
        </w:rPr>
        <w:t>compared to</w:t>
      </w:r>
      <w:r w:rsidRPr="00CC2B22">
        <w:rPr>
          <w:rFonts w:ascii="Arial" w:hAnsi="Arial" w:cs="Arial"/>
          <w:color w:val="auto"/>
          <w:sz w:val="19"/>
          <w:szCs w:val="19"/>
        </w:rPr>
        <w:t xml:space="preserve"> the national average of 46</w:t>
      </w:r>
      <w:r>
        <w:rPr>
          <w:rFonts w:ascii="Arial" w:hAnsi="Arial" w:cs="Arial"/>
          <w:color w:val="auto"/>
          <w:sz w:val="19"/>
          <w:szCs w:val="19"/>
        </w:rPr>
        <w:t xml:space="preserve"> per cent</w:t>
      </w:r>
      <w:r w:rsidRPr="00CC2B22">
        <w:rPr>
          <w:rFonts w:ascii="Arial" w:hAnsi="Arial" w:cs="Arial"/>
          <w:color w:val="auto"/>
          <w:sz w:val="19"/>
          <w:szCs w:val="19"/>
        </w:rPr>
        <w:t xml:space="preserve">. </w:t>
      </w:r>
      <w:r>
        <w:rPr>
          <w:rFonts w:ascii="Arial" w:hAnsi="Arial" w:cs="Arial"/>
          <w:color w:val="auto"/>
          <w:sz w:val="19"/>
          <w:szCs w:val="19"/>
        </w:rPr>
        <w:t>Because</w:t>
      </w:r>
      <w:r w:rsidRPr="00CC2B22">
        <w:rPr>
          <w:rFonts w:ascii="Arial" w:hAnsi="Arial" w:cs="Arial"/>
          <w:color w:val="auto"/>
          <w:sz w:val="19"/>
          <w:szCs w:val="19"/>
        </w:rPr>
        <w:t xml:space="preserve"> Maharashtra </w:t>
      </w:r>
      <w:r>
        <w:rPr>
          <w:rFonts w:ascii="Arial" w:hAnsi="Arial" w:cs="Arial"/>
          <w:color w:val="auto"/>
          <w:sz w:val="19"/>
          <w:szCs w:val="19"/>
        </w:rPr>
        <w:t>was</w:t>
      </w:r>
      <w:r w:rsidRPr="00CC2B22">
        <w:rPr>
          <w:rFonts w:ascii="Arial" w:hAnsi="Arial" w:cs="Arial"/>
          <w:color w:val="auto"/>
          <w:sz w:val="19"/>
          <w:szCs w:val="19"/>
        </w:rPr>
        <w:t xml:space="preserve"> Finolex’s largest market, the company </w:t>
      </w:r>
      <w:r>
        <w:rPr>
          <w:rFonts w:ascii="Arial" w:hAnsi="Arial" w:cs="Arial"/>
          <w:color w:val="auto"/>
          <w:sz w:val="19"/>
          <w:szCs w:val="19"/>
        </w:rPr>
        <w:t>would</w:t>
      </w:r>
      <w:r w:rsidRPr="00CC2B22">
        <w:rPr>
          <w:rFonts w:ascii="Arial" w:hAnsi="Arial" w:cs="Arial"/>
          <w:color w:val="auto"/>
          <w:sz w:val="19"/>
          <w:szCs w:val="19"/>
        </w:rPr>
        <w:t xml:space="preserve"> benefit from this scheme. </w:t>
      </w:r>
    </w:p>
    <w:p w14:paraId="12E3D4C8" w14:textId="77777777" w:rsidR="004B59BA" w:rsidRPr="00CC2B22" w:rsidRDefault="004B59BA" w:rsidP="004B59BA">
      <w:pPr>
        <w:pStyle w:val="Body"/>
        <w:rPr>
          <w:rFonts w:ascii="Arial" w:eastAsia="Times New Roman" w:hAnsi="Arial" w:cs="Arial"/>
          <w:color w:val="auto"/>
          <w:sz w:val="17"/>
          <w:szCs w:val="19"/>
        </w:rPr>
      </w:pPr>
    </w:p>
    <w:p w14:paraId="4966B72D" w14:textId="77777777" w:rsidR="004B59BA" w:rsidRPr="00CC2B22" w:rsidRDefault="004B59BA" w:rsidP="004B59BA">
      <w:pPr>
        <w:pStyle w:val="Body"/>
        <w:rPr>
          <w:rFonts w:ascii="Arial" w:eastAsia="Times New Roman" w:hAnsi="Arial" w:cs="Arial"/>
          <w:color w:val="auto"/>
          <w:sz w:val="17"/>
          <w:szCs w:val="19"/>
        </w:rPr>
      </w:pPr>
    </w:p>
    <w:p w14:paraId="048E0DDF" w14:textId="77777777" w:rsidR="004B59BA" w:rsidRPr="00CC2B22" w:rsidRDefault="004B59BA" w:rsidP="004B59BA">
      <w:pPr>
        <w:pStyle w:val="Body"/>
        <w:rPr>
          <w:rFonts w:ascii="Arial" w:eastAsia="Times New Roman" w:hAnsi="Arial" w:cs="Arial"/>
          <w:b/>
          <w:bCs/>
          <w:color w:val="auto"/>
          <w:sz w:val="19"/>
          <w:szCs w:val="19"/>
        </w:rPr>
      </w:pPr>
      <w:r w:rsidRPr="00CC2B22">
        <w:rPr>
          <w:rFonts w:ascii="Arial" w:hAnsi="Arial" w:cs="Arial"/>
          <w:b/>
          <w:bCs/>
          <w:color w:val="auto"/>
          <w:sz w:val="19"/>
          <w:szCs w:val="19"/>
          <w:lang w:val="nl-NL"/>
        </w:rPr>
        <w:t>Jalayukt Shivar</w:t>
      </w:r>
    </w:p>
    <w:p w14:paraId="58B6D34A" w14:textId="77777777" w:rsidR="004B59BA" w:rsidRPr="00CC2B22" w:rsidRDefault="004B59BA" w:rsidP="004B59BA">
      <w:pPr>
        <w:pStyle w:val="Body"/>
        <w:rPr>
          <w:rFonts w:ascii="Arial" w:hAnsi="Arial" w:cs="Arial"/>
          <w:color w:val="auto"/>
          <w:sz w:val="17"/>
          <w:szCs w:val="19"/>
        </w:rPr>
      </w:pPr>
    </w:p>
    <w:p w14:paraId="78D4AF52" w14:textId="70681921" w:rsidR="004B59BA" w:rsidRPr="001D45F2" w:rsidRDefault="004B59BA" w:rsidP="001D45F2">
      <w:pPr>
        <w:pStyle w:val="Body"/>
        <w:jc w:val="both"/>
        <w:rPr>
          <w:rFonts w:ascii="Arial" w:eastAsia="Times New Roman" w:hAnsi="Arial" w:cs="Arial"/>
          <w:color w:val="auto"/>
          <w:sz w:val="19"/>
          <w:szCs w:val="19"/>
        </w:rPr>
      </w:pPr>
      <w:r w:rsidRPr="00CC2B22">
        <w:rPr>
          <w:rFonts w:ascii="Arial" w:hAnsi="Arial" w:cs="Arial"/>
          <w:color w:val="auto"/>
          <w:sz w:val="19"/>
          <w:szCs w:val="19"/>
        </w:rPr>
        <w:t xml:space="preserve">The state government declared a drought in Maharashtra in October 2015. An estimated </w:t>
      </w:r>
      <w:r w:rsidRPr="001D45F2">
        <w:rPr>
          <w:rFonts w:ascii="Arial" w:hAnsi="Arial" w:cs="Arial"/>
          <w:sz w:val="20"/>
          <w:szCs w:val="20"/>
        </w:rPr>
        <w:t>₹</w:t>
      </w:r>
      <w:r w:rsidRPr="00CC2B22">
        <w:rPr>
          <w:rFonts w:ascii="Arial" w:hAnsi="Arial" w:cs="Arial"/>
          <w:color w:val="auto"/>
          <w:sz w:val="19"/>
          <w:szCs w:val="19"/>
        </w:rPr>
        <w:t>1.35 trillion would be needed in the next five years to fight the drought. The state government started Jalayukt Shivar, which covered locali</w:t>
      </w:r>
      <w:r>
        <w:rPr>
          <w:rFonts w:ascii="Arial" w:hAnsi="Arial" w:cs="Arial"/>
          <w:color w:val="auto"/>
          <w:sz w:val="19"/>
          <w:szCs w:val="19"/>
        </w:rPr>
        <w:t>z</w:t>
      </w:r>
      <w:r w:rsidRPr="001D45F2">
        <w:rPr>
          <w:rFonts w:ascii="Arial" w:hAnsi="Arial" w:cs="Arial"/>
          <w:color w:val="auto"/>
          <w:sz w:val="19"/>
          <w:szCs w:val="19"/>
        </w:rPr>
        <w:t>ed, small</w:t>
      </w:r>
      <w:r>
        <w:rPr>
          <w:rFonts w:ascii="Arial" w:hAnsi="Arial" w:cs="Arial"/>
          <w:color w:val="auto"/>
          <w:sz w:val="19"/>
          <w:szCs w:val="19"/>
        </w:rPr>
        <w:t>,</w:t>
      </w:r>
      <w:r w:rsidRPr="001D45F2">
        <w:rPr>
          <w:rFonts w:ascii="Arial" w:hAnsi="Arial" w:cs="Arial"/>
          <w:color w:val="auto"/>
          <w:sz w:val="19"/>
          <w:szCs w:val="19"/>
        </w:rPr>
        <w:t xml:space="preserve"> and need-based water management programs.</w:t>
      </w:r>
      <w:r>
        <w:rPr>
          <w:rFonts w:ascii="Arial" w:hAnsi="Arial" w:cs="Arial"/>
          <w:color w:val="auto"/>
          <w:sz w:val="19"/>
          <w:szCs w:val="19"/>
        </w:rPr>
        <w:t xml:space="preserve"> </w:t>
      </w:r>
    </w:p>
    <w:p w14:paraId="1256DD25" w14:textId="77777777" w:rsidR="004B59BA" w:rsidRPr="001D45F2" w:rsidRDefault="004B59BA" w:rsidP="004B59BA">
      <w:pPr>
        <w:pStyle w:val="Body"/>
        <w:rPr>
          <w:rFonts w:ascii="Arial" w:eastAsia="Times New Roman" w:hAnsi="Arial" w:cs="Arial"/>
          <w:color w:val="auto"/>
          <w:sz w:val="17"/>
          <w:szCs w:val="17"/>
        </w:rPr>
      </w:pPr>
    </w:p>
    <w:p w14:paraId="296E8DC3" w14:textId="77777777" w:rsidR="004B59BA" w:rsidRPr="001D45F2" w:rsidRDefault="004B59BA" w:rsidP="004B59BA">
      <w:pPr>
        <w:pStyle w:val="Body"/>
        <w:rPr>
          <w:rFonts w:ascii="Arial" w:eastAsia="Times New Roman" w:hAnsi="Arial" w:cs="Arial"/>
          <w:color w:val="auto"/>
          <w:sz w:val="17"/>
          <w:szCs w:val="17"/>
        </w:rPr>
      </w:pPr>
    </w:p>
    <w:p w14:paraId="114149F5" w14:textId="77777777" w:rsidR="004B59BA" w:rsidRPr="001D45F2" w:rsidRDefault="004B59BA" w:rsidP="004B59BA">
      <w:pPr>
        <w:pStyle w:val="Body"/>
        <w:rPr>
          <w:rFonts w:ascii="Arial" w:eastAsia="Times New Roman" w:hAnsi="Arial" w:cs="Arial"/>
          <w:b/>
          <w:bCs/>
          <w:color w:val="auto"/>
          <w:sz w:val="19"/>
          <w:szCs w:val="19"/>
        </w:rPr>
      </w:pPr>
      <w:r w:rsidRPr="001D45F2">
        <w:rPr>
          <w:rFonts w:ascii="Arial" w:hAnsi="Arial" w:cs="Arial"/>
          <w:b/>
          <w:bCs/>
          <w:color w:val="auto"/>
          <w:sz w:val="19"/>
          <w:szCs w:val="19"/>
          <w:lang w:val="pt-PT"/>
        </w:rPr>
        <w:t>Sardar Sarovar Narmada Nigam</w:t>
      </w:r>
    </w:p>
    <w:p w14:paraId="10BF06DC" w14:textId="77777777" w:rsidR="004B59BA" w:rsidRPr="001D45F2" w:rsidRDefault="004B59BA" w:rsidP="004B59BA">
      <w:pPr>
        <w:pStyle w:val="Body"/>
        <w:rPr>
          <w:rFonts w:ascii="Arial" w:hAnsi="Arial" w:cs="Arial"/>
          <w:color w:val="auto"/>
          <w:sz w:val="17"/>
          <w:szCs w:val="19"/>
        </w:rPr>
      </w:pPr>
    </w:p>
    <w:p w14:paraId="0B76EB02" w14:textId="6498E938" w:rsidR="004B59BA" w:rsidRPr="00261A16" w:rsidRDefault="004B59BA" w:rsidP="001D45F2">
      <w:pPr>
        <w:pStyle w:val="Body"/>
        <w:jc w:val="both"/>
      </w:pPr>
      <w:r w:rsidRPr="001D45F2">
        <w:rPr>
          <w:rFonts w:ascii="Arial" w:hAnsi="Arial" w:cs="Arial"/>
          <w:color w:val="auto"/>
          <w:sz w:val="19"/>
          <w:szCs w:val="19"/>
        </w:rPr>
        <w:t>The Gujarat state government increased the allocation to the irrigation sector from ~</w:t>
      </w:r>
      <w:r w:rsidRPr="001D45F2">
        <w:rPr>
          <w:rFonts w:ascii="Arial" w:hAnsi="Arial" w:cs="Arial"/>
          <w:sz w:val="20"/>
          <w:szCs w:val="20"/>
        </w:rPr>
        <w:t>₹</w:t>
      </w:r>
      <w:r w:rsidRPr="001D45F2">
        <w:rPr>
          <w:rFonts w:ascii="Arial" w:hAnsi="Arial" w:cs="Arial"/>
          <w:color w:val="auto"/>
          <w:sz w:val="19"/>
          <w:szCs w:val="19"/>
        </w:rPr>
        <w:t>40 billion to ~</w:t>
      </w:r>
      <w:r w:rsidRPr="001D45F2">
        <w:rPr>
          <w:rFonts w:ascii="Arial" w:hAnsi="Arial" w:cs="Arial"/>
          <w:sz w:val="20"/>
          <w:szCs w:val="20"/>
        </w:rPr>
        <w:t>₹</w:t>
      </w:r>
      <w:r w:rsidRPr="001D45F2">
        <w:rPr>
          <w:rFonts w:ascii="Arial" w:hAnsi="Arial" w:cs="Arial"/>
          <w:color w:val="auto"/>
          <w:sz w:val="19"/>
          <w:szCs w:val="19"/>
        </w:rPr>
        <w:t xml:space="preserve">90 billion under </w:t>
      </w:r>
      <w:r>
        <w:rPr>
          <w:rFonts w:ascii="Arial" w:hAnsi="Arial" w:cs="Arial"/>
          <w:color w:val="auto"/>
          <w:sz w:val="19"/>
          <w:szCs w:val="19"/>
        </w:rPr>
        <w:t xml:space="preserve">the </w:t>
      </w:r>
      <w:r w:rsidRPr="001D45F2">
        <w:rPr>
          <w:rFonts w:ascii="Arial" w:hAnsi="Arial" w:cs="Arial"/>
          <w:color w:val="auto"/>
          <w:sz w:val="19"/>
          <w:szCs w:val="19"/>
        </w:rPr>
        <w:t>Sardar Sarovar Narmada irrigation project and allocated ~</w:t>
      </w:r>
      <w:r w:rsidRPr="001D45F2">
        <w:rPr>
          <w:rFonts w:ascii="Arial" w:hAnsi="Arial" w:cs="Arial"/>
          <w:sz w:val="20"/>
          <w:szCs w:val="20"/>
        </w:rPr>
        <w:t>₹</w:t>
      </w:r>
      <w:r w:rsidRPr="001D45F2">
        <w:rPr>
          <w:rFonts w:ascii="Arial" w:hAnsi="Arial" w:cs="Arial"/>
          <w:color w:val="auto"/>
          <w:sz w:val="19"/>
          <w:szCs w:val="19"/>
        </w:rPr>
        <w:t>52 billion for other ongoing water resource schemes.</w:t>
      </w:r>
      <w:r w:rsidR="001D45F2">
        <w:rPr>
          <w:rFonts w:ascii="Arial" w:hAnsi="Arial" w:cs="Arial"/>
          <w:color w:val="auto"/>
          <w:sz w:val="19"/>
          <w:szCs w:val="19"/>
        </w:rPr>
        <w:t xml:space="preserve"> </w:t>
      </w:r>
      <w:r w:rsidRPr="00261A16">
        <w:t xml:space="preserve"> </w:t>
      </w:r>
    </w:p>
    <w:p w14:paraId="6C227155" w14:textId="77777777" w:rsidR="004B59BA" w:rsidRDefault="004B59BA" w:rsidP="004B59BA">
      <w:pPr>
        <w:pStyle w:val="Body"/>
        <w:rPr>
          <w:rFonts w:ascii="Arial" w:eastAsia="Times New Roman" w:hAnsi="Arial" w:cs="Arial"/>
          <w:color w:val="auto"/>
          <w:sz w:val="17"/>
          <w:szCs w:val="19"/>
        </w:rPr>
      </w:pPr>
    </w:p>
    <w:p w14:paraId="0062C045" w14:textId="77777777" w:rsidR="004B59BA" w:rsidRPr="001D45F2" w:rsidRDefault="004B59BA" w:rsidP="004B59BA">
      <w:pPr>
        <w:pStyle w:val="Body"/>
        <w:rPr>
          <w:rFonts w:ascii="Arial" w:eastAsia="Times New Roman" w:hAnsi="Arial" w:cs="Arial"/>
          <w:color w:val="auto"/>
          <w:sz w:val="17"/>
          <w:szCs w:val="19"/>
        </w:rPr>
      </w:pPr>
    </w:p>
    <w:p w14:paraId="6776CA3E" w14:textId="77777777" w:rsidR="004B59BA" w:rsidRPr="001D45F2" w:rsidRDefault="004B59BA" w:rsidP="004B59BA">
      <w:pPr>
        <w:pStyle w:val="Body"/>
        <w:rPr>
          <w:rFonts w:ascii="Arial" w:eastAsia="Times New Roman" w:hAnsi="Arial" w:cs="Arial"/>
          <w:b/>
          <w:bCs/>
          <w:color w:val="auto"/>
          <w:sz w:val="19"/>
          <w:szCs w:val="19"/>
        </w:rPr>
      </w:pPr>
      <w:r w:rsidRPr="001D45F2">
        <w:rPr>
          <w:rFonts w:ascii="Arial" w:hAnsi="Arial" w:cs="Arial"/>
          <w:b/>
          <w:bCs/>
          <w:color w:val="auto"/>
          <w:sz w:val="19"/>
          <w:szCs w:val="19"/>
        </w:rPr>
        <w:t xml:space="preserve">Organic farming </w:t>
      </w:r>
    </w:p>
    <w:p w14:paraId="533988B0" w14:textId="77777777" w:rsidR="004B59BA" w:rsidRPr="001D45F2" w:rsidRDefault="004B59BA" w:rsidP="004B59BA">
      <w:pPr>
        <w:pStyle w:val="Body"/>
        <w:rPr>
          <w:rFonts w:ascii="Arial" w:hAnsi="Arial" w:cs="Arial"/>
          <w:color w:val="auto"/>
          <w:sz w:val="17"/>
          <w:szCs w:val="17"/>
        </w:rPr>
      </w:pPr>
    </w:p>
    <w:p w14:paraId="613D99D5" w14:textId="01A9B100" w:rsidR="004B59BA" w:rsidRPr="001D45F2" w:rsidRDefault="004B59BA" w:rsidP="001D45F2">
      <w:pPr>
        <w:pStyle w:val="Body"/>
        <w:jc w:val="both"/>
        <w:rPr>
          <w:rFonts w:ascii="Arial" w:hAnsi="Arial" w:cs="Arial"/>
          <w:color w:val="auto"/>
          <w:sz w:val="19"/>
          <w:szCs w:val="19"/>
        </w:rPr>
      </w:pPr>
      <w:r w:rsidRPr="001D45F2">
        <w:rPr>
          <w:rFonts w:ascii="Arial" w:hAnsi="Arial" w:cs="Arial"/>
          <w:color w:val="auto"/>
          <w:sz w:val="19"/>
          <w:szCs w:val="19"/>
        </w:rPr>
        <w:t>The Indian government launched two important schemes. The first was Paramparagat Krishi Vikas Yojana</w:t>
      </w:r>
      <w:r>
        <w:rPr>
          <w:rFonts w:ascii="Arial" w:hAnsi="Arial" w:cs="Arial"/>
          <w:color w:val="auto"/>
          <w:sz w:val="19"/>
          <w:szCs w:val="19"/>
        </w:rPr>
        <w:t>,</w:t>
      </w:r>
      <w:r w:rsidRPr="001D45F2">
        <w:rPr>
          <w:rFonts w:ascii="Arial" w:hAnsi="Arial" w:cs="Arial"/>
          <w:color w:val="auto"/>
          <w:sz w:val="19"/>
          <w:szCs w:val="19"/>
        </w:rPr>
        <w:t xml:space="preserve"> which would bring 500,000 acres of land under organic farming over a three-year period. The second was a value-chain-based organic farming scheme called Organic Value Chain Development in </w:t>
      </w:r>
      <w:r>
        <w:rPr>
          <w:rFonts w:ascii="Arial" w:hAnsi="Arial" w:cs="Arial"/>
          <w:color w:val="auto"/>
          <w:sz w:val="19"/>
          <w:szCs w:val="19"/>
        </w:rPr>
        <w:t xml:space="preserve">the </w:t>
      </w:r>
      <w:r w:rsidRPr="001D45F2">
        <w:rPr>
          <w:rFonts w:ascii="Arial" w:hAnsi="Arial" w:cs="Arial"/>
          <w:color w:val="auto"/>
          <w:sz w:val="19"/>
          <w:szCs w:val="19"/>
        </w:rPr>
        <w:t>North East</w:t>
      </w:r>
      <w:r w:rsidR="00B075BB">
        <w:rPr>
          <w:rFonts w:ascii="Arial" w:hAnsi="Arial" w:cs="Arial"/>
          <w:color w:val="auto"/>
          <w:sz w:val="19"/>
          <w:szCs w:val="19"/>
        </w:rPr>
        <w:t>ern</w:t>
      </w:r>
      <w:r w:rsidRPr="001D45F2">
        <w:rPr>
          <w:rFonts w:ascii="Arial" w:hAnsi="Arial" w:cs="Arial"/>
          <w:color w:val="auto"/>
          <w:sz w:val="19"/>
          <w:szCs w:val="19"/>
        </w:rPr>
        <w:t xml:space="preserve"> Region of India.</w:t>
      </w:r>
    </w:p>
    <w:p w14:paraId="13436EAD" w14:textId="77777777" w:rsidR="004B59BA" w:rsidRPr="001D45F2" w:rsidRDefault="004B59BA" w:rsidP="004B59BA">
      <w:pPr>
        <w:pStyle w:val="Body"/>
        <w:rPr>
          <w:rFonts w:ascii="Arial" w:eastAsia="Times New Roman" w:hAnsi="Arial" w:cs="Arial"/>
          <w:color w:val="auto"/>
          <w:sz w:val="17"/>
          <w:szCs w:val="17"/>
        </w:rPr>
      </w:pPr>
    </w:p>
    <w:p w14:paraId="1CF9A4B6" w14:textId="77777777" w:rsidR="004B59BA" w:rsidRPr="001D45F2" w:rsidRDefault="004B59BA" w:rsidP="004B59BA">
      <w:pPr>
        <w:pStyle w:val="Body"/>
        <w:rPr>
          <w:rFonts w:ascii="Arial" w:eastAsia="Times New Roman" w:hAnsi="Arial" w:cs="Arial"/>
          <w:color w:val="auto"/>
          <w:sz w:val="17"/>
          <w:szCs w:val="17"/>
        </w:rPr>
      </w:pPr>
    </w:p>
    <w:p w14:paraId="3030A6FF" w14:textId="77777777" w:rsidR="004B59BA" w:rsidRPr="001D45F2" w:rsidRDefault="004B59BA" w:rsidP="004B59BA">
      <w:pPr>
        <w:pStyle w:val="Body"/>
        <w:rPr>
          <w:rFonts w:ascii="Arial" w:eastAsia="Times New Roman" w:hAnsi="Arial" w:cs="Arial"/>
          <w:b/>
          <w:bCs/>
          <w:color w:val="auto"/>
          <w:sz w:val="19"/>
          <w:szCs w:val="19"/>
        </w:rPr>
      </w:pPr>
      <w:r w:rsidRPr="001D45F2">
        <w:rPr>
          <w:rFonts w:ascii="Arial" w:hAnsi="Arial" w:cs="Arial"/>
          <w:b/>
          <w:bCs/>
          <w:color w:val="auto"/>
          <w:sz w:val="19"/>
          <w:szCs w:val="19"/>
          <w:lang w:val="it-IT"/>
        </w:rPr>
        <w:t>Non-agriculture segment</w:t>
      </w:r>
    </w:p>
    <w:p w14:paraId="5583460C" w14:textId="77777777" w:rsidR="004B59BA" w:rsidRPr="001D45F2" w:rsidRDefault="004B59BA" w:rsidP="004B59BA">
      <w:pPr>
        <w:pStyle w:val="Body"/>
        <w:rPr>
          <w:rFonts w:ascii="Arial" w:hAnsi="Arial" w:cs="Arial"/>
          <w:color w:val="auto"/>
          <w:sz w:val="17"/>
          <w:szCs w:val="17"/>
        </w:rPr>
      </w:pPr>
    </w:p>
    <w:p w14:paraId="28232A27" w14:textId="77777777" w:rsidR="004B59BA" w:rsidRPr="001D45F2" w:rsidRDefault="004B59BA" w:rsidP="004B59BA">
      <w:pPr>
        <w:pStyle w:val="Body"/>
        <w:rPr>
          <w:rFonts w:ascii="Arial" w:eastAsia="Times New Roman" w:hAnsi="Arial" w:cs="Arial"/>
          <w:color w:val="auto"/>
          <w:sz w:val="19"/>
          <w:szCs w:val="19"/>
        </w:rPr>
      </w:pPr>
      <w:r w:rsidRPr="001D45F2">
        <w:rPr>
          <w:rFonts w:ascii="Arial" w:hAnsi="Arial" w:cs="Arial"/>
          <w:color w:val="auto"/>
          <w:sz w:val="19"/>
          <w:szCs w:val="19"/>
        </w:rPr>
        <w:t xml:space="preserve">The demand for PVC pipes and fittings in the non-agriculture segment was expected to grow because </w:t>
      </w:r>
      <w:r>
        <w:rPr>
          <w:rFonts w:ascii="Arial" w:hAnsi="Arial" w:cs="Arial"/>
          <w:color w:val="auto"/>
          <w:sz w:val="19"/>
          <w:szCs w:val="19"/>
        </w:rPr>
        <w:t xml:space="preserve">of </w:t>
      </w:r>
      <w:r w:rsidRPr="001D45F2">
        <w:rPr>
          <w:rFonts w:ascii="Arial" w:hAnsi="Arial" w:cs="Arial"/>
          <w:color w:val="auto"/>
          <w:sz w:val="19"/>
          <w:szCs w:val="19"/>
        </w:rPr>
        <w:t>the following schemes initiated by the India</w:t>
      </w:r>
      <w:r>
        <w:rPr>
          <w:rFonts w:ascii="Arial" w:hAnsi="Arial" w:cs="Arial"/>
          <w:color w:val="auto"/>
          <w:sz w:val="19"/>
          <w:szCs w:val="19"/>
        </w:rPr>
        <w:t>n government</w:t>
      </w:r>
      <w:r w:rsidRPr="001D45F2">
        <w:rPr>
          <w:rFonts w:ascii="Arial" w:hAnsi="Arial" w:cs="Arial"/>
          <w:color w:val="auto"/>
          <w:sz w:val="19"/>
          <w:szCs w:val="19"/>
        </w:rPr>
        <w:t xml:space="preserve">. </w:t>
      </w:r>
    </w:p>
    <w:p w14:paraId="6814F44E" w14:textId="77777777" w:rsidR="004B59BA" w:rsidRPr="001D45F2" w:rsidRDefault="004B59BA" w:rsidP="004B59BA">
      <w:pPr>
        <w:pStyle w:val="Body"/>
        <w:rPr>
          <w:rFonts w:ascii="Arial" w:eastAsia="Times New Roman" w:hAnsi="Arial" w:cs="Arial"/>
          <w:color w:val="auto"/>
          <w:sz w:val="17"/>
          <w:szCs w:val="17"/>
        </w:rPr>
      </w:pPr>
    </w:p>
    <w:p w14:paraId="06ED41E3" w14:textId="77777777" w:rsidR="004B59BA" w:rsidRPr="001D45F2" w:rsidRDefault="004B59BA" w:rsidP="004B59BA">
      <w:pPr>
        <w:pStyle w:val="Body"/>
        <w:rPr>
          <w:rFonts w:ascii="Arial" w:eastAsia="Times New Roman" w:hAnsi="Arial" w:cs="Arial"/>
          <w:color w:val="auto"/>
          <w:sz w:val="17"/>
          <w:szCs w:val="17"/>
        </w:rPr>
      </w:pPr>
    </w:p>
    <w:p w14:paraId="57054401" w14:textId="77777777" w:rsidR="004B59BA" w:rsidRPr="001D45F2" w:rsidRDefault="004B59BA" w:rsidP="006F634A">
      <w:pPr>
        <w:pStyle w:val="Casehead3"/>
      </w:pPr>
      <w:r w:rsidRPr="001D45F2">
        <w:t>Housing for All by 2022</w:t>
      </w:r>
    </w:p>
    <w:p w14:paraId="000ED074" w14:textId="77777777" w:rsidR="004B59BA" w:rsidRPr="001D45F2" w:rsidRDefault="004B59BA" w:rsidP="004B59BA">
      <w:pPr>
        <w:pStyle w:val="Body"/>
        <w:rPr>
          <w:rFonts w:ascii="Arial" w:hAnsi="Arial" w:cs="Arial"/>
          <w:color w:val="auto"/>
          <w:sz w:val="17"/>
          <w:szCs w:val="17"/>
        </w:rPr>
      </w:pPr>
    </w:p>
    <w:p w14:paraId="535FAFCE" w14:textId="065DD4B6" w:rsidR="004B59BA" w:rsidRPr="001D45F2" w:rsidRDefault="004B59BA" w:rsidP="004B59BA">
      <w:pPr>
        <w:pStyle w:val="Body"/>
        <w:rPr>
          <w:rFonts w:ascii="Arial" w:eastAsia="Times New Roman" w:hAnsi="Arial" w:cs="Arial"/>
          <w:color w:val="auto"/>
          <w:sz w:val="19"/>
          <w:szCs w:val="19"/>
        </w:rPr>
      </w:pPr>
      <w:r w:rsidRPr="001D45F2">
        <w:rPr>
          <w:rFonts w:ascii="Arial" w:hAnsi="Arial" w:cs="Arial"/>
          <w:color w:val="auto"/>
          <w:sz w:val="19"/>
          <w:szCs w:val="19"/>
        </w:rPr>
        <w:t>Housing for All by 2022 aim</w:t>
      </w:r>
      <w:r>
        <w:rPr>
          <w:rFonts w:ascii="Arial" w:hAnsi="Arial" w:cs="Arial"/>
          <w:color w:val="auto"/>
          <w:sz w:val="19"/>
          <w:szCs w:val="19"/>
        </w:rPr>
        <w:t>ed</w:t>
      </w:r>
      <w:r w:rsidRPr="001D45F2">
        <w:rPr>
          <w:rFonts w:ascii="Arial" w:hAnsi="Arial" w:cs="Arial"/>
          <w:color w:val="auto"/>
          <w:sz w:val="19"/>
          <w:szCs w:val="19"/>
        </w:rPr>
        <w:t xml:space="preserve"> to provide 20 million houses in urban areas and 40 million in rural areas. The government launched various schemes to incentivi</w:t>
      </w:r>
      <w:r>
        <w:rPr>
          <w:rFonts w:ascii="Arial" w:hAnsi="Arial" w:cs="Arial"/>
          <w:color w:val="auto"/>
          <w:sz w:val="19"/>
          <w:szCs w:val="19"/>
        </w:rPr>
        <w:t>z</w:t>
      </w:r>
      <w:r w:rsidRPr="001D45F2">
        <w:rPr>
          <w:rFonts w:ascii="Arial" w:hAnsi="Arial" w:cs="Arial"/>
          <w:color w:val="auto"/>
          <w:sz w:val="19"/>
          <w:szCs w:val="19"/>
        </w:rPr>
        <w:t xml:space="preserve">e home buyers. While the real estate sector </w:t>
      </w:r>
      <w:r>
        <w:rPr>
          <w:rFonts w:ascii="Arial" w:hAnsi="Arial" w:cs="Arial"/>
          <w:color w:val="auto"/>
          <w:sz w:val="19"/>
          <w:szCs w:val="19"/>
        </w:rPr>
        <w:t>was</w:t>
      </w:r>
      <w:r w:rsidRPr="001D45F2">
        <w:rPr>
          <w:rFonts w:ascii="Arial" w:hAnsi="Arial" w:cs="Arial"/>
          <w:color w:val="auto"/>
          <w:sz w:val="19"/>
          <w:szCs w:val="19"/>
        </w:rPr>
        <w:t xml:space="preserve"> seeing a downturn in urban areas, rural areas </w:t>
      </w:r>
      <w:r>
        <w:rPr>
          <w:rFonts w:ascii="Arial" w:hAnsi="Arial" w:cs="Arial"/>
          <w:color w:val="auto"/>
          <w:sz w:val="19"/>
          <w:szCs w:val="19"/>
        </w:rPr>
        <w:t>were</w:t>
      </w:r>
      <w:r w:rsidRPr="001D45F2">
        <w:rPr>
          <w:rFonts w:ascii="Arial" w:hAnsi="Arial" w:cs="Arial"/>
          <w:color w:val="auto"/>
          <w:sz w:val="19"/>
          <w:szCs w:val="19"/>
        </w:rPr>
        <w:t xml:space="preserve"> still unaffected. As Finolex ha</w:t>
      </w:r>
      <w:r>
        <w:rPr>
          <w:rFonts w:ascii="Arial" w:hAnsi="Arial" w:cs="Arial"/>
          <w:color w:val="auto"/>
          <w:sz w:val="19"/>
          <w:szCs w:val="19"/>
        </w:rPr>
        <w:t>d</w:t>
      </w:r>
      <w:r w:rsidRPr="001D45F2">
        <w:rPr>
          <w:rFonts w:ascii="Arial" w:hAnsi="Arial" w:cs="Arial"/>
          <w:color w:val="auto"/>
          <w:sz w:val="19"/>
          <w:szCs w:val="19"/>
        </w:rPr>
        <w:t xml:space="preserve"> a wide, pan-India dealer network, good demand for PVC pipes and fittings</w:t>
      </w:r>
      <w:r>
        <w:rPr>
          <w:rFonts w:ascii="Arial" w:hAnsi="Arial" w:cs="Arial"/>
          <w:color w:val="auto"/>
          <w:sz w:val="19"/>
          <w:szCs w:val="19"/>
        </w:rPr>
        <w:t xml:space="preserve"> was expected</w:t>
      </w:r>
      <w:r w:rsidRPr="001D45F2">
        <w:rPr>
          <w:rFonts w:ascii="Arial" w:hAnsi="Arial" w:cs="Arial"/>
          <w:color w:val="auto"/>
          <w:sz w:val="19"/>
          <w:szCs w:val="19"/>
        </w:rPr>
        <w:t xml:space="preserve">. </w:t>
      </w:r>
    </w:p>
    <w:p w14:paraId="18E85E7C" w14:textId="77777777" w:rsidR="004B59BA" w:rsidRPr="001D45F2" w:rsidRDefault="004B59BA" w:rsidP="004B59BA">
      <w:pPr>
        <w:pStyle w:val="Body"/>
        <w:rPr>
          <w:rFonts w:ascii="Arial" w:eastAsia="Times New Roman" w:hAnsi="Arial" w:cs="Arial"/>
          <w:color w:val="auto"/>
          <w:sz w:val="17"/>
          <w:szCs w:val="17"/>
        </w:rPr>
      </w:pPr>
    </w:p>
    <w:p w14:paraId="257D8AB3" w14:textId="77777777" w:rsidR="004B59BA" w:rsidRPr="001D45F2" w:rsidRDefault="004B59BA" w:rsidP="004B59BA">
      <w:pPr>
        <w:pStyle w:val="Body"/>
        <w:rPr>
          <w:rFonts w:ascii="Arial" w:eastAsia="Times New Roman" w:hAnsi="Arial" w:cs="Arial"/>
          <w:color w:val="auto"/>
          <w:sz w:val="17"/>
          <w:szCs w:val="17"/>
        </w:rPr>
      </w:pPr>
    </w:p>
    <w:p w14:paraId="5C3EABB9" w14:textId="77777777" w:rsidR="001D45F2" w:rsidRDefault="001D45F2" w:rsidP="006F634A">
      <w:pPr>
        <w:pStyle w:val="ExhibitHeading"/>
        <w:keepNext/>
        <w:rPr>
          <w:bCs/>
          <w:sz w:val="19"/>
          <w:szCs w:val="19"/>
          <w:lang w:val="de-DE"/>
        </w:rPr>
      </w:pPr>
      <w:r w:rsidRPr="007B102D">
        <w:lastRenderedPageBreak/>
        <w:t xml:space="preserve">Exhibit </w:t>
      </w:r>
      <w:r>
        <w:t>1 (continued)</w:t>
      </w:r>
    </w:p>
    <w:p w14:paraId="6B4EC8F9" w14:textId="77777777" w:rsidR="001D45F2" w:rsidRDefault="001D45F2" w:rsidP="006F634A">
      <w:pPr>
        <w:pStyle w:val="ExhibitHeading"/>
        <w:keepNext/>
        <w:rPr>
          <w:bCs/>
          <w:sz w:val="19"/>
          <w:szCs w:val="19"/>
          <w:lang w:val="de-DE"/>
        </w:rPr>
      </w:pPr>
    </w:p>
    <w:p w14:paraId="4880E075" w14:textId="77777777" w:rsidR="004B59BA" w:rsidRPr="001D45F2" w:rsidRDefault="004B59BA" w:rsidP="006F634A">
      <w:pPr>
        <w:pStyle w:val="Casehead3"/>
        <w:keepNext/>
      </w:pPr>
      <w:r w:rsidRPr="001D45F2">
        <w:rPr>
          <w:lang w:val="de-DE"/>
        </w:rPr>
        <w:t>Swachh Bharat Mission</w:t>
      </w:r>
    </w:p>
    <w:p w14:paraId="132FC6D7" w14:textId="77777777" w:rsidR="004B59BA" w:rsidRPr="001D45F2" w:rsidRDefault="004B59BA" w:rsidP="006F634A">
      <w:pPr>
        <w:pStyle w:val="Body"/>
        <w:keepNext/>
        <w:rPr>
          <w:rFonts w:ascii="Arial" w:hAnsi="Arial" w:cs="Arial"/>
          <w:color w:val="auto"/>
          <w:sz w:val="17"/>
          <w:szCs w:val="17"/>
        </w:rPr>
      </w:pPr>
    </w:p>
    <w:p w14:paraId="2AEBF3E2" w14:textId="11C3B14F" w:rsidR="004B59BA" w:rsidRPr="001D45F2" w:rsidRDefault="004B59BA" w:rsidP="006F634A">
      <w:pPr>
        <w:pStyle w:val="Body"/>
        <w:keepNext/>
        <w:jc w:val="both"/>
        <w:rPr>
          <w:rFonts w:ascii="Arial" w:eastAsia="Times New Roman" w:hAnsi="Arial" w:cs="Arial"/>
          <w:color w:val="auto"/>
          <w:sz w:val="19"/>
          <w:szCs w:val="19"/>
        </w:rPr>
      </w:pPr>
      <w:r w:rsidRPr="001D45F2">
        <w:rPr>
          <w:rFonts w:ascii="Arial" w:hAnsi="Arial" w:cs="Arial"/>
          <w:color w:val="auto"/>
          <w:sz w:val="19"/>
          <w:szCs w:val="19"/>
        </w:rPr>
        <w:t>A flagship program called Swachh Bharat Mission</w:t>
      </w:r>
      <w:r w:rsidR="00006FF6">
        <w:rPr>
          <w:rFonts w:ascii="Arial" w:hAnsi="Arial" w:cs="Arial"/>
          <w:color w:val="auto"/>
          <w:sz w:val="19"/>
          <w:szCs w:val="19"/>
        </w:rPr>
        <w:t xml:space="preserve"> was</w:t>
      </w:r>
      <w:r w:rsidRPr="001D45F2">
        <w:rPr>
          <w:rFonts w:ascii="Arial" w:hAnsi="Arial" w:cs="Arial"/>
          <w:color w:val="auto"/>
          <w:sz w:val="19"/>
          <w:szCs w:val="19"/>
        </w:rPr>
        <w:t xml:space="preserve"> launched by the India</w:t>
      </w:r>
      <w:r>
        <w:rPr>
          <w:rFonts w:ascii="Arial" w:hAnsi="Arial" w:cs="Arial"/>
          <w:color w:val="auto"/>
          <w:sz w:val="19"/>
          <w:szCs w:val="19"/>
        </w:rPr>
        <w:t>n</w:t>
      </w:r>
      <w:r w:rsidRPr="008B5423">
        <w:rPr>
          <w:rFonts w:ascii="Arial" w:hAnsi="Arial" w:cs="Arial"/>
          <w:color w:val="auto"/>
          <w:sz w:val="19"/>
          <w:szCs w:val="19"/>
        </w:rPr>
        <w:t xml:space="preserve"> </w:t>
      </w:r>
      <w:r>
        <w:rPr>
          <w:rFonts w:ascii="Arial" w:hAnsi="Arial" w:cs="Arial"/>
          <w:color w:val="auto"/>
          <w:sz w:val="19"/>
          <w:szCs w:val="19"/>
        </w:rPr>
        <w:t>g</w:t>
      </w:r>
      <w:r w:rsidRPr="0073273F">
        <w:rPr>
          <w:rFonts w:ascii="Arial" w:hAnsi="Arial" w:cs="Arial"/>
          <w:color w:val="auto"/>
          <w:sz w:val="19"/>
          <w:szCs w:val="19"/>
        </w:rPr>
        <w:t>overnment</w:t>
      </w:r>
      <w:r w:rsidRPr="001D45F2">
        <w:rPr>
          <w:rFonts w:ascii="Arial" w:hAnsi="Arial" w:cs="Arial"/>
          <w:color w:val="auto"/>
          <w:sz w:val="19"/>
          <w:szCs w:val="19"/>
        </w:rPr>
        <w:t xml:space="preserve">. The program was aimed at improving sanitation facilities in rural areas through </w:t>
      </w:r>
      <w:r>
        <w:rPr>
          <w:rFonts w:ascii="Arial" w:hAnsi="Arial" w:cs="Arial"/>
          <w:color w:val="auto"/>
          <w:sz w:val="19"/>
          <w:szCs w:val="19"/>
        </w:rPr>
        <w:t xml:space="preserve">the </w:t>
      </w:r>
      <w:r w:rsidRPr="001D45F2">
        <w:rPr>
          <w:rFonts w:ascii="Arial" w:hAnsi="Arial" w:cs="Arial"/>
          <w:color w:val="auto"/>
          <w:sz w:val="19"/>
          <w:szCs w:val="19"/>
        </w:rPr>
        <w:t>construction of individual household latrines, cluster toilets</w:t>
      </w:r>
      <w:r>
        <w:rPr>
          <w:rFonts w:ascii="Arial" w:hAnsi="Arial" w:cs="Arial"/>
          <w:color w:val="auto"/>
          <w:sz w:val="19"/>
          <w:szCs w:val="19"/>
        </w:rPr>
        <w:t>,</w:t>
      </w:r>
      <w:r w:rsidRPr="001D45F2">
        <w:rPr>
          <w:rFonts w:ascii="Arial" w:hAnsi="Arial" w:cs="Arial"/>
          <w:color w:val="auto"/>
          <w:sz w:val="19"/>
          <w:szCs w:val="19"/>
        </w:rPr>
        <w:t xml:space="preserve"> and community toilets (especially via </w:t>
      </w:r>
      <w:r>
        <w:rPr>
          <w:rFonts w:ascii="Arial" w:hAnsi="Arial" w:cs="Arial"/>
          <w:color w:val="auto"/>
          <w:sz w:val="19"/>
          <w:szCs w:val="19"/>
        </w:rPr>
        <w:t xml:space="preserve">a </w:t>
      </w:r>
      <w:r w:rsidRPr="00025C23">
        <w:rPr>
          <w:rFonts w:ascii="Arial" w:hAnsi="Arial" w:cs="Arial"/>
          <w:color w:val="auto"/>
          <w:sz w:val="19"/>
          <w:szCs w:val="19"/>
        </w:rPr>
        <w:t>public–private partnership</w:t>
      </w:r>
      <w:r w:rsidRPr="00025C23" w:rsidDel="00025C23">
        <w:rPr>
          <w:rFonts w:ascii="Arial" w:hAnsi="Arial" w:cs="Arial"/>
          <w:color w:val="auto"/>
          <w:sz w:val="19"/>
          <w:szCs w:val="19"/>
        </w:rPr>
        <w:t xml:space="preserve"> </w:t>
      </w:r>
      <w:r w:rsidRPr="001D45F2">
        <w:rPr>
          <w:rFonts w:ascii="Arial" w:hAnsi="Arial" w:cs="Arial"/>
          <w:color w:val="auto"/>
          <w:sz w:val="19"/>
          <w:szCs w:val="19"/>
        </w:rPr>
        <w:t>mode). Another comp</w:t>
      </w:r>
      <w:r>
        <w:rPr>
          <w:rFonts w:ascii="Arial" w:hAnsi="Arial" w:cs="Arial"/>
          <w:color w:val="auto"/>
          <w:sz w:val="19"/>
          <w:szCs w:val="19"/>
        </w:rPr>
        <w:t>o</w:t>
      </w:r>
      <w:r w:rsidRPr="00CC2B22">
        <w:rPr>
          <w:rFonts w:ascii="Arial" w:hAnsi="Arial" w:cs="Arial"/>
          <w:color w:val="auto"/>
          <w:sz w:val="19"/>
          <w:szCs w:val="19"/>
        </w:rPr>
        <w:t xml:space="preserve">nent of the program </w:t>
      </w:r>
      <w:r>
        <w:rPr>
          <w:rFonts w:ascii="Arial" w:hAnsi="Arial" w:cs="Arial"/>
          <w:color w:val="auto"/>
          <w:sz w:val="19"/>
          <w:szCs w:val="19"/>
        </w:rPr>
        <w:t>was</w:t>
      </w:r>
      <w:r w:rsidRPr="007C1B96">
        <w:rPr>
          <w:rFonts w:ascii="Arial" w:hAnsi="Arial" w:cs="Arial"/>
          <w:color w:val="auto"/>
          <w:sz w:val="19"/>
          <w:szCs w:val="19"/>
        </w:rPr>
        <w:t xml:space="preserve"> solid and liquid waste management. The lack of sanitation and drinking water </w:t>
      </w:r>
      <w:r w:rsidR="001A653C">
        <w:rPr>
          <w:rFonts w:ascii="Arial" w:hAnsi="Arial" w:cs="Arial"/>
          <w:color w:val="auto"/>
          <w:sz w:val="19"/>
          <w:szCs w:val="19"/>
        </w:rPr>
        <w:t>access</w:t>
      </w:r>
      <w:r w:rsidR="001A653C" w:rsidRPr="007C1B96">
        <w:rPr>
          <w:rFonts w:ascii="Arial" w:hAnsi="Arial" w:cs="Arial"/>
          <w:color w:val="auto"/>
          <w:sz w:val="19"/>
          <w:szCs w:val="19"/>
        </w:rPr>
        <w:t xml:space="preserve"> </w:t>
      </w:r>
      <w:r>
        <w:rPr>
          <w:rFonts w:ascii="Arial" w:hAnsi="Arial" w:cs="Arial"/>
          <w:color w:val="auto"/>
          <w:sz w:val="19"/>
          <w:szCs w:val="19"/>
        </w:rPr>
        <w:t xml:space="preserve">for around </w:t>
      </w:r>
      <w:r w:rsidRPr="001D45F2">
        <w:rPr>
          <w:rFonts w:ascii="Arial" w:hAnsi="Arial" w:cs="Arial"/>
          <w:color w:val="auto"/>
          <w:sz w:val="19"/>
          <w:szCs w:val="19"/>
        </w:rPr>
        <w:t>130 million households create</w:t>
      </w:r>
      <w:r>
        <w:rPr>
          <w:rFonts w:ascii="Arial" w:hAnsi="Arial" w:cs="Arial"/>
          <w:color w:val="auto"/>
          <w:sz w:val="19"/>
          <w:szCs w:val="19"/>
        </w:rPr>
        <w:t>d</w:t>
      </w:r>
      <w:r w:rsidRPr="007C1B96">
        <w:rPr>
          <w:rFonts w:ascii="Arial" w:hAnsi="Arial" w:cs="Arial"/>
          <w:color w:val="auto"/>
          <w:sz w:val="19"/>
          <w:szCs w:val="19"/>
        </w:rPr>
        <w:t xml:space="preserve"> a huge opportunity </w:t>
      </w:r>
      <w:r>
        <w:rPr>
          <w:rFonts w:ascii="Arial" w:hAnsi="Arial" w:cs="Arial"/>
          <w:color w:val="auto"/>
          <w:sz w:val="19"/>
          <w:szCs w:val="19"/>
        </w:rPr>
        <w:t>f</w:t>
      </w:r>
      <w:r w:rsidRPr="001D45F2">
        <w:rPr>
          <w:rFonts w:ascii="Arial" w:hAnsi="Arial" w:cs="Arial"/>
          <w:color w:val="auto"/>
          <w:sz w:val="19"/>
          <w:szCs w:val="19"/>
        </w:rPr>
        <w:t>or PVC pipes.</w:t>
      </w:r>
    </w:p>
    <w:p w14:paraId="38F7ED68" w14:textId="77777777" w:rsidR="004B59BA" w:rsidRPr="00345D90" w:rsidRDefault="004B59BA" w:rsidP="00345D90">
      <w:pPr>
        <w:pStyle w:val="BodyTextMain"/>
        <w:rPr>
          <w:rFonts w:ascii="Arial" w:hAnsi="Arial" w:cs="Arial"/>
          <w:sz w:val="17"/>
          <w:szCs w:val="17"/>
        </w:rPr>
      </w:pPr>
    </w:p>
    <w:p w14:paraId="1A5B937D" w14:textId="77777777" w:rsidR="004B59BA" w:rsidRPr="00345D90" w:rsidRDefault="004B59BA" w:rsidP="00345D90">
      <w:pPr>
        <w:pStyle w:val="BodyTextMain"/>
        <w:rPr>
          <w:rFonts w:ascii="Arial" w:hAnsi="Arial" w:cs="Arial"/>
          <w:sz w:val="17"/>
          <w:szCs w:val="17"/>
        </w:rPr>
      </w:pPr>
    </w:p>
    <w:p w14:paraId="4635DAAE" w14:textId="77777777" w:rsidR="004B59BA" w:rsidRPr="001D45F2" w:rsidRDefault="004B59BA" w:rsidP="006F634A">
      <w:pPr>
        <w:pStyle w:val="Casehead3"/>
      </w:pPr>
      <w:r w:rsidRPr="001D45F2">
        <w:t>Atal Mission for Rejuvenation and Urban Transformation (AMRUT)</w:t>
      </w:r>
    </w:p>
    <w:p w14:paraId="1B132EDD" w14:textId="77777777" w:rsidR="004B59BA" w:rsidRPr="00345D90" w:rsidRDefault="004B59BA" w:rsidP="004B59BA">
      <w:pPr>
        <w:pStyle w:val="Body"/>
        <w:rPr>
          <w:rFonts w:ascii="Arial" w:hAnsi="Arial" w:cs="Arial"/>
          <w:color w:val="auto"/>
          <w:sz w:val="17"/>
          <w:szCs w:val="17"/>
        </w:rPr>
      </w:pPr>
    </w:p>
    <w:p w14:paraId="49F98C1B" w14:textId="572E6F9B" w:rsidR="004B59BA" w:rsidRPr="001D45F2" w:rsidRDefault="004B59BA" w:rsidP="00345D90">
      <w:pPr>
        <w:pStyle w:val="Body"/>
        <w:jc w:val="both"/>
        <w:rPr>
          <w:rFonts w:ascii="Arial" w:hAnsi="Arial" w:cs="Arial"/>
          <w:color w:val="auto"/>
          <w:sz w:val="19"/>
          <w:szCs w:val="19"/>
        </w:rPr>
      </w:pPr>
      <w:r w:rsidRPr="001D45F2">
        <w:rPr>
          <w:rFonts w:ascii="Arial" w:hAnsi="Arial" w:cs="Arial"/>
          <w:color w:val="auto"/>
          <w:sz w:val="19"/>
          <w:szCs w:val="19"/>
        </w:rPr>
        <w:t xml:space="preserve">The AMRUT program of the </w:t>
      </w:r>
      <w:r>
        <w:rPr>
          <w:rFonts w:ascii="Arial" w:hAnsi="Arial" w:cs="Arial"/>
          <w:color w:val="auto"/>
          <w:sz w:val="19"/>
          <w:szCs w:val="19"/>
        </w:rPr>
        <w:t>g</w:t>
      </w:r>
      <w:r w:rsidRPr="001D45F2">
        <w:rPr>
          <w:rFonts w:ascii="Arial" w:hAnsi="Arial" w:cs="Arial"/>
          <w:color w:val="auto"/>
          <w:sz w:val="19"/>
          <w:szCs w:val="19"/>
        </w:rPr>
        <w:t>overnment aim</w:t>
      </w:r>
      <w:r>
        <w:rPr>
          <w:rFonts w:ascii="Arial" w:hAnsi="Arial" w:cs="Arial"/>
          <w:color w:val="auto"/>
          <w:sz w:val="19"/>
          <w:szCs w:val="19"/>
        </w:rPr>
        <w:t>ed</w:t>
      </w:r>
      <w:r w:rsidRPr="001D45F2">
        <w:rPr>
          <w:rFonts w:ascii="Arial" w:hAnsi="Arial" w:cs="Arial"/>
          <w:color w:val="auto"/>
          <w:sz w:val="19"/>
          <w:szCs w:val="19"/>
        </w:rPr>
        <w:t xml:space="preserve"> to provide basic services to households and build amenities in India. It aim</w:t>
      </w:r>
      <w:r>
        <w:rPr>
          <w:rFonts w:ascii="Arial" w:hAnsi="Arial" w:cs="Arial"/>
          <w:color w:val="auto"/>
          <w:sz w:val="19"/>
          <w:szCs w:val="19"/>
        </w:rPr>
        <w:t>ed</w:t>
      </w:r>
      <w:r w:rsidRPr="001D45F2">
        <w:rPr>
          <w:rFonts w:ascii="Arial" w:hAnsi="Arial" w:cs="Arial"/>
          <w:color w:val="auto"/>
          <w:sz w:val="19"/>
          <w:szCs w:val="19"/>
        </w:rPr>
        <w:t xml:space="preserve"> to provide every household with a tap and assured </w:t>
      </w:r>
      <w:r>
        <w:rPr>
          <w:rFonts w:ascii="Arial" w:hAnsi="Arial" w:cs="Arial"/>
          <w:color w:val="auto"/>
          <w:sz w:val="19"/>
          <w:szCs w:val="19"/>
        </w:rPr>
        <w:t xml:space="preserve">a </w:t>
      </w:r>
      <w:r w:rsidRPr="007C1B96">
        <w:rPr>
          <w:rFonts w:ascii="Arial" w:hAnsi="Arial" w:cs="Arial"/>
          <w:color w:val="auto"/>
          <w:sz w:val="19"/>
          <w:szCs w:val="19"/>
        </w:rPr>
        <w:t>supply of water and sew</w:t>
      </w:r>
      <w:r w:rsidR="001A653C">
        <w:rPr>
          <w:rFonts w:ascii="Arial" w:hAnsi="Arial" w:cs="Arial"/>
          <w:color w:val="auto"/>
          <w:sz w:val="19"/>
          <w:szCs w:val="19"/>
        </w:rPr>
        <w:t>a</w:t>
      </w:r>
      <w:r w:rsidRPr="007C1B96">
        <w:rPr>
          <w:rFonts w:ascii="Arial" w:hAnsi="Arial" w:cs="Arial"/>
          <w:color w:val="auto"/>
          <w:sz w:val="19"/>
          <w:szCs w:val="19"/>
        </w:rPr>
        <w:t xml:space="preserve">ge </w:t>
      </w:r>
      <w:r w:rsidRPr="001D45F2">
        <w:rPr>
          <w:rFonts w:ascii="Arial" w:hAnsi="Arial" w:cs="Arial"/>
          <w:color w:val="auto"/>
          <w:sz w:val="19"/>
          <w:szCs w:val="19"/>
        </w:rPr>
        <w:t xml:space="preserve">connections. </w:t>
      </w:r>
    </w:p>
    <w:p w14:paraId="0580CE04" w14:textId="77777777" w:rsidR="004B59BA" w:rsidRPr="00345D90" w:rsidRDefault="004B59BA" w:rsidP="004B59BA">
      <w:pPr>
        <w:pStyle w:val="Body"/>
        <w:rPr>
          <w:rFonts w:ascii="Arial" w:hAnsi="Arial" w:cs="Arial"/>
          <w:color w:val="auto"/>
          <w:sz w:val="17"/>
          <w:szCs w:val="17"/>
        </w:rPr>
      </w:pPr>
    </w:p>
    <w:p w14:paraId="396C19A3" w14:textId="37C039E7" w:rsidR="004B59BA" w:rsidRDefault="004B59BA" w:rsidP="004B59BA">
      <w:pPr>
        <w:pStyle w:val="Footnote"/>
      </w:pPr>
      <w:r w:rsidRPr="00DC3004">
        <w:t xml:space="preserve">Source: Company </w:t>
      </w:r>
      <w:r w:rsidR="006F634A">
        <w:t>files</w:t>
      </w:r>
      <w:r w:rsidRPr="00261A16">
        <w:t>.</w:t>
      </w:r>
    </w:p>
    <w:p w14:paraId="0320662C" w14:textId="77777777" w:rsidR="004B59BA" w:rsidRDefault="004B59BA" w:rsidP="004B59BA">
      <w:pPr>
        <w:pStyle w:val="Footnote"/>
      </w:pPr>
    </w:p>
    <w:p w14:paraId="0CFC654D" w14:textId="77777777" w:rsidR="004B59BA" w:rsidRPr="00261A16" w:rsidRDefault="004B59BA" w:rsidP="004B59BA">
      <w:pPr>
        <w:pStyle w:val="Footnote"/>
      </w:pPr>
    </w:p>
    <w:p w14:paraId="49C7011C" w14:textId="77777777" w:rsidR="004B59BA" w:rsidRPr="00C355DE" w:rsidRDefault="004B59BA" w:rsidP="004B59BA">
      <w:pPr>
        <w:pStyle w:val="ExhibitHeading"/>
        <w:rPr>
          <w:color w:val="000000"/>
        </w:rPr>
      </w:pPr>
      <w:r w:rsidRPr="00C355DE">
        <w:t>Exhibit 2: Manufacturing at Ratnagiri</w:t>
      </w:r>
    </w:p>
    <w:p w14:paraId="72825A3D" w14:textId="77777777" w:rsidR="004B59BA" w:rsidRPr="0054339A" w:rsidRDefault="004B59BA" w:rsidP="004B59BA">
      <w:pPr>
        <w:pStyle w:val="Body"/>
        <w:rPr>
          <w:rFonts w:ascii="Arial" w:eastAsia="Times New Roman" w:hAnsi="Arial" w:cs="Arial"/>
          <w:b/>
          <w:bCs/>
          <w:sz w:val="16"/>
          <w:szCs w:val="18"/>
        </w:rPr>
      </w:pPr>
    </w:p>
    <w:p w14:paraId="0DCCC73B" w14:textId="7777777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Arial Unicode MS" w:hAnsi="Arial" w:cs="Arial"/>
          <w:color w:val="000000"/>
          <w:spacing w:val="-2"/>
          <w:kern w:val="20"/>
          <w:sz w:val="19"/>
          <w:szCs w:val="19"/>
        </w:rPr>
      </w:pPr>
      <w:r w:rsidRPr="00345D90">
        <w:rPr>
          <w:rFonts w:ascii="Arial" w:hAnsi="Arial" w:cs="Arial"/>
          <w:color w:val="000000"/>
          <w:spacing w:val="-2"/>
          <w:kern w:val="20"/>
          <w:sz w:val="19"/>
          <w:szCs w:val="19"/>
        </w:rPr>
        <w:t>Ratnagiri was a port city on the Arabian Sea in the western part of Maharashtra, India, and was home to three major companies: Finolex, UltraTech Cement, and JSW. The region had fertile alluvial soil and produced abundant rice, coconuts, cashew nuts, and fruits, with Hāpus (Alphonso) mangoes being one of the main varieties. Fishing was an important industry in Ratnagiri.</w:t>
      </w:r>
    </w:p>
    <w:p w14:paraId="0403D9A9" w14:textId="77777777" w:rsidR="004B59BA" w:rsidRPr="0054339A"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pacing w:val="-2"/>
          <w:kern w:val="20"/>
          <w:sz w:val="17"/>
          <w:szCs w:val="19"/>
        </w:rPr>
      </w:pPr>
    </w:p>
    <w:p w14:paraId="22C1D6DA" w14:textId="7777777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r w:rsidRPr="00345D90">
        <w:rPr>
          <w:rFonts w:ascii="Arial" w:hAnsi="Arial" w:cs="Arial"/>
          <w:color w:val="000000"/>
          <w:spacing w:val="-2"/>
          <w:kern w:val="20"/>
          <w:sz w:val="19"/>
          <w:szCs w:val="19"/>
        </w:rPr>
        <w:t xml:space="preserve">The Ratnagiri plant manufactured PVC resin and PVC pipes. The plant started operations in 1994, and by 2016 had the capacity to manufacture 272,000 MTPA of PVC resin. The plant was spread over 264 acres. </w:t>
      </w:r>
    </w:p>
    <w:p w14:paraId="015C345A" w14:textId="77777777" w:rsidR="004B59BA" w:rsidRPr="0054339A"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7"/>
          <w:szCs w:val="19"/>
        </w:rPr>
      </w:pPr>
    </w:p>
    <w:p w14:paraId="49511B4A" w14:textId="150B9128"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r w:rsidRPr="00345D90">
        <w:rPr>
          <w:rFonts w:ascii="Arial" w:hAnsi="Arial" w:cs="Arial"/>
          <w:color w:val="000000"/>
          <w:spacing w:val="-2"/>
          <w:kern w:val="20"/>
          <w:sz w:val="19"/>
          <w:szCs w:val="19"/>
        </w:rPr>
        <w:t xml:space="preserve">The Ratnagiri plant </w:t>
      </w:r>
      <w:r w:rsidR="001A653C">
        <w:rPr>
          <w:rFonts w:ascii="Arial" w:hAnsi="Arial" w:cs="Arial"/>
          <w:color w:val="000000"/>
          <w:spacing w:val="-2"/>
          <w:kern w:val="20"/>
          <w:sz w:val="19"/>
          <w:szCs w:val="19"/>
        </w:rPr>
        <w:t>had</w:t>
      </w:r>
      <w:r w:rsidRPr="00345D90">
        <w:rPr>
          <w:rFonts w:ascii="Arial" w:hAnsi="Arial" w:cs="Arial"/>
          <w:color w:val="000000"/>
          <w:spacing w:val="-2"/>
          <w:kern w:val="20"/>
          <w:sz w:val="19"/>
          <w:szCs w:val="19"/>
        </w:rPr>
        <w:t xml:space="preserve"> two jetties: one for raw materials such as</w:t>
      </w:r>
      <w:r w:rsidR="00B1646C">
        <w:rPr>
          <w:rFonts w:ascii="Arial" w:hAnsi="Arial" w:cs="Arial"/>
          <w:color w:val="000000"/>
          <w:spacing w:val="-2"/>
          <w:kern w:val="20"/>
          <w:sz w:val="19"/>
          <w:szCs w:val="19"/>
        </w:rPr>
        <w:t xml:space="preserve"> ethylene dichloride</w:t>
      </w:r>
      <w:r w:rsidRPr="00345D90">
        <w:rPr>
          <w:rFonts w:ascii="Arial" w:hAnsi="Arial" w:cs="Arial"/>
          <w:color w:val="000000"/>
          <w:spacing w:val="-2"/>
          <w:kern w:val="20"/>
          <w:sz w:val="19"/>
          <w:szCs w:val="19"/>
        </w:rPr>
        <w:t xml:space="preserve"> </w:t>
      </w:r>
      <w:r w:rsidR="00B1646C">
        <w:rPr>
          <w:rFonts w:ascii="Arial" w:hAnsi="Arial" w:cs="Arial"/>
          <w:color w:val="000000"/>
          <w:spacing w:val="-2"/>
          <w:kern w:val="20"/>
          <w:sz w:val="19"/>
          <w:szCs w:val="19"/>
        </w:rPr>
        <w:t>(</w:t>
      </w:r>
      <w:r w:rsidRPr="00345D90">
        <w:rPr>
          <w:rFonts w:ascii="Arial" w:hAnsi="Arial" w:cs="Arial"/>
          <w:color w:val="000000"/>
          <w:spacing w:val="-2"/>
          <w:kern w:val="20"/>
          <w:sz w:val="19"/>
          <w:szCs w:val="19"/>
        </w:rPr>
        <w:t>EDC</w:t>
      </w:r>
      <w:r w:rsidR="00B1646C">
        <w:rPr>
          <w:rFonts w:ascii="Arial" w:hAnsi="Arial" w:cs="Arial"/>
          <w:color w:val="000000"/>
          <w:spacing w:val="-2"/>
          <w:kern w:val="20"/>
          <w:sz w:val="19"/>
          <w:szCs w:val="19"/>
        </w:rPr>
        <w:t>)</w:t>
      </w:r>
      <w:r w:rsidRPr="00345D90">
        <w:rPr>
          <w:rFonts w:ascii="Arial" w:hAnsi="Arial" w:cs="Arial"/>
          <w:color w:val="000000"/>
          <w:spacing w:val="-2"/>
          <w:kern w:val="20"/>
          <w:sz w:val="19"/>
          <w:szCs w:val="19"/>
        </w:rPr>
        <w:t>, ethylene, and</w:t>
      </w:r>
      <w:r w:rsidR="00B1646C">
        <w:rPr>
          <w:rFonts w:ascii="Arial" w:hAnsi="Arial" w:cs="Arial"/>
          <w:color w:val="000000"/>
          <w:spacing w:val="-2"/>
          <w:kern w:val="20"/>
          <w:sz w:val="19"/>
          <w:szCs w:val="19"/>
        </w:rPr>
        <w:t xml:space="preserve"> vinyl chloride monomer</w:t>
      </w:r>
      <w:r w:rsidRPr="00345D90">
        <w:rPr>
          <w:rFonts w:ascii="Arial" w:hAnsi="Arial" w:cs="Arial"/>
          <w:color w:val="000000"/>
          <w:spacing w:val="-2"/>
          <w:kern w:val="20"/>
          <w:sz w:val="19"/>
          <w:szCs w:val="19"/>
        </w:rPr>
        <w:t xml:space="preserve"> </w:t>
      </w:r>
      <w:r w:rsidR="00CF5CC6">
        <w:rPr>
          <w:rFonts w:ascii="Arial" w:hAnsi="Arial" w:cs="Arial"/>
          <w:color w:val="000000"/>
          <w:spacing w:val="-2"/>
          <w:kern w:val="20"/>
          <w:sz w:val="19"/>
          <w:szCs w:val="19"/>
        </w:rPr>
        <w:t>(</w:t>
      </w:r>
      <w:r w:rsidRPr="00345D90">
        <w:rPr>
          <w:rFonts w:ascii="Arial" w:hAnsi="Arial" w:cs="Arial"/>
          <w:color w:val="000000"/>
          <w:spacing w:val="-2"/>
          <w:kern w:val="20"/>
          <w:sz w:val="19"/>
          <w:szCs w:val="19"/>
        </w:rPr>
        <w:t>VCM</w:t>
      </w:r>
      <w:r w:rsidR="00CF5CC6">
        <w:rPr>
          <w:rFonts w:ascii="Arial" w:hAnsi="Arial" w:cs="Arial"/>
          <w:color w:val="000000"/>
          <w:spacing w:val="-2"/>
          <w:kern w:val="20"/>
          <w:sz w:val="19"/>
          <w:szCs w:val="19"/>
        </w:rPr>
        <w:t>)</w:t>
      </w:r>
      <w:r w:rsidRPr="00345D90">
        <w:rPr>
          <w:rFonts w:ascii="Arial" w:hAnsi="Arial" w:cs="Arial"/>
          <w:color w:val="000000"/>
          <w:spacing w:val="-2"/>
          <w:kern w:val="20"/>
          <w:sz w:val="19"/>
          <w:szCs w:val="19"/>
        </w:rPr>
        <w:t>, and the other for coal (imported from Indonesia). EDC, ethylene, and VCM were unloaded from ships and carried to the plant. The raw material needed to be transported cautiously, as it was highly combustible. It was unloaded from the ships using a ship pump, which was connected to a sophisticated, imported, hydraulically operated unloading arm. It was transported to terminal storage tanks through pipes and further to the plant. L</w:t>
      </w:r>
      <w:r w:rsidR="00B1646C">
        <w:rPr>
          <w:rFonts w:ascii="Arial" w:hAnsi="Arial" w:cs="Arial"/>
          <w:color w:val="000000"/>
          <w:spacing w:val="-2"/>
          <w:kern w:val="20"/>
          <w:sz w:val="19"/>
          <w:szCs w:val="19"/>
        </w:rPr>
        <w:t>ower explosive limit</w:t>
      </w:r>
      <w:r w:rsidRPr="00345D90">
        <w:rPr>
          <w:rFonts w:ascii="Arial" w:hAnsi="Arial" w:cs="Arial"/>
          <w:color w:val="000000"/>
          <w:spacing w:val="-2"/>
          <w:kern w:val="20"/>
          <w:sz w:val="19"/>
          <w:szCs w:val="19"/>
        </w:rPr>
        <w:t xml:space="preserve"> detectors were installed at strategic points to detect leaks. Firefighting facilities and safety appliances were available in case of any fire hazard. </w:t>
      </w:r>
    </w:p>
    <w:p w14:paraId="785D0542" w14:textId="4A4EA4A5" w:rsidR="001A653C" w:rsidRPr="00345D90" w:rsidRDefault="001A653C"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p>
    <w:p w14:paraId="17573680" w14:textId="77CC7256" w:rsidR="004B59BA" w:rsidRPr="00345D90" w:rsidRDefault="00B1646C"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r>
        <w:rPr>
          <w:rFonts w:ascii="Arial" w:hAnsi="Arial" w:cs="Arial"/>
          <w:color w:val="000000"/>
          <w:spacing w:val="-2"/>
          <w:kern w:val="20"/>
          <w:sz w:val="19"/>
          <w:szCs w:val="19"/>
        </w:rPr>
        <w:t xml:space="preserve">Coal was brought by a ship that berthed in the deep sea. </w:t>
      </w:r>
      <w:r w:rsidR="00BC498A">
        <w:rPr>
          <w:rFonts w:ascii="Arial" w:hAnsi="Arial" w:cs="Arial"/>
          <w:color w:val="000000"/>
          <w:spacing w:val="-2"/>
          <w:kern w:val="20"/>
          <w:sz w:val="19"/>
          <w:szCs w:val="19"/>
        </w:rPr>
        <w:t xml:space="preserve">It </w:t>
      </w:r>
      <w:r w:rsidR="004B59BA" w:rsidRPr="00345D90">
        <w:rPr>
          <w:rFonts w:ascii="Arial" w:hAnsi="Arial" w:cs="Arial"/>
          <w:color w:val="000000"/>
          <w:spacing w:val="-2"/>
          <w:kern w:val="20"/>
          <w:sz w:val="19"/>
          <w:szCs w:val="19"/>
        </w:rPr>
        <w:t>was transported from the ship to the jetty by smaller vessels and then loaded onto the conveyor belt by automatically operated grab cranes. Water was sprinkled to ensure that coal dust was not formed. Coal was transported to the plant by means of a piped conveyor belt that ensured that no coal dust was let into the atmosphere.</w:t>
      </w:r>
    </w:p>
    <w:p w14:paraId="07D28FF0" w14:textId="7777777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p>
    <w:p w14:paraId="33E8AFF2" w14:textId="7E4270E2"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r w:rsidRPr="00345D90">
        <w:rPr>
          <w:rFonts w:ascii="Arial" w:hAnsi="Arial" w:cs="Arial"/>
          <w:color w:val="000000"/>
          <w:spacing w:val="-2"/>
          <w:kern w:val="20"/>
          <w:sz w:val="19"/>
          <w:szCs w:val="19"/>
        </w:rPr>
        <w:t xml:space="preserve">The seminal tank area had a large capacity to store 10,000 MT of </w:t>
      </w:r>
      <w:r w:rsidR="00B1646C">
        <w:rPr>
          <w:rFonts w:ascii="Arial" w:hAnsi="Arial" w:cs="Arial"/>
          <w:color w:val="000000"/>
          <w:spacing w:val="-2"/>
          <w:kern w:val="20"/>
          <w:sz w:val="19"/>
          <w:szCs w:val="19"/>
        </w:rPr>
        <w:t>liquid petroleum gas</w:t>
      </w:r>
      <w:r w:rsidRPr="00345D90">
        <w:rPr>
          <w:rFonts w:ascii="Arial" w:hAnsi="Arial" w:cs="Arial"/>
          <w:color w:val="000000"/>
          <w:spacing w:val="-2"/>
          <w:kern w:val="20"/>
          <w:sz w:val="19"/>
          <w:szCs w:val="19"/>
        </w:rPr>
        <w:t>, 30,000 MT of ethylene, 14,000 MT of EDC, and 8,000 MT of VCM.</w:t>
      </w:r>
    </w:p>
    <w:p w14:paraId="00B2B4E1" w14:textId="7777777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p>
    <w:p w14:paraId="62D1C6AC" w14:textId="794B400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r w:rsidRPr="00345D90">
        <w:rPr>
          <w:rFonts w:ascii="Arial" w:hAnsi="Arial" w:cs="Arial"/>
          <w:color w:val="000000"/>
          <w:spacing w:val="-2"/>
          <w:kern w:val="20"/>
          <w:sz w:val="19"/>
          <w:szCs w:val="19"/>
        </w:rPr>
        <w:t xml:space="preserve">A captive power plant with a capacity of 43 </w:t>
      </w:r>
      <w:r w:rsidR="00BD0978">
        <w:rPr>
          <w:rFonts w:ascii="Arial" w:hAnsi="Arial" w:cs="Arial"/>
          <w:color w:val="000000"/>
          <w:spacing w:val="-2"/>
          <w:kern w:val="20"/>
          <w:sz w:val="19"/>
          <w:szCs w:val="19"/>
        </w:rPr>
        <w:t>megawatts</w:t>
      </w:r>
      <w:r w:rsidRPr="00345D90">
        <w:rPr>
          <w:rFonts w:ascii="Arial" w:hAnsi="Arial" w:cs="Arial"/>
          <w:color w:val="000000"/>
          <w:spacing w:val="-2"/>
          <w:kern w:val="20"/>
          <w:sz w:val="19"/>
          <w:szCs w:val="19"/>
        </w:rPr>
        <w:t xml:space="preserve"> </w:t>
      </w:r>
      <w:r w:rsidR="00BC498A">
        <w:rPr>
          <w:rFonts w:ascii="Arial" w:hAnsi="Arial" w:cs="Arial"/>
          <w:color w:val="000000"/>
          <w:spacing w:val="-2"/>
          <w:kern w:val="20"/>
          <w:sz w:val="19"/>
          <w:szCs w:val="19"/>
        </w:rPr>
        <w:t xml:space="preserve">was </w:t>
      </w:r>
      <w:r w:rsidRPr="00345D90">
        <w:rPr>
          <w:rFonts w:ascii="Arial" w:hAnsi="Arial" w:cs="Arial"/>
          <w:color w:val="000000"/>
          <w:spacing w:val="-2"/>
          <w:kern w:val="20"/>
          <w:sz w:val="19"/>
          <w:szCs w:val="19"/>
        </w:rPr>
        <w:t>installed to take care of the electricity needs of the plant and reduce dependence on the Maharashtra State Electricity Board (MSEB, a government utility) grid. The coal brought in through ships was used to generate high-pressure steam, which drove the turbine to produce power. Indonesian coal was preferred, as it had a higher combustion capacity and very low ash content. A part of the produced electricity was exported to another Finolex plant in Urse, through an open access system, and a small part was injected into the MSEB grid. Steam generated from the boiler was also supplied to the PVC plant. The fly ash generated from the burning of coal was captured by electrostatic precipitators to prevent air pollution. The collected ash was sold mainly to cement and brick manufacturers.</w:t>
      </w:r>
    </w:p>
    <w:p w14:paraId="24BF9166" w14:textId="77777777" w:rsidR="004B59BA" w:rsidRPr="0054339A"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7"/>
          <w:szCs w:val="19"/>
        </w:rPr>
      </w:pPr>
    </w:p>
    <w:p w14:paraId="6439BDFC" w14:textId="56E4573C"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r w:rsidRPr="00345D90">
        <w:rPr>
          <w:rFonts w:ascii="Arial" w:hAnsi="Arial" w:cs="Arial"/>
          <w:color w:val="000000"/>
          <w:spacing w:val="-2"/>
          <w:kern w:val="20"/>
          <w:sz w:val="19"/>
          <w:szCs w:val="19"/>
        </w:rPr>
        <w:t xml:space="preserve">Two large surface reservoirs </w:t>
      </w:r>
      <w:r w:rsidR="00BC498A">
        <w:rPr>
          <w:rFonts w:ascii="Arial" w:hAnsi="Arial" w:cs="Arial"/>
          <w:color w:val="000000"/>
          <w:spacing w:val="-2"/>
          <w:kern w:val="20"/>
          <w:sz w:val="19"/>
          <w:szCs w:val="19"/>
        </w:rPr>
        <w:t>were</w:t>
      </w:r>
      <w:r w:rsidRPr="00345D90">
        <w:rPr>
          <w:rFonts w:ascii="Arial" w:hAnsi="Arial" w:cs="Arial"/>
          <w:color w:val="000000"/>
          <w:spacing w:val="-2"/>
          <w:kern w:val="20"/>
          <w:sz w:val="19"/>
          <w:szCs w:val="19"/>
        </w:rPr>
        <w:t xml:space="preserve"> built using natural contours for storing water for use in the process</w:t>
      </w:r>
      <w:r w:rsidR="001A653C">
        <w:rPr>
          <w:rFonts w:ascii="Arial" w:hAnsi="Arial" w:cs="Arial"/>
          <w:color w:val="000000"/>
          <w:spacing w:val="-2"/>
          <w:kern w:val="20"/>
          <w:sz w:val="19"/>
          <w:szCs w:val="19"/>
        </w:rPr>
        <w:t>ing</w:t>
      </w:r>
      <w:r w:rsidRPr="00345D90">
        <w:rPr>
          <w:rFonts w:ascii="Arial" w:hAnsi="Arial" w:cs="Arial"/>
          <w:color w:val="000000"/>
          <w:spacing w:val="-2"/>
          <w:kern w:val="20"/>
          <w:sz w:val="19"/>
          <w:szCs w:val="19"/>
        </w:rPr>
        <w:t xml:space="preserve"> plant. Water was pumped to the reservoirs from the nearby river, on which a dam had been built by Finolex. The pumping line was a seven-kilometre-long PVC line, laid underground from the pumping station near the river dam to the plant. </w:t>
      </w:r>
    </w:p>
    <w:p w14:paraId="163A54C6" w14:textId="77777777" w:rsidR="004B59BA" w:rsidRDefault="00345D90" w:rsidP="00345D90">
      <w:pPr>
        <w:pStyle w:val="ExhibitHeading"/>
      </w:pPr>
      <w:r>
        <w:lastRenderedPageBreak/>
        <w:t>Exhibit 2 (Continued)</w:t>
      </w:r>
    </w:p>
    <w:p w14:paraId="56D2FCCE" w14:textId="77777777" w:rsidR="00345D90" w:rsidRDefault="00345D90"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pacing w:val="-2"/>
          <w:kern w:val="20"/>
          <w:sz w:val="19"/>
          <w:szCs w:val="19"/>
        </w:rPr>
      </w:pPr>
    </w:p>
    <w:p w14:paraId="177ADA7D" w14:textId="5607399C" w:rsidR="009B1F32" w:rsidRDefault="004B59BA" w:rsidP="00DA25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pacing w:val="-2"/>
          <w:kern w:val="20"/>
          <w:sz w:val="19"/>
          <w:szCs w:val="19"/>
        </w:rPr>
      </w:pPr>
      <w:r w:rsidRPr="00345D90">
        <w:rPr>
          <w:rFonts w:ascii="Arial" w:hAnsi="Arial" w:cs="Arial"/>
          <w:color w:val="000000"/>
          <w:spacing w:val="-2"/>
          <w:kern w:val="20"/>
          <w:sz w:val="19"/>
          <w:szCs w:val="19"/>
        </w:rPr>
        <w:t>The Ratnagiri plant manufactured PVC resin through</w:t>
      </w:r>
      <w:r w:rsidR="009B1F32">
        <w:rPr>
          <w:rFonts w:ascii="Arial" w:hAnsi="Arial" w:cs="Arial"/>
          <w:color w:val="000000"/>
          <w:spacing w:val="-2"/>
          <w:kern w:val="20"/>
          <w:sz w:val="19"/>
          <w:szCs w:val="19"/>
        </w:rPr>
        <w:t xml:space="preserve"> three plants</w:t>
      </w:r>
      <w:r w:rsidR="00BC498A">
        <w:rPr>
          <w:rFonts w:ascii="Arial" w:hAnsi="Arial" w:cs="Arial"/>
          <w:color w:val="000000"/>
          <w:spacing w:val="-2"/>
          <w:kern w:val="20"/>
          <w:sz w:val="19"/>
          <w:szCs w:val="19"/>
        </w:rPr>
        <w:t>—</w:t>
      </w:r>
      <w:r w:rsidR="009B1F32">
        <w:rPr>
          <w:rFonts w:ascii="Arial" w:hAnsi="Arial" w:cs="Arial"/>
          <w:color w:val="000000"/>
          <w:spacing w:val="-2"/>
          <w:kern w:val="20"/>
          <w:sz w:val="19"/>
          <w:szCs w:val="19"/>
        </w:rPr>
        <w:t>a</w:t>
      </w:r>
      <w:r w:rsidR="00980120">
        <w:rPr>
          <w:rFonts w:ascii="Arial" w:hAnsi="Arial" w:cs="Arial"/>
          <w:color w:val="000000"/>
          <w:spacing w:val="-2"/>
          <w:kern w:val="20"/>
          <w:sz w:val="19"/>
          <w:szCs w:val="19"/>
        </w:rPr>
        <w:t xml:space="preserve"> </w:t>
      </w:r>
      <w:r w:rsidRPr="00345D90">
        <w:rPr>
          <w:rFonts w:ascii="Arial" w:hAnsi="Arial" w:cs="Arial"/>
          <w:color w:val="000000"/>
          <w:spacing w:val="-2"/>
          <w:kern w:val="20"/>
          <w:sz w:val="19"/>
          <w:szCs w:val="19"/>
        </w:rPr>
        <w:t>VCM plant, a</w:t>
      </w:r>
      <w:r w:rsidR="009B1F32">
        <w:rPr>
          <w:rFonts w:ascii="Arial" w:hAnsi="Arial" w:cs="Arial"/>
          <w:color w:val="000000"/>
          <w:spacing w:val="-2"/>
          <w:kern w:val="20"/>
          <w:sz w:val="19"/>
          <w:szCs w:val="19"/>
        </w:rPr>
        <w:t xml:space="preserve"> </w:t>
      </w:r>
      <w:r w:rsidR="00D5705A">
        <w:rPr>
          <w:rFonts w:ascii="Arial" w:hAnsi="Arial" w:cs="Arial"/>
          <w:color w:val="000000"/>
          <w:spacing w:val="-2"/>
          <w:kern w:val="20"/>
          <w:sz w:val="19"/>
          <w:szCs w:val="19"/>
        </w:rPr>
        <w:t>suspension pol</w:t>
      </w:r>
      <w:r w:rsidR="00980120">
        <w:rPr>
          <w:rFonts w:ascii="Arial" w:hAnsi="Arial" w:cs="Arial"/>
          <w:color w:val="000000"/>
          <w:spacing w:val="-2"/>
          <w:kern w:val="20"/>
          <w:sz w:val="19"/>
          <w:szCs w:val="19"/>
        </w:rPr>
        <w:t>y</w:t>
      </w:r>
      <w:r w:rsidR="007F1C9F">
        <w:rPr>
          <w:rFonts w:ascii="Arial" w:hAnsi="Arial" w:cs="Arial"/>
          <w:color w:val="000000"/>
          <w:spacing w:val="-2"/>
          <w:kern w:val="20"/>
          <w:sz w:val="19"/>
          <w:szCs w:val="19"/>
        </w:rPr>
        <w:t xml:space="preserve">vinyl chloride </w:t>
      </w:r>
      <w:r w:rsidR="009B1F32">
        <w:rPr>
          <w:rFonts w:ascii="Arial" w:hAnsi="Arial" w:cs="Arial"/>
          <w:color w:val="000000"/>
          <w:spacing w:val="-2"/>
          <w:kern w:val="20"/>
          <w:sz w:val="19"/>
          <w:szCs w:val="19"/>
        </w:rPr>
        <w:t>plant</w:t>
      </w:r>
      <w:r w:rsidR="00BC498A">
        <w:rPr>
          <w:rFonts w:ascii="Arial" w:hAnsi="Arial" w:cs="Arial"/>
          <w:color w:val="000000"/>
          <w:spacing w:val="-2"/>
          <w:kern w:val="20"/>
          <w:sz w:val="19"/>
          <w:szCs w:val="19"/>
        </w:rPr>
        <w:t>,</w:t>
      </w:r>
      <w:r w:rsidR="009B1F32">
        <w:rPr>
          <w:rFonts w:ascii="Arial" w:hAnsi="Arial" w:cs="Arial"/>
          <w:color w:val="000000"/>
          <w:spacing w:val="-2"/>
          <w:kern w:val="20"/>
          <w:sz w:val="19"/>
          <w:szCs w:val="19"/>
        </w:rPr>
        <w:t xml:space="preserve"> </w:t>
      </w:r>
      <w:r w:rsidRPr="00345D90">
        <w:rPr>
          <w:rFonts w:ascii="Arial" w:hAnsi="Arial" w:cs="Arial"/>
          <w:color w:val="000000"/>
          <w:spacing w:val="-2"/>
          <w:kern w:val="20"/>
          <w:sz w:val="19"/>
          <w:szCs w:val="19"/>
        </w:rPr>
        <w:t>and</w:t>
      </w:r>
      <w:r w:rsidR="00980120">
        <w:rPr>
          <w:rFonts w:ascii="Arial" w:hAnsi="Arial" w:cs="Arial"/>
          <w:color w:val="000000"/>
          <w:spacing w:val="-2"/>
          <w:kern w:val="20"/>
          <w:sz w:val="19"/>
          <w:szCs w:val="19"/>
        </w:rPr>
        <w:t xml:space="preserve"> emulsion</w:t>
      </w:r>
      <w:r w:rsidRPr="00345D90">
        <w:rPr>
          <w:rFonts w:ascii="Arial" w:hAnsi="Arial" w:cs="Arial"/>
          <w:color w:val="000000"/>
          <w:spacing w:val="-2"/>
          <w:kern w:val="20"/>
          <w:sz w:val="19"/>
          <w:szCs w:val="19"/>
        </w:rPr>
        <w:t xml:space="preserve"> </w:t>
      </w:r>
      <w:r w:rsidR="00980120">
        <w:rPr>
          <w:rFonts w:ascii="Arial" w:hAnsi="Arial" w:cs="Arial"/>
          <w:color w:val="000000"/>
          <w:spacing w:val="-2"/>
          <w:kern w:val="20"/>
          <w:sz w:val="19"/>
          <w:szCs w:val="19"/>
        </w:rPr>
        <w:t>poly</w:t>
      </w:r>
      <w:r w:rsidR="007F1C9F">
        <w:rPr>
          <w:rFonts w:ascii="Arial" w:hAnsi="Arial" w:cs="Arial"/>
          <w:color w:val="000000"/>
          <w:spacing w:val="-2"/>
          <w:kern w:val="20"/>
          <w:sz w:val="19"/>
          <w:szCs w:val="19"/>
        </w:rPr>
        <w:t xml:space="preserve">vinyl chloride </w:t>
      </w:r>
      <w:r w:rsidRPr="00345D90">
        <w:rPr>
          <w:rFonts w:ascii="Arial" w:hAnsi="Arial" w:cs="Arial"/>
          <w:color w:val="000000"/>
          <w:spacing w:val="-2"/>
          <w:kern w:val="20"/>
          <w:sz w:val="19"/>
          <w:szCs w:val="19"/>
        </w:rPr>
        <w:t xml:space="preserve">plant. Additionally, there was a plant for manufacturing PVC pipes. The technology for resin production </w:t>
      </w:r>
      <w:r w:rsidR="00BC498A">
        <w:rPr>
          <w:rFonts w:ascii="Arial" w:hAnsi="Arial" w:cs="Arial"/>
          <w:color w:val="000000"/>
          <w:spacing w:val="-2"/>
          <w:kern w:val="20"/>
          <w:sz w:val="19"/>
          <w:szCs w:val="19"/>
        </w:rPr>
        <w:t>was</w:t>
      </w:r>
      <w:r w:rsidRPr="00345D90">
        <w:rPr>
          <w:rFonts w:ascii="Arial" w:hAnsi="Arial" w:cs="Arial"/>
          <w:color w:val="000000"/>
          <w:spacing w:val="-2"/>
          <w:kern w:val="20"/>
          <w:sz w:val="19"/>
          <w:szCs w:val="19"/>
        </w:rPr>
        <w:t xml:space="preserve"> provided by Hoechst AG of Germany. </w:t>
      </w:r>
    </w:p>
    <w:p w14:paraId="6D231A76" w14:textId="77777777" w:rsidR="004B59BA" w:rsidRPr="00345D90" w:rsidRDefault="004B59BA" w:rsidP="00DA25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19"/>
          <w:szCs w:val="19"/>
        </w:rPr>
      </w:pPr>
    </w:p>
    <w:p w14:paraId="76BB215E" w14:textId="7777777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19"/>
          <w:szCs w:val="19"/>
        </w:rPr>
      </w:pPr>
      <w:r w:rsidRPr="00345D90">
        <w:rPr>
          <w:rFonts w:ascii="Arial" w:hAnsi="Arial" w:cs="Arial"/>
          <w:color w:val="000000"/>
          <w:sz w:val="19"/>
          <w:szCs w:val="19"/>
        </w:rPr>
        <w:t>The plant management focused on three key areas—health and safety, occupational health, and the environment. They had an exhaustive health and safety framework that included an onsite emergency management plan; a fixed firefighting system throughout the plant; and a full-fledged fire station manned around the clock by expert fire and safety staff.</w:t>
      </w:r>
    </w:p>
    <w:p w14:paraId="03FC00C6" w14:textId="77777777"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19"/>
          <w:szCs w:val="19"/>
        </w:rPr>
      </w:pPr>
    </w:p>
    <w:p w14:paraId="75B65583" w14:textId="3E72B41A" w:rsidR="004B59BA" w:rsidRPr="00345D90"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MS Gothic" w:hAnsi="Arial" w:cs="Arial"/>
          <w:color w:val="000000"/>
          <w:sz w:val="19"/>
          <w:szCs w:val="19"/>
        </w:rPr>
      </w:pPr>
      <w:r w:rsidRPr="00345D90">
        <w:rPr>
          <w:rFonts w:ascii="Arial" w:hAnsi="Arial" w:cs="Arial"/>
          <w:color w:val="000000"/>
          <w:sz w:val="19"/>
          <w:szCs w:val="19"/>
        </w:rPr>
        <w:t>The plant had a health centre manned around the clock by expert nursing staff; a medical officer; a five-bed ward; and necessary equipment and medicines for primary medical aid and surgical emergencies.</w:t>
      </w:r>
      <w:r w:rsidRPr="00345D90">
        <w:rPr>
          <w:rFonts w:ascii="Arial" w:eastAsia="MS Gothic" w:hAnsi="Arial" w:cs="Arial"/>
          <w:color w:val="000000"/>
          <w:sz w:val="19"/>
          <w:szCs w:val="19"/>
        </w:rPr>
        <w:t xml:space="preserve"> </w:t>
      </w:r>
      <w:r w:rsidRPr="00345D90">
        <w:rPr>
          <w:rFonts w:ascii="Arial" w:hAnsi="Arial" w:cs="Arial"/>
          <w:color w:val="000000"/>
          <w:sz w:val="19"/>
          <w:szCs w:val="19"/>
        </w:rPr>
        <w:t>The company developed a green belt over 79 acres surrounding the plant. The plant was equipped with an advanced ambient air-monitoring system; an online area/stack monitoring system; an environment management system; and an ISO-14001-2004 certification for the plant’s environment management system.</w:t>
      </w:r>
    </w:p>
    <w:p w14:paraId="6EFB7B86" w14:textId="77777777" w:rsidR="004B59BA" w:rsidRDefault="004B59BA" w:rsidP="004B5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19"/>
          <w:szCs w:val="19"/>
        </w:rPr>
      </w:pPr>
    </w:p>
    <w:p w14:paraId="40BEA41D" w14:textId="2A066FAF" w:rsidR="00345D90" w:rsidRPr="00C355DE" w:rsidRDefault="001E6BE7" w:rsidP="001E6BE7">
      <w:pPr>
        <w:pStyle w:val="Footnote"/>
      </w:pPr>
      <w:r>
        <w:t>Source: Company files.</w:t>
      </w:r>
    </w:p>
    <w:p w14:paraId="5B0FDF18" w14:textId="77777777" w:rsidR="00DA251A" w:rsidRDefault="00DA251A">
      <w:pPr>
        <w:spacing w:after="200" w:line="276" w:lineRule="auto"/>
        <w:rPr>
          <w:rFonts w:ascii="Arial" w:hAnsi="Arial" w:cs="Arial"/>
          <w:b/>
          <w:caps/>
        </w:rPr>
      </w:pPr>
      <w:r>
        <w:br w:type="page"/>
      </w:r>
    </w:p>
    <w:p w14:paraId="2A80EC05" w14:textId="0FEAF30F" w:rsidR="00C355DE" w:rsidRPr="00DA251A" w:rsidRDefault="00C355DE" w:rsidP="00C355DE">
      <w:pPr>
        <w:pStyle w:val="ExhibitHeading"/>
      </w:pPr>
      <w:r w:rsidRPr="00C355DE">
        <w:lastRenderedPageBreak/>
        <w:t xml:space="preserve">Exhibit </w:t>
      </w:r>
      <w:r w:rsidR="00892773">
        <w:t>3</w:t>
      </w:r>
      <w:r w:rsidRPr="00C355DE">
        <w:t xml:space="preserve">: </w:t>
      </w:r>
      <w:r w:rsidR="00A45C92">
        <w:t xml:space="preserve">finolex </w:t>
      </w:r>
      <w:r w:rsidRPr="00C355DE">
        <w:t xml:space="preserve">Income statement and Balance sheet </w:t>
      </w:r>
      <w:r w:rsidR="00DA251A" w:rsidRPr="00DA251A">
        <w:t>(</w:t>
      </w:r>
      <w:r w:rsidR="00D739E0">
        <w:t xml:space="preserve">In </w:t>
      </w:r>
      <w:r w:rsidR="00DA251A" w:rsidRPr="00DA251A">
        <w:rPr>
          <w:rFonts w:eastAsiaTheme="minorEastAsia"/>
        </w:rPr>
        <w:t>₹ Millions)</w:t>
      </w:r>
    </w:p>
    <w:p w14:paraId="2EEB452C" w14:textId="77777777" w:rsidR="00C355DE" w:rsidRPr="00C355DE" w:rsidRDefault="00C355DE" w:rsidP="00C355DE">
      <w:pPr>
        <w:pStyle w:val="Body"/>
        <w:rPr>
          <w:rFonts w:ascii="Arial" w:eastAsia="Times New Roman" w:hAnsi="Arial" w:cs="Arial"/>
          <w:b/>
          <w:bCs/>
          <w:sz w:val="19"/>
          <w:szCs w:val="19"/>
        </w:rPr>
      </w:pPr>
    </w:p>
    <w:tbl>
      <w:tblPr>
        <w:tblW w:w="8635" w:type="dxa"/>
        <w:jc w:val="center"/>
        <w:tblLook w:val="04A0" w:firstRow="1" w:lastRow="0" w:firstColumn="1" w:lastColumn="0" w:noHBand="0" w:noVBand="1"/>
      </w:tblPr>
      <w:tblGrid>
        <w:gridCol w:w="2097"/>
        <w:gridCol w:w="905"/>
        <w:gridCol w:w="990"/>
        <w:gridCol w:w="990"/>
        <w:gridCol w:w="990"/>
        <w:gridCol w:w="1080"/>
        <w:gridCol w:w="1583"/>
      </w:tblGrid>
      <w:tr w:rsidR="00C355DE" w:rsidRPr="00160BB2" w14:paraId="56ACD5D5" w14:textId="77777777" w:rsidTr="00DA251A">
        <w:trPr>
          <w:trHeight w:val="320"/>
          <w:jc w:val="center"/>
        </w:trPr>
        <w:tc>
          <w:tcPr>
            <w:tcW w:w="8635" w:type="dxa"/>
            <w:gridSpan w:val="7"/>
            <w:tcBorders>
              <w:top w:val="single" w:sz="4" w:space="0" w:color="auto"/>
              <w:left w:val="single" w:sz="4" w:space="0" w:color="auto"/>
              <w:bottom w:val="single" w:sz="4" w:space="0" w:color="auto"/>
              <w:right w:val="single" w:sz="4" w:space="0" w:color="000000"/>
            </w:tcBorders>
            <w:noWrap/>
            <w:vAlign w:val="bottom"/>
            <w:hideMark/>
          </w:tcPr>
          <w:p w14:paraId="12C97C28" w14:textId="77777777" w:rsidR="00C355DE" w:rsidRPr="00160BB2" w:rsidRDefault="00C355DE" w:rsidP="00D07C93">
            <w:pPr>
              <w:jc w:val="center"/>
              <w:rPr>
                <w:rFonts w:ascii="Arial" w:hAnsi="Arial" w:cs="Arial"/>
                <w:b/>
                <w:bCs/>
                <w:color w:val="000000"/>
              </w:rPr>
            </w:pPr>
            <w:r w:rsidRPr="00160BB2">
              <w:rPr>
                <w:rFonts w:ascii="Arial" w:hAnsi="Arial" w:cs="Arial"/>
                <w:b/>
                <w:bCs/>
                <w:color w:val="000000"/>
              </w:rPr>
              <w:t xml:space="preserve">Income </w:t>
            </w:r>
            <w:r w:rsidR="00D07C93">
              <w:rPr>
                <w:rFonts w:ascii="Arial" w:hAnsi="Arial" w:cs="Arial"/>
                <w:b/>
                <w:bCs/>
                <w:color w:val="000000"/>
              </w:rPr>
              <w:t>S</w:t>
            </w:r>
            <w:r w:rsidR="00D07C93" w:rsidRPr="00160BB2">
              <w:rPr>
                <w:rFonts w:ascii="Arial" w:hAnsi="Arial" w:cs="Arial"/>
                <w:b/>
                <w:bCs/>
                <w:color w:val="000000"/>
              </w:rPr>
              <w:t>tatement</w:t>
            </w:r>
          </w:p>
        </w:tc>
      </w:tr>
      <w:tr w:rsidR="00C355DE" w:rsidRPr="00160BB2" w14:paraId="41176764" w14:textId="77777777" w:rsidTr="006F634A">
        <w:trPr>
          <w:trHeight w:val="320"/>
          <w:jc w:val="center"/>
        </w:trPr>
        <w:tc>
          <w:tcPr>
            <w:tcW w:w="2245" w:type="dxa"/>
            <w:vAlign w:val="center"/>
            <w:hideMark/>
          </w:tcPr>
          <w:p w14:paraId="3F943B46" w14:textId="77777777" w:rsidR="00C355DE" w:rsidRPr="00160BB2" w:rsidRDefault="00C355DE">
            <w:pPr>
              <w:rPr>
                <w:rFonts w:ascii="Arial" w:hAnsi="Arial" w:cs="Arial"/>
                <w:b/>
                <w:bCs/>
                <w:color w:val="000000"/>
              </w:rPr>
            </w:pPr>
          </w:p>
        </w:tc>
        <w:tc>
          <w:tcPr>
            <w:tcW w:w="905" w:type="dxa"/>
            <w:vAlign w:val="center"/>
            <w:hideMark/>
          </w:tcPr>
          <w:p w14:paraId="34B2BFAD" w14:textId="647A165A" w:rsidR="00C355DE" w:rsidRPr="00160BB2" w:rsidRDefault="00C355DE" w:rsidP="006F634A">
            <w:pPr>
              <w:jc w:val="center"/>
              <w:rPr>
                <w:rFonts w:ascii="Arial" w:hAnsi="Arial" w:cs="Arial"/>
                <w:b/>
                <w:bCs/>
                <w:color w:val="000000"/>
                <w:lang w:val="en-GB" w:eastAsia="en-GB"/>
              </w:rPr>
            </w:pPr>
            <w:r w:rsidRPr="00160BB2">
              <w:rPr>
                <w:rFonts w:ascii="Arial" w:hAnsi="Arial" w:cs="Arial"/>
                <w:b/>
                <w:color w:val="000000"/>
              </w:rPr>
              <w:t>FY12</w:t>
            </w:r>
          </w:p>
        </w:tc>
        <w:tc>
          <w:tcPr>
            <w:tcW w:w="990" w:type="dxa"/>
            <w:vAlign w:val="center"/>
            <w:hideMark/>
          </w:tcPr>
          <w:p w14:paraId="4870221E" w14:textId="3AB866D1" w:rsidR="00C355DE" w:rsidRPr="00160BB2" w:rsidRDefault="00C355DE" w:rsidP="006F634A">
            <w:pPr>
              <w:jc w:val="center"/>
              <w:rPr>
                <w:rFonts w:ascii="Arial" w:hAnsi="Arial" w:cs="Arial"/>
                <w:b/>
                <w:bCs/>
                <w:color w:val="000000"/>
              </w:rPr>
            </w:pPr>
            <w:r w:rsidRPr="00160BB2">
              <w:rPr>
                <w:rFonts w:ascii="Arial" w:hAnsi="Arial" w:cs="Arial"/>
                <w:b/>
                <w:color w:val="000000"/>
              </w:rPr>
              <w:t>FY13</w:t>
            </w:r>
          </w:p>
        </w:tc>
        <w:tc>
          <w:tcPr>
            <w:tcW w:w="990" w:type="dxa"/>
            <w:vAlign w:val="center"/>
            <w:hideMark/>
          </w:tcPr>
          <w:p w14:paraId="10D9C3AD" w14:textId="4F4D3DE3" w:rsidR="00C355DE" w:rsidRPr="00160BB2" w:rsidRDefault="00C355DE" w:rsidP="006F634A">
            <w:pPr>
              <w:jc w:val="center"/>
              <w:rPr>
                <w:rFonts w:ascii="Arial" w:hAnsi="Arial" w:cs="Arial"/>
                <w:b/>
                <w:bCs/>
                <w:color w:val="000000"/>
              </w:rPr>
            </w:pPr>
            <w:r w:rsidRPr="00160BB2">
              <w:rPr>
                <w:rFonts w:ascii="Arial" w:hAnsi="Arial" w:cs="Arial"/>
                <w:b/>
                <w:color w:val="000000"/>
              </w:rPr>
              <w:t>FY14</w:t>
            </w:r>
          </w:p>
        </w:tc>
        <w:tc>
          <w:tcPr>
            <w:tcW w:w="990" w:type="dxa"/>
            <w:vAlign w:val="center"/>
            <w:hideMark/>
          </w:tcPr>
          <w:p w14:paraId="0D34711C" w14:textId="614BFEC3" w:rsidR="00C355DE" w:rsidRPr="00160BB2" w:rsidRDefault="00C355DE" w:rsidP="006F634A">
            <w:pPr>
              <w:jc w:val="center"/>
              <w:rPr>
                <w:rFonts w:ascii="Arial" w:hAnsi="Arial" w:cs="Arial"/>
                <w:b/>
                <w:bCs/>
                <w:color w:val="000000"/>
              </w:rPr>
            </w:pPr>
            <w:r w:rsidRPr="00160BB2">
              <w:rPr>
                <w:rFonts w:ascii="Arial" w:hAnsi="Arial" w:cs="Arial"/>
                <w:b/>
                <w:color w:val="000000"/>
              </w:rPr>
              <w:t>FY15</w:t>
            </w:r>
          </w:p>
        </w:tc>
        <w:tc>
          <w:tcPr>
            <w:tcW w:w="1080" w:type="dxa"/>
            <w:vAlign w:val="center"/>
            <w:hideMark/>
          </w:tcPr>
          <w:p w14:paraId="2FE3E78F" w14:textId="3B795BC0" w:rsidR="00C355DE" w:rsidRPr="00160BB2" w:rsidRDefault="00C355DE" w:rsidP="006F634A">
            <w:pPr>
              <w:jc w:val="center"/>
              <w:rPr>
                <w:rFonts w:ascii="Arial" w:hAnsi="Arial" w:cs="Arial"/>
                <w:b/>
                <w:bCs/>
                <w:color w:val="000000"/>
              </w:rPr>
            </w:pPr>
            <w:r w:rsidRPr="00160BB2">
              <w:rPr>
                <w:rFonts w:ascii="Arial" w:hAnsi="Arial" w:cs="Arial"/>
                <w:b/>
                <w:color w:val="000000"/>
              </w:rPr>
              <w:t>FY16</w:t>
            </w:r>
          </w:p>
        </w:tc>
        <w:tc>
          <w:tcPr>
            <w:tcW w:w="1435" w:type="dxa"/>
            <w:vAlign w:val="center"/>
            <w:hideMark/>
          </w:tcPr>
          <w:p w14:paraId="55372F1E" w14:textId="07F7B9BE" w:rsidR="00C355DE" w:rsidRPr="00160BB2" w:rsidRDefault="00C355DE" w:rsidP="006F634A">
            <w:pPr>
              <w:jc w:val="center"/>
              <w:rPr>
                <w:rFonts w:ascii="Arial" w:hAnsi="Arial" w:cs="Arial"/>
                <w:b/>
                <w:bCs/>
                <w:color w:val="000000"/>
              </w:rPr>
            </w:pPr>
            <w:r w:rsidRPr="00160BB2">
              <w:rPr>
                <w:rFonts w:ascii="Arial" w:hAnsi="Arial" w:cs="Arial"/>
                <w:b/>
                <w:color w:val="000000"/>
              </w:rPr>
              <w:t>FY16 (cons</w:t>
            </w:r>
            <w:r w:rsidR="00EB405C">
              <w:rPr>
                <w:rFonts w:ascii="Arial" w:hAnsi="Arial" w:cs="Arial"/>
                <w:b/>
                <w:color w:val="000000"/>
              </w:rPr>
              <w:t>olidated</w:t>
            </w:r>
            <w:r w:rsidR="00DA251A">
              <w:rPr>
                <w:rFonts w:ascii="Arial" w:hAnsi="Arial" w:cs="Arial"/>
                <w:b/>
                <w:color w:val="000000"/>
              </w:rPr>
              <w:t>)</w:t>
            </w:r>
          </w:p>
        </w:tc>
      </w:tr>
      <w:tr w:rsidR="00C355DE" w:rsidRPr="00160BB2" w14:paraId="7355EE03" w14:textId="77777777" w:rsidTr="00160BB2">
        <w:trPr>
          <w:trHeight w:val="320"/>
          <w:jc w:val="center"/>
        </w:trPr>
        <w:tc>
          <w:tcPr>
            <w:tcW w:w="2245" w:type="dxa"/>
            <w:vAlign w:val="center"/>
            <w:hideMark/>
          </w:tcPr>
          <w:p w14:paraId="39E64AD5" w14:textId="77777777" w:rsidR="00C355DE" w:rsidRPr="00160BB2" w:rsidRDefault="00C355DE">
            <w:pPr>
              <w:rPr>
                <w:rFonts w:ascii="Arial" w:hAnsi="Arial" w:cs="Arial"/>
                <w:color w:val="000000"/>
              </w:rPr>
            </w:pPr>
            <w:r w:rsidRPr="00160BB2">
              <w:rPr>
                <w:rFonts w:ascii="Arial" w:hAnsi="Arial" w:cs="Arial"/>
                <w:color w:val="000000"/>
              </w:rPr>
              <w:t>Revenue</w:t>
            </w:r>
          </w:p>
        </w:tc>
        <w:tc>
          <w:tcPr>
            <w:tcW w:w="905" w:type="dxa"/>
            <w:vAlign w:val="center"/>
            <w:hideMark/>
          </w:tcPr>
          <w:p w14:paraId="52D1AF9C" w14:textId="77777777" w:rsidR="00C355DE" w:rsidRPr="00160BB2" w:rsidRDefault="00C355DE">
            <w:pPr>
              <w:rPr>
                <w:rFonts w:ascii="Arial" w:hAnsi="Arial" w:cs="Arial"/>
                <w:color w:val="000000"/>
              </w:rPr>
            </w:pPr>
          </w:p>
        </w:tc>
        <w:tc>
          <w:tcPr>
            <w:tcW w:w="990" w:type="dxa"/>
            <w:vAlign w:val="center"/>
            <w:hideMark/>
          </w:tcPr>
          <w:p w14:paraId="514AD288" w14:textId="77777777" w:rsidR="00C355DE" w:rsidRPr="00160BB2" w:rsidRDefault="00C355DE">
            <w:pPr>
              <w:rPr>
                <w:rFonts w:ascii="Arial" w:hAnsi="Arial" w:cs="Arial"/>
                <w:lang w:eastAsia="zh-CN"/>
              </w:rPr>
            </w:pPr>
          </w:p>
        </w:tc>
        <w:tc>
          <w:tcPr>
            <w:tcW w:w="990" w:type="dxa"/>
            <w:vAlign w:val="center"/>
            <w:hideMark/>
          </w:tcPr>
          <w:p w14:paraId="3E7B8399" w14:textId="77777777" w:rsidR="00C355DE" w:rsidRPr="00160BB2" w:rsidRDefault="00C355DE">
            <w:pPr>
              <w:rPr>
                <w:rFonts w:ascii="Arial" w:hAnsi="Arial" w:cs="Arial"/>
                <w:lang w:eastAsia="zh-CN"/>
              </w:rPr>
            </w:pPr>
          </w:p>
        </w:tc>
        <w:tc>
          <w:tcPr>
            <w:tcW w:w="990" w:type="dxa"/>
            <w:vAlign w:val="center"/>
            <w:hideMark/>
          </w:tcPr>
          <w:p w14:paraId="23745668" w14:textId="77777777" w:rsidR="00C355DE" w:rsidRPr="00160BB2" w:rsidRDefault="00C355DE">
            <w:pPr>
              <w:rPr>
                <w:rFonts w:ascii="Arial" w:hAnsi="Arial" w:cs="Arial"/>
                <w:lang w:eastAsia="zh-CN"/>
              </w:rPr>
            </w:pPr>
          </w:p>
        </w:tc>
        <w:tc>
          <w:tcPr>
            <w:tcW w:w="1080" w:type="dxa"/>
            <w:vAlign w:val="center"/>
            <w:hideMark/>
          </w:tcPr>
          <w:p w14:paraId="412394BF" w14:textId="77777777" w:rsidR="00C355DE" w:rsidRPr="00160BB2" w:rsidRDefault="00C355DE">
            <w:pPr>
              <w:rPr>
                <w:rFonts w:ascii="Arial" w:hAnsi="Arial" w:cs="Arial"/>
                <w:lang w:eastAsia="zh-CN"/>
              </w:rPr>
            </w:pPr>
          </w:p>
        </w:tc>
        <w:tc>
          <w:tcPr>
            <w:tcW w:w="1435" w:type="dxa"/>
            <w:vAlign w:val="center"/>
            <w:hideMark/>
          </w:tcPr>
          <w:p w14:paraId="0D0E2960" w14:textId="77777777" w:rsidR="00C355DE" w:rsidRPr="00160BB2" w:rsidRDefault="00C355DE">
            <w:pPr>
              <w:rPr>
                <w:rFonts w:ascii="Arial" w:hAnsi="Arial" w:cs="Arial"/>
                <w:lang w:eastAsia="zh-CN"/>
              </w:rPr>
            </w:pPr>
          </w:p>
        </w:tc>
      </w:tr>
      <w:tr w:rsidR="00C355DE" w:rsidRPr="00160BB2" w14:paraId="6825AEC0" w14:textId="77777777" w:rsidTr="00160BB2">
        <w:trPr>
          <w:trHeight w:val="320"/>
          <w:jc w:val="center"/>
        </w:trPr>
        <w:tc>
          <w:tcPr>
            <w:tcW w:w="2245" w:type="dxa"/>
            <w:vAlign w:val="center"/>
            <w:hideMark/>
          </w:tcPr>
          <w:p w14:paraId="4298D463" w14:textId="77777777" w:rsidR="00C355DE" w:rsidRPr="00160BB2" w:rsidRDefault="00C355DE">
            <w:pPr>
              <w:ind w:firstLineChars="100" w:firstLine="200"/>
              <w:rPr>
                <w:rFonts w:ascii="Arial" w:hAnsi="Arial" w:cs="Arial"/>
                <w:color w:val="000000"/>
                <w:lang w:val="en-GB" w:eastAsia="en-GB"/>
              </w:rPr>
            </w:pPr>
            <w:r w:rsidRPr="00160BB2">
              <w:rPr>
                <w:rFonts w:ascii="Arial" w:hAnsi="Arial" w:cs="Arial"/>
                <w:color w:val="000000"/>
              </w:rPr>
              <w:t xml:space="preserve">PVC </w:t>
            </w:r>
          </w:p>
        </w:tc>
        <w:tc>
          <w:tcPr>
            <w:tcW w:w="905" w:type="dxa"/>
            <w:vAlign w:val="center"/>
            <w:hideMark/>
          </w:tcPr>
          <w:p w14:paraId="7C18B7FF" w14:textId="77777777" w:rsidR="00C355DE" w:rsidRPr="00160BB2" w:rsidRDefault="00C355DE">
            <w:pPr>
              <w:jc w:val="right"/>
              <w:rPr>
                <w:rFonts w:ascii="Arial" w:hAnsi="Arial" w:cs="Arial"/>
                <w:color w:val="000000"/>
              </w:rPr>
            </w:pPr>
            <w:r w:rsidRPr="00160BB2">
              <w:rPr>
                <w:rFonts w:ascii="Arial" w:hAnsi="Arial" w:cs="Arial"/>
                <w:color w:val="000000"/>
              </w:rPr>
              <w:t>14,848</w:t>
            </w:r>
          </w:p>
        </w:tc>
        <w:tc>
          <w:tcPr>
            <w:tcW w:w="990" w:type="dxa"/>
            <w:vAlign w:val="center"/>
            <w:hideMark/>
          </w:tcPr>
          <w:p w14:paraId="5B57B044" w14:textId="77777777" w:rsidR="00C355DE" w:rsidRPr="00160BB2" w:rsidRDefault="00C355DE">
            <w:pPr>
              <w:jc w:val="right"/>
              <w:rPr>
                <w:rFonts w:ascii="Arial" w:hAnsi="Arial" w:cs="Arial"/>
                <w:color w:val="000000"/>
              </w:rPr>
            </w:pPr>
            <w:r w:rsidRPr="00160BB2">
              <w:rPr>
                <w:rFonts w:ascii="Arial" w:hAnsi="Arial" w:cs="Arial"/>
                <w:color w:val="000000"/>
              </w:rPr>
              <w:t>14,910</w:t>
            </w:r>
          </w:p>
        </w:tc>
        <w:tc>
          <w:tcPr>
            <w:tcW w:w="990" w:type="dxa"/>
            <w:vAlign w:val="center"/>
            <w:hideMark/>
          </w:tcPr>
          <w:p w14:paraId="4E11F9A4" w14:textId="77777777" w:rsidR="00C355DE" w:rsidRPr="00160BB2" w:rsidRDefault="00C355DE">
            <w:pPr>
              <w:jc w:val="right"/>
              <w:rPr>
                <w:rFonts w:ascii="Arial" w:hAnsi="Arial" w:cs="Arial"/>
                <w:color w:val="000000"/>
              </w:rPr>
            </w:pPr>
            <w:r w:rsidRPr="00160BB2">
              <w:rPr>
                <w:rFonts w:ascii="Arial" w:hAnsi="Arial" w:cs="Arial"/>
                <w:color w:val="000000"/>
              </w:rPr>
              <w:t>15,637</w:t>
            </w:r>
          </w:p>
        </w:tc>
        <w:tc>
          <w:tcPr>
            <w:tcW w:w="990" w:type="dxa"/>
            <w:vAlign w:val="center"/>
            <w:hideMark/>
          </w:tcPr>
          <w:p w14:paraId="22A2F9B9" w14:textId="77777777" w:rsidR="00C355DE" w:rsidRPr="00160BB2" w:rsidRDefault="00C355DE">
            <w:pPr>
              <w:jc w:val="right"/>
              <w:rPr>
                <w:rFonts w:ascii="Arial" w:hAnsi="Arial" w:cs="Arial"/>
                <w:color w:val="000000"/>
              </w:rPr>
            </w:pPr>
            <w:r w:rsidRPr="00160BB2">
              <w:rPr>
                <w:rFonts w:ascii="Arial" w:hAnsi="Arial" w:cs="Arial"/>
                <w:color w:val="000000"/>
              </w:rPr>
              <w:t>17,130</w:t>
            </w:r>
          </w:p>
        </w:tc>
        <w:tc>
          <w:tcPr>
            <w:tcW w:w="1080" w:type="dxa"/>
            <w:vAlign w:val="center"/>
            <w:hideMark/>
          </w:tcPr>
          <w:p w14:paraId="6152EC52" w14:textId="77777777" w:rsidR="00C355DE" w:rsidRPr="00160BB2" w:rsidRDefault="00C355DE">
            <w:pPr>
              <w:jc w:val="right"/>
              <w:rPr>
                <w:rFonts w:ascii="Arial" w:hAnsi="Arial" w:cs="Arial"/>
                <w:color w:val="000000"/>
              </w:rPr>
            </w:pPr>
            <w:r w:rsidRPr="00160BB2">
              <w:rPr>
                <w:rFonts w:ascii="Arial" w:hAnsi="Arial" w:cs="Arial"/>
                <w:color w:val="000000"/>
              </w:rPr>
              <w:t>15,601</w:t>
            </w:r>
          </w:p>
        </w:tc>
        <w:tc>
          <w:tcPr>
            <w:tcW w:w="1435" w:type="dxa"/>
            <w:vAlign w:val="center"/>
            <w:hideMark/>
          </w:tcPr>
          <w:p w14:paraId="4540F5E2" w14:textId="77777777" w:rsidR="00C355DE" w:rsidRPr="00160BB2" w:rsidRDefault="00C355DE">
            <w:pPr>
              <w:jc w:val="right"/>
              <w:rPr>
                <w:rFonts w:ascii="Arial" w:hAnsi="Arial" w:cs="Arial"/>
                <w:color w:val="000000"/>
              </w:rPr>
            </w:pPr>
            <w:r w:rsidRPr="00160BB2">
              <w:rPr>
                <w:rFonts w:ascii="Arial" w:hAnsi="Arial" w:cs="Arial"/>
                <w:color w:val="000000"/>
              </w:rPr>
              <w:t>14,835</w:t>
            </w:r>
          </w:p>
        </w:tc>
      </w:tr>
      <w:tr w:rsidR="00C355DE" w:rsidRPr="00160BB2" w14:paraId="3847BA1A" w14:textId="77777777" w:rsidTr="00160BB2">
        <w:trPr>
          <w:trHeight w:val="320"/>
          <w:jc w:val="center"/>
        </w:trPr>
        <w:tc>
          <w:tcPr>
            <w:tcW w:w="2245" w:type="dxa"/>
            <w:vAlign w:val="center"/>
            <w:hideMark/>
          </w:tcPr>
          <w:p w14:paraId="08ADD8D1" w14:textId="77777777" w:rsidR="00D07C93" w:rsidRDefault="00C355DE">
            <w:pPr>
              <w:ind w:firstLineChars="100" w:firstLine="200"/>
              <w:rPr>
                <w:rFonts w:ascii="Arial" w:hAnsi="Arial" w:cs="Arial"/>
                <w:color w:val="000000"/>
              </w:rPr>
            </w:pPr>
            <w:r w:rsidRPr="00160BB2">
              <w:rPr>
                <w:rFonts w:ascii="Arial" w:hAnsi="Arial" w:cs="Arial"/>
                <w:color w:val="000000"/>
              </w:rPr>
              <w:t xml:space="preserve">PVC pipes and </w:t>
            </w:r>
            <w:r w:rsidR="00D07C93">
              <w:rPr>
                <w:rFonts w:ascii="Arial" w:hAnsi="Arial" w:cs="Arial"/>
                <w:color w:val="000000"/>
              </w:rPr>
              <w:t xml:space="preserve">  </w:t>
            </w:r>
          </w:p>
          <w:p w14:paraId="10636DF8" w14:textId="77777777" w:rsidR="00C355DE" w:rsidRPr="00160BB2" w:rsidRDefault="00C355DE">
            <w:pPr>
              <w:ind w:firstLineChars="100" w:firstLine="200"/>
              <w:rPr>
                <w:rFonts w:ascii="Arial" w:hAnsi="Arial" w:cs="Arial"/>
                <w:color w:val="000000"/>
              </w:rPr>
            </w:pPr>
            <w:r w:rsidRPr="00160BB2">
              <w:rPr>
                <w:rFonts w:ascii="Arial" w:hAnsi="Arial" w:cs="Arial"/>
                <w:color w:val="000000"/>
              </w:rPr>
              <w:t xml:space="preserve">fittings </w:t>
            </w:r>
          </w:p>
        </w:tc>
        <w:tc>
          <w:tcPr>
            <w:tcW w:w="905" w:type="dxa"/>
            <w:vAlign w:val="center"/>
            <w:hideMark/>
          </w:tcPr>
          <w:p w14:paraId="517E84BB" w14:textId="77777777" w:rsidR="00C355DE" w:rsidRPr="00160BB2" w:rsidRDefault="00C355DE">
            <w:pPr>
              <w:jc w:val="right"/>
              <w:rPr>
                <w:rFonts w:ascii="Arial" w:hAnsi="Arial" w:cs="Arial"/>
                <w:color w:val="000000"/>
              </w:rPr>
            </w:pPr>
            <w:r w:rsidRPr="00160BB2">
              <w:rPr>
                <w:rFonts w:ascii="Arial" w:hAnsi="Arial" w:cs="Arial"/>
                <w:color w:val="000000"/>
              </w:rPr>
              <w:t>9,142</w:t>
            </w:r>
          </w:p>
        </w:tc>
        <w:tc>
          <w:tcPr>
            <w:tcW w:w="990" w:type="dxa"/>
            <w:vAlign w:val="center"/>
            <w:hideMark/>
          </w:tcPr>
          <w:p w14:paraId="7DB6D844" w14:textId="77777777" w:rsidR="00C355DE" w:rsidRPr="00160BB2" w:rsidRDefault="00C355DE">
            <w:pPr>
              <w:jc w:val="right"/>
              <w:rPr>
                <w:rFonts w:ascii="Arial" w:hAnsi="Arial" w:cs="Arial"/>
                <w:color w:val="000000"/>
              </w:rPr>
            </w:pPr>
            <w:r w:rsidRPr="00160BB2">
              <w:rPr>
                <w:rFonts w:ascii="Arial" w:hAnsi="Arial" w:cs="Arial"/>
                <w:color w:val="000000"/>
              </w:rPr>
              <w:t>12,074</w:t>
            </w:r>
          </w:p>
        </w:tc>
        <w:tc>
          <w:tcPr>
            <w:tcW w:w="990" w:type="dxa"/>
            <w:vAlign w:val="center"/>
            <w:hideMark/>
          </w:tcPr>
          <w:p w14:paraId="6A939CD7" w14:textId="2E35205C" w:rsidR="00C355DE" w:rsidRPr="00160BB2" w:rsidRDefault="00C355DE">
            <w:pPr>
              <w:jc w:val="right"/>
              <w:rPr>
                <w:rFonts w:ascii="Arial" w:hAnsi="Arial" w:cs="Arial"/>
                <w:color w:val="000000"/>
              </w:rPr>
            </w:pPr>
            <w:r w:rsidRPr="00160BB2">
              <w:rPr>
                <w:rFonts w:ascii="Arial" w:hAnsi="Arial" w:cs="Arial"/>
                <w:color w:val="000000"/>
              </w:rPr>
              <w:t>13</w:t>
            </w:r>
            <w:r w:rsidR="00EB405C">
              <w:rPr>
                <w:rFonts w:ascii="Arial" w:hAnsi="Arial" w:cs="Arial"/>
                <w:color w:val="000000"/>
              </w:rPr>
              <w:t>,</w:t>
            </w:r>
            <w:r w:rsidRPr="00160BB2">
              <w:rPr>
                <w:rFonts w:ascii="Arial" w:hAnsi="Arial" w:cs="Arial"/>
                <w:color w:val="000000"/>
              </w:rPr>
              <w:t>779</w:t>
            </w:r>
          </w:p>
        </w:tc>
        <w:tc>
          <w:tcPr>
            <w:tcW w:w="990" w:type="dxa"/>
            <w:vAlign w:val="center"/>
            <w:hideMark/>
          </w:tcPr>
          <w:p w14:paraId="3BF4D2ED" w14:textId="77777777" w:rsidR="00C355DE" w:rsidRPr="00160BB2" w:rsidRDefault="00C355DE">
            <w:pPr>
              <w:jc w:val="right"/>
              <w:rPr>
                <w:rFonts w:ascii="Arial" w:hAnsi="Arial" w:cs="Arial"/>
                <w:color w:val="000000"/>
              </w:rPr>
            </w:pPr>
            <w:r w:rsidRPr="00160BB2">
              <w:rPr>
                <w:rFonts w:ascii="Arial" w:hAnsi="Arial" w:cs="Arial"/>
                <w:color w:val="000000"/>
              </w:rPr>
              <w:t>15,633</w:t>
            </w:r>
          </w:p>
        </w:tc>
        <w:tc>
          <w:tcPr>
            <w:tcW w:w="1080" w:type="dxa"/>
            <w:vAlign w:val="center"/>
            <w:hideMark/>
          </w:tcPr>
          <w:p w14:paraId="3A4C9A60" w14:textId="77777777" w:rsidR="00C355DE" w:rsidRPr="00160BB2" w:rsidRDefault="00C355DE">
            <w:pPr>
              <w:jc w:val="right"/>
              <w:rPr>
                <w:rFonts w:ascii="Arial" w:hAnsi="Arial" w:cs="Arial"/>
                <w:color w:val="000000"/>
              </w:rPr>
            </w:pPr>
            <w:r w:rsidRPr="00160BB2">
              <w:rPr>
                <w:rFonts w:ascii="Arial" w:hAnsi="Arial" w:cs="Arial"/>
                <w:color w:val="000000"/>
              </w:rPr>
              <w:t>16,938</w:t>
            </w:r>
          </w:p>
        </w:tc>
        <w:tc>
          <w:tcPr>
            <w:tcW w:w="1435" w:type="dxa"/>
            <w:vAlign w:val="center"/>
            <w:hideMark/>
          </w:tcPr>
          <w:p w14:paraId="27CB2B45" w14:textId="77777777" w:rsidR="00C355DE" w:rsidRPr="00160BB2" w:rsidRDefault="00C355DE">
            <w:pPr>
              <w:jc w:val="right"/>
              <w:rPr>
                <w:rFonts w:ascii="Arial" w:hAnsi="Arial" w:cs="Arial"/>
                <w:color w:val="000000"/>
              </w:rPr>
            </w:pPr>
            <w:r w:rsidRPr="00160BB2">
              <w:rPr>
                <w:rFonts w:ascii="Arial" w:hAnsi="Arial" w:cs="Arial"/>
                <w:color w:val="000000"/>
              </w:rPr>
              <w:t>17,822</w:t>
            </w:r>
          </w:p>
        </w:tc>
      </w:tr>
      <w:tr w:rsidR="00C355DE" w:rsidRPr="00160BB2" w14:paraId="18AF0E3D" w14:textId="77777777" w:rsidTr="00160BB2">
        <w:trPr>
          <w:trHeight w:val="320"/>
          <w:jc w:val="center"/>
        </w:trPr>
        <w:tc>
          <w:tcPr>
            <w:tcW w:w="2245" w:type="dxa"/>
            <w:vAlign w:val="center"/>
            <w:hideMark/>
          </w:tcPr>
          <w:p w14:paraId="32BB4E97" w14:textId="77777777" w:rsidR="00C355DE" w:rsidRPr="00160BB2" w:rsidRDefault="00C355DE">
            <w:pPr>
              <w:ind w:firstLineChars="100" w:firstLine="200"/>
              <w:rPr>
                <w:rFonts w:ascii="Arial" w:hAnsi="Arial" w:cs="Arial"/>
                <w:color w:val="000000"/>
              </w:rPr>
            </w:pPr>
            <w:r w:rsidRPr="00160BB2">
              <w:rPr>
                <w:rFonts w:ascii="Arial" w:hAnsi="Arial" w:cs="Arial"/>
                <w:color w:val="000000"/>
              </w:rPr>
              <w:t xml:space="preserve">Power </w:t>
            </w:r>
          </w:p>
        </w:tc>
        <w:tc>
          <w:tcPr>
            <w:tcW w:w="905" w:type="dxa"/>
            <w:vAlign w:val="center"/>
            <w:hideMark/>
          </w:tcPr>
          <w:p w14:paraId="56C2B3D9" w14:textId="77777777" w:rsidR="00C355DE" w:rsidRPr="00160BB2" w:rsidRDefault="00C355DE">
            <w:pPr>
              <w:jc w:val="right"/>
              <w:rPr>
                <w:rFonts w:ascii="Arial" w:hAnsi="Arial" w:cs="Arial"/>
                <w:color w:val="000000"/>
              </w:rPr>
            </w:pPr>
            <w:r w:rsidRPr="00160BB2">
              <w:rPr>
                <w:rFonts w:ascii="Arial" w:hAnsi="Arial" w:cs="Arial"/>
                <w:color w:val="000000"/>
              </w:rPr>
              <w:t>1,482</w:t>
            </w:r>
          </w:p>
        </w:tc>
        <w:tc>
          <w:tcPr>
            <w:tcW w:w="990" w:type="dxa"/>
            <w:vAlign w:val="center"/>
            <w:hideMark/>
          </w:tcPr>
          <w:p w14:paraId="067A6021" w14:textId="77777777" w:rsidR="00C355DE" w:rsidRPr="00160BB2" w:rsidRDefault="00C355DE">
            <w:pPr>
              <w:jc w:val="right"/>
              <w:rPr>
                <w:rFonts w:ascii="Arial" w:hAnsi="Arial" w:cs="Arial"/>
                <w:color w:val="000000"/>
              </w:rPr>
            </w:pPr>
            <w:r w:rsidRPr="00160BB2">
              <w:rPr>
                <w:rFonts w:ascii="Arial" w:hAnsi="Arial" w:cs="Arial"/>
                <w:color w:val="000000"/>
              </w:rPr>
              <w:t>1,756</w:t>
            </w:r>
          </w:p>
        </w:tc>
        <w:tc>
          <w:tcPr>
            <w:tcW w:w="990" w:type="dxa"/>
            <w:vAlign w:val="center"/>
            <w:hideMark/>
          </w:tcPr>
          <w:p w14:paraId="1FC692BB" w14:textId="77777777" w:rsidR="00C355DE" w:rsidRPr="00160BB2" w:rsidRDefault="00C355DE">
            <w:pPr>
              <w:jc w:val="right"/>
              <w:rPr>
                <w:rFonts w:ascii="Arial" w:hAnsi="Arial" w:cs="Arial"/>
                <w:color w:val="000000"/>
              </w:rPr>
            </w:pPr>
            <w:r w:rsidRPr="00160BB2">
              <w:rPr>
                <w:rFonts w:ascii="Arial" w:hAnsi="Arial" w:cs="Arial"/>
                <w:color w:val="000000"/>
              </w:rPr>
              <w:t>2,071</w:t>
            </w:r>
          </w:p>
        </w:tc>
        <w:tc>
          <w:tcPr>
            <w:tcW w:w="990" w:type="dxa"/>
            <w:vAlign w:val="center"/>
            <w:hideMark/>
          </w:tcPr>
          <w:p w14:paraId="1FF7C104" w14:textId="77777777" w:rsidR="00C355DE" w:rsidRPr="00160BB2" w:rsidRDefault="00C355DE">
            <w:pPr>
              <w:jc w:val="right"/>
              <w:rPr>
                <w:rFonts w:ascii="Arial" w:hAnsi="Arial" w:cs="Arial"/>
                <w:color w:val="000000"/>
              </w:rPr>
            </w:pPr>
            <w:r w:rsidRPr="00160BB2">
              <w:rPr>
                <w:rFonts w:ascii="Arial" w:hAnsi="Arial" w:cs="Arial"/>
                <w:color w:val="000000"/>
              </w:rPr>
              <w:t>1,645</w:t>
            </w:r>
          </w:p>
        </w:tc>
        <w:tc>
          <w:tcPr>
            <w:tcW w:w="1080" w:type="dxa"/>
            <w:vAlign w:val="center"/>
            <w:hideMark/>
          </w:tcPr>
          <w:p w14:paraId="7EB468F4" w14:textId="77777777" w:rsidR="00C355DE" w:rsidRPr="00160BB2" w:rsidRDefault="00C355DE">
            <w:pPr>
              <w:jc w:val="right"/>
              <w:rPr>
                <w:rFonts w:ascii="Arial" w:hAnsi="Arial" w:cs="Arial"/>
                <w:color w:val="000000"/>
              </w:rPr>
            </w:pPr>
            <w:r w:rsidRPr="00160BB2">
              <w:rPr>
                <w:rFonts w:ascii="Arial" w:hAnsi="Arial" w:cs="Arial"/>
                <w:color w:val="000000"/>
              </w:rPr>
              <w:t>1,307</w:t>
            </w:r>
          </w:p>
        </w:tc>
        <w:tc>
          <w:tcPr>
            <w:tcW w:w="1435" w:type="dxa"/>
            <w:vAlign w:val="center"/>
            <w:hideMark/>
          </w:tcPr>
          <w:p w14:paraId="6A2B42D0" w14:textId="77777777" w:rsidR="00C355DE" w:rsidRPr="00160BB2" w:rsidRDefault="00C355DE">
            <w:pPr>
              <w:jc w:val="right"/>
              <w:rPr>
                <w:rFonts w:ascii="Arial" w:hAnsi="Arial" w:cs="Arial"/>
                <w:color w:val="000000"/>
              </w:rPr>
            </w:pPr>
            <w:r w:rsidRPr="00160BB2">
              <w:rPr>
                <w:rFonts w:ascii="Arial" w:hAnsi="Arial" w:cs="Arial"/>
                <w:color w:val="000000"/>
              </w:rPr>
              <w:t>1,395</w:t>
            </w:r>
          </w:p>
        </w:tc>
      </w:tr>
      <w:tr w:rsidR="00C355DE" w:rsidRPr="00160BB2" w14:paraId="3A8D5860" w14:textId="77777777" w:rsidTr="00160BB2">
        <w:trPr>
          <w:trHeight w:val="320"/>
          <w:jc w:val="center"/>
        </w:trPr>
        <w:tc>
          <w:tcPr>
            <w:tcW w:w="2245" w:type="dxa"/>
            <w:vAlign w:val="center"/>
            <w:hideMark/>
          </w:tcPr>
          <w:p w14:paraId="0EC20A7D" w14:textId="77777777" w:rsidR="00C355DE" w:rsidRPr="00160BB2" w:rsidRDefault="00C355DE">
            <w:pPr>
              <w:rPr>
                <w:rFonts w:ascii="Arial" w:hAnsi="Arial" w:cs="Arial"/>
                <w:color w:val="000000"/>
              </w:rPr>
            </w:pPr>
            <w:r w:rsidRPr="00160BB2">
              <w:rPr>
                <w:rFonts w:ascii="Arial" w:hAnsi="Arial" w:cs="Arial"/>
                <w:color w:val="000000"/>
              </w:rPr>
              <w:t xml:space="preserve">Net income </w:t>
            </w:r>
          </w:p>
        </w:tc>
        <w:tc>
          <w:tcPr>
            <w:tcW w:w="905" w:type="dxa"/>
            <w:vAlign w:val="center"/>
            <w:hideMark/>
          </w:tcPr>
          <w:p w14:paraId="45190619" w14:textId="77777777" w:rsidR="00C355DE" w:rsidRPr="00160BB2" w:rsidRDefault="00C355DE">
            <w:pPr>
              <w:jc w:val="right"/>
              <w:rPr>
                <w:rFonts w:ascii="Arial" w:hAnsi="Arial" w:cs="Arial"/>
                <w:color w:val="000000"/>
              </w:rPr>
            </w:pPr>
            <w:r w:rsidRPr="00160BB2">
              <w:rPr>
                <w:rFonts w:ascii="Arial" w:hAnsi="Arial" w:cs="Arial"/>
                <w:color w:val="000000"/>
              </w:rPr>
              <w:t>20,998</w:t>
            </w:r>
          </w:p>
        </w:tc>
        <w:tc>
          <w:tcPr>
            <w:tcW w:w="990" w:type="dxa"/>
            <w:vAlign w:val="center"/>
            <w:hideMark/>
          </w:tcPr>
          <w:p w14:paraId="6C0BB8C2" w14:textId="77777777" w:rsidR="00C355DE" w:rsidRPr="00160BB2" w:rsidRDefault="00C355DE">
            <w:pPr>
              <w:jc w:val="right"/>
              <w:rPr>
                <w:rFonts w:ascii="Arial" w:hAnsi="Arial" w:cs="Arial"/>
                <w:color w:val="000000"/>
              </w:rPr>
            </w:pPr>
            <w:r w:rsidRPr="00160BB2">
              <w:rPr>
                <w:rFonts w:ascii="Arial" w:hAnsi="Arial" w:cs="Arial"/>
                <w:color w:val="000000"/>
              </w:rPr>
              <w:t>21,448</w:t>
            </w:r>
          </w:p>
        </w:tc>
        <w:tc>
          <w:tcPr>
            <w:tcW w:w="990" w:type="dxa"/>
            <w:vAlign w:val="center"/>
            <w:hideMark/>
          </w:tcPr>
          <w:p w14:paraId="18BBD5DA" w14:textId="77777777" w:rsidR="00C355DE" w:rsidRPr="00160BB2" w:rsidRDefault="00C355DE">
            <w:pPr>
              <w:jc w:val="right"/>
              <w:rPr>
                <w:rFonts w:ascii="Arial" w:hAnsi="Arial" w:cs="Arial"/>
                <w:color w:val="000000"/>
              </w:rPr>
            </w:pPr>
            <w:r w:rsidRPr="00160BB2">
              <w:rPr>
                <w:rFonts w:ascii="Arial" w:hAnsi="Arial" w:cs="Arial"/>
                <w:color w:val="000000"/>
              </w:rPr>
              <w:t>24,530</w:t>
            </w:r>
          </w:p>
        </w:tc>
        <w:tc>
          <w:tcPr>
            <w:tcW w:w="990" w:type="dxa"/>
            <w:vAlign w:val="center"/>
            <w:hideMark/>
          </w:tcPr>
          <w:p w14:paraId="7907CAE8" w14:textId="77777777" w:rsidR="00C355DE" w:rsidRPr="00160BB2" w:rsidRDefault="00C355DE">
            <w:pPr>
              <w:jc w:val="right"/>
              <w:rPr>
                <w:rFonts w:ascii="Arial" w:hAnsi="Arial" w:cs="Arial"/>
                <w:color w:val="000000"/>
              </w:rPr>
            </w:pPr>
            <w:r w:rsidRPr="00160BB2">
              <w:rPr>
                <w:rFonts w:ascii="Arial" w:hAnsi="Arial" w:cs="Arial"/>
                <w:color w:val="000000"/>
              </w:rPr>
              <w:t>24,761</w:t>
            </w:r>
          </w:p>
        </w:tc>
        <w:tc>
          <w:tcPr>
            <w:tcW w:w="1080" w:type="dxa"/>
            <w:vAlign w:val="center"/>
            <w:hideMark/>
          </w:tcPr>
          <w:p w14:paraId="3B0027C2" w14:textId="77777777" w:rsidR="00C355DE" w:rsidRPr="00160BB2" w:rsidRDefault="00C355DE">
            <w:pPr>
              <w:jc w:val="right"/>
              <w:rPr>
                <w:rFonts w:ascii="Arial" w:hAnsi="Arial" w:cs="Arial"/>
                <w:color w:val="000000"/>
              </w:rPr>
            </w:pPr>
            <w:r w:rsidRPr="00160BB2">
              <w:rPr>
                <w:rFonts w:ascii="Arial" w:hAnsi="Arial" w:cs="Arial"/>
                <w:color w:val="000000"/>
              </w:rPr>
              <w:t>24,528</w:t>
            </w:r>
          </w:p>
        </w:tc>
        <w:tc>
          <w:tcPr>
            <w:tcW w:w="1435" w:type="dxa"/>
            <w:vAlign w:val="center"/>
            <w:hideMark/>
          </w:tcPr>
          <w:p w14:paraId="10021286" w14:textId="77777777" w:rsidR="00C355DE" w:rsidRPr="00160BB2" w:rsidRDefault="00C355DE">
            <w:pPr>
              <w:jc w:val="right"/>
              <w:rPr>
                <w:rFonts w:ascii="Arial" w:hAnsi="Arial" w:cs="Arial"/>
                <w:color w:val="000000"/>
              </w:rPr>
            </w:pPr>
            <w:r w:rsidRPr="00160BB2">
              <w:rPr>
                <w:rFonts w:ascii="Arial" w:hAnsi="Arial" w:cs="Arial"/>
                <w:color w:val="000000"/>
              </w:rPr>
              <w:t>24,528</w:t>
            </w:r>
          </w:p>
        </w:tc>
      </w:tr>
      <w:tr w:rsidR="00C355DE" w:rsidRPr="00160BB2" w14:paraId="52E4882B" w14:textId="77777777" w:rsidTr="00160BB2">
        <w:trPr>
          <w:trHeight w:val="520"/>
          <w:jc w:val="center"/>
        </w:trPr>
        <w:tc>
          <w:tcPr>
            <w:tcW w:w="2245" w:type="dxa"/>
            <w:vAlign w:val="center"/>
            <w:hideMark/>
          </w:tcPr>
          <w:p w14:paraId="5B842F78" w14:textId="77777777" w:rsidR="00C355DE" w:rsidRPr="00160BB2" w:rsidRDefault="00C355DE">
            <w:pPr>
              <w:rPr>
                <w:rFonts w:ascii="Arial" w:hAnsi="Arial" w:cs="Arial"/>
                <w:color w:val="000000"/>
              </w:rPr>
            </w:pPr>
            <w:r w:rsidRPr="00160BB2">
              <w:rPr>
                <w:rFonts w:ascii="Arial" w:hAnsi="Arial" w:cs="Arial"/>
                <w:color w:val="000000"/>
              </w:rPr>
              <w:t xml:space="preserve">EBITDA before exceptional items </w:t>
            </w:r>
          </w:p>
        </w:tc>
        <w:tc>
          <w:tcPr>
            <w:tcW w:w="905" w:type="dxa"/>
            <w:vAlign w:val="center"/>
            <w:hideMark/>
          </w:tcPr>
          <w:p w14:paraId="791DEB34" w14:textId="77777777" w:rsidR="00C355DE" w:rsidRPr="00160BB2" w:rsidRDefault="00C355DE">
            <w:pPr>
              <w:jc w:val="right"/>
              <w:rPr>
                <w:rFonts w:ascii="Arial" w:hAnsi="Arial" w:cs="Arial"/>
                <w:color w:val="000000"/>
              </w:rPr>
            </w:pPr>
            <w:r w:rsidRPr="00160BB2">
              <w:rPr>
                <w:rFonts w:ascii="Arial" w:hAnsi="Arial" w:cs="Arial"/>
                <w:color w:val="000000"/>
              </w:rPr>
              <w:t>2,313</w:t>
            </w:r>
          </w:p>
        </w:tc>
        <w:tc>
          <w:tcPr>
            <w:tcW w:w="990" w:type="dxa"/>
            <w:vAlign w:val="center"/>
            <w:hideMark/>
          </w:tcPr>
          <w:p w14:paraId="0BD51737" w14:textId="77777777" w:rsidR="00C355DE" w:rsidRPr="00160BB2" w:rsidRDefault="00C355DE">
            <w:pPr>
              <w:jc w:val="right"/>
              <w:rPr>
                <w:rFonts w:ascii="Arial" w:hAnsi="Arial" w:cs="Arial"/>
                <w:color w:val="000000"/>
              </w:rPr>
            </w:pPr>
            <w:r w:rsidRPr="00160BB2">
              <w:rPr>
                <w:rFonts w:ascii="Arial" w:hAnsi="Arial" w:cs="Arial"/>
                <w:color w:val="000000"/>
              </w:rPr>
              <w:t>3,587</w:t>
            </w:r>
          </w:p>
        </w:tc>
        <w:tc>
          <w:tcPr>
            <w:tcW w:w="990" w:type="dxa"/>
            <w:vAlign w:val="center"/>
            <w:hideMark/>
          </w:tcPr>
          <w:p w14:paraId="08E84D0F" w14:textId="77777777" w:rsidR="00C355DE" w:rsidRPr="00160BB2" w:rsidRDefault="00C355DE">
            <w:pPr>
              <w:jc w:val="right"/>
              <w:rPr>
                <w:rFonts w:ascii="Arial" w:hAnsi="Arial" w:cs="Arial"/>
                <w:color w:val="000000"/>
              </w:rPr>
            </w:pPr>
            <w:r w:rsidRPr="00160BB2">
              <w:rPr>
                <w:rFonts w:ascii="Arial" w:hAnsi="Arial" w:cs="Arial"/>
                <w:color w:val="000000"/>
              </w:rPr>
              <w:t>3,966</w:t>
            </w:r>
          </w:p>
        </w:tc>
        <w:tc>
          <w:tcPr>
            <w:tcW w:w="990" w:type="dxa"/>
            <w:vAlign w:val="center"/>
            <w:hideMark/>
          </w:tcPr>
          <w:p w14:paraId="52E0F524" w14:textId="77777777" w:rsidR="00C355DE" w:rsidRPr="00160BB2" w:rsidRDefault="00C355DE">
            <w:pPr>
              <w:jc w:val="right"/>
              <w:rPr>
                <w:rFonts w:ascii="Arial" w:hAnsi="Arial" w:cs="Arial"/>
                <w:color w:val="000000"/>
              </w:rPr>
            </w:pPr>
            <w:r w:rsidRPr="00160BB2">
              <w:rPr>
                <w:rFonts w:ascii="Arial" w:hAnsi="Arial" w:cs="Arial"/>
                <w:color w:val="000000"/>
              </w:rPr>
              <w:t>2,111</w:t>
            </w:r>
          </w:p>
        </w:tc>
        <w:tc>
          <w:tcPr>
            <w:tcW w:w="1080" w:type="dxa"/>
            <w:vAlign w:val="center"/>
            <w:hideMark/>
          </w:tcPr>
          <w:p w14:paraId="1B2944DD" w14:textId="77777777" w:rsidR="00C355DE" w:rsidRPr="00160BB2" w:rsidRDefault="00C355DE">
            <w:pPr>
              <w:jc w:val="right"/>
              <w:rPr>
                <w:rFonts w:ascii="Arial" w:hAnsi="Arial" w:cs="Arial"/>
                <w:color w:val="000000"/>
              </w:rPr>
            </w:pPr>
            <w:r w:rsidRPr="00160BB2">
              <w:rPr>
                <w:rFonts w:ascii="Arial" w:hAnsi="Arial" w:cs="Arial"/>
                <w:color w:val="000000"/>
              </w:rPr>
              <w:t>3,751</w:t>
            </w:r>
          </w:p>
        </w:tc>
        <w:tc>
          <w:tcPr>
            <w:tcW w:w="1435" w:type="dxa"/>
            <w:vAlign w:val="center"/>
            <w:hideMark/>
          </w:tcPr>
          <w:p w14:paraId="1943A383" w14:textId="77777777" w:rsidR="00C355DE" w:rsidRPr="00160BB2" w:rsidRDefault="00C355DE">
            <w:pPr>
              <w:jc w:val="right"/>
              <w:rPr>
                <w:rFonts w:ascii="Arial" w:hAnsi="Arial" w:cs="Arial"/>
                <w:color w:val="000000"/>
              </w:rPr>
            </w:pPr>
            <w:r w:rsidRPr="00160BB2">
              <w:rPr>
                <w:rFonts w:ascii="Arial" w:hAnsi="Arial" w:cs="Arial"/>
                <w:color w:val="000000"/>
              </w:rPr>
              <w:t>3,751</w:t>
            </w:r>
          </w:p>
        </w:tc>
      </w:tr>
      <w:tr w:rsidR="00C355DE" w:rsidRPr="00160BB2" w14:paraId="33FF85A1" w14:textId="77777777" w:rsidTr="00160BB2">
        <w:trPr>
          <w:trHeight w:val="520"/>
          <w:jc w:val="center"/>
        </w:trPr>
        <w:tc>
          <w:tcPr>
            <w:tcW w:w="2245" w:type="dxa"/>
            <w:vAlign w:val="center"/>
            <w:hideMark/>
          </w:tcPr>
          <w:p w14:paraId="2448C093" w14:textId="77777777" w:rsidR="00C355DE" w:rsidRPr="00160BB2" w:rsidRDefault="00C355DE">
            <w:pPr>
              <w:rPr>
                <w:rFonts w:ascii="Arial" w:hAnsi="Arial" w:cs="Arial"/>
                <w:color w:val="000000"/>
              </w:rPr>
            </w:pPr>
            <w:r w:rsidRPr="00160BB2">
              <w:rPr>
                <w:rFonts w:ascii="Arial" w:hAnsi="Arial" w:cs="Arial"/>
                <w:color w:val="000000"/>
              </w:rPr>
              <w:t xml:space="preserve">EBITDA after exceptional items </w:t>
            </w:r>
          </w:p>
        </w:tc>
        <w:tc>
          <w:tcPr>
            <w:tcW w:w="905" w:type="dxa"/>
            <w:vAlign w:val="center"/>
            <w:hideMark/>
          </w:tcPr>
          <w:p w14:paraId="161090E9" w14:textId="77777777" w:rsidR="00C355DE" w:rsidRPr="00160BB2" w:rsidRDefault="00C355DE">
            <w:pPr>
              <w:jc w:val="right"/>
              <w:rPr>
                <w:rFonts w:ascii="Arial" w:hAnsi="Arial" w:cs="Arial"/>
                <w:color w:val="000000"/>
              </w:rPr>
            </w:pPr>
            <w:r w:rsidRPr="00160BB2">
              <w:rPr>
                <w:rFonts w:ascii="Arial" w:hAnsi="Arial" w:cs="Arial"/>
                <w:color w:val="000000"/>
              </w:rPr>
              <w:t>2,168</w:t>
            </w:r>
          </w:p>
        </w:tc>
        <w:tc>
          <w:tcPr>
            <w:tcW w:w="990" w:type="dxa"/>
            <w:vAlign w:val="center"/>
            <w:hideMark/>
          </w:tcPr>
          <w:p w14:paraId="1493F564" w14:textId="77777777" w:rsidR="00C355DE" w:rsidRPr="00160BB2" w:rsidRDefault="00C355DE">
            <w:pPr>
              <w:jc w:val="right"/>
              <w:rPr>
                <w:rFonts w:ascii="Arial" w:hAnsi="Arial" w:cs="Arial"/>
                <w:color w:val="000000"/>
              </w:rPr>
            </w:pPr>
            <w:r w:rsidRPr="00160BB2">
              <w:rPr>
                <w:rFonts w:ascii="Arial" w:hAnsi="Arial" w:cs="Arial"/>
                <w:color w:val="000000"/>
              </w:rPr>
              <w:t>2,626</w:t>
            </w:r>
          </w:p>
        </w:tc>
        <w:tc>
          <w:tcPr>
            <w:tcW w:w="990" w:type="dxa"/>
            <w:vAlign w:val="center"/>
            <w:hideMark/>
          </w:tcPr>
          <w:p w14:paraId="0B39C064" w14:textId="77777777" w:rsidR="00C355DE" w:rsidRPr="00160BB2" w:rsidRDefault="00C355DE">
            <w:pPr>
              <w:jc w:val="right"/>
              <w:rPr>
                <w:rFonts w:ascii="Arial" w:hAnsi="Arial" w:cs="Arial"/>
                <w:color w:val="000000"/>
              </w:rPr>
            </w:pPr>
            <w:r w:rsidRPr="00160BB2">
              <w:rPr>
                <w:rFonts w:ascii="Arial" w:hAnsi="Arial" w:cs="Arial"/>
                <w:color w:val="000000"/>
              </w:rPr>
              <w:t>3,268</w:t>
            </w:r>
          </w:p>
        </w:tc>
        <w:tc>
          <w:tcPr>
            <w:tcW w:w="990" w:type="dxa"/>
            <w:vAlign w:val="center"/>
            <w:hideMark/>
          </w:tcPr>
          <w:p w14:paraId="4196859C" w14:textId="77777777" w:rsidR="00C355DE" w:rsidRPr="00160BB2" w:rsidRDefault="00C355DE">
            <w:pPr>
              <w:jc w:val="right"/>
              <w:rPr>
                <w:rFonts w:ascii="Arial" w:hAnsi="Arial" w:cs="Arial"/>
                <w:color w:val="000000"/>
              </w:rPr>
            </w:pPr>
            <w:r w:rsidRPr="00160BB2">
              <w:rPr>
                <w:rFonts w:ascii="Arial" w:hAnsi="Arial" w:cs="Arial"/>
                <w:color w:val="000000"/>
              </w:rPr>
              <w:t>1,896</w:t>
            </w:r>
          </w:p>
        </w:tc>
        <w:tc>
          <w:tcPr>
            <w:tcW w:w="1080" w:type="dxa"/>
            <w:vAlign w:val="center"/>
            <w:hideMark/>
          </w:tcPr>
          <w:p w14:paraId="46907DE0" w14:textId="77777777" w:rsidR="00C355DE" w:rsidRPr="00160BB2" w:rsidRDefault="00C355DE">
            <w:pPr>
              <w:jc w:val="right"/>
              <w:rPr>
                <w:rFonts w:ascii="Arial" w:hAnsi="Arial" w:cs="Arial"/>
                <w:color w:val="000000"/>
              </w:rPr>
            </w:pPr>
            <w:r w:rsidRPr="00160BB2">
              <w:rPr>
                <w:rFonts w:ascii="Arial" w:hAnsi="Arial" w:cs="Arial"/>
                <w:color w:val="000000"/>
              </w:rPr>
              <w:t>3,996</w:t>
            </w:r>
          </w:p>
        </w:tc>
        <w:tc>
          <w:tcPr>
            <w:tcW w:w="1435" w:type="dxa"/>
            <w:vAlign w:val="center"/>
            <w:hideMark/>
          </w:tcPr>
          <w:p w14:paraId="3039C9CD" w14:textId="77777777" w:rsidR="00C355DE" w:rsidRPr="00160BB2" w:rsidRDefault="00C355DE">
            <w:pPr>
              <w:jc w:val="right"/>
              <w:rPr>
                <w:rFonts w:ascii="Arial" w:hAnsi="Arial" w:cs="Arial"/>
                <w:color w:val="000000"/>
              </w:rPr>
            </w:pPr>
            <w:r w:rsidRPr="00160BB2">
              <w:rPr>
                <w:rFonts w:ascii="Arial" w:hAnsi="Arial" w:cs="Arial"/>
                <w:color w:val="000000"/>
              </w:rPr>
              <w:t>3,996</w:t>
            </w:r>
          </w:p>
        </w:tc>
      </w:tr>
      <w:tr w:rsidR="00C355DE" w:rsidRPr="00160BB2" w14:paraId="6706D85B" w14:textId="77777777" w:rsidTr="00160BB2">
        <w:trPr>
          <w:trHeight w:val="320"/>
          <w:jc w:val="center"/>
        </w:trPr>
        <w:tc>
          <w:tcPr>
            <w:tcW w:w="2245" w:type="dxa"/>
            <w:vAlign w:val="center"/>
            <w:hideMark/>
          </w:tcPr>
          <w:p w14:paraId="6CB64841" w14:textId="77777777" w:rsidR="00C355DE" w:rsidRPr="00160BB2" w:rsidRDefault="00C355DE">
            <w:pPr>
              <w:rPr>
                <w:rFonts w:ascii="Arial" w:hAnsi="Arial" w:cs="Arial"/>
                <w:color w:val="000000"/>
              </w:rPr>
            </w:pPr>
            <w:r w:rsidRPr="00160BB2">
              <w:rPr>
                <w:rFonts w:ascii="Arial" w:hAnsi="Arial" w:cs="Arial"/>
                <w:color w:val="000000"/>
              </w:rPr>
              <w:t>P</w:t>
            </w:r>
            <w:r w:rsidR="00EF41B8">
              <w:rPr>
                <w:rFonts w:ascii="Arial" w:hAnsi="Arial" w:cs="Arial"/>
                <w:color w:val="000000"/>
              </w:rPr>
              <w:t>rofit before taxes</w:t>
            </w:r>
            <w:r w:rsidRPr="00160BB2">
              <w:rPr>
                <w:rFonts w:ascii="Arial" w:hAnsi="Arial" w:cs="Arial"/>
                <w:color w:val="000000"/>
              </w:rPr>
              <w:t xml:space="preserve"> </w:t>
            </w:r>
          </w:p>
        </w:tc>
        <w:tc>
          <w:tcPr>
            <w:tcW w:w="905" w:type="dxa"/>
            <w:vAlign w:val="center"/>
            <w:hideMark/>
          </w:tcPr>
          <w:p w14:paraId="27FECC7E" w14:textId="77777777" w:rsidR="00C355DE" w:rsidRPr="00160BB2" w:rsidRDefault="00C355DE">
            <w:pPr>
              <w:jc w:val="right"/>
              <w:rPr>
                <w:rFonts w:ascii="Arial" w:hAnsi="Arial" w:cs="Arial"/>
                <w:color w:val="000000"/>
              </w:rPr>
            </w:pPr>
            <w:r w:rsidRPr="00160BB2">
              <w:rPr>
                <w:rFonts w:ascii="Arial" w:hAnsi="Arial" w:cs="Arial"/>
                <w:color w:val="000000"/>
              </w:rPr>
              <w:t>967</w:t>
            </w:r>
          </w:p>
        </w:tc>
        <w:tc>
          <w:tcPr>
            <w:tcW w:w="990" w:type="dxa"/>
            <w:vAlign w:val="center"/>
            <w:hideMark/>
          </w:tcPr>
          <w:p w14:paraId="74F7C062" w14:textId="77777777" w:rsidR="00C355DE" w:rsidRPr="00160BB2" w:rsidRDefault="00C355DE">
            <w:pPr>
              <w:jc w:val="right"/>
              <w:rPr>
                <w:rFonts w:ascii="Arial" w:hAnsi="Arial" w:cs="Arial"/>
                <w:color w:val="000000"/>
              </w:rPr>
            </w:pPr>
            <w:r w:rsidRPr="00160BB2">
              <w:rPr>
                <w:rFonts w:ascii="Arial" w:hAnsi="Arial" w:cs="Arial"/>
                <w:color w:val="000000"/>
              </w:rPr>
              <w:t>1,902</w:t>
            </w:r>
          </w:p>
        </w:tc>
        <w:tc>
          <w:tcPr>
            <w:tcW w:w="990" w:type="dxa"/>
            <w:vAlign w:val="center"/>
            <w:hideMark/>
          </w:tcPr>
          <w:p w14:paraId="5F9C5BCC" w14:textId="77777777" w:rsidR="00C355DE" w:rsidRPr="00160BB2" w:rsidRDefault="00C355DE">
            <w:pPr>
              <w:jc w:val="right"/>
              <w:rPr>
                <w:rFonts w:ascii="Arial" w:hAnsi="Arial" w:cs="Arial"/>
                <w:color w:val="000000"/>
              </w:rPr>
            </w:pPr>
            <w:r w:rsidRPr="00160BB2">
              <w:rPr>
                <w:rFonts w:ascii="Arial" w:hAnsi="Arial" w:cs="Arial"/>
                <w:color w:val="000000"/>
              </w:rPr>
              <w:t>2,419</w:t>
            </w:r>
          </w:p>
        </w:tc>
        <w:tc>
          <w:tcPr>
            <w:tcW w:w="990" w:type="dxa"/>
            <w:vAlign w:val="center"/>
            <w:hideMark/>
          </w:tcPr>
          <w:p w14:paraId="0C7A860B" w14:textId="77777777" w:rsidR="00C355DE" w:rsidRPr="00160BB2" w:rsidRDefault="00C355DE">
            <w:pPr>
              <w:jc w:val="right"/>
              <w:rPr>
                <w:rFonts w:ascii="Arial" w:hAnsi="Arial" w:cs="Arial"/>
                <w:color w:val="000000"/>
              </w:rPr>
            </w:pPr>
            <w:r w:rsidRPr="00160BB2">
              <w:rPr>
                <w:rFonts w:ascii="Arial" w:hAnsi="Arial" w:cs="Arial"/>
                <w:color w:val="000000"/>
              </w:rPr>
              <w:t>808</w:t>
            </w:r>
          </w:p>
        </w:tc>
        <w:tc>
          <w:tcPr>
            <w:tcW w:w="1080" w:type="dxa"/>
            <w:vAlign w:val="center"/>
            <w:hideMark/>
          </w:tcPr>
          <w:p w14:paraId="5374FACF" w14:textId="77777777" w:rsidR="00C355DE" w:rsidRPr="00160BB2" w:rsidRDefault="00C355DE">
            <w:pPr>
              <w:jc w:val="right"/>
              <w:rPr>
                <w:rFonts w:ascii="Arial" w:hAnsi="Arial" w:cs="Arial"/>
                <w:color w:val="000000"/>
              </w:rPr>
            </w:pPr>
            <w:r w:rsidRPr="00160BB2">
              <w:rPr>
                <w:rFonts w:ascii="Arial" w:hAnsi="Arial" w:cs="Arial"/>
                <w:color w:val="000000"/>
              </w:rPr>
              <w:t>3,435</w:t>
            </w:r>
          </w:p>
        </w:tc>
        <w:tc>
          <w:tcPr>
            <w:tcW w:w="1435" w:type="dxa"/>
            <w:vAlign w:val="center"/>
            <w:hideMark/>
          </w:tcPr>
          <w:p w14:paraId="49C6B47C" w14:textId="77777777" w:rsidR="00C355DE" w:rsidRPr="00160BB2" w:rsidRDefault="00C355DE">
            <w:pPr>
              <w:jc w:val="right"/>
              <w:rPr>
                <w:rFonts w:ascii="Arial" w:hAnsi="Arial" w:cs="Arial"/>
                <w:color w:val="000000"/>
              </w:rPr>
            </w:pPr>
            <w:r w:rsidRPr="00160BB2">
              <w:rPr>
                <w:rFonts w:ascii="Arial" w:hAnsi="Arial" w:cs="Arial"/>
                <w:color w:val="000000"/>
              </w:rPr>
              <w:t>3,426</w:t>
            </w:r>
          </w:p>
        </w:tc>
      </w:tr>
      <w:tr w:rsidR="00C355DE" w:rsidRPr="00160BB2" w14:paraId="424E4BCC" w14:textId="77777777" w:rsidTr="00160BB2">
        <w:trPr>
          <w:trHeight w:val="320"/>
          <w:jc w:val="center"/>
        </w:trPr>
        <w:tc>
          <w:tcPr>
            <w:tcW w:w="2245" w:type="dxa"/>
            <w:vAlign w:val="center"/>
            <w:hideMark/>
          </w:tcPr>
          <w:p w14:paraId="0CA6F6B3" w14:textId="77777777" w:rsidR="00C355DE" w:rsidRPr="00160BB2" w:rsidRDefault="00C355DE">
            <w:pPr>
              <w:rPr>
                <w:rFonts w:ascii="Arial" w:hAnsi="Arial" w:cs="Arial"/>
                <w:color w:val="000000"/>
              </w:rPr>
            </w:pPr>
            <w:r w:rsidRPr="00160BB2">
              <w:rPr>
                <w:rFonts w:ascii="Arial" w:hAnsi="Arial" w:cs="Arial"/>
                <w:color w:val="000000"/>
              </w:rPr>
              <w:t>P</w:t>
            </w:r>
            <w:r w:rsidR="00EF41B8">
              <w:rPr>
                <w:rFonts w:ascii="Arial" w:hAnsi="Arial" w:cs="Arial"/>
                <w:color w:val="000000"/>
              </w:rPr>
              <w:t>rofit after taxes</w:t>
            </w:r>
            <w:r w:rsidRPr="00160BB2">
              <w:rPr>
                <w:rFonts w:ascii="Arial" w:hAnsi="Arial" w:cs="Arial"/>
                <w:color w:val="000000"/>
              </w:rPr>
              <w:t xml:space="preserve"> </w:t>
            </w:r>
          </w:p>
        </w:tc>
        <w:tc>
          <w:tcPr>
            <w:tcW w:w="905" w:type="dxa"/>
            <w:vAlign w:val="center"/>
            <w:hideMark/>
          </w:tcPr>
          <w:p w14:paraId="7C52EA1F" w14:textId="77777777" w:rsidR="00C355DE" w:rsidRPr="00160BB2" w:rsidRDefault="00C355DE">
            <w:pPr>
              <w:jc w:val="right"/>
              <w:rPr>
                <w:rFonts w:ascii="Arial" w:hAnsi="Arial" w:cs="Arial"/>
                <w:color w:val="000000"/>
              </w:rPr>
            </w:pPr>
            <w:r w:rsidRPr="00160BB2">
              <w:rPr>
                <w:rFonts w:ascii="Arial" w:hAnsi="Arial" w:cs="Arial"/>
                <w:color w:val="000000"/>
              </w:rPr>
              <w:t>752</w:t>
            </w:r>
          </w:p>
        </w:tc>
        <w:tc>
          <w:tcPr>
            <w:tcW w:w="990" w:type="dxa"/>
            <w:vAlign w:val="center"/>
            <w:hideMark/>
          </w:tcPr>
          <w:p w14:paraId="13EC90D7" w14:textId="77777777" w:rsidR="00C355DE" w:rsidRPr="00160BB2" w:rsidRDefault="00C355DE">
            <w:pPr>
              <w:jc w:val="right"/>
              <w:rPr>
                <w:rFonts w:ascii="Arial" w:hAnsi="Arial" w:cs="Arial"/>
                <w:color w:val="000000"/>
              </w:rPr>
            </w:pPr>
            <w:r w:rsidRPr="00160BB2">
              <w:rPr>
                <w:rFonts w:ascii="Arial" w:hAnsi="Arial" w:cs="Arial"/>
                <w:color w:val="000000"/>
              </w:rPr>
              <w:t>1,361</w:t>
            </w:r>
          </w:p>
        </w:tc>
        <w:tc>
          <w:tcPr>
            <w:tcW w:w="990" w:type="dxa"/>
            <w:vAlign w:val="center"/>
            <w:hideMark/>
          </w:tcPr>
          <w:p w14:paraId="757D3908" w14:textId="77777777" w:rsidR="00C355DE" w:rsidRPr="00160BB2" w:rsidRDefault="00C355DE">
            <w:pPr>
              <w:jc w:val="right"/>
              <w:rPr>
                <w:rFonts w:ascii="Arial" w:hAnsi="Arial" w:cs="Arial"/>
                <w:color w:val="000000"/>
              </w:rPr>
            </w:pPr>
            <w:r w:rsidRPr="00160BB2">
              <w:rPr>
                <w:rFonts w:ascii="Arial" w:hAnsi="Arial" w:cs="Arial"/>
                <w:color w:val="000000"/>
              </w:rPr>
              <w:t>1,701</w:t>
            </w:r>
          </w:p>
        </w:tc>
        <w:tc>
          <w:tcPr>
            <w:tcW w:w="990" w:type="dxa"/>
            <w:vAlign w:val="center"/>
            <w:hideMark/>
          </w:tcPr>
          <w:p w14:paraId="6001D932" w14:textId="77777777" w:rsidR="00C355DE" w:rsidRPr="00160BB2" w:rsidRDefault="00C355DE">
            <w:pPr>
              <w:jc w:val="right"/>
              <w:rPr>
                <w:rFonts w:ascii="Arial" w:hAnsi="Arial" w:cs="Arial"/>
                <w:color w:val="000000"/>
              </w:rPr>
            </w:pPr>
            <w:r w:rsidRPr="00160BB2">
              <w:rPr>
                <w:rFonts w:ascii="Arial" w:hAnsi="Arial" w:cs="Arial"/>
                <w:color w:val="000000"/>
              </w:rPr>
              <w:t>478</w:t>
            </w:r>
          </w:p>
        </w:tc>
        <w:tc>
          <w:tcPr>
            <w:tcW w:w="1080" w:type="dxa"/>
            <w:vAlign w:val="center"/>
            <w:hideMark/>
          </w:tcPr>
          <w:p w14:paraId="41F64594" w14:textId="77777777" w:rsidR="00C355DE" w:rsidRPr="00160BB2" w:rsidRDefault="00C355DE">
            <w:pPr>
              <w:jc w:val="right"/>
              <w:rPr>
                <w:rFonts w:ascii="Arial" w:hAnsi="Arial" w:cs="Arial"/>
                <w:color w:val="000000"/>
              </w:rPr>
            </w:pPr>
            <w:r w:rsidRPr="00160BB2">
              <w:rPr>
                <w:rFonts w:ascii="Arial" w:hAnsi="Arial" w:cs="Arial"/>
                <w:color w:val="000000"/>
              </w:rPr>
              <w:t>2,336</w:t>
            </w:r>
          </w:p>
        </w:tc>
        <w:tc>
          <w:tcPr>
            <w:tcW w:w="1435" w:type="dxa"/>
            <w:vAlign w:val="center"/>
            <w:hideMark/>
          </w:tcPr>
          <w:p w14:paraId="1FD8269E" w14:textId="77777777" w:rsidR="00C355DE" w:rsidRPr="00160BB2" w:rsidRDefault="00C355DE">
            <w:pPr>
              <w:jc w:val="right"/>
              <w:rPr>
                <w:rFonts w:ascii="Arial" w:hAnsi="Arial" w:cs="Arial"/>
                <w:color w:val="000000"/>
              </w:rPr>
            </w:pPr>
            <w:r w:rsidRPr="00160BB2">
              <w:rPr>
                <w:rFonts w:ascii="Arial" w:hAnsi="Arial" w:cs="Arial"/>
                <w:color w:val="000000"/>
              </w:rPr>
              <w:t>2,389</w:t>
            </w:r>
          </w:p>
        </w:tc>
      </w:tr>
      <w:tr w:rsidR="00C355DE" w:rsidRPr="00160BB2" w14:paraId="3D1E648C" w14:textId="77777777" w:rsidTr="00160BB2">
        <w:trPr>
          <w:trHeight w:val="320"/>
          <w:jc w:val="center"/>
        </w:trPr>
        <w:tc>
          <w:tcPr>
            <w:tcW w:w="8635" w:type="dxa"/>
            <w:gridSpan w:val="7"/>
            <w:tcBorders>
              <w:top w:val="single" w:sz="4" w:space="0" w:color="auto"/>
              <w:left w:val="single" w:sz="4" w:space="0" w:color="auto"/>
              <w:bottom w:val="single" w:sz="4" w:space="0" w:color="auto"/>
              <w:right w:val="single" w:sz="4" w:space="0" w:color="000000"/>
            </w:tcBorders>
            <w:vAlign w:val="center"/>
            <w:hideMark/>
          </w:tcPr>
          <w:p w14:paraId="50BEA720" w14:textId="77777777" w:rsidR="00C355DE" w:rsidRPr="00160BB2" w:rsidRDefault="00C355DE">
            <w:pPr>
              <w:jc w:val="center"/>
              <w:rPr>
                <w:rFonts w:ascii="Arial" w:hAnsi="Arial" w:cs="Arial"/>
                <w:b/>
                <w:bCs/>
                <w:color w:val="000000"/>
              </w:rPr>
            </w:pPr>
            <w:r w:rsidRPr="00160BB2">
              <w:rPr>
                <w:rFonts w:ascii="Arial" w:hAnsi="Arial" w:cs="Arial"/>
                <w:b/>
                <w:bCs/>
                <w:color w:val="000000"/>
              </w:rPr>
              <w:t>Balance Sheet</w:t>
            </w:r>
          </w:p>
        </w:tc>
      </w:tr>
      <w:tr w:rsidR="00C355DE" w:rsidRPr="00160BB2" w14:paraId="01897002" w14:textId="77777777" w:rsidTr="00160BB2">
        <w:trPr>
          <w:trHeight w:val="320"/>
          <w:jc w:val="center"/>
        </w:trPr>
        <w:tc>
          <w:tcPr>
            <w:tcW w:w="8635" w:type="dxa"/>
            <w:gridSpan w:val="7"/>
            <w:tcBorders>
              <w:top w:val="nil"/>
              <w:left w:val="nil"/>
              <w:bottom w:val="single" w:sz="4" w:space="0" w:color="auto"/>
              <w:right w:val="nil"/>
            </w:tcBorders>
            <w:vAlign w:val="center"/>
            <w:hideMark/>
          </w:tcPr>
          <w:p w14:paraId="5204143E" w14:textId="77777777" w:rsidR="00C355DE" w:rsidRPr="00160BB2" w:rsidRDefault="00C355DE">
            <w:pPr>
              <w:rPr>
                <w:rFonts w:ascii="Arial" w:hAnsi="Arial" w:cs="Arial"/>
                <w:b/>
                <w:bCs/>
                <w:i/>
                <w:iCs/>
                <w:color w:val="000000"/>
              </w:rPr>
            </w:pPr>
            <w:r w:rsidRPr="00160BB2">
              <w:rPr>
                <w:rFonts w:ascii="Arial" w:hAnsi="Arial" w:cs="Arial"/>
                <w:b/>
                <w:bCs/>
                <w:i/>
                <w:iCs/>
                <w:color w:val="000000"/>
              </w:rPr>
              <w:t xml:space="preserve">Equity and liabilities </w:t>
            </w:r>
          </w:p>
        </w:tc>
      </w:tr>
      <w:tr w:rsidR="00C355DE" w:rsidRPr="00160BB2" w14:paraId="40D3B488" w14:textId="77777777" w:rsidTr="00160BB2">
        <w:trPr>
          <w:trHeight w:val="320"/>
          <w:jc w:val="center"/>
        </w:trPr>
        <w:tc>
          <w:tcPr>
            <w:tcW w:w="2245" w:type="dxa"/>
            <w:vAlign w:val="center"/>
            <w:hideMark/>
          </w:tcPr>
          <w:p w14:paraId="109ABC45" w14:textId="77777777" w:rsidR="00C355DE" w:rsidRPr="00160BB2" w:rsidRDefault="00C355DE">
            <w:pPr>
              <w:rPr>
                <w:rFonts w:ascii="Arial" w:hAnsi="Arial" w:cs="Arial"/>
                <w:color w:val="000000"/>
              </w:rPr>
            </w:pPr>
            <w:r w:rsidRPr="00160BB2">
              <w:rPr>
                <w:rFonts w:ascii="Arial" w:hAnsi="Arial" w:cs="Arial"/>
                <w:color w:val="000000"/>
              </w:rPr>
              <w:t xml:space="preserve">Share capital </w:t>
            </w:r>
          </w:p>
        </w:tc>
        <w:tc>
          <w:tcPr>
            <w:tcW w:w="905" w:type="dxa"/>
            <w:vAlign w:val="center"/>
            <w:hideMark/>
          </w:tcPr>
          <w:p w14:paraId="1B3557BF" w14:textId="77777777" w:rsidR="00C355DE" w:rsidRPr="00160BB2" w:rsidRDefault="00C355DE">
            <w:pPr>
              <w:jc w:val="right"/>
              <w:rPr>
                <w:rFonts w:ascii="Arial" w:hAnsi="Arial" w:cs="Arial"/>
                <w:color w:val="000000"/>
              </w:rPr>
            </w:pPr>
            <w:r w:rsidRPr="00160BB2">
              <w:rPr>
                <w:rFonts w:ascii="Arial" w:hAnsi="Arial" w:cs="Arial"/>
                <w:color w:val="000000"/>
              </w:rPr>
              <w:t>1,241</w:t>
            </w:r>
          </w:p>
        </w:tc>
        <w:tc>
          <w:tcPr>
            <w:tcW w:w="990" w:type="dxa"/>
            <w:vAlign w:val="center"/>
            <w:hideMark/>
          </w:tcPr>
          <w:p w14:paraId="6873ED99" w14:textId="77777777" w:rsidR="00C355DE" w:rsidRPr="00160BB2" w:rsidRDefault="00C355DE">
            <w:pPr>
              <w:jc w:val="right"/>
              <w:rPr>
                <w:rFonts w:ascii="Arial" w:hAnsi="Arial" w:cs="Arial"/>
                <w:color w:val="000000"/>
              </w:rPr>
            </w:pPr>
            <w:r w:rsidRPr="00160BB2">
              <w:rPr>
                <w:rFonts w:ascii="Arial" w:hAnsi="Arial" w:cs="Arial"/>
                <w:color w:val="000000"/>
              </w:rPr>
              <w:t>1,241</w:t>
            </w:r>
          </w:p>
        </w:tc>
        <w:tc>
          <w:tcPr>
            <w:tcW w:w="990" w:type="dxa"/>
            <w:vAlign w:val="center"/>
            <w:hideMark/>
          </w:tcPr>
          <w:p w14:paraId="426EF969" w14:textId="77777777" w:rsidR="00C355DE" w:rsidRPr="00160BB2" w:rsidRDefault="00C355DE">
            <w:pPr>
              <w:jc w:val="right"/>
              <w:rPr>
                <w:rFonts w:ascii="Arial" w:hAnsi="Arial" w:cs="Arial"/>
                <w:color w:val="000000"/>
              </w:rPr>
            </w:pPr>
            <w:r w:rsidRPr="00160BB2">
              <w:rPr>
                <w:rFonts w:ascii="Arial" w:hAnsi="Arial" w:cs="Arial"/>
                <w:color w:val="000000"/>
              </w:rPr>
              <w:t>1,241</w:t>
            </w:r>
          </w:p>
        </w:tc>
        <w:tc>
          <w:tcPr>
            <w:tcW w:w="990" w:type="dxa"/>
            <w:vAlign w:val="center"/>
            <w:hideMark/>
          </w:tcPr>
          <w:p w14:paraId="366305D0" w14:textId="77777777" w:rsidR="00C355DE" w:rsidRPr="00160BB2" w:rsidRDefault="00C355DE">
            <w:pPr>
              <w:jc w:val="right"/>
              <w:rPr>
                <w:rFonts w:ascii="Arial" w:hAnsi="Arial" w:cs="Arial"/>
                <w:color w:val="000000"/>
              </w:rPr>
            </w:pPr>
            <w:r w:rsidRPr="00160BB2">
              <w:rPr>
                <w:rFonts w:ascii="Arial" w:hAnsi="Arial" w:cs="Arial"/>
                <w:color w:val="000000"/>
              </w:rPr>
              <w:t>1,241</w:t>
            </w:r>
          </w:p>
        </w:tc>
        <w:tc>
          <w:tcPr>
            <w:tcW w:w="1080" w:type="dxa"/>
            <w:vAlign w:val="center"/>
            <w:hideMark/>
          </w:tcPr>
          <w:p w14:paraId="0FE2E025" w14:textId="77777777" w:rsidR="00C355DE" w:rsidRPr="00160BB2" w:rsidRDefault="00C355DE">
            <w:pPr>
              <w:jc w:val="right"/>
              <w:rPr>
                <w:rFonts w:ascii="Arial" w:hAnsi="Arial" w:cs="Arial"/>
                <w:color w:val="000000"/>
              </w:rPr>
            </w:pPr>
            <w:r w:rsidRPr="00160BB2">
              <w:rPr>
                <w:rFonts w:ascii="Arial" w:hAnsi="Arial" w:cs="Arial"/>
                <w:color w:val="000000"/>
              </w:rPr>
              <w:t>1,241</w:t>
            </w:r>
          </w:p>
        </w:tc>
        <w:tc>
          <w:tcPr>
            <w:tcW w:w="1435" w:type="dxa"/>
            <w:vAlign w:val="center"/>
            <w:hideMark/>
          </w:tcPr>
          <w:p w14:paraId="0DBDAE48" w14:textId="77777777" w:rsidR="00C355DE" w:rsidRPr="00160BB2" w:rsidRDefault="00C355DE">
            <w:pPr>
              <w:jc w:val="right"/>
              <w:rPr>
                <w:rFonts w:ascii="Arial" w:hAnsi="Arial" w:cs="Arial"/>
                <w:color w:val="000000"/>
              </w:rPr>
            </w:pPr>
            <w:r w:rsidRPr="00160BB2">
              <w:rPr>
                <w:rFonts w:ascii="Arial" w:hAnsi="Arial" w:cs="Arial"/>
                <w:color w:val="000000"/>
              </w:rPr>
              <w:t>1,241</w:t>
            </w:r>
          </w:p>
        </w:tc>
      </w:tr>
      <w:tr w:rsidR="00C355DE" w:rsidRPr="00160BB2" w14:paraId="64FBE688" w14:textId="77777777" w:rsidTr="00160BB2">
        <w:trPr>
          <w:trHeight w:val="320"/>
          <w:jc w:val="center"/>
        </w:trPr>
        <w:tc>
          <w:tcPr>
            <w:tcW w:w="2245" w:type="dxa"/>
            <w:vAlign w:val="center"/>
            <w:hideMark/>
          </w:tcPr>
          <w:p w14:paraId="14C19DF9" w14:textId="77777777" w:rsidR="00C355DE" w:rsidRPr="00160BB2" w:rsidRDefault="00C355DE">
            <w:pPr>
              <w:rPr>
                <w:rFonts w:ascii="Arial" w:hAnsi="Arial" w:cs="Arial"/>
                <w:color w:val="000000"/>
              </w:rPr>
            </w:pPr>
            <w:r w:rsidRPr="00160BB2">
              <w:rPr>
                <w:rFonts w:ascii="Arial" w:hAnsi="Arial" w:cs="Arial"/>
                <w:color w:val="000000"/>
              </w:rPr>
              <w:t xml:space="preserve">Reserves and surplus </w:t>
            </w:r>
          </w:p>
        </w:tc>
        <w:tc>
          <w:tcPr>
            <w:tcW w:w="905" w:type="dxa"/>
            <w:vAlign w:val="center"/>
            <w:hideMark/>
          </w:tcPr>
          <w:p w14:paraId="62D627C1" w14:textId="77777777" w:rsidR="00C355DE" w:rsidRPr="00160BB2" w:rsidRDefault="00C355DE">
            <w:pPr>
              <w:jc w:val="right"/>
              <w:rPr>
                <w:rFonts w:ascii="Arial" w:hAnsi="Arial" w:cs="Arial"/>
                <w:color w:val="000000"/>
              </w:rPr>
            </w:pPr>
            <w:r w:rsidRPr="00160BB2">
              <w:rPr>
                <w:rFonts w:ascii="Arial" w:hAnsi="Arial" w:cs="Arial"/>
                <w:color w:val="000000"/>
              </w:rPr>
              <w:t>5,381</w:t>
            </w:r>
          </w:p>
        </w:tc>
        <w:tc>
          <w:tcPr>
            <w:tcW w:w="990" w:type="dxa"/>
            <w:vAlign w:val="center"/>
            <w:hideMark/>
          </w:tcPr>
          <w:p w14:paraId="4CC01032" w14:textId="77777777" w:rsidR="00C355DE" w:rsidRPr="00160BB2" w:rsidRDefault="00C355DE">
            <w:pPr>
              <w:jc w:val="right"/>
              <w:rPr>
                <w:rFonts w:ascii="Arial" w:hAnsi="Arial" w:cs="Arial"/>
                <w:color w:val="000000"/>
              </w:rPr>
            </w:pPr>
            <w:r w:rsidRPr="00160BB2">
              <w:rPr>
                <w:rFonts w:ascii="Arial" w:hAnsi="Arial" w:cs="Arial"/>
                <w:color w:val="000000"/>
              </w:rPr>
              <w:t>5,971</w:t>
            </w:r>
          </w:p>
        </w:tc>
        <w:tc>
          <w:tcPr>
            <w:tcW w:w="990" w:type="dxa"/>
            <w:vAlign w:val="center"/>
            <w:hideMark/>
          </w:tcPr>
          <w:p w14:paraId="7F3A3C61" w14:textId="77777777" w:rsidR="00C355DE" w:rsidRPr="00160BB2" w:rsidRDefault="00C355DE">
            <w:pPr>
              <w:jc w:val="right"/>
              <w:rPr>
                <w:rFonts w:ascii="Arial" w:hAnsi="Arial" w:cs="Arial"/>
                <w:color w:val="000000"/>
              </w:rPr>
            </w:pPr>
            <w:r w:rsidRPr="00160BB2">
              <w:rPr>
                <w:rFonts w:ascii="Arial" w:hAnsi="Arial" w:cs="Arial"/>
                <w:color w:val="000000"/>
              </w:rPr>
              <w:t>6,656</w:t>
            </w:r>
          </w:p>
        </w:tc>
        <w:tc>
          <w:tcPr>
            <w:tcW w:w="990" w:type="dxa"/>
            <w:vAlign w:val="center"/>
            <w:hideMark/>
          </w:tcPr>
          <w:p w14:paraId="782B5CDB" w14:textId="77777777" w:rsidR="00C355DE" w:rsidRPr="00160BB2" w:rsidRDefault="00C355DE">
            <w:pPr>
              <w:jc w:val="right"/>
              <w:rPr>
                <w:rFonts w:ascii="Arial" w:hAnsi="Arial" w:cs="Arial"/>
                <w:color w:val="000000"/>
              </w:rPr>
            </w:pPr>
            <w:r w:rsidRPr="00160BB2">
              <w:rPr>
                <w:rFonts w:ascii="Arial" w:hAnsi="Arial" w:cs="Arial"/>
                <w:color w:val="000000"/>
              </w:rPr>
              <w:t>6,633</w:t>
            </w:r>
          </w:p>
        </w:tc>
        <w:tc>
          <w:tcPr>
            <w:tcW w:w="1080" w:type="dxa"/>
            <w:vAlign w:val="center"/>
            <w:hideMark/>
          </w:tcPr>
          <w:p w14:paraId="32963512" w14:textId="77777777" w:rsidR="00C355DE" w:rsidRPr="00160BB2" w:rsidRDefault="00C355DE">
            <w:pPr>
              <w:jc w:val="right"/>
              <w:rPr>
                <w:rFonts w:ascii="Arial" w:hAnsi="Arial" w:cs="Arial"/>
                <w:color w:val="000000"/>
              </w:rPr>
            </w:pPr>
            <w:r w:rsidRPr="00160BB2">
              <w:rPr>
                <w:rFonts w:ascii="Arial" w:hAnsi="Arial" w:cs="Arial"/>
                <w:color w:val="000000"/>
              </w:rPr>
              <w:t>8,337</w:t>
            </w:r>
          </w:p>
        </w:tc>
        <w:tc>
          <w:tcPr>
            <w:tcW w:w="1435" w:type="dxa"/>
            <w:vAlign w:val="center"/>
            <w:hideMark/>
          </w:tcPr>
          <w:p w14:paraId="477EC297" w14:textId="77777777" w:rsidR="00C355DE" w:rsidRPr="00160BB2" w:rsidRDefault="00C355DE">
            <w:pPr>
              <w:jc w:val="right"/>
              <w:rPr>
                <w:rFonts w:ascii="Arial" w:hAnsi="Arial" w:cs="Arial"/>
                <w:color w:val="000000"/>
              </w:rPr>
            </w:pPr>
            <w:r w:rsidRPr="00160BB2">
              <w:rPr>
                <w:rFonts w:ascii="Arial" w:hAnsi="Arial" w:cs="Arial"/>
                <w:color w:val="000000"/>
              </w:rPr>
              <w:t>8,702</w:t>
            </w:r>
          </w:p>
        </w:tc>
      </w:tr>
      <w:tr w:rsidR="00C355DE" w:rsidRPr="00160BB2" w14:paraId="2A423095" w14:textId="77777777" w:rsidTr="00160BB2">
        <w:trPr>
          <w:trHeight w:val="320"/>
          <w:jc w:val="center"/>
        </w:trPr>
        <w:tc>
          <w:tcPr>
            <w:tcW w:w="2245" w:type="dxa"/>
            <w:vAlign w:val="center"/>
            <w:hideMark/>
          </w:tcPr>
          <w:p w14:paraId="2EC7DAC8" w14:textId="77777777" w:rsidR="00C355DE" w:rsidRPr="00160BB2" w:rsidRDefault="00C355DE">
            <w:pPr>
              <w:rPr>
                <w:rFonts w:ascii="Arial" w:hAnsi="Arial" w:cs="Arial"/>
                <w:color w:val="000000"/>
              </w:rPr>
            </w:pPr>
            <w:r w:rsidRPr="00160BB2">
              <w:rPr>
                <w:rFonts w:ascii="Arial" w:hAnsi="Arial" w:cs="Arial"/>
                <w:color w:val="000000"/>
              </w:rPr>
              <w:t xml:space="preserve">Long-term borrowings </w:t>
            </w:r>
          </w:p>
        </w:tc>
        <w:tc>
          <w:tcPr>
            <w:tcW w:w="905" w:type="dxa"/>
            <w:vAlign w:val="center"/>
            <w:hideMark/>
          </w:tcPr>
          <w:p w14:paraId="4420E94C" w14:textId="77777777" w:rsidR="00C355DE" w:rsidRPr="00160BB2" w:rsidRDefault="00C355DE">
            <w:pPr>
              <w:jc w:val="right"/>
              <w:rPr>
                <w:rFonts w:ascii="Arial" w:hAnsi="Arial" w:cs="Arial"/>
                <w:color w:val="000000"/>
              </w:rPr>
            </w:pPr>
            <w:r w:rsidRPr="00160BB2">
              <w:rPr>
                <w:rFonts w:ascii="Arial" w:hAnsi="Arial" w:cs="Arial"/>
                <w:color w:val="000000"/>
              </w:rPr>
              <w:t>1,896</w:t>
            </w:r>
          </w:p>
        </w:tc>
        <w:tc>
          <w:tcPr>
            <w:tcW w:w="990" w:type="dxa"/>
            <w:vAlign w:val="center"/>
            <w:hideMark/>
          </w:tcPr>
          <w:p w14:paraId="3DA2DCC1" w14:textId="77777777" w:rsidR="00C355DE" w:rsidRPr="00160BB2" w:rsidRDefault="00C355DE">
            <w:pPr>
              <w:jc w:val="right"/>
              <w:rPr>
                <w:rFonts w:ascii="Arial" w:hAnsi="Arial" w:cs="Arial"/>
                <w:color w:val="000000"/>
              </w:rPr>
            </w:pPr>
            <w:r w:rsidRPr="00160BB2">
              <w:rPr>
                <w:rFonts w:ascii="Arial" w:hAnsi="Arial" w:cs="Arial"/>
                <w:color w:val="000000"/>
              </w:rPr>
              <w:t>1,397</w:t>
            </w:r>
          </w:p>
        </w:tc>
        <w:tc>
          <w:tcPr>
            <w:tcW w:w="990" w:type="dxa"/>
            <w:vAlign w:val="center"/>
            <w:hideMark/>
          </w:tcPr>
          <w:p w14:paraId="2BFBB148" w14:textId="77777777" w:rsidR="00C355DE" w:rsidRPr="00160BB2" w:rsidRDefault="00C355DE">
            <w:pPr>
              <w:jc w:val="right"/>
              <w:rPr>
                <w:rFonts w:ascii="Arial" w:hAnsi="Arial" w:cs="Arial"/>
                <w:color w:val="000000"/>
              </w:rPr>
            </w:pPr>
            <w:r w:rsidRPr="00160BB2">
              <w:rPr>
                <w:rFonts w:ascii="Arial" w:hAnsi="Arial" w:cs="Arial"/>
                <w:color w:val="000000"/>
              </w:rPr>
              <w:t>2,322</w:t>
            </w:r>
          </w:p>
        </w:tc>
        <w:tc>
          <w:tcPr>
            <w:tcW w:w="990" w:type="dxa"/>
            <w:vAlign w:val="center"/>
            <w:hideMark/>
          </w:tcPr>
          <w:p w14:paraId="71CCD079" w14:textId="77777777" w:rsidR="00C355DE" w:rsidRPr="00160BB2" w:rsidRDefault="00C355DE">
            <w:pPr>
              <w:jc w:val="right"/>
              <w:rPr>
                <w:rFonts w:ascii="Arial" w:hAnsi="Arial" w:cs="Arial"/>
                <w:color w:val="000000"/>
              </w:rPr>
            </w:pPr>
            <w:r w:rsidRPr="00160BB2">
              <w:rPr>
                <w:rFonts w:ascii="Arial" w:hAnsi="Arial" w:cs="Arial"/>
                <w:color w:val="000000"/>
              </w:rPr>
              <w:t>1,837</w:t>
            </w:r>
          </w:p>
        </w:tc>
        <w:tc>
          <w:tcPr>
            <w:tcW w:w="1080" w:type="dxa"/>
            <w:vAlign w:val="center"/>
            <w:hideMark/>
          </w:tcPr>
          <w:p w14:paraId="5966B06F" w14:textId="437B3E92" w:rsidR="00C355DE" w:rsidRPr="00160BB2" w:rsidRDefault="00A45C92" w:rsidP="00CF5CC6">
            <w:pPr>
              <w:jc w:val="right"/>
              <w:rPr>
                <w:rFonts w:ascii="Arial" w:hAnsi="Arial" w:cs="Arial"/>
                <w:color w:val="000000"/>
              </w:rPr>
            </w:pPr>
            <w:r>
              <w:rPr>
                <w:rFonts w:ascii="Arial" w:hAnsi="Arial" w:cs="Arial"/>
                <w:color w:val="000000"/>
              </w:rPr>
              <w:t>–</w:t>
            </w:r>
            <w:r w:rsidR="00C355DE" w:rsidRPr="00160BB2">
              <w:rPr>
                <w:rFonts w:ascii="Arial" w:hAnsi="Arial" w:cs="Arial"/>
                <w:color w:val="000000"/>
              </w:rPr>
              <w:t xml:space="preserve"> </w:t>
            </w:r>
          </w:p>
        </w:tc>
        <w:tc>
          <w:tcPr>
            <w:tcW w:w="1435" w:type="dxa"/>
            <w:vAlign w:val="center"/>
            <w:hideMark/>
          </w:tcPr>
          <w:p w14:paraId="538B838A" w14:textId="6A1C42C0" w:rsidR="00C355DE" w:rsidRPr="00160BB2" w:rsidRDefault="00A45C92" w:rsidP="00CF5CC6">
            <w:pPr>
              <w:jc w:val="right"/>
              <w:rPr>
                <w:rFonts w:ascii="Arial" w:hAnsi="Arial" w:cs="Arial"/>
                <w:color w:val="000000"/>
              </w:rPr>
            </w:pPr>
            <w:r>
              <w:rPr>
                <w:rFonts w:ascii="Arial" w:hAnsi="Arial" w:cs="Arial"/>
                <w:color w:val="000000"/>
              </w:rPr>
              <w:t>–</w:t>
            </w:r>
            <w:r w:rsidR="00C355DE" w:rsidRPr="00160BB2">
              <w:rPr>
                <w:rFonts w:ascii="Arial" w:hAnsi="Arial" w:cs="Arial"/>
                <w:color w:val="000000"/>
              </w:rPr>
              <w:t xml:space="preserve"> </w:t>
            </w:r>
          </w:p>
        </w:tc>
      </w:tr>
      <w:tr w:rsidR="00C355DE" w:rsidRPr="00160BB2" w14:paraId="149A4984" w14:textId="77777777" w:rsidTr="00160BB2">
        <w:trPr>
          <w:trHeight w:val="520"/>
          <w:jc w:val="center"/>
        </w:trPr>
        <w:tc>
          <w:tcPr>
            <w:tcW w:w="2245" w:type="dxa"/>
            <w:vAlign w:val="center"/>
            <w:hideMark/>
          </w:tcPr>
          <w:p w14:paraId="484E89BD" w14:textId="77777777" w:rsidR="00C355DE" w:rsidRPr="00160BB2" w:rsidRDefault="00C355DE">
            <w:pPr>
              <w:rPr>
                <w:rFonts w:ascii="Arial" w:hAnsi="Arial" w:cs="Arial"/>
                <w:color w:val="000000"/>
              </w:rPr>
            </w:pPr>
            <w:r w:rsidRPr="00160BB2">
              <w:rPr>
                <w:rFonts w:ascii="Arial" w:hAnsi="Arial" w:cs="Arial"/>
                <w:color w:val="000000"/>
              </w:rPr>
              <w:t xml:space="preserve">Short-term borrowings (incl. loans repayable in one year) </w:t>
            </w:r>
          </w:p>
        </w:tc>
        <w:tc>
          <w:tcPr>
            <w:tcW w:w="905" w:type="dxa"/>
            <w:vAlign w:val="center"/>
            <w:hideMark/>
          </w:tcPr>
          <w:p w14:paraId="0806E7B0" w14:textId="77777777" w:rsidR="00C355DE" w:rsidRPr="00160BB2" w:rsidRDefault="00C355DE">
            <w:pPr>
              <w:jc w:val="right"/>
              <w:rPr>
                <w:rFonts w:ascii="Arial" w:hAnsi="Arial" w:cs="Arial"/>
                <w:color w:val="000000"/>
              </w:rPr>
            </w:pPr>
            <w:r w:rsidRPr="00160BB2">
              <w:rPr>
                <w:rFonts w:ascii="Arial" w:hAnsi="Arial" w:cs="Arial"/>
                <w:color w:val="000000"/>
              </w:rPr>
              <w:t>8,528</w:t>
            </w:r>
          </w:p>
        </w:tc>
        <w:tc>
          <w:tcPr>
            <w:tcW w:w="990" w:type="dxa"/>
            <w:vAlign w:val="center"/>
            <w:hideMark/>
          </w:tcPr>
          <w:p w14:paraId="0BF2FE1E" w14:textId="77777777" w:rsidR="00C355DE" w:rsidRPr="00160BB2" w:rsidRDefault="00C355DE">
            <w:pPr>
              <w:jc w:val="right"/>
              <w:rPr>
                <w:rFonts w:ascii="Arial" w:hAnsi="Arial" w:cs="Arial"/>
                <w:color w:val="000000"/>
              </w:rPr>
            </w:pPr>
            <w:r w:rsidRPr="00160BB2">
              <w:rPr>
                <w:rFonts w:ascii="Arial" w:hAnsi="Arial" w:cs="Arial"/>
                <w:color w:val="000000"/>
              </w:rPr>
              <w:t>6,997</w:t>
            </w:r>
          </w:p>
        </w:tc>
        <w:tc>
          <w:tcPr>
            <w:tcW w:w="990" w:type="dxa"/>
            <w:vAlign w:val="center"/>
            <w:hideMark/>
          </w:tcPr>
          <w:p w14:paraId="040B7AB3" w14:textId="77777777" w:rsidR="00C355DE" w:rsidRPr="00160BB2" w:rsidRDefault="00C355DE">
            <w:pPr>
              <w:jc w:val="right"/>
              <w:rPr>
                <w:rFonts w:ascii="Arial" w:hAnsi="Arial" w:cs="Arial"/>
                <w:color w:val="000000"/>
              </w:rPr>
            </w:pPr>
            <w:r w:rsidRPr="00160BB2">
              <w:rPr>
                <w:rFonts w:ascii="Arial" w:hAnsi="Arial" w:cs="Arial"/>
                <w:color w:val="000000"/>
              </w:rPr>
              <w:t>4,812</w:t>
            </w:r>
          </w:p>
        </w:tc>
        <w:tc>
          <w:tcPr>
            <w:tcW w:w="990" w:type="dxa"/>
            <w:vAlign w:val="center"/>
            <w:hideMark/>
          </w:tcPr>
          <w:p w14:paraId="476EE88A" w14:textId="77777777" w:rsidR="00C355DE" w:rsidRPr="00160BB2" w:rsidRDefault="00C355DE">
            <w:pPr>
              <w:jc w:val="right"/>
              <w:rPr>
                <w:rFonts w:ascii="Arial" w:hAnsi="Arial" w:cs="Arial"/>
                <w:color w:val="000000"/>
              </w:rPr>
            </w:pPr>
            <w:r w:rsidRPr="00160BB2">
              <w:rPr>
                <w:rFonts w:ascii="Arial" w:hAnsi="Arial" w:cs="Arial"/>
                <w:color w:val="000000"/>
              </w:rPr>
              <w:t>4,534</w:t>
            </w:r>
          </w:p>
        </w:tc>
        <w:tc>
          <w:tcPr>
            <w:tcW w:w="1080" w:type="dxa"/>
            <w:vAlign w:val="center"/>
            <w:hideMark/>
          </w:tcPr>
          <w:p w14:paraId="04DBC2DD" w14:textId="77777777" w:rsidR="00C355DE" w:rsidRPr="00160BB2" w:rsidRDefault="00C355DE">
            <w:pPr>
              <w:jc w:val="right"/>
              <w:rPr>
                <w:rFonts w:ascii="Arial" w:hAnsi="Arial" w:cs="Arial"/>
                <w:color w:val="000000"/>
              </w:rPr>
            </w:pPr>
            <w:r w:rsidRPr="00160BB2">
              <w:rPr>
                <w:rFonts w:ascii="Arial" w:hAnsi="Arial" w:cs="Arial"/>
                <w:color w:val="000000"/>
              </w:rPr>
              <w:t>2,117</w:t>
            </w:r>
          </w:p>
        </w:tc>
        <w:tc>
          <w:tcPr>
            <w:tcW w:w="1435" w:type="dxa"/>
            <w:vAlign w:val="center"/>
            <w:hideMark/>
          </w:tcPr>
          <w:p w14:paraId="7DCF4BC2" w14:textId="77777777" w:rsidR="00C355DE" w:rsidRPr="00160BB2" w:rsidRDefault="00C355DE">
            <w:pPr>
              <w:jc w:val="right"/>
              <w:rPr>
                <w:rFonts w:ascii="Arial" w:hAnsi="Arial" w:cs="Arial"/>
                <w:color w:val="000000"/>
              </w:rPr>
            </w:pPr>
            <w:r w:rsidRPr="00160BB2">
              <w:rPr>
                <w:rFonts w:ascii="Arial" w:hAnsi="Arial" w:cs="Arial"/>
                <w:color w:val="000000"/>
              </w:rPr>
              <w:t>2,117</w:t>
            </w:r>
          </w:p>
        </w:tc>
      </w:tr>
      <w:tr w:rsidR="00C355DE" w:rsidRPr="00160BB2" w14:paraId="56DEFA8C" w14:textId="77777777" w:rsidTr="00160BB2">
        <w:trPr>
          <w:trHeight w:val="320"/>
          <w:jc w:val="center"/>
        </w:trPr>
        <w:tc>
          <w:tcPr>
            <w:tcW w:w="2245" w:type="dxa"/>
            <w:vAlign w:val="center"/>
            <w:hideMark/>
          </w:tcPr>
          <w:p w14:paraId="7E030020" w14:textId="77777777" w:rsidR="00C355DE" w:rsidRPr="00160BB2" w:rsidRDefault="00C355DE">
            <w:pPr>
              <w:rPr>
                <w:rFonts w:ascii="Arial" w:hAnsi="Arial" w:cs="Arial"/>
                <w:b/>
                <w:bCs/>
                <w:color w:val="000000"/>
              </w:rPr>
            </w:pPr>
            <w:r w:rsidRPr="00160BB2">
              <w:rPr>
                <w:rFonts w:ascii="Arial" w:hAnsi="Arial" w:cs="Arial"/>
                <w:b/>
                <w:bCs/>
                <w:color w:val="000000"/>
              </w:rPr>
              <w:t xml:space="preserve">Total borrowings </w:t>
            </w:r>
          </w:p>
        </w:tc>
        <w:tc>
          <w:tcPr>
            <w:tcW w:w="905" w:type="dxa"/>
            <w:vAlign w:val="center"/>
            <w:hideMark/>
          </w:tcPr>
          <w:p w14:paraId="5428CE26" w14:textId="77777777" w:rsidR="00C355DE" w:rsidRPr="00160BB2" w:rsidRDefault="00C355DE">
            <w:pPr>
              <w:jc w:val="right"/>
              <w:rPr>
                <w:rFonts w:ascii="Arial" w:hAnsi="Arial" w:cs="Arial"/>
                <w:b/>
                <w:bCs/>
                <w:color w:val="000000"/>
              </w:rPr>
            </w:pPr>
            <w:r w:rsidRPr="00160BB2">
              <w:rPr>
                <w:rFonts w:ascii="Arial" w:hAnsi="Arial" w:cs="Arial"/>
                <w:b/>
                <w:bCs/>
                <w:color w:val="000000"/>
              </w:rPr>
              <w:t>10,424</w:t>
            </w:r>
          </w:p>
        </w:tc>
        <w:tc>
          <w:tcPr>
            <w:tcW w:w="990" w:type="dxa"/>
            <w:vAlign w:val="center"/>
            <w:hideMark/>
          </w:tcPr>
          <w:p w14:paraId="3C7971D4" w14:textId="77777777" w:rsidR="00C355DE" w:rsidRPr="00160BB2" w:rsidRDefault="00C355DE">
            <w:pPr>
              <w:jc w:val="right"/>
              <w:rPr>
                <w:rFonts w:ascii="Arial" w:hAnsi="Arial" w:cs="Arial"/>
                <w:b/>
                <w:bCs/>
                <w:color w:val="000000"/>
              </w:rPr>
            </w:pPr>
            <w:r w:rsidRPr="00160BB2">
              <w:rPr>
                <w:rFonts w:ascii="Arial" w:hAnsi="Arial" w:cs="Arial"/>
                <w:b/>
                <w:bCs/>
                <w:color w:val="000000"/>
              </w:rPr>
              <w:t>8,394</w:t>
            </w:r>
          </w:p>
        </w:tc>
        <w:tc>
          <w:tcPr>
            <w:tcW w:w="990" w:type="dxa"/>
            <w:vAlign w:val="center"/>
            <w:hideMark/>
          </w:tcPr>
          <w:p w14:paraId="1A10ACAE" w14:textId="77777777" w:rsidR="00C355DE" w:rsidRPr="00160BB2" w:rsidRDefault="00C355DE">
            <w:pPr>
              <w:jc w:val="right"/>
              <w:rPr>
                <w:rFonts w:ascii="Arial" w:hAnsi="Arial" w:cs="Arial"/>
                <w:b/>
                <w:bCs/>
                <w:color w:val="000000"/>
              </w:rPr>
            </w:pPr>
            <w:r w:rsidRPr="00160BB2">
              <w:rPr>
                <w:rFonts w:ascii="Arial" w:hAnsi="Arial" w:cs="Arial"/>
                <w:b/>
                <w:bCs/>
                <w:color w:val="000000"/>
              </w:rPr>
              <w:t>7,134</w:t>
            </w:r>
          </w:p>
        </w:tc>
        <w:tc>
          <w:tcPr>
            <w:tcW w:w="990" w:type="dxa"/>
            <w:vAlign w:val="center"/>
            <w:hideMark/>
          </w:tcPr>
          <w:p w14:paraId="0CBD60D0" w14:textId="77777777" w:rsidR="00C355DE" w:rsidRPr="00160BB2" w:rsidRDefault="00C355DE">
            <w:pPr>
              <w:jc w:val="right"/>
              <w:rPr>
                <w:rFonts w:ascii="Arial" w:hAnsi="Arial" w:cs="Arial"/>
                <w:b/>
                <w:bCs/>
                <w:color w:val="000000"/>
              </w:rPr>
            </w:pPr>
            <w:r w:rsidRPr="00160BB2">
              <w:rPr>
                <w:rFonts w:ascii="Arial" w:hAnsi="Arial" w:cs="Arial"/>
                <w:b/>
                <w:bCs/>
                <w:color w:val="000000"/>
              </w:rPr>
              <w:t>6,371</w:t>
            </w:r>
          </w:p>
        </w:tc>
        <w:tc>
          <w:tcPr>
            <w:tcW w:w="1080" w:type="dxa"/>
            <w:vAlign w:val="center"/>
            <w:hideMark/>
          </w:tcPr>
          <w:p w14:paraId="5837B79F" w14:textId="77777777" w:rsidR="00C355DE" w:rsidRPr="00160BB2" w:rsidRDefault="00C355DE">
            <w:pPr>
              <w:jc w:val="right"/>
              <w:rPr>
                <w:rFonts w:ascii="Arial" w:hAnsi="Arial" w:cs="Arial"/>
                <w:b/>
                <w:bCs/>
                <w:color w:val="000000"/>
              </w:rPr>
            </w:pPr>
            <w:r w:rsidRPr="00160BB2">
              <w:rPr>
                <w:rFonts w:ascii="Arial" w:hAnsi="Arial" w:cs="Arial"/>
                <w:b/>
                <w:bCs/>
                <w:color w:val="000000"/>
              </w:rPr>
              <w:t>2,117</w:t>
            </w:r>
          </w:p>
        </w:tc>
        <w:tc>
          <w:tcPr>
            <w:tcW w:w="1435" w:type="dxa"/>
            <w:vAlign w:val="center"/>
            <w:hideMark/>
          </w:tcPr>
          <w:p w14:paraId="6C8C211B" w14:textId="77777777" w:rsidR="00C355DE" w:rsidRPr="00160BB2" w:rsidRDefault="00C355DE">
            <w:pPr>
              <w:jc w:val="right"/>
              <w:rPr>
                <w:rFonts w:ascii="Arial" w:hAnsi="Arial" w:cs="Arial"/>
                <w:b/>
                <w:bCs/>
                <w:color w:val="000000"/>
              </w:rPr>
            </w:pPr>
            <w:r w:rsidRPr="00160BB2">
              <w:rPr>
                <w:rFonts w:ascii="Arial" w:hAnsi="Arial" w:cs="Arial"/>
                <w:b/>
                <w:bCs/>
                <w:color w:val="000000"/>
              </w:rPr>
              <w:t>2,117</w:t>
            </w:r>
          </w:p>
        </w:tc>
      </w:tr>
      <w:tr w:rsidR="00C355DE" w:rsidRPr="00160BB2" w14:paraId="59C6C212" w14:textId="77777777" w:rsidTr="00160BB2">
        <w:trPr>
          <w:trHeight w:val="320"/>
          <w:jc w:val="center"/>
        </w:trPr>
        <w:tc>
          <w:tcPr>
            <w:tcW w:w="8635" w:type="dxa"/>
            <w:gridSpan w:val="7"/>
            <w:tcBorders>
              <w:top w:val="nil"/>
              <w:left w:val="nil"/>
              <w:bottom w:val="single" w:sz="4" w:space="0" w:color="auto"/>
              <w:right w:val="nil"/>
            </w:tcBorders>
            <w:vAlign w:val="center"/>
            <w:hideMark/>
          </w:tcPr>
          <w:p w14:paraId="433EC2DF" w14:textId="77777777" w:rsidR="00C355DE" w:rsidRPr="00160BB2" w:rsidRDefault="00C355DE">
            <w:pPr>
              <w:rPr>
                <w:rFonts w:ascii="Arial" w:hAnsi="Arial" w:cs="Arial"/>
                <w:b/>
                <w:bCs/>
                <w:i/>
                <w:iCs/>
                <w:color w:val="000000"/>
              </w:rPr>
            </w:pPr>
            <w:r w:rsidRPr="00160BB2">
              <w:rPr>
                <w:rFonts w:ascii="Arial" w:hAnsi="Arial" w:cs="Arial"/>
                <w:b/>
                <w:bCs/>
                <w:i/>
                <w:iCs/>
                <w:color w:val="000000"/>
              </w:rPr>
              <w:t xml:space="preserve">Assets </w:t>
            </w:r>
          </w:p>
        </w:tc>
      </w:tr>
      <w:tr w:rsidR="00C355DE" w:rsidRPr="00160BB2" w14:paraId="730DF54F" w14:textId="77777777" w:rsidTr="00160BB2">
        <w:trPr>
          <w:trHeight w:val="320"/>
          <w:jc w:val="center"/>
        </w:trPr>
        <w:tc>
          <w:tcPr>
            <w:tcW w:w="2245" w:type="dxa"/>
            <w:vAlign w:val="center"/>
            <w:hideMark/>
          </w:tcPr>
          <w:p w14:paraId="39101D4F" w14:textId="77777777" w:rsidR="00C355DE" w:rsidRPr="00160BB2" w:rsidRDefault="00C355DE">
            <w:pPr>
              <w:rPr>
                <w:rFonts w:ascii="Arial" w:hAnsi="Arial" w:cs="Arial"/>
                <w:color w:val="000000"/>
              </w:rPr>
            </w:pPr>
            <w:r w:rsidRPr="00160BB2">
              <w:rPr>
                <w:rFonts w:ascii="Arial" w:hAnsi="Arial" w:cs="Arial"/>
                <w:color w:val="000000"/>
              </w:rPr>
              <w:t xml:space="preserve">Fixed assets (net block) </w:t>
            </w:r>
          </w:p>
        </w:tc>
        <w:tc>
          <w:tcPr>
            <w:tcW w:w="905" w:type="dxa"/>
            <w:vAlign w:val="center"/>
            <w:hideMark/>
          </w:tcPr>
          <w:p w14:paraId="3A412156" w14:textId="77777777" w:rsidR="00C355DE" w:rsidRPr="00160BB2" w:rsidRDefault="00C355DE">
            <w:pPr>
              <w:jc w:val="right"/>
              <w:rPr>
                <w:rFonts w:ascii="Arial" w:hAnsi="Arial" w:cs="Arial"/>
                <w:color w:val="000000"/>
              </w:rPr>
            </w:pPr>
            <w:r w:rsidRPr="00160BB2">
              <w:rPr>
                <w:rFonts w:ascii="Arial" w:hAnsi="Arial" w:cs="Arial"/>
                <w:color w:val="000000"/>
              </w:rPr>
              <w:t>7,840</w:t>
            </w:r>
          </w:p>
        </w:tc>
        <w:tc>
          <w:tcPr>
            <w:tcW w:w="990" w:type="dxa"/>
            <w:vAlign w:val="center"/>
            <w:hideMark/>
          </w:tcPr>
          <w:p w14:paraId="6FA8BE93" w14:textId="77777777" w:rsidR="00C355DE" w:rsidRPr="00160BB2" w:rsidRDefault="00C355DE">
            <w:pPr>
              <w:jc w:val="right"/>
              <w:rPr>
                <w:rFonts w:ascii="Arial" w:hAnsi="Arial" w:cs="Arial"/>
                <w:color w:val="000000"/>
              </w:rPr>
            </w:pPr>
            <w:r w:rsidRPr="00160BB2">
              <w:rPr>
                <w:rFonts w:ascii="Arial" w:hAnsi="Arial" w:cs="Arial"/>
                <w:color w:val="000000"/>
              </w:rPr>
              <w:t>8,795</w:t>
            </w:r>
          </w:p>
        </w:tc>
        <w:tc>
          <w:tcPr>
            <w:tcW w:w="990" w:type="dxa"/>
            <w:vAlign w:val="center"/>
            <w:hideMark/>
          </w:tcPr>
          <w:p w14:paraId="37A4018B" w14:textId="77777777" w:rsidR="00C355DE" w:rsidRPr="00160BB2" w:rsidRDefault="00C355DE">
            <w:pPr>
              <w:jc w:val="right"/>
              <w:rPr>
                <w:rFonts w:ascii="Arial" w:hAnsi="Arial" w:cs="Arial"/>
                <w:color w:val="000000"/>
              </w:rPr>
            </w:pPr>
            <w:r w:rsidRPr="00160BB2">
              <w:rPr>
                <w:rFonts w:ascii="Arial" w:hAnsi="Arial" w:cs="Arial"/>
                <w:color w:val="000000"/>
              </w:rPr>
              <w:t>9,052</w:t>
            </w:r>
          </w:p>
        </w:tc>
        <w:tc>
          <w:tcPr>
            <w:tcW w:w="990" w:type="dxa"/>
            <w:vAlign w:val="center"/>
            <w:hideMark/>
          </w:tcPr>
          <w:p w14:paraId="29DBF9F4" w14:textId="77777777" w:rsidR="00C355DE" w:rsidRPr="00160BB2" w:rsidRDefault="00C355DE">
            <w:pPr>
              <w:jc w:val="right"/>
              <w:rPr>
                <w:rFonts w:ascii="Arial" w:hAnsi="Arial" w:cs="Arial"/>
                <w:color w:val="000000"/>
              </w:rPr>
            </w:pPr>
            <w:r w:rsidRPr="00160BB2">
              <w:rPr>
                <w:rFonts w:ascii="Arial" w:hAnsi="Arial" w:cs="Arial"/>
                <w:color w:val="000000"/>
              </w:rPr>
              <w:t>8,678</w:t>
            </w:r>
          </w:p>
        </w:tc>
        <w:tc>
          <w:tcPr>
            <w:tcW w:w="1080" w:type="dxa"/>
            <w:vAlign w:val="center"/>
            <w:hideMark/>
          </w:tcPr>
          <w:p w14:paraId="7710D1EA" w14:textId="77777777" w:rsidR="00C355DE" w:rsidRPr="00160BB2" w:rsidRDefault="00C355DE">
            <w:pPr>
              <w:jc w:val="right"/>
              <w:rPr>
                <w:rFonts w:ascii="Arial" w:hAnsi="Arial" w:cs="Arial"/>
                <w:color w:val="000000"/>
              </w:rPr>
            </w:pPr>
            <w:r w:rsidRPr="00160BB2">
              <w:rPr>
                <w:rFonts w:ascii="Arial" w:hAnsi="Arial" w:cs="Arial"/>
                <w:color w:val="000000"/>
              </w:rPr>
              <w:t>8,496</w:t>
            </w:r>
          </w:p>
        </w:tc>
        <w:tc>
          <w:tcPr>
            <w:tcW w:w="1435" w:type="dxa"/>
            <w:vAlign w:val="center"/>
            <w:hideMark/>
          </w:tcPr>
          <w:p w14:paraId="5B51FAC3" w14:textId="77777777" w:rsidR="00C355DE" w:rsidRPr="00160BB2" w:rsidRDefault="00C355DE">
            <w:pPr>
              <w:jc w:val="right"/>
              <w:rPr>
                <w:rFonts w:ascii="Arial" w:hAnsi="Arial" w:cs="Arial"/>
                <w:color w:val="000000"/>
              </w:rPr>
            </w:pPr>
            <w:r w:rsidRPr="00160BB2">
              <w:rPr>
                <w:rFonts w:ascii="Arial" w:hAnsi="Arial" w:cs="Arial"/>
                <w:color w:val="000000"/>
              </w:rPr>
              <w:t>8,496</w:t>
            </w:r>
          </w:p>
        </w:tc>
      </w:tr>
      <w:tr w:rsidR="00C355DE" w:rsidRPr="00160BB2" w14:paraId="04C6904A" w14:textId="77777777" w:rsidTr="00160BB2">
        <w:trPr>
          <w:trHeight w:val="320"/>
          <w:jc w:val="center"/>
        </w:trPr>
        <w:tc>
          <w:tcPr>
            <w:tcW w:w="2245" w:type="dxa"/>
            <w:vAlign w:val="center"/>
            <w:hideMark/>
          </w:tcPr>
          <w:p w14:paraId="7988DC2B" w14:textId="77777777" w:rsidR="00C355DE" w:rsidRPr="00160BB2" w:rsidRDefault="00C355DE">
            <w:pPr>
              <w:rPr>
                <w:rFonts w:ascii="Arial" w:hAnsi="Arial" w:cs="Arial"/>
                <w:color w:val="000000"/>
              </w:rPr>
            </w:pPr>
            <w:r w:rsidRPr="00160BB2">
              <w:rPr>
                <w:rFonts w:ascii="Arial" w:hAnsi="Arial" w:cs="Arial"/>
                <w:color w:val="000000"/>
              </w:rPr>
              <w:t xml:space="preserve">Capital </w:t>
            </w:r>
            <w:r w:rsidR="00EF41B8" w:rsidRPr="00EF41B8">
              <w:rPr>
                <w:rFonts w:ascii="Arial" w:hAnsi="Arial" w:cs="Arial"/>
                <w:color w:val="000000"/>
              </w:rPr>
              <w:t>work in progress</w:t>
            </w:r>
          </w:p>
        </w:tc>
        <w:tc>
          <w:tcPr>
            <w:tcW w:w="905" w:type="dxa"/>
            <w:vAlign w:val="center"/>
            <w:hideMark/>
          </w:tcPr>
          <w:p w14:paraId="12736339" w14:textId="77777777" w:rsidR="00C355DE" w:rsidRPr="00160BB2" w:rsidRDefault="00C355DE">
            <w:pPr>
              <w:jc w:val="right"/>
              <w:rPr>
                <w:rFonts w:ascii="Arial" w:hAnsi="Arial" w:cs="Arial"/>
                <w:color w:val="000000"/>
              </w:rPr>
            </w:pPr>
            <w:r w:rsidRPr="00160BB2">
              <w:rPr>
                <w:rFonts w:ascii="Arial" w:hAnsi="Arial" w:cs="Arial"/>
                <w:color w:val="000000"/>
              </w:rPr>
              <w:t>854</w:t>
            </w:r>
          </w:p>
        </w:tc>
        <w:tc>
          <w:tcPr>
            <w:tcW w:w="990" w:type="dxa"/>
            <w:vAlign w:val="center"/>
            <w:hideMark/>
          </w:tcPr>
          <w:p w14:paraId="6FB23016" w14:textId="77777777" w:rsidR="00C355DE" w:rsidRPr="00160BB2" w:rsidRDefault="00C355DE">
            <w:pPr>
              <w:jc w:val="right"/>
              <w:rPr>
                <w:rFonts w:ascii="Arial" w:hAnsi="Arial" w:cs="Arial"/>
                <w:color w:val="000000"/>
              </w:rPr>
            </w:pPr>
            <w:r w:rsidRPr="00160BB2">
              <w:rPr>
                <w:rFonts w:ascii="Arial" w:hAnsi="Arial" w:cs="Arial"/>
                <w:color w:val="000000"/>
              </w:rPr>
              <w:t>506</w:t>
            </w:r>
          </w:p>
        </w:tc>
        <w:tc>
          <w:tcPr>
            <w:tcW w:w="990" w:type="dxa"/>
            <w:vAlign w:val="center"/>
            <w:hideMark/>
          </w:tcPr>
          <w:p w14:paraId="21EBA68B" w14:textId="77777777" w:rsidR="00C355DE" w:rsidRPr="00160BB2" w:rsidRDefault="00C355DE">
            <w:pPr>
              <w:jc w:val="right"/>
              <w:rPr>
                <w:rFonts w:ascii="Arial" w:hAnsi="Arial" w:cs="Arial"/>
                <w:color w:val="000000"/>
              </w:rPr>
            </w:pPr>
            <w:r w:rsidRPr="00160BB2">
              <w:rPr>
                <w:rFonts w:ascii="Arial" w:hAnsi="Arial" w:cs="Arial"/>
                <w:color w:val="000000"/>
              </w:rPr>
              <w:t>325</w:t>
            </w:r>
          </w:p>
        </w:tc>
        <w:tc>
          <w:tcPr>
            <w:tcW w:w="990" w:type="dxa"/>
            <w:vAlign w:val="center"/>
            <w:hideMark/>
          </w:tcPr>
          <w:p w14:paraId="6860E15C" w14:textId="77777777" w:rsidR="00C355DE" w:rsidRPr="00160BB2" w:rsidRDefault="00C355DE">
            <w:pPr>
              <w:jc w:val="right"/>
              <w:rPr>
                <w:rFonts w:ascii="Arial" w:hAnsi="Arial" w:cs="Arial"/>
                <w:color w:val="000000"/>
              </w:rPr>
            </w:pPr>
            <w:r w:rsidRPr="00160BB2">
              <w:rPr>
                <w:rFonts w:ascii="Arial" w:hAnsi="Arial" w:cs="Arial"/>
                <w:color w:val="000000"/>
              </w:rPr>
              <w:t>104</w:t>
            </w:r>
          </w:p>
        </w:tc>
        <w:tc>
          <w:tcPr>
            <w:tcW w:w="1080" w:type="dxa"/>
            <w:vAlign w:val="center"/>
            <w:hideMark/>
          </w:tcPr>
          <w:p w14:paraId="67B26F78" w14:textId="77777777" w:rsidR="00C355DE" w:rsidRPr="00160BB2" w:rsidRDefault="00C355DE">
            <w:pPr>
              <w:jc w:val="right"/>
              <w:rPr>
                <w:rFonts w:ascii="Arial" w:hAnsi="Arial" w:cs="Arial"/>
                <w:color w:val="000000"/>
              </w:rPr>
            </w:pPr>
            <w:r w:rsidRPr="00160BB2">
              <w:rPr>
                <w:rFonts w:ascii="Arial" w:hAnsi="Arial" w:cs="Arial"/>
                <w:color w:val="000000"/>
              </w:rPr>
              <w:t>66</w:t>
            </w:r>
          </w:p>
        </w:tc>
        <w:tc>
          <w:tcPr>
            <w:tcW w:w="1435" w:type="dxa"/>
            <w:vAlign w:val="center"/>
            <w:hideMark/>
          </w:tcPr>
          <w:p w14:paraId="436B41C2" w14:textId="77777777" w:rsidR="00C355DE" w:rsidRPr="00160BB2" w:rsidRDefault="00C355DE">
            <w:pPr>
              <w:jc w:val="right"/>
              <w:rPr>
                <w:rFonts w:ascii="Arial" w:hAnsi="Arial" w:cs="Arial"/>
                <w:color w:val="000000"/>
              </w:rPr>
            </w:pPr>
            <w:r w:rsidRPr="00160BB2">
              <w:rPr>
                <w:rFonts w:ascii="Arial" w:hAnsi="Arial" w:cs="Arial"/>
                <w:color w:val="000000"/>
              </w:rPr>
              <w:t>66</w:t>
            </w:r>
          </w:p>
        </w:tc>
      </w:tr>
      <w:tr w:rsidR="00C355DE" w:rsidRPr="00160BB2" w14:paraId="58ABF390" w14:textId="77777777" w:rsidTr="00160BB2">
        <w:trPr>
          <w:trHeight w:val="320"/>
          <w:jc w:val="center"/>
        </w:trPr>
        <w:tc>
          <w:tcPr>
            <w:tcW w:w="2245" w:type="dxa"/>
            <w:vAlign w:val="center"/>
            <w:hideMark/>
          </w:tcPr>
          <w:p w14:paraId="509A0E12" w14:textId="77777777" w:rsidR="00C355DE" w:rsidRPr="00160BB2" w:rsidRDefault="00C355DE">
            <w:pPr>
              <w:rPr>
                <w:rFonts w:ascii="Arial" w:hAnsi="Arial" w:cs="Arial"/>
                <w:color w:val="000000"/>
              </w:rPr>
            </w:pPr>
            <w:r w:rsidRPr="00160BB2">
              <w:rPr>
                <w:rFonts w:ascii="Arial" w:hAnsi="Arial" w:cs="Arial"/>
                <w:color w:val="000000"/>
              </w:rPr>
              <w:t xml:space="preserve">Non-current investments </w:t>
            </w:r>
          </w:p>
        </w:tc>
        <w:tc>
          <w:tcPr>
            <w:tcW w:w="905" w:type="dxa"/>
            <w:vAlign w:val="center"/>
            <w:hideMark/>
          </w:tcPr>
          <w:p w14:paraId="411AA24E" w14:textId="77777777" w:rsidR="00C355DE" w:rsidRPr="00160BB2" w:rsidRDefault="00C355DE">
            <w:pPr>
              <w:jc w:val="right"/>
              <w:rPr>
                <w:rFonts w:ascii="Arial" w:hAnsi="Arial" w:cs="Arial"/>
                <w:color w:val="000000"/>
              </w:rPr>
            </w:pPr>
            <w:r w:rsidRPr="00160BB2">
              <w:rPr>
                <w:rFonts w:ascii="Arial" w:hAnsi="Arial" w:cs="Arial"/>
                <w:color w:val="000000"/>
              </w:rPr>
              <w:t>1,221</w:t>
            </w:r>
          </w:p>
        </w:tc>
        <w:tc>
          <w:tcPr>
            <w:tcW w:w="990" w:type="dxa"/>
            <w:vAlign w:val="center"/>
            <w:hideMark/>
          </w:tcPr>
          <w:p w14:paraId="35D1550A" w14:textId="77777777" w:rsidR="00C355DE" w:rsidRPr="00160BB2" w:rsidRDefault="00C355DE">
            <w:pPr>
              <w:jc w:val="right"/>
              <w:rPr>
                <w:rFonts w:ascii="Arial" w:hAnsi="Arial" w:cs="Arial"/>
                <w:color w:val="000000"/>
              </w:rPr>
            </w:pPr>
            <w:r w:rsidRPr="00160BB2">
              <w:rPr>
                <w:rFonts w:ascii="Arial" w:hAnsi="Arial" w:cs="Arial"/>
                <w:color w:val="000000"/>
              </w:rPr>
              <w:t>1,274</w:t>
            </w:r>
          </w:p>
        </w:tc>
        <w:tc>
          <w:tcPr>
            <w:tcW w:w="990" w:type="dxa"/>
            <w:vAlign w:val="center"/>
            <w:hideMark/>
          </w:tcPr>
          <w:p w14:paraId="3AB83E25" w14:textId="77777777" w:rsidR="00C355DE" w:rsidRPr="00160BB2" w:rsidRDefault="00C355DE">
            <w:pPr>
              <w:jc w:val="right"/>
              <w:rPr>
                <w:rFonts w:ascii="Arial" w:hAnsi="Arial" w:cs="Arial"/>
                <w:color w:val="000000"/>
              </w:rPr>
            </w:pPr>
            <w:r w:rsidRPr="00160BB2">
              <w:rPr>
                <w:rFonts w:ascii="Arial" w:hAnsi="Arial" w:cs="Arial"/>
                <w:color w:val="000000"/>
              </w:rPr>
              <w:t>1,274</w:t>
            </w:r>
          </w:p>
        </w:tc>
        <w:tc>
          <w:tcPr>
            <w:tcW w:w="990" w:type="dxa"/>
            <w:vAlign w:val="center"/>
            <w:hideMark/>
          </w:tcPr>
          <w:p w14:paraId="4934DF4B" w14:textId="77777777" w:rsidR="00C355DE" w:rsidRPr="00160BB2" w:rsidRDefault="00C355DE">
            <w:pPr>
              <w:jc w:val="right"/>
              <w:rPr>
                <w:rFonts w:ascii="Arial" w:hAnsi="Arial" w:cs="Arial"/>
                <w:color w:val="000000"/>
              </w:rPr>
            </w:pPr>
            <w:r w:rsidRPr="00160BB2">
              <w:rPr>
                <w:rFonts w:ascii="Arial" w:hAnsi="Arial" w:cs="Arial"/>
                <w:color w:val="000000"/>
              </w:rPr>
              <w:t>1,246</w:t>
            </w:r>
          </w:p>
        </w:tc>
        <w:tc>
          <w:tcPr>
            <w:tcW w:w="1080" w:type="dxa"/>
            <w:vAlign w:val="center"/>
            <w:hideMark/>
          </w:tcPr>
          <w:p w14:paraId="0C670F86" w14:textId="77777777" w:rsidR="00C355DE" w:rsidRPr="00160BB2" w:rsidRDefault="00C355DE">
            <w:pPr>
              <w:jc w:val="right"/>
              <w:rPr>
                <w:rFonts w:ascii="Arial" w:hAnsi="Arial" w:cs="Arial"/>
                <w:color w:val="000000"/>
              </w:rPr>
            </w:pPr>
            <w:r w:rsidRPr="00160BB2">
              <w:rPr>
                <w:rFonts w:ascii="Arial" w:hAnsi="Arial" w:cs="Arial"/>
                <w:color w:val="000000"/>
              </w:rPr>
              <w:t>1,204</w:t>
            </w:r>
          </w:p>
        </w:tc>
        <w:tc>
          <w:tcPr>
            <w:tcW w:w="1435" w:type="dxa"/>
            <w:vAlign w:val="center"/>
            <w:hideMark/>
          </w:tcPr>
          <w:p w14:paraId="68CB41E6" w14:textId="77777777" w:rsidR="00C355DE" w:rsidRPr="00160BB2" w:rsidRDefault="00C355DE">
            <w:pPr>
              <w:jc w:val="right"/>
              <w:rPr>
                <w:rFonts w:ascii="Arial" w:hAnsi="Arial" w:cs="Arial"/>
                <w:color w:val="000000"/>
              </w:rPr>
            </w:pPr>
            <w:r w:rsidRPr="00160BB2">
              <w:rPr>
                <w:rFonts w:ascii="Arial" w:hAnsi="Arial" w:cs="Arial"/>
                <w:color w:val="000000"/>
              </w:rPr>
              <w:t>1,604</w:t>
            </w:r>
          </w:p>
        </w:tc>
      </w:tr>
      <w:tr w:rsidR="00C355DE" w:rsidRPr="00160BB2" w14:paraId="4D746486" w14:textId="77777777" w:rsidTr="00160BB2">
        <w:trPr>
          <w:trHeight w:val="320"/>
          <w:jc w:val="center"/>
        </w:trPr>
        <w:tc>
          <w:tcPr>
            <w:tcW w:w="2245" w:type="dxa"/>
            <w:tcBorders>
              <w:top w:val="nil"/>
              <w:left w:val="nil"/>
              <w:bottom w:val="single" w:sz="4" w:space="0" w:color="auto"/>
              <w:right w:val="nil"/>
            </w:tcBorders>
            <w:vAlign w:val="center"/>
            <w:hideMark/>
          </w:tcPr>
          <w:p w14:paraId="57ABC170" w14:textId="77777777" w:rsidR="00C355DE" w:rsidRPr="00160BB2" w:rsidRDefault="00C355DE">
            <w:pPr>
              <w:rPr>
                <w:rFonts w:ascii="Arial" w:hAnsi="Arial" w:cs="Arial"/>
                <w:color w:val="000000"/>
              </w:rPr>
            </w:pPr>
            <w:r w:rsidRPr="00160BB2">
              <w:rPr>
                <w:rFonts w:ascii="Arial" w:hAnsi="Arial" w:cs="Arial"/>
                <w:color w:val="000000"/>
              </w:rPr>
              <w:t xml:space="preserve">Current investments </w:t>
            </w:r>
          </w:p>
        </w:tc>
        <w:tc>
          <w:tcPr>
            <w:tcW w:w="905" w:type="dxa"/>
            <w:tcBorders>
              <w:top w:val="nil"/>
              <w:left w:val="nil"/>
              <w:bottom w:val="single" w:sz="4" w:space="0" w:color="auto"/>
              <w:right w:val="nil"/>
            </w:tcBorders>
            <w:vAlign w:val="center"/>
            <w:hideMark/>
          </w:tcPr>
          <w:p w14:paraId="7328D5A1" w14:textId="77777777" w:rsidR="00C355DE" w:rsidRPr="00160BB2" w:rsidRDefault="00C355DE">
            <w:pPr>
              <w:jc w:val="right"/>
              <w:rPr>
                <w:rFonts w:ascii="Arial" w:hAnsi="Arial" w:cs="Arial"/>
                <w:color w:val="000000"/>
              </w:rPr>
            </w:pPr>
            <w:r w:rsidRPr="00160BB2">
              <w:rPr>
                <w:rFonts w:ascii="Arial" w:hAnsi="Arial" w:cs="Arial"/>
                <w:color w:val="000000"/>
              </w:rPr>
              <w:t>3,711</w:t>
            </w:r>
          </w:p>
        </w:tc>
        <w:tc>
          <w:tcPr>
            <w:tcW w:w="990" w:type="dxa"/>
            <w:tcBorders>
              <w:top w:val="nil"/>
              <w:left w:val="nil"/>
              <w:bottom w:val="single" w:sz="4" w:space="0" w:color="auto"/>
              <w:right w:val="nil"/>
            </w:tcBorders>
            <w:vAlign w:val="center"/>
            <w:hideMark/>
          </w:tcPr>
          <w:p w14:paraId="00986991" w14:textId="77777777" w:rsidR="00C355DE" w:rsidRPr="00160BB2" w:rsidRDefault="00C355DE">
            <w:pPr>
              <w:jc w:val="right"/>
              <w:rPr>
                <w:rFonts w:ascii="Arial" w:hAnsi="Arial" w:cs="Arial"/>
                <w:color w:val="000000"/>
              </w:rPr>
            </w:pPr>
            <w:r w:rsidRPr="00160BB2">
              <w:rPr>
                <w:rFonts w:ascii="Arial" w:hAnsi="Arial" w:cs="Arial"/>
                <w:color w:val="000000"/>
              </w:rPr>
              <w:t>2,322</w:t>
            </w:r>
          </w:p>
        </w:tc>
        <w:tc>
          <w:tcPr>
            <w:tcW w:w="990" w:type="dxa"/>
            <w:tcBorders>
              <w:top w:val="nil"/>
              <w:left w:val="nil"/>
              <w:bottom w:val="single" w:sz="4" w:space="0" w:color="auto"/>
              <w:right w:val="nil"/>
            </w:tcBorders>
            <w:vAlign w:val="center"/>
            <w:hideMark/>
          </w:tcPr>
          <w:p w14:paraId="72169EB0" w14:textId="77777777" w:rsidR="00C355DE" w:rsidRPr="00160BB2" w:rsidRDefault="00C355DE">
            <w:pPr>
              <w:jc w:val="right"/>
              <w:rPr>
                <w:rFonts w:ascii="Arial" w:hAnsi="Arial" w:cs="Arial"/>
                <w:color w:val="000000"/>
              </w:rPr>
            </w:pPr>
            <w:r w:rsidRPr="00160BB2">
              <w:rPr>
                <w:rFonts w:ascii="Arial" w:hAnsi="Arial" w:cs="Arial"/>
                <w:color w:val="000000"/>
              </w:rPr>
              <w:t>941</w:t>
            </w:r>
          </w:p>
        </w:tc>
        <w:tc>
          <w:tcPr>
            <w:tcW w:w="990" w:type="dxa"/>
            <w:tcBorders>
              <w:top w:val="nil"/>
              <w:left w:val="nil"/>
              <w:bottom w:val="single" w:sz="4" w:space="0" w:color="auto"/>
              <w:right w:val="nil"/>
            </w:tcBorders>
            <w:vAlign w:val="center"/>
            <w:hideMark/>
          </w:tcPr>
          <w:p w14:paraId="68D2BCEC" w14:textId="77777777" w:rsidR="00C355DE" w:rsidRPr="00160BB2" w:rsidRDefault="00C355DE">
            <w:pPr>
              <w:jc w:val="right"/>
              <w:rPr>
                <w:rFonts w:ascii="Arial" w:hAnsi="Arial" w:cs="Arial"/>
                <w:color w:val="000000"/>
              </w:rPr>
            </w:pPr>
            <w:r w:rsidRPr="00160BB2">
              <w:rPr>
                <w:rFonts w:ascii="Arial" w:hAnsi="Arial" w:cs="Arial"/>
                <w:color w:val="000000"/>
              </w:rPr>
              <w:t>551</w:t>
            </w:r>
          </w:p>
        </w:tc>
        <w:tc>
          <w:tcPr>
            <w:tcW w:w="1080" w:type="dxa"/>
            <w:tcBorders>
              <w:top w:val="nil"/>
              <w:left w:val="nil"/>
              <w:bottom w:val="single" w:sz="4" w:space="0" w:color="auto"/>
              <w:right w:val="nil"/>
            </w:tcBorders>
            <w:vAlign w:val="center"/>
            <w:hideMark/>
          </w:tcPr>
          <w:p w14:paraId="77A6A031" w14:textId="77777777" w:rsidR="00C355DE" w:rsidRPr="00160BB2" w:rsidRDefault="00C355DE">
            <w:pPr>
              <w:jc w:val="right"/>
              <w:rPr>
                <w:rFonts w:ascii="Arial" w:hAnsi="Arial" w:cs="Arial"/>
                <w:color w:val="000000"/>
              </w:rPr>
            </w:pPr>
            <w:r w:rsidRPr="00160BB2">
              <w:rPr>
                <w:rFonts w:ascii="Arial" w:hAnsi="Arial" w:cs="Arial"/>
                <w:color w:val="000000"/>
              </w:rPr>
              <w:t>1,677</w:t>
            </w:r>
          </w:p>
        </w:tc>
        <w:tc>
          <w:tcPr>
            <w:tcW w:w="1435" w:type="dxa"/>
            <w:tcBorders>
              <w:top w:val="nil"/>
              <w:left w:val="nil"/>
              <w:bottom w:val="single" w:sz="4" w:space="0" w:color="auto"/>
              <w:right w:val="nil"/>
            </w:tcBorders>
            <w:vAlign w:val="center"/>
            <w:hideMark/>
          </w:tcPr>
          <w:p w14:paraId="4E5C7EAC" w14:textId="77777777" w:rsidR="00C355DE" w:rsidRPr="00160BB2" w:rsidRDefault="00C355DE">
            <w:pPr>
              <w:jc w:val="right"/>
              <w:rPr>
                <w:rFonts w:ascii="Arial" w:hAnsi="Arial" w:cs="Arial"/>
                <w:color w:val="000000"/>
              </w:rPr>
            </w:pPr>
            <w:r w:rsidRPr="00160BB2">
              <w:rPr>
                <w:rFonts w:ascii="Arial" w:hAnsi="Arial" w:cs="Arial"/>
                <w:color w:val="000000"/>
              </w:rPr>
              <w:t>1,677</w:t>
            </w:r>
          </w:p>
        </w:tc>
      </w:tr>
    </w:tbl>
    <w:p w14:paraId="054152EF" w14:textId="77777777" w:rsidR="00C355DE" w:rsidRPr="00C412E4" w:rsidRDefault="00C355DE" w:rsidP="00C355DE">
      <w:pPr>
        <w:pStyle w:val="Body"/>
        <w:rPr>
          <w:rFonts w:ascii="Arial" w:eastAsia="Times New Roman" w:hAnsi="Arial" w:cs="Arial"/>
          <w:bCs/>
          <w:sz w:val="19"/>
          <w:szCs w:val="19"/>
        </w:rPr>
      </w:pPr>
    </w:p>
    <w:p w14:paraId="36173DAB" w14:textId="77777777" w:rsidR="00C355DE" w:rsidRPr="00A940B5" w:rsidRDefault="00C355DE" w:rsidP="00C355DE">
      <w:pPr>
        <w:pStyle w:val="Body"/>
        <w:jc w:val="both"/>
        <w:rPr>
          <w:rFonts w:ascii="Arial" w:hAnsi="Arial" w:cs="Arial"/>
          <w:sz w:val="17"/>
          <w:szCs w:val="17"/>
        </w:rPr>
      </w:pPr>
      <w:r w:rsidRPr="00A940B5">
        <w:rPr>
          <w:rFonts w:ascii="Arial" w:hAnsi="Arial" w:cs="Arial"/>
          <w:bCs/>
          <w:sz w:val="17"/>
          <w:szCs w:val="17"/>
        </w:rPr>
        <w:t>Note</w:t>
      </w:r>
      <w:r w:rsidRPr="00A940B5">
        <w:rPr>
          <w:rFonts w:ascii="Arial" w:hAnsi="Arial" w:cs="Arial"/>
          <w:sz w:val="17"/>
          <w:szCs w:val="17"/>
        </w:rPr>
        <w:t xml:space="preserve">: As per the provisions of </w:t>
      </w:r>
      <w:r w:rsidR="0089721B">
        <w:rPr>
          <w:rFonts w:ascii="Arial" w:hAnsi="Arial" w:cs="Arial"/>
          <w:sz w:val="17"/>
          <w:szCs w:val="17"/>
        </w:rPr>
        <w:t>S</w:t>
      </w:r>
      <w:r w:rsidR="0089721B" w:rsidRPr="00A940B5">
        <w:rPr>
          <w:rFonts w:ascii="Arial" w:hAnsi="Arial" w:cs="Arial"/>
          <w:sz w:val="17"/>
          <w:szCs w:val="17"/>
        </w:rPr>
        <w:t xml:space="preserve">ection </w:t>
      </w:r>
      <w:r w:rsidRPr="00A940B5">
        <w:rPr>
          <w:rFonts w:ascii="Arial" w:hAnsi="Arial" w:cs="Arial"/>
          <w:sz w:val="17"/>
          <w:szCs w:val="17"/>
        </w:rPr>
        <w:t>129(3) of the Companies Act 2013, the company has prepared consolidated financial statements (includes Finolex Plasson Industries Pvt</w:t>
      </w:r>
      <w:r w:rsidR="00D16746">
        <w:rPr>
          <w:rFonts w:ascii="Arial" w:hAnsi="Arial" w:cs="Arial"/>
          <w:sz w:val="17"/>
          <w:szCs w:val="17"/>
        </w:rPr>
        <w:t>.</w:t>
      </w:r>
      <w:r w:rsidRPr="00A940B5">
        <w:rPr>
          <w:rFonts w:ascii="Arial" w:hAnsi="Arial" w:cs="Arial"/>
          <w:sz w:val="17"/>
          <w:szCs w:val="17"/>
        </w:rPr>
        <w:t xml:space="preserve"> Ltd</w:t>
      </w:r>
      <w:r w:rsidR="00D16746">
        <w:rPr>
          <w:rFonts w:ascii="Arial" w:hAnsi="Arial" w:cs="Arial"/>
          <w:sz w:val="17"/>
          <w:szCs w:val="17"/>
        </w:rPr>
        <w:t>.</w:t>
      </w:r>
      <w:r w:rsidRPr="00A940B5">
        <w:rPr>
          <w:rFonts w:ascii="Arial" w:hAnsi="Arial" w:cs="Arial"/>
          <w:sz w:val="17"/>
          <w:szCs w:val="17"/>
        </w:rPr>
        <w:t>) for the first time in the current year.</w:t>
      </w:r>
    </w:p>
    <w:p w14:paraId="34A58E5B" w14:textId="542F1CB0" w:rsidR="00C355DE" w:rsidRPr="00A940B5" w:rsidRDefault="00C355DE" w:rsidP="00C355DE">
      <w:pPr>
        <w:pStyle w:val="Body"/>
        <w:jc w:val="both"/>
        <w:rPr>
          <w:rFonts w:ascii="Arial" w:eastAsia="Times New Roman" w:hAnsi="Arial" w:cs="Arial"/>
          <w:sz w:val="17"/>
          <w:szCs w:val="17"/>
        </w:rPr>
      </w:pPr>
      <w:r w:rsidRPr="00A940B5">
        <w:rPr>
          <w:rFonts w:ascii="Arial" w:eastAsia="Times New Roman" w:hAnsi="Arial" w:cs="Arial"/>
          <w:sz w:val="17"/>
          <w:szCs w:val="17"/>
        </w:rPr>
        <w:t>The financial year (FY) starts on April 1 and end</w:t>
      </w:r>
      <w:r w:rsidR="0089721B">
        <w:rPr>
          <w:rFonts w:ascii="Arial" w:eastAsia="Times New Roman" w:hAnsi="Arial" w:cs="Arial"/>
          <w:sz w:val="17"/>
          <w:szCs w:val="17"/>
        </w:rPr>
        <w:t>s</w:t>
      </w:r>
      <w:r w:rsidRPr="00A940B5">
        <w:rPr>
          <w:rFonts w:ascii="Arial" w:eastAsia="Times New Roman" w:hAnsi="Arial" w:cs="Arial"/>
          <w:sz w:val="17"/>
          <w:szCs w:val="17"/>
        </w:rPr>
        <w:t xml:space="preserve"> on March 31. Hence</w:t>
      </w:r>
      <w:r w:rsidR="0089721B">
        <w:rPr>
          <w:rFonts w:ascii="Arial" w:eastAsia="Times New Roman" w:hAnsi="Arial" w:cs="Arial"/>
          <w:sz w:val="17"/>
          <w:szCs w:val="17"/>
        </w:rPr>
        <w:t>,</w:t>
      </w:r>
      <w:r w:rsidRPr="00A940B5">
        <w:rPr>
          <w:rFonts w:ascii="Arial" w:eastAsia="Times New Roman" w:hAnsi="Arial" w:cs="Arial"/>
          <w:sz w:val="17"/>
          <w:szCs w:val="17"/>
        </w:rPr>
        <w:t xml:space="preserve"> FY12 indicates </w:t>
      </w:r>
      <w:r w:rsidR="0089721B">
        <w:rPr>
          <w:rFonts w:ascii="Arial" w:eastAsia="Times New Roman" w:hAnsi="Arial" w:cs="Arial"/>
          <w:sz w:val="17"/>
          <w:szCs w:val="17"/>
        </w:rPr>
        <w:t xml:space="preserve">a </w:t>
      </w:r>
      <w:r w:rsidR="00EB405C">
        <w:rPr>
          <w:rFonts w:ascii="Arial" w:eastAsia="Times New Roman" w:hAnsi="Arial" w:cs="Arial"/>
          <w:sz w:val="17"/>
          <w:szCs w:val="17"/>
        </w:rPr>
        <w:t>12</w:t>
      </w:r>
      <w:r w:rsidR="00DA251A">
        <w:rPr>
          <w:rFonts w:ascii="Arial" w:eastAsia="Times New Roman" w:hAnsi="Arial" w:cs="Arial"/>
          <w:sz w:val="17"/>
          <w:szCs w:val="17"/>
        </w:rPr>
        <w:t>-</w:t>
      </w:r>
      <w:r w:rsidR="00EB405C">
        <w:rPr>
          <w:rFonts w:ascii="Arial" w:eastAsia="Times New Roman" w:hAnsi="Arial" w:cs="Arial"/>
          <w:sz w:val="17"/>
          <w:szCs w:val="17"/>
        </w:rPr>
        <w:t>month</w:t>
      </w:r>
      <w:r w:rsidR="0089721B">
        <w:rPr>
          <w:rFonts w:ascii="Arial" w:eastAsia="Times New Roman" w:hAnsi="Arial" w:cs="Arial"/>
          <w:sz w:val="17"/>
          <w:szCs w:val="17"/>
        </w:rPr>
        <w:t xml:space="preserve"> </w:t>
      </w:r>
      <w:r w:rsidRPr="00A940B5">
        <w:rPr>
          <w:rFonts w:ascii="Arial" w:eastAsia="Times New Roman" w:hAnsi="Arial" w:cs="Arial"/>
          <w:sz w:val="17"/>
          <w:szCs w:val="17"/>
        </w:rPr>
        <w:t>period from April 1, 2011</w:t>
      </w:r>
      <w:r w:rsidR="0089721B">
        <w:rPr>
          <w:rFonts w:ascii="Arial" w:eastAsia="Times New Roman" w:hAnsi="Arial" w:cs="Arial"/>
          <w:sz w:val="17"/>
          <w:szCs w:val="17"/>
        </w:rPr>
        <w:t>,</w:t>
      </w:r>
      <w:r w:rsidRPr="00A940B5">
        <w:rPr>
          <w:rFonts w:ascii="Arial" w:eastAsia="Times New Roman" w:hAnsi="Arial" w:cs="Arial"/>
          <w:sz w:val="17"/>
          <w:szCs w:val="17"/>
        </w:rPr>
        <w:t xml:space="preserve"> to March 31, 2012.</w:t>
      </w:r>
    </w:p>
    <w:p w14:paraId="4E530C9A" w14:textId="316F62A3" w:rsidR="00C355DE" w:rsidRPr="00A940B5" w:rsidRDefault="00C355DE" w:rsidP="00C355DE">
      <w:pPr>
        <w:pStyle w:val="Body"/>
        <w:jc w:val="both"/>
        <w:rPr>
          <w:rFonts w:ascii="Arial" w:eastAsia="Times New Roman" w:hAnsi="Arial" w:cs="Arial"/>
          <w:sz w:val="17"/>
          <w:szCs w:val="17"/>
        </w:rPr>
      </w:pPr>
      <w:r w:rsidRPr="00A940B5">
        <w:rPr>
          <w:rFonts w:ascii="Arial" w:eastAsia="Times New Roman" w:hAnsi="Arial" w:cs="Arial"/>
          <w:sz w:val="17"/>
          <w:szCs w:val="17"/>
        </w:rPr>
        <w:t>Source</w:t>
      </w:r>
      <w:r w:rsidR="00D6296E" w:rsidRPr="00A940B5">
        <w:rPr>
          <w:rFonts w:ascii="Arial" w:eastAsia="Times New Roman" w:hAnsi="Arial" w:cs="Arial"/>
          <w:sz w:val="17"/>
          <w:szCs w:val="17"/>
        </w:rPr>
        <w:t xml:space="preserve">: </w:t>
      </w:r>
      <w:r w:rsidR="00D07C93">
        <w:rPr>
          <w:rFonts w:ascii="Arial" w:eastAsia="Times New Roman" w:hAnsi="Arial" w:cs="Arial"/>
          <w:sz w:val="17"/>
          <w:szCs w:val="17"/>
        </w:rPr>
        <w:t>Finolex I</w:t>
      </w:r>
      <w:r w:rsidR="00D07C93" w:rsidRPr="00D07C93">
        <w:rPr>
          <w:rFonts w:ascii="Arial" w:eastAsia="Times New Roman" w:hAnsi="Arial" w:cs="Arial"/>
          <w:sz w:val="17"/>
          <w:szCs w:val="17"/>
        </w:rPr>
        <w:t xml:space="preserve">ndustries Limited, </w:t>
      </w:r>
      <w:r w:rsidR="00D07C93" w:rsidRPr="00345D90">
        <w:rPr>
          <w:rFonts w:ascii="Arial" w:eastAsia="Times New Roman" w:hAnsi="Arial" w:cs="Arial"/>
          <w:i/>
          <w:sz w:val="17"/>
          <w:szCs w:val="17"/>
        </w:rPr>
        <w:t>Investor Presentation</w:t>
      </w:r>
      <w:r w:rsidR="00A20AE1">
        <w:rPr>
          <w:rFonts w:ascii="Arial" w:eastAsia="Times New Roman" w:hAnsi="Arial" w:cs="Arial"/>
          <w:i/>
          <w:sz w:val="17"/>
          <w:szCs w:val="17"/>
        </w:rPr>
        <w:t>:</w:t>
      </w:r>
      <w:r w:rsidR="00D07C93" w:rsidRPr="00D07C93">
        <w:rPr>
          <w:rFonts w:ascii="Arial" w:eastAsia="Times New Roman" w:hAnsi="Arial" w:cs="Arial"/>
          <w:sz w:val="17"/>
          <w:szCs w:val="17"/>
        </w:rPr>
        <w:t xml:space="preserve"> </w:t>
      </w:r>
      <w:r w:rsidR="00D07C93" w:rsidRPr="001E6BE7">
        <w:rPr>
          <w:rFonts w:ascii="Arial" w:eastAsia="Times New Roman" w:hAnsi="Arial" w:cs="Arial"/>
          <w:i/>
          <w:sz w:val="17"/>
          <w:szCs w:val="17"/>
        </w:rPr>
        <w:t>June 2016</w:t>
      </w:r>
      <w:r w:rsidR="00D07C93">
        <w:rPr>
          <w:rFonts w:ascii="Arial" w:eastAsia="Times New Roman" w:hAnsi="Arial" w:cs="Arial"/>
          <w:sz w:val="17"/>
          <w:szCs w:val="17"/>
        </w:rPr>
        <w:t>,</w:t>
      </w:r>
      <w:r w:rsidR="00D07C93" w:rsidRPr="00D07C93">
        <w:rPr>
          <w:rFonts w:ascii="Arial" w:eastAsia="Times New Roman" w:hAnsi="Arial" w:cs="Arial"/>
          <w:sz w:val="17"/>
          <w:szCs w:val="17"/>
        </w:rPr>
        <w:t xml:space="preserve"> </w:t>
      </w:r>
      <w:r w:rsidR="00A20AE1">
        <w:rPr>
          <w:rFonts w:ascii="Arial" w:eastAsia="Times New Roman" w:hAnsi="Arial" w:cs="Arial"/>
          <w:sz w:val="17"/>
          <w:szCs w:val="17"/>
        </w:rPr>
        <w:t xml:space="preserve">accessed June 26, 2017, </w:t>
      </w:r>
      <w:r w:rsidRPr="00A940B5">
        <w:rPr>
          <w:rFonts w:ascii="Arial" w:eastAsia="Times New Roman" w:hAnsi="Arial" w:cs="Arial"/>
          <w:sz w:val="17"/>
          <w:szCs w:val="17"/>
        </w:rPr>
        <w:t>www.finolexwater.com/wp-content/uploads/2015/07/FIL-Investor-Presentation-June-2016.</w:t>
      </w:r>
      <w:r w:rsidR="00D6296E" w:rsidRPr="00A940B5">
        <w:rPr>
          <w:rFonts w:ascii="Arial" w:eastAsia="Times New Roman" w:hAnsi="Arial" w:cs="Arial"/>
          <w:sz w:val="17"/>
          <w:szCs w:val="17"/>
        </w:rPr>
        <w:t>pdf.</w:t>
      </w:r>
    </w:p>
    <w:p w14:paraId="63175E17" w14:textId="77777777" w:rsidR="00C355DE" w:rsidRDefault="00C355DE" w:rsidP="00A940B5">
      <w:pPr>
        <w:pStyle w:val="ExhibitHeading"/>
        <w:rPr>
          <w:b w:val="0"/>
          <w:bCs/>
          <w:sz w:val="19"/>
          <w:szCs w:val="19"/>
        </w:rPr>
      </w:pPr>
    </w:p>
    <w:p w14:paraId="128172A6" w14:textId="77777777" w:rsidR="004B59BA" w:rsidRDefault="004B59BA" w:rsidP="00A940B5">
      <w:pPr>
        <w:pStyle w:val="ExhibitHeading"/>
        <w:rPr>
          <w:b w:val="0"/>
          <w:bCs/>
          <w:sz w:val="19"/>
          <w:szCs w:val="19"/>
        </w:rPr>
      </w:pPr>
    </w:p>
    <w:p w14:paraId="0B17F910" w14:textId="77777777" w:rsidR="004B59BA" w:rsidRDefault="004B59BA" w:rsidP="00A940B5">
      <w:pPr>
        <w:pStyle w:val="ExhibitHeading"/>
        <w:rPr>
          <w:b w:val="0"/>
          <w:bCs/>
          <w:sz w:val="19"/>
          <w:szCs w:val="19"/>
        </w:rPr>
      </w:pPr>
    </w:p>
    <w:p w14:paraId="46D38337" w14:textId="77777777" w:rsidR="00A45C92" w:rsidRDefault="00A45C92" w:rsidP="00A940B5">
      <w:pPr>
        <w:pStyle w:val="ExhibitHeading"/>
        <w:rPr>
          <w:b w:val="0"/>
          <w:bCs/>
          <w:sz w:val="19"/>
          <w:szCs w:val="19"/>
        </w:rPr>
      </w:pPr>
    </w:p>
    <w:p w14:paraId="31BA9B7A" w14:textId="77777777" w:rsidR="004B59BA" w:rsidRDefault="004B59BA" w:rsidP="00A940B5">
      <w:pPr>
        <w:pStyle w:val="ExhibitHeading"/>
        <w:rPr>
          <w:b w:val="0"/>
          <w:bCs/>
          <w:sz w:val="19"/>
          <w:szCs w:val="19"/>
        </w:rPr>
      </w:pPr>
    </w:p>
    <w:p w14:paraId="5EEB67CB" w14:textId="77777777" w:rsidR="004B59BA" w:rsidRDefault="004B59BA" w:rsidP="00A940B5">
      <w:pPr>
        <w:pStyle w:val="ExhibitHeading"/>
        <w:rPr>
          <w:b w:val="0"/>
          <w:bCs/>
          <w:sz w:val="19"/>
          <w:szCs w:val="19"/>
        </w:rPr>
      </w:pPr>
    </w:p>
    <w:p w14:paraId="1170F6BC" w14:textId="77777777" w:rsidR="00C355DE" w:rsidRPr="00DC3004" w:rsidRDefault="00C355DE" w:rsidP="00A940B5">
      <w:pPr>
        <w:pStyle w:val="ExhibitHeading"/>
      </w:pPr>
      <w:r w:rsidRPr="00DC3004">
        <w:lastRenderedPageBreak/>
        <w:t xml:space="preserve">Exhibit </w:t>
      </w:r>
      <w:r w:rsidR="004B59BA">
        <w:t>4</w:t>
      </w:r>
      <w:r w:rsidRPr="00DC3004">
        <w:t>: CSR Rules and Regulations</w:t>
      </w:r>
    </w:p>
    <w:p w14:paraId="35B6500E" w14:textId="77777777" w:rsidR="00C355DE" w:rsidRPr="00261A16" w:rsidRDefault="00C355DE" w:rsidP="00C355DE">
      <w:pPr>
        <w:rPr>
          <w:rFonts w:ascii="Arial" w:hAnsi="Arial" w:cs="Arial"/>
          <w:b/>
          <w:bCs/>
          <w:szCs w:val="19"/>
        </w:rPr>
      </w:pPr>
    </w:p>
    <w:p w14:paraId="2E2A070C" w14:textId="53511D10" w:rsidR="00C355DE"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 xml:space="preserve">The Companies Act 2013 </w:t>
      </w:r>
      <w:r w:rsidR="00954ED8" w:rsidRPr="00345D90">
        <w:rPr>
          <w:rFonts w:ascii="Arial" w:hAnsi="Arial" w:cs="Arial"/>
          <w:sz w:val="19"/>
          <w:szCs w:val="19"/>
          <w:bdr w:val="none" w:sz="0" w:space="0" w:color="auto" w:frame="1"/>
        </w:rPr>
        <w:t>mandate</w:t>
      </w:r>
      <w:r w:rsidR="00954ED8">
        <w:rPr>
          <w:rFonts w:ascii="Arial" w:hAnsi="Arial" w:cs="Arial"/>
          <w:sz w:val="19"/>
          <w:szCs w:val="19"/>
          <w:bdr w:val="none" w:sz="0" w:space="0" w:color="auto" w:frame="1"/>
        </w:rPr>
        <w:t>s</w:t>
      </w:r>
      <w:r w:rsidR="00954ED8"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that companies spend 2</w:t>
      </w:r>
      <w:r w:rsidR="00312CEA">
        <w:rPr>
          <w:rFonts w:ascii="Arial" w:hAnsi="Arial" w:cs="Arial"/>
          <w:sz w:val="19"/>
          <w:szCs w:val="19"/>
          <w:bdr w:val="none" w:sz="0" w:space="0" w:color="auto" w:frame="1"/>
        </w:rPr>
        <w:t xml:space="preserve"> per cent</w:t>
      </w:r>
      <w:r w:rsidR="00312CEA"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of the average net profits of the past three years on corporate social responsibility. The mandatory CSR clause </w:t>
      </w:r>
      <w:r w:rsidR="00954ED8">
        <w:rPr>
          <w:rFonts w:ascii="Arial" w:hAnsi="Arial" w:cs="Arial"/>
          <w:sz w:val="19"/>
          <w:szCs w:val="19"/>
          <w:bdr w:val="none" w:sz="0" w:space="0" w:color="auto" w:frame="1"/>
        </w:rPr>
        <w:t>is</w:t>
      </w:r>
      <w:r w:rsidR="00954ED8"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applicable to companies with </w:t>
      </w:r>
      <w:r w:rsidR="00312CEA">
        <w:rPr>
          <w:rFonts w:ascii="Arial" w:hAnsi="Arial" w:cs="Arial"/>
          <w:sz w:val="19"/>
          <w:szCs w:val="19"/>
          <w:bdr w:val="none" w:sz="0" w:space="0" w:color="auto" w:frame="1"/>
        </w:rPr>
        <w:t xml:space="preserve">a </w:t>
      </w:r>
      <w:r w:rsidRPr="00345D90">
        <w:rPr>
          <w:rFonts w:ascii="Arial" w:hAnsi="Arial" w:cs="Arial"/>
          <w:sz w:val="19"/>
          <w:szCs w:val="19"/>
          <w:bdr w:val="none" w:sz="0" w:space="0" w:color="auto" w:frame="1"/>
        </w:rPr>
        <w:t xml:space="preserve">net worth of </w:t>
      </w:r>
      <w:r w:rsidR="005F74E1" w:rsidRPr="005F74E1">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5 billion or more; or annual turnover of </w:t>
      </w:r>
      <w:r w:rsidR="005F74E1" w:rsidRPr="005F74E1">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10 billion or more; or annual net profit of </w:t>
      </w:r>
      <w:r w:rsidR="005F74E1" w:rsidRPr="005F74E1">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50 million or more. The Companies Act </w:t>
      </w:r>
      <w:r w:rsidR="00954ED8" w:rsidRPr="00345D90">
        <w:rPr>
          <w:rFonts w:ascii="Arial" w:hAnsi="Arial" w:cs="Arial"/>
          <w:sz w:val="19"/>
          <w:szCs w:val="19"/>
          <w:bdr w:val="none" w:sz="0" w:space="0" w:color="auto" w:frame="1"/>
        </w:rPr>
        <w:t>mandate</w:t>
      </w:r>
      <w:r w:rsidR="00954ED8">
        <w:rPr>
          <w:rFonts w:ascii="Arial" w:hAnsi="Arial" w:cs="Arial"/>
          <w:sz w:val="19"/>
          <w:szCs w:val="19"/>
          <w:bdr w:val="none" w:sz="0" w:space="0" w:color="auto" w:frame="1"/>
        </w:rPr>
        <w:t>s</w:t>
      </w:r>
      <w:r w:rsidR="00954ED8"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CSR activities for both Indian companies and foreign companies registered in India. In addition, the new rule requires </w:t>
      </w:r>
      <w:r w:rsidR="00954ED8">
        <w:rPr>
          <w:rFonts w:ascii="Arial" w:hAnsi="Arial" w:cs="Arial"/>
          <w:sz w:val="19"/>
          <w:szCs w:val="19"/>
          <w:bdr w:val="none" w:sz="0" w:space="0" w:color="auto" w:frame="1"/>
        </w:rPr>
        <w:t xml:space="preserve">the </w:t>
      </w:r>
      <w:r w:rsidRPr="00345D90">
        <w:rPr>
          <w:rFonts w:ascii="Arial" w:hAnsi="Arial" w:cs="Arial"/>
          <w:sz w:val="19"/>
          <w:szCs w:val="19"/>
          <w:bdr w:val="none" w:sz="0" w:space="0" w:color="auto" w:frame="1"/>
        </w:rPr>
        <w:t xml:space="preserve">involvement of </w:t>
      </w:r>
      <w:r w:rsidR="00954ED8" w:rsidRPr="00345D90">
        <w:rPr>
          <w:rFonts w:ascii="Arial" w:hAnsi="Arial" w:cs="Arial"/>
          <w:sz w:val="19"/>
          <w:szCs w:val="19"/>
          <w:bdr w:val="none" w:sz="0" w:space="0" w:color="auto" w:frame="1"/>
        </w:rPr>
        <w:t>senior</w:t>
      </w:r>
      <w:r w:rsidR="00954ED8">
        <w:rPr>
          <w:rFonts w:ascii="Arial" w:hAnsi="Arial" w:cs="Arial"/>
          <w:sz w:val="19"/>
          <w:szCs w:val="19"/>
          <w:bdr w:val="none" w:sz="0" w:space="0" w:color="auto" w:frame="1"/>
        </w:rPr>
        <w:t>-</w:t>
      </w:r>
      <w:r w:rsidRPr="00345D90">
        <w:rPr>
          <w:rFonts w:ascii="Arial" w:hAnsi="Arial" w:cs="Arial"/>
          <w:sz w:val="19"/>
          <w:szCs w:val="19"/>
          <w:bdr w:val="none" w:sz="0" w:space="0" w:color="auto" w:frame="1"/>
        </w:rPr>
        <w:t>level staff</w:t>
      </w:r>
      <w:r w:rsidR="000D1B5A">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mandatory disclosure of these activities</w:t>
      </w:r>
      <w:r w:rsidR="000D1B5A">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 and the creation of</w:t>
      </w:r>
    </w:p>
    <w:p w14:paraId="1D5D28A9" w14:textId="77777777" w:rsidR="00160BB2" w:rsidRPr="00345D90" w:rsidRDefault="00160BB2" w:rsidP="00C355DE">
      <w:pPr>
        <w:widowControl w:val="0"/>
        <w:autoSpaceDE w:val="0"/>
        <w:autoSpaceDN w:val="0"/>
        <w:adjustRightInd w:val="0"/>
        <w:jc w:val="both"/>
        <w:rPr>
          <w:rFonts w:ascii="Arial" w:hAnsi="Arial" w:cs="Arial"/>
          <w:sz w:val="19"/>
          <w:szCs w:val="19"/>
          <w:bdr w:val="none" w:sz="0" w:space="0" w:color="auto" w:frame="1"/>
        </w:rPr>
      </w:pPr>
    </w:p>
    <w:p w14:paraId="19ED91F2" w14:textId="69D4D59D" w:rsidR="00C355DE" w:rsidRPr="00345D90" w:rsidRDefault="000D1B5A" w:rsidP="00A22065">
      <w:pPr>
        <w:pStyle w:val="ListParagraph"/>
        <w:widowControl w:val="0"/>
        <w:numPr>
          <w:ilvl w:val="0"/>
          <w:numId w:val="31"/>
        </w:numPr>
        <w:tabs>
          <w:tab w:val="left" w:pos="22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a</w:t>
      </w:r>
      <w:r w:rsidR="00C355DE" w:rsidRPr="00345D90">
        <w:rPr>
          <w:rFonts w:ascii="Arial" w:hAnsi="Arial" w:cs="Arial"/>
          <w:sz w:val="19"/>
          <w:szCs w:val="19"/>
          <w:bdr w:val="none" w:sz="0" w:space="0" w:color="auto" w:frame="1"/>
        </w:rPr>
        <w:t xml:space="preserve"> </w:t>
      </w:r>
      <w:r w:rsidR="00C355DE" w:rsidRPr="00345D90">
        <w:rPr>
          <w:rFonts w:ascii="Arial" w:hAnsi="Arial" w:cs="Arial"/>
          <w:bCs/>
          <w:sz w:val="19"/>
          <w:szCs w:val="19"/>
          <w:bdr w:val="none" w:sz="0" w:space="0" w:color="auto" w:frame="1"/>
        </w:rPr>
        <w:t xml:space="preserve">CSR </w:t>
      </w:r>
      <w:r w:rsidR="00312CEA">
        <w:rPr>
          <w:rFonts w:ascii="Arial" w:hAnsi="Arial" w:cs="Arial"/>
          <w:bCs/>
          <w:sz w:val="19"/>
          <w:szCs w:val="19"/>
          <w:bdr w:val="none" w:sz="0" w:space="0" w:color="auto" w:frame="1"/>
        </w:rPr>
        <w:t>c</w:t>
      </w:r>
      <w:r w:rsidR="00312CEA" w:rsidRPr="00345D90">
        <w:rPr>
          <w:rFonts w:ascii="Arial" w:hAnsi="Arial" w:cs="Arial"/>
          <w:bCs/>
          <w:sz w:val="19"/>
          <w:szCs w:val="19"/>
          <w:bdr w:val="none" w:sz="0" w:space="0" w:color="auto" w:frame="1"/>
        </w:rPr>
        <w:t>ommittee</w:t>
      </w:r>
      <w:r w:rsidR="00C355DE" w:rsidRPr="00345D90">
        <w:rPr>
          <w:rFonts w:ascii="Arial" w:hAnsi="Arial" w:cs="Arial"/>
          <w:sz w:val="19"/>
          <w:szCs w:val="19"/>
          <w:bdr w:val="none" w:sz="0" w:space="0" w:color="auto" w:frame="1"/>
        </w:rPr>
        <w:t>;</w:t>
      </w:r>
    </w:p>
    <w:p w14:paraId="4A04AD62" w14:textId="2513C9F8" w:rsidR="00C355DE" w:rsidRPr="00345D90" w:rsidRDefault="000D1B5A" w:rsidP="00A22065">
      <w:pPr>
        <w:pStyle w:val="ListParagraph"/>
        <w:widowControl w:val="0"/>
        <w:numPr>
          <w:ilvl w:val="0"/>
          <w:numId w:val="31"/>
        </w:numPr>
        <w:tabs>
          <w:tab w:val="left" w:pos="220"/>
          <w:tab w:val="left" w:pos="720"/>
        </w:tabs>
        <w:autoSpaceDE w:val="0"/>
        <w:autoSpaceDN w:val="0"/>
        <w:adjustRightInd w:val="0"/>
        <w:rPr>
          <w:rFonts w:ascii="Arial" w:hAnsi="Arial" w:cs="Arial"/>
          <w:sz w:val="19"/>
          <w:szCs w:val="19"/>
          <w:bdr w:val="none" w:sz="0" w:space="0" w:color="auto" w:frame="1"/>
        </w:rPr>
      </w:pPr>
      <w:r>
        <w:rPr>
          <w:rFonts w:ascii="Arial" w:hAnsi="Arial" w:cs="Arial"/>
          <w:bCs/>
          <w:sz w:val="19"/>
          <w:szCs w:val="19"/>
          <w:bdr w:val="none" w:sz="0" w:space="0" w:color="auto" w:frame="1"/>
        </w:rPr>
        <w:t>r</w:t>
      </w:r>
      <w:r w:rsidR="00C355DE" w:rsidRPr="00345D90">
        <w:rPr>
          <w:rFonts w:ascii="Arial" w:hAnsi="Arial" w:cs="Arial"/>
          <w:bCs/>
          <w:sz w:val="19"/>
          <w:szCs w:val="19"/>
          <w:bdr w:val="none" w:sz="0" w:space="0" w:color="auto" w:frame="1"/>
        </w:rPr>
        <w:t>eporting details of all CSR initiatives</w:t>
      </w:r>
      <w:r w:rsidR="00C355DE" w:rsidRPr="00345D90">
        <w:rPr>
          <w:rFonts w:ascii="Arial" w:hAnsi="Arial" w:cs="Arial"/>
          <w:sz w:val="19"/>
          <w:szCs w:val="19"/>
          <w:bdr w:val="none" w:sz="0" w:space="0" w:color="auto" w:frame="1"/>
        </w:rPr>
        <w:t xml:space="preserve"> undertaken by the company; and</w:t>
      </w:r>
    </w:p>
    <w:p w14:paraId="307C527B" w14:textId="0337F215" w:rsidR="00C355DE" w:rsidRPr="00954ED8" w:rsidRDefault="000D1B5A" w:rsidP="00A22065">
      <w:pPr>
        <w:pStyle w:val="ListParagraph"/>
        <w:widowControl w:val="0"/>
        <w:numPr>
          <w:ilvl w:val="0"/>
          <w:numId w:val="31"/>
        </w:numPr>
        <w:tabs>
          <w:tab w:val="left" w:pos="220"/>
          <w:tab w:val="left" w:pos="720"/>
        </w:tabs>
        <w:autoSpaceDE w:val="0"/>
        <w:autoSpaceDN w:val="0"/>
        <w:adjustRightInd w:val="0"/>
        <w:rPr>
          <w:rFonts w:ascii="Arial" w:hAnsi="Arial" w:cs="Arial"/>
          <w:color w:val="1A1A1A"/>
          <w:sz w:val="19"/>
          <w:szCs w:val="19"/>
          <w:bdr w:val="none" w:sz="0" w:space="0" w:color="auto" w:frame="1"/>
        </w:rPr>
      </w:pPr>
      <w:r>
        <w:rPr>
          <w:rFonts w:ascii="Arial" w:hAnsi="Arial" w:cs="Arial"/>
          <w:sz w:val="19"/>
          <w:szCs w:val="19"/>
          <w:bdr w:val="none" w:sz="0" w:space="0" w:color="auto" w:frame="1"/>
        </w:rPr>
        <w:t>a</w:t>
      </w:r>
      <w:r w:rsidR="00C355DE" w:rsidRPr="00345D90">
        <w:rPr>
          <w:rFonts w:ascii="Arial" w:hAnsi="Arial" w:cs="Arial"/>
          <w:sz w:val="19"/>
          <w:szCs w:val="19"/>
          <w:bdr w:val="none" w:sz="0" w:space="0" w:color="auto" w:frame="1"/>
        </w:rPr>
        <w:t xml:space="preserve"> </w:t>
      </w:r>
      <w:r w:rsidR="00C355DE" w:rsidRPr="00345D90">
        <w:rPr>
          <w:rFonts w:ascii="Arial" w:hAnsi="Arial" w:cs="Arial"/>
          <w:bCs/>
          <w:sz w:val="19"/>
          <w:szCs w:val="19"/>
          <w:bdr w:val="none" w:sz="0" w:space="0" w:color="auto" w:frame="1"/>
        </w:rPr>
        <w:t xml:space="preserve">CSR </w:t>
      </w:r>
      <w:r w:rsidR="00312CEA">
        <w:rPr>
          <w:rFonts w:ascii="Arial" w:hAnsi="Arial" w:cs="Arial"/>
          <w:bCs/>
          <w:sz w:val="19"/>
          <w:szCs w:val="19"/>
          <w:bdr w:val="none" w:sz="0" w:space="0" w:color="auto" w:frame="1"/>
        </w:rPr>
        <w:t>p</w:t>
      </w:r>
      <w:r w:rsidR="00312CEA" w:rsidRPr="00345D90">
        <w:rPr>
          <w:rFonts w:ascii="Arial" w:hAnsi="Arial" w:cs="Arial"/>
          <w:bCs/>
          <w:sz w:val="19"/>
          <w:szCs w:val="19"/>
          <w:bdr w:val="none" w:sz="0" w:space="0" w:color="auto" w:frame="1"/>
        </w:rPr>
        <w:t>olicy</w:t>
      </w:r>
      <w:r w:rsidR="00312CEA" w:rsidRPr="00345D90">
        <w:rPr>
          <w:rFonts w:ascii="Arial" w:hAnsi="Arial" w:cs="Arial"/>
          <w:sz w:val="19"/>
          <w:szCs w:val="19"/>
          <w:bdr w:val="none" w:sz="0" w:space="0" w:color="auto" w:frame="1"/>
        </w:rPr>
        <w:t xml:space="preserve"> </w:t>
      </w:r>
      <w:r w:rsidR="00C355DE" w:rsidRPr="00345D90">
        <w:rPr>
          <w:rFonts w:ascii="Arial" w:hAnsi="Arial" w:cs="Arial"/>
          <w:sz w:val="19"/>
          <w:szCs w:val="19"/>
          <w:bdr w:val="none" w:sz="0" w:space="0" w:color="auto" w:frame="1"/>
        </w:rPr>
        <w:t xml:space="preserve">that details which activities will </w:t>
      </w:r>
      <w:r w:rsidR="00C355DE" w:rsidRPr="00954ED8">
        <w:rPr>
          <w:rFonts w:ascii="Arial" w:hAnsi="Arial" w:cs="Arial"/>
          <w:color w:val="1A1A1A"/>
          <w:sz w:val="19"/>
          <w:szCs w:val="19"/>
          <w:bdr w:val="none" w:sz="0" w:space="0" w:color="auto" w:frame="1"/>
        </w:rPr>
        <w:t>be undertaken by the company and what budget will be spent on them.</w:t>
      </w:r>
    </w:p>
    <w:p w14:paraId="2C751645" w14:textId="77777777" w:rsidR="00A22065" w:rsidRPr="00954ED8" w:rsidRDefault="00A22065" w:rsidP="00C355DE">
      <w:pPr>
        <w:widowControl w:val="0"/>
        <w:autoSpaceDE w:val="0"/>
        <w:autoSpaceDN w:val="0"/>
        <w:adjustRightInd w:val="0"/>
        <w:jc w:val="both"/>
        <w:rPr>
          <w:rFonts w:ascii="Arial" w:hAnsi="Arial" w:cs="Arial"/>
          <w:color w:val="1A1A1A"/>
          <w:sz w:val="19"/>
          <w:szCs w:val="19"/>
          <w:bdr w:val="none" w:sz="0" w:space="0" w:color="auto" w:frame="1"/>
        </w:rPr>
      </w:pPr>
    </w:p>
    <w:p w14:paraId="22E429E3" w14:textId="144ED1F2" w:rsidR="00C355DE"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Some key provisions under the new rule:</w:t>
      </w:r>
    </w:p>
    <w:p w14:paraId="2627B49F" w14:textId="77777777" w:rsidR="00A22065" w:rsidRPr="00345D90" w:rsidRDefault="00A22065" w:rsidP="00C355DE">
      <w:pPr>
        <w:widowControl w:val="0"/>
        <w:autoSpaceDE w:val="0"/>
        <w:autoSpaceDN w:val="0"/>
        <w:adjustRightInd w:val="0"/>
        <w:jc w:val="both"/>
        <w:rPr>
          <w:rFonts w:ascii="Arial" w:hAnsi="Arial" w:cs="Arial"/>
          <w:sz w:val="19"/>
          <w:szCs w:val="19"/>
          <w:bdr w:val="none" w:sz="0" w:space="0" w:color="auto" w:frame="1"/>
        </w:rPr>
      </w:pPr>
    </w:p>
    <w:p w14:paraId="5C48F25B" w14:textId="1F5A2262" w:rsidR="00C355DE" w:rsidRPr="00345D90" w:rsidRDefault="00C355DE" w:rsidP="00C355DE">
      <w:pPr>
        <w:widowControl w:val="0"/>
        <w:autoSpaceDE w:val="0"/>
        <w:autoSpaceDN w:val="0"/>
        <w:adjustRightInd w:val="0"/>
        <w:jc w:val="both"/>
        <w:rPr>
          <w:rFonts w:ascii="Arial" w:hAnsi="Arial" w:cs="Arial"/>
          <w:b/>
          <w:bCs/>
          <w:sz w:val="19"/>
          <w:szCs w:val="19"/>
          <w:bdr w:val="none" w:sz="0" w:space="0" w:color="auto" w:frame="1"/>
        </w:rPr>
      </w:pPr>
      <w:r w:rsidRPr="00345D90">
        <w:rPr>
          <w:rFonts w:ascii="Arial" w:hAnsi="Arial" w:cs="Arial"/>
          <w:b/>
          <w:bCs/>
          <w:sz w:val="19"/>
          <w:szCs w:val="19"/>
          <w:bdr w:val="none" w:sz="0" w:space="0" w:color="auto" w:frame="1"/>
        </w:rPr>
        <w:t xml:space="preserve">1. CSR expenditure to exclude those incurred in </w:t>
      </w:r>
      <w:r w:rsidR="000D1B5A">
        <w:rPr>
          <w:rFonts w:ascii="Arial" w:hAnsi="Arial" w:cs="Arial"/>
          <w:b/>
          <w:bCs/>
          <w:sz w:val="19"/>
          <w:szCs w:val="19"/>
          <w:bdr w:val="none" w:sz="0" w:space="0" w:color="auto" w:frame="1"/>
        </w:rPr>
        <w:t xml:space="preserve">the </w:t>
      </w:r>
      <w:r w:rsidRPr="00345D90">
        <w:rPr>
          <w:rFonts w:ascii="Arial" w:hAnsi="Arial" w:cs="Arial"/>
          <w:b/>
          <w:bCs/>
          <w:sz w:val="19"/>
          <w:szCs w:val="19"/>
          <w:bdr w:val="none" w:sz="0" w:space="0" w:color="auto" w:frame="1"/>
        </w:rPr>
        <w:t>normal course of business</w:t>
      </w:r>
    </w:p>
    <w:p w14:paraId="7586688B" w14:textId="77777777" w:rsidR="00F21A5F" w:rsidRPr="00345D90" w:rsidRDefault="00F21A5F" w:rsidP="00C355DE">
      <w:pPr>
        <w:widowControl w:val="0"/>
        <w:autoSpaceDE w:val="0"/>
        <w:autoSpaceDN w:val="0"/>
        <w:adjustRightInd w:val="0"/>
        <w:jc w:val="both"/>
        <w:rPr>
          <w:rFonts w:ascii="Arial" w:hAnsi="Arial" w:cs="Arial"/>
          <w:sz w:val="19"/>
          <w:szCs w:val="19"/>
          <w:bdr w:val="none" w:sz="0" w:space="0" w:color="auto" w:frame="1"/>
        </w:rPr>
      </w:pPr>
    </w:p>
    <w:p w14:paraId="40659462" w14:textId="2E6C6DA5" w:rsidR="00C355DE"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 xml:space="preserve">Under the new rule, </w:t>
      </w:r>
      <w:r w:rsidR="00DA251A">
        <w:rPr>
          <w:rFonts w:ascii="Arial" w:hAnsi="Arial" w:cs="Arial"/>
          <w:sz w:val="19"/>
          <w:szCs w:val="19"/>
          <w:bdr w:val="none" w:sz="0" w:space="0" w:color="auto" w:frame="1"/>
        </w:rPr>
        <w:t xml:space="preserve">the </w:t>
      </w:r>
      <w:r w:rsidRPr="00345D90">
        <w:rPr>
          <w:rFonts w:ascii="Arial" w:hAnsi="Arial" w:cs="Arial"/>
          <w:sz w:val="19"/>
          <w:szCs w:val="19"/>
          <w:bdr w:val="none" w:sz="0" w:space="0" w:color="auto" w:frame="1"/>
        </w:rPr>
        <w:t xml:space="preserve">CSR expenditure </w:t>
      </w:r>
      <w:r w:rsidR="00EB405C">
        <w:rPr>
          <w:rFonts w:ascii="Arial" w:hAnsi="Arial" w:cs="Arial"/>
          <w:sz w:val="19"/>
          <w:szCs w:val="19"/>
          <w:bdr w:val="none" w:sz="0" w:space="0" w:color="auto" w:frame="1"/>
        </w:rPr>
        <w:t xml:space="preserve">of </w:t>
      </w:r>
      <w:r w:rsidRPr="00345D90">
        <w:rPr>
          <w:rFonts w:ascii="Arial" w:hAnsi="Arial" w:cs="Arial"/>
          <w:sz w:val="19"/>
          <w:szCs w:val="19"/>
          <w:bdr w:val="none" w:sz="0" w:space="0" w:color="auto" w:frame="1"/>
        </w:rPr>
        <w:t xml:space="preserve">companies would need to clearly distinguish </w:t>
      </w:r>
      <w:r w:rsidR="00B1039C">
        <w:rPr>
          <w:rFonts w:ascii="Arial" w:hAnsi="Arial" w:cs="Arial"/>
          <w:sz w:val="19"/>
          <w:szCs w:val="19"/>
          <w:bdr w:val="none" w:sz="0" w:space="0" w:color="auto" w:frame="1"/>
        </w:rPr>
        <w:t xml:space="preserve">between </w:t>
      </w:r>
      <w:r w:rsidRPr="00345D90">
        <w:rPr>
          <w:rFonts w:ascii="Arial" w:hAnsi="Arial" w:cs="Arial"/>
          <w:sz w:val="19"/>
          <w:szCs w:val="19"/>
          <w:bdr w:val="none" w:sz="0" w:space="0" w:color="auto" w:frame="1"/>
        </w:rPr>
        <w:t xml:space="preserve">those activities </w:t>
      </w:r>
      <w:r w:rsidR="00312CEA" w:rsidRPr="00954ED8">
        <w:rPr>
          <w:rFonts w:ascii="Arial" w:hAnsi="Arial" w:cs="Arial"/>
          <w:sz w:val="19"/>
          <w:szCs w:val="19"/>
          <w:bdr w:val="none" w:sz="0" w:space="0" w:color="auto" w:frame="1"/>
        </w:rPr>
        <w:t>that</w:t>
      </w:r>
      <w:r w:rsidR="00312CEA"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are undertaken specifically in pursuance of </w:t>
      </w:r>
      <w:r w:rsidR="00312CEA" w:rsidRPr="00954ED8">
        <w:rPr>
          <w:rFonts w:ascii="Arial" w:hAnsi="Arial" w:cs="Arial"/>
          <w:sz w:val="19"/>
          <w:szCs w:val="19"/>
          <w:bdr w:val="none" w:sz="0" w:space="0" w:color="auto" w:frame="1"/>
        </w:rPr>
        <w:t xml:space="preserve">the </w:t>
      </w:r>
      <w:r w:rsidRPr="00345D90">
        <w:rPr>
          <w:rFonts w:ascii="Arial" w:hAnsi="Arial" w:cs="Arial"/>
          <w:sz w:val="19"/>
          <w:szCs w:val="19"/>
          <w:bdr w:val="none" w:sz="0" w:space="0" w:color="auto" w:frame="1"/>
        </w:rPr>
        <w:t xml:space="preserve">normal course of business and those that are done incrementally as part of the CSR initiatives. Expenses incurred in the normal course of business </w:t>
      </w:r>
      <w:r w:rsidR="00B1039C">
        <w:rPr>
          <w:rFonts w:ascii="Arial" w:hAnsi="Arial" w:cs="Arial"/>
          <w:sz w:val="19"/>
          <w:szCs w:val="19"/>
          <w:bdr w:val="none" w:sz="0" w:space="0" w:color="auto" w:frame="1"/>
        </w:rPr>
        <w:t>are</w:t>
      </w:r>
      <w:r w:rsidR="00B1039C"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not </w:t>
      </w:r>
      <w:r w:rsidR="00B1039C">
        <w:rPr>
          <w:rFonts w:ascii="Arial" w:hAnsi="Arial" w:cs="Arial"/>
          <w:sz w:val="19"/>
          <w:szCs w:val="19"/>
          <w:bdr w:val="none" w:sz="0" w:space="0" w:color="auto" w:frame="1"/>
        </w:rPr>
        <w:t>c</w:t>
      </w:r>
      <w:r w:rsidR="00B1039C" w:rsidRPr="00345D90">
        <w:rPr>
          <w:rFonts w:ascii="Arial" w:hAnsi="Arial" w:cs="Arial"/>
          <w:sz w:val="19"/>
          <w:szCs w:val="19"/>
          <w:bdr w:val="none" w:sz="0" w:space="0" w:color="auto" w:frame="1"/>
        </w:rPr>
        <w:t>lassif</w:t>
      </w:r>
      <w:r w:rsidR="00B1039C">
        <w:rPr>
          <w:rFonts w:ascii="Arial" w:hAnsi="Arial" w:cs="Arial"/>
          <w:sz w:val="19"/>
          <w:szCs w:val="19"/>
          <w:bdr w:val="none" w:sz="0" w:space="0" w:color="auto" w:frame="1"/>
        </w:rPr>
        <w:t>ied</w:t>
      </w:r>
      <w:r w:rsidR="00B1039C"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as CSR expenses</w:t>
      </w:r>
      <w:r w:rsidR="00312CEA" w:rsidRPr="00954ED8">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even though the expenditure is for </w:t>
      </w:r>
      <w:r w:rsidR="00312CEA" w:rsidRPr="00345D90">
        <w:rPr>
          <w:rFonts w:ascii="Arial" w:hAnsi="Arial" w:cs="Arial"/>
          <w:sz w:val="19"/>
          <w:szCs w:val="19"/>
          <w:bdr w:val="none" w:sz="0" w:space="0" w:color="auto" w:frame="1"/>
        </w:rPr>
        <w:t>CSR</w:t>
      </w:r>
      <w:r w:rsidR="00312CEA" w:rsidRPr="00954ED8">
        <w:rPr>
          <w:rFonts w:ascii="Arial" w:hAnsi="Arial" w:cs="Arial"/>
          <w:sz w:val="19"/>
          <w:szCs w:val="19"/>
          <w:bdr w:val="none" w:sz="0" w:space="0" w:color="auto" w:frame="1"/>
        </w:rPr>
        <w:t>-</w:t>
      </w:r>
      <w:r w:rsidRPr="00345D90">
        <w:rPr>
          <w:rFonts w:ascii="Arial" w:hAnsi="Arial" w:cs="Arial"/>
          <w:sz w:val="19"/>
          <w:szCs w:val="19"/>
          <w:bdr w:val="none" w:sz="0" w:space="0" w:color="auto" w:frame="1"/>
        </w:rPr>
        <w:t>related purposes. The rules also lay down some specific areas where CSR budgets can be spent.</w:t>
      </w:r>
    </w:p>
    <w:p w14:paraId="13FA3F0F" w14:textId="77777777" w:rsidR="00F21A5F" w:rsidRPr="00345D90" w:rsidRDefault="00F21A5F" w:rsidP="00C355DE">
      <w:pPr>
        <w:widowControl w:val="0"/>
        <w:autoSpaceDE w:val="0"/>
        <w:autoSpaceDN w:val="0"/>
        <w:adjustRightInd w:val="0"/>
        <w:jc w:val="both"/>
        <w:rPr>
          <w:rFonts w:ascii="Arial" w:hAnsi="Arial" w:cs="Arial"/>
          <w:sz w:val="15"/>
          <w:szCs w:val="19"/>
          <w:bdr w:val="none" w:sz="0" w:space="0" w:color="auto" w:frame="1"/>
        </w:rPr>
      </w:pPr>
    </w:p>
    <w:p w14:paraId="0251D28F" w14:textId="77777777" w:rsidR="000A0936" w:rsidRPr="00345D90" w:rsidRDefault="000A0936" w:rsidP="00C355DE">
      <w:pPr>
        <w:widowControl w:val="0"/>
        <w:autoSpaceDE w:val="0"/>
        <w:autoSpaceDN w:val="0"/>
        <w:adjustRightInd w:val="0"/>
        <w:jc w:val="both"/>
        <w:rPr>
          <w:rFonts w:ascii="Arial" w:hAnsi="Arial" w:cs="Arial"/>
          <w:sz w:val="15"/>
          <w:szCs w:val="19"/>
          <w:bdr w:val="none" w:sz="0" w:space="0" w:color="auto" w:frame="1"/>
        </w:rPr>
      </w:pPr>
    </w:p>
    <w:p w14:paraId="18075C98" w14:textId="77777777" w:rsidR="00C355DE" w:rsidRPr="00345D90" w:rsidRDefault="00C355DE" w:rsidP="00C355DE">
      <w:pPr>
        <w:widowControl w:val="0"/>
        <w:autoSpaceDE w:val="0"/>
        <w:autoSpaceDN w:val="0"/>
        <w:adjustRightInd w:val="0"/>
        <w:jc w:val="both"/>
        <w:rPr>
          <w:rFonts w:ascii="Arial" w:hAnsi="Arial" w:cs="Arial"/>
          <w:b/>
          <w:bCs/>
          <w:sz w:val="19"/>
          <w:szCs w:val="19"/>
          <w:bdr w:val="none" w:sz="0" w:space="0" w:color="auto" w:frame="1"/>
        </w:rPr>
      </w:pPr>
      <w:r w:rsidRPr="00345D90">
        <w:rPr>
          <w:rFonts w:ascii="Arial" w:hAnsi="Arial" w:cs="Arial"/>
          <w:b/>
          <w:bCs/>
          <w:sz w:val="19"/>
          <w:szCs w:val="19"/>
          <w:bdr w:val="none" w:sz="0" w:space="0" w:color="auto" w:frame="1"/>
        </w:rPr>
        <w:t xml:space="preserve">2. Areas where the CSR </w:t>
      </w:r>
      <w:r w:rsidR="00312CEA">
        <w:rPr>
          <w:rFonts w:ascii="Arial" w:hAnsi="Arial" w:cs="Arial"/>
          <w:b/>
          <w:bCs/>
          <w:sz w:val="19"/>
          <w:szCs w:val="19"/>
          <w:bdr w:val="none" w:sz="0" w:space="0" w:color="auto" w:frame="1"/>
        </w:rPr>
        <w:t>b</w:t>
      </w:r>
      <w:r w:rsidR="00312CEA" w:rsidRPr="00345D90">
        <w:rPr>
          <w:rFonts w:ascii="Arial" w:hAnsi="Arial" w:cs="Arial"/>
          <w:b/>
          <w:bCs/>
          <w:sz w:val="19"/>
          <w:szCs w:val="19"/>
          <w:bdr w:val="none" w:sz="0" w:space="0" w:color="auto" w:frame="1"/>
        </w:rPr>
        <w:t xml:space="preserve">udget </w:t>
      </w:r>
      <w:r w:rsidRPr="00345D90">
        <w:rPr>
          <w:rFonts w:ascii="Arial" w:hAnsi="Arial" w:cs="Arial"/>
          <w:b/>
          <w:bCs/>
          <w:sz w:val="19"/>
          <w:szCs w:val="19"/>
          <w:bdr w:val="none" w:sz="0" w:space="0" w:color="auto" w:frame="1"/>
        </w:rPr>
        <w:t>can be spent</w:t>
      </w:r>
    </w:p>
    <w:p w14:paraId="6D77DFE0" w14:textId="77777777" w:rsidR="00F341A6" w:rsidRPr="00345D90" w:rsidRDefault="00F341A6" w:rsidP="00C355DE">
      <w:pPr>
        <w:widowControl w:val="0"/>
        <w:autoSpaceDE w:val="0"/>
        <w:autoSpaceDN w:val="0"/>
        <w:adjustRightInd w:val="0"/>
        <w:jc w:val="both"/>
        <w:rPr>
          <w:rFonts w:ascii="Arial" w:hAnsi="Arial" w:cs="Arial"/>
          <w:b/>
          <w:bCs/>
          <w:sz w:val="19"/>
          <w:szCs w:val="19"/>
          <w:bdr w:val="none" w:sz="0" w:space="0" w:color="auto" w:frame="1"/>
        </w:rPr>
      </w:pPr>
    </w:p>
    <w:p w14:paraId="2AD48F1C" w14:textId="2ED8DAE1"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e</w:t>
      </w:r>
      <w:r w:rsidR="00C355DE" w:rsidRPr="00345D90">
        <w:rPr>
          <w:rFonts w:ascii="Arial" w:hAnsi="Arial" w:cs="Arial"/>
          <w:sz w:val="19"/>
          <w:szCs w:val="19"/>
          <w:bdr w:val="none" w:sz="0" w:space="0" w:color="auto" w:frame="1"/>
        </w:rPr>
        <w:t>radicating hunger, poverty</w:t>
      </w:r>
      <w:r>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malnutrition, promoting preventative health</w:t>
      </w:r>
      <w:r w:rsidR="006A13DA">
        <w:rPr>
          <w:rFonts w:ascii="Arial" w:hAnsi="Arial" w:cs="Arial"/>
          <w:sz w:val="19"/>
          <w:szCs w:val="19"/>
          <w:bdr w:val="none" w:sz="0" w:space="0" w:color="auto" w:frame="1"/>
        </w:rPr>
        <w:t xml:space="preserve"> </w:t>
      </w:r>
      <w:r w:rsidR="00C355DE" w:rsidRPr="00345D90">
        <w:rPr>
          <w:rFonts w:ascii="Arial" w:hAnsi="Arial" w:cs="Arial"/>
          <w:sz w:val="19"/>
          <w:szCs w:val="19"/>
          <w:bdr w:val="none" w:sz="0" w:space="0" w:color="auto" w:frame="1"/>
        </w:rPr>
        <w:t>care and sanitation</w:t>
      </w:r>
      <w:r w:rsidR="00312CEA">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making available safe drinking water;</w:t>
      </w:r>
    </w:p>
    <w:p w14:paraId="3782ED07" w14:textId="5051A96D"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p</w:t>
      </w:r>
      <w:r w:rsidR="00C355DE" w:rsidRPr="00345D90">
        <w:rPr>
          <w:rFonts w:ascii="Arial" w:hAnsi="Arial" w:cs="Arial"/>
          <w:sz w:val="19"/>
          <w:szCs w:val="19"/>
          <w:bdr w:val="none" w:sz="0" w:space="0" w:color="auto" w:frame="1"/>
        </w:rPr>
        <w:t>romoting education</w:t>
      </w:r>
      <w:r w:rsidR="00312CEA" w:rsidRPr="00390CF1">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including special education and </w:t>
      </w:r>
      <w:r w:rsidR="00312CEA" w:rsidRPr="00345D90">
        <w:rPr>
          <w:rFonts w:ascii="Arial" w:hAnsi="Arial" w:cs="Arial"/>
          <w:sz w:val="19"/>
          <w:szCs w:val="19"/>
          <w:bdr w:val="none" w:sz="0" w:space="0" w:color="auto" w:frame="1"/>
        </w:rPr>
        <w:t>employment</w:t>
      </w:r>
      <w:r w:rsidR="00312CEA" w:rsidRPr="00390CF1">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enhancing vocation</w:t>
      </w:r>
      <w:r>
        <w:rPr>
          <w:rFonts w:ascii="Arial" w:hAnsi="Arial" w:cs="Arial"/>
          <w:sz w:val="19"/>
          <w:szCs w:val="19"/>
          <w:bdr w:val="none" w:sz="0" w:space="0" w:color="auto" w:frame="1"/>
        </w:rPr>
        <w:t>al</w:t>
      </w:r>
      <w:r w:rsidR="00C355DE" w:rsidRPr="00345D90">
        <w:rPr>
          <w:rFonts w:ascii="Arial" w:hAnsi="Arial" w:cs="Arial"/>
          <w:sz w:val="19"/>
          <w:szCs w:val="19"/>
          <w:bdr w:val="none" w:sz="0" w:space="0" w:color="auto" w:frame="1"/>
        </w:rPr>
        <w:t xml:space="preserve"> skills</w:t>
      </w:r>
      <w:r w:rsidR="00312CEA" w:rsidRPr="00390CF1">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especially among children, women, </w:t>
      </w:r>
      <w:r w:rsidR="00312CEA" w:rsidRPr="00390CF1">
        <w:rPr>
          <w:rFonts w:ascii="Arial" w:hAnsi="Arial" w:cs="Arial"/>
          <w:sz w:val="19"/>
          <w:szCs w:val="19"/>
          <w:bdr w:val="none" w:sz="0" w:space="0" w:color="auto" w:frame="1"/>
        </w:rPr>
        <w:t xml:space="preserve">the </w:t>
      </w:r>
      <w:r w:rsidR="00C355DE" w:rsidRPr="00345D90">
        <w:rPr>
          <w:rFonts w:ascii="Arial" w:hAnsi="Arial" w:cs="Arial"/>
          <w:sz w:val="19"/>
          <w:szCs w:val="19"/>
          <w:bdr w:val="none" w:sz="0" w:space="0" w:color="auto" w:frame="1"/>
        </w:rPr>
        <w:t>elderly, and the differently abled</w:t>
      </w:r>
      <w:r w:rsidR="00312CEA" w:rsidRPr="00390CF1">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w:t>
      </w:r>
      <w:r w:rsidR="00390CF1" w:rsidRPr="00345D90">
        <w:rPr>
          <w:rFonts w:ascii="Arial" w:hAnsi="Arial" w:cs="Arial"/>
          <w:sz w:val="19"/>
          <w:szCs w:val="19"/>
        </w:rPr>
        <w:t>as well as</w:t>
      </w:r>
      <w:r w:rsidR="00390CF1" w:rsidRPr="00390CF1" w:rsidDel="00390CF1">
        <w:rPr>
          <w:rFonts w:ascii="Arial" w:hAnsi="Arial" w:cs="Arial"/>
          <w:sz w:val="19"/>
          <w:szCs w:val="19"/>
          <w:bdr w:val="none" w:sz="0" w:space="0" w:color="auto" w:frame="1"/>
        </w:rPr>
        <w:t xml:space="preserve"> </w:t>
      </w:r>
      <w:r w:rsidR="00C355DE" w:rsidRPr="00345D90">
        <w:rPr>
          <w:rFonts w:ascii="Arial" w:hAnsi="Arial" w:cs="Arial"/>
          <w:sz w:val="19"/>
          <w:szCs w:val="19"/>
          <w:bdr w:val="none" w:sz="0" w:space="0" w:color="auto" w:frame="1"/>
        </w:rPr>
        <w:t>livelihood enhancement projects;</w:t>
      </w:r>
    </w:p>
    <w:p w14:paraId="34CC06CD" w14:textId="3CD9043C"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p</w:t>
      </w:r>
      <w:r w:rsidR="00C355DE" w:rsidRPr="00345D90">
        <w:rPr>
          <w:rFonts w:ascii="Arial" w:hAnsi="Arial" w:cs="Arial"/>
          <w:sz w:val="19"/>
          <w:szCs w:val="19"/>
          <w:bdr w:val="none" w:sz="0" w:space="0" w:color="auto" w:frame="1"/>
        </w:rPr>
        <w:t xml:space="preserve">romoting gender equality, empowering women, setting up homes and hostels for women and orphans; setting up </w:t>
      </w:r>
      <w:r w:rsidR="00312CEA" w:rsidRPr="00345D90">
        <w:rPr>
          <w:rFonts w:ascii="Arial" w:hAnsi="Arial" w:cs="Arial"/>
          <w:sz w:val="19"/>
          <w:szCs w:val="19"/>
          <w:bdr w:val="none" w:sz="0" w:space="0" w:color="auto" w:frame="1"/>
        </w:rPr>
        <w:t>old</w:t>
      </w:r>
      <w:r w:rsidR="00312CEA" w:rsidRPr="00390CF1">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age homes, </w:t>
      </w:r>
      <w:r w:rsidR="00312CEA" w:rsidRPr="00345D90">
        <w:rPr>
          <w:rFonts w:ascii="Arial" w:hAnsi="Arial" w:cs="Arial"/>
          <w:sz w:val="19"/>
          <w:szCs w:val="19"/>
          <w:bdr w:val="none" w:sz="0" w:space="0" w:color="auto" w:frame="1"/>
        </w:rPr>
        <w:t>day</w:t>
      </w:r>
      <w:r w:rsidR="00C355DE" w:rsidRPr="00345D90">
        <w:rPr>
          <w:rFonts w:ascii="Arial" w:hAnsi="Arial" w:cs="Arial"/>
          <w:sz w:val="19"/>
          <w:szCs w:val="19"/>
          <w:bdr w:val="none" w:sz="0" w:space="0" w:color="auto" w:frame="1"/>
        </w:rPr>
        <w:t xml:space="preserve">care </w:t>
      </w:r>
      <w:r w:rsidR="00312CEA" w:rsidRPr="00345D90">
        <w:rPr>
          <w:rFonts w:ascii="Arial" w:hAnsi="Arial" w:cs="Arial"/>
          <w:sz w:val="19"/>
          <w:szCs w:val="19"/>
          <w:bdr w:val="none" w:sz="0" w:space="0" w:color="auto" w:frame="1"/>
        </w:rPr>
        <w:t>cent</w:t>
      </w:r>
      <w:r w:rsidR="00312CEA" w:rsidRPr="00390CF1">
        <w:rPr>
          <w:rFonts w:ascii="Arial" w:hAnsi="Arial" w:cs="Arial"/>
          <w:sz w:val="19"/>
          <w:szCs w:val="19"/>
          <w:bdr w:val="none" w:sz="0" w:space="0" w:color="auto" w:frame="1"/>
        </w:rPr>
        <w:t>re</w:t>
      </w:r>
      <w:r w:rsidR="00312CEA" w:rsidRPr="00345D90">
        <w:rPr>
          <w:rFonts w:ascii="Arial" w:hAnsi="Arial" w:cs="Arial"/>
          <w:sz w:val="19"/>
          <w:szCs w:val="19"/>
          <w:bdr w:val="none" w:sz="0" w:space="0" w:color="auto" w:frame="1"/>
        </w:rPr>
        <w:t>s</w:t>
      </w:r>
      <w:r w:rsidR="00312CEA" w:rsidRPr="00390CF1">
        <w:rPr>
          <w:rFonts w:ascii="Arial" w:hAnsi="Arial" w:cs="Arial"/>
          <w:sz w:val="19"/>
          <w:szCs w:val="19"/>
          <w:bdr w:val="none" w:sz="0" w:space="0" w:color="auto" w:frame="1"/>
        </w:rPr>
        <w:t>,</w:t>
      </w:r>
      <w:r w:rsidR="00312CEA" w:rsidRPr="00345D90">
        <w:rPr>
          <w:rFonts w:ascii="Arial" w:hAnsi="Arial" w:cs="Arial"/>
          <w:sz w:val="19"/>
          <w:szCs w:val="19"/>
          <w:bdr w:val="none" w:sz="0" w:space="0" w:color="auto" w:frame="1"/>
        </w:rPr>
        <w:t xml:space="preserve"> </w:t>
      </w:r>
      <w:r w:rsidR="00C355DE" w:rsidRPr="00345D90">
        <w:rPr>
          <w:rFonts w:ascii="Arial" w:hAnsi="Arial" w:cs="Arial"/>
          <w:sz w:val="19"/>
          <w:szCs w:val="19"/>
          <w:bdr w:val="none" w:sz="0" w:space="0" w:color="auto" w:frame="1"/>
        </w:rPr>
        <w:t>and other such facilities for senior citizens</w:t>
      </w:r>
      <w:r w:rsidR="00312CEA" w:rsidRPr="00390CF1">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w:t>
      </w:r>
      <w:r w:rsidR="00312CEA" w:rsidRPr="00390CF1">
        <w:rPr>
          <w:rFonts w:ascii="Arial" w:hAnsi="Arial" w:cs="Arial"/>
          <w:sz w:val="19"/>
          <w:szCs w:val="19"/>
          <w:bdr w:val="none" w:sz="0" w:space="0" w:color="auto" w:frame="1"/>
        </w:rPr>
        <w:t xml:space="preserve">taking </w:t>
      </w:r>
      <w:r w:rsidR="00C355DE" w:rsidRPr="00345D90">
        <w:rPr>
          <w:rFonts w:ascii="Arial" w:hAnsi="Arial" w:cs="Arial"/>
          <w:sz w:val="19"/>
          <w:szCs w:val="19"/>
          <w:bdr w:val="none" w:sz="0" w:space="0" w:color="auto" w:frame="1"/>
        </w:rPr>
        <w:t>measures for reducing inequalities faced by socially and economically backward groups;</w:t>
      </w:r>
    </w:p>
    <w:p w14:paraId="122DB779" w14:textId="2BFFEABF"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e</w:t>
      </w:r>
      <w:r w:rsidR="00C355DE" w:rsidRPr="00345D90">
        <w:rPr>
          <w:rFonts w:ascii="Arial" w:hAnsi="Arial" w:cs="Arial"/>
          <w:sz w:val="19"/>
          <w:szCs w:val="19"/>
          <w:bdr w:val="none" w:sz="0" w:space="0" w:color="auto" w:frame="1"/>
        </w:rPr>
        <w:t>nsuring environmental sustainability, ecological balance, protection of flora and fauna, animal welfare, agroforestry, con</w:t>
      </w:r>
      <w:r>
        <w:rPr>
          <w:rFonts w:ascii="Arial" w:hAnsi="Arial" w:cs="Arial"/>
          <w:sz w:val="19"/>
          <w:szCs w:val="19"/>
          <w:bdr w:val="none" w:sz="0" w:space="0" w:color="auto" w:frame="1"/>
        </w:rPr>
        <w:t>serv</w:t>
      </w:r>
      <w:r w:rsidR="00C355DE" w:rsidRPr="00345D90">
        <w:rPr>
          <w:rFonts w:ascii="Arial" w:hAnsi="Arial" w:cs="Arial"/>
          <w:sz w:val="19"/>
          <w:szCs w:val="19"/>
          <w:bdr w:val="none" w:sz="0" w:space="0" w:color="auto" w:frame="1"/>
        </w:rPr>
        <w:t>ation of natural resources</w:t>
      </w:r>
      <w:r w:rsidR="00312CEA">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maintaining quality of soil, air</w:t>
      </w:r>
      <w:r w:rsidR="00312CEA">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water;</w:t>
      </w:r>
    </w:p>
    <w:p w14:paraId="7EE45DFE" w14:textId="13DD7ED3"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p</w:t>
      </w:r>
      <w:r w:rsidR="00C355DE" w:rsidRPr="00345D90">
        <w:rPr>
          <w:rFonts w:ascii="Arial" w:hAnsi="Arial" w:cs="Arial"/>
          <w:sz w:val="19"/>
          <w:szCs w:val="19"/>
          <w:bdr w:val="none" w:sz="0" w:space="0" w:color="auto" w:frame="1"/>
        </w:rPr>
        <w:t>rotection of national heritage, art</w:t>
      </w:r>
      <w:r w:rsidR="00954ED8">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culture</w:t>
      </w:r>
      <w:r w:rsidR="00312CEA">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including restoration of buildings and sites of historical importance and works of art; setting up public libraries; </w:t>
      </w:r>
      <w:r w:rsidR="00954ED8">
        <w:rPr>
          <w:rFonts w:ascii="Arial" w:hAnsi="Arial" w:cs="Arial"/>
          <w:sz w:val="19"/>
          <w:szCs w:val="19"/>
          <w:bdr w:val="none" w:sz="0" w:space="0" w:color="auto" w:frame="1"/>
        </w:rPr>
        <w:t xml:space="preserve">and </w:t>
      </w:r>
      <w:r w:rsidR="00C355DE" w:rsidRPr="00345D90">
        <w:rPr>
          <w:rFonts w:ascii="Arial" w:hAnsi="Arial" w:cs="Arial"/>
          <w:sz w:val="19"/>
          <w:szCs w:val="19"/>
          <w:bdr w:val="none" w:sz="0" w:space="0" w:color="auto" w:frame="1"/>
        </w:rPr>
        <w:t>promotion and development of traditional arts and handicrafts;</w:t>
      </w:r>
    </w:p>
    <w:p w14:paraId="19F6CC97" w14:textId="33572B89"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m</w:t>
      </w:r>
      <w:r w:rsidR="00C355DE" w:rsidRPr="00345D90">
        <w:rPr>
          <w:rFonts w:ascii="Arial" w:hAnsi="Arial" w:cs="Arial"/>
          <w:sz w:val="19"/>
          <w:szCs w:val="19"/>
          <w:bdr w:val="none" w:sz="0" w:space="0" w:color="auto" w:frame="1"/>
        </w:rPr>
        <w:t>easures for the benefit of armed forces veterans, war widows</w:t>
      </w:r>
      <w:r w:rsidR="00312CEA">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their dependents;</w:t>
      </w:r>
    </w:p>
    <w:p w14:paraId="2C138550" w14:textId="322DFA2A"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tr</w:t>
      </w:r>
      <w:r w:rsidR="00C355DE" w:rsidRPr="00345D90">
        <w:rPr>
          <w:rFonts w:ascii="Arial" w:hAnsi="Arial" w:cs="Arial"/>
          <w:sz w:val="19"/>
          <w:szCs w:val="19"/>
          <w:bdr w:val="none" w:sz="0" w:space="0" w:color="auto" w:frame="1"/>
        </w:rPr>
        <w:t xml:space="preserve">aining to promote rural sports, regionally recognized sports, </w:t>
      </w:r>
      <w:r w:rsidR="00390CF1">
        <w:rPr>
          <w:rFonts w:ascii="Arial" w:hAnsi="Arial" w:cs="Arial"/>
          <w:sz w:val="19"/>
          <w:szCs w:val="19"/>
          <w:bdr w:val="none" w:sz="0" w:space="0" w:color="auto" w:frame="1"/>
        </w:rPr>
        <w:t xml:space="preserve">and </w:t>
      </w:r>
      <w:r w:rsidR="00C355DE" w:rsidRPr="00345D90">
        <w:rPr>
          <w:rFonts w:ascii="Arial" w:hAnsi="Arial" w:cs="Arial"/>
          <w:sz w:val="19"/>
          <w:szCs w:val="19"/>
          <w:bdr w:val="none" w:sz="0" w:space="0" w:color="auto" w:frame="1"/>
        </w:rPr>
        <w:t>Paralympic sports;</w:t>
      </w:r>
    </w:p>
    <w:p w14:paraId="03EE1A58" w14:textId="28E2FD78"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c</w:t>
      </w:r>
      <w:r w:rsidR="00C355DE" w:rsidRPr="00345D90">
        <w:rPr>
          <w:rFonts w:ascii="Arial" w:hAnsi="Arial" w:cs="Arial"/>
          <w:sz w:val="19"/>
          <w:szCs w:val="19"/>
          <w:bdr w:val="none" w:sz="0" w:space="0" w:color="auto" w:frame="1"/>
        </w:rPr>
        <w:t xml:space="preserve">ontribution to the Prime Minister’s National Relief Fund or any other fund set up by the </w:t>
      </w:r>
      <w:r w:rsidR="00312CEA">
        <w:rPr>
          <w:rFonts w:ascii="Arial" w:hAnsi="Arial" w:cs="Arial"/>
          <w:sz w:val="19"/>
          <w:szCs w:val="19"/>
          <w:bdr w:val="none" w:sz="0" w:space="0" w:color="auto" w:frame="1"/>
        </w:rPr>
        <w:t>c</w:t>
      </w:r>
      <w:r w:rsidR="00312CEA" w:rsidRPr="00345D90">
        <w:rPr>
          <w:rFonts w:ascii="Arial" w:hAnsi="Arial" w:cs="Arial"/>
          <w:sz w:val="19"/>
          <w:szCs w:val="19"/>
          <w:bdr w:val="none" w:sz="0" w:space="0" w:color="auto" w:frame="1"/>
        </w:rPr>
        <w:t xml:space="preserve">entral </w:t>
      </w:r>
      <w:r w:rsidR="00312CEA">
        <w:rPr>
          <w:rFonts w:ascii="Arial" w:hAnsi="Arial" w:cs="Arial"/>
          <w:sz w:val="19"/>
          <w:szCs w:val="19"/>
          <w:bdr w:val="none" w:sz="0" w:space="0" w:color="auto" w:frame="1"/>
        </w:rPr>
        <w:t>g</w:t>
      </w:r>
      <w:r w:rsidR="00312CEA" w:rsidRPr="00345D90">
        <w:rPr>
          <w:rFonts w:ascii="Arial" w:hAnsi="Arial" w:cs="Arial"/>
          <w:sz w:val="19"/>
          <w:szCs w:val="19"/>
          <w:bdr w:val="none" w:sz="0" w:space="0" w:color="auto" w:frame="1"/>
        </w:rPr>
        <w:t xml:space="preserve">overnment </w:t>
      </w:r>
      <w:r w:rsidR="00C355DE" w:rsidRPr="00345D90">
        <w:rPr>
          <w:rFonts w:ascii="Arial" w:hAnsi="Arial" w:cs="Arial"/>
          <w:sz w:val="19"/>
          <w:szCs w:val="19"/>
          <w:bdr w:val="none" w:sz="0" w:space="0" w:color="auto" w:frame="1"/>
        </w:rPr>
        <w:t>for socio-economic development and relief and welfare of the Scheduled Castes, the Scheduled Tribes, other backward classes, minorities</w:t>
      </w:r>
      <w:r w:rsidR="00312CEA">
        <w:rPr>
          <w:rFonts w:ascii="Arial" w:hAnsi="Arial" w:cs="Arial"/>
          <w:sz w:val="19"/>
          <w:szCs w:val="19"/>
          <w:bdr w:val="none" w:sz="0" w:space="0" w:color="auto" w:frame="1"/>
        </w:rPr>
        <w:t>,</w:t>
      </w:r>
      <w:r w:rsidR="00C355DE" w:rsidRPr="00345D90">
        <w:rPr>
          <w:rFonts w:ascii="Arial" w:hAnsi="Arial" w:cs="Arial"/>
          <w:sz w:val="19"/>
          <w:szCs w:val="19"/>
          <w:bdr w:val="none" w:sz="0" w:space="0" w:color="auto" w:frame="1"/>
        </w:rPr>
        <w:t xml:space="preserve"> and women;</w:t>
      </w:r>
    </w:p>
    <w:p w14:paraId="607551FF" w14:textId="2722A0C3"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c</w:t>
      </w:r>
      <w:r w:rsidR="00C355DE" w:rsidRPr="00345D90">
        <w:rPr>
          <w:rFonts w:ascii="Arial" w:hAnsi="Arial" w:cs="Arial"/>
          <w:sz w:val="19"/>
          <w:szCs w:val="19"/>
          <w:bdr w:val="none" w:sz="0" w:space="0" w:color="auto" w:frame="1"/>
        </w:rPr>
        <w:t xml:space="preserve">ontributions or funds provided by technology incubators located within academic institutions </w:t>
      </w:r>
      <w:r w:rsidR="00312CEA">
        <w:rPr>
          <w:rFonts w:ascii="Arial" w:hAnsi="Arial" w:cs="Arial"/>
          <w:sz w:val="19"/>
          <w:szCs w:val="19"/>
          <w:bdr w:val="none" w:sz="0" w:space="0" w:color="auto" w:frame="1"/>
        </w:rPr>
        <w:t>that</w:t>
      </w:r>
      <w:r w:rsidR="00312CEA" w:rsidRPr="00345D90">
        <w:rPr>
          <w:rFonts w:ascii="Arial" w:hAnsi="Arial" w:cs="Arial"/>
          <w:sz w:val="19"/>
          <w:szCs w:val="19"/>
          <w:bdr w:val="none" w:sz="0" w:space="0" w:color="auto" w:frame="1"/>
        </w:rPr>
        <w:t xml:space="preserve"> </w:t>
      </w:r>
      <w:r w:rsidR="00C355DE" w:rsidRPr="00345D90">
        <w:rPr>
          <w:rFonts w:ascii="Arial" w:hAnsi="Arial" w:cs="Arial"/>
          <w:sz w:val="19"/>
          <w:szCs w:val="19"/>
          <w:bdr w:val="none" w:sz="0" w:space="0" w:color="auto" w:frame="1"/>
        </w:rPr>
        <w:t xml:space="preserve">are approved by the </w:t>
      </w:r>
      <w:r w:rsidR="00312CEA">
        <w:rPr>
          <w:rFonts w:ascii="Arial" w:hAnsi="Arial" w:cs="Arial"/>
          <w:sz w:val="19"/>
          <w:szCs w:val="19"/>
          <w:bdr w:val="none" w:sz="0" w:space="0" w:color="auto" w:frame="1"/>
        </w:rPr>
        <w:t>c</w:t>
      </w:r>
      <w:r w:rsidR="00312CEA" w:rsidRPr="00345D90">
        <w:rPr>
          <w:rFonts w:ascii="Arial" w:hAnsi="Arial" w:cs="Arial"/>
          <w:sz w:val="19"/>
          <w:szCs w:val="19"/>
          <w:bdr w:val="none" w:sz="0" w:space="0" w:color="auto" w:frame="1"/>
        </w:rPr>
        <w:t xml:space="preserve">entral </w:t>
      </w:r>
      <w:r w:rsidR="00312CEA">
        <w:rPr>
          <w:rFonts w:ascii="Arial" w:hAnsi="Arial" w:cs="Arial"/>
          <w:sz w:val="19"/>
          <w:szCs w:val="19"/>
          <w:bdr w:val="none" w:sz="0" w:space="0" w:color="auto" w:frame="1"/>
        </w:rPr>
        <w:t>g</w:t>
      </w:r>
      <w:r w:rsidR="00312CEA" w:rsidRPr="00345D90">
        <w:rPr>
          <w:rFonts w:ascii="Arial" w:hAnsi="Arial" w:cs="Arial"/>
          <w:sz w:val="19"/>
          <w:szCs w:val="19"/>
          <w:bdr w:val="none" w:sz="0" w:space="0" w:color="auto" w:frame="1"/>
        </w:rPr>
        <w:t>overnment</w:t>
      </w:r>
      <w:r w:rsidR="00C355DE" w:rsidRPr="00345D90">
        <w:rPr>
          <w:rFonts w:ascii="Arial" w:hAnsi="Arial" w:cs="Arial"/>
          <w:sz w:val="19"/>
          <w:szCs w:val="19"/>
          <w:bdr w:val="none" w:sz="0" w:space="0" w:color="auto" w:frame="1"/>
        </w:rPr>
        <w:t>; and</w:t>
      </w:r>
    </w:p>
    <w:p w14:paraId="0FD78E0A" w14:textId="767E2D35" w:rsidR="00C355DE" w:rsidRPr="00345D90" w:rsidRDefault="000D1B5A" w:rsidP="00F341A6">
      <w:pPr>
        <w:pStyle w:val="ListParagraph"/>
        <w:widowControl w:val="0"/>
        <w:numPr>
          <w:ilvl w:val="0"/>
          <w:numId w:val="32"/>
        </w:numPr>
        <w:tabs>
          <w:tab w:val="left" w:pos="0"/>
          <w:tab w:val="left" w:pos="720"/>
        </w:tabs>
        <w:autoSpaceDE w:val="0"/>
        <w:autoSpaceDN w:val="0"/>
        <w:adjustRightInd w:val="0"/>
        <w:rPr>
          <w:rFonts w:ascii="Arial" w:hAnsi="Arial" w:cs="Arial"/>
          <w:sz w:val="19"/>
          <w:szCs w:val="19"/>
          <w:bdr w:val="none" w:sz="0" w:space="0" w:color="auto" w:frame="1"/>
        </w:rPr>
      </w:pPr>
      <w:r>
        <w:rPr>
          <w:rFonts w:ascii="Arial" w:hAnsi="Arial" w:cs="Arial"/>
          <w:sz w:val="19"/>
          <w:szCs w:val="19"/>
          <w:bdr w:val="none" w:sz="0" w:space="0" w:color="auto" w:frame="1"/>
        </w:rPr>
        <w:t>r</w:t>
      </w:r>
      <w:r w:rsidR="00C355DE" w:rsidRPr="00345D90">
        <w:rPr>
          <w:rFonts w:ascii="Arial" w:hAnsi="Arial" w:cs="Arial"/>
          <w:sz w:val="19"/>
          <w:szCs w:val="19"/>
          <w:bdr w:val="none" w:sz="0" w:space="0" w:color="auto" w:frame="1"/>
        </w:rPr>
        <w:t>ural development projects.</w:t>
      </w:r>
    </w:p>
    <w:p w14:paraId="5B70C669" w14:textId="77777777" w:rsidR="00F341A6" w:rsidRPr="00345D90" w:rsidRDefault="00F341A6" w:rsidP="00C355DE">
      <w:pPr>
        <w:widowControl w:val="0"/>
        <w:autoSpaceDE w:val="0"/>
        <w:autoSpaceDN w:val="0"/>
        <w:adjustRightInd w:val="0"/>
        <w:jc w:val="both"/>
        <w:rPr>
          <w:rFonts w:ascii="Arial" w:hAnsi="Arial" w:cs="Arial"/>
          <w:b/>
          <w:bCs/>
          <w:sz w:val="15"/>
          <w:szCs w:val="19"/>
          <w:bdr w:val="none" w:sz="0" w:space="0" w:color="auto" w:frame="1"/>
        </w:rPr>
      </w:pPr>
    </w:p>
    <w:p w14:paraId="10788D81" w14:textId="77777777" w:rsidR="000A0936" w:rsidRPr="00345D90" w:rsidRDefault="000A0936" w:rsidP="00C355DE">
      <w:pPr>
        <w:widowControl w:val="0"/>
        <w:autoSpaceDE w:val="0"/>
        <w:autoSpaceDN w:val="0"/>
        <w:adjustRightInd w:val="0"/>
        <w:jc w:val="both"/>
        <w:rPr>
          <w:rFonts w:ascii="Arial" w:hAnsi="Arial" w:cs="Arial"/>
          <w:b/>
          <w:bCs/>
          <w:sz w:val="15"/>
          <w:szCs w:val="19"/>
          <w:bdr w:val="none" w:sz="0" w:space="0" w:color="auto" w:frame="1"/>
        </w:rPr>
      </w:pPr>
    </w:p>
    <w:p w14:paraId="7BD93BCA" w14:textId="61993852" w:rsidR="00C355DE" w:rsidRPr="00345D90" w:rsidRDefault="00C355DE" w:rsidP="00C355DE">
      <w:pPr>
        <w:widowControl w:val="0"/>
        <w:autoSpaceDE w:val="0"/>
        <w:autoSpaceDN w:val="0"/>
        <w:adjustRightInd w:val="0"/>
        <w:jc w:val="both"/>
        <w:rPr>
          <w:rFonts w:ascii="Arial" w:hAnsi="Arial" w:cs="Arial"/>
          <w:b/>
          <w:bCs/>
          <w:sz w:val="19"/>
          <w:szCs w:val="19"/>
          <w:bdr w:val="none" w:sz="0" w:space="0" w:color="auto" w:frame="1"/>
        </w:rPr>
      </w:pPr>
      <w:r w:rsidRPr="00345D90">
        <w:rPr>
          <w:rFonts w:ascii="Arial" w:hAnsi="Arial" w:cs="Arial"/>
          <w:b/>
          <w:bCs/>
          <w:sz w:val="19"/>
          <w:szCs w:val="19"/>
          <w:bdr w:val="none" w:sz="0" w:space="0" w:color="auto" w:frame="1"/>
        </w:rPr>
        <w:t>3. Foreign companies covered under CSR provisions</w:t>
      </w:r>
    </w:p>
    <w:p w14:paraId="57D7C1D9" w14:textId="77777777" w:rsidR="00F341A6" w:rsidRPr="00345D90" w:rsidRDefault="00F341A6" w:rsidP="00C355DE">
      <w:pPr>
        <w:widowControl w:val="0"/>
        <w:autoSpaceDE w:val="0"/>
        <w:autoSpaceDN w:val="0"/>
        <w:adjustRightInd w:val="0"/>
        <w:jc w:val="both"/>
        <w:rPr>
          <w:rFonts w:ascii="Arial" w:hAnsi="Arial" w:cs="Arial"/>
          <w:sz w:val="19"/>
          <w:szCs w:val="19"/>
          <w:bdr w:val="none" w:sz="0" w:space="0" w:color="auto" w:frame="1"/>
        </w:rPr>
      </w:pPr>
    </w:p>
    <w:p w14:paraId="0B347947" w14:textId="77777777" w:rsidR="00C355DE"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Foreign companies are expected to contribute to CSR based on the profits of their Indian business operations.</w:t>
      </w:r>
    </w:p>
    <w:p w14:paraId="771D4B4B" w14:textId="77777777" w:rsidR="00F341A6" w:rsidRPr="00345D90" w:rsidRDefault="00F341A6" w:rsidP="00C355DE">
      <w:pPr>
        <w:widowControl w:val="0"/>
        <w:autoSpaceDE w:val="0"/>
        <w:autoSpaceDN w:val="0"/>
        <w:adjustRightInd w:val="0"/>
        <w:jc w:val="both"/>
        <w:rPr>
          <w:rFonts w:ascii="Arial" w:hAnsi="Arial" w:cs="Arial"/>
          <w:sz w:val="15"/>
          <w:szCs w:val="19"/>
          <w:bdr w:val="none" w:sz="0" w:space="0" w:color="auto" w:frame="1"/>
        </w:rPr>
      </w:pPr>
    </w:p>
    <w:p w14:paraId="39DE666C" w14:textId="77777777" w:rsidR="000A0936" w:rsidRPr="00345D90" w:rsidRDefault="000A0936" w:rsidP="00C355DE">
      <w:pPr>
        <w:widowControl w:val="0"/>
        <w:autoSpaceDE w:val="0"/>
        <w:autoSpaceDN w:val="0"/>
        <w:adjustRightInd w:val="0"/>
        <w:jc w:val="both"/>
        <w:rPr>
          <w:rFonts w:ascii="Arial" w:hAnsi="Arial" w:cs="Arial"/>
          <w:sz w:val="15"/>
          <w:szCs w:val="19"/>
          <w:bdr w:val="none" w:sz="0" w:space="0" w:color="auto" w:frame="1"/>
        </w:rPr>
      </w:pPr>
    </w:p>
    <w:p w14:paraId="240BFF8C" w14:textId="77777777" w:rsidR="00C355DE" w:rsidRPr="00345D90" w:rsidRDefault="00C355DE" w:rsidP="00C355DE">
      <w:pPr>
        <w:widowControl w:val="0"/>
        <w:autoSpaceDE w:val="0"/>
        <w:autoSpaceDN w:val="0"/>
        <w:adjustRightInd w:val="0"/>
        <w:jc w:val="both"/>
        <w:rPr>
          <w:rFonts w:ascii="Arial" w:hAnsi="Arial" w:cs="Arial"/>
          <w:b/>
          <w:bCs/>
          <w:sz w:val="19"/>
          <w:szCs w:val="19"/>
          <w:bdr w:val="none" w:sz="0" w:space="0" w:color="auto" w:frame="1"/>
        </w:rPr>
      </w:pPr>
      <w:r w:rsidRPr="00345D90">
        <w:rPr>
          <w:rFonts w:ascii="Arial" w:hAnsi="Arial" w:cs="Arial"/>
          <w:b/>
          <w:bCs/>
          <w:sz w:val="19"/>
          <w:szCs w:val="19"/>
          <w:bdr w:val="none" w:sz="0" w:space="0" w:color="auto" w:frame="1"/>
        </w:rPr>
        <w:t>4. Reporting</w:t>
      </w:r>
    </w:p>
    <w:p w14:paraId="7B576E2E" w14:textId="77777777" w:rsidR="00412339" w:rsidRPr="00345D90" w:rsidRDefault="00412339" w:rsidP="00C355DE">
      <w:pPr>
        <w:widowControl w:val="0"/>
        <w:autoSpaceDE w:val="0"/>
        <w:autoSpaceDN w:val="0"/>
        <w:adjustRightInd w:val="0"/>
        <w:jc w:val="both"/>
        <w:rPr>
          <w:rFonts w:ascii="Arial" w:hAnsi="Arial" w:cs="Arial"/>
          <w:sz w:val="19"/>
          <w:szCs w:val="19"/>
          <w:bdr w:val="none" w:sz="0" w:space="0" w:color="auto" w:frame="1"/>
        </w:rPr>
      </w:pPr>
    </w:p>
    <w:p w14:paraId="642AD01F" w14:textId="77777777" w:rsidR="000A0936"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As per the new guidelines, an annual filing/return detailing project-wise spend</w:t>
      </w:r>
      <w:r w:rsidR="00D4746D">
        <w:rPr>
          <w:rFonts w:ascii="Arial" w:hAnsi="Arial" w:cs="Arial"/>
          <w:sz w:val="19"/>
          <w:szCs w:val="19"/>
          <w:bdr w:val="none" w:sz="0" w:space="0" w:color="auto" w:frame="1"/>
        </w:rPr>
        <w:t>ing</w:t>
      </w:r>
      <w:r w:rsidRPr="00345D90">
        <w:rPr>
          <w:rFonts w:ascii="Arial" w:hAnsi="Arial" w:cs="Arial"/>
          <w:sz w:val="19"/>
          <w:szCs w:val="19"/>
          <w:bdr w:val="none" w:sz="0" w:space="0" w:color="auto" w:frame="1"/>
        </w:rPr>
        <w:t xml:space="preserve"> needs to be submitted. The government does not intend to audit CSR spends, relying instead on consumers, media</w:t>
      </w:r>
      <w:r w:rsidR="00954ED8">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 and civil society to </w:t>
      </w:r>
      <w:r w:rsidR="000A0936" w:rsidRPr="00345D90">
        <w:rPr>
          <w:rFonts w:ascii="Arial" w:hAnsi="Arial" w:cs="Arial"/>
          <w:sz w:val="19"/>
          <w:szCs w:val="19"/>
          <w:bdr w:val="none" w:sz="0" w:space="0" w:color="auto" w:frame="1"/>
        </w:rPr>
        <w:br w:type="page"/>
      </w:r>
    </w:p>
    <w:p w14:paraId="597F2760" w14:textId="77777777" w:rsidR="004B59BA" w:rsidRPr="00DC3004" w:rsidRDefault="004B59BA" w:rsidP="004B59BA">
      <w:pPr>
        <w:pStyle w:val="ExhibitHeading"/>
      </w:pPr>
      <w:r w:rsidRPr="00DC3004">
        <w:lastRenderedPageBreak/>
        <w:t xml:space="preserve">Exhibit </w:t>
      </w:r>
      <w:r>
        <w:t>4</w:t>
      </w:r>
      <w:r w:rsidRPr="00DC3004">
        <w:t xml:space="preserve"> (continued) </w:t>
      </w:r>
    </w:p>
    <w:p w14:paraId="7E168036" w14:textId="77777777" w:rsidR="004B59BA" w:rsidRDefault="004B59BA" w:rsidP="00C355DE">
      <w:pPr>
        <w:widowControl w:val="0"/>
        <w:autoSpaceDE w:val="0"/>
        <w:autoSpaceDN w:val="0"/>
        <w:adjustRightInd w:val="0"/>
        <w:jc w:val="both"/>
        <w:rPr>
          <w:rFonts w:ascii="Arial" w:hAnsi="Arial" w:cs="Arial"/>
          <w:sz w:val="19"/>
          <w:szCs w:val="19"/>
          <w:bdr w:val="none" w:sz="0" w:space="0" w:color="auto" w:frame="1"/>
        </w:rPr>
      </w:pPr>
    </w:p>
    <w:p w14:paraId="40419EDD" w14:textId="4E129B8C" w:rsidR="00C355DE"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provide the necessary checks on corporate activities</w:t>
      </w:r>
      <w:r w:rsidR="00412339" w:rsidRPr="00345D90">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and the disclosure of spending details. </w:t>
      </w:r>
      <w:r w:rsidR="000D1B5A">
        <w:rPr>
          <w:rFonts w:ascii="Arial" w:hAnsi="Arial" w:cs="Arial"/>
          <w:sz w:val="19"/>
          <w:szCs w:val="19"/>
          <w:bdr w:val="none" w:sz="0" w:space="0" w:color="auto" w:frame="1"/>
        </w:rPr>
        <w:t>However,</w:t>
      </w:r>
      <w:r w:rsidRPr="00345D90">
        <w:rPr>
          <w:rFonts w:ascii="Arial" w:hAnsi="Arial" w:cs="Arial"/>
          <w:sz w:val="19"/>
          <w:szCs w:val="19"/>
          <w:bdr w:val="none" w:sz="0" w:space="0" w:color="auto" w:frame="1"/>
        </w:rPr>
        <w:t xml:space="preserve"> corporations would need to assess and audit their projects either on their own or through qualified </w:t>
      </w:r>
      <w:r w:rsidR="00954ED8" w:rsidRPr="00345D90">
        <w:rPr>
          <w:rFonts w:ascii="Arial" w:hAnsi="Arial" w:cs="Arial"/>
          <w:sz w:val="19"/>
          <w:szCs w:val="19"/>
          <w:bdr w:val="none" w:sz="0" w:space="0" w:color="auto" w:frame="1"/>
        </w:rPr>
        <w:t>third</w:t>
      </w:r>
      <w:r w:rsidR="00954ED8">
        <w:rPr>
          <w:rFonts w:ascii="Arial" w:hAnsi="Arial" w:cs="Arial"/>
          <w:sz w:val="19"/>
          <w:szCs w:val="19"/>
          <w:bdr w:val="none" w:sz="0" w:space="0" w:color="auto" w:frame="1"/>
        </w:rPr>
        <w:t>-</w:t>
      </w:r>
      <w:r w:rsidRPr="00345D90">
        <w:rPr>
          <w:rFonts w:ascii="Arial" w:hAnsi="Arial" w:cs="Arial"/>
          <w:sz w:val="19"/>
          <w:szCs w:val="19"/>
          <w:bdr w:val="none" w:sz="0" w:space="0" w:color="auto" w:frame="1"/>
        </w:rPr>
        <w:t>party assessors/auditors appointed by the company.</w:t>
      </w:r>
    </w:p>
    <w:p w14:paraId="307858E1" w14:textId="77777777" w:rsidR="00412339" w:rsidRPr="00345D90" w:rsidRDefault="00412339" w:rsidP="00C355DE">
      <w:pPr>
        <w:widowControl w:val="0"/>
        <w:autoSpaceDE w:val="0"/>
        <w:autoSpaceDN w:val="0"/>
        <w:adjustRightInd w:val="0"/>
        <w:jc w:val="both"/>
        <w:rPr>
          <w:rFonts w:ascii="Arial" w:hAnsi="Arial" w:cs="Arial"/>
          <w:sz w:val="15"/>
          <w:szCs w:val="19"/>
          <w:bdr w:val="none" w:sz="0" w:space="0" w:color="auto" w:frame="1"/>
        </w:rPr>
      </w:pPr>
    </w:p>
    <w:p w14:paraId="13F68C5A" w14:textId="77777777" w:rsidR="00412339" w:rsidRPr="00345D90" w:rsidRDefault="00412339" w:rsidP="00C355DE">
      <w:pPr>
        <w:widowControl w:val="0"/>
        <w:autoSpaceDE w:val="0"/>
        <w:autoSpaceDN w:val="0"/>
        <w:adjustRightInd w:val="0"/>
        <w:jc w:val="both"/>
        <w:rPr>
          <w:rFonts w:ascii="Arial" w:hAnsi="Arial" w:cs="Arial"/>
          <w:sz w:val="15"/>
          <w:szCs w:val="19"/>
          <w:bdr w:val="none" w:sz="0" w:space="0" w:color="auto" w:frame="1"/>
        </w:rPr>
      </w:pPr>
    </w:p>
    <w:p w14:paraId="74731FA6" w14:textId="77777777" w:rsidR="00C355DE" w:rsidRPr="00345D90" w:rsidRDefault="00C355DE" w:rsidP="00C355DE">
      <w:pPr>
        <w:widowControl w:val="0"/>
        <w:autoSpaceDE w:val="0"/>
        <w:autoSpaceDN w:val="0"/>
        <w:adjustRightInd w:val="0"/>
        <w:jc w:val="both"/>
        <w:rPr>
          <w:rFonts w:ascii="Arial" w:hAnsi="Arial" w:cs="Arial"/>
          <w:b/>
          <w:bCs/>
          <w:sz w:val="19"/>
          <w:szCs w:val="19"/>
          <w:bdr w:val="none" w:sz="0" w:space="0" w:color="auto" w:frame="1"/>
        </w:rPr>
      </w:pPr>
      <w:r w:rsidRPr="00345D90">
        <w:rPr>
          <w:rFonts w:ascii="Arial" w:hAnsi="Arial" w:cs="Arial"/>
          <w:b/>
          <w:bCs/>
          <w:sz w:val="19"/>
          <w:szCs w:val="19"/>
          <w:bdr w:val="none" w:sz="0" w:space="0" w:color="auto" w:frame="1"/>
        </w:rPr>
        <w:t>5. Pooling together of resources to reach scale</w:t>
      </w:r>
    </w:p>
    <w:p w14:paraId="7F922407" w14:textId="77777777" w:rsidR="00412339" w:rsidRPr="00345D90" w:rsidRDefault="00412339" w:rsidP="00C355DE">
      <w:pPr>
        <w:widowControl w:val="0"/>
        <w:autoSpaceDE w:val="0"/>
        <w:autoSpaceDN w:val="0"/>
        <w:adjustRightInd w:val="0"/>
        <w:jc w:val="both"/>
        <w:rPr>
          <w:rFonts w:ascii="Arial" w:hAnsi="Arial" w:cs="Arial"/>
          <w:sz w:val="19"/>
          <w:szCs w:val="19"/>
          <w:bdr w:val="none" w:sz="0" w:space="0" w:color="auto" w:frame="1"/>
        </w:rPr>
      </w:pPr>
    </w:p>
    <w:p w14:paraId="247D2325" w14:textId="1F957894" w:rsidR="00C355DE" w:rsidRPr="00345D90" w:rsidRDefault="00C355DE" w:rsidP="00C355DE">
      <w:pPr>
        <w:widowControl w:val="0"/>
        <w:autoSpaceDE w:val="0"/>
        <w:autoSpaceDN w:val="0"/>
        <w:adjustRightInd w:val="0"/>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 xml:space="preserve">A possibility exists of various companies pooling together CSR resources to solve common problems. The rules have given legitimacy to this idea and </w:t>
      </w:r>
      <w:r w:rsidR="007B102D">
        <w:rPr>
          <w:rFonts w:ascii="Arial" w:hAnsi="Arial" w:cs="Arial"/>
          <w:sz w:val="19"/>
          <w:szCs w:val="19"/>
          <w:bdr w:val="none" w:sz="0" w:space="0" w:color="auto" w:frame="1"/>
        </w:rPr>
        <w:t xml:space="preserve">the </w:t>
      </w:r>
      <w:r w:rsidRPr="00345D90">
        <w:rPr>
          <w:rFonts w:ascii="Arial" w:hAnsi="Arial" w:cs="Arial"/>
          <w:sz w:val="19"/>
          <w:szCs w:val="19"/>
          <w:bdr w:val="none" w:sz="0" w:space="0" w:color="auto" w:frame="1"/>
        </w:rPr>
        <w:t xml:space="preserve">pooling of </w:t>
      </w:r>
      <w:r w:rsidR="00954ED8" w:rsidRPr="00345D90">
        <w:rPr>
          <w:rFonts w:ascii="Arial" w:hAnsi="Arial" w:cs="Arial"/>
          <w:sz w:val="19"/>
          <w:szCs w:val="19"/>
          <w:bdr w:val="none" w:sz="0" w:space="0" w:color="auto" w:frame="1"/>
        </w:rPr>
        <w:t>resources</w:t>
      </w:r>
      <w:r w:rsidR="00954ED8">
        <w:rPr>
          <w:rFonts w:ascii="Arial" w:hAnsi="Arial" w:cs="Arial"/>
          <w:sz w:val="19"/>
          <w:szCs w:val="19"/>
          <w:bdr w:val="none" w:sz="0" w:space="0" w:color="auto" w:frame="1"/>
        </w:rPr>
        <w:t>—</w:t>
      </w:r>
      <w:r w:rsidRPr="00345D90">
        <w:rPr>
          <w:rFonts w:ascii="Arial" w:hAnsi="Arial" w:cs="Arial"/>
          <w:sz w:val="19"/>
          <w:szCs w:val="19"/>
          <w:bdr w:val="none" w:sz="0" w:space="0" w:color="auto" w:frame="1"/>
        </w:rPr>
        <w:t xml:space="preserve">enabling companies to enhance their spend </w:t>
      </w:r>
      <w:r w:rsidR="00A0625A" w:rsidRPr="00345D90">
        <w:rPr>
          <w:rFonts w:ascii="Arial" w:hAnsi="Arial" w:cs="Arial"/>
          <w:sz w:val="19"/>
          <w:szCs w:val="19"/>
          <w:bdr w:val="none" w:sz="0" w:space="0" w:color="auto" w:frame="1"/>
        </w:rPr>
        <w:t>capacity</w:t>
      </w:r>
      <w:r w:rsidR="00DA251A">
        <w:rPr>
          <w:rFonts w:ascii="Arial" w:hAnsi="Arial" w:cs="Arial"/>
          <w:sz w:val="19"/>
          <w:szCs w:val="19"/>
          <w:bdr w:val="none" w:sz="0" w:space="0" w:color="auto" w:frame="1"/>
        </w:rPr>
        <w:t xml:space="preserve"> </w:t>
      </w:r>
      <w:r w:rsidRPr="00345D90">
        <w:rPr>
          <w:rFonts w:ascii="Arial" w:hAnsi="Arial" w:cs="Arial"/>
          <w:sz w:val="19"/>
          <w:szCs w:val="19"/>
          <w:bdr w:val="none" w:sz="0" w:space="0" w:color="auto" w:frame="1"/>
        </w:rPr>
        <w:t xml:space="preserve">to take </w:t>
      </w:r>
      <w:r w:rsidR="00954ED8">
        <w:rPr>
          <w:rFonts w:ascii="Arial" w:hAnsi="Arial" w:cs="Arial"/>
          <w:sz w:val="19"/>
          <w:szCs w:val="19"/>
          <w:bdr w:val="none" w:sz="0" w:space="0" w:color="auto" w:frame="1"/>
        </w:rPr>
        <w:t xml:space="preserve">on </w:t>
      </w:r>
      <w:r w:rsidRPr="00345D90">
        <w:rPr>
          <w:rFonts w:ascii="Arial" w:hAnsi="Arial" w:cs="Arial"/>
          <w:sz w:val="19"/>
          <w:szCs w:val="19"/>
          <w:bdr w:val="none" w:sz="0" w:space="0" w:color="auto" w:frame="1"/>
        </w:rPr>
        <w:t>bigger CSR project</w:t>
      </w:r>
      <w:r w:rsidR="00954ED8">
        <w:rPr>
          <w:rFonts w:ascii="Arial" w:hAnsi="Arial" w:cs="Arial"/>
          <w:sz w:val="19"/>
          <w:szCs w:val="19"/>
          <w:bdr w:val="none" w:sz="0" w:space="0" w:color="auto" w:frame="1"/>
        </w:rPr>
        <w:t>s</w:t>
      </w:r>
      <w:r w:rsidR="00DA251A">
        <w:rPr>
          <w:rFonts w:ascii="Arial" w:hAnsi="Arial" w:cs="Arial"/>
          <w:sz w:val="19"/>
          <w:szCs w:val="19"/>
          <w:bdr w:val="none" w:sz="0" w:space="0" w:color="auto" w:frame="1"/>
        </w:rPr>
        <w:t>—</w:t>
      </w:r>
      <w:r w:rsidRPr="00345D90">
        <w:rPr>
          <w:rFonts w:ascii="Arial" w:hAnsi="Arial" w:cs="Arial"/>
          <w:sz w:val="19"/>
          <w:szCs w:val="19"/>
          <w:bdr w:val="none" w:sz="0" w:space="0" w:color="auto" w:frame="1"/>
        </w:rPr>
        <w:t>is now a provision under the rules.</w:t>
      </w:r>
    </w:p>
    <w:p w14:paraId="6FBA0CFE" w14:textId="77777777" w:rsidR="00412339" w:rsidRPr="00345D90" w:rsidRDefault="00412339" w:rsidP="00C355DE">
      <w:pPr>
        <w:widowControl w:val="0"/>
        <w:autoSpaceDE w:val="0"/>
        <w:autoSpaceDN w:val="0"/>
        <w:adjustRightInd w:val="0"/>
        <w:jc w:val="both"/>
        <w:rPr>
          <w:rFonts w:ascii="Arial" w:hAnsi="Arial" w:cs="Arial"/>
          <w:sz w:val="19"/>
          <w:szCs w:val="19"/>
          <w:bdr w:val="none" w:sz="0" w:space="0" w:color="auto" w:frame="1"/>
        </w:rPr>
      </w:pPr>
    </w:p>
    <w:p w14:paraId="4F916236" w14:textId="77777777" w:rsidR="00C355DE" w:rsidRPr="00345D90" w:rsidRDefault="00C355DE" w:rsidP="00412339">
      <w:pPr>
        <w:pStyle w:val="ListParagraph"/>
        <w:widowControl w:val="0"/>
        <w:numPr>
          <w:ilvl w:val="0"/>
          <w:numId w:val="34"/>
        </w:numPr>
        <w:tabs>
          <w:tab w:val="left" w:pos="720"/>
        </w:tabs>
        <w:autoSpaceDE w:val="0"/>
        <w:autoSpaceDN w:val="0"/>
        <w:adjustRightInd w:val="0"/>
        <w:ind w:left="225" w:hanging="225"/>
        <w:rPr>
          <w:rFonts w:ascii="Arial" w:hAnsi="Arial" w:cs="Arial"/>
          <w:sz w:val="19"/>
          <w:szCs w:val="19"/>
          <w:bdr w:val="none" w:sz="0" w:space="0" w:color="auto" w:frame="1"/>
        </w:rPr>
      </w:pPr>
      <w:r w:rsidRPr="00345D90">
        <w:rPr>
          <w:rFonts w:ascii="Arial" w:hAnsi="Arial" w:cs="Arial"/>
          <w:sz w:val="19"/>
          <w:szCs w:val="19"/>
          <w:bdr w:val="none" w:sz="0" w:space="0" w:color="auto" w:frame="1"/>
        </w:rPr>
        <w:t xml:space="preserve">Companies belonging to the same group can set up a trust </w:t>
      </w:r>
      <w:r w:rsidR="00390CF1" w:rsidRPr="00345D90">
        <w:rPr>
          <w:rFonts w:ascii="Arial" w:hAnsi="Arial" w:cs="Arial"/>
          <w:sz w:val="19"/>
          <w:szCs w:val="19"/>
          <w:bdr w:val="none" w:sz="0" w:space="0" w:color="auto" w:frame="1"/>
        </w:rPr>
        <w:t>o</w:t>
      </w:r>
      <w:r w:rsidR="00390CF1">
        <w:rPr>
          <w:rFonts w:ascii="Arial" w:hAnsi="Arial" w:cs="Arial"/>
          <w:sz w:val="19"/>
          <w:szCs w:val="19"/>
          <w:bdr w:val="none" w:sz="0" w:space="0" w:color="auto" w:frame="1"/>
        </w:rPr>
        <w:t>r</w:t>
      </w:r>
      <w:r w:rsidR="00390CF1" w:rsidRPr="00345D90">
        <w:rPr>
          <w:rFonts w:ascii="Arial" w:hAnsi="Arial" w:cs="Arial"/>
          <w:sz w:val="19"/>
          <w:szCs w:val="19"/>
          <w:bdr w:val="none" w:sz="0" w:space="0" w:color="auto" w:frame="1"/>
        </w:rPr>
        <w:t xml:space="preserve"> </w:t>
      </w:r>
      <w:r w:rsidR="007B102D" w:rsidRPr="00345D90">
        <w:rPr>
          <w:rFonts w:ascii="Arial" w:hAnsi="Arial" w:cs="Arial"/>
          <w:sz w:val="19"/>
          <w:szCs w:val="19"/>
          <w:bdr w:val="none" w:sz="0" w:space="0" w:color="auto" w:frame="1"/>
        </w:rPr>
        <w:t>not</w:t>
      </w:r>
      <w:r w:rsidR="007B102D">
        <w:rPr>
          <w:rFonts w:ascii="Arial" w:hAnsi="Arial" w:cs="Arial"/>
          <w:sz w:val="19"/>
          <w:szCs w:val="19"/>
          <w:bdr w:val="none" w:sz="0" w:space="0" w:color="auto" w:frame="1"/>
        </w:rPr>
        <w:t>-</w:t>
      </w:r>
      <w:r w:rsidR="007B102D" w:rsidRPr="00345D90">
        <w:rPr>
          <w:rFonts w:ascii="Arial" w:hAnsi="Arial" w:cs="Arial"/>
          <w:sz w:val="19"/>
          <w:szCs w:val="19"/>
          <w:bdr w:val="none" w:sz="0" w:space="0" w:color="auto" w:frame="1"/>
        </w:rPr>
        <w:t>for</w:t>
      </w:r>
      <w:r w:rsidR="007B102D">
        <w:rPr>
          <w:rFonts w:ascii="Arial" w:hAnsi="Arial" w:cs="Arial"/>
          <w:sz w:val="19"/>
          <w:szCs w:val="19"/>
          <w:bdr w:val="none" w:sz="0" w:space="0" w:color="auto" w:frame="1"/>
        </w:rPr>
        <w:t>-</w:t>
      </w:r>
      <w:r w:rsidRPr="00345D90">
        <w:rPr>
          <w:rFonts w:ascii="Arial" w:hAnsi="Arial" w:cs="Arial"/>
          <w:sz w:val="19"/>
          <w:szCs w:val="19"/>
          <w:bdr w:val="none" w:sz="0" w:space="0" w:color="auto" w:frame="1"/>
        </w:rPr>
        <w:t>profit company to undertake CSR.</w:t>
      </w:r>
    </w:p>
    <w:p w14:paraId="177187DD" w14:textId="77777777" w:rsidR="00C355DE" w:rsidRPr="00345D90" w:rsidRDefault="00C355DE" w:rsidP="00412339">
      <w:pPr>
        <w:pStyle w:val="ListParagraph"/>
        <w:widowControl w:val="0"/>
        <w:numPr>
          <w:ilvl w:val="0"/>
          <w:numId w:val="34"/>
        </w:numPr>
        <w:tabs>
          <w:tab w:val="left" w:pos="220"/>
          <w:tab w:val="left" w:pos="720"/>
        </w:tabs>
        <w:autoSpaceDE w:val="0"/>
        <w:autoSpaceDN w:val="0"/>
        <w:adjustRightInd w:val="0"/>
        <w:rPr>
          <w:rFonts w:ascii="Arial" w:hAnsi="Arial" w:cs="Arial"/>
          <w:sz w:val="19"/>
          <w:szCs w:val="19"/>
          <w:bdr w:val="none" w:sz="0" w:space="0" w:color="auto" w:frame="1"/>
        </w:rPr>
      </w:pPr>
      <w:r w:rsidRPr="00345D90">
        <w:rPr>
          <w:rFonts w:ascii="Arial" w:hAnsi="Arial" w:cs="Arial"/>
          <w:sz w:val="19"/>
          <w:szCs w:val="19"/>
          <w:bdr w:val="none" w:sz="0" w:space="0" w:color="auto" w:frame="1"/>
        </w:rPr>
        <w:t>Companies can also join hands with other companies to undertake CSR projects jointly.</w:t>
      </w:r>
    </w:p>
    <w:p w14:paraId="7975DF61" w14:textId="77777777" w:rsidR="00C355DE" w:rsidRPr="00DC3004" w:rsidRDefault="00C355DE" w:rsidP="000A0936">
      <w:pPr>
        <w:pStyle w:val="BodyTextMain"/>
        <w:rPr>
          <w:sz w:val="19"/>
          <w:szCs w:val="19"/>
          <w:bdr w:val="none" w:sz="0" w:space="0" w:color="auto" w:frame="1"/>
        </w:rPr>
      </w:pPr>
    </w:p>
    <w:p w14:paraId="3A0791FC" w14:textId="77777777" w:rsidR="00C355DE" w:rsidRPr="00261A16" w:rsidRDefault="00C355DE" w:rsidP="000A0936">
      <w:pPr>
        <w:pStyle w:val="BodyTextMain"/>
        <w:rPr>
          <w:sz w:val="19"/>
          <w:szCs w:val="19"/>
          <w:bdr w:val="none" w:sz="0" w:space="0" w:color="auto" w:frame="1"/>
        </w:rPr>
      </w:pPr>
    </w:p>
    <w:p w14:paraId="4F78533A" w14:textId="77777777" w:rsidR="00C355DE" w:rsidRPr="00345D90" w:rsidRDefault="00C355DE" w:rsidP="00C355DE">
      <w:pPr>
        <w:widowControl w:val="0"/>
        <w:autoSpaceDE w:val="0"/>
        <w:autoSpaceDN w:val="0"/>
        <w:adjustRightInd w:val="0"/>
        <w:jc w:val="both"/>
        <w:rPr>
          <w:rFonts w:ascii="Arial" w:hAnsi="Arial" w:cs="Arial"/>
          <w:b/>
          <w:bCs/>
          <w:sz w:val="19"/>
          <w:szCs w:val="19"/>
          <w:bdr w:val="none" w:sz="0" w:space="0" w:color="auto" w:frame="1"/>
        </w:rPr>
      </w:pPr>
      <w:r w:rsidRPr="00345D90">
        <w:rPr>
          <w:rFonts w:ascii="Arial" w:hAnsi="Arial" w:cs="Arial"/>
          <w:b/>
          <w:bCs/>
          <w:sz w:val="19"/>
          <w:szCs w:val="19"/>
          <w:bdr w:val="none" w:sz="0" w:space="0" w:color="auto" w:frame="1"/>
        </w:rPr>
        <w:t>6. Surplus from CSR activities not business profits of company</w:t>
      </w:r>
    </w:p>
    <w:p w14:paraId="561DBA60" w14:textId="77777777" w:rsidR="0029356D" w:rsidRPr="00345D90" w:rsidRDefault="0029356D" w:rsidP="00C355DE">
      <w:pPr>
        <w:jc w:val="both"/>
        <w:rPr>
          <w:rFonts w:ascii="Arial" w:hAnsi="Arial" w:cs="Arial"/>
          <w:sz w:val="19"/>
          <w:szCs w:val="19"/>
          <w:bdr w:val="none" w:sz="0" w:space="0" w:color="auto" w:frame="1"/>
        </w:rPr>
      </w:pPr>
    </w:p>
    <w:p w14:paraId="4D83DAB4" w14:textId="7F2095C6" w:rsidR="00C355DE" w:rsidRPr="00345D90" w:rsidRDefault="00C355DE" w:rsidP="00C355DE">
      <w:pPr>
        <w:jc w:val="both"/>
        <w:rPr>
          <w:rFonts w:ascii="Arial" w:hAnsi="Arial" w:cs="Arial"/>
          <w:sz w:val="19"/>
          <w:szCs w:val="19"/>
          <w:bdr w:val="none" w:sz="0" w:space="0" w:color="auto" w:frame="1"/>
        </w:rPr>
      </w:pPr>
      <w:r w:rsidRPr="00345D90">
        <w:rPr>
          <w:rFonts w:ascii="Arial" w:hAnsi="Arial" w:cs="Arial"/>
          <w:sz w:val="19"/>
          <w:szCs w:val="19"/>
          <w:bdr w:val="none" w:sz="0" w:space="0" w:color="auto" w:frame="1"/>
        </w:rPr>
        <w:t xml:space="preserve">Surpluses arising from CSR activities are not to be considered business profits of the company and may therefore need to be </w:t>
      </w:r>
      <w:r w:rsidR="00DA251A">
        <w:rPr>
          <w:rFonts w:ascii="Arial" w:hAnsi="Arial" w:cs="Arial"/>
          <w:sz w:val="19"/>
          <w:szCs w:val="19"/>
          <w:bdr w:val="none" w:sz="0" w:space="0" w:color="auto" w:frame="1"/>
        </w:rPr>
        <w:t xml:space="preserve">poured </w:t>
      </w:r>
      <w:r w:rsidRPr="00345D90">
        <w:rPr>
          <w:rFonts w:ascii="Arial" w:hAnsi="Arial" w:cs="Arial"/>
          <w:sz w:val="19"/>
          <w:szCs w:val="19"/>
          <w:bdr w:val="none" w:sz="0" w:space="0" w:color="auto" w:frame="1"/>
        </w:rPr>
        <w:t>back into CSR activities.</w:t>
      </w:r>
    </w:p>
    <w:p w14:paraId="5669FF76" w14:textId="77777777" w:rsidR="00C355DE" w:rsidRPr="00DC3004" w:rsidRDefault="00C355DE" w:rsidP="00EE7324">
      <w:pPr>
        <w:pStyle w:val="Footnote"/>
      </w:pPr>
    </w:p>
    <w:p w14:paraId="3B7A2410" w14:textId="77777777" w:rsidR="00C355DE" w:rsidRPr="00DC3004" w:rsidRDefault="00C355DE" w:rsidP="00EE7324">
      <w:pPr>
        <w:pStyle w:val="Footnote"/>
      </w:pPr>
      <w:r w:rsidRPr="00261A16">
        <w:t xml:space="preserve">Source: Utkarsh </w:t>
      </w:r>
      <w:r w:rsidR="009B27ED">
        <w:t>Majmudar</w:t>
      </w:r>
      <w:r w:rsidR="009B27ED" w:rsidRPr="00261A16">
        <w:t xml:space="preserve"> </w:t>
      </w:r>
      <w:r w:rsidRPr="00261A16">
        <w:t xml:space="preserve">and Namrata Rana, </w:t>
      </w:r>
      <w:r w:rsidR="009B27ED">
        <w:t>“</w:t>
      </w:r>
      <w:r w:rsidRPr="00261A16">
        <w:t xml:space="preserve">The Birth of a New Ecosystem: </w:t>
      </w:r>
      <w:r w:rsidR="00AE163E" w:rsidRPr="00261A16">
        <w:t>India</w:t>
      </w:r>
      <w:r w:rsidR="00AE163E">
        <w:t>’</w:t>
      </w:r>
      <w:r w:rsidR="00AE163E" w:rsidRPr="00261A16">
        <w:t xml:space="preserve">s </w:t>
      </w:r>
      <w:r w:rsidRPr="00261A16">
        <w:t>Mandatory CSR Rule Becomes a Reality,</w:t>
      </w:r>
      <w:r w:rsidR="009B27ED">
        <w:t>”</w:t>
      </w:r>
      <w:r w:rsidRPr="00261A16">
        <w:t xml:space="preserve"> </w:t>
      </w:r>
      <w:r w:rsidRPr="00345D90">
        <w:rPr>
          <w:i/>
        </w:rPr>
        <w:t>CSRwire</w:t>
      </w:r>
      <w:r w:rsidR="00EE7324" w:rsidRPr="00261A16">
        <w:t>,</w:t>
      </w:r>
      <w:r w:rsidRPr="00261A16">
        <w:t xml:space="preserve"> </w:t>
      </w:r>
      <w:r w:rsidR="009B27ED" w:rsidRPr="009B27ED">
        <w:t>Apr</w:t>
      </w:r>
      <w:r w:rsidR="009B27ED">
        <w:t xml:space="preserve">il </w:t>
      </w:r>
      <w:r w:rsidR="009B27ED" w:rsidRPr="009B27ED">
        <w:t>4, 2014</w:t>
      </w:r>
      <w:r w:rsidR="009B27ED">
        <w:t xml:space="preserve">, </w:t>
      </w:r>
      <w:r w:rsidR="004455FE" w:rsidRPr="00F22A79">
        <w:t xml:space="preserve">accessed March 7, 2017, </w:t>
      </w:r>
      <w:hyperlink r:id="rId9" w:history="1">
        <w:r w:rsidRPr="00DC3004">
          <w:rPr>
            <w:rStyle w:val="Hyperlink"/>
            <w:color w:val="auto"/>
            <w:u w:val="none"/>
          </w:rPr>
          <w:t>www.csrwire.com/blog/posts/1290-the-birth-of-a-new-ecosystem-india-s-mandatory-csr-rule-becomes-a-reality</w:t>
        </w:r>
      </w:hyperlink>
      <w:r w:rsidR="004455FE" w:rsidRPr="00DC3004">
        <w:t>.</w:t>
      </w:r>
    </w:p>
    <w:p w14:paraId="57C65D9E" w14:textId="77777777" w:rsidR="00C355DE" w:rsidRPr="009B27ED" w:rsidRDefault="00C355DE" w:rsidP="00BB3E8A">
      <w:pPr>
        <w:pStyle w:val="BodyTextMain"/>
        <w:rPr>
          <w:sz w:val="20"/>
        </w:rPr>
      </w:pPr>
    </w:p>
    <w:p w14:paraId="70024E23" w14:textId="77777777" w:rsidR="00C355DE" w:rsidRPr="00115D8F" w:rsidRDefault="00C355DE" w:rsidP="006D0782">
      <w:pPr>
        <w:pStyle w:val="BodyTextMain"/>
      </w:pPr>
    </w:p>
    <w:p w14:paraId="7BB200FA" w14:textId="3AE62A11" w:rsidR="00C355DE" w:rsidRPr="00C355DE" w:rsidRDefault="00C355DE" w:rsidP="006D0782">
      <w:pPr>
        <w:pStyle w:val="ExhibitHeading"/>
        <w:rPr>
          <w:rFonts w:eastAsia="Arial Unicode MS"/>
        </w:rPr>
      </w:pPr>
      <w:r w:rsidRPr="00C355DE">
        <w:t>Exhibit 5: Social responsibility issues facing Finolex</w:t>
      </w:r>
    </w:p>
    <w:p w14:paraId="76DC6EDA" w14:textId="77777777" w:rsidR="00C355DE" w:rsidRPr="00C355DE" w:rsidRDefault="00C355DE" w:rsidP="00C355DE">
      <w:pPr>
        <w:pStyle w:val="Body"/>
        <w:rPr>
          <w:rFonts w:ascii="Arial" w:eastAsia="Times New Roman" w:hAnsi="Arial" w:cs="Arial"/>
          <w:b/>
          <w:bCs/>
          <w:sz w:val="19"/>
          <w:szCs w:val="19"/>
        </w:rPr>
      </w:pPr>
    </w:p>
    <w:tbl>
      <w:tblPr>
        <w:tblStyle w:val="TableGrid"/>
        <w:tblW w:w="0" w:type="auto"/>
        <w:tblInd w:w="198" w:type="dxa"/>
        <w:tblLook w:val="04A0" w:firstRow="1" w:lastRow="0" w:firstColumn="1" w:lastColumn="0" w:noHBand="0" w:noVBand="1"/>
      </w:tblPr>
      <w:tblGrid>
        <w:gridCol w:w="2818"/>
        <w:gridCol w:w="3050"/>
        <w:gridCol w:w="3284"/>
      </w:tblGrid>
      <w:tr w:rsidR="00C355DE" w:rsidRPr="00C355DE" w14:paraId="74584722" w14:textId="77777777" w:rsidTr="00345D90">
        <w:tc>
          <w:tcPr>
            <w:tcW w:w="2880" w:type="dxa"/>
            <w:tcBorders>
              <w:top w:val="single" w:sz="4" w:space="0" w:color="auto"/>
              <w:left w:val="single" w:sz="4" w:space="0" w:color="auto"/>
              <w:bottom w:val="single" w:sz="4" w:space="0" w:color="auto"/>
              <w:right w:val="single" w:sz="4" w:space="0" w:color="auto"/>
            </w:tcBorders>
            <w:hideMark/>
          </w:tcPr>
          <w:p w14:paraId="0195A11A" w14:textId="77777777" w:rsidR="00C355DE" w:rsidRPr="00C355DE" w:rsidRDefault="00C355DE">
            <w:pPr>
              <w:pStyle w:val="Body"/>
              <w:jc w:val="center"/>
              <w:rPr>
                <w:rFonts w:ascii="Arial" w:hAnsi="Arial" w:cs="Arial"/>
                <w:b/>
                <w:sz w:val="19"/>
                <w:szCs w:val="19"/>
                <w:lang w:val="en-GB"/>
              </w:rPr>
            </w:pPr>
            <w:r w:rsidRPr="00C355DE">
              <w:rPr>
                <w:rFonts w:ascii="Arial" w:hAnsi="Arial" w:cs="Arial"/>
                <w:b/>
                <w:sz w:val="19"/>
                <w:szCs w:val="19"/>
                <w:lang w:val="en-GB"/>
              </w:rPr>
              <w:t>Major</w:t>
            </w:r>
          </w:p>
        </w:tc>
        <w:tc>
          <w:tcPr>
            <w:tcW w:w="3126" w:type="dxa"/>
            <w:tcBorders>
              <w:top w:val="single" w:sz="4" w:space="0" w:color="auto"/>
              <w:left w:val="single" w:sz="4" w:space="0" w:color="auto"/>
              <w:bottom w:val="single" w:sz="4" w:space="0" w:color="auto"/>
              <w:right w:val="single" w:sz="4" w:space="0" w:color="auto"/>
            </w:tcBorders>
            <w:hideMark/>
          </w:tcPr>
          <w:p w14:paraId="64521851" w14:textId="77777777" w:rsidR="00C355DE" w:rsidRPr="00C355DE" w:rsidRDefault="00C355DE">
            <w:pPr>
              <w:pStyle w:val="Body"/>
              <w:jc w:val="center"/>
              <w:rPr>
                <w:rFonts w:ascii="Arial" w:eastAsia="Times New Roman" w:hAnsi="Arial" w:cs="Arial"/>
                <w:b/>
                <w:bCs/>
                <w:sz w:val="19"/>
                <w:szCs w:val="19"/>
                <w:lang w:val="en-GB"/>
              </w:rPr>
            </w:pPr>
            <w:r w:rsidRPr="00C355DE">
              <w:rPr>
                <w:rFonts w:ascii="Arial" w:eastAsia="Times New Roman" w:hAnsi="Arial" w:cs="Arial"/>
                <w:b/>
                <w:bCs/>
                <w:sz w:val="19"/>
                <w:szCs w:val="19"/>
                <w:lang w:val="en-GB"/>
              </w:rPr>
              <w:t>Significant</w:t>
            </w:r>
          </w:p>
        </w:tc>
        <w:tc>
          <w:tcPr>
            <w:tcW w:w="3372" w:type="dxa"/>
            <w:tcBorders>
              <w:top w:val="single" w:sz="4" w:space="0" w:color="auto"/>
              <w:left w:val="single" w:sz="4" w:space="0" w:color="auto"/>
              <w:bottom w:val="single" w:sz="4" w:space="0" w:color="auto"/>
              <w:right w:val="single" w:sz="4" w:space="0" w:color="auto"/>
            </w:tcBorders>
            <w:hideMark/>
          </w:tcPr>
          <w:p w14:paraId="3C7BCC45" w14:textId="77777777" w:rsidR="00C355DE" w:rsidRPr="00C355DE" w:rsidRDefault="00C355DE">
            <w:pPr>
              <w:pStyle w:val="Body"/>
              <w:jc w:val="center"/>
              <w:rPr>
                <w:rFonts w:ascii="Arial" w:eastAsia="Times New Roman" w:hAnsi="Arial" w:cs="Arial"/>
                <w:b/>
                <w:bCs/>
                <w:sz w:val="19"/>
                <w:szCs w:val="19"/>
                <w:lang w:val="en-GB"/>
              </w:rPr>
            </w:pPr>
            <w:r w:rsidRPr="00C355DE">
              <w:rPr>
                <w:rFonts w:ascii="Arial" w:eastAsia="Times New Roman" w:hAnsi="Arial" w:cs="Arial"/>
                <w:b/>
                <w:bCs/>
                <w:sz w:val="19"/>
                <w:szCs w:val="19"/>
                <w:lang w:val="en-GB"/>
              </w:rPr>
              <w:t>Moderate</w:t>
            </w:r>
          </w:p>
        </w:tc>
      </w:tr>
      <w:tr w:rsidR="00C355DE" w:rsidRPr="00C355DE" w14:paraId="6444F273" w14:textId="77777777" w:rsidTr="00345D90">
        <w:trPr>
          <w:trHeight w:val="282"/>
        </w:trPr>
        <w:tc>
          <w:tcPr>
            <w:tcW w:w="2880" w:type="dxa"/>
            <w:tcBorders>
              <w:top w:val="single" w:sz="4" w:space="0" w:color="auto"/>
              <w:left w:val="single" w:sz="4" w:space="0" w:color="auto"/>
              <w:bottom w:val="single" w:sz="4" w:space="0" w:color="auto"/>
              <w:right w:val="single" w:sz="4" w:space="0" w:color="auto"/>
            </w:tcBorders>
            <w:hideMark/>
          </w:tcPr>
          <w:p w14:paraId="79ADDBE8" w14:textId="77777777" w:rsidR="00C355DE" w:rsidRPr="00C355DE" w:rsidRDefault="00C355DE">
            <w:pPr>
              <w:pStyle w:val="Body"/>
              <w:rPr>
                <w:rFonts w:ascii="Arial" w:eastAsia="Times New Roman" w:hAnsi="Arial" w:cs="Arial"/>
                <w:sz w:val="19"/>
                <w:szCs w:val="19"/>
                <w:lang w:val="en-GB"/>
              </w:rPr>
            </w:pPr>
            <w:r w:rsidRPr="00C355DE">
              <w:rPr>
                <w:rFonts w:ascii="Arial" w:hAnsi="Arial" w:cs="Arial"/>
                <w:sz w:val="19"/>
                <w:szCs w:val="19"/>
                <w:lang w:val="en-GB"/>
              </w:rPr>
              <w:t>Use of PVC</w:t>
            </w:r>
            <w:r w:rsidR="00EC4B6E">
              <w:rPr>
                <w:rFonts w:ascii="Arial" w:hAnsi="Arial" w:cs="Arial"/>
                <w:sz w:val="19"/>
                <w:szCs w:val="19"/>
                <w:lang w:val="en-GB"/>
              </w:rPr>
              <w:t>:</w:t>
            </w:r>
            <w:r w:rsidRPr="00C355DE">
              <w:rPr>
                <w:rFonts w:ascii="Arial" w:hAnsi="Arial" w:cs="Arial"/>
                <w:sz w:val="19"/>
                <w:szCs w:val="19"/>
                <w:lang w:val="en-GB"/>
              </w:rPr>
              <w:t xml:space="preserve"> a material with adverse environmental impacts</w:t>
            </w:r>
          </w:p>
        </w:tc>
        <w:tc>
          <w:tcPr>
            <w:tcW w:w="3126" w:type="dxa"/>
            <w:tcBorders>
              <w:top w:val="single" w:sz="4" w:space="0" w:color="auto"/>
              <w:left w:val="single" w:sz="4" w:space="0" w:color="auto"/>
              <w:bottom w:val="single" w:sz="4" w:space="0" w:color="auto"/>
              <w:right w:val="single" w:sz="4" w:space="0" w:color="auto"/>
            </w:tcBorders>
            <w:hideMark/>
          </w:tcPr>
          <w:p w14:paraId="1DDA5D87"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Waste management</w:t>
            </w:r>
          </w:p>
        </w:tc>
        <w:tc>
          <w:tcPr>
            <w:tcW w:w="3372" w:type="dxa"/>
            <w:tcBorders>
              <w:top w:val="single" w:sz="4" w:space="0" w:color="auto"/>
              <w:left w:val="single" w:sz="4" w:space="0" w:color="auto"/>
              <w:bottom w:val="single" w:sz="4" w:space="0" w:color="auto"/>
              <w:right w:val="single" w:sz="4" w:space="0" w:color="auto"/>
            </w:tcBorders>
            <w:hideMark/>
          </w:tcPr>
          <w:p w14:paraId="5D42BC76"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Biodiversity</w:t>
            </w:r>
          </w:p>
        </w:tc>
      </w:tr>
      <w:tr w:rsidR="00C355DE" w:rsidRPr="00C355DE" w14:paraId="5EA8C6F5" w14:textId="77777777" w:rsidTr="00345D90">
        <w:tc>
          <w:tcPr>
            <w:tcW w:w="2880" w:type="dxa"/>
            <w:tcBorders>
              <w:top w:val="single" w:sz="4" w:space="0" w:color="auto"/>
              <w:left w:val="single" w:sz="4" w:space="0" w:color="auto"/>
              <w:bottom w:val="single" w:sz="4" w:space="0" w:color="auto"/>
              <w:right w:val="single" w:sz="4" w:space="0" w:color="auto"/>
            </w:tcBorders>
            <w:hideMark/>
          </w:tcPr>
          <w:p w14:paraId="44162215" w14:textId="77777777" w:rsidR="00C355DE" w:rsidRPr="00C355DE" w:rsidRDefault="00C355DE">
            <w:pPr>
              <w:pStyle w:val="Body"/>
              <w:rPr>
                <w:rFonts w:ascii="Arial" w:eastAsia="Times New Roman" w:hAnsi="Arial" w:cs="Arial"/>
                <w:sz w:val="19"/>
                <w:szCs w:val="19"/>
                <w:lang w:val="en-GB"/>
              </w:rPr>
            </w:pPr>
            <w:r w:rsidRPr="00C355DE">
              <w:rPr>
                <w:rFonts w:ascii="Arial" w:hAnsi="Arial" w:cs="Arial"/>
                <w:sz w:val="19"/>
                <w:szCs w:val="19"/>
                <w:lang w:val="en-GB"/>
              </w:rPr>
              <w:t>Emissions</w:t>
            </w:r>
          </w:p>
        </w:tc>
        <w:tc>
          <w:tcPr>
            <w:tcW w:w="3126" w:type="dxa"/>
            <w:tcBorders>
              <w:top w:val="single" w:sz="4" w:space="0" w:color="auto"/>
              <w:left w:val="single" w:sz="4" w:space="0" w:color="auto"/>
              <w:bottom w:val="single" w:sz="4" w:space="0" w:color="auto"/>
              <w:right w:val="single" w:sz="4" w:space="0" w:color="auto"/>
            </w:tcBorders>
            <w:hideMark/>
          </w:tcPr>
          <w:p w14:paraId="20266695"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Health of local communities</w:t>
            </w:r>
          </w:p>
        </w:tc>
        <w:tc>
          <w:tcPr>
            <w:tcW w:w="3372" w:type="dxa"/>
            <w:tcBorders>
              <w:top w:val="single" w:sz="4" w:space="0" w:color="auto"/>
              <w:left w:val="single" w:sz="4" w:space="0" w:color="auto"/>
              <w:bottom w:val="single" w:sz="4" w:space="0" w:color="auto"/>
              <w:right w:val="single" w:sz="4" w:space="0" w:color="auto"/>
            </w:tcBorders>
            <w:hideMark/>
          </w:tcPr>
          <w:p w14:paraId="7C3A2BA1"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Education of local communities</w:t>
            </w:r>
          </w:p>
        </w:tc>
      </w:tr>
      <w:tr w:rsidR="00C355DE" w:rsidRPr="00C355DE" w14:paraId="36CA9FFF" w14:textId="77777777" w:rsidTr="00345D90">
        <w:tc>
          <w:tcPr>
            <w:tcW w:w="2880" w:type="dxa"/>
            <w:tcBorders>
              <w:top w:val="single" w:sz="4" w:space="0" w:color="auto"/>
              <w:left w:val="single" w:sz="4" w:space="0" w:color="auto"/>
              <w:bottom w:val="single" w:sz="4" w:space="0" w:color="auto"/>
              <w:right w:val="single" w:sz="4" w:space="0" w:color="auto"/>
            </w:tcBorders>
            <w:hideMark/>
          </w:tcPr>
          <w:p w14:paraId="0BE58E6E" w14:textId="77777777" w:rsidR="00C355DE" w:rsidRPr="00C355DE" w:rsidRDefault="00C355DE">
            <w:pPr>
              <w:pStyle w:val="Body"/>
              <w:rPr>
                <w:rFonts w:ascii="Arial" w:hAnsi="Arial" w:cs="Arial"/>
                <w:sz w:val="19"/>
                <w:szCs w:val="19"/>
                <w:lang w:val="en-GB"/>
              </w:rPr>
            </w:pPr>
            <w:r w:rsidRPr="00C355DE">
              <w:rPr>
                <w:rFonts w:ascii="Arial" w:hAnsi="Arial" w:cs="Arial"/>
                <w:sz w:val="19"/>
                <w:szCs w:val="19"/>
                <w:lang w:val="en-GB"/>
              </w:rPr>
              <w:t>Use of water</w:t>
            </w:r>
          </w:p>
        </w:tc>
        <w:tc>
          <w:tcPr>
            <w:tcW w:w="3126" w:type="dxa"/>
            <w:tcBorders>
              <w:top w:val="single" w:sz="4" w:space="0" w:color="auto"/>
              <w:left w:val="single" w:sz="4" w:space="0" w:color="auto"/>
              <w:bottom w:val="single" w:sz="4" w:space="0" w:color="auto"/>
              <w:right w:val="single" w:sz="4" w:space="0" w:color="auto"/>
            </w:tcBorders>
            <w:hideMark/>
          </w:tcPr>
          <w:p w14:paraId="0095DB3F"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Livelihood generation</w:t>
            </w:r>
          </w:p>
        </w:tc>
        <w:tc>
          <w:tcPr>
            <w:tcW w:w="3372" w:type="dxa"/>
            <w:tcBorders>
              <w:top w:val="single" w:sz="4" w:space="0" w:color="auto"/>
              <w:left w:val="single" w:sz="4" w:space="0" w:color="auto"/>
              <w:bottom w:val="single" w:sz="4" w:space="0" w:color="auto"/>
              <w:right w:val="single" w:sz="4" w:space="0" w:color="auto"/>
            </w:tcBorders>
            <w:hideMark/>
          </w:tcPr>
          <w:p w14:paraId="1008A5BB" w14:textId="77777777" w:rsidR="00C355DE" w:rsidRPr="00C355DE" w:rsidRDefault="00C355DE" w:rsidP="00597C28">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 xml:space="preserve">Employee issues: </w:t>
            </w:r>
            <w:r w:rsidR="00597C28">
              <w:rPr>
                <w:rFonts w:ascii="Arial" w:eastAsia="Times New Roman" w:hAnsi="Arial" w:cs="Arial"/>
                <w:bCs/>
                <w:sz w:val="19"/>
                <w:szCs w:val="19"/>
                <w:lang w:val="en-GB"/>
              </w:rPr>
              <w:t>g</w:t>
            </w:r>
            <w:r w:rsidR="00597C28" w:rsidRPr="00C355DE">
              <w:rPr>
                <w:rFonts w:ascii="Arial" w:eastAsia="Times New Roman" w:hAnsi="Arial" w:cs="Arial"/>
                <w:bCs/>
                <w:sz w:val="19"/>
                <w:szCs w:val="19"/>
                <w:lang w:val="en-GB"/>
              </w:rPr>
              <w:t xml:space="preserve">ender </w:t>
            </w:r>
            <w:r w:rsidRPr="00C355DE">
              <w:rPr>
                <w:rFonts w:ascii="Arial" w:eastAsia="Times New Roman" w:hAnsi="Arial" w:cs="Arial"/>
                <w:bCs/>
                <w:sz w:val="19"/>
                <w:szCs w:val="19"/>
                <w:lang w:val="en-GB"/>
              </w:rPr>
              <w:t>diversity, training, health</w:t>
            </w:r>
            <w:r w:rsidR="00EC4B6E">
              <w:rPr>
                <w:rFonts w:ascii="Arial" w:eastAsia="Times New Roman" w:hAnsi="Arial" w:cs="Arial"/>
                <w:bCs/>
                <w:sz w:val="19"/>
                <w:szCs w:val="19"/>
                <w:lang w:val="en-GB"/>
              </w:rPr>
              <w:t>,</w:t>
            </w:r>
            <w:r w:rsidRPr="00C355DE">
              <w:rPr>
                <w:rFonts w:ascii="Arial" w:eastAsia="Times New Roman" w:hAnsi="Arial" w:cs="Arial"/>
                <w:bCs/>
                <w:sz w:val="19"/>
                <w:szCs w:val="19"/>
                <w:lang w:val="en-GB"/>
              </w:rPr>
              <w:t xml:space="preserve"> and safety</w:t>
            </w:r>
          </w:p>
        </w:tc>
      </w:tr>
      <w:tr w:rsidR="00C355DE" w:rsidRPr="00C355DE" w14:paraId="180A0934" w14:textId="77777777" w:rsidTr="00345D90">
        <w:tc>
          <w:tcPr>
            <w:tcW w:w="2880" w:type="dxa"/>
            <w:tcBorders>
              <w:top w:val="single" w:sz="4" w:space="0" w:color="auto"/>
              <w:left w:val="single" w:sz="4" w:space="0" w:color="auto"/>
              <w:bottom w:val="single" w:sz="4" w:space="0" w:color="auto"/>
              <w:right w:val="single" w:sz="4" w:space="0" w:color="auto"/>
            </w:tcBorders>
          </w:tcPr>
          <w:p w14:paraId="1668CD4C" w14:textId="77777777" w:rsidR="00C355DE" w:rsidRPr="00C355DE" w:rsidRDefault="00C355DE">
            <w:pPr>
              <w:pStyle w:val="Body"/>
              <w:rPr>
                <w:rFonts w:ascii="Arial" w:eastAsia="Times New Roman" w:hAnsi="Arial" w:cs="Arial"/>
                <w:b/>
                <w:bCs/>
                <w:sz w:val="19"/>
                <w:szCs w:val="19"/>
                <w:lang w:val="en-GB"/>
              </w:rPr>
            </w:pPr>
          </w:p>
        </w:tc>
        <w:tc>
          <w:tcPr>
            <w:tcW w:w="3126" w:type="dxa"/>
            <w:tcBorders>
              <w:top w:val="single" w:sz="4" w:space="0" w:color="auto"/>
              <w:left w:val="single" w:sz="4" w:space="0" w:color="auto"/>
              <w:bottom w:val="single" w:sz="4" w:space="0" w:color="auto"/>
              <w:right w:val="single" w:sz="4" w:space="0" w:color="auto"/>
            </w:tcBorders>
            <w:hideMark/>
          </w:tcPr>
          <w:p w14:paraId="4D989BB3"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Water availability for the community</w:t>
            </w:r>
          </w:p>
        </w:tc>
        <w:tc>
          <w:tcPr>
            <w:tcW w:w="3372" w:type="dxa"/>
            <w:tcBorders>
              <w:top w:val="single" w:sz="4" w:space="0" w:color="auto"/>
              <w:left w:val="single" w:sz="4" w:space="0" w:color="auto"/>
              <w:bottom w:val="single" w:sz="4" w:space="0" w:color="auto"/>
              <w:right w:val="single" w:sz="4" w:space="0" w:color="auto"/>
            </w:tcBorders>
            <w:hideMark/>
          </w:tcPr>
          <w:p w14:paraId="7299F99E" w14:textId="77777777" w:rsidR="00C355DE" w:rsidRPr="00C355DE" w:rsidRDefault="00C355DE">
            <w:pPr>
              <w:pStyle w:val="Body"/>
              <w:rPr>
                <w:rFonts w:ascii="Arial" w:eastAsia="Times New Roman" w:hAnsi="Arial" w:cs="Arial"/>
                <w:bCs/>
                <w:sz w:val="19"/>
                <w:szCs w:val="19"/>
                <w:lang w:val="en-GB"/>
              </w:rPr>
            </w:pPr>
            <w:r w:rsidRPr="00C355DE">
              <w:rPr>
                <w:rFonts w:ascii="Arial" w:eastAsia="Times New Roman" w:hAnsi="Arial" w:cs="Arial"/>
                <w:bCs/>
                <w:sz w:val="19"/>
                <w:szCs w:val="19"/>
                <w:lang w:val="en-GB"/>
              </w:rPr>
              <w:t>Supplier issues: emissions, quality, training, health</w:t>
            </w:r>
            <w:r w:rsidR="00EC4B6E">
              <w:rPr>
                <w:rFonts w:ascii="Arial" w:eastAsia="Times New Roman" w:hAnsi="Arial" w:cs="Arial"/>
                <w:bCs/>
                <w:sz w:val="19"/>
                <w:szCs w:val="19"/>
                <w:lang w:val="en-GB"/>
              </w:rPr>
              <w:t>,</w:t>
            </w:r>
            <w:r w:rsidRPr="00C355DE">
              <w:rPr>
                <w:rFonts w:ascii="Arial" w:eastAsia="Times New Roman" w:hAnsi="Arial" w:cs="Arial"/>
                <w:bCs/>
                <w:sz w:val="19"/>
                <w:szCs w:val="19"/>
                <w:lang w:val="en-GB"/>
              </w:rPr>
              <w:t xml:space="preserve"> and safety</w:t>
            </w:r>
          </w:p>
        </w:tc>
      </w:tr>
    </w:tbl>
    <w:p w14:paraId="540FCB75" w14:textId="77777777" w:rsidR="00597C28" w:rsidRPr="008F1DCA" w:rsidRDefault="00597C28" w:rsidP="008F1DCA">
      <w:pPr>
        <w:pStyle w:val="Footnote"/>
      </w:pPr>
    </w:p>
    <w:p w14:paraId="7CFD30DA" w14:textId="77777777" w:rsidR="00FE1852" w:rsidRPr="008F1DCA" w:rsidRDefault="00C355DE" w:rsidP="008F1DCA">
      <w:pPr>
        <w:pStyle w:val="Footnote"/>
      </w:pPr>
      <w:r w:rsidRPr="008F1DCA">
        <w:t xml:space="preserve">Source: </w:t>
      </w:r>
      <w:r w:rsidR="007B102D" w:rsidRPr="008F1DCA">
        <w:t>Case</w:t>
      </w:r>
      <w:r w:rsidR="007B102D">
        <w:t xml:space="preserve"> authors’</w:t>
      </w:r>
      <w:r w:rsidR="007B102D" w:rsidRPr="008F1DCA">
        <w:t xml:space="preserve"> </w:t>
      </w:r>
      <w:r w:rsidRPr="008F1DCA">
        <w:t>analysis</w:t>
      </w:r>
      <w:r w:rsidR="008F1DCA">
        <w:t>.</w:t>
      </w:r>
    </w:p>
    <w:sectPr w:rsidR="00FE1852" w:rsidRPr="008F1DCA"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31B16" w14:textId="77777777" w:rsidR="001E6BE7" w:rsidRDefault="001E6BE7" w:rsidP="00D75295">
      <w:r>
        <w:separator/>
      </w:r>
    </w:p>
  </w:endnote>
  <w:endnote w:type="continuationSeparator" w:id="0">
    <w:p w14:paraId="1C474C40" w14:textId="77777777" w:rsidR="001E6BE7" w:rsidRDefault="001E6BE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DFAD2" w14:textId="77777777" w:rsidR="001E6BE7" w:rsidRDefault="001E6BE7" w:rsidP="00D75295">
      <w:r>
        <w:separator/>
      </w:r>
    </w:p>
  </w:footnote>
  <w:footnote w:type="continuationSeparator" w:id="0">
    <w:p w14:paraId="371B15DA" w14:textId="77777777" w:rsidR="001E6BE7" w:rsidRDefault="001E6BE7" w:rsidP="00D75295">
      <w:r>
        <w:continuationSeparator/>
      </w:r>
    </w:p>
  </w:footnote>
  <w:footnote w:id="1">
    <w:p w14:paraId="1A2D5C39" w14:textId="77777777" w:rsidR="001E6BE7" w:rsidRPr="00F559AE" w:rsidRDefault="001E6BE7" w:rsidP="00F559AE">
      <w:pPr>
        <w:pStyle w:val="Footnote"/>
      </w:pPr>
      <w:r w:rsidRPr="00F559AE">
        <w:rPr>
          <w:rStyle w:val="FootnoteReference"/>
        </w:rPr>
        <w:footnoteRef/>
      </w:r>
      <w:r w:rsidRPr="00F559AE">
        <w:t xml:space="preserve"> Under the Paris Agreement, governments agreed to a long-term goal of keeping the increase in </w:t>
      </w:r>
      <w:r>
        <w:t xml:space="preserve">the </w:t>
      </w:r>
      <w:r w:rsidRPr="00F559AE">
        <w:t xml:space="preserve">global average temperature to well below 2°C above pre-industrial levels and aimed to limit the increase to 1.5°C, </w:t>
      </w:r>
      <w:r>
        <w:t>as</w:t>
      </w:r>
      <w:r w:rsidRPr="00F559AE">
        <w:t xml:space="preserve"> this would significantly reduce </w:t>
      </w:r>
      <w:r>
        <w:t xml:space="preserve">the </w:t>
      </w:r>
      <w:r w:rsidRPr="00F559AE">
        <w:t>risks and impacts of climate change.</w:t>
      </w:r>
    </w:p>
  </w:footnote>
  <w:footnote w:id="2">
    <w:p w14:paraId="5937A430" w14:textId="3EE21C41" w:rsidR="001E6BE7" w:rsidRDefault="001E6BE7">
      <w:pPr>
        <w:pStyle w:val="FootnoteText"/>
      </w:pPr>
      <w:r>
        <w:rPr>
          <w:rStyle w:val="FootnoteReference"/>
        </w:rPr>
        <w:footnoteRef/>
      </w:r>
      <w:r>
        <w:t xml:space="preserve"> </w:t>
      </w:r>
      <w:r w:rsidRPr="00A74F98">
        <w:rPr>
          <w:rFonts w:ascii="Arial" w:eastAsiaTheme="minorEastAsia" w:hAnsi="Arial" w:cs="Arial"/>
          <w:spacing w:val="-2"/>
          <w:kern w:val="15"/>
          <w:sz w:val="18"/>
          <w:szCs w:val="18"/>
          <w:lang w:val="en-GB"/>
        </w:rPr>
        <w:t xml:space="preserve">₹ = INR = Indian rupee; all currency amounts are in ₹ unless otherwise specified; US$1 </w:t>
      </w:r>
      <w:r w:rsidRPr="00BD0978">
        <w:rPr>
          <w:rFonts w:ascii="Arial" w:eastAsiaTheme="minorEastAsia" w:hAnsi="Arial" w:cs="Arial"/>
          <w:spacing w:val="-2"/>
          <w:kern w:val="15"/>
          <w:sz w:val="18"/>
          <w:szCs w:val="18"/>
          <w:lang w:val="en-GB"/>
        </w:rPr>
        <w:t>= ₹66.26 on March 31,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D2AF4" w14:textId="5388C001" w:rsidR="001E6BE7" w:rsidRDefault="001E6BE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F634A">
      <w:rPr>
        <w:rFonts w:ascii="Arial" w:hAnsi="Arial"/>
        <w:b/>
        <w:noProof/>
      </w:rPr>
      <w:t>12</w:t>
    </w:r>
    <w:r>
      <w:rPr>
        <w:rFonts w:ascii="Arial" w:hAnsi="Arial"/>
        <w:b/>
      </w:rPr>
      <w:fldChar w:fldCharType="end"/>
    </w:r>
    <w:r>
      <w:rPr>
        <w:rFonts w:ascii="Arial" w:hAnsi="Arial"/>
        <w:b/>
      </w:rPr>
      <w:tab/>
    </w:r>
    <w:r w:rsidR="00495227">
      <w:rPr>
        <w:rFonts w:ascii="Arial" w:hAnsi="Arial"/>
        <w:b/>
      </w:rPr>
      <w:t>9B17M098</w:t>
    </w:r>
  </w:p>
  <w:p w14:paraId="5515D64A" w14:textId="77777777" w:rsidR="001E6BE7" w:rsidRPr="00C92CC4" w:rsidRDefault="001E6BE7">
    <w:pPr>
      <w:pStyle w:val="Header"/>
      <w:rPr>
        <w:sz w:val="18"/>
        <w:szCs w:val="18"/>
      </w:rPr>
    </w:pPr>
  </w:p>
  <w:p w14:paraId="41CAB444" w14:textId="77777777" w:rsidR="001E6BE7" w:rsidRPr="00C92CC4" w:rsidRDefault="001E6BE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2306C9"/>
    <w:multiLevelType w:val="hybridMultilevel"/>
    <w:tmpl w:val="B700F7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350CF"/>
    <w:multiLevelType w:val="hybridMultilevel"/>
    <w:tmpl w:val="B058C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4FAB0A09"/>
    <w:multiLevelType w:val="hybridMultilevel"/>
    <w:tmpl w:val="675EF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21A2009"/>
    <w:multiLevelType w:val="hybridMultilevel"/>
    <w:tmpl w:val="624A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7304AE"/>
    <w:multiLevelType w:val="hybridMultilevel"/>
    <w:tmpl w:val="5FFE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7CDD7548"/>
    <w:multiLevelType w:val="hybridMultilevel"/>
    <w:tmpl w:val="0AE8BC72"/>
    <w:lvl w:ilvl="0" w:tplc="C908C368">
      <w:numFmt w:val="bullet"/>
      <w:lvlText w:val="•"/>
      <w:lvlJc w:val="left"/>
      <w:pPr>
        <w:ind w:left="1080" w:hanging="72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5C09BA"/>
    <w:multiLevelType w:val="hybridMultilevel"/>
    <w:tmpl w:val="BE369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8C18AE"/>
    <w:multiLevelType w:val="hybridMultilevel"/>
    <w:tmpl w:val="122E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5"/>
  </w:num>
  <w:num w:numId="14">
    <w:abstractNumId w:val="25"/>
  </w:num>
  <w:num w:numId="15">
    <w:abstractNumId w:val="26"/>
  </w:num>
  <w:num w:numId="16">
    <w:abstractNumId w:val="27"/>
  </w:num>
  <w:num w:numId="17">
    <w:abstractNumId w:val="19"/>
  </w:num>
  <w:num w:numId="18">
    <w:abstractNumId w:val="28"/>
  </w:num>
  <w:num w:numId="19">
    <w:abstractNumId w:val="14"/>
  </w:num>
  <w:num w:numId="20">
    <w:abstractNumId w:val="13"/>
  </w:num>
  <w:num w:numId="21">
    <w:abstractNumId w:val="29"/>
  </w:num>
  <w:num w:numId="22">
    <w:abstractNumId w:val="22"/>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1"/>
  </w:num>
  <w:num w:numId="28">
    <w:abstractNumId w:val="10"/>
  </w:num>
  <w:num w:numId="29">
    <w:abstractNumId w:val="11"/>
  </w:num>
  <w:num w:numId="30">
    <w:abstractNumId w:val="12"/>
  </w:num>
  <w:num w:numId="31">
    <w:abstractNumId w:val="34"/>
  </w:num>
  <w:num w:numId="32">
    <w:abstractNumId w:val="24"/>
  </w:num>
  <w:num w:numId="33">
    <w:abstractNumId w:val="31"/>
  </w:num>
  <w:num w:numId="34">
    <w:abstractNumId w:val="30"/>
  </w:num>
  <w:num w:numId="35">
    <w:abstractNumId w:val="35"/>
  </w:num>
  <w:num w:numId="36">
    <w:abstractNumId w:val="33"/>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FF6"/>
    <w:rsid w:val="00013360"/>
    <w:rsid w:val="000216CE"/>
    <w:rsid w:val="00025C23"/>
    <w:rsid w:val="00025DC7"/>
    <w:rsid w:val="00026486"/>
    <w:rsid w:val="00041197"/>
    <w:rsid w:val="00043771"/>
    <w:rsid w:val="00044ECC"/>
    <w:rsid w:val="00046B16"/>
    <w:rsid w:val="0004701A"/>
    <w:rsid w:val="00051F4A"/>
    <w:rsid w:val="000531D3"/>
    <w:rsid w:val="0005646B"/>
    <w:rsid w:val="000656FF"/>
    <w:rsid w:val="0008102D"/>
    <w:rsid w:val="0008332C"/>
    <w:rsid w:val="00094C0E"/>
    <w:rsid w:val="000A0936"/>
    <w:rsid w:val="000B5994"/>
    <w:rsid w:val="000D1B5A"/>
    <w:rsid w:val="000E1C01"/>
    <w:rsid w:val="000E7F00"/>
    <w:rsid w:val="000F0C22"/>
    <w:rsid w:val="000F1CE0"/>
    <w:rsid w:val="000F6B09"/>
    <w:rsid w:val="000F6FDC"/>
    <w:rsid w:val="0010065C"/>
    <w:rsid w:val="00104567"/>
    <w:rsid w:val="00115D8F"/>
    <w:rsid w:val="00124179"/>
    <w:rsid w:val="001250DE"/>
    <w:rsid w:val="00125568"/>
    <w:rsid w:val="0012732D"/>
    <w:rsid w:val="00140813"/>
    <w:rsid w:val="001414E7"/>
    <w:rsid w:val="00154FC9"/>
    <w:rsid w:val="00160BB2"/>
    <w:rsid w:val="00162C14"/>
    <w:rsid w:val="00163824"/>
    <w:rsid w:val="001640AC"/>
    <w:rsid w:val="00171407"/>
    <w:rsid w:val="001800C3"/>
    <w:rsid w:val="0019241A"/>
    <w:rsid w:val="001A5335"/>
    <w:rsid w:val="001A653C"/>
    <w:rsid w:val="001A752D"/>
    <w:rsid w:val="001C1E3F"/>
    <w:rsid w:val="001D45F2"/>
    <w:rsid w:val="001E6BE7"/>
    <w:rsid w:val="001F29DE"/>
    <w:rsid w:val="001F47A4"/>
    <w:rsid w:val="00202292"/>
    <w:rsid w:val="00203AA1"/>
    <w:rsid w:val="00213E98"/>
    <w:rsid w:val="0023535E"/>
    <w:rsid w:val="00261A16"/>
    <w:rsid w:val="00262F0A"/>
    <w:rsid w:val="00274556"/>
    <w:rsid w:val="0029356D"/>
    <w:rsid w:val="002A28E4"/>
    <w:rsid w:val="002B0D4A"/>
    <w:rsid w:val="002C446F"/>
    <w:rsid w:val="002E32F0"/>
    <w:rsid w:val="002E5014"/>
    <w:rsid w:val="002F460C"/>
    <w:rsid w:val="002F48D6"/>
    <w:rsid w:val="00307B9D"/>
    <w:rsid w:val="00312CEA"/>
    <w:rsid w:val="003328E1"/>
    <w:rsid w:val="003408D8"/>
    <w:rsid w:val="00345D90"/>
    <w:rsid w:val="00347295"/>
    <w:rsid w:val="0035074B"/>
    <w:rsid w:val="00353B6B"/>
    <w:rsid w:val="00354899"/>
    <w:rsid w:val="00355FD6"/>
    <w:rsid w:val="00361C8E"/>
    <w:rsid w:val="00364A5C"/>
    <w:rsid w:val="00373FB1"/>
    <w:rsid w:val="00390CF1"/>
    <w:rsid w:val="00392A30"/>
    <w:rsid w:val="003966B5"/>
    <w:rsid w:val="003A0A92"/>
    <w:rsid w:val="003B30D8"/>
    <w:rsid w:val="003B3D71"/>
    <w:rsid w:val="003B7165"/>
    <w:rsid w:val="003B7700"/>
    <w:rsid w:val="003B7EF2"/>
    <w:rsid w:val="003C18B7"/>
    <w:rsid w:val="003C287F"/>
    <w:rsid w:val="003C3781"/>
    <w:rsid w:val="003C3FA4"/>
    <w:rsid w:val="003F2B0C"/>
    <w:rsid w:val="00412339"/>
    <w:rsid w:val="004221E4"/>
    <w:rsid w:val="004419DB"/>
    <w:rsid w:val="0044491E"/>
    <w:rsid w:val="0044530F"/>
    <w:rsid w:val="004455FE"/>
    <w:rsid w:val="00461475"/>
    <w:rsid w:val="00471088"/>
    <w:rsid w:val="0047494A"/>
    <w:rsid w:val="00481914"/>
    <w:rsid w:val="00483AF9"/>
    <w:rsid w:val="00492AE9"/>
    <w:rsid w:val="0049386E"/>
    <w:rsid w:val="00495227"/>
    <w:rsid w:val="004B1CCB"/>
    <w:rsid w:val="004B59BA"/>
    <w:rsid w:val="004D73A5"/>
    <w:rsid w:val="0053144D"/>
    <w:rsid w:val="00532CF5"/>
    <w:rsid w:val="0054339A"/>
    <w:rsid w:val="00550FE3"/>
    <w:rsid w:val="005528CB"/>
    <w:rsid w:val="005601CA"/>
    <w:rsid w:val="00566771"/>
    <w:rsid w:val="00574981"/>
    <w:rsid w:val="005775B4"/>
    <w:rsid w:val="00581E2E"/>
    <w:rsid w:val="00584F15"/>
    <w:rsid w:val="005947FD"/>
    <w:rsid w:val="00597C28"/>
    <w:rsid w:val="005B3B9F"/>
    <w:rsid w:val="005C2E2F"/>
    <w:rsid w:val="005E4DC8"/>
    <w:rsid w:val="005F156F"/>
    <w:rsid w:val="005F74E1"/>
    <w:rsid w:val="0061470C"/>
    <w:rsid w:val="006163F7"/>
    <w:rsid w:val="006175A5"/>
    <w:rsid w:val="00617E8C"/>
    <w:rsid w:val="006226EF"/>
    <w:rsid w:val="00631466"/>
    <w:rsid w:val="00633985"/>
    <w:rsid w:val="00652606"/>
    <w:rsid w:val="00662EC5"/>
    <w:rsid w:val="006777C3"/>
    <w:rsid w:val="00682754"/>
    <w:rsid w:val="006846E3"/>
    <w:rsid w:val="006A11F4"/>
    <w:rsid w:val="006A13DA"/>
    <w:rsid w:val="006A58A9"/>
    <w:rsid w:val="006A606D"/>
    <w:rsid w:val="006B49C4"/>
    <w:rsid w:val="006B7F7A"/>
    <w:rsid w:val="006C0371"/>
    <w:rsid w:val="006C08B6"/>
    <w:rsid w:val="006C0B1A"/>
    <w:rsid w:val="006C4384"/>
    <w:rsid w:val="006C6065"/>
    <w:rsid w:val="006C7F9F"/>
    <w:rsid w:val="006D0782"/>
    <w:rsid w:val="006D17F1"/>
    <w:rsid w:val="006E0A0B"/>
    <w:rsid w:val="006E2F6D"/>
    <w:rsid w:val="006E58F6"/>
    <w:rsid w:val="006E77E1"/>
    <w:rsid w:val="006F131D"/>
    <w:rsid w:val="006F1D9E"/>
    <w:rsid w:val="006F634A"/>
    <w:rsid w:val="007026C8"/>
    <w:rsid w:val="0070632D"/>
    <w:rsid w:val="00707BEF"/>
    <w:rsid w:val="00727703"/>
    <w:rsid w:val="00733ECA"/>
    <w:rsid w:val="00751774"/>
    <w:rsid w:val="00752BCD"/>
    <w:rsid w:val="00766DA1"/>
    <w:rsid w:val="007866A6"/>
    <w:rsid w:val="007915D2"/>
    <w:rsid w:val="00795E7F"/>
    <w:rsid w:val="007A130D"/>
    <w:rsid w:val="007B102D"/>
    <w:rsid w:val="007B46A8"/>
    <w:rsid w:val="007B7B34"/>
    <w:rsid w:val="007C1B96"/>
    <w:rsid w:val="007C430B"/>
    <w:rsid w:val="007D4102"/>
    <w:rsid w:val="007E5921"/>
    <w:rsid w:val="007F1C9F"/>
    <w:rsid w:val="00805456"/>
    <w:rsid w:val="008154E8"/>
    <w:rsid w:val="00821FFC"/>
    <w:rsid w:val="00826808"/>
    <w:rsid w:val="008271CA"/>
    <w:rsid w:val="008467D5"/>
    <w:rsid w:val="00856D9F"/>
    <w:rsid w:val="00866F6D"/>
    <w:rsid w:val="0088436C"/>
    <w:rsid w:val="00884926"/>
    <w:rsid w:val="00892773"/>
    <w:rsid w:val="00894581"/>
    <w:rsid w:val="00894B79"/>
    <w:rsid w:val="0089721B"/>
    <w:rsid w:val="008A2E72"/>
    <w:rsid w:val="008A4DC4"/>
    <w:rsid w:val="008B5423"/>
    <w:rsid w:val="008E4E5D"/>
    <w:rsid w:val="008F0267"/>
    <w:rsid w:val="008F1DCA"/>
    <w:rsid w:val="008F4DB1"/>
    <w:rsid w:val="00904879"/>
    <w:rsid w:val="009067A4"/>
    <w:rsid w:val="0090722E"/>
    <w:rsid w:val="009177CA"/>
    <w:rsid w:val="0091786C"/>
    <w:rsid w:val="009340DB"/>
    <w:rsid w:val="00945F9E"/>
    <w:rsid w:val="00954ED8"/>
    <w:rsid w:val="00962964"/>
    <w:rsid w:val="00972498"/>
    <w:rsid w:val="00973EC7"/>
    <w:rsid w:val="00974CC6"/>
    <w:rsid w:val="00976AD4"/>
    <w:rsid w:val="00980120"/>
    <w:rsid w:val="009942FA"/>
    <w:rsid w:val="009A0DBA"/>
    <w:rsid w:val="009A312F"/>
    <w:rsid w:val="009A3F82"/>
    <w:rsid w:val="009A5348"/>
    <w:rsid w:val="009A67BB"/>
    <w:rsid w:val="009B1F32"/>
    <w:rsid w:val="009B27ED"/>
    <w:rsid w:val="009B44F0"/>
    <w:rsid w:val="009C76D5"/>
    <w:rsid w:val="009D30B1"/>
    <w:rsid w:val="009F7AA4"/>
    <w:rsid w:val="00A0625A"/>
    <w:rsid w:val="00A16322"/>
    <w:rsid w:val="00A20AE1"/>
    <w:rsid w:val="00A22065"/>
    <w:rsid w:val="00A23617"/>
    <w:rsid w:val="00A334EF"/>
    <w:rsid w:val="00A33667"/>
    <w:rsid w:val="00A33DB0"/>
    <w:rsid w:val="00A341D7"/>
    <w:rsid w:val="00A34D03"/>
    <w:rsid w:val="00A45C92"/>
    <w:rsid w:val="00A45CE1"/>
    <w:rsid w:val="00A510BD"/>
    <w:rsid w:val="00A559DB"/>
    <w:rsid w:val="00A56ABD"/>
    <w:rsid w:val="00A57586"/>
    <w:rsid w:val="00A72329"/>
    <w:rsid w:val="00A802D1"/>
    <w:rsid w:val="00A931D2"/>
    <w:rsid w:val="00A940B5"/>
    <w:rsid w:val="00AA20F5"/>
    <w:rsid w:val="00AA3C9D"/>
    <w:rsid w:val="00AA42A8"/>
    <w:rsid w:val="00AB0813"/>
    <w:rsid w:val="00AB7E61"/>
    <w:rsid w:val="00AC4419"/>
    <w:rsid w:val="00AE163E"/>
    <w:rsid w:val="00AF35FC"/>
    <w:rsid w:val="00B03639"/>
    <w:rsid w:val="00B0652A"/>
    <w:rsid w:val="00B075BB"/>
    <w:rsid w:val="00B1039C"/>
    <w:rsid w:val="00B1482D"/>
    <w:rsid w:val="00B1646C"/>
    <w:rsid w:val="00B27179"/>
    <w:rsid w:val="00B3036E"/>
    <w:rsid w:val="00B35D55"/>
    <w:rsid w:val="00B3757D"/>
    <w:rsid w:val="00B40937"/>
    <w:rsid w:val="00B40AFA"/>
    <w:rsid w:val="00B423EF"/>
    <w:rsid w:val="00B453DE"/>
    <w:rsid w:val="00B4742F"/>
    <w:rsid w:val="00B632CA"/>
    <w:rsid w:val="00B64829"/>
    <w:rsid w:val="00B659A2"/>
    <w:rsid w:val="00B67753"/>
    <w:rsid w:val="00B75D09"/>
    <w:rsid w:val="00B901F9"/>
    <w:rsid w:val="00BA718F"/>
    <w:rsid w:val="00BB3E8A"/>
    <w:rsid w:val="00BC498A"/>
    <w:rsid w:val="00BC4B23"/>
    <w:rsid w:val="00BD0978"/>
    <w:rsid w:val="00BD3565"/>
    <w:rsid w:val="00BD6EFB"/>
    <w:rsid w:val="00BE3D78"/>
    <w:rsid w:val="00C03D71"/>
    <w:rsid w:val="00C05F49"/>
    <w:rsid w:val="00C15BE2"/>
    <w:rsid w:val="00C21AC2"/>
    <w:rsid w:val="00C22219"/>
    <w:rsid w:val="00C242BA"/>
    <w:rsid w:val="00C3447F"/>
    <w:rsid w:val="00C355DE"/>
    <w:rsid w:val="00C412E4"/>
    <w:rsid w:val="00C5156A"/>
    <w:rsid w:val="00C81491"/>
    <w:rsid w:val="00C81676"/>
    <w:rsid w:val="00C8464D"/>
    <w:rsid w:val="00C92CC4"/>
    <w:rsid w:val="00CA0AFB"/>
    <w:rsid w:val="00CA2CE1"/>
    <w:rsid w:val="00CA3976"/>
    <w:rsid w:val="00CA757B"/>
    <w:rsid w:val="00CB6B09"/>
    <w:rsid w:val="00CC009D"/>
    <w:rsid w:val="00CC1787"/>
    <w:rsid w:val="00CC182C"/>
    <w:rsid w:val="00CC2B22"/>
    <w:rsid w:val="00CD0824"/>
    <w:rsid w:val="00CD2908"/>
    <w:rsid w:val="00CE2B71"/>
    <w:rsid w:val="00CE3269"/>
    <w:rsid w:val="00CF1DF7"/>
    <w:rsid w:val="00CF5CC6"/>
    <w:rsid w:val="00D03A82"/>
    <w:rsid w:val="00D07C93"/>
    <w:rsid w:val="00D10B98"/>
    <w:rsid w:val="00D15344"/>
    <w:rsid w:val="00D16746"/>
    <w:rsid w:val="00D229C2"/>
    <w:rsid w:val="00D22C00"/>
    <w:rsid w:val="00D24E21"/>
    <w:rsid w:val="00D31BEC"/>
    <w:rsid w:val="00D4746D"/>
    <w:rsid w:val="00D5705A"/>
    <w:rsid w:val="00D6296E"/>
    <w:rsid w:val="00D63150"/>
    <w:rsid w:val="00D64A32"/>
    <w:rsid w:val="00D64EFC"/>
    <w:rsid w:val="00D739E0"/>
    <w:rsid w:val="00D75295"/>
    <w:rsid w:val="00D76CE9"/>
    <w:rsid w:val="00D955D1"/>
    <w:rsid w:val="00D97F12"/>
    <w:rsid w:val="00DA0E77"/>
    <w:rsid w:val="00DA251A"/>
    <w:rsid w:val="00DB3C27"/>
    <w:rsid w:val="00DB42E7"/>
    <w:rsid w:val="00DB7A5B"/>
    <w:rsid w:val="00DC15D4"/>
    <w:rsid w:val="00DC3004"/>
    <w:rsid w:val="00DD3BB4"/>
    <w:rsid w:val="00DE6EDA"/>
    <w:rsid w:val="00DF32C2"/>
    <w:rsid w:val="00E221A3"/>
    <w:rsid w:val="00E27A5C"/>
    <w:rsid w:val="00E471A7"/>
    <w:rsid w:val="00E52A71"/>
    <w:rsid w:val="00E57664"/>
    <w:rsid w:val="00E60183"/>
    <w:rsid w:val="00E62142"/>
    <w:rsid w:val="00E635CF"/>
    <w:rsid w:val="00E70A19"/>
    <w:rsid w:val="00E81B6A"/>
    <w:rsid w:val="00EA4FFF"/>
    <w:rsid w:val="00EB405C"/>
    <w:rsid w:val="00EB5410"/>
    <w:rsid w:val="00EB5DC2"/>
    <w:rsid w:val="00EB6599"/>
    <w:rsid w:val="00EC36A0"/>
    <w:rsid w:val="00EC498A"/>
    <w:rsid w:val="00EC4B6E"/>
    <w:rsid w:val="00EC630B"/>
    <w:rsid w:val="00EC6E0A"/>
    <w:rsid w:val="00ED23F3"/>
    <w:rsid w:val="00ED4E18"/>
    <w:rsid w:val="00ED52C4"/>
    <w:rsid w:val="00EE1F37"/>
    <w:rsid w:val="00EE7324"/>
    <w:rsid w:val="00EF41B8"/>
    <w:rsid w:val="00F0159C"/>
    <w:rsid w:val="00F07590"/>
    <w:rsid w:val="00F105B7"/>
    <w:rsid w:val="00F17A21"/>
    <w:rsid w:val="00F21A5F"/>
    <w:rsid w:val="00F22A79"/>
    <w:rsid w:val="00F341A6"/>
    <w:rsid w:val="00F34716"/>
    <w:rsid w:val="00F348A5"/>
    <w:rsid w:val="00F4537F"/>
    <w:rsid w:val="00F50E91"/>
    <w:rsid w:val="00F51B55"/>
    <w:rsid w:val="00F54193"/>
    <w:rsid w:val="00F559AE"/>
    <w:rsid w:val="00F57D29"/>
    <w:rsid w:val="00F635E9"/>
    <w:rsid w:val="00F64D5B"/>
    <w:rsid w:val="00F701C4"/>
    <w:rsid w:val="00F80B60"/>
    <w:rsid w:val="00F928A3"/>
    <w:rsid w:val="00F92A99"/>
    <w:rsid w:val="00F96201"/>
    <w:rsid w:val="00FA6147"/>
    <w:rsid w:val="00FB40B1"/>
    <w:rsid w:val="00FC30E9"/>
    <w:rsid w:val="00FC7501"/>
    <w:rsid w:val="00FD0B18"/>
    <w:rsid w:val="00FD0F82"/>
    <w:rsid w:val="00FE0678"/>
    <w:rsid w:val="00FE1824"/>
    <w:rsid w:val="00FE1852"/>
    <w:rsid w:val="00FE714F"/>
    <w:rsid w:val="00FF12AB"/>
    <w:rsid w:val="00FF6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E5F75F"/>
  <w15:docId w15:val="{196D4C76-7EEA-4389-B543-1E8FB71D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2B0D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semiHidden/>
    <w:unhideWhenUsed/>
    <w:qFormat/>
    <w:rsid w:val="00F559AE"/>
    <w:pPr>
      <w:keepNext/>
      <w:spacing w:after="0" w:line="240" w:lineRule="auto"/>
      <w:outlineLvl w:val="1"/>
    </w:pPr>
    <w:rPr>
      <w:rFonts w:ascii="Helvetica" w:eastAsia="Helvetica" w:hAnsi="Helvetica" w:cs="Helvetica"/>
      <w:b/>
      <w:bCs/>
      <w:color w:val="000000"/>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2Char">
    <w:name w:val="Heading 2 Char"/>
    <w:basedOn w:val="DefaultParagraphFont"/>
    <w:link w:val="Heading2"/>
    <w:semiHidden/>
    <w:rsid w:val="00F559AE"/>
    <w:rPr>
      <w:rFonts w:ascii="Helvetica" w:eastAsia="Helvetica" w:hAnsi="Helvetica" w:cs="Helvetica"/>
      <w:b/>
      <w:bCs/>
      <w:color w:val="000000"/>
      <w:sz w:val="32"/>
      <w:szCs w:val="32"/>
      <w:lang w:val="en-GB" w:eastAsia="en-GB"/>
    </w:rPr>
  </w:style>
  <w:style w:type="paragraph" w:customStyle="1" w:styleId="Body">
    <w:name w:val="Body"/>
    <w:rsid w:val="00F559AE"/>
    <w:pPr>
      <w:spacing w:after="0" w:line="240" w:lineRule="auto"/>
    </w:pPr>
    <w:rPr>
      <w:rFonts w:ascii="Helvetica" w:eastAsia="Arial Unicode MS" w:hAnsi="Helvetica" w:cs="Arial Unicode MS"/>
      <w:color w:val="000000"/>
      <w:lang w:eastAsia="en-GB"/>
    </w:rPr>
  </w:style>
  <w:style w:type="paragraph" w:customStyle="1" w:styleId="Heading">
    <w:name w:val="Heading"/>
    <w:next w:val="Body"/>
    <w:rsid w:val="00F559AE"/>
    <w:pPr>
      <w:keepNext/>
      <w:spacing w:after="0" w:line="240" w:lineRule="auto"/>
      <w:outlineLvl w:val="0"/>
    </w:pPr>
    <w:rPr>
      <w:rFonts w:ascii="Helvetica" w:eastAsia="Arial Unicode MS" w:hAnsi="Helvetica" w:cs="Arial Unicode MS"/>
      <w:b/>
      <w:bCs/>
      <w:color w:val="000000"/>
      <w:sz w:val="36"/>
      <w:szCs w:val="36"/>
      <w:lang w:eastAsia="en-GB"/>
    </w:rPr>
  </w:style>
  <w:style w:type="paragraph" w:customStyle="1" w:styleId="Default">
    <w:name w:val="Default"/>
    <w:rsid w:val="00C355DE"/>
    <w:pPr>
      <w:spacing w:after="0" w:line="240" w:lineRule="auto"/>
    </w:pPr>
    <w:rPr>
      <w:rFonts w:ascii="Helvetica" w:eastAsia="Helvetica" w:hAnsi="Helvetica" w:cs="Helvetica"/>
      <w:color w:val="000000"/>
      <w:lang w:val="en-GB" w:eastAsia="en-GB"/>
    </w:rPr>
  </w:style>
  <w:style w:type="paragraph" w:customStyle="1" w:styleId="TableStyle2">
    <w:name w:val="Table Style 2"/>
    <w:rsid w:val="00C355DE"/>
    <w:pPr>
      <w:spacing w:after="0" w:line="240" w:lineRule="auto"/>
    </w:pPr>
    <w:rPr>
      <w:rFonts w:ascii="Helvetica" w:eastAsia="Helvetica" w:hAnsi="Helvetica" w:cs="Helvetica"/>
      <w:color w:val="000000"/>
      <w:sz w:val="20"/>
      <w:szCs w:val="20"/>
      <w:lang w:val="en-GB" w:eastAsia="en-GB"/>
    </w:rPr>
  </w:style>
  <w:style w:type="character" w:customStyle="1" w:styleId="Heading1Char">
    <w:name w:val="Heading 1 Char"/>
    <w:basedOn w:val="DefaultParagraphFont"/>
    <w:link w:val="Heading1"/>
    <w:uiPriority w:val="9"/>
    <w:rsid w:val="002B0D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06955">
      <w:bodyDiv w:val="1"/>
      <w:marLeft w:val="0"/>
      <w:marRight w:val="0"/>
      <w:marTop w:val="0"/>
      <w:marBottom w:val="0"/>
      <w:divBdr>
        <w:top w:val="none" w:sz="0" w:space="0" w:color="auto"/>
        <w:left w:val="none" w:sz="0" w:space="0" w:color="auto"/>
        <w:bottom w:val="none" w:sz="0" w:space="0" w:color="auto"/>
        <w:right w:val="none" w:sz="0" w:space="0" w:color="auto"/>
      </w:divBdr>
    </w:div>
    <w:div w:id="1381900302">
      <w:bodyDiv w:val="1"/>
      <w:marLeft w:val="0"/>
      <w:marRight w:val="0"/>
      <w:marTop w:val="0"/>
      <w:marBottom w:val="0"/>
      <w:divBdr>
        <w:top w:val="none" w:sz="0" w:space="0" w:color="auto"/>
        <w:left w:val="none" w:sz="0" w:space="0" w:color="auto"/>
        <w:bottom w:val="none" w:sz="0" w:space="0" w:color="auto"/>
        <w:right w:val="none" w:sz="0" w:space="0" w:color="auto"/>
      </w:divBdr>
    </w:div>
    <w:div w:id="1467239494">
      <w:bodyDiv w:val="1"/>
      <w:marLeft w:val="0"/>
      <w:marRight w:val="0"/>
      <w:marTop w:val="0"/>
      <w:marBottom w:val="0"/>
      <w:divBdr>
        <w:top w:val="none" w:sz="0" w:space="0" w:color="auto"/>
        <w:left w:val="none" w:sz="0" w:space="0" w:color="auto"/>
        <w:bottom w:val="none" w:sz="0" w:space="0" w:color="auto"/>
        <w:right w:val="none" w:sz="0" w:space="0" w:color="auto"/>
      </w:divBdr>
    </w:div>
    <w:div w:id="1649476976">
      <w:bodyDiv w:val="1"/>
      <w:marLeft w:val="0"/>
      <w:marRight w:val="0"/>
      <w:marTop w:val="0"/>
      <w:marBottom w:val="0"/>
      <w:divBdr>
        <w:top w:val="none" w:sz="0" w:space="0" w:color="auto"/>
        <w:left w:val="none" w:sz="0" w:space="0" w:color="auto"/>
        <w:bottom w:val="none" w:sz="0" w:space="0" w:color="auto"/>
        <w:right w:val="none" w:sz="0" w:space="0" w:color="auto"/>
      </w:divBdr>
    </w:div>
    <w:div w:id="19653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srwire.com/blog/posts/1290-the-birth-of-a-new-ecosystem-india-s-mandatory-csr-rule-becomes-a-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D8645-6796-4222-B3BF-FF67A1D7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5208</Words>
  <Characters>29690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2017-06-21T16:50:00Z</cp:lastPrinted>
  <dcterms:created xsi:type="dcterms:W3CDTF">2017-06-26T16:23:00Z</dcterms:created>
  <dcterms:modified xsi:type="dcterms:W3CDTF">2017-06-27T19:40:00Z</dcterms:modified>
</cp:coreProperties>
</file>