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F5996" w14:textId="1B97471B" w:rsidR="008467D5" w:rsidRPr="009D1812" w:rsidRDefault="007A4763" w:rsidP="008467D5">
      <w:pPr>
        <w:pBdr>
          <w:bottom w:val="single" w:sz="18" w:space="1" w:color="auto"/>
        </w:pBdr>
        <w:tabs>
          <w:tab w:val="left" w:pos="-1440"/>
          <w:tab w:val="left" w:pos="-720"/>
          <w:tab w:val="left" w:pos="1"/>
        </w:tabs>
        <w:jc w:val="both"/>
        <w:rPr>
          <w:rFonts w:ascii="Arial" w:hAnsi="Arial"/>
          <w:b/>
          <w:sz w:val="24"/>
          <w:lang w:val="en-GB"/>
        </w:rPr>
      </w:pPr>
      <w:r w:rsidRPr="009D1812">
        <w:rPr>
          <w:rFonts w:ascii="Arial" w:hAnsi="Arial"/>
          <w:b/>
          <w:noProof/>
          <w:sz w:val="24"/>
        </w:rPr>
        <w:drawing>
          <wp:inline distT="0" distB="0" distL="0" distR="0" wp14:anchorId="158F8DBC" wp14:editId="3F3D1E3E">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451469E" w14:textId="77777777" w:rsidR="00856D9F" w:rsidRPr="009D1812"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6D0F1382" w14:textId="24B67831" w:rsidR="00D75295" w:rsidRPr="009D1812" w:rsidRDefault="00347D70" w:rsidP="00F105B7">
      <w:pPr>
        <w:pStyle w:val="ProductNumber"/>
        <w:rPr>
          <w:lang w:val="en-GB"/>
        </w:rPr>
      </w:pPr>
      <w:r>
        <w:rPr>
          <w:lang w:val="en-GB"/>
        </w:rPr>
        <w:t>9B17M099</w:t>
      </w:r>
    </w:p>
    <w:p w14:paraId="766C42A8" w14:textId="77777777" w:rsidR="00D75295" w:rsidRPr="009D1812" w:rsidRDefault="00D75295" w:rsidP="00D75295">
      <w:pPr>
        <w:jc w:val="right"/>
        <w:rPr>
          <w:rFonts w:ascii="Arial" w:hAnsi="Arial"/>
          <w:b/>
          <w:sz w:val="28"/>
          <w:szCs w:val="28"/>
          <w:lang w:val="en-GB"/>
        </w:rPr>
      </w:pPr>
    </w:p>
    <w:p w14:paraId="32461E8B" w14:textId="77777777" w:rsidR="00866F6D" w:rsidRPr="009D1812" w:rsidRDefault="00866F6D" w:rsidP="00D75295">
      <w:pPr>
        <w:jc w:val="right"/>
        <w:rPr>
          <w:rFonts w:ascii="Arial" w:hAnsi="Arial"/>
          <w:b/>
          <w:sz w:val="28"/>
          <w:szCs w:val="28"/>
          <w:lang w:val="en-GB"/>
        </w:rPr>
      </w:pPr>
    </w:p>
    <w:p w14:paraId="470E898C" w14:textId="77777777" w:rsidR="00573242" w:rsidRPr="009D1812" w:rsidRDefault="00774404" w:rsidP="00FD0D2C">
      <w:pPr>
        <w:pStyle w:val="CaseTitle"/>
        <w:spacing w:after="0" w:line="240" w:lineRule="auto"/>
        <w:jc w:val="center"/>
        <w:rPr>
          <w:lang w:val="en-GB"/>
        </w:rPr>
      </w:pPr>
      <w:r w:rsidRPr="009D1812">
        <w:rPr>
          <w:lang w:val="en-GB"/>
        </w:rPr>
        <w:t>EARTH’S GENERAL STORE: BALANCING PEOPLE, PLANET</w:t>
      </w:r>
      <w:r w:rsidR="00FB4460" w:rsidRPr="009D1812">
        <w:rPr>
          <w:lang w:val="en-GB"/>
        </w:rPr>
        <w:t>,</w:t>
      </w:r>
      <w:r w:rsidRPr="009D1812">
        <w:rPr>
          <w:lang w:val="en-GB"/>
        </w:rPr>
        <w:t xml:space="preserve"> </w:t>
      </w:r>
      <w:r w:rsidR="00FB4460" w:rsidRPr="009D1812">
        <w:rPr>
          <w:lang w:val="en-GB"/>
        </w:rPr>
        <w:t>and</w:t>
      </w:r>
      <w:r w:rsidRPr="009D1812">
        <w:rPr>
          <w:lang w:val="en-GB"/>
        </w:rPr>
        <w:t xml:space="preserve"> PROFIT IN ORGANIC</w:t>
      </w:r>
      <w:r w:rsidR="00904C1A" w:rsidRPr="009D1812">
        <w:rPr>
          <w:lang w:val="en-GB"/>
        </w:rPr>
        <w:t>-food</w:t>
      </w:r>
      <w:r w:rsidRPr="009D1812">
        <w:rPr>
          <w:lang w:val="en-GB"/>
        </w:rPr>
        <w:t xml:space="preserve"> RETAILING</w:t>
      </w:r>
    </w:p>
    <w:p w14:paraId="13BF8B8A" w14:textId="77777777" w:rsidR="00013360" w:rsidRPr="009D1812" w:rsidRDefault="00013360" w:rsidP="00013360">
      <w:pPr>
        <w:pStyle w:val="CaseTitle"/>
        <w:spacing w:after="0" w:line="240" w:lineRule="auto"/>
        <w:rPr>
          <w:sz w:val="20"/>
          <w:szCs w:val="20"/>
          <w:lang w:val="en-GB"/>
        </w:rPr>
      </w:pPr>
    </w:p>
    <w:p w14:paraId="3658F225" w14:textId="77777777" w:rsidR="00CA3976" w:rsidRPr="009D1812" w:rsidRDefault="00CA3976" w:rsidP="00013360">
      <w:pPr>
        <w:pStyle w:val="CaseTitle"/>
        <w:spacing w:after="0" w:line="240" w:lineRule="auto"/>
        <w:rPr>
          <w:sz w:val="20"/>
          <w:szCs w:val="20"/>
          <w:lang w:val="en-GB"/>
        </w:rPr>
      </w:pPr>
    </w:p>
    <w:p w14:paraId="0D4E3416" w14:textId="77777777" w:rsidR="00013360" w:rsidRPr="009D1812" w:rsidRDefault="00013360" w:rsidP="00013360">
      <w:pPr>
        <w:pStyle w:val="CaseTitle"/>
        <w:spacing w:after="0" w:line="240" w:lineRule="auto"/>
        <w:rPr>
          <w:sz w:val="20"/>
          <w:szCs w:val="20"/>
          <w:lang w:val="en-GB"/>
        </w:rPr>
      </w:pPr>
    </w:p>
    <w:p w14:paraId="0C30DDC7" w14:textId="77777777" w:rsidR="00013360" w:rsidRPr="009D1812" w:rsidRDefault="00774404" w:rsidP="00104567">
      <w:pPr>
        <w:pStyle w:val="StyleCopyrightStatementAfter0ptBottomSinglesolidline1"/>
        <w:rPr>
          <w:lang w:val="en-GB"/>
        </w:rPr>
      </w:pPr>
      <w:r w:rsidRPr="00EC2744">
        <w:rPr>
          <w:lang w:val="en-GB"/>
        </w:rPr>
        <w:t xml:space="preserve">Ashton </w:t>
      </w:r>
      <w:proofErr w:type="spellStart"/>
      <w:r w:rsidRPr="00EC2744">
        <w:rPr>
          <w:lang w:val="en-GB"/>
        </w:rPr>
        <w:t>Paulitsch</w:t>
      </w:r>
      <w:proofErr w:type="spellEnd"/>
      <w:r w:rsidRPr="00EC2744">
        <w:rPr>
          <w:lang w:val="en-GB"/>
        </w:rPr>
        <w:t xml:space="preserve">, </w:t>
      </w:r>
      <w:proofErr w:type="spellStart"/>
      <w:r w:rsidRPr="00EC2744">
        <w:rPr>
          <w:lang w:val="en-GB"/>
        </w:rPr>
        <w:t>Maninder</w:t>
      </w:r>
      <w:proofErr w:type="spellEnd"/>
      <w:r w:rsidRPr="00EC2744">
        <w:rPr>
          <w:lang w:val="en-GB"/>
        </w:rPr>
        <w:t xml:space="preserve"> </w:t>
      </w:r>
      <w:proofErr w:type="spellStart"/>
      <w:r w:rsidRPr="00EC2744">
        <w:rPr>
          <w:lang w:val="en-GB"/>
        </w:rPr>
        <w:t>Pardais</w:t>
      </w:r>
      <w:proofErr w:type="spellEnd"/>
      <w:r w:rsidRPr="00EC2744">
        <w:rPr>
          <w:lang w:val="en-GB"/>
        </w:rPr>
        <w:t xml:space="preserve">, Bernard </w:t>
      </w:r>
      <w:proofErr w:type="spellStart"/>
      <w:r w:rsidRPr="00EC2744">
        <w:rPr>
          <w:lang w:val="en-GB"/>
        </w:rPr>
        <w:t>Streeper</w:t>
      </w:r>
      <w:proofErr w:type="spellEnd"/>
      <w:r w:rsidRPr="00EC2744">
        <w:rPr>
          <w:lang w:val="en-GB"/>
        </w:rPr>
        <w:t xml:space="preserve">, Brian </w:t>
      </w:r>
      <w:proofErr w:type="spellStart"/>
      <w:r w:rsidRPr="00EC2744">
        <w:rPr>
          <w:lang w:val="en-GB"/>
        </w:rPr>
        <w:t>Ballman</w:t>
      </w:r>
      <w:proofErr w:type="spellEnd"/>
      <w:r w:rsidRPr="00EC2744">
        <w:rPr>
          <w:lang w:val="en-GB"/>
        </w:rPr>
        <w:t xml:space="preserve">, Taylor Love, and Leanne </w:t>
      </w:r>
      <w:proofErr w:type="spellStart"/>
      <w:r w:rsidRPr="00EC2744">
        <w:rPr>
          <w:lang w:val="en-GB"/>
        </w:rPr>
        <w:t>Hedberg</w:t>
      </w:r>
      <w:proofErr w:type="spellEnd"/>
      <w:r w:rsidRPr="00EC2744">
        <w:rPr>
          <w:lang w:val="en-GB"/>
        </w:rPr>
        <w:t xml:space="preserve"> wrote this case under the</w:t>
      </w:r>
      <w:r w:rsidRPr="009D1812">
        <w:rPr>
          <w:lang w:val="en-GB"/>
        </w:rPr>
        <w:t xml:space="preserve"> supervision of Professor Joel </w:t>
      </w:r>
      <w:proofErr w:type="spellStart"/>
      <w:r w:rsidRPr="009D1812">
        <w:rPr>
          <w:lang w:val="en-GB"/>
        </w:rPr>
        <w:t>Gehman</w:t>
      </w:r>
      <w:proofErr w:type="spellEnd"/>
      <w:r w:rsidR="007E5921" w:rsidRPr="009D1812">
        <w:rPr>
          <w:lang w:val="en-GB"/>
        </w:rPr>
        <w:t xml:space="preserve"> sol</w:t>
      </w:r>
      <w:r w:rsidR="00D75295" w:rsidRPr="009D1812">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9B8CE18" w14:textId="77777777" w:rsidR="00013360" w:rsidRPr="009D1812" w:rsidRDefault="00013360" w:rsidP="00104567">
      <w:pPr>
        <w:pStyle w:val="StyleCopyrightStatementAfter0ptBottomSinglesolidline1"/>
        <w:rPr>
          <w:lang w:val="en-GB"/>
        </w:rPr>
      </w:pPr>
    </w:p>
    <w:p w14:paraId="49B1F030" w14:textId="77777777" w:rsidR="007A4763" w:rsidRPr="009D1812" w:rsidRDefault="007A4763" w:rsidP="007A4763">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9D1812">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9D1812">
          <w:rPr>
            <w:rFonts w:ascii="Arial" w:hAnsi="Arial"/>
            <w:i/>
            <w:iCs/>
            <w:color w:val="000000"/>
            <w:sz w:val="16"/>
            <w:lang w:val="en-GB"/>
          </w:rPr>
          <w:t>cases@ivey.ca</w:t>
        </w:r>
      </w:hyperlink>
      <w:r w:rsidRPr="009D1812">
        <w:rPr>
          <w:rFonts w:ascii="Arial" w:hAnsi="Arial"/>
          <w:i/>
          <w:iCs/>
          <w:color w:val="000000"/>
          <w:sz w:val="16"/>
          <w:lang w:val="en-GB"/>
        </w:rPr>
        <w:t xml:space="preserve">; </w:t>
      </w:r>
      <w:hyperlink r:id="rId10" w:history="1">
        <w:r w:rsidRPr="009D1812">
          <w:rPr>
            <w:rFonts w:ascii="Arial" w:hAnsi="Arial"/>
            <w:i/>
            <w:iCs/>
            <w:color w:val="000000"/>
            <w:sz w:val="16"/>
            <w:lang w:val="en-GB"/>
          </w:rPr>
          <w:t>www.iveycases.com</w:t>
        </w:r>
      </w:hyperlink>
      <w:r w:rsidRPr="009D1812">
        <w:rPr>
          <w:rFonts w:ascii="Arial" w:hAnsi="Arial"/>
          <w:i/>
          <w:iCs/>
          <w:color w:val="000000"/>
          <w:sz w:val="16"/>
          <w:lang w:val="en-GB"/>
        </w:rPr>
        <w:t>.</w:t>
      </w:r>
    </w:p>
    <w:p w14:paraId="4A584C0F" w14:textId="77777777" w:rsidR="007A4763" w:rsidRPr="009D1812" w:rsidRDefault="007A4763" w:rsidP="007A4763">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1B7D8819" w14:textId="359999B4" w:rsidR="003B7EF2" w:rsidRPr="009D1812" w:rsidRDefault="007A4763" w:rsidP="007A4763">
      <w:pPr>
        <w:pStyle w:val="StyleStyleCopyrightStatementAfter0ptBottomSinglesolid"/>
        <w:rPr>
          <w:lang w:val="en-GB"/>
        </w:rPr>
      </w:pPr>
      <w:r w:rsidRPr="009D1812">
        <w:rPr>
          <w:rFonts w:cs="Arial"/>
          <w:szCs w:val="16"/>
          <w:lang w:val="en-GB"/>
        </w:rPr>
        <w:t>Copyright © 2017, Richard Ivey School of Business Foundation</w:t>
      </w:r>
      <w:r w:rsidRPr="009D1812">
        <w:rPr>
          <w:rFonts w:cs="Arial"/>
          <w:szCs w:val="16"/>
          <w:lang w:val="en-GB"/>
        </w:rPr>
        <w:tab/>
      </w:r>
      <w:r w:rsidRPr="009D1812">
        <w:rPr>
          <w:lang w:val="en-GB"/>
        </w:rPr>
        <w:t>Version: 2017-</w:t>
      </w:r>
      <w:r w:rsidR="007817B3">
        <w:rPr>
          <w:lang w:val="en-GB"/>
        </w:rPr>
        <w:t>06-2</w:t>
      </w:r>
      <w:r w:rsidR="00B14B2E">
        <w:rPr>
          <w:lang w:val="en-GB"/>
        </w:rPr>
        <w:t>8</w:t>
      </w:r>
    </w:p>
    <w:p w14:paraId="39DADA42" w14:textId="77777777" w:rsidR="003B7EF2" w:rsidRPr="009D1812" w:rsidRDefault="003B7EF2" w:rsidP="00104567">
      <w:pPr>
        <w:pStyle w:val="StyleCopyrightStatementAfter0ptBottomSinglesolidline1"/>
        <w:rPr>
          <w:rFonts w:ascii="Times New Roman" w:hAnsi="Times New Roman"/>
          <w:sz w:val="20"/>
          <w:lang w:val="en-GB"/>
        </w:rPr>
      </w:pPr>
    </w:p>
    <w:p w14:paraId="1BF3F224" w14:textId="77777777" w:rsidR="003B7EF2" w:rsidRPr="009C7D60" w:rsidRDefault="003B7EF2" w:rsidP="006B7F7A">
      <w:pPr>
        <w:pStyle w:val="BodyTextMain"/>
        <w:rPr>
          <w:sz w:val="20"/>
          <w:lang w:val="en-GB"/>
        </w:rPr>
      </w:pPr>
    </w:p>
    <w:p w14:paraId="789D1296" w14:textId="41ECE8BE" w:rsidR="00774404" w:rsidRPr="009D1812" w:rsidRDefault="00774404" w:rsidP="00774404">
      <w:pPr>
        <w:pStyle w:val="BodyTextMain"/>
        <w:rPr>
          <w:lang w:val="en-GB"/>
        </w:rPr>
      </w:pPr>
      <w:r w:rsidRPr="009D1812">
        <w:rPr>
          <w:lang w:val="en-GB"/>
        </w:rPr>
        <w:t xml:space="preserve">It was late February 2016, and the snow was melting outside Michael </w:t>
      </w:r>
      <w:proofErr w:type="spellStart"/>
      <w:r w:rsidRPr="009D1812">
        <w:rPr>
          <w:lang w:val="en-GB"/>
        </w:rPr>
        <w:t>Kalmanovitch’s</w:t>
      </w:r>
      <w:proofErr w:type="spellEnd"/>
      <w:r w:rsidRPr="009D1812">
        <w:rPr>
          <w:lang w:val="en-GB"/>
        </w:rPr>
        <w:t xml:space="preserve"> store on 104 Street in downtown Edmonton. </w:t>
      </w:r>
      <w:r w:rsidR="00645F0D" w:rsidRPr="009D1812">
        <w:rPr>
          <w:lang w:val="en-GB"/>
        </w:rPr>
        <w:t>A</w:t>
      </w:r>
      <w:r w:rsidRPr="009D1812">
        <w:rPr>
          <w:lang w:val="en-GB"/>
        </w:rPr>
        <w:t>round the world</w:t>
      </w:r>
      <w:r w:rsidR="001F3B31" w:rsidRPr="009D1812">
        <w:rPr>
          <w:lang w:val="en-GB"/>
        </w:rPr>
        <w:t>,</w:t>
      </w:r>
      <w:r w:rsidRPr="009D1812">
        <w:rPr>
          <w:lang w:val="en-GB"/>
        </w:rPr>
        <w:t xml:space="preserve"> </w:t>
      </w:r>
      <w:r w:rsidR="001F3B31" w:rsidRPr="009D1812">
        <w:rPr>
          <w:lang w:val="en-GB"/>
        </w:rPr>
        <w:t>2015 had been the warmest year on record</w:t>
      </w:r>
      <w:r w:rsidR="003B519A" w:rsidRPr="009D1812">
        <w:rPr>
          <w:lang w:val="en-GB"/>
        </w:rPr>
        <w:t>,</w:t>
      </w:r>
      <w:r w:rsidR="001F3B31" w:rsidRPr="009D1812">
        <w:rPr>
          <w:lang w:val="en-GB"/>
        </w:rPr>
        <w:t xml:space="preserve"> </w:t>
      </w:r>
      <w:r w:rsidRPr="009D1812">
        <w:rPr>
          <w:lang w:val="en-GB"/>
        </w:rPr>
        <w:t>and the unusually mild Edmonton weather at the beginning of 2016 brought more attention to the environmental issue of global warming.</w:t>
      </w:r>
      <w:r w:rsidRPr="009D1812">
        <w:rPr>
          <w:rStyle w:val="EndnoteReference"/>
          <w:lang w:val="en-GB"/>
        </w:rPr>
        <w:endnoteReference w:id="1"/>
      </w:r>
      <w:r w:rsidRPr="009D1812">
        <w:rPr>
          <w:lang w:val="en-GB"/>
        </w:rPr>
        <w:t xml:space="preserve"> As </w:t>
      </w:r>
      <w:proofErr w:type="spellStart"/>
      <w:r w:rsidR="003B519A" w:rsidRPr="009D1812">
        <w:rPr>
          <w:lang w:val="en-GB"/>
        </w:rPr>
        <w:t>Kalmanovitch</w:t>
      </w:r>
      <w:proofErr w:type="spellEnd"/>
      <w:r w:rsidRPr="009D1812">
        <w:rPr>
          <w:lang w:val="en-GB"/>
        </w:rPr>
        <w:t xml:space="preserve"> looked outside his store window </w:t>
      </w:r>
      <w:r w:rsidR="00645F0D" w:rsidRPr="009D1812">
        <w:rPr>
          <w:lang w:val="en-GB"/>
        </w:rPr>
        <w:t xml:space="preserve">at </w:t>
      </w:r>
      <w:r w:rsidRPr="009D1812">
        <w:rPr>
          <w:lang w:val="en-GB"/>
        </w:rPr>
        <w:t>the brown grass that was emerging from a pool of melted snow, he pondered what the future held for organic</w:t>
      </w:r>
      <w:r w:rsidR="00F445CF" w:rsidRPr="009D1812">
        <w:rPr>
          <w:lang w:val="en-GB"/>
        </w:rPr>
        <w:t xml:space="preserve">-food </w:t>
      </w:r>
      <w:r w:rsidRPr="009D1812">
        <w:rPr>
          <w:lang w:val="en-GB"/>
        </w:rPr>
        <w:t xml:space="preserve">retailers like himself in Edmonton.  </w:t>
      </w:r>
    </w:p>
    <w:p w14:paraId="3CDEF795" w14:textId="77777777" w:rsidR="00774404" w:rsidRPr="009C7D60" w:rsidRDefault="00774404" w:rsidP="00774404">
      <w:pPr>
        <w:pStyle w:val="BodyTextMain"/>
        <w:rPr>
          <w:sz w:val="20"/>
          <w:lang w:val="en-GB"/>
        </w:rPr>
      </w:pPr>
    </w:p>
    <w:p w14:paraId="50CCE8F8" w14:textId="38A98B21" w:rsidR="00774404" w:rsidRPr="009D1812" w:rsidRDefault="003B519A" w:rsidP="00774404">
      <w:pPr>
        <w:pStyle w:val="BodyTextMain"/>
        <w:rPr>
          <w:lang w:val="en-GB"/>
        </w:rPr>
      </w:pPr>
      <w:proofErr w:type="spellStart"/>
      <w:r w:rsidRPr="009D1812">
        <w:rPr>
          <w:lang w:val="en-GB"/>
        </w:rPr>
        <w:t>Kalmanovitch</w:t>
      </w:r>
      <w:proofErr w:type="spellEnd"/>
      <w:r w:rsidR="00774404" w:rsidRPr="009D1812">
        <w:rPr>
          <w:lang w:val="en-GB"/>
        </w:rPr>
        <w:t xml:space="preserve"> was fiercely passionate about environmental and social sustainability, </w:t>
      </w:r>
      <w:r w:rsidR="00F445CF" w:rsidRPr="009D1812">
        <w:rPr>
          <w:lang w:val="en-GB"/>
        </w:rPr>
        <w:t xml:space="preserve">a sentiment that had </w:t>
      </w:r>
      <w:r w:rsidR="007536E7" w:rsidRPr="009D1812">
        <w:rPr>
          <w:lang w:val="en-GB"/>
        </w:rPr>
        <w:t>inspired him to</w:t>
      </w:r>
      <w:r w:rsidR="00774404" w:rsidRPr="009D1812">
        <w:rPr>
          <w:lang w:val="en-GB"/>
        </w:rPr>
        <w:t xml:space="preserve"> start Earth’s General Store more than 20 years ago. </w:t>
      </w:r>
      <w:proofErr w:type="spellStart"/>
      <w:r w:rsidRPr="009D1812">
        <w:rPr>
          <w:lang w:val="en-GB"/>
        </w:rPr>
        <w:t>Kalmanovitch</w:t>
      </w:r>
      <w:proofErr w:type="spellEnd"/>
      <w:r w:rsidR="00774404" w:rsidRPr="009D1812">
        <w:rPr>
          <w:lang w:val="en-GB"/>
        </w:rPr>
        <w:t xml:space="preserve"> </w:t>
      </w:r>
      <w:r w:rsidR="00645F0D" w:rsidRPr="009D1812">
        <w:rPr>
          <w:lang w:val="en-GB"/>
        </w:rPr>
        <w:t xml:space="preserve">had </w:t>
      </w:r>
      <w:r w:rsidR="00774404" w:rsidRPr="009D1812">
        <w:rPr>
          <w:lang w:val="en-GB"/>
        </w:rPr>
        <w:t>never considered himself a businessperson</w:t>
      </w:r>
      <w:r w:rsidR="00F445CF" w:rsidRPr="009D1812">
        <w:rPr>
          <w:lang w:val="en-GB"/>
        </w:rPr>
        <w:t>,</w:t>
      </w:r>
      <w:r w:rsidR="00774404" w:rsidRPr="009D1812">
        <w:rPr>
          <w:lang w:val="en-GB"/>
        </w:rPr>
        <w:t xml:space="preserve"> rather “a citizen </w:t>
      </w:r>
      <w:r w:rsidR="00F445CF" w:rsidRPr="009D1812">
        <w:rPr>
          <w:lang w:val="en-GB"/>
        </w:rPr>
        <w:t>[who]</w:t>
      </w:r>
      <w:r w:rsidR="00774404" w:rsidRPr="009D1812">
        <w:rPr>
          <w:lang w:val="en-GB"/>
        </w:rPr>
        <w:t xml:space="preserve"> does business.”</w:t>
      </w:r>
      <w:r w:rsidR="00774404" w:rsidRPr="009D1812">
        <w:rPr>
          <w:rStyle w:val="EndnoteReference"/>
          <w:lang w:val="en-GB"/>
        </w:rPr>
        <w:endnoteReference w:id="2"/>
      </w:r>
      <w:r w:rsidR="00774404" w:rsidRPr="009D1812">
        <w:rPr>
          <w:lang w:val="en-GB"/>
        </w:rPr>
        <w:t xml:space="preserve"> Highly visible in Edmonton’s “green” community, </w:t>
      </w:r>
      <w:proofErr w:type="spellStart"/>
      <w:r w:rsidRPr="009D1812">
        <w:rPr>
          <w:lang w:val="en-GB"/>
        </w:rPr>
        <w:t>Kalmanovitch</w:t>
      </w:r>
      <w:proofErr w:type="spellEnd"/>
      <w:r w:rsidR="00774404" w:rsidRPr="009D1812">
        <w:rPr>
          <w:lang w:val="en-GB"/>
        </w:rPr>
        <w:t xml:space="preserve"> was the driving force behind numerous Earth Day, bicycle commuter</w:t>
      </w:r>
      <w:r w:rsidR="0000472F" w:rsidRPr="009D1812">
        <w:rPr>
          <w:lang w:val="en-GB"/>
        </w:rPr>
        <w:t>,</w:t>
      </w:r>
      <w:r w:rsidR="00774404" w:rsidRPr="009D1812">
        <w:rPr>
          <w:lang w:val="en-GB"/>
        </w:rPr>
        <w:t xml:space="preserve"> and sustainable food events around the city</w:t>
      </w:r>
      <w:r w:rsidR="00645F0D" w:rsidRPr="009D1812">
        <w:rPr>
          <w:lang w:val="en-GB"/>
        </w:rPr>
        <w:t xml:space="preserve">, </w:t>
      </w:r>
      <w:r w:rsidR="00D16ACD" w:rsidRPr="009D1812">
        <w:rPr>
          <w:lang w:val="en-GB"/>
        </w:rPr>
        <w:t>which all</w:t>
      </w:r>
      <w:r w:rsidR="00774404" w:rsidRPr="009D1812">
        <w:rPr>
          <w:lang w:val="en-GB"/>
        </w:rPr>
        <w:t xml:space="preserve"> encouraged citizens to “consume wisely, consume locally</w:t>
      </w:r>
      <w:r w:rsidR="0000472F" w:rsidRPr="009D1812">
        <w:rPr>
          <w:lang w:val="en-GB"/>
        </w:rPr>
        <w:t>,</w:t>
      </w:r>
      <w:r w:rsidR="00774404" w:rsidRPr="009D1812">
        <w:rPr>
          <w:lang w:val="en-GB"/>
        </w:rPr>
        <w:t xml:space="preserve"> and consume fairly.”</w:t>
      </w:r>
      <w:r w:rsidR="00774404" w:rsidRPr="009D1812">
        <w:rPr>
          <w:rStyle w:val="EndnoteReference"/>
          <w:lang w:val="en-GB"/>
        </w:rPr>
        <w:endnoteReference w:id="3"/>
      </w:r>
      <w:r w:rsidR="00774404" w:rsidRPr="009D1812">
        <w:rPr>
          <w:lang w:val="en-GB"/>
        </w:rPr>
        <w:t xml:space="preserve"> </w:t>
      </w:r>
    </w:p>
    <w:p w14:paraId="601243C4" w14:textId="77777777" w:rsidR="00774404" w:rsidRPr="009C7D60" w:rsidRDefault="00774404" w:rsidP="00774404">
      <w:pPr>
        <w:pStyle w:val="BodyTextMain"/>
        <w:rPr>
          <w:sz w:val="20"/>
          <w:lang w:val="en-GB"/>
        </w:rPr>
      </w:pPr>
    </w:p>
    <w:p w14:paraId="37BE8F98" w14:textId="77777777" w:rsidR="00774404" w:rsidRPr="009D1812" w:rsidRDefault="00774404" w:rsidP="00774404">
      <w:pPr>
        <w:pStyle w:val="BodyTextMain"/>
        <w:rPr>
          <w:lang w:val="en-GB"/>
        </w:rPr>
      </w:pPr>
      <w:r w:rsidRPr="009D1812">
        <w:rPr>
          <w:lang w:val="en-GB"/>
        </w:rPr>
        <w:t xml:space="preserve">Although </w:t>
      </w:r>
      <w:proofErr w:type="spellStart"/>
      <w:r w:rsidR="00F445CF" w:rsidRPr="009D1812">
        <w:rPr>
          <w:lang w:val="en-GB"/>
        </w:rPr>
        <w:t>Kalmanovitch</w:t>
      </w:r>
      <w:proofErr w:type="spellEnd"/>
      <w:r w:rsidRPr="009D1812">
        <w:rPr>
          <w:lang w:val="en-GB"/>
        </w:rPr>
        <w:t xml:space="preserve"> was proud of what he had built</w:t>
      </w:r>
      <w:r w:rsidR="0000472F" w:rsidRPr="009D1812">
        <w:rPr>
          <w:lang w:val="en-GB"/>
        </w:rPr>
        <w:t>—</w:t>
      </w:r>
      <w:r w:rsidRPr="009D1812">
        <w:rPr>
          <w:lang w:val="en-GB"/>
        </w:rPr>
        <w:t>two stores offering organic groceries and fair</w:t>
      </w:r>
      <w:r w:rsidR="00C428C2" w:rsidRPr="009D1812">
        <w:rPr>
          <w:lang w:val="en-GB"/>
        </w:rPr>
        <w:t>-</w:t>
      </w:r>
      <w:r w:rsidRPr="009D1812">
        <w:rPr>
          <w:lang w:val="en-GB"/>
        </w:rPr>
        <w:t>trade goods in Edmonton</w:t>
      </w:r>
      <w:r w:rsidR="0000472F" w:rsidRPr="009D1812">
        <w:rPr>
          <w:lang w:val="en-GB"/>
        </w:rPr>
        <w:t>—</w:t>
      </w:r>
      <w:r w:rsidRPr="009D1812">
        <w:rPr>
          <w:lang w:val="en-GB"/>
        </w:rPr>
        <w:t xml:space="preserve">he worried about the financial sustainability of his downtown location. </w:t>
      </w:r>
      <w:r w:rsidR="00F445CF" w:rsidRPr="009D1812">
        <w:rPr>
          <w:lang w:val="en-GB"/>
        </w:rPr>
        <w:t>Since</w:t>
      </w:r>
      <w:r w:rsidRPr="009D1812">
        <w:rPr>
          <w:lang w:val="en-GB"/>
        </w:rPr>
        <w:t xml:space="preserve"> </w:t>
      </w:r>
      <w:r w:rsidR="00C428C2" w:rsidRPr="009D1812">
        <w:rPr>
          <w:lang w:val="en-GB"/>
        </w:rPr>
        <w:t xml:space="preserve">its </w:t>
      </w:r>
      <w:r w:rsidRPr="009D1812">
        <w:rPr>
          <w:lang w:val="en-GB"/>
        </w:rPr>
        <w:t xml:space="preserve">opening in 2014, </w:t>
      </w:r>
      <w:r w:rsidR="00C428C2" w:rsidRPr="009D1812">
        <w:rPr>
          <w:lang w:val="en-GB"/>
        </w:rPr>
        <w:t>the</w:t>
      </w:r>
      <w:r w:rsidRPr="009D1812">
        <w:rPr>
          <w:lang w:val="en-GB"/>
        </w:rPr>
        <w:t xml:space="preserve"> downtown store on 104 Street </w:t>
      </w:r>
      <w:r w:rsidR="00F445CF" w:rsidRPr="009D1812">
        <w:rPr>
          <w:lang w:val="en-GB"/>
        </w:rPr>
        <w:t xml:space="preserve">had </w:t>
      </w:r>
      <w:r w:rsidRPr="009D1812">
        <w:rPr>
          <w:lang w:val="en-GB"/>
        </w:rPr>
        <w:t xml:space="preserve">constantly struggled to remain profitable </w:t>
      </w:r>
      <w:r w:rsidR="00C428C2" w:rsidRPr="009D1812">
        <w:rPr>
          <w:lang w:val="en-GB"/>
        </w:rPr>
        <w:t>in the face of</w:t>
      </w:r>
      <w:r w:rsidRPr="009D1812">
        <w:rPr>
          <w:lang w:val="en-GB"/>
        </w:rPr>
        <w:t xml:space="preserve"> its extremely high overhead cost. The original Whyte Avenue location of Earth’s General Store, popular amongst its loyal patrons, was subsidizing the downtown store just to keep its doors open</w:t>
      </w:r>
      <w:r w:rsidR="00C428C2" w:rsidRPr="009D1812">
        <w:rPr>
          <w:lang w:val="en-GB"/>
        </w:rPr>
        <w:t>, but that practice</w:t>
      </w:r>
      <w:r w:rsidRPr="009D1812">
        <w:rPr>
          <w:lang w:val="en-GB"/>
        </w:rPr>
        <w:t xml:space="preserve"> certainly </w:t>
      </w:r>
      <w:r w:rsidR="00F445CF" w:rsidRPr="009D1812">
        <w:rPr>
          <w:lang w:val="en-GB"/>
        </w:rPr>
        <w:t xml:space="preserve">was </w:t>
      </w:r>
      <w:r w:rsidRPr="009D1812">
        <w:rPr>
          <w:lang w:val="en-GB"/>
        </w:rPr>
        <w:t xml:space="preserve">not a long-term solution. </w:t>
      </w:r>
    </w:p>
    <w:p w14:paraId="24978872" w14:textId="77777777" w:rsidR="00774404" w:rsidRPr="009C7D60" w:rsidRDefault="00774404" w:rsidP="00774404">
      <w:pPr>
        <w:pStyle w:val="BodyTextMain"/>
        <w:rPr>
          <w:sz w:val="20"/>
          <w:lang w:val="en-GB"/>
        </w:rPr>
      </w:pPr>
    </w:p>
    <w:p w14:paraId="645A492A" w14:textId="7074705A" w:rsidR="00774404" w:rsidRPr="009D1812" w:rsidRDefault="00774404" w:rsidP="00774404">
      <w:pPr>
        <w:pStyle w:val="BodyTextMain"/>
        <w:rPr>
          <w:lang w:val="en-GB"/>
        </w:rPr>
      </w:pPr>
      <w:r w:rsidRPr="009D1812">
        <w:rPr>
          <w:lang w:val="en-GB"/>
        </w:rPr>
        <w:t>Simply put, the downtown location was a severe financial drain</w:t>
      </w:r>
      <w:r w:rsidR="00C428C2" w:rsidRPr="009D1812">
        <w:rPr>
          <w:lang w:val="en-GB"/>
        </w:rPr>
        <w:t>,</w:t>
      </w:r>
      <w:r w:rsidRPr="009D1812">
        <w:rPr>
          <w:lang w:val="en-GB"/>
        </w:rPr>
        <w:t xml:space="preserve"> and </w:t>
      </w:r>
      <w:r w:rsidR="00C428C2" w:rsidRPr="009D1812">
        <w:rPr>
          <w:lang w:val="en-GB"/>
        </w:rPr>
        <w:t xml:space="preserve">without some immediate changes to the situation, </w:t>
      </w:r>
      <w:proofErr w:type="spellStart"/>
      <w:r w:rsidR="003B519A" w:rsidRPr="009D1812">
        <w:rPr>
          <w:lang w:val="en-GB"/>
        </w:rPr>
        <w:t>Kalmanovitch</w:t>
      </w:r>
      <w:proofErr w:type="spellEnd"/>
      <w:r w:rsidRPr="009D1812">
        <w:rPr>
          <w:lang w:val="en-GB"/>
        </w:rPr>
        <w:t xml:space="preserve"> risked losing the Whyte Avenue store</w:t>
      </w:r>
      <w:r w:rsidR="00C428C2" w:rsidRPr="009D1812">
        <w:rPr>
          <w:lang w:val="en-GB"/>
        </w:rPr>
        <w:t>.</w:t>
      </w:r>
      <w:r w:rsidRPr="009D1812">
        <w:rPr>
          <w:rStyle w:val="EndnoteReference"/>
          <w:lang w:val="en-GB"/>
        </w:rPr>
        <w:endnoteReference w:id="4"/>
      </w:r>
      <w:r w:rsidRPr="009D1812">
        <w:rPr>
          <w:lang w:val="en-GB"/>
        </w:rPr>
        <w:t xml:space="preserve"> </w:t>
      </w:r>
      <w:r w:rsidR="00987190" w:rsidRPr="009D1812">
        <w:rPr>
          <w:lang w:val="en-GB"/>
        </w:rPr>
        <w:t xml:space="preserve">But </w:t>
      </w:r>
      <w:proofErr w:type="spellStart"/>
      <w:r w:rsidR="003B519A" w:rsidRPr="009D1812">
        <w:rPr>
          <w:lang w:val="en-GB"/>
        </w:rPr>
        <w:t>Kalmanovitch</w:t>
      </w:r>
      <w:proofErr w:type="spellEnd"/>
      <w:r w:rsidRPr="009D1812">
        <w:rPr>
          <w:lang w:val="en-GB"/>
        </w:rPr>
        <w:t xml:space="preserve"> did not want to close any of his stores. He felt </w:t>
      </w:r>
      <w:r w:rsidR="00C428C2" w:rsidRPr="009D1812">
        <w:rPr>
          <w:lang w:val="en-GB"/>
        </w:rPr>
        <w:t>that</w:t>
      </w:r>
      <w:r w:rsidRPr="009D1812">
        <w:rPr>
          <w:lang w:val="en-GB"/>
        </w:rPr>
        <w:t xml:space="preserve"> Earth’s General Store not only </w:t>
      </w:r>
      <w:r w:rsidR="00987190" w:rsidRPr="009D1812">
        <w:rPr>
          <w:lang w:val="en-GB"/>
        </w:rPr>
        <w:t>gave him a constructive way to</w:t>
      </w:r>
      <w:r w:rsidR="00C428C2" w:rsidRPr="009D1812">
        <w:rPr>
          <w:lang w:val="en-GB"/>
        </w:rPr>
        <w:t xml:space="preserve"> </w:t>
      </w:r>
      <w:r w:rsidR="00987190" w:rsidRPr="009D1812">
        <w:rPr>
          <w:lang w:val="en-GB"/>
        </w:rPr>
        <w:t>promote</w:t>
      </w:r>
      <w:r w:rsidR="00C428C2" w:rsidRPr="009D1812">
        <w:rPr>
          <w:lang w:val="en-GB"/>
        </w:rPr>
        <w:t xml:space="preserve"> </w:t>
      </w:r>
      <w:r w:rsidR="00987190" w:rsidRPr="009D1812">
        <w:rPr>
          <w:lang w:val="en-GB"/>
        </w:rPr>
        <w:t xml:space="preserve">his </w:t>
      </w:r>
      <w:r w:rsidR="00C428C2" w:rsidRPr="009D1812">
        <w:rPr>
          <w:lang w:val="en-GB"/>
        </w:rPr>
        <w:t>concerns about environmental issues</w:t>
      </w:r>
      <w:r w:rsidRPr="009D1812">
        <w:rPr>
          <w:lang w:val="en-GB"/>
        </w:rPr>
        <w:t xml:space="preserve"> but </w:t>
      </w:r>
      <w:r w:rsidR="00C428C2" w:rsidRPr="009D1812">
        <w:rPr>
          <w:lang w:val="en-GB"/>
        </w:rPr>
        <w:t xml:space="preserve">was also </w:t>
      </w:r>
      <w:r w:rsidRPr="009D1812">
        <w:rPr>
          <w:lang w:val="en-GB"/>
        </w:rPr>
        <w:t xml:space="preserve">an important public activism platform that inspired </w:t>
      </w:r>
      <w:proofErr w:type="spellStart"/>
      <w:r w:rsidRPr="009D1812">
        <w:rPr>
          <w:lang w:val="en-GB"/>
        </w:rPr>
        <w:t>Edmontonians</w:t>
      </w:r>
      <w:proofErr w:type="spellEnd"/>
      <w:r w:rsidRPr="009D1812">
        <w:rPr>
          <w:lang w:val="en-GB"/>
        </w:rPr>
        <w:t xml:space="preserve"> to get involved in their local community. Pouring himself a cup of organic, fair-trade coffee, </w:t>
      </w:r>
      <w:proofErr w:type="spellStart"/>
      <w:r w:rsidR="003B519A" w:rsidRPr="009D1812">
        <w:rPr>
          <w:lang w:val="en-GB"/>
        </w:rPr>
        <w:t>Kalmanovitch</w:t>
      </w:r>
      <w:proofErr w:type="spellEnd"/>
      <w:r w:rsidRPr="009D1812">
        <w:rPr>
          <w:lang w:val="en-GB"/>
        </w:rPr>
        <w:t xml:space="preserve"> sat down with the most recent financial statements (</w:t>
      </w:r>
      <w:r w:rsidR="00C428C2" w:rsidRPr="009D1812">
        <w:rPr>
          <w:lang w:val="en-GB"/>
        </w:rPr>
        <w:t xml:space="preserve">see </w:t>
      </w:r>
      <w:r w:rsidRPr="009D1812">
        <w:rPr>
          <w:lang w:val="en-GB"/>
        </w:rPr>
        <w:t>Exhibit 1)</w:t>
      </w:r>
      <w:r w:rsidR="00F445CF" w:rsidRPr="009D1812">
        <w:rPr>
          <w:lang w:val="en-GB"/>
        </w:rPr>
        <w:t xml:space="preserve"> for Earth’s General Store</w:t>
      </w:r>
      <w:r w:rsidRPr="009D1812">
        <w:rPr>
          <w:lang w:val="en-GB"/>
        </w:rPr>
        <w:t xml:space="preserve">. He </w:t>
      </w:r>
      <w:r w:rsidR="00C428C2" w:rsidRPr="009D1812">
        <w:rPr>
          <w:lang w:val="en-GB"/>
        </w:rPr>
        <w:t xml:space="preserve">knew he </w:t>
      </w:r>
      <w:r w:rsidRPr="009D1812">
        <w:rPr>
          <w:lang w:val="en-GB"/>
        </w:rPr>
        <w:t>had to come up with a plan.</w:t>
      </w:r>
    </w:p>
    <w:p w14:paraId="76B5C298" w14:textId="77777777" w:rsidR="00774404" w:rsidRPr="009D1812" w:rsidRDefault="00774404" w:rsidP="00BB6BB7">
      <w:pPr>
        <w:pStyle w:val="Casehead1"/>
        <w:keepNext/>
        <w:rPr>
          <w:lang w:val="en-GB"/>
        </w:rPr>
      </w:pPr>
      <w:r w:rsidRPr="009D1812">
        <w:rPr>
          <w:lang w:val="en-GB"/>
        </w:rPr>
        <w:lastRenderedPageBreak/>
        <w:t>EARTH’S GENERAL STORE</w:t>
      </w:r>
    </w:p>
    <w:p w14:paraId="35F74877" w14:textId="77777777" w:rsidR="00BB6BB7" w:rsidRPr="009C7D60" w:rsidRDefault="00BB6BB7" w:rsidP="00BB6BB7">
      <w:pPr>
        <w:pStyle w:val="BodyTextMain"/>
        <w:keepNext/>
        <w:rPr>
          <w:sz w:val="20"/>
          <w:lang w:val="en-GB"/>
        </w:rPr>
      </w:pPr>
    </w:p>
    <w:p w14:paraId="6AA3D1D2" w14:textId="3E071F56" w:rsidR="0043656E" w:rsidRPr="009D1812" w:rsidRDefault="0043656E" w:rsidP="00BB6BB7">
      <w:pPr>
        <w:pStyle w:val="BodyTextMain"/>
        <w:keepNext/>
        <w:rPr>
          <w:rFonts w:ascii="Arial" w:hAnsi="Arial" w:cs="Arial"/>
          <w:b/>
          <w:sz w:val="20"/>
          <w:szCs w:val="20"/>
          <w:lang w:val="en-GB"/>
        </w:rPr>
      </w:pPr>
      <w:r w:rsidRPr="009D1812">
        <w:rPr>
          <w:rFonts w:ascii="Arial" w:hAnsi="Arial" w:cs="Arial"/>
          <w:b/>
          <w:sz w:val="20"/>
          <w:szCs w:val="20"/>
          <w:lang w:val="en-GB"/>
        </w:rPr>
        <w:t>Start</w:t>
      </w:r>
      <w:r w:rsidR="00FD0D2C" w:rsidRPr="009D1812">
        <w:rPr>
          <w:rFonts w:ascii="Arial" w:hAnsi="Arial" w:cs="Arial"/>
          <w:b/>
          <w:sz w:val="20"/>
          <w:szCs w:val="20"/>
          <w:lang w:val="en-GB"/>
        </w:rPr>
        <w:t>-</w:t>
      </w:r>
      <w:r w:rsidR="00D16ACD" w:rsidRPr="009D1812">
        <w:rPr>
          <w:rFonts w:ascii="Arial" w:hAnsi="Arial" w:cs="Arial"/>
          <w:b/>
          <w:sz w:val="20"/>
          <w:szCs w:val="20"/>
          <w:lang w:val="en-GB"/>
        </w:rPr>
        <w:t xml:space="preserve">Up </w:t>
      </w:r>
      <w:r w:rsidRPr="009D1812">
        <w:rPr>
          <w:rFonts w:ascii="Arial" w:hAnsi="Arial" w:cs="Arial"/>
          <w:b/>
          <w:sz w:val="20"/>
          <w:szCs w:val="20"/>
          <w:lang w:val="en-GB"/>
        </w:rPr>
        <w:t>Phase</w:t>
      </w:r>
    </w:p>
    <w:p w14:paraId="29B56844" w14:textId="77777777" w:rsidR="0043656E" w:rsidRPr="009C7D60" w:rsidRDefault="0043656E" w:rsidP="00BB6BB7">
      <w:pPr>
        <w:pStyle w:val="BodyTextMain"/>
        <w:keepNext/>
        <w:rPr>
          <w:sz w:val="20"/>
          <w:lang w:val="en-GB"/>
        </w:rPr>
      </w:pPr>
    </w:p>
    <w:p w14:paraId="2F6DBFA9" w14:textId="3249FCC9" w:rsidR="00774404" w:rsidRPr="009D1812" w:rsidRDefault="00774404" w:rsidP="00BB6BB7">
      <w:pPr>
        <w:pStyle w:val="BodyTextMain"/>
        <w:keepNext/>
        <w:rPr>
          <w:lang w:val="en-GB"/>
        </w:rPr>
      </w:pPr>
      <w:r w:rsidRPr="009D1812">
        <w:rPr>
          <w:lang w:val="en-GB"/>
        </w:rPr>
        <w:t>With an investment of $17,000,</w:t>
      </w:r>
      <w:r w:rsidR="00493A1F" w:rsidRPr="009D1812">
        <w:rPr>
          <w:rStyle w:val="EndnoteReference"/>
          <w:lang w:val="en-GB"/>
        </w:rPr>
        <w:endnoteReference w:id="5"/>
      </w:r>
      <w:r w:rsidR="00493A1F" w:rsidRPr="009D1812">
        <w:rPr>
          <w:lang w:val="en-GB"/>
        </w:rPr>
        <w:t xml:space="preserve"> </w:t>
      </w:r>
      <w:proofErr w:type="spellStart"/>
      <w:r w:rsidRPr="009D1812">
        <w:rPr>
          <w:lang w:val="en-GB"/>
        </w:rPr>
        <w:t>Kalmanovitch</w:t>
      </w:r>
      <w:proofErr w:type="spellEnd"/>
      <w:r w:rsidRPr="009D1812">
        <w:rPr>
          <w:lang w:val="en-GB"/>
        </w:rPr>
        <w:t xml:space="preserve"> </w:t>
      </w:r>
      <w:r w:rsidR="00F445CF" w:rsidRPr="009D1812">
        <w:rPr>
          <w:lang w:val="en-GB"/>
        </w:rPr>
        <w:t xml:space="preserve">had </w:t>
      </w:r>
      <w:r w:rsidRPr="009D1812">
        <w:rPr>
          <w:lang w:val="en-GB"/>
        </w:rPr>
        <w:t>opened Earth’s General Store on September 3, 1991</w:t>
      </w:r>
      <w:r w:rsidR="005F7111" w:rsidRPr="009D1812">
        <w:rPr>
          <w:lang w:val="en-GB"/>
        </w:rPr>
        <w:t>,</w:t>
      </w:r>
      <w:r w:rsidRPr="009D1812">
        <w:rPr>
          <w:lang w:val="en-GB"/>
        </w:rPr>
        <w:t xml:space="preserve"> in Edmonton’s historic Old </w:t>
      </w:r>
      <w:proofErr w:type="spellStart"/>
      <w:r w:rsidRPr="009D1812">
        <w:rPr>
          <w:lang w:val="en-GB"/>
        </w:rPr>
        <w:t>Strathcona</w:t>
      </w:r>
      <w:proofErr w:type="spellEnd"/>
      <w:r w:rsidRPr="009D1812">
        <w:rPr>
          <w:lang w:val="en-GB"/>
        </w:rPr>
        <w:t xml:space="preserve"> neighbourhood.</w:t>
      </w:r>
      <w:r w:rsidR="00F445CF" w:rsidRPr="009D1812">
        <w:rPr>
          <w:lang w:val="en-GB"/>
        </w:rPr>
        <w:t xml:space="preserve"> </w:t>
      </w:r>
      <w:r w:rsidRPr="009D1812">
        <w:rPr>
          <w:lang w:val="en-GB"/>
        </w:rPr>
        <w:t xml:space="preserve">Founded </w:t>
      </w:r>
      <w:r w:rsidR="00541050" w:rsidRPr="009D1812">
        <w:rPr>
          <w:lang w:val="en-GB"/>
        </w:rPr>
        <w:t>on</w:t>
      </w:r>
      <w:r w:rsidR="002E63C3" w:rsidRPr="009D1812">
        <w:rPr>
          <w:lang w:val="en-GB"/>
        </w:rPr>
        <w:t xml:space="preserve"> its</w:t>
      </w:r>
      <w:r w:rsidRPr="009D1812">
        <w:rPr>
          <w:lang w:val="en-GB"/>
        </w:rPr>
        <w:t xml:space="preserve"> mission “to offer people information and products that </w:t>
      </w:r>
      <w:r w:rsidR="00A22E72" w:rsidRPr="009D1812">
        <w:rPr>
          <w:lang w:val="en-GB"/>
        </w:rPr>
        <w:t>[</w:t>
      </w:r>
      <w:r w:rsidRPr="009D1812">
        <w:rPr>
          <w:lang w:val="en-GB"/>
        </w:rPr>
        <w:t>w</w:t>
      </w:r>
      <w:r w:rsidR="00541050" w:rsidRPr="009D1812">
        <w:rPr>
          <w:lang w:val="en-GB"/>
        </w:rPr>
        <w:t>ould</w:t>
      </w:r>
      <w:r w:rsidR="00A22E72" w:rsidRPr="009D1812">
        <w:rPr>
          <w:lang w:val="en-GB"/>
        </w:rPr>
        <w:t>]</w:t>
      </w:r>
      <w:r w:rsidRPr="009D1812">
        <w:rPr>
          <w:lang w:val="en-GB"/>
        </w:rPr>
        <w:t xml:space="preserve"> help them reduce their ecological and social impact on the planet and all inhabitants</w:t>
      </w:r>
      <w:r w:rsidR="00A22E72" w:rsidRPr="009D1812">
        <w:rPr>
          <w:lang w:val="en-GB"/>
        </w:rPr>
        <w:t>,</w:t>
      </w:r>
      <w:r w:rsidRPr="009D1812">
        <w:rPr>
          <w:lang w:val="en-GB"/>
        </w:rPr>
        <w:t xml:space="preserve">” the unique store </w:t>
      </w:r>
      <w:r w:rsidR="00541050" w:rsidRPr="009D1812">
        <w:rPr>
          <w:lang w:val="en-GB"/>
        </w:rPr>
        <w:t>at</w:t>
      </w:r>
      <w:r w:rsidRPr="009D1812">
        <w:rPr>
          <w:lang w:val="en-GB"/>
        </w:rPr>
        <w:t xml:space="preserve"> 109 Street and Whyte Avenue carried environmental consumer products such as recycled paper, cloth diapers, organic clothing, books, magazines, cleaners, personal care items, seeds</w:t>
      </w:r>
      <w:r w:rsidR="00A22E72" w:rsidRPr="009D1812">
        <w:rPr>
          <w:lang w:val="en-GB"/>
        </w:rPr>
        <w:t>,</w:t>
      </w:r>
      <w:r w:rsidRPr="009D1812">
        <w:rPr>
          <w:lang w:val="en-GB"/>
        </w:rPr>
        <w:t xml:space="preserve"> and composters</w:t>
      </w:r>
      <w:r w:rsidR="00A22E72" w:rsidRPr="009D1812">
        <w:rPr>
          <w:lang w:val="en-GB"/>
        </w:rPr>
        <w:t>,</w:t>
      </w:r>
      <w:r w:rsidRPr="009D1812">
        <w:rPr>
          <w:lang w:val="en-GB"/>
        </w:rPr>
        <w:t xml:space="preserve"> to name just a few. In fact, Earth’s General Store was the first retailer in Canada to sell hemp products</w:t>
      </w:r>
      <w:r w:rsidR="00776AD1" w:rsidRPr="009D1812">
        <w:rPr>
          <w:lang w:val="en-GB"/>
        </w:rPr>
        <w:t xml:space="preserve"> </w:t>
      </w:r>
      <w:r w:rsidR="00296BF7" w:rsidRPr="009D1812">
        <w:rPr>
          <w:lang w:val="en-GB"/>
        </w:rPr>
        <w:t>such as</w:t>
      </w:r>
      <w:r w:rsidR="00F017E5" w:rsidRPr="009D1812">
        <w:rPr>
          <w:lang w:val="en-GB"/>
        </w:rPr>
        <w:t xml:space="preserve"> hemp twine</w:t>
      </w:r>
      <w:r w:rsidR="00B150A6" w:rsidRPr="009D1812">
        <w:rPr>
          <w:lang w:val="en-GB"/>
        </w:rPr>
        <w:t>.</w:t>
      </w:r>
    </w:p>
    <w:p w14:paraId="205E90C3" w14:textId="77777777" w:rsidR="00774404" w:rsidRPr="009C7D60" w:rsidRDefault="00774404" w:rsidP="00774404">
      <w:pPr>
        <w:pStyle w:val="BodyTextMain"/>
        <w:rPr>
          <w:sz w:val="20"/>
          <w:lang w:val="en-GB"/>
        </w:rPr>
      </w:pPr>
    </w:p>
    <w:p w14:paraId="66E43E90" w14:textId="6A6273D7" w:rsidR="00774404" w:rsidRPr="009D1812" w:rsidRDefault="004A5CD4" w:rsidP="00774404">
      <w:pPr>
        <w:pStyle w:val="BodyTextMain"/>
        <w:rPr>
          <w:lang w:val="en-GB"/>
        </w:rPr>
      </w:pPr>
      <w:r w:rsidRPr="009D1812">
        <w:rPr>
          <w:lang w:val="en-GB"/>
        </w:rPr>
        <w:t>Since Earth’s General Store promoted</w:t>
      </w:r>
      <w:r w:rsidR="00774404" w:rsidRPr="009D1812">
        <w:rPr>
          <w:lang w:val="en-GB"/>
        </w:rPr>
        <w:t xml:space="preserve"> a distinct focus on customer engagement, </w:t>
      </w:r>
      <w:proofErr w:type="spellStart"/>
      <w:r w:rsidR="003B519A" w:rsidRPr="009D1812">
        <w:rPr>
          <w:lang w:val="en-GB"/>
        </w:rPr>
        <w:t>Kalmanovitch</w:t>
      </w:r>
      <w:proofErr w:type="spellEnd"/>
      <w:r w:rsidR="00774404" w:rsidRPr="009D1812">
        <w:rPr>
          <w:lang w:val="en-GB"/>
        </w:rPr>
        <w:t xml:space="preserve"> </w:t>
      </w:r>
      <w:r w:rsidRPr="009D1812">
        <w:rPr>
          <w:lang w:val="en-GB"/>
        </w:rPr>
        <w:t>encouraged</w:t>
      </w:r>
      <w:r w:rsidR="00774404" w:rsidRPr="009D1812">
        <w:rPr>
          <w:lang w:val="en-GB"/>
        </w:rPr>
        <w:t xml:space="preserve"> his employees to initiate genuine conversations with </w:t>
      </w:r>
      <w:r w:rsidRPr="009D1812">
        <w:rPr>
          <w:lang w:val="en-GB"/>
        </w:rPr>
        <w:t xml:space="preserve">the patrons </w:t>
      </w:r>
      <w:r w:rsidR="00F445CF" w:rsidRPr="009D1812">
        <w:rPr>
          <w:lang w:val="en-GB"/>
        </w:rPr>
        <w:t xml:space="preserve">when they came in </w:t>
      </w:r>
      <w:r w:rsidRPr="009D1812">
        <w:rPr>
          <w:lang w:val="en-GB"/>
        </w:rPr>
        <w:t>to shop.</w:t>
      </w:r>
      <w:r w:rsidR="00774404" w:rsidRPr="009D1812">
        <w:rPr>
          <w:lang w:val="en-GB"/>
        </w:rPr>
        <w:t xml:space="preserve"> In </w:t>
      </w:r>
      <w:proofErr w:type="spellStart"/>
      <w:r w:rsidR="003B519A" w:rsidRPr="009D1812">
        <w:rPr>
          <w:lang w:val="en-GB"/>
        </w:rPr>
        <w:t>Kalmanovitch</w:t>
      </w:r>
      <w:r w:rsidR="00774404" w:rsidRPr="009D1812">
        <w:rPr>
          <w:lang w:val="en-GB"/>
        </w:rPr>
        <w:t>’s</w:t>
      </w:r>
      <w:proofErr w:type="spellEnd"/>
      <w:r w:rsidR="00774404" w:rsidRPr="009D1812">
        <w:rPr>
          <w:lang w:val="en-GB"/>
        </w:rPr>
        <w:t xml:space="preserve"> eyes, providing information and eco-friendly product options could </w:t>
      </w:r>
      <w:r w:rsidRPr="009D1812">
        <w:rPr>
          <w:lang w:val="en-GB"/>
        </w:rPr>
        <w:t xml:space="preserve">have a </w:t>
      </w:r>
      <w:r w:rsidR="00774404" w:rsidRPr="009D1812">
        <w:rPr>
          <w:lang w:val="en-GB"/>
        </w:rPr>
        <w:t xml:space="preserve">positive impact </w:t>
      </w:r>
      <w:r w:rsidRPr="009D1812">
        <w:rPr>
          <w:lang w:val="en-GB"/>
        </w:rPr>
        <w:t xml:space="preserve">on </w:t>
      </w:r>
      <w:r w:rsidR="00774404" w:rsidRPr="009D1812">
        <w:rPr>
          <w:lang w:val="en-GB"/>
        </w:rPr>
        <w:t>consumer behaviour towards what he believe</w:t>
      </w:r>
      <w:r w:rsidRPr="009D1812">
        <w:rPr>
          <w:lang w:val="en-GB"/>
        </w:rPr>
        <w:t>d was</w:t>
      </w:r>
      <w:r w:rsidR="00774404" w:rsidRPr="009D1812">
        <w:rPr>
          <w:lang w:val="en-GB"/>
        </w:rPr>
        <w:t xml:space="preserve"> the ultimate goal in life</w:t>
      </w:r>
      <w:r w:rsidRPr="009D1812">
        <w:rPr>
          <w:lang w:val="en-GB"/>
        </w:rPr>
        <w:t>—</w:t>
      </w:r>
      <w:r w:rsidR="00774404" w:rsidRPr="009D1812">
        <w:rPr>
          <w:lang w:val="en-GB"/>
        </w:rPr>
        <w:t>“</w:t>
      </w:r>
      <w:r w:rsidRPr="009D1812">
        <w:rPr>
          <w:lang w:val="en-GB"/>
        </w:rPr>
        <w:t>D</w:t>
      </w:r>
      <w:r w:rsidR="00774404" w:rsidRPr="009D1812">
        <w:rPr>
          <w:lang w:val="en-GB"/>
        </w:rPr>
        <w:t>o as little harm as possible and leave the world better than when we arrived.”</w:t>
      </w:r>
      <w:r w:rsidR="00774404" w:rsidRPr="009D1812">
        <w:rPr>
          <w:rStyle w:val="EndnoteReference"/>
          <w:lang w:val="en-GB"/>
        </w:rPr>
        <w:endnoteReference w:id="6"/>
      </w:r>
      <w:r w:rsidR="00774404" w:rsidRPr="009D1812">
        <w:rPr>
          <w:lang w:val="en-GB"/>
        </w:rPr>
        <w:t xml:space="preserve"> </w:t>
      </w:r>
      <w:r w:rsidRPr="009D1812">
        <w:rPr>
          <w:lang w:val="en-GB"/>
        </w:rPr>
        <w:t>As well, t</w:t>
      </w:r>
      <w:r w:rsidR="00774404" w:rsidRPr="009D1812">
        <w:rPr>
          <w:lang w:val="en-GB"/>
        </w:rPr>
        <w:t>he staff</w:t>
      </w:r>
      <w:r w:rsidRPr="009D1812">
        <w:rPr>
          <w:lang w:val="en-GB"/>
        </w:rPr>
        <w:t xml:space="preserve"> members</w:t>
      </w:r>
      <w:r w:rsidR="00774404" w:rsidRPr="009D1812">
        <w:rPr>
          <w:lang w:val="en-GB"/>
        </w:rPr>
        <w:t xml:space="preserve"> </w:t>
      </w:r>
      <w:r w:rsidRPr="009D1812">
        <w:rPr>
          <w:lang w:val="en-GB"/>
        </w:rPr>
        <w:t xml:space="preserve">at </w:t>
      </w:r>
      <w:r w:rsidR="00774404" w:rsidRPr="009D1812">
        <w:rPr>
          <w:lang w:val="en-GB"/>
        </w:rPr>
        <w:t xml:space="preserve">Earth’s General Store were forbidden from using the word “cheap.” In </w:t>
      </w:r>
      <w:proofErr w:type="spellStart"/>
      <w:r w:rsidR="003B519A" w:rsidRPr="009D1812">
        <w:rPr>
          <w:lang w:val="en-GB"/>
        </w:rPr>
        <w:t>Kalmanovitch</w:t>
      </w:r>
      <w:r w:rsidR="00774404" w:rsidRPr="009D1812">
        <w:rPr>
          <w:lang w:val="en-GB"/>
        </w:rPr>
        <w:t>’s</w:t>
      </w:r>
      <w:proofErr w:type="spellEnd"/>
      <w:r w:rsidR="00774404" w:rsidRPr="009D1812">
        <w:rPr>
          <w:lang w:val="en-GB"/>
        </w:rPr>
        <w:t xml:space="preserve"> mind, cheap meant low quality, not low price</w:t>
      </w:r>
      <w:r w:rsidR="009C7D60">
        <w:rPr>
          <w:lang w:val="en-GB"/>
        </w:rPr>
        <w:t>.</w:t>
      </w:r>
      <w:r w:rsidR="00774404" w:rsidRPr="009D1812">
        <w:rPr>
          <w:lang w:val="en-GB"/>
        </w:rPr>
        <w:t xml:space="preserve"> </w:t>
      </w:r>
      <w:r w:rsidR="009C7D60">
        <w:rPr>
          <w:lang w:val="en-GB"/>
        </w:rPr>
        <w:t>H</w:t>
      </w:r>
      <w:r w:rsidR="00774404" w:rsidRPr="009D1812">
        <w:rPr>
          <w:lang w:val="en-GB"/>
        </w:rPr>
        <w:t xml:space="preserve">e wanted to focus consumers’ attention not on price but on the quality and origin of </w:t>
      </w:r>
      <w:r w:rsidRPr="009D1812">
        <w:rPr>
          <w:lang w:val="en-GB"/>
        </w:rPr>
        <w:t>his</w:t>
      </w:r>
      <w:r w:rsidR="00774404" w:rsidRPr="009D1812">
        <w:rPr>
          <w:lang w:val="en-GB"/>
        </w:rPr>
        <w:t xml:space="preserve"> products.  </w:t>
      </w:r>
    </w:p>
    <w:p w14:paraId="5D40FD37" w14:textId="77777777" w:rsidR="00774404" w:rsidRPr="009C7D60" w:rsidRDefault="00774404" w:rsidP="00774404">
      <w:pPr>
        <w:pStyle w:val="BodyTextMain"/>
        <w:rPr>
          <w:sz w:val="20"/>
          <w:lang w:val="en-GB"/>
        </w:rPr>
      </w:pPr>
    </w:p>
    <w:p w14:paraId="213F1E32" w14:textId="77777777" w:rsidR="00B3093C" w:rsidRPr="009C7D60" w:rsidRDefault="00B3093C" w:rsidP="00774404">
      <w:pPr>
        <w:pStyle w:val="BodyTextMain"/>
        <w:rPr>
          <w:sz w:val="20"/>
          <w:lang w:val="en-GB"/>
        </w:rPr>
      </w:pPr>
    </w:p>
    <w:p w14:paraId="0D761745" w14:textId="77777777" w:rsidR="007B4A05" w:rsidRPr="009D1812" w:rsidRDefault="007B4A05" w:rsidP="007B4A05">
      <w:pPr>
        <w:pStyle w:val="Casehead2"/>
        <w:rPr>
          <w:lang w:val="en-GB"/>
        </w:rPr>
      </w:pPr>
      <w:r w:rsidRPr="009D1812">
        <w:rPr>
          <w:lang w:val="en-GB"/>
        </w:rPr>
        <w:t>Financing Growth</w:t>
      </w:r>
    </w:p>
    <w:p w14:paraId="066760E7" w14:textId="77777777" w:rsidR="007B4A05" w:rsidRPr="009C7D60" w:rsidRDefault="007B4A05" w:rsidP="007B4A05">
      <w:pPr>
        <w:pStyle w:val="BodyTextMain"/>
        <w:rPr>
          <w:sz w:val="20"/>
          <w:lang w:val="en-GB"/>
        </w:rPr>
      </w:pPr>
    </w:p>
    <w:p w14:paraId="46FD1F30" w14:textId="77777777" w:rsidR="007B4A05" w:rsidRPr="009D1812" w:rsidRDefault="007B4A05" w:rsidP="007B4A05">
      <w:pPr>
        <w:pStyle w:val="BodyTextMain"/>
        <w:rPr>
          <w:lang w:val="en-GB"/>
        </w:rPr>
      </w:pPr>
      <w:r w:rsidRPr="009D1812">
        <w:rPr>
          <w:lang w:val="en-GB"/>
        </w:rPr>
        <w:t xml:space="preserve">The global financial crisis in 2008 affected businesses around the world, and Earth’s General Store was no exception. Sales had dropped off, but </w:t>
      </w:r>
      <w:proofErr w:type="spellStart"/>
      <w:r w:rsidRPr="009D1812">
        <w:rPr>
          <w:lang w:val="en-GB"/>
        </w:rPr>
        <w:t>Kalmanovitch</w:t>
      </w:r>
      <w:proofErr w:type="spellEnd"/>
      <w:r w:rsidRPr="009D1812">
        <w:rPr>
          <w:lang w:val="en-GB"/>
        </w:rPr>
        <w:t xml:space="preserve"> was determined to move in the direction of using Earth’s General Store to deliver quality organic food to </w:t>
      </w:r>
      <w:proofErr w:type="spellStart"/>
      <w:r w:rsidRPr="009D1812">
        <w:rPr>
          <w:lang w:val="en-GB"/>
        </w:rPr>
        <w:t>Edmontonians</w:t>
      </w:r>
      <w:proofErr w:type="spellEnd"/>
      <w:r w:rsidRPr="009D1812">
        <w:rPr>
          <w:lang w:val="en-GB"/>
        </w:rPr>
        <w:t xml:space="preserve"> because, as </w:t>
      </w:r>
      <w:proofErr w:type="spellStart"/>
      <w:r w:rsidRPr="009D1812">
        <w:rPr>
          <w:lang w:val="en-GB"/>
        </w:rPr>
        <w:t>Kalmanovitch</w:t>
      </w:r>
      <w:proofErr w:type="spellEnd"/>
      <w:r w:rsidRPr="009D1812">
        <w:rPr>
          <w:lang w:val="en-GB"/>
        </w:rPr>
        <w:t xml:space="preserve"> said, “Food is the number one way we [have an impact on] the planet.”</w:t>
      </w:r>
    </w:p>
    <w:p w14:paraId="77A240C9" w14:textId="77777777" w:rsidR="007B4A05" w:rsidRPr="009C7D60" w:rsidRDefault="007B4A05" w:rsidP="007B4A05">
      <w:pPr>
        <w:pStyle w:val="BodyTextMain"/>
        <w:rPr>
          <w:sz w:val="20"/>
          <w:lang w:val="en-GB"/>
        </w:rPr>
      </w:pPr>
    </w:p>
    <w:p w14:paraId="269C62BF" w14:textId="77777777" w:rsidR="007B4A05" w:rsidRPr="009D1812" w:rsidRDefault="007B4A05" w:rsidP="007B4A05">
      <w:pPr>
        <w:pStyle w:val="BodyTextMain"/>
        <w:rPr>
          <w:lang w:val="en-GB"/>
        </w:rPr>
      </w:pPr>
      <w:r w:rsidRPr="009D1812">
        <w:rPr>
          <w:lang w:val="en-GB"/>
        </w:rPr>
        <w:t xml:space="preserve">Knowing he could not borrow all the money he needed from typical financial institutions, </w:t>
      </w:r>
      <w:proofErr w:type="spellStart"/>
      <w:r w:rsidRPr="009D1812">
        <w:rPr>
          <w:lang w:val="en-GB"/>
        </w:rPr>
        <w:t>Kalmanovitch</w:t>
      </w:r>
      <w:proofErr w:type="spellEnd"/>
      <w:r w:rsidRPr="009D1812">
        <w:rPr>
          <w:lang w:val="en-GB"/>
        </w:rPr>
        <w:t xml:space="preserve"> reached out to those he knew best: his customers. After all, his customers were loyal, and they had a vested interest in the success of his stores.  </w:t>
      </w:r>
    </w:p>
    <w:p w14:paraId="5884F973" w14:textId="77777777" w:rsidR="007B4A05" w:rsidRPr="009C7D60" w:rsidRDefault="007B4A05" w:rsidP="007B4A05">
      <w:pPr>
        <w:pStyle w:val="BodyTextMain"/>
        <w:rPr>
          <w:sz w:val="20"/>
          <w:lang w:val="en-GB"/>
        </w:rPr>
      </w:pPr>
    </w:p>
    <w:p w14:paraId="0062963C" w14:textId="788EEB2B" w:rsidR="007B4A05" w:rsidRPr="009D1812" w:rsidRDefault="007B4A05" w:rsidP="007B4A05">
      <w:pPr>
        <w:pStyle w:val="BodyTextMain"/>
        <w:rPr>
          <w:lang w:val="en-GB"/>
        </w:rPr>
      </w:pPr>
      <w:r w:rsidRPr="009D1812">
        <w:rPr>
          <w:lang w:val="en-GB"/>
        </w:rPr>
        <w:t xml:space="preserve">In 2009, long before the days of social platforms like Kickstarter and GoFundMe, </w:t>
      </w:r>
      <w:proofErr w:type="spellStart"/>
      <w:r w:rsidRPr="009D1812">
        <w:rPr>
          <w:lang w:val="en-GB"/>
        </w:rPr>
        <w:t>Kalmanovitch</w:t>
      </w:r>
      <w:proofErr w:type="spellEnd"/>
      <w:r w:rsidRPr="009D1812">
        <w:rPr>
          <w:lang w:val="en-GB"/>
        </w:rPr>
        <w:t xml:space="preserve"> garnered international media attention by creating an innovative funding model to obtain the financing he needed to expand Earth’s General Store’s offerings into grocery. The model was based on borrowing money from the store’s customers in exchange for purchase discounts</w:t>
      </w:r>
      <w:r w:rsidR="00E25F80" w:rsidRPr="009D1812">
        <w:rPr>
          <w:lang w:val="en-GB"/>
        </w:rPr>
        <w:t>—</w:t>
      </w:r>
      <w:r w:rsidRPr="009D1812">
        <w:rPr>
          <w:lang w:val="en-GB"/>
        </w:rPr>
        <w:t>a strategy that represented one of the earliest crowd-funding models.</w:t>
      </w:r>
      <w:r w:rsidRPr="009D1812">
        <w:rPr>
          <w:rStyle w:val="EndnoteReference"/>
          <w:lang w:val="en-GB"/>
        </w:rPr>
        <w:endnoteReference w:id="7"/>
      </w:r>
    </w:p>
    <w:p w14:paraId="612A2D06" w14:textId="77777777" w:rsidR="007B4A05" w:rsidRPr="009C7D60" w:rsidRDefault="007B4A05" w:rsidP="007B4A05">
      <w:pPr>
        <w:pStyle w:val="BodyTextMain"/>
        <w:rPr>
          <w:sz w:val="20"/>
          <w:lang w:val="en-GB"/>
        </w:rPr>
      </w:pPr>
    </w:p>
    <w:p w14:paraId="2A0E25FC" w14:textId="1DE0DB17" w:rsidR="007B4A05" w:rsidRPr="009D1812" w:rsidRDefault="007B4A05" w:rsidP="007B4A05">
      <w:pPr>
        <w:pStyle w:val="BodyTextMain"/>
        <w:rPr>
          <w:lang w:val="en-GB"/>
        </w:rPr>
      </w:pPr>
      <w:proofErr w:type="spellStart"/>
      <w:r w:rsidRPr="009D1812">
        <w:rPr>
          <w:lang w:val="en-GB"/>
        </w:rPr>
        <w:t>Kalmanovitch’s</w:t>
      </w:r>
      <w:proofErr w:type="spellEnd"/>
      <w:r w:rsidRPr="009D1812">
        <w:rPr>
          <w:lang w:val="en-GB"/>
        </w:rPr>
        <w:t xml:space="preserve"> model worked like this: When a customer loaned the store $1,000, for example, Earth’s General Store would give that person a 5 per cent discount as an appreciation gift</w:t>
      </w:r>
      <w:r w:rsidR="00E25F80" w:rsidRPr="009D1812">
        <w:rPr>
          <w:lang w:val="en-GB"/>
        </w:rPr>
        <w:t>—</w:t>
      </w:r>
      <w:r w:rsidRPr="009D1812">
        <w:rPr>
          <w:lang w:val="en-GB"/>
        </w:rPr>
        <w:t>an interest of sorts. The customer’s loan was then worth $1,050 in in-store credit. As the customer purchased items from the store, they would receive repayment at 15 per cent of their grocery receipt, which would be deducted from the bill and applied to the descending loan balance. In short, customers were pre-paying for 15 per cent of their future grocery purchases, and Earth’s General Store was able to spread its loan repayment over a long period of time.</w:t>
      </w:r>
    </w:p>
    <w:p w14:paraId="7BD3FE7F" w14:textId="77777777" w:rsidR="007B4A05" w:rsidRPr="009C7D60" w:rsidRDefault="007B4A05" w:rsidP="007B4A05">
      <w:pPr>
        <w:pStyle w:val="BodyTextMain"/>
        <w:rPr>
          <w:sz w:val="20"/>
          <w:lang w:val="en-GB"/>
        </w:rPr>
      </w:pPr>
    </w:p>
    <w:p w14:paraId="0ED7590F" w14:textId="54761380" w:rsidR="007B4A05" w:rsidRPr="009D1812" w:rsidRDefault="007B4A05" w:rsidP="007B4A05">
      <w:pPr>
        <w:pStyle w:val="BodyTextMain"/>
        <w:rPr>
          <w:lang w:val="en-GB"/>
        </w:rPr>
      </w:pPr>
      <w:proofErr w:type="spellStart"/>
      <w:r w:rsidRPr="009D1812">
        <w:rPr>
          <w:lang w:val="en-GB"/>
        </w:rPr>
        <w:t>Kalmanovitch’s</w:t>
      </w:r>
      <w:proofErr w:type="spellEnd"/>
      <w:r w:rsidRPr="009D1812">
        <w:rPr>
          <w:lang w:val="en-GB"/>
        </w:rPr>
        <w:t xml:space="preserve"> innovative financing program raised $75,000 from Earth’s General Store’s customers. </w:t>
      </w:r>
      <w:r w:rsidR="00736FC3" w:rsidRPr="009D1812">
        <w:rPr>
          <w:lang w:val="en-GB"/>
        </w:rPr>
        <w:t xml:space="preserve">Combining this </w:t>
      </w:r>
      <w:r w:rsidRPr="009D1812">
        <w:rPr>
          <w:lang w:val="en-GB"/>
        </w:rPr>
        <w:t xml:space="preserve">with $50,000 of his own money, </w:t>
      </w:r>
      <w:proofErr w:type="spellStart"/>
      <w:r w:rsidRPr="009D1812">
        <w:rPr>
          <w:lang w:val="en-GB"/>
        </w:rPr>
        <w:t>Kalmanovitch</w:t>
      </w:r>
      <w:proofErr w:type="spellEnd"/>
      <w:r w:rsidRPr="009D1812">
        <w:rPr>
          <w:lang w:val="en-GB"/>
        </w:rPr>
        <w:t xml:space="preserve"> was then able to expand his offering at Earth’s General Store to include organic food products that would reduce </w:t>
      </w:r>
      <w:proofErr w:type="spellStart"/>
      <w:r w:rsidRPr="009D1812">
        <w:rPr>
          <w:lang w:val="en-GB"/>
        </w:rPr>
        <w:t>Edmontonians</w:t>
      </w:r>
      <w:proofErr w:type="spellEnd"/>
      <w:r w:rsidRPr="009D1812">
        <w:rPr>
          <w:lang w:val="en-GB"/>
        </w:rPr>
        <w:t>’ impact on the planet and society.</w:t>
      </w:r>
      <w:r w:rsidRPr="009D1812">
        <w:rPr>
          <w:rStyle w:val="EndnoteReference"/>
          <w:lang w:val="en-GB"/>
        </w:rPr>
        <w:endnoteReference w:id="8"/>
      </w:r>
    </w:p>
    <w:p w14:paraId="76803EEE" w14:textId="77777777" w:rsidR="007B4A05" w:rsidRPr="009C7D60" w:rsidRDefault="007B4A05" w:rsidP="00774404">
      <w:pPr>
        <w:pStyle w:val="BodyTextMain"/>
        <w:rPr>
          <w:sz w:val="20"/>
          <w:lang w:val="en-GB"/>
        </w:rPr>
      </w:pPr>
    </w:p>
    <w:p w14:paraId="2F785C3A" w14:textId="77777777" w:rsidR="006A606E" w:rsidRPr="009D1812" w:rsidRDefault="00296BF7" w:rsidP="00774404">
      <w:pPr>
        <w:pStyle w:val="BodyTextMain"/>
        <w:rPr>
          <w:rFonts w:ascii="Arial" w:hAnsi="Arial" w:cs="Arial"/>
          <w:b/>
          <w:sz w:val="20"/>
          <w:szCs w:val="20"/>
          <w:lang w:val="en-GB"/>
        </w:rPr>
      </w:pPr>
      <w:r w:rsidRPr="009D1812">
        <w:rPr>
          <w:rFonts w:ascii="Arial" w:hAnsi="Arial" w:cs="Arial"/>
          <w:b/>
          <w:sz w:val="20"/>
          <w:szCs w:val="20"/>
          <w:lang w:val="en-GB"/>
        </w:rPr>
        <w:lastRenderedPageBreak/>
        <w:t>Moving to a Larger Location</w:t>
      </w:r>
    </w:p>
    <w:p w14:paraId="3776F2A4" w14:textId="77777777" w:rsidR="006A606E" w:rsidRPr="009C7D60" w:rsidRDefault="006A606E" w:rsidP="00774404">
      <w:pPr>
        <w:pStyle w:val="BodyTextMain"/>
        <w:rPr>
          <w:sz w:val="20"/>
          <w:lang w:val="en-GB"/>
        </w:rPr>
      </w:pPr>
    </w:p>
    <w:p w14:paraId="694741B0" w14:textId="50D6F183" w:rsidR="00774404" w:rsidRPr="009D1812" w:rsidRDefault="00B3093C" w:rsidP="00774404">
      <w:pPr>
        <w:pStyle w:val="BodyTextMain"/>
        <w:rPr>
          <w:lang w:val="en-GB"/>
        </w:rPr>
      </w:pPr>
      <w:r w:rsidRPr="009D1812">
        <w:rPr>
          <w:lang w:val="en-GB"/>
        </w:rPr>
        <w:t xml:space="preserve">By </w:t>
      </w:r>
      <w:r w:rsidR="00774404" w:rsidRPr="009D1812">
        <w:rPr>
          <w:lang w:val="en-GB"/>
        </w:rPr>
        <w:t xml:space="preserve">2010, Earth’s General Store </w:t>
      </w:r>
      <w:r w:rsidR="00F43285" w:rsidRPr="009D1812">
        <w:rPr>
          <w:lang w:val="en-GB"/>
        </w:rPr>
        <w:t xml:space="preserve">had </w:t>
      </w:r>
      <w:r w:rsidR="00774404" w:rsidRPr="009D1812">
        <w:rPr>
          <w:lang w:val="en-GB"/>
        </w:rPr>
        <w:t xml:space="preserve">raised enough money through customer </w:t>
      </w:r>
      <w:r w:rsidR="00736FC3" w:rsidRPr="009D1812">
        <w:rPr>
          <w:lang w:val="en-GB"/>
        </w:rPr>
        <w:t xml:space="preserve">crowd-funding </w:t>
      </w:r>
      <w:r w:rsidR="00774404" w:rsidRPr="009D1812">
        <w:rPr>
          <w:lang w:val="en-GB"/>
        </w:rPr>
        <w:t xml:space="preserve">to move </w:t>
      </w:r>
      <w:r w:rsidR="00B055F1" w:rsidRPr="009D1812">
        <w:rPr>
          <w:lang w:val="en-GB"/>
        </w:rPr>
        <w:t xml:space="preserve">the original store </w:t>
      </w:r>
      <w:r w:rsidR="00774404" w:rsidRPr="009D1812">
        <w:rPr>
          <w:lang w:val="en-GB"/>
        </w:rPr>
        <w:t>to a bigger location on Whyte Avenue and 96 Street</w:t>
      </w:r>
      <w:r w:rsidR="00F43285" w:rsidRPr="009D1812">
        <w:rPr>
          <w:lang w:val="en-GB"/>
        </w:rPr>
        <w:t xml:space="preserve">. At this point, </w:t>
      </w:r>
      <w:proofErr w:type="spellStart"/>
      <w:r w:rsidR="00F43285" w:rsidRPr="009D1812">
        <w:rPr>
          <w:lang w:val="en-GB"/>
        </w:rPr>
        <w:t>Kalmanovitch</w:t>
      </w:r>
      <w:proofErr w:type="spellEnd"/>
      <w:r w:rsidR="00F43285" w:rsidRPr="009D1812">
        <w:rPr>
          <w:lang w:val="en-GB"/>
        </w:rPr>
        <w:t xml:space="preserve"> decided to</w:t>
      </w:r>
      <w:r w:rsidR="00774404" w:rsidRPr="009D1812">
        <w:rPr>
          <w:lang w:val="en-GB"/>
        </w:rPr>
        <w:t xml:space="preserve"> start offering organic food, dropping many of the items the store had originally sold for almost 20 years. Staying true to </w:t>
      </w:r>
      <w:r w:rsidR="00455EEC" w:rsidRPr="009D1812">
        <w:rPr>
          <w:lang w:val="en-GB"/>
        </w:rPr>
        <w:t>its</w:t>
      </w:r>
      <w:r w:rsidR="00774404" w:rsidRPr="009D1812">
        <w:rPr>
          <w:lang w:val="en-GB"/>
        </w:rPr>
        <w:t xml:space="preserve"> sustainability values, Earth’s General Store recruited 75 volunteers who used bicycles to haul merchandise and fixtures to the new store</w:t>
      </w:r>
      <w:r w:rsidR="00455EEC" w:rsidRPr="009D1812">
        <w:rPr>
          <w:lang w:val="en-GB"/>
        </w:rPr>
        <w:t>,</w:t>
      </w:r>
      <w:r w:rsidR="00774404" w:rsidRPr="009D1812">
        <w:rPr>
          <w:lang w:val="en-GB"/>
        </w:rPr>
        <w:t xml:space="preserve"> 13 blocks away from the original location.</w:t>
      </w:r>
      <w:r w:rsidR="00774404" w:rsidRPr="009D1812">
        <w:rPr>
          <w:rStyle w:val="EndnoteReference"/>
          <w:lang w:val="en-GB"/>
        </w:rPr>
        <w:endnoteReference w:id="9"/>
      </w:r>
    </w:p>
    <w:p w14:paraId="6DAFDB0C" w14:textId="77777777" w:rsidR="00774404" w:rsidRPr="009C7D60" w:rsidRDefault="00774404" w:rsidP="00774404">
      <w:pPr>
        <w:pStyle w:val="BodyTextMain"/>
        <w:rPr>
          <w:sz w:val="20"/>
          <w:lang w:val="en-GB"/>
        </w:rPr>
      </w:pPr>
    </w:p>
    <w:p w14:paraId="0E733A99" w14:textId="58C50AA4" w:rsidR="00774404" w:rsidRPr="009D1812" w:rsidRDefault="003B519A" w:rsidP="00774404">
      <w:pPr>
        <w:pStyle w:val="BodyTextMain"/>
        <w:rPr>
          <w:lang w:val="en-GB"/>
        </w:rPr>
      </w:pPr>
      <w:proofErr w:type="spellStart"/>
      <w:r w:rsidRPr="009D1812">
        <w:rPr>
          <w:lang w:val="en-GB"/>
        </w:rPr>
        <w:t>Kalmanovitch</w:t>
      </w:r>
      <w:proofErr w:type="spellEnd"/>
      <w:r w:rsidR="00774404" w:rsidRPr="009D1812">
        <w:rPr>
          <w:lang w:val="en-GB"/>
        </w:rPr>
        <w:t xml:space="preserve"> had been considering the possibility of </w:t>
      </w:r>
      <w:r w:rsidR="00F43285" w:rsidRPr="009D1812">
        <w:rPr>
          <w:lang w:val="en-GB"/>
        </w:rPr>
        <w:t xml:space="preserve">opening </w:t>
      </w:r>
      <w:r w:rsidR="00774404" w:rsidRPr="009D1812">
        <w:rPr>
          <w:lang w:val="en-GB"/>
        </w:rPr>
        <w:t xml:space="preserve">a second Earth’s General Store location for quite some time. He </w:t>
      </w:r>
      <w:r w:rsidR="00736FC3" w:rsidRPr="009D1812">
        <w:rPr>
          <w:lang w:val="en-GB"/>
        </w:rPr>
        <w:t xml:space="preserve">had </w:t>
      </w:r>
      <w:r w:rsidR="00774404" w:rsidRPr="009D1812">
        <w:rPr>
          <w:lang w:val="en-GB"/>
        </w:rPr>
        <w:t xml:space="preserve">originally intended to open </w:t>
      </w:r>
      <w:r w:rsidR="00F43285" w:rsidRPr="009D1812">
        <w:rPr>
          <w:lang w:val="en-GB"/>
        </w:rPr>
        <w:t xml:space="preserve">it </w:t>
      </w:r>
      <w:r w:rsidR="00774404" w:rsidRPr="009D1812">
        <w:rPr>
          <w:lang w:val="en-GB"/>
        </w:rPr>
        <w:t>in Edmonton</w:t>
      </w:r>
      <w:r w:rsidR="00455EEC" w:rsidRPr="009D1812">
        <w:rPr>
          <w:lang w:val="en-GB"/>
        </w:rPr>
        <w:t>’s northeast sector</w:t>
      </w:r>
      <w:r w:rsidR="00774404" w:rsidRPr="009D1812">
        <w:rPr>
          <w:lang w:val="en-GB"/>
        </w:rPr>
        <w:t xml:space="preserve">, but a University of Alberta research report on </w:t>
      </w:r>
      <w:r w:rsidR="00377E5F" w:rsidRPr="009D1812">
        <w:rPr>
          <w:lang w:val="en-GB"/>
        </w:rPr>
        <w:t>“food deserts”</w:t>
      </w:r>
      <w:r w:rsidR="00774404" w:rsidRPr="009D1812">
        <w:rPr>
          <w:lang w:val="en-GB"/>
        </w:rPr>
        <w:t xml:space="preserve"> caught his eye</w:t>
      </w:r>
      <w:r w:rsidR="00F43285" w:rsidRPr="009D1812">
        <w:rPr>
          <w:lang w:val="en-GB"/>
        </w:rPr>
        <w:t>, and this</w:t>
      </w:r>
      <w:r w:rsidR="00774404" w:rsidRPr="009D1812">
        <w:rPr>
          <w:lang w:val="en-GB"/>
        </w:rPr>
        <w:t xml:space="preserve"> ground-breaking report identified downtown Edmonton as a location </w:t>
      </w:r>
      <w:r w:rsidR="00455EEC" w:rsidRPr="009D1812">
        <w:rPr>
          <w:lang w:val="en-GB"/>
        </w:rPr>
        <w:t xml:space="preserve">that was </w:t>
      </w:r>
      <w:r w:rsidR="00774404" w:rsidRPr="009D1812">
        <w:rPr>
          <w:lang w:val="en-GB"/>
        </w:rPr>
        <w:t>severely lacking in supermarket accessibility.</w:t>
      </w:r>
    </w:p>
    <w:p w14:paraId="759BADF6" w14:textId="77777777" w:rsidR="00774404" w:rsidRPr="009C7D60" w:rsidRDefault="00774404" w:rsidP="00774404">
      <w:pPr>
        <w:pStyle w:val="BodyTextMain"/>
        <w:rPr>
          <w:sz w:val="20"/>
          <w:lang w:val="en-GB"/>
        </w:rPr>
      </w:pPr>
    </w:p>
    <w:p w14:paraId="706DA0EA" w14:textId="77777777" w:rsidR="0043656E" w:rsidRPr="009C7D60" w:rsidRDefault="0043656E" w:rsidP="00774404">
      <w:pPr>
        <w:pStyle w:val="BodyTextMain"/>
        <w:rPr>
          <w:sz w:val="20"/>
          <w:lang w:val="en-GB"/>
        </w:rPr>
      </w:pPr>
    </w:p>
    <w:p w14:paraId="38C3163D" w14:textId="77777777" w:rsidR="0043656E" w:rsidRPr="009D1812" w:rsidRDefault="00296BF7" w:rsidP="00774404">
      <w:pPr>
        <w:pStyle w:val="BodyTextMain"/>
        <w:rPr>
          <w:rFonts w:ascii="Arial" w:hAnsi="Arial" w:cs="Arial"/>
          <w:b/>
          <w:sz w:val="20"/>
          <w:szCs w:val="20"/>
          <w:lang w:val="en-GB"/>
        </w:rPr>
      </w:pPr>
      <w:r w:rsidRPr="009D1812">
        <w:rPr>
          <w:rFonts w:ascii="Arial" w:hAnsi="Arial" w:cs="Arial"/>
          <w:b/>
          <w:sz w:val="20"/>
          <w:szCs w:val="20"/>
          <w:lang w:val="en-GB"/>
        </w:rPr>
        <w:t>Adding a Downtown Store</w:t>
      </w:r>
      <w:r w:rsidR="00A16941" w:rsidRPr="009D1812">
        <w:rPr>
          <w:rFonts w:ascii="Arial" w:hAnsi="Arial" w:cs="Arial"/>
          <w:b/>
          <w:sz w:val="20"/>
          <w:szCs w:val="20"/>
          <w:lang w:val="en-GB"/>
        </w:rPr>
        <w:t xml:space="preserve"> </w:t>
      </w:r>
    </w:p>
    <w:p w14:paraId="2F38E4EC" w14:textId="77777777" w:rsidR="0043656E" w:rsidRPr="009C7D60" w:rsidRDefault="0043656E" w:rsidP="009C7D60">
      <w:pPr>
        <w:pStyle w:val="BodyTextMain"/>
        <w:rPr>
          <w:sz w:val="20"/>
        </w:rPr>
      </w:pPr>
    </w:p>
    <w:p w14:paraId="34B30581" w14:textId="760F4803" w:rsidR="00774404" w:rsidRPr="009D1812" w:rsidRDefault="00895139" w:rsidP="00774404">
      <w:pPr>
        <w:pStyle w:val="BodyTextMain"/>
        <w:rPr>
          <w:lang w:val="en-GB"/>
        </w:rPr>
      </w:pPr>
      <w:r w:rsidRPr="009D1812">
        <w:rPr>
          <w:lang w:val="en-GB"/>
        </w:rPr>
        <w:t>I</w:t>
      </w:r>
      <w:r w:rsidR="00774404" w:rsidRPr="009D1812">
        <w:rPr>
          <w:lang w:val="en-GB"/>
        </w:rPr>
        <w:t xml:space="preserve">n summer 2014, </w:t>
      </w:r>
      <w:proofErr w:type="spellStart"/>
      <w:r w:rsidR="00455EEC" w:rsidRPr="009D1812">
        <w:rPr>
          <w:lang w:val="en-GB"/>
        </w:rPr>
        <w:t>Kalmanovitch</w:t>
      </w:r>
      <w:proofErr w:type="spellEnd"/>
      <w:r w:rsidR="00455EEC" w:rsidRPr="009D1812">
        <w:rPr>
          <w:lang w:val="en-GB"/>
        </w:rPr>
        <w:t xml:space="preserve"> opened </w:t>
      </w:r>
      <w:r w:rsidR="00774404" w:rsidRPr="009D1812">
        <w:rPr>
          <w:lang w:val="en-GB"/>
        </w:rPr>
        <w:t xml:space="preserve">a second </w:t>
      </w:r>
      <w:r w:rsidR="00455EEC" w:rsidRPr="009D1812">
        <w:rPr>
          <w:lang w:val="en-GB"/>
        </w:rPr>
        <w:t xml:space="preserve">location of </w:t>
      </w:r>
      <w:r w:rsidR="00774404" w:rsidRPr="009D1812">
        <w:rPr>
          <w:lang w:val="en-GB"/>
        </w:rPr>
        <w:t xml:space="preserve">Earth’s General Store in Edmonton’s up-and-coming 104 Street </w:t>
      </w:r>
      <w:r w:rsidR="00F43285" w:rsidRPr="009D1812">
        <w:rPr>
          <w:lang w:val="en-GB"/>
        </w:rPr>
        <w:t>neighbourhood</w:t>
      </w:r>
      <w:r w:rsidR="00774404" w:rsidRPr="009D1812">
        <w:rPr>
          <w:lang w:val="en-GB"/>
        </w:rPr>
        <w:t xml:space="preserve">, just down the street from a national grocery chain store, Sobeys, </w:t>
      </w:r>
      <w:r w:rsidR="00F43285" w:rsidRPr="009D1812">
        <w:rPr>
          <w:lang w:val="en-GB"/>
        </w:rPr>
        <w:t xml:space="preserve">which </w:t>
      </w:r>
      <w:r w:rsidR="00774404" w:rsidRPr="009D1812">
        <w:rPr>
          <w:lang w:val="en-GB"/>
        </w:rPr>
        <w:t>anchored the trendy street.</w:t>
      </w:r>
      <w:r w:rsidR="00774404" w:rsidRPr="009D1812">
        <w:rPr>
          <w:rStyle w:val="EndnoteReference"/>
          <w:lang w:val="en-GB"/>
        </w:rPr>
        <w:endnoteReference w:id="10"/>
      </w:r>
      <w:r w:rsidR="00774404" w:rsidRPr="009D1812">
        <w:rPr>
          <w:lang w:val="en-GB"/>
        </w:rPr>
        <w:t xml:space="preserve"> </w:t>
      </w:r>
      <w:proofErr w:type="spellStart"/>
      <w:r w:rsidR="00D71C27" w:rsidRPr="009D1812">
        <w:rPr>
          <w:lang w:val="en-GB"/>
        </w:rPr>
        <w:t>Kalmanovitch</w:t>
      </w:r>
      <w:proofErr w:type="spellEnd"/>
      <w:r w:rsidR="00D71C27" w:rsidRPr="009D1812">
        <w:rPr>
          <w:lang w:val="en-GB"/>
        </w:rPr>
        <w:t xml:space="preserve"> planned to operate his downtown store, which o</w:t>
      </w:r>
      <w:r w:rsidR="00774404" w:rsidRPr="009D1812">
        <w:rPr>
          <w:lang w:val="en-GB"/>
        </w:rPr>
        <w:t>ccup</w:t>
      </w:r>
      <w:r w:rsidR="00D71C27" w:rsidRPr="009D1812">
        <w:rPr>
          <w:lang w:val="en-GB"/>
        </w:rPr>
        <w:t>ied</w:t>
      </w:r>
      <w:r w:rsidR="00774404" w:rsidRPr="009D1812">
        <w:rPr>
          <w:lang w:val="en-GB"/>
        </w:rPr>
        <w:t xml:space="preserve"> </w:t>
      </w:r>
      <w:r w:rsidR="00455EEC" w:rsidRPr="009D1812">
        <w:rPr>
          <w:lang w:val="en-GB"/>
        </w:rPr>
        <w:t xml:space="preserve">the </w:t>
      </w:r>
      <w:r w:rsidR="00774404" w:rsidRPr="009D1812">
        <w:rPr>
          <w:lang w:val="en-GB"/>
        </w:rPr>
        <w:t xml:space="preserve">vacant space </w:t>
      </w:r>
      <w:r w:rsidR="00455EEC" w:rsidRPr="009D1812">
        <w:rPr>
          <w:lang w:val="en-GB"/>
        </w:rPr>
        <w:t>left by</w:t>
      </w:r>
      <w:r w:rsidR="00774404" w:rsidRPr="009D1812">
        <w:rPr>
          <w:lang w:val="en-GB"/>
        </w:rPr>
        <w:t xml:space="preserve"> the short-lived Pang</w:t>
      </w:r>
      <w:r w:rsidR="00736FC3" w:rsidRPr="009D1812">
        <w:rPr>
          <w:lang w:val="en-GB"/>
        </w:rPr>
        <w:t>a</w:t>
      </w:r>
      <w:r w:rsidR="00774404" w:rsidRPr="009D1812">
        <w:rPr>
          <w:lang w:val="en-GB"/>
        </w:rPr>
        <w:t>ea Organic Market, as a niche option</w:t>
      </w:r>
      <w:r w:rsidR="00D71C27" w:rsidRPr="009D1812">
        <w:rPr>
          <w:lang w:val="en-GB"/>
        </w:rPr>
        <w:t>, and</w:t>
      </w:r>
      <w:r w:rsidR="00774404" w:rsidRPr="009D1812">
        <w:rPr>
          <w:lang w:val="en-GB"/>
        </w:rPr>
        <w:t xml:space="preserve"> to supplement a </w:t>
      </w:r>
      <w:r w:rsidR="00D71C27" w:rsidRPr="009D1812">
        <w:rPr>
          <w:lang w:val="en-GB"/>
        </w:rPr>
        <w:t xml:space="preserve">10–30 per cent </w:t>
      </w:r>
      <w:r w:rsidR="00774404" w:rsidRPr="009D1812">
        <w:rPr>
          <w:lang w:val="en-GB"/>
        </w:rPr>
        <w:t>portion</w:t>
      </w:r>
      <w:r w:rsidR="00455EEC" w:rsidRPr="009D1812">
        <w:rPr>
          <w:lang w:val="en-GB"/>
        </w:rPr>
        <w:t xml:space="preserve"> </w:t>
      </w:r>
      <w:r w:rsidR="00774404" w:rsidRPr="009D1812">
        <w:rPr>
          <w:lang w:val="en-GB"/>
        </w:rPr>
        <w:t xml:space="preserve">of downtown consumers’ regular </w:t>
      </w:r>
      <w:r w:rsidR="00D71C27" w:rsidRPr="009D1812">
        <w:rPr>
          <w:lang w:val="en-GB"/>
        </w:rPr>
        <w:t>chain-</w:t>
      </w:r>
      <w:r w:rsidR="00774404" w:rsidRPr="009D1812">
        <w:rPr>
          <w:lang w:val="en-GB"/>
        </w:rPr>
        <w:t>store grocery purchases</w:t>
      </w:r>
      <w:r w:rsidR="00D71C27" w:rsidRPr="009D1812">
        <w:rPr>
          <w:lang w:val="en-GB"/>
        </w:rPr>
        <w:t xml:space="preserve"> by </w:t>
      </w:r>
      <w:r w:rsidR="00F43285" w:rsidRPr="009D1812">
        <w:rPr>
          <w:lang w:val="en-GB"/>
        </w:rPr>
        <w:t xml:space="preserve">offering </w:t>
      </w:r>
      <w:r w:rsidR="00774404" w:rsidRPr="009D1812">
        <w:rPr>
          <w:lang w:val="en-GB"/>
        </w:rPr>
        <w:t>gluten-free, vegan</w:t>
      </w:r>
      <w:r w:rsidR="00455EEC" w:rsidRPr="009D1812">
        <w:rPr>
          <w:lang w:val="en-GB"/>
        </w:rPr>
        <w:t>,</w:t>
      </w:r>
      <w:r w:rsidR="00774404" w:rsidRPr="009D1812">
        <w:rPr>
          <w:lang w:val="en-GB"/>
        </w:rPr>
        <w:t xml:space="preserve"> or vegetarian items. As well, the new location </w:t>
      </w:r>
      <w:r w:rsidR="00455EEC" w:rsidRPr="009D1812">
        <w:rPr>
          <w:lang w:val="en-GB"/>
        </w:rPr>
        <w:t>would</w:t>
      </w:r>
      <w:r w:rsidR="00774404" w:rsidRPr="009D1812">
        <w:rPr>
          <w:lang w:val="en-GB"/>
        </w:rPr>
        <w:t xml:space="preserve"> include a deli </w:t>
      </w:r>
      <w:r w:rsidR="00455EEC" w:rsidRPr="009D1812">
        <w:rPr>
          <w:lang w:val="en-GB"/>
        </w:rPr>
        <w:t>that offered</w:t>
      </w:r>
      <w:r w:rsidR="00774404" w:rsidRPr="009D1812">
        <w:rPr>
          <w:lang w:val="en-GB"/>
        </w:rPr>
        <w:t xml:space="preserve"> raw and vegan options to attract the grab-and-go downtown lunch</w:t>
      </w:r>
      <w:r w:rsidR="00455EEC" w:rsidRPr="009D1812">
        <w:rPr>
          <w:lang w:val="en-GB"/>
        </w:rPr>
        <w:t>time</w:t>
      </w:r>
      <w:r w:rsidR="00774404" w:rsidRPr="009D1812">
        <w:rPr>
          <w:lang w:val="en-GB"/>
        </w:rPr>
        <w:t xml:space="preserve"> crowd.</w:t>
      </w:r>
      <w:r w:rsidR="00774404" w:rsidRPr="009D1812">
        <w:rPr>
          <w:rStyle w:val="EndnoteReference"/>
          <w:lang w:val="en-GB"/>
        </w:rPr>
        <w:endnoteReference w:id="11"/>
      </w:r>
    </w:p>
    <w:p w14:paraId="52E7028C" w14:textId="77777777" w:rsidR="00774404" w:rsidRPr="009C7D60" w:rsidRDefault="00774404" w:rsidP="00774404">
      <w:pPr>
        <w:pStyle w:val="BodyTextMain"/>
        <w:rPr>
          <w:sz w:val="20"/>
          <w:lang w:val="en-GB"/>
        </w:rPr>
      </w:pPr>
    </w:p>
    <w:p w14:paraId="0359A927" w14:textId="77777777" w:rsidR="00774404" w:rsidRPr="009D1812" w:rsidRDefault="00774404" w:rsidP="00774404">
      <w:pPr>
        <w:pStyle w:val="BodyTextMain"/>
        <w:rPr>
          <w:lang w:val="en-GB"/>
        </w:rPr>
      </w:pPr>
      <w:r w:rsidRPr="009D1812">
        <w:rPr>
          <w:lang w:val="en-GB"/>
        </w:rPr>
        <w:t xml:space="preserve">Just days after </w:t>
      </w:r>
      <w:proofErr w:type="spellStart"/>
      <w:r w:rsidR="003B519A" w:rsidRPr="009D1812">
        <w:rPr>
          <w:lang w:val="en-GB"/>
        </w:rPr>
        <w:t>Kalmanovitch</w:t>
      </w:r>
      <w:proofErr w:type="spellEnd"/>
      <w:r w:rsidRPr="009D1812">
        <w:rPr>
          <w:lang w:val="en-GB"/>
        </w:rPr>
        <w:t xml:space="preserve"> signed the paperwork for </w:t>
      </w:r>
      <w:r w:rsidR="00244F02" w:rsidRPr="009D1812">
        <w:rPr>
          <w:lang w:val="en-GB"/>
        </w:rPr>
        <w:t>his</w:t>
      </w:r>
      <w:r w:rsidRPr="009D1812">
        <w:rPr>
          <w:lang w:val="en-GB"/>
        </w:rPr>
        <w:t xml:space="preserve"> new downtown </w:t>
      </w:r>
      <w:r w:rsidR="00F43285" w:rsidRPr="009D1812">
        <w:rPr>
          <w:lang w:val="en-GB"/>
        </w:rPr>
        <w:t>store</w:t>
      </w:r>
      <w:r w:rsidRPr="009D1812">
        <w:rPr>
          <w:lang w:val="en-GB"/>
        </w:rPr>
        <w:t xml:space="preserve">, Sobeys unexpectedly departed from </w:t>
      </w:r>
      <w:r w:rsidR="00244F02" w:rsidRPr="009D1812">
        <w:rPr>
          <w:lang w:val="en-GB"/>
        </w:rPr>
        <w:t>its</w:t>
      </w:r>
      <w:r w:rsidRPr="009D1812">
        <w:rPr>
          <w:lang w:val="en-GB"/>
        </w:rPr>
        <w:t xml:space="preserve"> keystone location on 104 Street after </w:t>
      </w:r>
      <w:r w:rsidR="00244F02" w:rsidRPr="009D1812">
        <w:rPr>
          <w:lang w:val="en-GB"/>
        </w:rPr>
        <w:t xml:space="preserve">finalizing its plans to acquire </w:t>
      </w:r>
      <w:r w:rsidRPr="009D1812">
        <w:rPr>
          <w:lang w:val="en-GB"/>
        </w:rPr>
        <w:t>another national grocery chain, Safeway Canada</w:t>
      </w:r>
      <w:r w:rsidR="00244F02" w:rsidRPr="009D1812">
        <w:rPr>
          <w:lang w:val="en-GB"/>
        </w:rPr>
        <w:t>.</w:t>
      </w:r>
      <w:r w:rsidRPr="009D1812">
        <w:rPr>
          <w:rStyle w:val="EndnoteReference"/>
          <w:lang w:val="en-GB"/>
        </w:rPr>
        <w:endnoteReference w:id="12"/>
      </w:r>
      <w:r w:rsidRPr="009D1812">
        <w:rPr>
          <w:lang w:val="en-GB"/>
        </w:rPr>
        <w:t xml:space="preserve"> </w:t>
      </w:r>
      <w:r w:rsidR="00244F02" w:rsidRPr="009D1812">
        <w:rPr>
          <w:lang w:val="en-GB"/>
        </w:rPr>
        <w:t xml:space="preserve">This change in the downtown retail landscape put a sudden end to </w:t>
      </w:r>
      <w:proofErr w:type="spellStart"/>
      <w:r w:rsidR="003B519A" w:rsidRPr="009D1812">
        <w:rPr>
          <w:lang w:val="en-GB"/>
        </w:rPr>
        <w:t>Kalmanovitch</w:t>
      </w:r>
      <w:r w:rsidRPr="009D1812">
        <w:rPr>
          <w:lang w:val="en-GB"/>
        </w:rPr>
        <w:t>’s</w:t>
      </w:r>
      <w:proofErr w:type="spellEnd"/>
      <w:r w:rsidRPr="009D1812">
        <w:rPr>
          <w:lang w:val="en-GB"/>
        </w:rPr>
        <w:t xml:space="preserve"> plan to top up Sobeys customers’ food purchases with an item or two from his </w:t>
      </w:r>
      <w:r w:rsidR="00F43285" w:rsidRPr="009D1812">
        <w:rPr>
          <w:lang w:val="en-GB"/>
        </w:rPr>
        <w:t xml:space="preserve">own </w:t>
      </w:r>
      <w:r w:rsidRPr="009D1812">
        <w:rPr>
          <w:lang w:val="en-GB"/>
        </w:rPr>
        <w:t>store</w:t>
      </w:r>
      <w:r w:rsidR="00244F02" w:rsidRPr="009D1812">
        <w:rPr>
          <w:lang w:val="en-GB"/>
        </w:rPr>
        <w:t>.</w:t>
      </w:r>
      <w:r w:rsidRPr="009D1812">
        <w:rPr>
          <w:lang w:val="en-GB"/>
        </w:rPr>
        <w:t xml:space="preserve"> The </w:t>
      </w:r>
      <w:r w:rsidR="00244F02" w:rsidRPr="009D1812">
        <w:rPr>
          <w:lang w:val="en-GB"/>
        </w:rPr>
        <w:t xml:space="preserve">presence of a Sobeys store in </w:t>
      </w:r>
      <w:r w:rsidRPr="009D1812">
        <w:rPr>
          <w:lang w:val="en-GB"/>
        </w:rPr>
        <w:t xml:space="preserve">downtown Edmonton was once viewed as a sign of downtown revitalization, and this </w:t>
      </w:r>
      <w:r w:rsidR="00244F02" w:rsidRPr="009D1812">
        <w:rPr>
          <w:lang w:val="en-GB"/>
        </w:rPr>
        <w:t xml:space="preserve">unexpected </w:t>
      </w:r>
      <w:r w:rsidR="00F43285" w:rsidRPr="009D1812">
        <w:rPr>
          <w:lang w:val="en-GB"/>
        </w:rPr>
        <w:t>departure</w:t>
      </w:r>
      <w:r w:rsidR="00244F02" w:rsidRPr="009D1812">
        <w:rPr>
          <w:lang w:val="en-GB"/>
        </w:rPr>
        <w:t xml:space="preserve"> </w:t>
      </w:r>
      <w:r w:rsidR="00A16941" w:rsidRPr="009D1812">
        <w:rPr>
          <w:lang w:val="en-GB"/>
        </w:rPr>
        <w:t xml:space="preserve">was </w:t>
      </w:r>
      <w:r w:rsidR="00296BF7" w:rsidRPr="009D1812">
        <w:rPr>
          <w:lang w:val="en-GB"/>
        </w:rPr>
        <w:t xml:space="preserve">quite </w:t>
      </w:r>
      <w:r w:rsidR="00A16941" w:rsidRPr="009D1812">
        <w:rPr>
          <w:lang w:val="en-GB"/>
        </w:rPr>
        <w:t>worrisome</w:t>
      </w:r>
      <w:r w:rsidR="00DE3397" w:rsidRPr="009D1812">
        <w:rPr>
          <w:lang w:val="en-GB"/>
        </w:rPr>
        <w:t xml:space="preserve"> to</w:t>
      </w:r>
      <w:r w:rsidRPr="009D1812">
        <w:rPr>
          <w:lang w:val="en-GB"/>
        </w:rPr>
        <w:t xml:space="preserve"> </w:t>
      </w:r>
      <w:proofErr w:type="spellStart"/>
      <w:r w:rsidR="003B519A" w:rsidRPr="009D1812">
        <w:rPr>
          <w:lang w:val="en-GB"/>
        </w:rPr>
        <w:t>Kalmanovitch</w:t>
      </w:r>
      <w:proofErr w:type="spellEnd"/>
      <w:r w:rsidRPr="009D1812">
        <w:rPr>
          <w:lang w:val="en-GB"/>
        </w:rPr>
        <w:t xml:space="preserve"> and other 104 Street retailers</w:t>
      </w:r>
      <w:r w:rsidR="00DE3397" w:rsidRPr="009D1812">
        <w:rPr>
          <w:lang w:val="en-GB"/>
        </w:rPr>
        <w:t>.</w:t>
      </w:r>
      <w:r w:rsidRPr="009D1812">
        <w:rPr>
          <w:lang w:val="en-GB"/>
        </w:rPr>
        <w:t xml:space="preserve"> </w:t>
      </w:r>
    </w:p>
    <w:p w14:paraId="21BAED0D" w14:textId="77777777" w:rsidR="00774404" w:rsidRPr="009C7D60" w:rsidRDefault="00774404" w:rsidP="00774404">
      <w:pPr>
        <w:pStyle w:val="BodyTextMain"/>
        <w:rPr>
          <w:sz w:val="20"/>
          <w:lang w:val="en-GB"/>
        </w:rPr>
      </w:pPr>
    </w:p>
    <w:p w14:paraId="1B24C1D3" w14:textId="05D4BC8B" w:rsidR="00774404" w:rsidRPr="009D1812" w:rsidRDefault="00774404" w:rsidP="00774404">
      <w:pPr>
        <w:pStyle w:val="BodyTextMain"/>
        <w:rPr>
          <w:lang w:val="en-GB"/>
        </w:rPr>
      </w:pPr>
      <w:r w:rsidRPr="009D1812">
        <w:rPr>
          <w:lang w:val="en-GB"/>
        </w:rPr>
        <w:t xml:space="preserve">The downtown </w:t>
      </w:r>
      <w:r w:rsidR="00253C96" w:rsidRPr="009D1812">
        <w:rPr>
          <w:lang w:val="en-GB"/>
        </w:rPr>
        <w:t xml:space="preserve">location of </w:t>
      </w:r>
      <w:r w:rsidRPr="009D1812">
        <w:rPr>
          <w:lang w:val="en-GB"/>
        </w:rPr>
        <w:t xml:space="preserve">Earth’s General Store struggled to survive </w:t>
      </w:r>
      <w:r w:rsidR="00F43285" w:rsidRPr="009D1812">
        <w:rPr>
          <w:lang w:val="en-GB"/>
        </w:rPr>
        <w:t xml:space="preserve">on </w:t>
      </w:r>
      <w:r w:rsidRPr="009D1812">
        <w:rPr>
          <w:lang w:val="en-GB"/>
        </w:rPr>
        <w:t xml:space="preserve">a street occupied mostly by bars and restaurants. Unfortunately, the store did not have a following like </w:t>
      </w:r>
      <w:r w:rsidR="00253C96" w:rsidRPr="009D1812">
        <w:rPr>
          <w:lang w:val="en-GB"/>
        </w:rPr>
        <w:t xml:space="preserve">that of </w:t>
      </w:r>
      <w:r w:rsidRPr="009D1812">
        <w:rPr>
          <w:lang w:val="en-GB"/>
        </w:rPr>
        <w:t xml:space="preserve">the original Whyte Avenue location. </w:t>
      </w:r>
      <w:r w:rsidR="00F43285" w:rsidRPr="009D1812">
        <w:rPr>
          <w:lang w:val="en-GB"/>
        </w:rPr>
        <w:t>O</w:t>
      </w:r>
      <w:r w:rsidRPr="009D1812">
        <w:rPr>
          <w:lang w:val="en-GB"/>
        </w:rPr>
        <w:t>pen</w:t>
      </w:r>
      <w:r w:rsidR="00F43285" w:rsidRPr="009D1812">
        <w:rPr>
          <w:lang w:val="en-GB"/>
        </w:rPr>
        <w:t>ing</w:t>
      </w:r>
      <w:r w:rsidRPr="009D1812">
        <w:rPr>
          <w:lang w:val="en-GB"/>
        </w:rPr>
        <w:t xml:space="preserve"> a specialty food store on a popular street in a neighbourhood full of new high</w:t>
      </w:r>
      <w:r w:rsidR="00D71C27" w:rsidRPr="009D1812">
        <w:rPr>
          <w:lang w:val="en-GB"/>
        </w:rPr>
        <w:t>-</w:t>
      </w:r>
      <w:r w:rsidRPr="009D1812">
        <w:rPr>
          <w:lang w:val="en-GB"/>
        </w:rPr>
        <w:t>rise apartments and condominiums</w:t>
      </w:r>
      <w:r w:rsidR="00F43285" w:rsidRPr="009D1812">
        <w:rPr>
          <w:lang w:val="en-GB"/>
        </w:rPr>
        <w:t xml:space="preserve"> had seemed like such a sure option</w:t>
      </w:r>
      <w:r w:rsidRPr="009D1812">
        <w:rPr>
          <w:lang w:val="en-GB"/>
        </w:rPr>
        <w:t>, especially after the departure of the only nearby grocery store, Sobeys</w:t>
      </w:r>
      <w:r w:rsidR="006532A5" w:rsidRPr="009D1812">
        <w:rPr>
          <w:lang w:val="en-GB"/>
        </w:rPr>
        <w:t>.</w:t>
      </w:r>
      <w:r w:rsidRPr="009D1812">
        <w:rPr>
          <w:rStyle w:val="EndnoteReference"/>
          <w:lang w:val="en-GB"/>
        </w:rPr>
        <w:endnoteReference w:id="13"/>
      </w:r>
      <w:r w:rsidRPr="009D1812">
        <w:rPr>
          <w:lang w:val="en-GB"/>
        </w:rPr>
        <w:t xml:space="preserve"> Despite the slow start, </w:t>
      </w:r>
      <w:proofErr w:type="spellStart"/>
      <w:r w:rsidR="003B519A" w:rsidRPr="009D1812">
        <w:rPr>
          <w:lang w:val="en-GB"/>
        </w:rPr>
        <w:t>Kalmanovitch</w:t>
      </w:r>
      <w:proofErr w:type="spellEnd"/>
      <w:r w:rsidRPr="009D1812">
        <w:rPr>
          <w:lang w:val="en-GB"/>
        </w:rPr>
        <w:t xml:space="preserve"> still held hope that his new location would eventually </w:t>
      </w:r>
      <w:r w:rsidR="00264930" w:rsidRPr="009D1812">
        <w:rPr>
          <w:lang w:val="en-GB"/>
        </w:rPr>
        <w:t>gain momentum</w:t>
      </w:r>
      <w:r w:rsidRPr="009D1812">
        <w:rPr>
          <w:lang w:val="en-GB"/>
        </w:rPr>
        <w:t>. Unfortunately, that was</w:t>
      </w:r>
      <w:r w:rsidR="00253C96" w:rsidRPr="009D1812">
        <w:rPr>
          <w:lang w:val="en-GB"/>
        </w:rPr>
        <w:t xml:space="preserve"> </w:t>
      </w:r>
      <w:r w:rsidRPr="009D1812">
        <w:rPr>
          <w:lang w:val="en-GB"/>
        </w:rPr>
        <w:t>n</w:t>
      </w:r>
      <w:r w:rsidR="00253C96" w:rsidRPr="009D1812">
        <w:rPr>
          <w:lang w:val="en-GB"/>
        </w:rPr>
        <w:t>o</w:t>
      </w:r>
      <w:r w:rsidRPr="009D1812">
        <w:rPr>
          <w:lang w:val="en-GB"/>
        </w:rPr>
        <w:t>t the case</w:t>
      </w:r>
      <w:r w:rsidR="00253C96" w:rsidRPr="009D1812">
        <w:rPr>
          <w:lang w:val="en-GB"/>
        </w:rPr>
        <w:t>.</w:t>
      </w:r>
      <w:r w:rsidRPr="009D1812">
        <w:rPr>
          <w:lang w:val="en-GB"/>
        </w:rPr>
        <w:t xml:space="preserve"> </w:t>
      </w:r>
      <w:r w:rsidR="005E6AE6" w:rsidRPr="009D1812">
        <w:rPr>
          <w:lang w:val="en-GB"/>
        </w:rPr>
        <w:t>The significant number of young urbanites who lived in the downtown core did not embrace Earth’s General Store’s offering, a</w:t>
      </w:r>
      <w:r w:rsidR="000223BE" w:rsidRPr="009D1812">
        <w:rPr>
          <w:lang w:val="en-GB"/>
        </w:rPr>
        <w:t xml:space="preserve"> </w:t>
      </w:r>
      <w:r w:rsidR="005E6AE6" w:rsidRPr="009D1812">
        <w:rPr>
          <w:lang w:val="en-GB"/>
        </w:rPr>
        <w:t xml:space="preserve">factor </w:t>
      </w:r>
      <w:r w:rsidR="000223BE" w:rsidRPr="009D1812">
        <w:rPr>
          <w:lang w:val="en-GB"/>
        </w:rPr>
        <w:t xml:space="preserve">that </w:t>
      </w:r>
      <w:r w:rsidR="005E6AE6" w:rsidRPr="009D1812">
        <w:rPr>
          <w:lang w:val="en-GB"/>
        </w:rPr>
        <w:t>hurt the retailer financially.</w:t>
      </w:r>
    </w:p>
    <w:p w14:paraId="6C2C74AC" w14:textId="77777777" w:rsidR="00774404" w:rsidRPr="009C7D60" w:rsidRDefault="00774404" w:rsidP="00774404">
      <w:pPr>
        <w:pStyle w:val="BodyTextMain"/>
        <w:rPr>
          <w:sz w:val="20"/>
          <w:lang w:val="en-GB"/>
        </w:rPr>
      </w:pPr>
    </w:p>
    <w:p w14:paraId="01BCC6B2" w14:textId="77777777" w:rsidR="00774404" w:rsidRPr="009C7D60" w:rsidRDefault="00774404" w:rsidP="00774404">
      <w:pPr>
        <w:pStyle w:val="BodyTextMain"/>
        <w:rPr>
          <w:sz w:val="20"/>
          <w:lang w:val="en-GB"/>
        </w:rPr>
      </w:pPr>
    </w:p>
    <w:p w14:paraId="421F5E40" w14:textId="77777777" w:rsidR="000D5DF6" w:rsidRPr="009D1812" w:rsidRDefault="000D5DF6" w:rsidP="007817B3">
      <w:pPr>
        <w:pStyle w:val="BodyTextMain"/>
        <w:keepNext/>
        <w:keepLines/>
        <w:rPr>
          <w:rFonts w:ascii="Arial" w:hAnsi="Arial" w:cs="Arial"/>
          <w:b/>
          <w:sz w:val="20"/>
          <w:szCs w:val="20"/>
          <w:lang w:val="en-GB"/>
        </w:rPr>
      </w:pPr>
      <w:r w:rsidRPr="009D1812">
        <w:rPr>
          <w:rFonts w:ascii="Arial" w:hAnsi="Arial" w:cs="Arial"/>
          <w:b/>
          <w:sz w:val="20"/>
          <w:szCs w:val="20"/>
          <w:lang w:val="en-GB"/>
        </w:rPr>
        <w:t xml:space="preserve">Market Research: An </w:t>
      </w:r>
      <w:r w:rsidR="00296BF7" w:rsidRPr="009D1812">
        <w:rPr>
          <w:rFonts w:ascii="Arial" w:hAnsi="Arial" w:cs="Arial"/>
          <w:b/>
          <w:sz w:val="20"/>
          <w:szCs w:val="20"/>
          <w:lang w:val="en-GB"/>
        </w:rPr>
        <w:t>Online Survey</w:t>
      </w:r>
    </w:p>
    <w:p w14:paraId="486F9C72" w14:textId="77777777" w:rsidR="000D5DF6" w:rsidRPr="009C7D60" w:rsidRDefault="000D5DF6" w:rsidP="007817B3">
      <w:pPr>
        <w:pStyle w:val="BodyTextMain"/>
        <w:keepNext/>
        <w:keepLines/>
        <w:rPr>
          <w:sz w:val="20"/>
          <w:lang w:val="en-GB"/>
        </w:rPr>
      </w:pPr>
    </w:p>
    <w:p w14:paraId="7CD18ED0" w14:textId="63DE9A1D" w:rsidR="00774404" w:rsidRPr="009D1812" w:rsidRDefault="003B519A" w:rsidP="002D2C00">
      <w:pPr>
        <w:pStyle w:val="BodyTextMain"/>
        <w:rPr>
          <w:lang w:val="en-GB"/>
        </w:rPr>
      </w:pPr>
      <w:proofErr w:type="spellStart"/>
      <w:r w:rsidRPr="009D1812">
        <w:rPr>
          <w:lang w:val="en-GB"/>
        </w:rPr>
        <w:t>Kalmanovitch</w:t>
      </w:r>
      <w:proofErr w:type="spellEnd"/>
      <w:r w:rsidR="00774404" w:rsidRPr="009D1812">
        <w:rPr>
          <w:lang w:val="en-GB"/>
        </w:rPr>
        <w:t xml:space="preserve"> aimed to keep the </w:t>
      </w:r>
      <w:r w:rsidR="009F2F0D" w:rsidRPr="009D1812">
        <w:rPr>
          <w:lang w:val="en-GB"/>
        </w:rPr>
        <w:t xml:space="preserve">downtown store on </w:t>
      </w:r>
      <w:r w:rsidR="00774404" w:rsidRPr="009D1812">
        <w:rPr>
          <w:lang w:val="en-GB"/>
        </w:rPr>
        <w:t>104 Street open despite the effect it was having on his bank account</w:t>
      </w:r>
      <w:r w:rsidR="002D2C00" w:rsidRPr="009D1812">
        <w:rPr>
          <w:lang w:val="en-GB"/>
        </w:rPr>
        <w:t xml:space="preserve">, which </w:t>
      </w:r>
      <w:r w:rsidR="007B3106" w:rsidRPr="009D1812">
        <w:rPr>
          <w:lang w:val="en-GB"/>
        </w:rPr>
        <w:t>contrast</w:t>
      </w:r>
      <w:r w:rsidR="002D2C00" w:rsidRPr="009D1812">
        <w:rPr>
          <w:lang w:val="en-GB"/>
        </w:rPr>
        <w:t>ed</w:t>
      </w:r>
      <w:r w:rsidR="007B3106" w:rsidRPr="009D1812">
        <w:rPr>
          <w:lang w:val="en-GB"/>
        </w:rPr>
        <w:t xml:space="preserve"> </w:t>
      </w:r>
      <w:r w:rsidR="002D2C00" w:rsidRPr="009D1812">
        <w:rPr>
          <w:lang w:val="en-GB"/>
        </w:rPr>
        <w:t xml:space="preserve">with </w:t>
      </w:r>
      <w:r w:rsidR="007B3106" w:rsidRPr="009D1812">
        <w:rPr>
          <w:lang w:val="en-GB"/>
        </w:rPr>
        <w:t xml:space="preserve">the </w:t>
      </w:r>
      <w:r w:rsidR="00774404" w:rsidRPr="009D1812">
        <w:rPr>
          <w:lang w:val="en-GB"/>
        </w:rPr>
        <w:t xml:space="preserve">success of his other store on Whyte Avenue. In the fall of 2014, he decided to </w:t>
      </w:r>
      <w:r w:rsidR="00296BF7" w:rsidRPr="009D1812">
        <w:rPr>
          <w:lang w:val="en-GB"/>
        </w:rPr>
        <w:t xml:space="preserve">reach out for help </w:t>
      </w:r>
      <w:r w:rsidR="007B3106" w:rsidRPr="009D1812">
        <w:rPr>
          <w:lang w:val="en-GB"/>
        </w:rPr>
        <w:t>with some market research</w:t>
      </w:r>
      <w:r w:rsidR="00774404" w:rsidRPr="009D1812">
        <w:rPr>
          <w:lang w:val="en-GB"/>
        </w:rPr>
        <w:t xml:space="preserve">. With assistance from </w:t>
      </w:r>
      <w:r w:rsidR="00A7715D" w:rsidRPr="009D1812">
        <w:rPr>
          <w:lang w:val="en-GB"/>
        </w:rPr>
        <w:t xml:space="preserve">a group of business students at </w:t>
      </w:r>
      <w:proofErr w:type="spellStart"/>
      <w:r w:rsidR="00774404" w:rsidRPr="009D1812">
        <w:rPr>
          <w:lang w:val="en-GB"/>
        </w:rPr>
        <w:t>MacEwan</w:t>
      </w:r>
      <w:proofErr w:type="spellEnd"/>
      <w:r w:rsidR="00774404" w:rsidRPr="009D1812">
        <w:rPr>
          <w:lang w:val="en-GB"/>
        </w:rPr>
        <w:t xml:space="preserve"> University, </w:t>
      </w:r>
      <w:proofErr w:type="spellStart"/>
      <w:r w:rsidR="00FE1C92" w:rsidRPr="009D1812">
        <w:rPr>
          <w:lang w:val="en-GB"/>
        </w:rPr>
        <w:t>Kalmanovitch</w:t>
      </w:r>
      <w:proofErr w:type="spellEnd"/>
      <w:r w:rsidR="00FE1C92" w:rsidRPr="009D1812">
        <w:rPr>
          <w:lang w:val="en-GB"/>
        </w:rPr>
        <w:t xml:space="preserve"> created </w:t>
      </w:r>
      <w:r w:rsidR="00774404" w:rsidRPr="009D1812">
        <w:rPr>
          <w:lang w:val="en-GB"/>
        </w:rPr>
        <w:t xml:space="preserve">an online survey to poll Edmonton’s downtown dwellers about their product preferences so </w:t>
      </w:r>
      <w:proofErr w:type="spellStart"/>
      <w:r w:rsidRPr="009D1812">
        <w:rPr>
          <w:lang w:val="en-GB"/>
        </w:rPr>
        <w:t>Kalmanovitch</w:t>
      </w:r>
      <w:proofErr w:type="spellEnd"/>
      <w:r w:rsidR="00774404" w:rsidRPr="009D1812">
        <w:rPr>
          <w:lang w:val="en-GB"/>
        </w:rPr>
        <w:t xml:space="preserve"> could tailor his store’s offering to match the needs</w:t>
      </w:r>
      <w:r w:rsidR="00FE1C92" w:rsidRPr="009D1812">
        <w:rPr>
          <w:lang w:val="en-GB"/>
        </w:rPr>
        <w:t xml:space="preserve"> of the downtown residents</w:t>
      </w:r>
      <w:r w:rsidR="00774404" w:rsidRPr="009D1812">
        <w:rPr>
          <w:lang w:val="en-GB"/>
        </w:rPr>
        <w:t>. The survey received 1,400 responses.</w:t>
      </w:r>
      <w:r w:rsidR="00774404" w:rsidRPr="009D1812">
        <w:rPr>
          <w:rStyle w:val="EndnoteReference"/>
          <w:lang w:val="en-GB"/>
        </w:rPr>
        <w:endnoteReference w:id="14"/>
      </w:r>
      <w:r w:rsidR="00774404" w:rsidRPr="009D1812">
        <w:rPr>
          <w:lang w:val="en-GB"/>
        </w:rPr>
        <w:t xml:space="preserve"> While trying to come up with </w:t>
      </w:r>
      <w:r w:rsidR="00774404" w:rsidRPr="009D1812">
        <w:rPr>
          <w:lang w:val="en-GB"/>
        </w:rPr>
        <w:lastRenderedPageBreak/>
        <w:t xml:space="preserve">solutions to </w:t>
      </w:r>
      <w:r w:rsidR="00A7715D" w:rsidRPr="009D1812">
        <w:rPr>
          <w:lang w:val="en-GB"/>
        </w:rPr>
        <w:t xml:space="preserve">meet </w:t>
      </w:r>
      <w:r w:rsidR="00774404" w:rsidRPr="009D1812">
        <w:rPr>
          <w:lang w:val="en-GB"/>
        </w:rPr>
        <w:t xml:space="preserve">the challenges of his downtown location, </w:t>
      </w:r>
      <w:proofErr w:type="spellStart"/>
      <w:r w:rsidRPr="009D1812">
        <w:rPr>
          <w:lang w:val="en-GB"/>
        </w:rPr>
        <w:t>Kalmanovitch</w:t>
      </w:r>
      <w:proofErr w:type="spellEnd"/>
      <w:r w:rsidR="00774404" w:rsidRPr="009D1812">
        <w:rPr>
          <w:lang w:val="en-GB"/>
        </w:rPr>
        <w:t xml:space="preserve"> still had to juggle the needs of his customers and staff at the Whyte Avenue location too.</w:t>
      </w:r>
    </w:p>
    <w:p w14:paraId="0E60B3C2" w14:textId="77777777" w:rsidR="00774404" w:rsidRPr="009C7D60" w:rsidRDefault="00774404" w:rsidP="00774404">
      <w:pPr>
        <w:pStyle w:val="BodyTextMain"/>
        <w:rPr>
          <w:sz w:val="20"/>
          <w:lang w:val="en-GB"/>
        </w:rPr>
      </w:pPr>
    </w:p>
    <w:p w14:paraId="2EDCC60F" w14:textId="77777777" w:rsidR="00774404" w:rsidRPr="009D1812" w:rsidRDefault="00A7715D" w:rsidP="00774404">
      <w:pPr>
        <w:pStyle w:val="BodyTextMain"/>
        <w:rPr>
          <w:lang w:val="en-GB"/>
        </w:rPr>
      </w:pPr>
      <w:r w:rsidRPr="009D1812">
        <w:rPr>
          <w:lang w:val="en-GB"/>
        </w:rPr>
        <w:t>In 2015–2016, w</w:t>
      </w:r>
      <w:r w:rsidR="00774404" w:rsidRPr="009D1812">
        <w:rPr>
          <w:lang w:val="en-GB"/>
        </w:rPr>
        <w:t xml:space="preserve">ith the downtown location still in jeopardy, </w:t>
      </w:r>
      <w:proofErr w:type="spellStart"/>
      <w:r w:rsidR="003B519A" w:rsidRPr="009D1812">
        <w:rPr>
          <w:lang w:val="en-GB"/>
        </w:rPr>
        <w:t>Kalmanovitch</w:t>
      </w:r>
      <w:proofErr w:type="spellEnd"/>
      <w:r w:rsidR="00774404" w:rsidRPr="009D1812">
        <w:rPr>
          <w:lang w:val="en-GB"/>
        </w:rPr>
        <w:t xml:space="preserve"> started to </w:t>
      </w:r>
      <w:r w:rsidRPr="009D1812">
        <w:rPr>
          <w:lang w:val="en-GB"/>
        </w:rPr>
        <w:t>brainstorm</w:t>
      </w:r>
      <w:r w:rsidR="00774404" w:rsidRPr="009D1812">
        <w:rPr>
          <w:lang w:val="en-GB"/>
        </w:rPr>
        <w:t xml:space="preserve"> some creative options to attract new customers. From food truck pop-ups, community fundraisers</w:t>
      </w:r>
      <w:r w:rsidR="000D5DF6" w:rsidRPr="009D1812">
        <w:rPr>
          <w:lang w:val="en-GB"/>
        </w:rPr>
        <w:t>,</w:t>
      </w:r>
      <w:r w:rsidR="00774404" w:rsidRPr="009D1812">
        <w:rPr>
          <w:lang w:val="en-GB"/>
        </w:rPr>
        <w:t xml:space="preserve"> and documentary screening events to direct</w:t>
      </w:r>
      <w:r w:rsidRPr="009D1812">
        <w:rPr>
          <w:lang w:val="en-GB"/>
        </w:rPr>
        <w:t>-</w:t>
      </w:r>
      <w:r w:rsidR="00774404" w:rsidRPr="009D1812">
        <w:rPr>
          <w:lang w:val="en-GB"/>
        </w:rPr>
        <w:t>mail marketing, special discounts</w:t>
      </w:r>
      <w:r w:rsidR="000D5DF6" w:rsidRPr="009D1812">
        <w:rPr>
          <w:lang w:val="en-GB"/>
        </w:rPr>
        <w:t>,</w:t>
      </w:r>
      <w:r w:rsidR="00774404" w:rsidRPr="009D1812">
        <w:rPr>
          <w:lang w:val="en-GB"/>
        </w:rPr>
        <w:t xml:space="preserve"> and sales days, Earth’s General Store employed a variety of marketing tactics with </w:t>
      </w:r>
      <w:r w:rsidR="009F2F0D" w:rsidRPr="009D1812">
        <w:rPr>
          <w:lang w:val="en-GB"/>
        </w:rPr>
        <w:t>the</w:t>
      </w:r>
      <w:r w:rsidR="00774404" w:rsidRPr="009D1812">
        <w:rPr>
          <w:lang w:val="en-GB"/>
        </w:rPr>
        <w:t xml:space="preserve"> goal of increasing </w:t>
      </w:r>
      <w:r w:rsidR="000D5DF6" w:rsidRPr="009D1812">
        <w:rPr>
          <w:lang w:val="en-GB"/>
        </w:rPr>
        <w:t xml:space="preserve">consumer </w:t>
      </w:r>
      <w:r w:rsidR="00774404" w:rsidRPr="009D1812">
        <w:rPr>
          <w:lang w:val="en-GB"/>
        </w:rPr>
        <w:t>awareness. Unfortunately, the</w:t>
      </w:r>
      <w:r w:rsidR="009F2F0D" w:rsidRPr="009D1812">
        <w:rPr>
          <w:lang w:val="en-GB"/>
        </w:rPr>
        <w:t>se</w:t>
      </w:r>
      <w:r w:rsidR="00774404" w:rsidRPr="009D1812">
        <w:rPr>
          <w:lang w:val="en-GB"/>
        </w:rPr>
        <w:t xml:space="preserve"> efforts were still not enough to get the downtown store out of its financial slump.   </w:t>
      </w:r>
    </w:p>
    <w:p w14:paraId="66A70A35" w14:textId="77777777" w:rsidR="00774404" w:rsidRPr="009C7D60" w:rsidRDefault="00774404" w:rsidP="00774404">
      <w:pPr>
        <w:pStyle w:val="BodyTextMain"/>
        <w:rPr>
          <w:sz w:val="20"/>
          <w:lang w:val="en-GB"/>
        </w:rPr>
      </w:pPr>
    </w:p>
    <w:p w14:paraId="313F8E83" w14:textId="77777777" w:rsidR="00A7715D" w:rsidRPr="009C7D60" w:rsidRDefault="00A7715D" w:rsidP="00B150A6">
      <w:pPr>
        <w:pStyle w:val="BodyTextMain"/>
        <w:rPr>
          <w:sz w:val="20"/>
          <w:lang w:val="en-GB"/>
        </w:rPr>
      </w:pPr>
    </w:p>
    <w:p w14:paraId="6E4B09B5" w14:textId="77777777" w:rsidR="00EA53C1" w:rsidRPr="009D1812" w:rsidRDefault="00A51446" w:rsidP="00774404">
      <w:pPr>
        <w:pStyle w:val="BodyTextMain"/>
        <w:rPr>
          <w:rFonts w:ascii="Arial" w:hAnsi="Arial" w:cs="Arial"/>
          <w:b/>
          <w:sz w:val="20"/>
          <w:szCs w:val="20"/>
          <w:lang w:val="en-GB"/>
        </w:rPr>
      </w:pPr>
      <w:r w:rsidRPr="009D1812">
        <w:rPr>
          <w:rFonts w:ascii="Arial" w:hAnsi="Arial" w:cs="Arial"/>
          <w:b/>
          <w:sz w:val="20"/>
          <w:szCs w:val="20"/>
          <w:lang w:val="en-GB"/>
        </w:rPr>
        <w:t xml:space="preserve">Adding </w:t>
      </w:r>
      <w:r w:rsidR="00296BF7" w:rsidRPr="009D1812">
        <w:rPr>
          <w:rFonts w:ascii="Arial" w:hAnsi="Arial" w:cs="Arial"/>
          <w:b/>
          <w:sz w:val="20"/>
          <w:szCs w:val="20"/>
          <w:lang w:val="en-GB"/>
        </w:rPr>
        <w:t>Delivery Service</w:t>
      </w:r>
    </w:p>
    <w:p w14:paraId="4FC067F4" w14:textId="77777777" w:rsidR="00EA53C1" w:rsidRPr="009C7D60" w:rsidRDefault="00EA53C1" w:rsidP="00774404">
      <w:pPr>
        <w:pStyle w:val="BodyTextMain"/>
        <w:rPr>
          <w:sz w:val="20"/>
          <w:lang w:val="en-GB"/>
        </w:rPr>
      </w:pPr>
    </w:p>
    <w:p w14:paraId="2360D794" w14:textId="6DCB2E90" w:rsidR="00774404" w:rsidRPr="009D1812" w:rsidRDefault="00774404" w:rsidP="00774404">
      <w:pPr>
        <w:pStyle w:val="BodyTextMain"/>
        <w:rPr>
          <w:lang w:val="en-GB"/>
        </w:rPr>
      </w:pPr>
      <w:r w:rsidRPr="009D1812">
        <w:rPr>
          <w:lang w:val="en-GB"/>
        </w:rPr>
        <w:t xml:space="preserve">In 2016, </w:t>
      </w:r>
      <w:proofErr w:type="spellStart"/>
      <w:r w:rsidR="003B519A" w:rsidRPr="009D1812">
        <w:rPr>
          <w:lang w:val="en-GB"/>
        </w:rPr>
        <w:t>Kalmanovitch</w:t>
      </w:r>
      <w:proofErr w:type="spellEnd"/>
      <w:r w:rsidRPr="009D1812">
        <w:rPr>
          <w:lang w:val="en-GB"/>
        </w:rPr>
        <w:t xml:space="preserve"> launched a new grocery delivery service. Initially targeting downtown businesses that provide</w:t>
      </w:r>
      <w:r w:rsidR="00A7715D" w:rsidRPr="009D1812">
        <w:rPr>
          <w:lang w:val="en-GB"/>
        </w:rPr>
        <w:t>d</w:t>
      </w:r>
      <w:r w:rsidRPr="009D1812">
        <w:rPr>
          <w:lang w:val="en-GB"/>
        </w:rPr>
        <w:t xml:space="preserve"> fresh fruit and snacks for </w:t>
      </w:r>
      <w:r w:rsidR="00A7715D" w:rsidRPr="009D1812">
        <w:rPr>
          <w:lang w:val="en-GB"/>
        </w:rPr>
        <w:t xml:space="preserve">their </w:t>
      </w:r>
      <w:r w:rsidRPr="009D1812">
        <w:rPr>
          <w:lang w:val="en-GB"/>
        </w:rPr>
        <w:t xml:space="preserve">office staff and customers, </w:t>
      </w:r>
      <w:proofErr w:type="spellStart"/>
      <w:r w:rsidR="003B519A" w:rsidRPr="009D1812">
        <w:rPr>
          <w:lang w:val="en-GB"/>
        </w:rPr>
        <w:t>Kalmanovitch</w:t>
      </w:r>
      <w:proofErr w:type="spellEnd"/>
      <w:r w:rsidRPr="009D1812">
        <w:rPr>
          <w:lang w:val="en-GB"/>
        </w:rPr>
        <w:t xml:space="preserve"> planned to expand the service to homes and condominiums. The </w:t>
      </w:r>
      <w:r w:rsidR="000D5DF6" w:rsidRPr="009D1812">
        <w:rPr>
          <w:lang w:val="en-GB"/>
        </w:rPr>
        <w:t>new service</w:t>
      </w:r>
      <w:r w:rsidRPr="009D1812">
        <w:rPr>
          <w:lang w:val="en-GB"/>
        </w:rPr>
        <w:t xml:space="preserve"> deliver</w:t>
      </w:r>
      <w:r w:rsidR="000D5DF6" w:rsidRPr="009D1812">
        <w:rPr>
          <w:lang w:val="en-GB"/>
        </w:rPr>
        <w:t>ed</w:t>
      </w:r>
      <w:r w:rsidRPr="009D1812">
        <w:rPr>
          <w:lang w:val="en-GB"/>
        </w:rPr>
        <w:t xml:space="preserve"> boxes of organic food from Earth’s General Store via a new cargo bicycle and </w:t>
      </w:r>
      <w:r w:rsidR="000D5DF6" w:rsidRPr="009D1812">
        <w:rPr>
          <w:lang w:val="en-GB"/>
        </w:rPr>
        <w:t>was</w:t>
      </w:r>
      <w:r w:rsidRPr="009D1812">
        <w:rPr>
          <w:lang w:val="en-GB"/>
        </w:rPr>
        <w:t xml:space="preserve"> priced competitively against other Edmonton box</w:t>
      </w:r>
      <w:r w:rsidR="000D5DF6" w:rsidRPr="009D1812">
        <w:rPr>
          <w:lang w:val="en-GB"/>
        </w:rPr>
        <w:t>-</w:t>
      </w:r>
      <w:r w:rsidRPr="009D1812">
        <w:rPr>
          <w:lang w:val="en-GB"/>
        </w:rPr>
        <w:t xml:space="preserve">delivery services like </w:t>
      </w:r>
      <w:r w:rsidR="00B318AF" w:rsidRPr="009D1812">
        <w:rPr>
          <w:lang w:val="en-GB"/>
        </w:rPr>
        <w:t xml:space="preserve">The </w:t>
      </w:r>
      <w:r w:rsidRPr="009D1812">
        <w:rPr>
          <w:lang w:val="en-GB"/>
        </w:rPr>
        <w:t xml:space="preserve">Organic Box and SPUD. In addition to organic produce and other snacks from his store, </w:t>
      </w:r>
      <w:proofErr w:type="spellStart"/>
      <w:r w:rsidR="003B519A" w:rsidRPr="009D1812">
        <w:rPr>
          <w:lang w:val="en-GB"/>
        </w:rPr>
        <w:t>Kalmanovitch</w:t>
      </w:r>
      <w:proofErr w:type="spellEnd"/>
      <w:r w:rsidRPr="009D1812">
        <w:rPr>
          <w:lang w:val="en-GB"/>
        </w:rPr>
        <w:t xml:space="preserve"> offer</w:t>
      </w:r>
      <w:r w:rsidR="000D5DF6" w:rsidRPr="009D1812">
        <w:rPr>
          <w:lang w:val="en-GB"/>
        </w:rPr>
        <w:t>ed</w:t>
      </w:r>
      <w:r w:rsidRPr="009D1812">
        <w:rPr>
          <w:lang w:val="en-GB"/>
        </w:rPr>
        <w:t xml:space="preserve"> delivery of fair</w:t>
      </w:r>
      <w:r w:rsidR="000D5DF6" w:rsidRPr="009D1812">
        <w:rPr>
          <w:lang w:val="en-GB"/>
        </w:rPr>
        <w:t>-</w:t>
      </w:r>
      <w:r w:rsidRPr="009D1812">
        <w:rPr>
          <w:lang w:val="en-GB"/>
        </w:rPr>
        <w:t>trade</w:t>
      </w:r>
      <w:r w:rsidR="00287AD6" w:rsidRPr="009D1812">
        <w:rPr>
          <w:lang w:val="en-GB"/>
        </w:rPr>
        <w:t>-</w:t>
      </w:r>
      <w:r w:rsidRPr="009D1812">
        <w:rPr>
          <w:lang w:val="en-GB"/>
        </w:rPr>
        <w:t>certified organic coffee and tea for office lunchroom</w:t>
      </w:r>
      <w:r w:rsidR="000D5DF6" w:rsidRPr="009D1812">
        <w:rPr>
          <w:lang w:val="en-GB"/>
        </w:rPr>
        <w:t>s</w:t>
      </w:r>
      <w:r w:rsidRPr="009D1812">
        <w:rPr>
          <w:lang w:val="en-GB"/>
        </w:rPr>
        <w:t xml:space="preserve">. </w:t>
      </w:r>
      <w:r w:rsidRPr="009D1812">
        <w:rPr>
          <w:rStyle w:val="EndnoteReference"/>
          <w:lang w:val="en-GB"/>
        </w:rPr>
        <w:endnoteReference w:id="15"/>
      </w:r>
    </w:p>
    <w:p w14:paraId="553B1DBC" w14:textId="77777777" w:rsidR="00774404" w:rsidRPr="009C7D60" w:rsidRDefault="00774404" w:rsidP="00774404">
      <w:pPr>
        <w:pStyle w:val="BodyTextMain"/>
        <w:rPr>
          <w:sz w:val="20"/>
          <w:lang w:val="en-GB"/>
        </w:rPr>
      </w:pPr>
    </w:p>
    <w:p w14:paraId="57F08E63" w14:textId="77777777" w:rsidR="00774404" w:rsidRPr="009C7D60" w:rsidRDefault="00774404" w:rsidP="00774404">
      <w:pPr>
        <w:pStyle w:val="BodyTextMain"/>
        <w:rPr>
          <w:sz w:val="20"/>
          <w:lang w:val="en-GB"/>
        </w:rPr>
      </w:pPr>
    </w:p>
    <w:p w14:paraId="7B77B46E" w14:textId="77777777" w:rsidR="00774404" w:rsidRPr="009D1812" w:rsidRDefault="00774404" w:rsidP="00774404">
      <w:pPr>
        <w:pStyle w:val="Casehead1"/>
        <w:rPr>
          <w:lang w:val="en-GB"/>
        </w:rPr>
      </w:pPr>
      <w:r w:rsidRPr="009D1812">
        <w:rPr>
          <w:lang w:val="en-GB"/>
        </w:rPr>
        <w:t xml:space="preserve">ORGANIC FOOD INDUSTRY </w:t>
      </w:r>
    </w:p>
    <w:p w14:paraId="3A51ECE7" w14:textId="77777777" w:rsidR="00774404" w:rsidRPr="009C7D60" w:rsidRDefault="00774404" w:rsidP="00774404">
      <w:pPr>
        <w:pStyle w:val="BodyTextMain"/>
        <w:rPr>
          <w:sz w:val="20"/>
          <w:lang w:val="en-GB"/>
        </w:rPr>
      </w:pPr>
    </w:p>
    <w:p w14:paraId="73FA2704" w14:textId="0DE10040" w:rsidR="00774404" w:rsidRPr="009D1812" w:rsidRDefault="00B83175" w:rsidP="00774404">
      <w:pPr>
        <w:pStyle w:val="BodyTextMain"/>
        <w:rPr>
          <w:lang w:val="en-GB"/>
        </w:rPr>
      </w:pPr>
      <w:r w:rsidRPr="009D1812">
        <w:rPr>
          <w:lang w:val="en-GB"/>
        </w:rPr>
        <w:t>O</w:t>
      </w:r>
      <w:r w:rsidR="00774404" w:rsidRPr="009D1812">
        <w:rPr>
          <w:lang w:val="en-GB"/>
        </w:rPr>
        <w:t>n a worldwide scale</w:t>
      </w:r>
      <w:r w:rsidRPr="009D1812">
        <w:rPr>
          <w:lang w:val="en-GB"/>
        </w:rPr>
        <w:t>,</w:t>
      </w:r>
      <w:r w:rsidR="00774404" w:rsidRPr="009D1812">
        <w:rPr>
          <w:lang w:val="en-GB"/>
        </w:rPr>
        <w:t xml:space="preserve"> </w:t>
      </w:r>
      <w:r w:rsidRPr="009D1812">
        <w:rPr>
          <w:lang w:val="en-GB"/>
        </w:rPr>
        <w:t xml:space="preserve">the value of the organic food market </w:t>
      </w:r>
      <w:r w:rsidR="00774404" w:rsidRPr="009D1812">
        <w:rPr>
          <w:lang w:val="en-GB"/>
        </w:rPr>
        <w:t xml:space="preserve">was estimated </w:t>
      </w:r>
      <w:r w:rsidRPr="009D1812">
        <w:rPr>
          <w:lang w:val="en-GB"/>
        </w:rPr>
        <w:t>at US</w:t>
      </w:r>
      <w:r w:rsidR="00774404" w:rsidRPr="009D1812">
        <w:rPr>
          <w:lang w:val="en-GB"/>
        </w:rPr>
        <w:t xml:space="preserve">$72 billion as of 2013, with the United States </w:t>
      </w:r>
      <w:r w:rsidRPr="009D1812">
        <w:rPr>
          <w:lang w:val="en-GB"/>
        </w:rPr>
        <w:t xml:space="preserve">holding </w:t>
      </w:r>
      <w:r w:rsidR="00774404" w:rsidRPr="009D1812">
        <w:rPr>
          <w:lang w:val="en-GB"/>
        </w:rPr>
        <w:t>the lead in retail sales. Of the world</w:t>
      </w:r>
      <w:r w:rsidRPr="009D1812">
        <w:rPr>
          <w:lang w:val="en-GB"/>
        </w:rPr>
        <w:t>’</w:t>
      </w:r>
      <w:r w:rsidR="00774404" w:rsidRPr="009D1812">
        <w:rPr>
          <w:lang w:val="en-GB"/>
        </w:rPr>
        <w:t xml:space="preserve">s land, 43.1 million hectares was reported as organic farmland, </w:t>
      </w:r>
      <w:r w:rsidR="00A87336" w:rsidRPr="009D1812">
        <w:rPr>
          <w:lang w:val="en-GB"/>
        </w:rPr>
        <w:t xml:space="preserve">and there were </w:t>
      </w:r>
      <w:r w:rsidR="00B14B2E">
        <w:rPr>
          <w:lang w:val="en-GB"/>
        </w:rPr>
        <w:t>two</w:t>
      </w:r>
      <w:r w:rsidR="00774404" w:rsidRPr="009D1812">
        <w:rPr>
          <w:lang w:val="en-GB"/>
        </w:rPr>
        <w:t xml:space="preserve"> million organic producers worldwide.</w:t>
      </w:r>
      <w:r w:rsidR="00774404" w:rsidRPr="009D1812">
        <w:rPr>
          <w:rStyle w:val="EndnoteReference"/>
          <w:lang w:val="en-GB"/>
        </w:rPr>
        <w:endnoteReference w:id="16"/>
      </w:r>
      <w:r w:rsidR="00216198" w:rsidRPr="009D1812">
        <w:rPr>
          <w:lang w:val="en-GB"/>
        </w:rPr>
        <w:t xml:space="preserve"> </w:t>
      </w:r>
      <w:r w:rsidR="00A87336" w:rsidRPr="009D1812">
        <w:rPr>
          <w:lang w:val="en-GB"/>
        </w:rPr>
        <w:t>T</w:t>
      </w:r>
      <w:r w:rsidR="00774404" w:rsidRPr="009D1812">
        <w:rPr>
          <w:lang w:val="en-GB"/>
        </w:rPr>
        <w:t xml:space="preserve">he global organic food market was expected to grow </w:t>
      </w:r>
      <w:r w:rsidR="003A4BE7" w:rsidRPr="009D1812">
        <w:rPr>
          <w:lang w:val="en-GB"/>
        </w:rPr>
        <w:t xml:space="preserve">at a compound annual growth rate of </w:t>
      </w:r>
      <w:r w:rsidR="00774404" w:rsidRPr="009D1812">
        <w:rPr>
          <w:lang w:val="en-GB"/>
        </w:rPr>
        <w:t>over 16</w:t>
      </w:r>
      <w:r w:rsidR="003A4BE7" w:rsidRPr="009D1812">
        <w:rPr>
          <w:lang w:val="en-GB"/>
        </w:rPr>
        <w:t xml:space="preserve"> per cent</w:t>
      </w:r>
      <w:r w:rsidR="00774404" w:rsidRPr="009D1812">
        <w:rPr>
          <w:lang w:val="en-GB"/>
        </w:rPr>
        <w:t xml:space="preserve"> from 2015 to 2020.</w:t>
      </w:r>
      <w:r w:rsidR="00774404" w:rsidRPr="009D1812">
        <w:rPr>
          <w:rStyle w:val="EndnoteReference"/>
          <w:lang w:val="en-GB"/>
        </w:rPr>
        <w:endnoteReference w:id="17"/>
      </w:r>
      <w:r w:rsidR="00774404" w:rsidRPr="009D1812">
        <w:rPr>
          <w:lang w:val="en-GB"/>
        </w:rPr>
        <w:t xml:space="preserve"> </w:t>
      </w:r>
    </w:p>
    <w:p w14:paraId="5EB7C122" w14:textId="77777777" w:rsidR="00774404" w:rsidRPr="009C7D60" w:rsidRDefault="00774404" w:rsidP="00774404">
      <w:pPr>
        <w:pStyle w:val="BodyTextMain"/>
        <w:rPr>
          <w:sz w:val="20"/>
          <w:lang w:val="en-GB"/>
        </w:rPr>
      </w:pPr>
    </w:p>
    <w:p w14:paraId="4A7918C8" w14:textId="6B404CCA" w:rsidR="00774404" w:rsidRPr="009D1812" w:rsidRDefault="00296BF7" w:rsidP="00774404">
      <w:pPr>
        <w:pStyle w:val="BodyTextMain"/>
        <w:rPr>
          <w:lang w:val="en-GB"/>
        </w:rPr>
      </w:pPr>
      <w:r w:rsidRPr="009D1812">
        <w:rPr>
          <w:lang w:val="en-GB"/>
        </w:rPr>
        <w:t>Consumer demand in the United States for organic products had grown by double digits every year since the 1990s, from US$3.6 billion in 1997 to over US$39 billion in 2014, with 84 per cent of Americans stating that they purchased organic food.</w:t>
      </w:r>
      <w:r w:rsidRPr="009D1812">
        <w:rPr>
          <w:rStyle w:val="EndnoteReference"/>
          <w:lang w:val="en-GB"/>
        </w:rPr>
        <w:endnoteReference w:id="18"/>
      </w:r>
      <w:r w:rsidR="00774404" w:rsidRPr="009D1812">
        <w:rPr>
          <w:lang w:val="en-GB"/>
        </w:rPr>
        <w:t xml:space="preserve"> Canada had seen a similar trend of increasing growth in the organic </w:t>
      </w:r>
      <w:r w:rsidR="00030DC5" w:rsidRPr="009D1812">
        <w:rPr>
          <w:lang w:val="en-GB"/>
        </w:rPr>
        <w:t xml:space="preserve">food </w:t>
      </w:r>
      <w:r w:rsidR="00774404" w:rsidRPr="009D1812">
        <w:rPr>
          <w:lang w:val="en-GB"/>
        </w:rPr>
        <w:t xml:space="preserve">market, </w:t>
      </w:r>
      <w:r w:rsidR="00030DC5" w:rsidRPr="009D1812">
        <w:rPr>
          <w:lang w:val="en-GB"/>
        </w:rPr>
        <w:t>with</w:t>
      </w:r>
      <w:r w:rsidR="00774404" w:rsidRPr="009D1812">
        <w:rPr>
          <w:lang w:val="en-GB"/>
        </w:rPr>
        <w:t xml:space="preserve"> a valuation of approximately </w:t>
      </w:r>
      <w:r w:rsidR="00F017E5" w:rsidRPr="009D1812">
        <w:rPr>
          <w:lang w:val="en-GB"/>
        </w:rPr>
        <w:t>US</w:t>
      </w:r>
      <w:r w:rsidRPr="009D1812">
        <w:rPr>
          <w:lang w:val="en-GB"/>
        </w:rPr>
        <w:t>$</w:t>
      </w:r>
      <w:r w:rsidR="00774404" w:rsidRPr="009D1812">
        <w:rPr>
          <w:lang w:val="en-GB"/>
        </w:rPr>
        <w:t>2.6 billion as of 2013</w:t>
      </w:r>
      <w:r w:rsidR="00A87336" w:rsidRPr="009D1812">
        <w:rPr>
          <w:lang w:val="en-GB"/>
        </w:rPr>
        <w:t>—</w:t>
      </w:r>
      <w:r w:rsidR="00774404" w:rsidRPr="009D1812">
        <w:rPr>
          <w:lang w:val="en-GB"/>
        </w:rPr>
        <w:t xml:space="preserve">triple the value reported in 2006. This </w:t>
      </w:r>
      <w:r w:rsidR="00B82959" w:rsidRPr="009D1812">
        <w:rPr>
          <w:lang w:val="en-GB"/>
        </w:rPr>
        <w:t>value positioned</w:t>
      </w:r>
      <w:r w:rsidR="00774404" w:rsidRPr="009D1812">
        <w:rPr>
          <w:lang w:val="en-GB"/>
        </w:rPr>
        <w:t xml:space="preserve"> Canada </w:t>
      </w:r>
      <w:r w:rsidR="00B82959" w:rsidRPr="009D1812">
        <w:rPr>
          <w:lang w:val="en-GB"/>
        </w:rPr>
        <w:t xml:space="preserve">as </w:t>
      </w:r>
      <w:r w:rsidR="00774404" w:rsidRPr="009D1812">
        <w:rPr>
          <w:lang w:val="en-GB"/>
        </w:rPr>
        <w:t xml:space="preserve">one of the top five largest organic </w:t>
      </w:r>
      <w:r w:rsidR="00B82959" w:rsidRPr="009D1812">
        <w:rPr>
          <w:lang w:val="en-GB"/>
        </w:rPr>
        <w:t xml:space="preserve">food </w:t>
      </w:r>
      <w:r w:rsidR="00774404" w:rsidRPr="009D1812">
        <w:rPr>
          <w:lang w:val="en-GB"/>
        </w:rPr>
        <w:t>markets in the world.</w:t>
      </w:r>
      <w:r w:rsidR="00774404" w:rsidRPr="009D1812">
        <w:rPr>
          <w:rStyle w:val="EndnoteReference"/>
          <w:lang w:val="en-GB"/>
        </w:rPr>
        <w:endnoteReference w:id="19"/>
      </w:r>
    </w:p>
    <w:p w14:paraId="22B88BEC" w14:textId="77777777" w:rsidR="00774404" w:rsidRPr="009C7D60" w:rsidRDefault="00774404" w:rsidP="00774404">
      <w:pPr>
        <w:pStyle w:val="BodyTextMain"/>
        <w:rPr>
          <w:sz w:val="20"/>
          <w:lang w:val="en-GB"/>
        </w:rPr>
      </w:pPr>
    </w:p>
    <w:p w14:paraId="1CDC995B" w14:textId="0BD35632" w:rsidR="00774404" w:rsidRPr="009D1812" w:rsidRDefault="00774404" w:rsidP="00774404">
      <w:pPr>
        <w:pStyle w:val="BodyTextMain"/>
        <w:rPr>
          <w:u w:val="single"/>
          <w:lang w:val="en-GB"/>
        </w:rPr>
      </w:pPr>
      <w:r w:rsidRPr="009D1812">
        <w:rPr>
          <w:lang w:val="en-GB"/>
        </w:rPr>
        <w:t xml:space="preserve">The </w:t>
      </w:r>
      <w:r w:rsidR="00A87336" w:rsidRPr="009D1812">
        <w:rPr>
          <w:lang w:val="en-GB"/>
        </w:rPr>
        <w:t xml:space="preserve">Canada </w:t>
      </w:r>
      <w:r w:rsidRPr="009D1812">
        <w:rPr>
          <w:lang w:val="en-GB"/>
        </w:rPr>
        <w:t>Organic Trade Association reported that Canada was home to approximately 5,000 organic farms, handlers</w:t>
      </w:r>
      <w:r w:rsidR="00B82959" w:rsidRPr="009D1812">
        <w:rPr>
          <w:lang w:val="en-GB"/>
        </w:rPr>
        <w:t>,</w:t>
      </w:r>
      <w:r w:rsidRPr="009D1812">
        <w:rPr>
          <w:lang w:val="en-GB"/>
        </w:rPr>
        <w:t xml:space="preserve"> and manufactures. The number of organic farms in Canada </w:t>
      </w:r>
      <w:r w:rsidR="002A3CDE" w:rsidRPr="009D1812">
        <w:rPr>
          <w:lang w:val="en-GB"/>
        </w:rPr>
        <w:t xml:space="preserve">had </w:t>
      </w:r>
      <w:r w:rsidRPr="009D1812">
        <w:rPr>
          <w:lang w:val="en-GB"/>
        </w:rPr>
        <w:t xml:space="preserve">increased by </w:t>
      </w:r>
      <w:r w:rsidR="0020045D" w:rsidRPr="009D1812">
        <w:rPr>
          <w:lang w:val="en-GB"/>
        </w:rPr>
        <w:t>71</w:t>
      </w:r>
      <w:r w:rsidR="00B82959" w:rsidRPr="009D1812">
        <w:rPr>
          <w:lang w:val="en-GB"/>
        </w:rPr>
        <w:t xml:space="preserve"> per cent</w:t>
      </w:r>
      <w:r w:rsidRPr="009D1812">
        <w:rPr>
          <w:lang w:val="en-GB"/>
        </w:rPr>
        <w:t xml:space="preserve"> from 2001 to 2011, while the overall total number of farms </w:t>
      </w:r>
      <w:r w:rsidR="002A3CDE" w:rsidRPr="009D1812">
        <w:rPr>
          <w:lang w:val="en-GB"/>
        </w:rPr>
        <w:t xml:space="preserve">had </w:t>
      </w:r>
      <w:r w:rsidRPr="009D1812">
        <w:rPr>
          <w:lang w:val="en-GB"/>
        </w:rPr>
        <w:t>decreased by 17</w:t>
      </w:r>
      <w:r w:rsidR="00B82959" w:rsidRPr="009D1812">
        <w:rPr>
          <w:lang w:val="en-GB"/>
        </w:rPr>
        <w:t xml:space="preserve"> per cent</w:t>
      </w:r>
      <w:r w:rsidRPr="009D1812">
        <w:rPr>
          <w:lang w:val="en-GB"/>
        </w:rPr>
        <w:t>, further demonstrating a shift in the overall market.</w:t>
      </w:r>
      <w:r w:rsidRPr="009D1812">
        <w:rPr>
          <w:rStyle w:val="EndnoteReference"/>
          <w:lang w:val="en-GB"/>
        </w:rPr>
        <w:endnoteReference w:id="20"/>
      </w:r>
      <w:r w:rsidRPr="009D1812">
        <w:rPr>
          <w:lang w:val="en-GB"/>
        </w:rPr>
        <w:t xml:space="preserve"> Organic products made up an estimated 1.</w:t>
      </w:r>
      <w:r w:rsidR="0020045D" w:rsidRPr="009D1812">
        <w:rPr>
          <w:lang w:val="en-GB"/>
        </w:rPr>
        <w:t>7</w:t>
      </w:r>
      <w:r w:rsidR="00B82959" w:rsidRPr="009D1812">
        <w:rPr>
          <w:lang w:val="en-GB"/>
        </w:rPr>
        <w:t xml:space="preserve"> per cent</w:t>
      </w:r>
      <w:r w:rsidRPr="009D1812">
        <w:rPr>
          <w:lang w:val="en-GB"/>
        </w:rPr>
        <w:t xml:space="preserve"> of national grocery sales in 201</w:t>
      </w:r>
      <w:r w:rsidR="0020045D" w:rsidRPr="009D1812">
        <w:rPr>
          <w:lang w:val="en-GB"/>
        </w:rPr>
        <w:t>3</w:t>
      </w:r>
      <w:r w:rsidRPr="009D1812">
        <w:rPr>
          <w:lang w:val="en-GB"/>
        </w:rPr>
        <w:t xml:space="preserve"> in a variety of food and beverage categories</w:t>
      </w:r>
      <w:r w:rsidR="00DE62E4" w:rsidRPr="009D1812">
        <w:rPr>
          <w:lang w:val="en-GB"/>
        </w:rPr>
        <w:t>.</w:t>
      </w:r>
      <w:r w:rsidR="0020045D" w:rsidRPr="009D1812">
        <w:rPr>
          <w:rStyle w:val="EndnoteReference"/>
          <w:lang w:val="en-GB"/>
        </w:rPr>
        <w:endnoteReference w:id="21"/>
      </w:r>
    </w:p>
    <w:p w14:paraId="55F3E983" w14:textId="77777777" w:rsidR="00774404" w:rsidRPr="009C7D60" w:rsidRDefault="00774404" w:rsidP="00774404">
      <w:pPr>
        <w:pStyle w:val="BodyTextMain"/>
        <w:rPr>
          <w:sz w:val="20"/>
          <w:lang w:val="en-GB"/>
        </w:rPr>
      </w:pPr>
    </w:p>
    <w:p w14:paraId="09521BF0" w14:textId="77777777" w:rsidR="002A3CDE" w:rsidRPr="009C7D60" w:rsidRDefault="002A3CDE" w:rsidP="00774404">
      <w:pPr>
        <w:pStyle w:val="BodyTextMain"/>
        <w:rPr>
          <w:sz w:val="20"/>
          <w:lang w:val="en-GB"/>
        </w:rPr>
      </w:pPr>
    </w:p>
    <w:p w14:paraId="2E067565" w14:textId="77777777" w:rsidR="00774404" w:rsidRPr="009D1812" w:rsidRDefault="00774404" w:rsidP="007817B3">
      <w:pPr>
        <w:pStyle w:val="Casehead2"/>
        <w:keepNext/>
        <w:keepLines/>
        <w:rPr>
          <w:lang w:val="en-GB"/>
        </w:rPr>
      </w:pPr>
      <w:r w:rsidRPr="009D1812">
        <w:rPr>
          <w:lang w:val="en-GB"/>
        </w:rPr>
        <w:t>Organic Consumer Profile</w:t>
      </w:r>
    </w:p>
    <w:p w14:paraId="48D267CD" w14:textId="77777777" w:rsidR="00774404" w:rsidRPr="009C7D60" w:rsidRDefault="00774404" w:rsidP="007817B3">
      <w:pPr>
        <w:pStyle w:val="BodyTextMain"/>
        <w:keepNext/>
        <w:keepLines/>
        <w:rPr>
          <w:sz w:val="20"/>
          <w:lang w:val="en-GB"/>
        </w:rPr>
      </w:pPr>
    </w:p>
    <w:p w14:paraId="4AE50195" w14:textId="474F4DA3" w:rsidR="00774404" w:rsidRPr="009D1812" w:rsidRDefault="00774404" w:rsidP="007817B3">
      <w:pPr>
        <w:pStyle w:val="BodyTextMain"/>
        <w:keepNext/>
        <w:keepLines/>
        <w:rPr>
          <w:color w:val="000000"/>
          <w:shd w:val="clear" w:color="auto" w:fill="FFFFFF"/>
          <w:lang w:val="en-GB"/>
        </w:rPr>
      </w:pPr>
      <w:r w:rsidRPr="009D1812">
        <w:rPr>
          <w:color w:val="000000"/>
          <w:lang w:val="en-GB"/>
        </w:rPr>
        <w:t>Growth in the organic market was attributable to heightened awareness of healthy foods and lifestyles, increased income levels, higher standards of living, concern for the environment</w:t>
      </w:r>
      <w:r w:rsidR="00E22EFC" w:rsidRPr="009D1812">
        <w:rPr>
          <w:color w:val="000000"/>
          <w:lang w:val="en-GB"/>
        </w:rPr>
        <w:t>,</w:t>
      </w:r>
      <w:r w:rsidRPr="009D1812">
        <w:rPr>
          <w:color w:val="000000"/>
          <w:lang w:val="en-GB"/>
        </w:rPr>
        <w:t xml:space="preserve"> and support through government programs and initiatives.</w:t>
      </w:r>
      <w:r w:rsidRPr="009D1812">
        <w:rPr>
          <w:color w:val="000000"/>
          <w:shd w:val="clear" w:color="auto" w:fill="FFFFFF"/>
          <w:lang w:val="en-GB"/>
        </w:rPr>
        <w:t xml:space="preserve"> At a systems level, this shift could also be linked to support for local farmers, sustainable food production, and decreasing overall environmental impact.</w:t>
      </w:r>
      <w:r w:rsidRPr="009D1812">
        <w:rPr>
          <w:rStyle w:val="EndnoteReference"/>
          <w:color w:val="000000"/>
          <w:shd w:val="clear" w:color="auto" w:fill="FFFFFF"/>
          <w:lang w:val="en-GB"/>
        </w:rPr>
        <w:endnoteReference w:id="22"/>
      </w:r>
      <w:r w:rsidRPr="009D1812">
        <w:rPr>
          <w:color w:val="000000"/>
          <w:shd w:val="clear" w:color="auto" w:fill="FFFFFF"/>
          <w:lang w:val="en-GB"/>
        </w:rPr>
        <w:t xml:space="preserve"> Despite this growing awareness, </w:t>
      </w:r>
      <w:r w:rsidR="00E22EFC" w:rsidRPr="009D1812">
        <w:rPr>
          <w:color w:val="000000"/>
          <w:shd w:val="clear" w:color="auto" w:fill="FFFFFF"/>
          <w:lang w:val="en-GB"/>
        </w:rPr>
        <w:t xml:space="preserve">organic food </w:t>
      </w:r>
      <w:r w:rsidRPr="009D1812">
        <w:rPr>
          <w:color w:val="000000"/>
          <w:shd w:val="clear" w:color="auto" w:fill="FFFFFF"/>
          <w:lang w:val="en-GB"/>
        </w:rPr>
        <w:t>consumers fac</w:t>
      </w:r>
      <w:r w:rsidR="00E22EFC" w:rsidRPr="009D1812">
        <w:rPr>
          <w:color w:val="000000"/>
          <w:shd w:val="clear" w:color="auto" w:fill="FFFFFF"/>
          <w:lang w:val="en-GB"/>
        </w:rPr>
        <w:t>ed</w:t>
      </w:r>
      <w:r w:rsidRPr="009D1812">
        <w:rPr>
          <w:color w:val="000000"/>
          <w:shd w:val="clear" w:color="auto" w:fill="FFFFFF"/>
          <w:lang w:val="en-GB"/>
        </w:rPr>
        <w:t xml:space="preserve"> deterrents such as price, availability, </w:t>
      </w:r>
      <w:r w:rsidR="00E22EFC" w:rsidRPr="009D1812">
        <w:rPr>
          <w:color w:val="000000"/>
          <w:shd w:val="clear" w:color="auto" w:fill="FFFFFF"/>
          <w:lang w:val="en-GB"/>
        </w:rPr>
        <w:t xml:space="preserve">product </w:t>
      </w:r>
      <w:r w:rsidRPr="009D1812">
        <w:rPr>
          <w:color w:val="000000"/>
          <w:shd w:val="clear" w:color="auto" w:fill="FFFFFF"/>
          <w:lang w:val="en-GB"/>
        </w:rPr>
        <w:t>appearance</w:t>
      </w:r>
      <w:r w:rsidR="00E22EFC" w:rsidRPr="009D1812">
        <w:rPr>
          <w:color w:val="000000"/>
          <w:shd w:val="clear" w:color="auto" w:fill="FFFFFF"/>
          <w:lang w:val="en-GB"/>
        </w:rPr>
        <w:t>,</w:t>
      </w:r>
      <w:r w:rsidRPr="009D1812">
        <w:rPr>
          <w:color w:val="000000"/>
          <w:shd w:val="clear" w:color="auto" w:fill="FFFFFF"/>
          <w:lang w:val="en-GB"/>
        </w:rPr>
        <w:t xml:space="preserve"> and lack of knowledge surrounding organic production.</w:t>
      </w:r>
      <w:r w:rsidRPr="009D1812">
        <w:rPr>
          <w:rStyle w:val="EndnoteReference"/>
          <w:color w:val="000000"/>
          <w:shd w:val="clear" w:color="auto" w:fill="FFFFFF"/>
          <w:lang w:val="en-GB"/>
        </w:rPr>
        <w:endnoteReference w:id="23"/>
      </w:r>
    </w:p>
    <w:p w14:paraId="4E7A905D" w14:textId="77777777" w:rsidR="00774404" w:rsidRPr="009C7D60" w:rsidRDefault="00774404" w:rsidP="00774404">
      <w:pPr>
        <w:pStyle w:val="BodyTextMain"/>
        <w:rPr>
          <w:color w:val="000000"/>
          <w:sz w:val="20"/>
          <w:lang w:val="en-GB"/>
        </w:rPr>
      </w:pPr>
    </w:p>
    <w:p w14:paraId="4F011474" w14:textId="7C41BC8E" w:rsidR="00774404" w:rsidRPr="009D1812" w:rsidRDefault="00774404" w:rsidP="00774404">
      <w:pPr>
        <w:pStyle w:val="BodyTextMain"/>
        <w:rPr>
          <w:color w:val="000000"/>
          <w:lang w:val="en-GB"/>
        </w:rPr>
      </w:pPr>
      <w:r w:rsidRPr="009D1812">
        <w:rPr>
          <w:lang w:val="en-GB"/>
        </w:rPr>
        <w:t>Canadians typically purchased organic food products through supermarkets (31</w:t>
      </w:r>
      <w:r w:rsidR="00E22EFC" w:rsidRPr="009D1812">
        <w:rPr>
          <w:lang w:val="en-GB"/>
        </w:rPr>
        <w:t xml:space="preserve"> per cent</w:t>
      </w:r>
      <w:r w:rsidRPr="009D1812">
        <w:rPr>
          <w:lang w:val="en-GB"/>
        </w:rPr>
        <w:t>), organic food stores (28</w:t>
      </w:r>
      <w:r w:rsidR="00E22EFC" w:rsidRPr="009D1812">
        <w:rPr>
          <w:lang w:val="en-GB"/>
        </w:rPr>
        <w:t xml:space="preserve"> per cent</w:t>
      </w:r>
      <w:r w:rsidRPr="009D1812">
        <w:rPr>
          <w:lang w:val="en-GB"/>
        </w:rPr>
        <w:t>), and local markets (27</w:t>
      </w:r>
      <w:r w:rsidR="00E22EFC" w:rsidRPr="009D1812">
        <w:rPr>
          <w:lang w:val="en-GB"/>
        </w:rPr>
        <w:t xml:space="preserve"> per cent</w:t>
      </w:r>
      <w:r w:rsidRPr="009D1812">
        <w:rPr>
          <w:lang w:val="en-GB"/>
        </w:rPr>
        <w:t>).</w:t>
      </w:r>
      <w:r w:rsidRPr="009D1812">
        <w:rPr>
          <w:rStyle w:val="EndnoteReference"/>
          <w:lang w:val="en-GB"/>
        </w:rPr>
        <w:endnoteReference w:id="24"/>
      </w:r>
      <w:r w:rsidRPr="009D1812">
        <w:rPr>
          <w:lang w:val="en-GB"/>
        </w:rPr>
        <w:t xml:space="preserve"> Furthermore, </w:t>
      </w:r>
      <w:r w:rsidRPr="009D1812">
        <w:rPr>
          <w:color w:val="000000"/>
          <w:lang w:val="en-GB"/>
        </w:rPr>
        <w:t>63</w:t>
      </w:r>
      <w:r w:rsidR="00E22EFC" w:rsidRPr="009D1812">
        <w:rPr>
          <w:color w:val="000000"/>
          <w:lang w:val="en-GB"/>
        </w:rPr>
        <w:t xml:space="preserve"> per cent</w:t>
      </w:r>
      <w:r w:rsidRPr="009D1812">
        <w:rPr>
          <w:color w:val="000000"/>
          <w:lang w:val="en-GB"/>
        </w:rPr>
        <w:t xml:space="preserve"> of Canadians who </w:t>
      </w:r>
      <w:r w:rsidR="00E22EFC" w:rsidRPr="009D1812">
        <w:rPr>
          <w:color w:val="000000"/>
          <w:lang w:val="en-GB"/>
        </w:rPr>
        <w:t xml:space="preserve">bought </w:t>
      </w:r>
      <w:r w:rsidRPr="009D1812">
        <w:rPr>
          <w:color w:val="000000"/>
          <w:lang w:val="en-GB"/>
        </w:rPr>
        <w:lastRenderedPageBreak/>
        <w:t>organic lived in Canada’s largest cities, 62</w:t>
      </w:r>
      <w:r w:rsidR="00E22EFC" w:rsidRPr="009D1812">
        <w:rPr>
          <w:color w:val="000000"/>
          <w:lang w:val="en-GB"/>
        </w:rPr>
        <w:t xml:space="preserve"> per cent</w:t>
      </w:r>
      <w:r w:rsidRPr="009D1812">
        <w:rPr>
          <w:color w:val="000000"/>
          <w:lang w:val="en-GB"/>
        </w:rPr>
        <w:t xml:space="preserve"> had families with children under the age of </w:t>
      </w:r>
      <w:r w:rsidR="00A87336" w:rsidRPr="009D1812">
        <w:rPr>
          <w:color w:val="000000"/>
          <w:lang w:val="en-GB"/>
        </w:rPr>
        <w:t>two</w:t>
      </w:r>
      <w:r w:rsidRPr="009D1812">
        <w:rPr>
          <w:color w:val="000000"/>
          <w:lang w:val="en-GB"/>
        </w:rPr>
        <w:t xml:space="preserve">, </w:t>
      </w:r>
      <w:r w:rsidR="00A87336" w:rsidRPr="009D1812">
        <w:rPr>
          <w:color w:val="000000"/>
          <w:lang w:val="en-GB"/>
        </w:rPr>
        <w:t>62</w:t>
      </w:r>
      <w:r w:rsidR="007817B3">
        <w:rPr>
          <w:color w:val="000000"/>
          <w:lang w:val="en-GB"/>
        </w:rPr>
        <w:t xml:space="preserve"> </w:t>
      </w:r>
      <w:r w:rsidR="00A87336" w:rsidRPr="009D1812">
        <w:rPr>
          <w:color w:val="000000"/>
          <w:lang w:val="en-GB"/>
        </w:rPr>
        <w:t>per</w:t>
      </w:r>
      <w:r w:rsidR="007817B3">
        <w:rPr>
          <w:color w:val="000000"/>
          <w:lang w:val="en-GB"/>
        </w:rPr>
        <w:t xml:space="preserve"> </w:t>
      </w:r>
      <w:r w:rsidR="00C525D0" w:rsidRPr="009D1812">
        <w:rPr>
          <w:color w:val="000000"/>
          <w:lang w:val="en-GB"/>
        </w:rPr>
        <w:t>cent</w:t>
      </w:r>
      <w:r w:rsidRPr="009D1812">
        <w:rPr>
          <w:color w:val="000000"/>
          <w:lang w:val="en-GB"/>
        </w:rPr>
        <w:t xml:space="preserve"> were between the ages of 35 </w:t>
      </w:r>
      <w:r w:rsidR="00C525D0" w:rsidRPr="009D1812">
        <w:rPr>
          <w:color w:val="000000"/>
          <w:lang w:val="en-GB"/>
        </w:rPr>
        <w:t>and</w:t>
      </w:r>
      <w:r w:rsidRPr="009D1812">
        <w:rPr>
          <w:color w:val="000000"/>
          <w:lang w:val="en-GB"/>
        </w:rPr>
        <w:t xml:space="preserve"> 44, and 61</w:t>
      </w:r>
      <w:r w:rsidR="00C525D0" w:rsidRPr="009D1812">
        <w:rPr>
          <w:color w:val="000000"/>
          <w:lang w:val="en-GB"/>
        </w:rPr>
        <w:t xml:space="preserve"> per cent were</w:t>
      </w:r>
      <w:r w:rsidRPr="009D1812">
        <w:rPr>
          <w:color w:val="000000"/>
          <w:lang w:val="en-GB"/>
        </w:rPr>
        <w:t xml:space="preserve"> university educated.</w:t>
      </w:r>
      <w:r w:rsidRPr="009D1812">
        <w:rPr>
          <w:rStyle w:val="EndnoteReference"/>
          <w:color w:val="000000"/>
          <w:lang w:val="en-GB"/>
        </w:rPr>
        <w:endnoteReference w:id="25"/>
      </w:r>
      <w:r w:rsidRPr="009D1812">
        <w:rPr>
          <w:color w:val="000000"/>
          <w:lang w:val="en-GB"/>
        </w:rPr>
        <w:t xml:space="preserve"> </w:t>
      </w:r>
    </w:p>
    <w:p w14:paraId="777A89B8" w14:textId="77777777" w:rsidR="00774404" w:rsidRPr="009C7D60" w:rsidRDefault="00774404" w:rsidP="00774404">
      <w:pPr>
        <w:pStyle w:val="BodyTextMain"/>
        <w:rPr>
          <w:color w:val="000000"/>
          <w:sz w:val="20"/>
          <w:lang w:val="en-GB"/>
        </w:rPr>
      </w:pPr>
    </w:p>
    <w:p w14:paraId="3302410B" w14:textId="77777777" w:rsidR="00774404" w:rsidRPr="009C7D60" w:rsidRDefault="00774404" w:rsidP="00774404">
      <w:pPr>
        <w:pStyle w:val="BodyTextMain"/>
        <w:rPr>
          <w:sz w:val="20"/>
          <w:lang w:val="en-GB"/>
        </w:rPr>
      </w:pPr>
    </w:p>
    <w:p w14:paraId="78861DBB" w14:textId="47DC6A9A" w:rsidR="00774404" w:rsidRPr="009D1812" w:rsidRDefault="0020045D" w:rsidP="00774404">
      <w:pPr>
        <w:pStyle w:val="Casehead1"/>
        <w:rPr>
          <w:lang w:val="en-GB"/>
        </w:rPr>
      </w:pPr>
      <w:r w:rsidRPr="009D1812">
        <w:rPr>
          <w:lang w:val="en-GB"/>
        </w:rPr>
        <w:t xml:space="preserve">CANADA’S </w:t>
      </w:r>
      <w:r w:rsidR="00774404" w:rsidRPr="009D1812">
        <w:rPr>
          <w:lang w:val="en-GB"/>
        </w:rPr>
        <w:t xml:space="preserve">GROCERY RETAIL INDUSTRY </w:t>
      </w:r>
    </w:p>
    <w:p w14:paraId="4C2F8DDD" w14:textId="77777777" w:rsidR="00774404" w:rsidRPr="009C7D60" w:rsidRDefault="00774404" w:rsidP="00774404">
      <w:pPr>
        <w:pStyle w:val="BodyTextMain"/>
        <w:rPr>
          <w:sz w:val="20"/>
          <w:lang w:val="en-GB"/>
        </w:rPr>
      </w:pPr>
    </w:p>
    <w:p w14:paraId="4989927B" w14:textId="55C936EF" w:rsidR="00774404" w:rsidRPr="009D1812" w:rsidRDefault="00774404" w:rsidP="00774404">
      <w:pPr>
        <w:pStyle w:val="BodyTextMain"/>
        <w:rPr>
          <w:lang w:val="en-GB"/>
        </w:rPr>
      </w:pPr>
      <w:r w:rsidRPr="009D1812">
        <w:rPr>
          <w:lang w:val="en-GB"/>
        </w:rPr>
        <w:t>Grocery retail was a</w:t>
      </w:r>
      <w:r w:rsidR="001B68A8" w:rsidRPr="009D1812">
        <w:rPr>
          <w:lang w:val="en-GB"/>
        </w:rPr>
        <w:t>n</w:t>
      </w:r>
      <w:r w:rsidRPr="009D1812">
        <w:rPr>
          <w:lang w:val="en-GB"/>
        </w:rPr>
        <w:t xml:space="preserve"> $81.6 billion industry in Canada</w:t>
      </w:r>
      <w:r w:rsidR="001B68A8" w:rsidRPr="009D1812">
        <w:rPr>
          <w:lang w:val="en-GB"/>
        </w:rPr>
        <w:t>,</w:t>
      </w:r>
      <w:r w:rsidRPr="009D1812">
        <w:rPr>
          <w:lang w:val="en-GB"/>
        </w:rPr>
        <w:t xml:space="preserve"> with </w:t>
      </w:r>
      <w:proofErr w:type="spellStart"/>
      <w:r w:rsidRPr="009D1812">
        <w:rPr>
          <w:lang w:val="en-GB"/>
        </w:rPr>
        <w:t>Loblaws</w:t>
      </w:r>
      <w:proofErr w:type="spellEnd"/>
      <w:r w:rsidRPr="009D1812">
        <w:rPr>
          <w:lang w:val="en-GB"/>
        </w:rPr>
        <w:t xml:space="preserve"> and Sobeys dominating nearly </w:t>
      </w:r>
      <w:r w:rsidR="00A87336" w:rsidRPr="009D1812">
        <w:rPr>
          <w:lang w:val="en-GB"/>
        </w:rPr>
        <w:t>60</w:t>
      </w:r>
      <w:r w:rsidR="007817B3">
        <w:rPr>
          <w:lang w:val="en-GB"/>
        </w:rPr>
        <w:t xml:space="preserve"> </w:t>
      </w:r>
      <w:r w:rsidR="00A87336" w:rsidRPr="009D1812">
        <w:rPr>
          <w:lang w:val="en-GB"/>
        </w:rPr>
        <w:t>per</w:t>
      </w:r>
      <w:r w:rsidR="007817B3">
        <w:rPr>
          <w:lang w:val="en-GB"/>
        </w:rPr>
        <w:t xml:space="preserve"> </w:t>
      </w:r>
      <w:r w:rsidR="001B68A8" w:rsidRPr="009D1812">
        <w:rPr>
          <w:lang w:val="en-GB"/>
        </w:rPr>
        <w:t>cent</w:t>
      </w:r>
      <w:r w:rsidRPr="009D1812">
        <w:rPr>
          <w:lang w:val="en-GB"/>
        </w:rPr>
        <w:t xml:space="preserve"> of the market. The industry peaked in 2009</w:t>
      </w:r>
      <w:r w:rsidR="001B68A8" w:rsidRPr="009D1812">
        <w:rPr>
          <w:lang w:val="en-GB"/>
        </w:rPr>
        <w:t>,</w:t>
      </w:r>
      <w:r w:rsidRPr="009D1812">
        <w:rPr>
          <w:lang w:val="en-GB"/>
        </w:rPr>
        <w:t xml:space="preserve"> when revenues reached $84.4 billion before declining due to the </w:t>
      </w:r>
      <w:r w:rsidRPr="009D1812">
        <w:rPr>
          <w:color w:val="000000"/>
          <w:lang w:val="en-GB"/>
        </w:rPr>
        <w:t>impact of the 2008 global financial crisis on consumer disposable income. From 2016</w:t>
      </w:r>
      <w:r w:rsidR="00471E21" w:rsidRPr="009D1812">
        <w:rPr>
          <w:color w:val="000000"/>
          <w:lang w:val="en-GB"/>
        </w:rPr>
        <w:t xml:space="preserve"> to </w:t>
      </w:r>
      <w:r w:rsidRPr="009D1812">
        <w:rPr>
          <w:color w:val="000000"/>
          <w:lang w:val="en-GB"/>
        </w:rPr>
        <w:t xml:space="preserve">2021, the grocery retail industry was expected to grow by </w:t>
      </w:r>
      <w:r w:rsidR="00BF3DA6" w:rsidRPr="009D1812">
        <w:rPr>
          <w:color w:val="000000"/>
          <w:lang w:val="en-GB"/>
        </w:rPr>
        <w:t>1</w:t>
      </w:r>
      <w:r w:rsidR="001B68A8" w:rsidRPr="009D1812">
        <w:rPr>
          <w:color w:val="000000"/>
          <w:lang w:val="en-GB"/>
        </w:rPr>
        <w:t xml:space="preserve"> per cent</w:t>
      </w:r>
      <w:r w:rsidRPr="009D1812">
        <w:rPr>
          <w:color w:val="000000"/>
          <w:lang w:val="en-GB"/>
        </w:rPr>
        <w:t xml:space="preserve"> per year.</w:t>
      </w:r>
      <w:r w:rsidRPr="009D1812">
        <w:rPr>
          <w:rStyle w:val="EndnoteReference"/>
          <w:color w:val="000000"/>
          <w:lang w:val="en-GB"/>
        </w:rPr>
        <w:endnoteReference w:id="26"/>
      </w:r>
      <w:r w:rsidR="00423DC6" w:rsidRPr="009D1812">
        <w:rPr>
          <w:color w:val="000000"/>
          <w:lang w:val="en-GB"/>
        </w:rPr>
        <w:t xml:space="preserve"> </w:t>
      </w:r>
      <w:r w:rsidRPr="009D1812">
        <w:rPr>
          <w:color w:val="000000"/>
          <w:lang w:val="en-GB"/>
        </w:rPr>
        <w:t xml:space="preserve">After major American retailers Costco and Walmart expanded into the grocery business, the industry </w:t>
      </w:r>
      <w:r w:rsidR="001B68A8" w:rsidRPr="009D1812">
        <w:rPr>
          <w:color w:val="000000"/>
          <w:lang w:val="en-GB"/>
        </w:rPr>
        <w:t xml:space="preserve">became </w:t>
      </w:r>
      <w:r w:rsidRPr="009D1812">
        <w:rPr>
          <w:color w:val="000000"/>
          <w:lang w:val="en-GB"/>
        </w:rPr>
        <w:t>more competitive</w:t>
      </w:r>
      <w:r w:rsidR="001B68A8" w:rsidRPr="009D1812">
        <w:rPr>
          <w:color w:val="000000"/>
          <w:lang w:val="en-GB"/>
        </w:rPr>
        <w:t xml:space="preserve"> than ever</w:t>
      </w:r>
      <w:r w:rsidRPr="009D1812">
        <w:rPr>
          <w:color w:val="000000"/>
          <w:lang w:val="en-GB"/>
        </w:rPr>
        <w:t>, with many retailers forced to engage in price-based competition. Despite the increased competition, grocery retailers were expected to benefit from the rise in health</w:t>
      </w:r>
      <w:r w:rsidR="001B68A8" w:rsidRPr="009D1812">
        <w:rPr>
          <w:color w:val="000000"/>
          <w:lang w:val="en-GB"/>
        </w:rPr>
        <w:t>-</w:t>
      </w:r>
      <w:r w:rsidRPr="009D1812">
        <w:rPr>
          <w:color w:val="000000"/>
          <w:lang w:val="en-GB"/>
        </w:rPr>
        <w:t>conscious consumers seeking to purchase organic, all</w:t>
      </w:r>
      <w:r w:rsidR="00C60062" w:rsidRPr="009D1812">
        <w:rPr>
          <w:color w:val="000000"/>
          <w:lang w:val="en-GB"/>
        </w:rPr>
        <w:t>-</w:t>
      </w:r>
      <w:r w:rsidRPr="009D1812">
        <w:rPr>
          <w:color w:val="000000"/>
          <w:lang w:val="en-GB"/>
        </w:rPr>
        <w:t>natural</w:t>
      </w:r>
      <w:r w:rsidR="00C60062" w:rsidRPr="009D1812">
        <w:rPr>
          <w:color w:val="000000"/>
          <w:lang w:val="en-GB"/>
        </w:rPr>
        <w:t>,</w:t>
      </w:r>
      <w:r w:rsidRPr="009D1812">
        <w:rPr>
          <w:color w:val="000000"/>
          <w:lang w:val="en-GB"/>
        </w:rPr>
        <w:t xml:space="preserve"> and value-added products. In order to maintain profitably, many of the leading grocery retailers were expected to expand their organic private-label offerings.</w:t>
      </w:r>
    </w:p>
    <w:p w14:paraId="3DC5499B" w14:textId="77777777" w:rsidR="00774404" w:rsidRDefault="00774404" w:rsidP="00774404">
      <w:pPr>
        <w:pStyle w:val="BodyTextMain"/>
        <w:rPr>
          <w:sz w:val="20"/>
          <w:lang w:val="en-GB"/>
        </w:rPr>
      </w:pPr>
    </w:p>
    <w:p w14:paraId="5E02E408" w14:textId="77777777" w:rsidR="009C7D60" w:rsidRPr="009C7D60" w:rsidRDefault="009C7D60" w:rsidP="00774404">
      <w:pPr>
        <w:pStyle w:val="BodyTextMain"/>
        <w:rPr>
          <w:sz w:val="20"/>
          <w:lang w:val="en-GB"/>
        </w:rPr>
      </w:pPr>
    </w:p>
    <w:p w14:paraId="54A59FBE" w14:textId="77777777" w:rsidR="00774404" w:rsidRPr="009D1812" w:rsidRDefault="00774404" w:rsidP="00774404">
      <w:pPr>
        <w:pStyle w:val="Casehead2"/>
        <w:rPr>
          <w:lang w:val="en-GB"/>
        </w:rPr>
      </w:pPr>
      <w:r w:rsidRPr="009D1812">
        <w:rPr>
          <w:lang w:val="en-GB"/>
        </w:rPr>
        <w:t>E</w:t>
      </w:r>
      <w:r w:rsidR="00BB011D" w:rsidRPr="009D1812">
        <w:rPr>
          <w:lang w:val="en-GB"/>
        </w:rPr>
        <w:t xml:space="preserve">DMONTON: A FOOD DESERT </w:t>
      </w:r>
      <w:r w:rsidRPr="009D1812">
        <w:rPr>
          <w:lang w:val="en-GB"/>
        </w:rPr>
        <w:t xml:space="preserve"> </w:t>
      </w:r>
    </w:p>
    <w:p w14:paraId="70EE0D18" w14:textId="77777777" w:rsidR="00774404" w:rsidRPr="009C7D60" w:rsidRDefault="00774404" w:rsidP="00774404">
      <w:pPr>
        <w:pStyle w:val="BodyTextMain"/>
        <w:rPr>
          <w:sz w:val="20"/>
          <w:lang w:val="en-GB"/>
        </w:rPr>
      </w:pPr>
    </w:p>
    <w:p w14:paraId="77794016" w14:textId="2D162109" w:rsidR="00774404" w:rsidRPr="009D1812" w:rsidRDefault="00774404" w:rsidP="00774404">
      <w:pPr>
        <w:pStyle w:val="BodyTextMain"/>
        <w:rPr>
          <w:lang w:val="en-GB"/>
        </w:rPr>
      </w:pPr>
      <w:r w:rsidRPr="009D1812">
        <w:rPr>
          <w:lang w:val="en-GB"/>
        </w:rPr>
        <w:t xml:space="preserve">A study released by the University of Alberta’s School of Retailing examined current and proposed grocery store locations in seven Canadian urban centres, including Edmonton. The </w:t>
      </w:r>
      <w:r w:rsidR="00471E21" w:rsidRPr="009D1812">
        <w:rPr>
          <w:lang w:val="en-GB"/>
        </w:rPr>
        <w:t>study mapped</w:t>
      </w:r>
      <w:r w:rsidRPr="009D1812">
        <w:rPr>
          <w:lang w:val="en-GB"/>
        </w:rPr>
        <w:t xml:space="preserve"> out potentially underserved areas, also known as food deserts, where consumers lack</w:t>
      </w:r>
      <w:r w:rsidR="0034018F" w:rsidRPr="009D1812">
        <w:rPr>
          <w:lang w:val="en-GB"/>
        </w:rPr>
        <w:t>ed</w:t>
      </w:r>
      <w:r w:rsidRPr="009D1812">
        <w:rPr>
          <w:lang w:val="en-GB"/>
        </w:rPr>
        <w:t xml:space="preserve"> access to affordable, nutritious food. Food deserts particularly arose within populated, low-income area</w:t>
      </w:r>
      <w:r w:rsidR="00471E21" w:rsidRPr="009D1812">
        <w:rPr>
          <w:lang w:val="en-GB"/>
        </w:rPr>
        <w:t>s</w:t>
      </w:r>
      <w:r w:rsidRPr="009D1812">
        <w:rPr>
          <w:lang w:val="en-GB"/>
        </w:rPr>
        <w:t xml:space="preserve"> </w:t>
      </w:r>
      <w:r w:rsidR="0034018F" w:rsidRPr="009D1812">
        <w:rPr>
          <w:lang w:val="en-GB"/>
        </w:rPr>
        <w:t xml:space="preserve">that had </w:t>
      </w:r>
      <w:r w:rsidRPr="009D1812">
        <w:rPr>
          <w:lang w:val="en-GB"/>
        </w:rPr>
        <w:t>limited access to full</w:t>
      </w:r>
      <w:r w:rsidR="00650408" w:rsidRPr="009D1812">
        <w:rPr>
          <w:lang w:val="en-GB"/>
        </w:rPr>
        <w:t>-</w:t>
      </w:r>
      <w:r w:rsidRPr="009D1812">
        <w:rPr>
          <w:lang w:val="en-GB"/>
        </w:rPr>
        <w:t xml:space="preserve">service supermarkets. Typically, </w:t>
      </w:r>
      <w:r w:rsidR="00C36F64" w:rsidRPr="009D1812">
        <w:rPr>
          <w:lang w:val="en-GB"/>
        </w:rPr>
        <w:t>1.5 square metr</w:t>
      </w:r>
      <w:r w:rsidR="00065881" w:rsidRPr="009D1812">
        <w:rPr>
          <w:lang w:val="en-GB"/>
        </w:rPr>
        <w:t>e</w:t>
      </w:r>
      <w:r w:rsidR="00C36F64" w:rsidRPr="009D1812">
        <w:rPr>
          <w:lang w:val="en-GB"/>
        </w:rPr>
        <w:t>s</w:t>
      </w:r>
      <w:r w:rsidRPr="009D1812">
        <w:rPr>
          <w:lang w:val="en-GB"/>
        </w:rPr>
        <w:t xml:space="preserve"> of grocery retail </w:t>
      </w:r>
      <w:r w:rsidR="00471E21" w:rsidRPr="009D1812">
        <w:rPr>
          <w:lang w:val="en-GB"/>
        </w:rPr>
        <w:t xml:space="preserve">space </w:t>
      </w:r>
      <w:r w:rsidRPr="009D1812">
        <w:rPr>
          <w:lang w:val="en-GB"/>
        </w:rPr>
        <w:t xml:space="preserve">per capita was desirable, with less than </w:t>
      </w:r>
      <w:r w:rsidR="00471E21" w:rsidRPr="009D1812">
        <w:rPr>
          <w:lang w:val="en-GB"/>
        </w:rPr>
        <w:t>0</w:t>
      </w:r>
      <w:r w:rsidR="00C36F64" w:rsidRPr="009D1812">
        <w:rPr>
          <w:lang w:val="en-GB"/>
        </w:rPr>
        <w:t xml:space="preserve">.9 </w:t>
      </w:r>
      <w:r w:rsidR="00296BF7" w:rsidRPr="009D1812">
        <w:rPr>
          <w:lang w:val="en-GB"/>
        </w:rPr>
        <w:t xml:space="preserve">square </w:t>
      </w:r>
      <w:r w:rsidR="00C36F64" w:rsidRPr="009D1812">
        <w:rPr>
          <w:lang w:val="en-GB"/>
        </w:rPr>
        <w:t>metr</w:t>
      </w:r>
      <w:r w:rsidR="00065881" w:rsidRPr="009D1812">
        <w:rPr>
          <w:lang w:val="en-GB"/>
        </w:rPr>
        <w:t>e</w:t>
      </w:r>
      <w:r w:rsidR="00C36F64" w:rsidRPr="009D1812">
        <w:rPr>
          <w:lang w:val="en-GB"/>
        </w:rPr>
        <w:t>s</w:t>
      </w:r>
      <w:r w:rsidRPr="009D1812">
        <w:rPr>
          <w:lang w:val="en-GB"/>
        </w:rPr>
        <w:t xml:space="preserve"> </w:t>
      </w:r>
      <w:r w:rsidR="00471E21" w:rsidRPr="009D1812">
        <w:rPr>
          <w:lang w:val="en-GB"/>
        </w:rPr>
        <w:t xml:space="preserve">per capita </w:t>
      </w:r>
      <w:r w:rsidRPr="009D1812">
        <w:rPr>
          <w:lang w:val="en-GB"/>
        </w:rPr>
        <w:t xml:space="preserve">considered </w:t>
      </w:r>
      <w:r w:rsidR="0034018F" w:rsidRPr="009D1812">
        <w:rPr>
          <w:lang w:val="en-GB"/>
        </w:rPr>
        <w:t xml:space="preserve">to be </w:t>
      </w:r>
      <w:r w:rsidRPr="009D1812">
        <w:rPr>
          <w:lang w:val="en-GB"/>
        </w:rPr>
        <w:t>a food desert.</w:t>
      </w:r>
      <w:r w:rsidRPr="009D1812">
        <w:rPr>
          <w:rStyle w:val="EndnoteReference"/>
          <w:lang w:val="en-GB"/>
        </w:rPr>
        <w:endnoteReference w:id="27"/>
      </w:r>
    </w:p>
    <w:p w14:paraId="019C7B44" w14:textId="77777777" w:rsidR="00774404" w:rsidRPr="009C7D60" w:rsidRDefault="00774404" w:rsidP="00774404">
      <w:pPr>
        <w:pStyle w:val="BodyTextMain"/>
        <w:rPr>
          <w:sz w:val="20"/>
          <w:lang w:val="en-GB"/>
        </w:rPr>
      </w:pPr>
    </w:p>
    <w:p w14:paraId="6B318923" w14:textId="58AC0FE7" w:rsidR="00774404" w:rsidRPr="009D1812" w:rsidRDefault="00774404" w:rsidP="00774404">
      <w:pPr>
        <w:pStyle w:val="BodyTextMain"/>
        <w:rPr>
          <w:lang w:val="en-GB"/>
        </w:rPr>
      </w:pPr>
      <w:r w:rsidRPr="009D1812">
        <w:rPr>
          <w:lang w:val="en-GB"/>
        </w:rPr>
        <w:t>Craig Patterson, head of applied research</w:t>
      </w:r>
      <w:r w:rsidR="0034018F" w:rsidRPr="009D1812">
        <w:rPr>
          <w:lang w:val="en-GB"/>
        </w:rPr>
        <w:t xml:space="preserve"> at the University of Alberta’s School of Retailing, summed up an important finding of the </w:t>
      </w:r>
      <w:r w:rsidR="0055568C" w:rsidRPr="009D1812">
        <w:rPr>
          <w:lang w:val="en-GB"/>
        </w:rPr>
        <w:t>u</w:t>
      </w:r>
      <w:r w:rsidR="0034018F" w:rsidRPr="009D1812">
        <w:rPr>
          <w:lang w:val="en-GB"/>
        </w:rPr>
        <w:t>niversity</w:t>
      </w:r>
      <w:r w:rsidR="0055568C" w:rsidRPr="009D1812">
        <w:rPr>
          <w:lang w:val="en-GB"/>
        </w:rPr>
        <w:t>’s</w:t>
      </w:r>
      <w:r w:rsidR="0034018F" w:rsidRPr="009D1812">
        <w:rPr>
          <w:lang w:val="en-GB"/>
        </w:rPr>
        <w:t xml:space="preserve"> study</w:t>
      </w:r>
      <w:r w:rsidRPr="009D1812">
        <w:rPr>
          <w:lang w:val="en-GB"/>
        </w:rPr>
        <w:t xml:space="preserve">: </w:t>
      </w:r>
      <w:r w:rsidRPr="00917D7F">
        <w:rPr>
          <w:lang w:val="en-GB"/>
        </w:rPr>
        <w:t xml:space="preserve">“One thing that we found in general is to make an urban area truly walkable and truly urban, grocery stores are often ideally within </w:t>
      </w:r>
      <w:r w:rsidR="00296BF7" w:rsidRPr="00917D7F">
        <w:rPr>
          <w:lang w:val="en-GB"/>
        </w:rPr>
        <w:t>500 metres</w:t>
      </w:r>
      <w:r w:rsidRPr="00917D7F">
        <w:rPr>
          <w:lang w:val="en-GB"/>
        </w:rPr>
        <w:t xml:space="preserve"> of a person’s residence.”</w:t>
      </w:r>
      <w:r w:rsidRPr="00917D7F">
        <w:rPr>
          <w:vertAlign w:val="superscript"/>
        </w:rPr>
        <w:endnoteReference w:id="28"/>
      </w:r>
      <w:r w:rsidRPr="00917D7F">
        <w:rPr>
          <w:vertAlign w:val="superscript"/>
          <w:lang w:val="en-GB"/>
        </w:rPr>
        <w:t xml:space="preserve"> </w:t>
      </w:r>
      <w:r w:rsidRPr="00917D7F">
        <w:rPr>
          <w:lang w:val="en-GB"/>
        </w:rPr>
        <w:t xml:space="preserve">The study supported what other research had already confirmed: Edmonton’s downtown </w:t>
      </w:r>
      <w:r w:rsidR="008105BA" w:rsidRPr="00917D7F">
        <w:rPr>
          <w:lang w:val="en-GB"/>
        </w:rPr>
        <w:t>was</w:t>
      </w:r>
      <w:r w:rsidRPr="00917D7F">
        <w:rPr>
          <w:lang w:val="en-GB"/>
        </w:rPr>
        <w:t xml:space="preserve"> a food desert</w:t>
      </w:r>
      <w:r w:rsidR="008105BA" w:rsidRPr="00917D7F">
        <w:rPr>
          <w:lang w:val="en-GB"/>
        </w:rPr>
        <w:t>,</w:t>
      </w:r>
      <w:r w:rsidRPr="00917D7F">
        <w:rPr>
          <w:lang w:val="en-GB"/>
        </w:rPr>
        <w:t xml:space="preserve"> with most grocers located outside the ideal </w:t>
      </w:r>
      <w:r w:rsidR="00296BF7" w:rsidRPr="00917D7F">
        <w:rPr>
          <w:lang w:val="en-GB"/>
        </w:rPr>
        <w:t>500-metre</w:t>
      </w:r>
      <w:r w:rsidRPr="00917D7F">
        <w:rPr>
          <w:lang w:val="en-GB"/>
        </w:rPr>
        <w:t xml:space="preserve"> distance from consumer residences. </w:t>
      </w:r>
      <w:r w:rsidR="009C7D60" w:rsidRPr="00917D7F">
        <w:rPr>
          <w:lang w:val="en-GB"/>
        </w:rPr>
        <w:t>T</w:t>
      </w:r>
      <w:r w:rsidRPr="00917D7F">
        <w:rPr>
          <w:lang w:val="en-GB"/>
        </w:rPr>
        <w:t>he study demonstrated that Edmonton require</w:t>
      </w:r>
      <w:r w:rsidR="002225FD" w:rsidRPr="00917D7F">
        <w:rPr>
          <w:lang w:val="en-GB"/>
        </w:rPr>
        <w:t>d</w:t>
      </w:r>
      <w:r w:rsidRPr="00917D7F">
        <w:rPr>
          <w:lang w:val="en-GB"/>
        </w:rPr>
        <w:t xml:space="preserve"> at least four more grocery stores </w:t>
      </w:r>
      <w:r w:rsidR="0055568C" w:rsidRPr="00917D7F">
        <w:rPr>
          <w:lang w:val="en-GB"/>
        </w:rPr>
        <w:t xml:space="preserve">that were </w:t>
      </w:r>
      <w:r w:rsidRPr="00917D7F">
        <w:rPr>
          <w:lang w:val="en-GB"/>
        </w:rPr>
        <w:t xml:space="preserve">larger than </w:t>
      </w:r>
      <w:r w:rsidR="00C36F64" w:rsidRPr="00917D7F">
        <w:rPr>
          <w:lang w:val="en-GB"/>
        </w:rPr>
        <w:t>3</w:t>
      </w:r>
      <w:r w:rsidR="00296BF7" w:rsidRPr="00917D7F">
        <w:rPr>
          <w:lang w:val="en-GB"/>
        </w:rPr>
        <w:t xml:space="preserve">,000 square </w:t>
      </w:r>
      <w:r w:rsidR="00C36F64" w:rsidRPr="00917D7F">
        <w:rPr>
          <w:lang w:val="en-GB"/>
        </w:rPr>
        <w:t>metr</w:t>
      </w:r>
      <w:r w:rsidR="00065881" w:rsidRPr="00917D7F">
        <w:rPr>
          <w:lang w:val="en-GB"/>
        </w:rPr>
        <w:t>e</w:t>
      </w:r>
      <w:r w:rsidR="00C36F64" w:rsidRPr="00917D7F">
        <w:rPr>
          <w:lang w:val="en-GB"/>
        </w:rPr>
        <w:t>s</w:t>
      </w:r>
      <w:r w:rsidRPr="00917D7F">
        <w:rPr>
          <w:lang w:val="en-GB"/>
        </w:rPr>
        <w:t xml:space="preserve">. </w:t>
      </w:r>
      <w:r w:rsidR="007B5843" w:rsidRPr="00917D7F">
        <w:rPr>
          <w:lang w:val="en-GB"/>
        </w:rPr>
        <w:t>The survey identified g</w:t>
      </w:r>
      <w:r w:rsidRPr="00917D7F">
        <w:rPr>
          <w:lang w:val="en-GB"/>
        </w:rPr>
        <w:t xml:space="preserve">aps in Edmonton’s urban core grocery coverage </w:t>
      </w:r>
      <w:r w:rsidR="009C7D60" w:rsidRPr="00917D7F">
        <w:rPr>
          <w:lang w:val="en-GB"/>
        </w:rPr>
        <w:t>at</w:t>
      </w:r>
      <w:r w:rsidRPr="00917D7F">
        <w:rPr>
          <w:lang w:val="en-GB"/>
        </w:rPr>
        <w:t xml:space="preserve"> </w:t>
      </w:r>
      <w:r w:rsidRPr="009D1812">
        <w:rPr>
          <w:lang w:val="en-GB"/>
        </w:rPr>
        <w:t>Jasper Avenue and 118 Street</w:t>
      </w:r>
      <w:r w:rsidR="00471E21" w:rsidRPr="009D1812">
        <w:rPr>
          <w:lang w:val="en-GB"/>
        </w:rPr>
        <w:t xml:space="preserve">, </w:t>
      </w:r>
      <w:r w:rsidRPr="009D1812">
        <w:rPr>
          <w:lang w:val="en-GB"/>
        </w:rPr>
        <w:t>Jasper Avenue and 114 Street</w:t>
      </w:r>
      <w:r w:rsidR="00471E21" w:rsidRPr="009D1812">
        <w:rPr>
          <w:lang w:val="en-GB"/>
        </w:rPr>
        <w:t xml:space="preserve">, </w:t>
      </w:r>
      <w:r w:rsidRPr="009D1812">
        <w:rPr>
          <w:lang w:val="en-GB"/>
        </w:rPr>
        <w:t>102 Avenue and 96 Street</w:t>
      </w:r>
      <w:r w:rsidR="0055568C" w:rsidRPr="009D1812">
        <w:rPr>
          <w:lang w:val="en-GB"/>
        </w:rPr>
        <w:t>,</w:t>
      </w:r>
      <w:r w:rsidRPr="009D1812">
        <w:rPr>
          <w:lang w:val="en-GB"/>
        </w:rPr>
        <w:t xml:space="preserve"> and </w:t>
      </w:r>
      <w:proofErr w:type="spellStart"/>
      <w:r w:rsidRPr="009D1812">
        <w:rPr>
          <w:lang w:val="en-GB"/>
        </w:rPr>
        <w:t>Rossdale</w:t>
      </w:r>
      <w:proofErr w:type="spellEnd"/>
      <w:r w:rsidRPr="009D1812">
        <w:rPr>
          <w:lang w:val="en-GB"/>
        </w:rPr>
        <w:t xml:space="preserve"> (</w:t>
      </w:r>
      <w:r w:rsidR="002C3392" w:rsidRPr="009D1812">
        <w:rPr>
          <w:lang w:val="en-GB"/>
        </w:rPr>
        <w:t xml:space="preserve">see </w:t>
      </w:r>
      <w:r w:rsidRPr="009D1812">
        <w:rPr>
          <w:lang w:val="en-GB"/>
        </w:rPr>
        <w:t xml:space="preserve">Exhibit </w:t>
      </w:r>
      <w:r w:rsidR="00423DC6" w:rsidRPr="009D1812">
        <w:rPr>
          <w:lang w:val="en-GB"/>
        </w:rPr>
        <w:t>2</w:t>
      </w:r>
      <w:r w:rsidRPr="009D1812">
        <w:rPr>
          <w:lang w:val="en-GB"/>
        </w:rPr>
        <w:t xml:space="preserve">). </w:t>
      </w:r>
    </w:p>
    <w:p w14:paraId="6666EEB6" w14:textId="77777777" w:rsidR="00774404" w:rsidRPr="009C7D60" w:rsidRDefault="00774404" w:rsidP="00774404">
      <w:pPr>
        <w:pStyle w:val="BodyTextMain"/>
        <w:rPr>
          <w:sz w:val="20"/>
          <w:lang w:val="en-GB"/>
        </w:rPr>
      </w:pPr>
    </w:p>
    <w:p w14:paraId="15E0B02F" w14:textId="77777777" w:rsidR="00BB011D" w:rsidRPr="009C7D60" w:rsidRDefault="00BB011D" w:rsidP="00774404">
      <w:pPr>
        <w:pStyle w:val="BodyTextMain"/>
        <w:rPr>
          <w:sz w:val="20"/>
          <w:lang w:val="en-GB"/>
        </w:rPr>
      </w:pPr>
    </w:p>
    <w:p w14:paraId="67D3BC69" w14:textId="4F072BB6" w:rsidR="00774404" w:rsidRPr="009D1812" w:rsidRDefault="009C423B" w:rsidP="007817B3">
      <w:pPr>
        <w:pStyle w:val="Casehead2"/>
        <w:keepNext/>
        <w:keepLines/>
        <w:rPr>
          <w:rFonts w:ascii="Times New Roman" w:hAnsi="Times New Roman" w:cs="Times New Roman"/>
          <w:lang w:val="en-GB"/>
        </w:rPr>
      </w:pPr>
      <w:r w:rsidRPr="009D1812">
        <w:rPr>
          <w:lang w:val="en-GB"/>
        </w:rPr>
        <w:t>The Competition</w:t>
      </w:r>
    </w:p>
    <w:p w14:paraId="40EFF0F8" w14:textId="77777777" w:rsidR="00774404" w:rsidRPr="009C7D60" w:rsidRDefault="00774404" w:rsidP="007817B3">
      <w:pPr>
        <w:pStyle w:val="BodyTextMain"/>
        <w:keepNext/>
        <w:keepLines/>
        <w:rPr>
          <w:sz w:val="20"/>
          <w:lang w:val="en-GB"/>
        </w:rPr>
      </w:pPr>
    </w:p>
    <w:p w14:paraId="4FFC385A" w14:textId="77777777" w:rsidR="00774404" w:rsidRPr="009D1812" w:rsidRDefault="00774404" w:rsidP="007817B3">
      <w:pPr>
        <w:pStyle w:val="BodyTextMain"/>
        <w:keepNext/>
        <w:keepLines/>
        <w:rPr>
          <w:lang w:val="en-GB"/>
        </w:rPr>
      </w:pPr>
      <w:r w:rsidRPr="009D1812">
        <w:rPr>
          <w:lang w:val="en-GB"/>
        </w:rPr>
        <w:t>In 2016, organic food products were found in nearly every major grocery store</w:t>
      </w:r>
      <w:r w:rsidR="001C4901" w:rsidRPr="009D1812">
        <w:rPr>
          <w:lang w:val="en-GB"/>
        </w:rPr>
        <w:t xml:space="preserve"> in Edmonton</w:t>
      </w:r>
      <w:r w:rsidRPr="009D1812">
        <w:rPr>
          <w:lang w:val="en-GB"/>
        </w:rPr>
        <w:t>. In what used to be a niche business, Earth’s General Store had to compete with both specialty organic and major grocery retailers.</w:t>
      </w:r>
      <w:r w:rsidR="009C423B" w:rsidRPr="009D1812">
        <w:rPr>
          <w:lang w:val="en-GB"/>
        </w:rPr>
        <w:t xml:space="preserve"> </w:t>
      </w:r>
      <w:r w:rsidRPr="009D1812">
        <w:rPr>
          <w:lang w:val="en-GB"/>
        </w:rPr>
        <w:t>Edmonton still relied heavily on automobiles for transport</w:t>
      </w:r>
      <w:r w:rsidR="009C423B" w:rsidRPr="009D1812">
        <w:rPr>
          <w:lang w:val="en-GB"/>
        </w:rPr>
        <w:t>, and w</w:t>
      </w:r>
      <w:r w:rsidR="00417E81" w:rsidRPr="009D1812">
        <w:rPr>
          <w:lang w:val="en-GB"/>
        </w:rPr>
        <w:t>ith the ease and convenience of their own vehicles</w:t>
      </w:r>
      <w:r w:rsidRPr="009D1812">
        <w:rPr>
          <w:lang w:val="en-GB"/>
        </w:rPr>
        <w:t xml:space="preserve">, </w:t>
      </w:r>
      <w:r w:rsidR="009C423B" w:rsidRPr="009D1812">
        <w:rPr>
          <w:lang w:val="en-GB"/>
        </w:rPr>
        <w:t xml:space="preserve">consumers </w:t>
      </w:r>
      <w:r w:rsidRPr="009D1812">
        <w:rPr>
          <w:lang w:val="en-GB"/>
        </w:rPr>
        <w:t xml:space="preserve">were willing to drive to </w:t>
      </w:r>
      <w:r w:rsidR="00417E81" w:rsidRPr="009D1812">
        <w:rPr>
          <w:lang w:val="en-GB"/>
        </w:rPr>
        <w:t>larger</w:t>
      </w:r>
      <w:r w:rsidRPr="009D1812">
        <w:rPr>
          <w:lang w:val="en-GB"/>
        </w:rPr>
        <w:t xml:space="preserve"> store hubs to do the majority of their shopping, </w:t>
      </w:r>
      <w:r w:rsidR="00417E81" w:rsidRPr="009D1812">
        <w:rPr>
          <w:lang w:val="en-GB"/>
        </w:rPr>
        <w:t xml:space="preserve">thus </w:t>
      </w:r>
      <w:r w:rsidRPr="009D1812">
        <w:rPr>
          <w:lang w:val="en-GB"/>
        </w:rPr>
        <w:t>widening the geographic reach of Earth’s General Store’s competition.</w:t>
      </w:r>
    </w:p>
    <w:p w14:paraId="1A0AC1DE" w14:textId="77777777" w:rsidR="00774404" w:rsidRPr="009C7D60" w:rsidRDefault="00774404" w:rsidP="00774404">
      <w:pPr>
        <w:pStyle w:val="BodyTextMain"/>
        <w:rPr>
          <w:sz w:val="20"/>
          <w:lang w:val="en-GB"/>
        </w:rPr>
      </w:pPr>
    </w:p>
    <w:p w14:paraId="29BC2E14" w14:textId="25F6C6CB" w:rsidR="00774404" w:rsidRPr="009D1812" w:rsidRDefault="00774404" w:rsidP="00774404">
      <w:pPr>
        <w:pStyle w:val="BodyTextMain"/>
        <w:rPr>
          <w:lang w:val="en-GB"/>
        </w:rPr>
      </w:pPr>
      <w:r w:rsidRPr="009D1812">
        <w:rPr>
          <w:lang w:val="en-GB"/>
        </w:rPr>
        <w:t xml:space="preserve">Within the Edmonton downtown and </w:t>
      </w:r>
      <w:r w:rsidR="00296BF7" w:rsidRPr="009D1812">
        <w:rPr>
          <w:lang w:val="en-GB"/>
        </w:rPr>
        <w:t>university</w:t>
      </w:r>
      <w:r w:rsidRPr="009D1812">
        <w:rPr>
          <w:lang w:val="en-GB"/>
        </w:rPr>
        <w:t xml:space="preserve"> core, three organic-only grocers compet</w:t>
      </w:r>
      <w:r w:rsidR="00417E81" w:rsidRPr="009D1812">
        <w:rPr>
          <w:lang w:val="en-GB"/>
        </w:rPr>
        <w:t>ed</w:t>
      </w:r>
      <w:r w:rsidRPr="009D1812">
        <w:rPr>
          <w:lang w:val="en-GB"/>
        </w:rPr>
        <w:t xml:space="preserve"> directly with Earth’s General Store: two </w:t>
      </w:r>
      <w:r w:rsidR="00471E21" w:rsidRPr="009D1812">
        <w:rPr>
          <w:lang w:val="en-GB"/>
        </w:rPr>
        <w:t xml:space="preserve">stores from </w:t>
      </w:r>
      <w:r w:rsidRPr="009D1812">
        <w:rPr>
          <w:lang w:val="en-GB"/>
        </w:rPr>
        <w:t>Planet Organic Market, a large organic chain grocer; Wild Earth Foods, a local</w:t>
      </w:r>
      <w:r w:rsidR="005F04AD" w:rsidRPr="009D1812">
        <w:rPr>
          <w:lang w:val="en-GB"/>
        </w:rPr>
        <w:t>ly</w:t>
      </w:r>
      <w:r w:rsidRPr="009D1812">
        <w:rPr>
          <w:lang w:val="en-GB"/>
        </w:rPr>
        <w:t xml:space="preserve"> owned and operated family grocer; and Blush Lane Organic Market, a family-owned natural foods store. </w:t>
      </w:r>
    </w:p>
    <w:p w14:paraId="3340733C" w14:textId="77777777" w:rsidR="00774404" w:rsidRPr="009C7D60" w:rsidRDefault="00774404" w:rsidP="00774404">
      <w:pPr>
        <w:pStyle w:val="BodyTextMain"/>
        <w:rPr>
          <w:sz w:val="20"/>
          <w:lang w:val="en-GB"/>
        </w:rPr>
      </w:pPr>
    </w:p>
    <w:p w14:paraId="4A918097" w14:textId="75E0D7F4" w:rsidR="00774404" w:rsidRPr="009D1812" w:rsidRDefault="00774404" w:rsidP="00774404">
      <w:pPr>
        <w:pStyle w:val="BodyTextMain"/>
        <w:rPr>
          <w:lang w:val="en-GB"/>
        </w:rPr>
      </w:pPr>
      <w:r w:rsidRPr="009D1812">
        <w:rPr>
          <w:lang w:val="en-GB"/>
        </w:rPr>
        <w:t xml:space="preserve">In the same district, many major Canadian grocery retailers </w:t>
      </w:r>
      <w:r w:rsidR="005F776D" w:rsidRPr="009D1812">
        <w:rPr>
          <w:lang w:val="en-GB"/>
        </w:rPr>
        <w:t xml:space="preserve">(Safeway, </w:t>
      </w:r>
      <w:r w:rsidR="00471E21" w:rsidRPr="009D1812">
        <w:rPr>
          <w:lang w:val="en-GB"/>
        </w:rPr>
        <w:t>Save-On-</w:t>
      </w:r>
      <w:r w:rsidR="005F776D" w:rsidRPr="009D1812">
        <w:rPr>
          <w:lang w:val="en-GB"/>
        </w:rPr>
        <w:t xml:space="preserve">Foods, Sobeys, </w:t>
      </w:r>
      <w:r w:rsidR="00471E21" w:rsidRPr="009D1812">
        <w:rPr>
          <w:lang w:val="en-GB"/>
        </w:rPr>
        <w:t xml:space="preserve">and </w:t>
      </w:r>
      <w:r w:rsidR="005F776D" w:rsidRPr="009D1812">
        <w:rPr>
          <w:lang w:val="en-GB"/>
        </w:rPr>
        <w:t xml:space="preserve">No Frills) </w:t>
      </w:r>
      <w:r w:rsidRPr="009D1812">
        <w:rPr>
          <w:lang w:val="en-GB"/>
        </w:rPr>
        <w:t>offer</w:t>
      </w:r>
      <w:r w:rsidR="00417E81" w:rsidRPr="009D1812">
        <w:rPr>
          <w:lang w:val="en-GB"/>
        </w:rPr>
        <w:t>ed</w:t>
      </w:r>
      <w:r w:rsidRPr="009D1812">
        <w:rPr>
          <w:lang w:val="en-GB"/>
        </w:rPr>
        <w:t xml:space="preserve"> a limited selection of organic products</w:t>
      </w:r>
      <w:r w:rsidR="00423DC6" w:rsidRPr="009D1812">
        <w:rPr>
          <w:lang w:val="en-GB"/>
        </w:rPr>
        <w:t xml:space="preserve">, generally at lower prices </w:t>
      </w:r>
      <w:r w:rsidR="005F04AD" w:rsidRPr="009D1812">
        <w:rPr>
          <w:lang w:val="en-GB"/>
        </w:rPr>
        <w:t xml:space="preserve">than those offered by Earth’s </w:t>
      </w:r>
      <w:r w:rsidR="005F04AD" w:rsidRPr="009D1812">
        <w:rPr>
          <w:lang w:val="en-GB"/>
        </w:rPr>
        <w:lastRenderedPageBreak/>
        <w:t xml:space="preserve">General Store </w:t>
      </w:r>
      <w:r w:rsidR="00423DC6" w:rsidRPr="009D1812">
        <w:rPr>
          <w:lang w:val="en-GB"/>
        </w:rPr>
        <w:t>(see Exhibit 3)</w:t>
      </w:r>
      <w:r w:rsidR="00950A1C" w:rsidRPr="009D1812">
        <w:rPr>
          <w:lang w:val="en-GB"/>
        </w:rPr>
        <w:t>.</w:t>
      </w:r>
      <w:r w:rsidRPr="009D1812">
        <w:rPr>
          <w:lang w:val="en-GB"/>
        </w:rPr>
        <w:t xml:space="preserve"> Whole Foods, a popular organic</w:t>
      </w:r>
      <w:r w:rsidR="007F7240" w:rsidRPr="009D1812">
        <w:rPr>
          <w:lang w:val="en-GB"/>
        </w:rPr>
        <w:t xml:space="preserve">-food </w:t>
      </w:r>
      <w:r w:rsidRPr="009D1812">
        <w:rPr>
          <w:lang w:val="en-GB"/>
        </w:rPr>
        <w:t xml:space="preserve">retailer from the United States, announced that </w:t>
      </w:r>
      <w:r w:rsidR="00570DE1" w:rsidRPr="009D1812">
        <w:rPr>
          <w:lang w:val="en-GB"/>
        </w:rPr>
        <w:t xml:space="preserve">its </w:t>
      </w:r>
      <w:r w:rsidRPr="009D1812">
        <w:rPr>
          <w:lang w:val="en-GB"/>
        </w:rPr>
        <w:t xml:space="preserve">first Alberta store would open in the summer of 2016 in a </w:t>
      </w:r>
      <w:r w:rsidR="00C36F64" w:rsidRPr="009D1812">
        <w:rPr>
          <w:lang w:val="en-GB"/>
        </w:rPr>
        <w:t>12,800</w:t>
      </w:r>
      <w:r w:rsidR="00296BF7" w:rsidRPr="009D1812">
        <w:rPr>
          <w:lang w:val="en-GB"/>
        </w:rPr>
        <w:t>-</w:t>
      </w:r>
      <w:r w:rsidR="00B318AF" w:rsidRPr="009D1812">
        <w:rPr>
          <w:lang w:val="en-GB"/>
        </w:rPr>
        <w:t>square-</w:t>
      </w:r>
      <w:r w:rsidR="00C36F64" w:rsidRPr="009D1812">
        <w:rPr>
          <w:lang w:val="en-GB"/>
        </w:rPr>
        <w:t>metr</w:t>
      </w:r>
      <w:r w:rsidR="00065881" w:rsidRPr="009D1812">
        <w:rPr>
          <w:lang w:val="en-GB"/>
        </w:rPr>
        <w:t>e</w:t>
      </w:r>
      <w:r w:rsidR="00296BF7" w:rsidRPr="009D1812">
        <w:rPr>
          <w:lang w:val="en-GB"/>
        </w:rPr>
        <w:t xml:space="preserve"> </w:t>
      </w:r>
      <w:r w:rsidRPr="009D1812">
        <w:rPr>
          <w:lang w:val="en-GB"/>
        </w:rPr>
        <w:t>location in southwest Edmonton</w:t>
      </w:r>
      <w:r w:rsidR="00C36F64" w:rsidRPr="009D1812">
        <w:rPr>
          <w:lang w:val="en-GB"/>
        </w:rPr>
        <w:t>, just a 10- to 15-minute drive from downtown</w:t>
      </w:r>
      <w:r w:rsidRPr="009D1812">
        <w:rPr>
          <w:lang w:val="en-GB"/>
        </w:rPr>
        <w:t xml:space="preserve">. </w:t>
      </w:r>
      <w:r w:rsidR="00DE62E4" w:rsidRPr="009D1812">
        <w:rPr>
          <w:lang w:val="en-GB"/>
        </w:rPr>
        <w:t>As one of the largest health and organic grocers in the U</w:t>
      </w:r>
      <w:r w:rsidR="000D3C92" w:rsidRPr="009D1812">
        <w:rPr>
          <w:lang w:val="en-GB"/>
        </w:rPr>
        <w:t xml:space="preserve">nited </w:t>
      </w:r>
      <w:r w:rsidR="00DE62E4" w:rsidRPr="009D1812">
        <w:rPr>
          <w:lang w:val="en-GB"/>
        </w:rPr>
        <w:t>S</w:t>
      </w:r>
      <w:r w:rsidR="000D3C92" w:rsidRPr="009D1812">
        <w:rPr>
          <w:lang w:val="en-GB"/>
        </w:rPr>
        <w:t>tates</w:t>
      </w:r>
      <w:r w:rsidR="00DE62E4" w:rsidRPr="009D1812">
        <w:rPr>
          <w:lang w:val="en-GB"/>
        </w:rPr>
        <w:t xml:space="preserve">, Whole Foods wielded both brand and buyer power and thereby posed a significant threat </w:t>
      </w:r>
      <w:r w:rsidR="00B318AF" w:rsidRPr="009D1812">
        <w:rPr>
          <w:lang w:val="en-GB"/>
        </w:rPr>
        <w:t xml:space="preserve">to </w:t>
      </w:r>
      <w:r w:rsidR="00DE62E4" w:rsidRPr="009D1812">
        <w:rPr>
          <w:lang w:val="en-GB"/>
        </w:rPr>
        <w:t xml:space="preserve">Edmonton’s small organic grocers. </w:t>
      </w:r>
      <w:r w:rsidRPr="009D1812">
        <w:rPr>
          <w:lang w:val="en-GB"/>
        </w:rPr>
        <w:t xml:space="preserve">Furthermore, a new </w:t>
      </w:r>
      <w:proofErr w:type="spellStart"/>
      <w:r w:rsidRPr="009D1812">
        <w:rPr>
          <w:lang w:val="en-GB"/>
        </w:rPr>
        <w:t>Loblaws</w:t>
      </w:r>
      <w:proofErr w:type="spellEnd"/>
      <w:r w:rsidRPr="009D1812">
        <w:rPr>
          <w:lang w:val="en-GB"/>
        </w:rPr>
        <w:t xml:space="preserve"> City Market measuring </w:t>
      </w:r>
      <w:r w:rsidR="00C36F64" w:rsidRPr="009D1812">
        <w:rPr>
          <w:lang w:val="en-GB"/>
        </w:rPr>
        <w:t>12,227</w:t>
      </w:r>
      <w:r w:rsidR="00296BF7" w:rsidRPr="009D1812">
        <w:rPr>
          <w:lang w:val="en-GB"/>
        </w:rPr>
        <w:t xml:space="preserve"> square </w:t>
      </w:r>
      <w:r w:rsidR="00C36F64" w:rsidRPr="009D1812">
        <w:rPr>
          <w:lang w:val="en-GB"/>
        </w:rPr>
        <w:t>metr</w:t>
      </w:r>
      <w:r w:rsidR="00065881" w:rsidRPr="009D1812">
        <w:rPr>
          <w:lang w:val="en-GB"/>
        </w:rPr>
        <w:t>e</w:t>
      </w:r>
      <w:r w:rsidR="00C36F64" w:rsidRPr="009D1812">
        <w:rPr>
          <w:lang w:val="en-GB"/>
        </w:rPr>
        <w:t>s</w:t>
      </w:r>
      <w:r w:rsidRPr="009D1812">
        <w:rPr>
          <w:lang w:val="en-GB"/>
        </w:rPr>
        <w:t xml:space="preserve"> was proposed for Edmonton’s Brewery District in the northwest corner of downtown</w:t>
      </w:r>
      <w:r w:rsidR="004303A3" w:rsidRPr="009D1812">
        <w:rPr>
          <w:lang w:val="en-GB"/>
        </w:rPr>
        <w:t>,</w:t>
      </w:r>
      <w:r w:rsidRPr="009D1812">
        <w:rPr>
          <w:lang w:val="en-GB"/>
        </w:rPr>
        <w:t xml:space="preserve"> with another unconfirmed grocery store proposed within the new Edmonton Ice District. Although it was possible that a grocery store would replace the former </w:t>
      </w:r>
      <w:r w:rsidR="00C36F64" w:rsidRPr="009D1812">
        <w:rPr>
          <w:lang w:val="en-GB"/>
        </w:rPr>
        <w:t>5,</w:t>
      </w:r>
      <w:r w:rsidR="00B318AF" w:rsidRPr="009D1812">
        <w:rPr>
          <w:lang w:val="en-GB"/>
        </w:rPr>
        <w:t>760-square-</w:t>
      </w:r>
      <w:r w:rsidR="00C36F64" w:rsidRPr="009D1812">
        <w:rPr>
          <w:lang w:val="en-GB"/>
        </w:rPr>
        <w:t>metr</w:t>
      </w:r>
      <w:r w:rsidR="00065881" w:rsidRPr="009D1812">
        <w:rPr>
          <w:lang w:val="en-GB"/>
        </w:rPr>
        <w:t>e</w:t>
      </w:r>
      <w:r w:rsidRPr="009D1812">
        <w:rPr>
          <w:lang w:val="en-GB"/>
        </w:rPr>
        <w:t xml:space="preserve"> Sobeys location on the corner of 104 Street, a Shoppers Drug Mart had already opened across the street</w:t>
      </w:r>
      <w:r w:rsidR="004303A3" w:rsidRPr="009D1812">
        <w:rPr>
          <w:lang w:val="en-GB"/>
        </w:rPr>
        <w:t xml:space="preserve"> containing</w:t>
      </w:r>
      <w:r w:rsidRPr="009D1812">
        <w:rPr>
          <w:lang w:val="en-GB"/>
        </w:rPr>
        <w:t xml:space="preserve"> a grocery department </w:t>
      </w:r>
      <w:r w:rsidR="004303A3" w:rsidRPr="009D1812">
        <w:rPr>
          <w:lang w:val="en-GB"/>
        </w:rPr>
        <w:t xml:space="preserve">that </w:t>
      </w:r>
      <w:r w:rsidRPr="009D1812">
        <w:rPr>
          <w:lang w:val="en-GB"/>
        </w:rPr>
        <w:t>measur</w:t>
      </w:r>
      <w:r w:rsidR="004303A3" w:rsidRPr="009D1812">
        <w:rPr>
          <w:lang w:val="en-GB"/>
        </w:rPr>
        <w:t>ed</w:t>
      </w:r>
      <w:r w:rsidRPr="009D1812">
        <w:rPr>
          <w:lang w:val="en-GB"/>
        </w:rPr>
        <w:t xml:space="preserve"> approximately </w:t>
      </w:r>
      <w:r w:rsidR="00C36F64" w:rsidRPr="009D1812">
        <w:rPr>
          <w:lang w:val="en-GB"/>
        </w:rPr>
        <w:t>914</w:t>
      </w:r>
      <w:r w:rsidR="00296BF7" w:rsidRPr="009D1812">
        <w:rPr>
          <w:lang w:val="en-GB"/>
        </w:rPr>
        <w:t xml:space="preserve"> square </w:t>
      </w:r>
      <w:r w:rsidR="00C36F64" w:rsidRPr="009D1812">
        <w:rPr>
          <w:lang w:val="en-GB"/>
        </w:rPr>
        <w:t>metr</w:t>
      </w:r>
      <w:r w:rsidR="00065881" w:rsidRPr="009D1812">
        <w:rPr>
          <w:lang w:val="en-GB"/>
        </w:rPr>
        <w:t>e</w:t>
      </w:r>
      <w:r w:rsidR="00C36F64" w:rsidRPr="009D1812">
        <w:rPr>
          <w:lang w:val="en-GB"/>
        </w:rPr>
        <w:t>s</w:t>
      </w:r>
      <w:r w:rsidRPr="009D1812">
        <w:rPr>
          <w:lang w:val="en-GB"/>
        </w:rPr>
        <w:t>.</w:t>
      </w:r>
      <w:r w:rsidRPr="009D1812">
        <w:rPr>
          <w:rStyle w:val="EndnoteReference"/>
          <w:lang w:val="en-GB"/>
        </w:rPr>
        <w:endnoteReference w:id="29"/>
      </w:r>
    </w:p>
    <w:p w14:paraId="4AFEF8BF" w14:textId="77777777" w:rsidR="00774404" w:rsidRPr="009C7D60" w:rsidRDefault="00774404" w:rsidP="00774404">
      <w:pPr>
        <w:pStyle w:val="BodyTextMain"/>
        <w:rPr>
          <w:sz w:val="20"/>
          <w:lang w:val="en-GB"/>
        </w:rPr>
      </w:pPr>
    </w:p>
    <w:p w14:paraId="329993B3" w14:textId="4DC99ECE" w:rsidR="00774404" w:rsidRPr="009D1812" w:rsidRDefault="00163D19" w:rsidP="00774404">
      <w:pPr>
        <w:pStyle w:val="BodyTextMain"/>
        <w:rPr>
          <w:lang w:val="en-GB"/>
        </w:rPr>
      </w:pPr>
      <w:r w:rsidRPr="009D1812">
        <w:rPr>
          <w:lang w:val="en-GB"/>
        </w:rPr>
        <w:t>Two</w:t>
      </w:r>
      <w:r w:rsidR="00774404" w:rsidRPr="009D1812">
        <w:rPr>
          <w:lang w:val="en-GB"/>
        </w:rPr>
        <w:t xml:space="preserve"> </w:t>
      </w:r>
      <w:r w:rsidRPr="009D1812">
        <w:rPr>
          <w:lang w:val="en-GB"/>
        </w:rPr>
        <w:t>well-</w:t>
      </w:r>
      <w:r w:rsidR="00774404" w:rsidRPr="009D1812">
        <w:rPr>
          <w:lang w:val="en-GB"/>
        </w:rPr>
        <w:t>established home and office organic food delivery services</w:t>
      </w:r>
      <w:r w:rsidRPr="009D1812">
        <w:rPr>
          <w:lang w:val="en-GB"/>
        </w:rPr>
        <w:t>—</w:t>
      </w:r>
      <w:r w:rsidR="00774404" w:rsidRPr="009D1812">
        <w:rPr>
          <w:lang w:val="en-GB"/>
        </w:rPr>
        <w:t>SPUD and The Organic Box</w:t>
      </w:r>
      <w:r w:rsidRPr="009D1812">
        <w:rPr>
          <w:lang w:val="en-GB"/>
        </w:rPr>
        <w:t>—competed against Earth’s General Store’s new concept of bicycle-delivered organic groceries</w:t>
      </w:r>
      <w:r w:rsidR="00774404" w:rsidRPr="009D1812">
        <w:rPr>
          <w:lang w:val="en-GB"/>
        </w:rPr>
        <w:t xml:space="preserve">. As well, Edmonton was home to more than 10 unique farmers’ markets </w:t>
      </w:r>
      <w:r w:rsidRPr="009D1812">
        <w:rPr>
          <w:lang w:val="en-GB"/>
        </w:rPr>
        <w:t xml:space="preserve">that </w:t>
      </w:r>
      <w:r w:rsidR="00774404" w:rsidRPr="009D1812">
        <w:rPr>
          <w:lang w:val="en-GB"/>
        </w:rPr>
        <w:t>offer</w:t>
      </w:r>
      <w:r w:rsidRPr="009D1812">
        <w:rPr>
          <w:lang w:val="en-GB"/>
        </w:rPr>
        <w:t>ed</w:t>
      </w:r>
      <w:r w:rsidR="00774404" w:rsidRPr="009D1812">
        <w:rPr>
          <w:lang w:val="en-GB"/>
        </w:rPr>
        <w:t xml:space="preserve"> local</w:t>
      </w:r>
      <w:r w:rsidRPr="009D1812">
        <w:rPr>
          <w:lang w:val="en-GB"/>
        </w:rPr>
        <w:t>ly grown food</w:t>
      </w:r>
      <w:r w:rsidR="00774404" w:rsidRPr="009D1812">
        <w:rPr>
          <w:lang w:val="en-GB"/>
        </w:rPr>
        <w:t>, including organic</w:t>
      </w:r>
      <w:r w:rsidRPr="009D1812">
        <w:rPr>
          <w:lang w:val="en-GB"/>
        </w:rPr>
        <w:t xml:space="preserve"> options. </w:t>
      </w:r>
      <w:r w:rsidR="00774404" w:rsidRPr="009D1812">
        <w:rPr>
          <w:lang w:val="en-GB"/>
        </w:rPr>
        <w:t xml:space="preserve">In fact, Edmonton’s City Market Downtown, </w:t>
      </w:r>
      <w:r w:rsidR="00692876" w:rsidRPr="009D1812">
        <w:rPr>
          <w:lang w:val="en-GB"/>
        </w:rPr>
        <w:t xml:space="preserve">located </w:t>
      </w:r>
      <w:r w:rsidR="00B318AF" w:rsidRPr="009D1812">
        <w:rPr>
          <w:lang w:val="en-GB"/>
        </w:rPr>
        <w:t xml:space="preserve">near </w:t>
      </w:r>
      <w:r w:rsidR="00774404" w:rsidRPr="009D1812">
        <w:rPr>
          <w:lang w:val="en-GB"/>
        </w:rPr>
        <w:t>Earth’s General Store on 104 Street</w:t>
      </w:r>
      <w:r w:rsidRPr="009D1812">
        <w:rPr>
          <w:lang w:val="en-GB"/>
        </w:rPr>
        <w:t>,</w:t>
      </w:r>
      <w:r w:rsidR="00774404" w:rsidRPr="009D1812">
        <w:rPr>
          <w:lang w:val="en-GB"/>
        </w:rPr>
        <w:t xml:space="preserve"> was voted as the best farmers</w:t>
      </w:r>
      <w:r w:rsidR="00692876" w:rsidRPr="009D1812">
        <w:rPr>
          <w:lang w:val="en-GB"/>
        </w:rPr>
        <w:t>’</w:t>
      </w:r>
      <w:r w:rsidR="00774404" w:rsidRPr="009D1812">
        <w:rPr>
          <w:lang w:val="en-GB"/>
        </w:rPr>
        <w:t xml:space="preserve"> market in the world by a National Geographic travel blogger in 2013.</w:t>
      </w:r>
      <w:r w:rsidR="00774404" w:rsidRPr="009D1812">
        <w:rPr>
          <w:rStyle w:val="EndnoteReference"/>
          <w:lang w:val="en-GB"/>
        </w:rPr>
        <w:endnoteReference w:id="30"/>
      </w:r>
      <w:r w:rsidR="00774404" w:rsidRPr="009D1812">
        <w:rPr>
          <w:lang w:val="en-GB"/>
        </w:rPr>
        <w:t xml:space="preserve"> </w:t>
      </w:r>
    </w:p>
    <w:p w14:paraId="48C40B79" w14:textId="77777777" w:rsidR="00774404" w:rsidRPr="009C7D60" w:rsidRDefault="00774404" w:rsidP="00774404">
      <w:pPr>
        <w:pStyle w:val="BodyTextMain"/>
        <w:rPr>
          <w:sz w:val="20"/>
          <w:lang w:val="en-GB"/>
        </w:rPr>
      </w:pPr>
    </w:p>
    <w:p w14:paraId="23F90BCF" w14:textId="77777777" w:rsidR="00774404" w:rsidRPr="009C7D60" w:rsidRDefault="00774404" w:rsidP="00774404">
      <w:pPr>
        <w:pStyle w:val="BodyTextMain"/>
        <w:rPr>
          <w:sz w:val="20"/>
          <w:lang w:val="en-GB"/>
        </w:rPr>
      </w:pPr>
    </w:p>
    <w:p w14:paraId="2446B86D" w14:textId="77777777" w:rsidR="00774404" w:rsidRPr="009D1812" w:rsidRDefault="00774404" w:rsidP="00774404">
      <w:pPr>
        <w:pStyle w:val="Casehead1"/>
        <w:rPr>
          <w:lang w:val="en-GB"/>
        </w:rPr>
      </w:pPr>
      <w:r w:rsidRPr="009D1812">
        <w:rPr>
          <w:lang w:val="en-GB"/>
        </w:rPr>
        <w:t>DOWNTOWN EDMONTON REVITALIZATION</w:t>
      </w:r>
    </w:p>
    <w:p w14:paraId="481DF83A" w14:textId="77777777" w:rsidR="00774404" w:rsidRPr="009C7D60" w:rsidRDefault="00774404" w:rsidP="00774404">
      <w:pPr>
        <w:pStyle w:val="BodyTextMain"/>
        <w:rPr>
          <w:sz w:val="20"/>
          <w:lang w:val="en-GB"/>
        </w:rPr>
      </w:pPr>
    </w:p>
    <w:p w14:paraId="40C89F9D" w14:textId="3EEB3346" w:rsidR="00774404" w:rsidRPr="009D1812" w:rsidRDefault="00774404" w:rsidP="00774404">
      <w:pPr>
        <w:pStyle w:val="BodyTextMain"/>
        <w:rPr>
          <w:lang w:val="en-GB"/>
        </w:rPr>
      </w:pPr>
      <w:r w:rsidRPr="009D1812">
        <w:rPr>
          <w:lang w:val="en-GB"/>
        </w:rPr>
        <w:t>Edmonton was a mid-sized city located in Alberta, Canada</w:t>
      </w:r>
      <w:r w:rsidR="00802D60" w:rsidRPr="009D1812">
        <w:rPr>
          <w:lang w:val="en-GB"/>
        </w:rPr>
        <w:t>,</w:t>
      </w:r>
      <w:r w:rsidRPr="009D1812">
        <w:rPr>
          <w:lang w:val="en-GB"/>
        </w:rPr>
        <w:t xml:space="preserve"> home to 895,000 inhabitants or </w:t>
      </w:r>
      <w:r w:rsidR="00802D60" w:rsidRPr="009D1812">
        <w:rPr>
          <w:lang w:val="en-GB"/>
        </w:rPr>
        <w:t xml:space="preserve">to </w:t>
      </w:r>
      <w:r w:rsidRPr="009D1812">
        <w:rPr>
          <w:lang w:val="en-GB"/>
        </w:rPr>
        <w:t>1,278,000 inhabitants</w:t>
      </w:r>
      <w:r w:rsidR="00802D60" w:rsidRPr="009D1812">
        <w:rPr>
          <w:lang w:val="en-GB"/>
        </w:rPr>
        <w:t xml:space="preserve"> when</w:t>
      </w:r>
      <w:r w:rsidRPr="009D1812">
        <w:rPr>
          <w:lang w:val="en-GB"/>
        </w:rPr>
        <w:t xml:space="preserve"> including </w:t>
      </w:r>
      <w:r w:rsidR="00802D60" w:rsidRPr="009D1812">
        <w:rPr>
          <w:lang w:val="en-GB"/>
        </w:rPr>
        <w:t xml:space="preserve">the </w:t>
      </w:r>
      <w:r w:rsidRPr="009D1812">
        <w:rPr>
          <w:lang w:val="en-GB"/>
        </w:rPr>
        <w:t>surrounding areas.</w:t>
      </w:r>
      <w:r w:rsidRPr="009D1812">
        <w:rPr>
          <w:rStyle w:val="EndnoteReference"/>
          <w:lang w:val="en-GB"/>
        </w:rPr>
        <w:endnoteReference w:id="31"/>
      </w:r>
      <w:r w:rsidR="00802D60" w:rsidRPr="009D1812">
        <w:rPr>
          <w:lang w:val="en-GB"/>
        </w:rPr>
        <w:t xml:space="preserve"> </w:t>
      </w:r>
      <w:r w:rsidRPr="009D1812">
        <w:rPr>
          <w:lang w:val="en-GB"/>
        </w:rPr>
        <w:t xml:space="preserve">As the second fastest growing city in Canada, </w:t>
      </w:r>
      <w:r w:rsidR="009C7D60">
        <w:rPr>
          <w:lang w:val="en-GB"/>
        </w:rPr>
        <w:t>its</w:t>
      </w:r>
      <w:r w:rsidRPr="009D1812">
        <w:rPr>
          <w:lang w:val="en-GB"/>
        </w:rPr>
        <w:t xml:space="preserve"> metropolitan area population grew 3.3</w:t>
      </w:r>
      <w:r w:rsidR="005E0EC7" w:rsidRPr="009D1812">
        <w:rPr>
          <w:lang w:val="en-GB"/>
        </w:rPr>
        <w:t xml:space="preserve"> per cent</w:t>
      </w:r>
      <w:r w:rsidRPr="009D1812">
        <w:rPr>
          <w:lang w:val="en-GB"/>
        </w:rPr>
        <w:t xml:space="preserve"> from July 2013 to July 2014. Known as the Gateway to the North, Edmonton attracted many workers from across the country and around the world</w:t>
      </w:r>
      <w:r w:rsidR="00B318AF" w:rsidRPr="009D1812">
        <w:rPr>
          <w:lang w:val="en-GB"/>
        </w:rPr>
        <w:t xml:space="preserve"> who</w:t>
      </w:r>
      <w:r w:rsidRPr="009D1812">
        <w:rPr>
          <w:lang w:val="en-GB"/>
        </w:rPr>
        <w:t xml:space="preserve"> </w:t>
      </w:r>
      <w:r w:rsidR="00B318AF" w:rsidRPr="009D1812">
        <w:rPr>
          <w:lang w:val="en-GB"/>
        </w:rPr>
        <w:t xml:space="preserve">worked </w:t>
      </w:r>
      <w:r w:rsidRPr="009D1812">
        <w:rPr>
          <w:lang w:val="en-GB"/>
        </w:rPr>
        <w:t xml:space="preserve">in the oil and gas sectors in </w:t>
      </w:r>
      <w:r w:rsidR="005E0EC7" w:rsidRPr="009D1812">
        <w:rPr>
          <w:lang w:val="en-GB"/>
        </w:rPr>
        <w:t>N</w:t>
      </w:r>
      <w:r w:rsidRPr="009D1812">
        <w:rPr>
          <w:lang w:val="en-GB"/>
        </w:rPr>
        <w:t>orthern Alberta.</w:t>
      </w:r>
      <w:r w:rsidRPr="009D1812">
        <w:rPr>
          <w:rStyle w:val="EndnoteReference"/>
          <w:lang w:val="en-GB"/>
        </w:rPr>
        <w:endnoteReference w:id="32"/>
      </w:r>
      <w:r w:rsidRPr="009D1812">
        <w:rPr>
          <w:lang w:val="en-GB"/>
        </w:rPr>
        <w:t xml:space="preserve"> Statistics Canada reported an average median total income (all family types) in Edmonton of $98,480, with an employment rate of 69</w:t>
      </w:r>
      <w:r w:rsidR="005E0EC7" w:rsidRPr="009D1812">
        <w:rPr>
          <w:lang w:val="en-GB"/>
        </w:rPr>
        <w:t xml:space="preserve"> per cent</w:t>
      </w:r>
      <w:r w:rsidRPr="009D1812">
        <w:rPr>
          <w:lang w:val="en-GB"/>
        </w:rPr>
        <w:t>.</w:t>
      </w:r>
      <w:r w:rsidRPr="009D1812">
        <w:rPr>
          <w:rStyle w:val="EndnoteReference"/>
          <w:lang w:val="en-GB"/>
        </w:rPr>
        <w:endnoteReference w:id="33"/>
      </w:r>
      <w:r w:rsidRPr="009D1812">
        <w:rPr>
          <w:lang w:val="en-GB"/>
        </w:rPr>
        <w:t xml:space="preserve"> Key investments in infrastructure, services, and communities were critical in maintaining and stabilizing the population.</w:t>
      </w:r>
    </w:p>
    <w:p w14:paraId="6BA01C01" w14:textId="77777777" w:rsidR="00774404" w:rsidRPr="009C7D60" w:rsidRDefault="00774404" w:rsidP="009C7D60">
      <w:pPr>
        <w:pStyle w:val="BodyTextMain"/>
        <w:rPr>
          <w:sz w:val="20"/>
        </w:rPr>
      </w:pPr>
    </w:p>
    <w:p w14:paraId="785F479F" w14:textId="77777777" w:rsidR="005567BB" w:rsidRPr="009C7D60" w:rsidRDefault="005567BB" w:rsidP="009C7D60">
      <w:pPr>
        <w:pStyle w:val="BodyTextMain"/>
        <w:rPr>
          <w:sz w:val="20"/>
        </w:rPr>
      </w:pPr>
    </w:p>
    <w:p w14:paraId="7A4BA94D" w14:textId="77777777" w:rsidR="005567BB" w:rsidRPr="009D1812" w:rsidRDefault="00AC7D25" w:rsidP="00774404">
      <w:pPr>
        <w:pStyle w:val="BodyTextMain"/>
        <w:rPr>
          <w:rFonts w:ascii="Arial" w:hAnsi="Arial" w:cs="Arial"/>
          <w:b/>
          <w:sz w:val="20"/>
          <w:szCs w:val="20"/>
          <w:lang w:val="en-GB"/>
        </w:rPr>
      </w:pPr>
      <w:r w:rsidRPr="009D1812">
        <w:rPr>
          <w:rFonts w:ascii="Arial" w:hAnsi="Arial" w:cs="Arial"/>
          <w:b/>
          <w:sz w:val="20"/>
          <w:szCs w:val="20"/>
          <w:lang w:val="en-GB"/>
        </w:rPr>
        <w:t>Population Profile</w:t>
      </w:r>
    </w:p>
    <w:p w14:paraId="43AAE9A1" w14:textId="77777777" w:rsidR="005567BB" w:rsidRPr="009C7D60" w:rsidRDefault="005567BB" w:rsidP="00774404">
      <w:pPr>
        <w:pStyle w:val="BodyTextMain"/>
        <w:rPr>
          <w:sz w:val="20"/>
          <w:lang w:val="en-GB"/>
        </w:rPr>
      </w:pPr>
    </w:p>
    <w:p w14:paraId="0ED1ACAB" w14:textId="6F177009" w:rsidR="00774404" w:rsidRPr="009D1812" w:rsidRDefault="009D0245" w:rsidP="00774404">
      <w:pPr>
        <w:pStyle w:val="BodyTextMain"/>
        <w:rPr>
          <w:lang w:val="en-GB"/>
        </w:rPr>
      </w:pPr>
      <w:r w:rsidRPr="009D1812">
        <w:rPr>
          <w:lang w:val="en-GB"/>
        </w:rPr>
        <w:t>In terms of its population</w:t>
      </w:r>
      <w:r w:rsidR="00802D60" w:rsidRPr="009D1812">
        <w:rPr>
          <w:lang w:val="en-GB"/>
        </w:rPr>
        <w:t xml:space="preserve"> concentration</w:t>
      </w:r>
      <w:r w:rsidRPr="009D1812">
        <w:rPr>
          <w:lang w:val="en-GB"/>
        </w:rPr>
        <w:t>, Edmonton was k</w:t>
      </w:r>
      <w:r w:rsidR="00774404" w:rsidRPr="009D1812">
        <w:rPr>
          <w:lang w:val="en-GB"/>
        </w:rPr>
        <w:t xml:space="preserve">nown </w:t>
      </w:r>
      <w:r w:rsidRPr="009D1812">
        <w:rPr>
          <w:lang w:val="en-GB"/>
        </w:rPr>
        <w:t>as</w:t>
      </w:r>
      <w:r w:rsidR="00774404" w:rsidRPr="009D1812">
        <w:rPr>
          <w:lang w:val="en-GB"/>
        </w:rPr>
        <w:t xml:space="preserve"> </w:t>
      </w:r>
      <w:r w:rsidR="00296BF7" w:rsidRPr="009D1812">
        <w:rPr>
          <w:lang w:val="en-GB"/>
        </w:rPr>
        <w:t>a low-density city</w:t>
      </w:r>
      <w:r w:rsidRPr="009D1812">
        <w:rPr>
          <w:lang w:val="en-GB"/>
        </w:rPr>
        <w:t>.</w:t>
      </w:r>
      <w:r w:rsidR="00774404" w:rsidRPr="009D1812">
        <w:rPr>
          <w:lang w:val="en-GB"/>
        </w:rPr>
        <w:t xml:space="preserve"> </w:t>
      </w:r>
      <w:r w:rsidRPr="009D1812">
        <w:rPr>
          <w:lang w:val="en-GB"/>
        </w:rPr>
        <w:t>C</w:t>
      </w:r>
      <w:r w:rsidR="00774404" w:rsidRPr="009D1812">
        <w:rPr>
          <w:lang w:val="en-GB"/>
        </w:rPr>
        <w:t xml:space="preserve">ars were the primary mode of transportation for </w:t>
      </w:r>
      <w:r w:rsidR="005E0EC7" w:rsidRPr="009D1812">
        <w:rPr>
          <w:lang w:val="en-GB"/>
        </w:rPr>
        <w:t xml:space="preserve">the </w:t>
      </w:r>
      <w:r w:rsidR="00774404" w:rsidRPr="009D1812">
        <w:rPr>
          <w:lang w:val="en-GB"/>
        </w:rPr>
        <w:t>majority of Edmonton residents</w:t>
      </w:r>
      <w:r w:rsidR="005E0EC7" w:rsidRPr="009D1812">
        <w:rPr>
          <w:lang w:val="en-GB"/>
        </w:rPr>
        <w:t>,</w:t>
      </w:r>
      <w:r w:rsidR="00774404" w:rsidRPr="009D1812">
        <w:rPr>
          <w:lang w:val="en-GB"/>
        </w:rPr>
        <w:t xml:space="preserve"> with only 10</w:t>
      </w:r>
      <w:r w:rsidR="005E0EC7" w:rsidRPr="009D1812">
        <w:rPr>
          <w:lang w:val="en-GB"/>
        </w:rPr>
        <w:t xml:space="preserve"> per cent</w:t>
      </w:r>
      <w:r w:rsidR="00774404" w:rsidRPr="009D1812">
        <w:rPr>
          <w:lang w:val="en-GB"/>
        </w:rPr>
        <w:t xml:space="preserve"> of people taking public transit to work, despite </w:t>
      </w:r>
      <w:r w:rsidR="00B318AF" w:rsidRPr="009D1812">
        <w:rPr>
          <w:lang w:val="en-GB"/>
        </w:rPr>
        <w:t xml:space="preserve">the presence of </w:t>
      </w:r>
      <w:r w:rsidR="00774404" w:rsidRPr="009D1812">
        <w:rPr>
          <w:lang w:val="en-GB"/>
        </w:rPr>
        <w:t xml:space="preserve">a transit system that incorporated both a bus </w:t>
      </w:r>
      <w:r w:rsidR="00802D60" w:rsidRPr="009D1812">
        <w:rPr>
          <w:lang w:val="en-GB"/>
        </w:rPr>
        <w:t xml:space="preserve">system </w:t>
      </w:r>
      <w:r w:rsidR="00774404" w:rsidRPr="009D1812">
        <w:rPr>
          <w:lang w:val="en-GB"/>
        </w:rPr>
        <w:t xml:space="preserve">and </w:t>
      </w:r>
      <w:r w:rsidR="00802D60" w:rsidRPr="009D1812">
        <w:rPr>
          <w:lang w:val="en-GB"/>
        </w:rPr>
        <w:t xml:space="preserve">a </w:t>
      </w:r>
      <w:r w:rsidR="00774404" w:rsidRPr="009D1812">
        <w:rPr>
          <w:lang w:val="en-GB"/>
        </w:rPr>
        <w:t>light rail network.</w:t>
      </w:r>
      <w:r w:rsidR="00774404" w:rsidRPr="00917D7F">
        <w:rPr>
          <w:vertAlign w:val="superscript"/>
        </w:rPr>
        <w:endnoteReference w:id="34"/>
      </w:r>
      <w:r w:rsidR="00774404" w:rsidRPr="009D1812">
        <w:rPr>
          <w:lang w:val="en-GB"/>
        </w:rPr>
        <w:t xml:space="preserve"> </w:t>
      </w:r>
      <w:r w:rsidR="00774404" w:rsidRPr="00917D7F">
        <w:rPr>
          <w:lang w:val="en-GB"/>
        </w:rPr>
        <w:t xml:space="preserve">Edmonton suffered from being one of the least walkable and </w:t>
      </w:r>
      <w:r w:rsidR="00124F4F" w:rsidRPr="00917D7F">
        <w:rPr>
          <w:lang w:val="en-GB"/>
        </w:rPr>
        <w:t xml:space="preserve">least </w:t>
      </w:r>
      <w:r w:rsidR="00774404" w:rsidRPr="00917D7F">
        <w:rPr>
          <w:lang w:val="en-GB"/>
        </w:rPr>
        <w:t>transit</w:t>
      </w:r>
      <w:r w:rsidR="00124F4F" w:rsidRPr="00917D7F">
        <w:rPr>
          <w:lang w:val="en-GB"/>
        </w:rPr>
        <w:t>-</w:t>
      </w:r>
      <w:r w:rsidR="00774404" w:rsidRPr="00917D7F">
        <w:rPr>
          <w:lang w:val="en-GB"/>
        </w:rPr>
        <w:t>friendly big cities in Canada</w:t>
      </w:r>
      <w:r w:rsidR="00774404" w:rsidRPr="009D1812">
        <w:rPr>
          <w:lang w:val="en-GB"/>
        </w:rPr>
        <w:t>.</w:t>
      </w:r>
      <w:r w:rsidR="00774404" w:rsidRPr="00917D7F">
        <w:rPr>
          <w:vertAlign w:val="superscript"/>
        </w:rPr>
        <w:endnoteReference w:id="35"/>
      </w:r>
    </w:p>
    <w:p w14:paraId="1CD9D42C" w14:textId="77777777" w:rsidR="00774404" w:rsidRPr="00917D7F" w:rsidRDefault="00774404" w:rsidP="00774404">
      <w:pPr>
        <w:pStyle w:val="BodyTextMain"/>
        <w:rPr>
          <w:lang w:val="en-GB"/>
        </w:rPr>
      </w:pPr>
    </w:p>
    <w:p w14:paraId="6BAD4A5D" w14:textId="27A7F872" w:rsidR="00774404" w:rsidRPr="009D1812" w:rsidRDefault="00774404" w:rsidP="00774404">
      <w:pPr>
        <w:pStyle w:val="BodyTextMain"/>
        <w:rPr>
          <w:lang w:val="en-GB"/>
        </w:rPr>
      </w:pPr>
      <w:r w:rsidRPr="009D1812">
        <w:rPr>
          <w:lang w:val="en-GB"/>
        </w:rPr>
        <w:t>From 2001 to 2012, the population in downtown Edmonton nearly doubled</w:t>
      </w:r>
      <w:r w:rsidR="005E0EC7" w:rsidRPr="009D1812">
        <w:rPr>
          <w:lang w:val="en-GB"/>
        </w:rPr>
        <w:t>, expanding</w:t>
      </w:r>
      <w:r w:rsidRPr="009D1812">
        <w:rPr>
          <w:lang w:val="en-GB"/>
        </w:rPr>
        <w:t xml:space="preserve"> from 6,175 to 12,199, and </w:t>
      </w:r>
      <w:r w:rsidR="00B318AF" w:rsidRPr="009D1812">
        <w:rPr>
          <w:lang w:val="en-GB"/>
        </w:rPr>
        <w:t xml:space="preserve">it </w:t>
      </w:r>
      <w:r w:rsidRPr="009D1812">
        <w:rPr>
          <w:lang w:val="en-GB"/>
        </w:rPr>
        <w:t xml:space="preserve">was anticipated to grow to 19,000 by 2024. </w:t>
      </w:r>
      <w:r w:rsidRPr="00917D7F">
        <w:rPr>
          <w:lang w:val="en-GB"/>
        </w:rPr>
        <w:t xml:space="preserve">Edmonton’s growing </w:t>
      </w:r>
      <w:r w:rsidR="007A1A64" w:rsidRPr="00917D7F">
        <w:rPr>
          <w:lang w:val="en-GB"/>
        </w:rPr>
        <w:t>population</w:t>
      </w:r>
      <w:r w:rsidRPr="00917D7F">
        <w:rPr>
          <w:lang w:val="en-GB"/>
        </w:rPr>
        <w:t xml:space="preserve"> in the downtown core w</w:t>
      </w:r>
      <w:r w:rsidR="007A1A64" w:rsidRPr="00917D7F">
        <w:rPr>
          <w:lang w:val="en-GB"/>
        </w:rPr>
        <w:t>as</w:t>
      </w:r>
      <w:r w:rsidRPr="00917D7F">
        <w:rPr>
          <w:lang w:val="en-GB"/>
        </w:rPr>
        <w:t xml:space="preserve"> younger than the city’s average, with 38.5</w:t>
      </w:r>
      <w:r w:rsidR="005E0EC7" w:rsidRPr="00917D7F">
        <w:rPr>
          <w:lang w:val="en-GB"/>
        </w:rPr>
        <w:t xml:space="preserve"> per cent</w:t>
      </w:r>
      <w:r w:rsidRPr="00917D7F">
        <w:rPr>
          <w:lang w:val="en-GB"/>
        </w:rPr>
        <w:t xml:space="preserve"> reported to be between 20 </w:t>
      </w:r>
      <w:r w:rsidR="00124F4F" w:rsidRPr="00917D7F">
        <w:rPr>
          <w:lang w:val="en-GB"/>
        </w:rPr>
        <w:t>and</w:t>
      </w:r>
      <w:r w:rsidRPr="00917D7F">
        <w:rPr>
          <w:lang w:val="en-GB"/>
        </w:rPr>
        <w:t xml:space="preserve"> 35 years old.</w:t>
      </w:r>
      <w:r w:rsidRPr="00917D7F">
        <w:rPr>
          <w:vertAlign w:val="superscript"/>
        </w:rPr>
        <w:endnoteReference w:id="36"/>
      </w:r>
      <w:r w:rsidRPr="00917D7F">
        <w:rPr>
          <w:vertAlign w:val="superscript"/>
          <w:lang w:val="en-GB"/>
        </w:rPr>
        <w:t xml:space="preserve"> </w:t>
      </w:r>
      <w:r w:rsidR="00296BF7" w:rsidRPr="00917D7F">
        <w:rPr>
          <w:lang w:val="en-GB"/>
        </w:rPr>
        <w:t xml:space="preserve">This </w:t>
      </w:r>
      <w:r w:rsidR="00802D60" w:rsidRPr="00917D7F">
        <w:rPr>
          <w:lang w:val="en-GB"/>
        </w:rPr>
        <w:t xml:space="preserve">growth </w:t>
      </w:r>
      <w:r w:rsidR="00296BF7" w:rsidRPr="00917D7F">
        <w:rPr>
          <w:lang w:val="en-GB"/>
        </w:rPr>
        <w:t xml:space="preserve">trend was anticipated to accelerate due to the consolidation of the </w:t>
      </w:r>
      <w:proofErr w:type="spellStart"/>
      <w:r w:rsidR="00296BF7" w:rsidRPr="00917D7F">
        <w:rPr>
          <w:lang w:val="en-GB"/>
        </w:rPr>
        <w:t>MacEwan</w:t>
      </w:r>
      <w:proofErr w:type="spellEnd"/>
      <w:r w:rsidR="00296BF7" w:rsidRPr="00917D7F">
        <w:rPr>
          <w:lang w:val="en-GB"/>
        </w:rPr>
        <w:t xml:space="preserve"> University and </w:t>
      </w:r>
      <w:proofErr w:type="spellStart"/>
      <w:r w:rsidR="00296BF7" w:rsidRPr="00917D7F">
        <w:rPr>
          <w:lang w:val="en-GB"/>
        </w:rPr>
        <w:t>Nor</w:t>
      </w:r>
      <w:r w:rsidR="00B318AF" w:rsidRPr="00917D7F">
        <w:rPr>
          <w:lang w:val="en-GB"/>
        </w:rPr>
        <w:t>Q</w:t>
      </w:r>
      <w:r w:rsidR="00296BF7" w:rsidRPr="00917D7F">
        <w:rPr>
          <w:lang w:val="en-GB"/>
        </w:rPr>
        <w:t>uest</w:t>
      </w:r>
      <w:proofErr w:type="spellEnd"/>
      <w:r w:rsidR="00296BF7" w:rsidRPr="00917D7F">
        <w:rPr>
          <w:lang w:val="en-GB"/>
        </w:rPr>
        <w:t xml:space="preserve"> College campuses in the downtown area.</w:t>
      </w:r>
      <w:r w:rsidRPr="00917D7F">
        <w:rPr>
          <w:lang w:val="en-GB"/>
        </w:rPr>
        <w:t xml:space="preserve"> </w:t>
      </w:r>
      <w:r w:rsidR="00296BF7" w:rsidRPr="009D1812">
        <w:rPr>
          <w:lang w:val="en-GB"/>
        </w:rPr>
        <w:t xml:space="preserve">Furthermore, the population growth was also </w:t>
      </w:r>
      <w:r w:rsidR="00C36F64" w:rsidRPr="009D1812">
        <w:rPr>
          <w:lang w:val="en-GB"/>
        </w:rPr>
        <w:t>increasing the number of professionals</w:t>
      </w:r>
      <w:r w:rsidR="002E233A" w:rsidRPr="009D1812">
        <w:rPr>
          <w:lang w:val="en-GB"/>
        </w:rPr>
        <w:t xml:space="preserve"> (e.g.</w:t>
      </w:r>
      <w:r w:rsidR="00B318AF" w:rsidRPr="009D1812">
        <w:rPr>
          <w:lang w:val="en-GB"/>
        </w:rPr>
        <w:t>,</w:t>
      </w:r>
      <w:r w:rsidR="002E233A" w:rsidRPr="009D1812">
        <w:rPr>
          <w:lang w:val="en-GB"/>
        </w:rPr>
        <w:t xml:space="preserve"> engineers</w:t>
      </w:r>
      <w:r w:rsidR="00E01570" w:rsidRPr="009D1812">
        <w:rPr>
          <w:lang w:val="en-GB"/>
        </w:rPr>
        <w:t xml:space="preserve"> and </w:t>
      </w:r>
      <w:r w:rsidR="002E233A" w:rsidRPr="009D1812">
        <w:rPr>
          <w:lang w:val="en-GB"/>
        </w:rPr>
        <w:t>accountants)</w:t>
      </w:r>
      <w:r w:rsidR="00C36F64" w:rsidRPr="009D1812">
        <w:rPr>
          <w:lang w:val="en-GB"/>
        </w:rPr>
        <w:t xml:space="preserve"> who worked in offices that were located in </w:t>
      </w:r>
      <w:r w:rsidR="00296BF7" w:rsidRPr="009D1812">
        <w:rPr>
          <w:lang w:val="en-GB"/>
        </w:rPr>
        <w:t xml:space="preserve">the downtown core. This shift in </w:t>
      </w:r>
      <w:r w:rsidR="002E233A" w:rsidRPr="009D1812">
        <w:rPr>
          <w:lang w:val="en-GB"/>
        </w:rPr>
        <w:t>downtown land use from goods to services</w:t>
      </w:r>
      <w:r w:rsidR="00296BF7" w:rsidRPr="009D1812">
        <w:rPr>
          <w:lang w:val="en-GB"/>
        </w:rPr>
        <w:t xml:space="preserve"> attract</w:t>
      </w:r>
      <w:r w:rsidR="002E233A" w:rsidRPr="009D1812">
        <w:rPr>
          <w:lang w:val="en-GB"/>
        </w:rPr>
        <w:t>ed</w:t>
      </w:r>
      <w:r w:rsidR="00296BF7" w:rsidRPr="009D1812">
        <w:rPr>
          <w:lang w:val="en-GB"/>
        </w:rPr>
        <w:t xml:space="preserve"> developers, restaurants, and other business owners into Edmonton’s downtown core.</w:t>
      </w:r>
      <w:r w:rsidRPr="009D1812">
        <w:rPr>
          <w:lang w:val="en-GB"/>
        </w:rPr>
        <w:t xml:space="preserve"> </w:t>
      </w:r>
    </w:p>
    <w:p w14:paraId="720ABC55" w14:textId="77777777" w:rsidR="00774404" w:rsidRPr="00917D7F" w:rsidRDefault="00774404" w:rsidP="00774404">
      <w:pPr>
        <w:pStyle w:val="BodyTextMain"/>
        <w:rPr>
          <w:lang w:val="en-GB"/>
        </w:rPr>
      </w:pPr>
    </w:p>
    <w:p w14:paraId="20E7EE1C" w14:textId="77777777" w:rsidR="00AC7D25" w:rsidRPr="009C7D60" w:rsidRDefault="00AC7D25" w:rsidP="00774404">
      <w:pPr>
        <w:pStyle w:val="BodyTextMain"/>
        <w:rPr>
          <w:sz w:val="20"/>
          <w:lang w:val="en-GB"/>
        </w:rPr>
      </w:pPr>
    </w:p>
    <w:p w14:paraId="7CA66AEE" w14:textId="77777777" w:rsidR="00AC7D25" w:rsidRPr="009D1812" w:rsidRDefault="00296BF7" w:rsidP="00917D7F">
      <w:pPr>
        <w:pStyle w:val="BodyTextMain"/>
        <w:keepNext/>
        <w:rPr>
          <w:rFonts w:ascii="Arial" w:hAnsi="Arial" w:cs="Arial"/>
          <w:b/>
          <w:sz w:val="20"/>
          <w:szCs w:val="20"/>
          <w:lang w:val="en-GB"/>
        </w:rPr>
      </w:pPr>
      <w:r w:rsidRPr="009D1812">
        <w:rPr>
          <w:rFonts w:ascii="Arial" w:hAnsi="Arial" w:cs="Arial"/>
          <w:b/>
          <w:sz w:val="20"/>
          <w:szCs w:val="20"/>
          <w:lang w:val="en-GB"/>
        </w:rPr>
        <w:lastRenderedPageBreak/>
        <w:t>Attract</w:t>
      </w:r>
      <w:r w:rsidR="00CE0862" w:rsidRPr="009D1812">
        <w:rPr>
          <w:rFonts w:ascii="Arial" w:hAnsi="Arial" w:cs="Arial"/>
          <w:b/>
          <w:sz w:val="20"/>
          <w:szCs w:val="20"/>
          <w:lang w:val="en-GB"/>
        </w:rPr>
        <w:t>ing</w:t>
      </w:r>
      <w:r w:rsidRPr="009D1812">
        <w:rPr>
          <w:rFonts w:ascii="Arial" w:hAnsi="Arial" w:cs="Arial"/>
          <w:b/>
          <w:sz w:val="20"/>
          <w:szCs w:val="20"/>
          <w:lang w:val="en-GB"/>
        </w:rPr>
        <w:t xml:space="preserve"> Residents to </w:t>
      </w:r>
      <w:r w:rsidR="00AC7D25" w:rsidRPr="009D1812">
        <w:rPr>
          <w:rFonts w:ascii="Arial" w:hAnsi="Arial" w:cs="Arial"/>
          <w:b/>
          <w:sz w:val="20"/>
          <w:szCs w:val="20"/>
          <w:lang w:val="en-GB"/>
        </w:rPr>
        <w:t xml:space="preserve">the </w:t>
      </w:r>
      <w:r w:rsidRPr="009D1812">
        <w:rPr>
          <w:rFonts w:ascii="Arial" w:hAnsi="Arial" w:cs="Arial"/>
          <w:b/>
          <w:sz w:val="20"/>
          <w:szCs w:val="20"/>
          <w:lang w:val="en-GB"/>
        </w:rPr>
        <w:t>Downtown Core</w:t>
      </w:r>
    </w:p>
    <w:p w14:paraId="17612699" w14:textId="77777777" w:rsidR="00AC7D25" w:rsidRPr="009C7D60" w:rsidRDefault="00AC7D25" w:rsidP="00917D7F">
      <w:pPr>
        <w:pStyle w:val="BodyTextMain"/>
        <w:keepNext/>
        <w:rPr>
          <w:sz w:val="20"/>
          <w:lang w:val="en-GB"/>
        </w:rPr>
      </w:pPr>
    </w:p>
    <w:p w14:paraId="0512720F" w14:textId="132ADD22" w:rsidR="00774404" w:rsidRPr="009D1812" w:rsidRDefault="00774404" w:rsidP="00917D7F">
      <w:pPr>
        <w:pStyle w:val="BodyTextMain"/>
        <w:keepNext/>
        <w:rPr>
          <w:lang w:val="en-GB"/>
        </w:rPr>
      </w:pPr>
      <w:r w:rsidRPr="009D1812">
        <w:rPr>
          <w:lang w:val="en-GB"/>
        </w:rPr>
        <w:t xml:space="preserve">Despite past projects that had encouraged a lively downtown core, such as the $3.1 million investment on the </w:t>
      </w:r>
      <w:r w:rsidR="00296BF7" w:rsidRPr="009D1812">
        <w:rPr>
          <w:lang w:val="en-GB"/>
        </w:rPr>
        <w:t xml:space="preserve">104 Street </w:t>
      </w:r>
      <w:r w:rsidR="00A740B0" w:rsidRPr="009D1812">
        <w:rPr>
          <w:lang w:val="en-GB"/>
        </w:rPr>
        <w:t>P</w:t>
      </w:r>
      <w:r w:rsidR="00296BF7" w:rsidRPr="009D1812">
        <w:rPr>
          <w:lang w:val="en-GB"/>
        </w:rPr>
        <w:t>romenade</w:t>
      </w:r>
      <w:r w:rsidRPr="009D1812">
        <w:rPr>
          <w:lang w:val="en-GB"/>
        </w:rPr>
        <w:t xml:space="preserve">, Edmonton </w:t>
      </w:r>
      <w:r w:rsidR="00124B6F" w:rsidRPr="009D1812">
        <w:rPr>
          <w:lang w:val="en-GB"/>
        </w:rPr>
        <w:t xml:space="preserve">had long </w:t>
      </w:r>
      <w:r w:rsidRPr="009D1812">
        <w:rPr>
          <w:lang w:val="en-GB"/>
        </w:rPr>
        <w:t xml:space="preserve">struggled to draw </w:t>
      </w:r>
      <w:r w:rsidR="00491892" w:rsidRPr="009D1812">
        <w:rPr>
          <w:lang w:val="en-GB"/>
        </w:rPr>
        <w:t xml:space="preserve">residents </w:t>
      </w:r>
      <w:r w:rsidRPr="009D1812">
        <w:rPr>
          <w:lang w:val="en-GB"/>
        </w:rPr>
        <w:t xml:space="preserve">to </w:t>
      </w:r>
      <w:r w:rsidR="00491892" w:rsidRPr="009D1812">
        <w:rPr>
          <w:lang w:val="en-GB"/>
        </w:rPr>
        <w:t xml:space="preserve">its </w:t>
      </w:r>
      <w:r w:rsidRPr="009D1812">
        <w:rPr>
          <w:lang w:val="en-GB"/>
        </w:rPr>
        <w:t>downtown</w:t>
      </w:r>
      <w:r w:rsidR="00491892" w:rsidRPr="009D1812">
        <w:rPr>
          <w:lang w:val="en-GB"/>
        </w:rPr>
        <w:t xml:space="preserve"> core</w:t>
      </w:r>
      <w:r w:rsidRPr="009D1812">
        <w:rPr>
          <w:lang w:val="en-GB"/>
        </w:rPr>
        <w:t>.</w:t>
      </w:r>
      <w:r w:rsidRPr="009D1812">
        <w:rPr>
          <w:rStyle w:val="EndnoteReference"/>
          <w:lang w:val="en-GB"/>
        </w:rPr>
        <w:endnoteReference w:id="37"/>
      </w:r>
      <w:r w:rsidRPr="009D1812">
        <w:rPr>
          <w:lang w:val="en-GB"/>
        </w:rPr>
        <w:t xml:space="preserve"> Part of this issue was attributable to the </w:t>
      </w:r>
      <w:r w:rsidR="00124B6F" w:rsidRPr="009D1812">
        <w:rPr>
          <w:lang w:val="en-GB"/>
        </w:rPr>
        <w:t>dilemma</w:t>
      </w:r>
      <w:r w:rsidRPr="009D1812">
        <w:rPr>
          <w:lang w:val="en-GB"/>
        </w:rPr>
        <w:t xml:space="preserve"> that</w:t>
      </w:r>
      <w:r w:rsidR="00E01570" w:rsidRPr="009D1812">
        <w:rPr>
          <w:lang w:val="en-GB"/>
        </w:rPr>
        <w:t>,</w:t>
      </w:r>
      <w:r w:rsidRPr="009D1812">
        <w:rPr>
          <w:lang w:val="en-GB"/>
        </w:rPr>
        <w:t xml:space="preserve"> </w:t>
      </w:r>
      <w:r w:rsidR="00491892" w:rsidRPr="009D1812">
        <w:rPr>
          <w:lang w:val="en-GB"/>
        </w:rPr>
        <w:t xml:space="preserve">in order to attract residents, </w:t>
      </w:r>
      <w:r w:rsidRPr="009D1812">
        <w:rPr>
          <w:lang w:val="en-GB"/>
        </w:rPr>
        <w:t xml:space="preserve">downtown neighbourhoods </w:t>
      </w:r>
      <w:r w:rsidR="00491892" w:rsidRPr="009D1812">
        <w:rPr>
          <w:lang w:val="en-GB"/>
        </w:rPr>
        <w:t>required</w:t>
      </w:r>
      <w:r w:rsidRPr="009D1812">
        <w:rPr>
          <w:lang w:val="en-GB"/>
        </w:rPr>
        <w:t xml:space="preserve"> basic amenities such as grocery stores, restaurants, coffee shops, services</w:t>
      </w:r>
      <w:r w:rsidR="00491892" w:rsidRPr="009D1812">
        <w:rPr>
          <w:lang w:val="en-GB"/>
        </w:rPr>
        <w:t>,</w:t>
      </w:r>
      <w:r w:rsidRPr="009D1812">
        <w:rPr>
          <w:lang w:val="en-GB"/>
        </w:rPr>
        <w:t xml:space="preserve"> and parks</w:t>
      </w:r>
      <w:r w:rsidR="00124B6F" w:rsidRPr="009D1812">
        <w:rPr>
          <w:lang w:val="en-GB"/>
        </w:rPr>
        <w:t xml:space="preserve">, but </w:t>
      </w:r>
      <w:r w:rsidRPr="009D1812">
        <w:rPr>
          <w:lang w:val="en-GB"/>
        </w:rPr>
        <w:t xml:space="preserve">business owners were reluctant to </w:t>
      </w:r>
      <w:r w:rsidR="00491892" w:rsidRPr="009D1812">
        <w:rPr>
          <w:lang w:val="en-GB"/>
        </w:rPr>
        <w:t>open brick-and-mortar location</w:t>
      </w:r>
      <w:r w:rsidR="00E01570" w:rsidRPr="009D1812">
        <w:rPr>
          <w:lang w:val="en-GB"/>
        </w:rPr>
        <w:t>s</w:t>
      </w:r>
      <w:r w:rsidRPr="009D1812">
        <w:rPr>
          <w:lang w:val="en-GB"/>
        </w:rPr>
        <w:t xml:space="preserve"> in areas that did not </w:t>
      </w:r>
      <w:r w:rsidR="00491892" w:rsidRPr="009D1812">
        <w:rPr>
          <w:lang w:val="en-GB"/>
        </w:rPr>
        <w:t xml:space="preserve">already contain a significant number of </w:t>
      </w:r>
      <w:r w:rsidRPr="009D1812">
        <w:rPr>
          <w:lang w:val="en-GB"/>
        </w:rPr>
        <w:t xml:space="preserve">residents. </w:t>
      </w:r>
    </w:p>
    <w:p w14:paraId="2FAE5EF3" w14:textId="77777777" w:rsidR="00BB6BB7" w:rsidRPr="009C7D60" w:rsidRDefault="00BB6BB7" w:rsidP="00774404">
      <w:pPr>
        <w:pStyle w:val="BodyTextMain"/>
        <w:rPr>
          <w:sz w:val="20"/>
          <w:lang w:val="en-GB"/>
        </w:rPr>
      </w:pPr>
    </w:p>
    <w:p w14:paraId="4F7D5E47" w14:textId="2B9B4369" w:rsidR="00774404" w:rsidRPr="009D1812" w:rsidRDefault="002E233A" w:rsidP="00774404">
      <w:pPr>
        <w:pStyle w:val="BodyTextMain"/>
        <w:rPr>
          <w:color w:val="231F20"/>
          <w:shd w:val="clear" w:color="auto" w:fill="FFFFFF"/>
          <w:lang w:val="en-GB"/>
        </w:rPr>
      </w:pPr>
      <w:r w:rsidRPr="009D1812">
        <w:rPr>
          <w:lang w:val="en-GB"/>
        </w:rPr>
        <w:t xml:space="preserve">Beginning in 1997, the City of Edmonton began to </w:t>
      </w:r>
      <w:r w:rsidR="00774404" w:rsidRPr="009D1812">
        <w:rPr>
          <w:lang w:val="en-GB"/>
        </w:rPr>
        <w:t>attra</w:t>
      </w:r>
      <w:r w:rsidRPr="009D1812">
        <w:rPr>
          <w:lang w:val="en-GB"/>
        </w:rPr>
        <w:t>ct</w:t>
      </w:r>
      <w:r w:rsidR="00774404" w:rsidRPr="009D1812">
        <w:rPr>
          <w:lang w:val="en-GB"/>
        </w:rPr>
        <w:t xml:space="preserve"> business</w:t>
      </w:r>
      <w:r w:rsidR="00491892" w:rsidRPr="009D1812">
        <w:rPr>
          <w:lang w:val="en-GB"/>
        </w:rPr>
        <w:t>es</w:t>
      </w:r>
      <w:r w:rsidR="00774404" w:rsidRPr="009D1812">
        <w:rPr>
          <w:lang w:val="en-GB"/>
        </w:rPr>
        <w:t xml:space="preserve"> and residents to downtown</w:t>
      </w:r>
      <w:r w:rsidRPr="009D1812">
        <w:rPr>
          <w:lang w:val="en-GB"/>
        </w:rPr>
        <w:t xml:space="preserve"> by</w:t>
      </w:r>
      <w:r w:rsidR="00774404" w:rsidRPr="009D1812">
        <w:rPr>
          <w:lang w:val="en-GB"/>
        </w:rPr>
        <w:t xml:space="preserve"> offer</w:t>
      </w:r>
      <w:r w:rsidRPr="009D1812">
        <w:rPr>
          <w:lang w:val="en-GB"/>
        </w:rPr>
        <w:t>ing</w:t>
      </w:r>
      <w:r w:rsidR="00774404" w:rsidRPr="009D1812">
        <w:rPr>
          <w:lang w:val="en-GB"/>
        </w:rPr>
        <w:t xml:space="preserve"> incentives such as rebates and other tax incentives for developers</w:t>
      </w:r>
      <w:r w:rsidR="00802D60" w:rsidRPr="009D1812">
        <w:rPr>
          <w:lang w:val="en-GB"/>
        </w:rPr>
        <w:t>; it also</w:t>
      </w:r>
      <w:r w:rsidR="00774404" w:rsidRPr="009D1812">
        <w:rPr>
          <w:lang w:val="en-GB"/>
        </w:rPr>
        <w:t xml:space="preserve"> created wider sidewalks and more benches </w:t>
      </w:r>
      <w:r w:rsidR="00802D60" w:rsidRPr="009D1812">
        <w:rPr>
          <w:lang w:val="en-GB"/>
        </w:rPr>
        <w:t xml:space="preserve">for the purpose of </w:t>
      </w:r>
      <w:r w:rsidR="00774404" w:rsidRPr="009D1812">
        <w:rPr>
          <w:lang w:val="en-GB"/>
        </w:rPr>
        <w:t>bring</w:t>
      </w:r>
      <w:r w:rsidR="00802D60" w:rsidRPr="009D1812">
        <w:rPr>
          <w:lang w:val="en-GB"/>
        </w:rPr>
        <w:t>ing</w:t>
      </w:r>
      <w:r w:rsidR="00774404" w:rsidRPr="009D1812">
        <w:rPr>
          <w:lang w:val="en-GB"/>
        </w:rPr>
        <w:t xml:space="preserve"> pedestrians to the streets, as with the </w:t>
      </w:r>
      <w:r w:rsidR="00296BF7" w:rsidRPr="009D1812">
        <w:rPr>
          <w:lang w:val="en-GB"/>
        </w:rPr>
        <w:t>104 Street project</w:t>
      </w:r>
      <w:r w:rsidR="00774404" w:rsidRPr="009D1812">
        <w:rPr>
          <w:lang w:val="en-GB"/>
        </w:rPr>
        <w:t xml:space="preserve">. Furthermore, the </w:t>
      </w:r>
      <w:r w:rsidR="00B84B99" w:rsidRPr="009D1812">
        <w:rPr>
          <w:lang w:val="en-GB"/>
        </w:rPr>
        <w:t xml:space="preserve">Edmonton-based </w:t>
      </w:r>
      <w:r w:rsidR="00774404" w:rsidRPr="009D1812">
        <w:rPr>
          <w:lang w:val="en-GB"/>
        </w:rPr>
        <w:t>Katz Group</w:t>
      </w:r>
      <w:r w:rsidR="00B84B99" w:rsidRPr="009D1812">
        <w:rPr>
          <w:lang w:val="en-GB"/>
        </w:rPr>
        <w:t xml:space="preserve"> of Companies</w:t>
      </w:r>
      <w:r w:rsidR="00774404" w:rsidRPr="009D1812">
        <w:rPr>
          <w:lang w:val="en-GB"/>
        </w:rPr>
        <w:t>’</w:t>
      </w:r>
      <w:r w:rsidR="00802D60" w:rsidRPr="009D1812">
        <w:rPr>
          <w:lang w:val="en-GB"/>
        </w:rPr>
        <w:t xml:space="preserve"> </w:t>
      </w:r>
      <w:r w:rsidR="00296BF7" w:rsidRPr="009D1812">
        <w:rPr>
          <w:lang w:val="en-GB"/>
        </w:rPr>
        <w:t>$</w:t>
      </w:r>
      <w:r w:rsidR="00774404" w:rsidRPr="009D1812">
        <w:rPr>
          <w:lang w:val="en-GB"/>
        </w:rPr>
        <w:t xml:space="preserve">2.5 billion mixed-use sports and entertainment district, dubbed the </w:t>
      </w:r>
      <w:r w:rsidR="00E01570" w:rsidRPr="009D1812">
        <w:rPr>
          <w:lang w:val="en-GB"/>
        </w:rPr>
        <w:t>“</w:t>
      </w:r>
      <w:r w:rsidR="00774404" w:rsidRPr="009D1812">
        <w:rPr>
          <w:lang w:val="en-GB"/>
        </w:rPr>
        <w:t>Ice District,</w:t>
      </w:r>
      <w:r w:rsidR="00737ED5" w:rsidRPr="009D1812">
        <w:rPr>
          <w:lang w:val="en-GB"/>
        </w:rPr>
        <w:t>”</w:t>
      </w:r>
      <w:r w:rsidR="00774404" w:rsidRPr="009D1812">
        <w:rPr>
          <w:lang w:val="en-GB"/>
        </w:rPr>
        <w:t xml:space="preserve"> was being developed on 10 hectares in Edmonton’s downtown core. When completed, the Ice District would </w:t>
      </w:r>
      <w:r w:rsidR="00AB4E26" w:rsidRPr="009D1812">
        <w:rPr>
          <w:lang w:val="en-GB"/>
        </w:rPr>
        <w:t xml:space="preserve">become </w:t>
      </w:r>
      <w:r w:rsidR="00774404" w:rsidRPr="009D1812">
        <w:rPr>
          <w:lang w:val="en-GB"/>
        </w:rPr>
        <w:t>Canada’s largest mixed</w:t>
      </w:r>
      <w:r w:rsidR="00AB4E26" w:rsidRPr="009D1812">
        <w:rPr>
          <w:lang w:val="en-GB"/>
        </w:rPr>
        <w:t>-</w:t>
      </w:r>
      <w:r w:rsidR="00774404" w:rsidRPr="009D1812">
        <w:rPr>
          <w:lang w:val="en-GB"/>
        </w:rPr>
        <w:t>use and entertainment district</w:t>
      </w:r>
      <w:r w:rsidR="00491892" w:rsidRPr="009D1812">
        <w:rPr>
          <w:lang w:val="en-GB"/>
        </w:rPr>
        <w:t>,</w:t>
      </w:r>
      <w:r w:rsidR="00774404" w:rsidRPr="009D1812">
        <w:rPr>
          <w:lang w:val="en-GB"/>
        </w:rPr>
        <w:t xml:space="preserve"> </w:t>
      </w:r>
      <w:r w:rsidR="00491892" w:rsidRPr="009D1812">
        <w:rPr>
          <w:lang w:val="en-GB"/>
        </w:rPr>
        <w:t xml:space="preserve">a </w:t>
      </w:r>
      <w:r w:rsidR="00802D60" w:rsidRPr="009D1812">
        <w:rPr>
          <w:lang w:val="en-GB"/>
        </w:rPr>
        <w:t>scenario</w:t>
      </w:r>
      <w:r w:rsidR="00491892" w:rsidRPr="009D1812">
        <w:rPr>
          <w:lang w:val="en-GB"/>
        </w:rPr>
        <w:t xml:space="preserve"> that </w:t>
      </w:r>
      <w:r w:rsidR="00774404" w:rsidRPr="009D1812">
        <w:rPr>
          <w:lang w:val="en-GB"/>
        </w:rPr>
        <w:t>created excitement and anticipation for the further revitalization of Edmonton’s downtown.</w:t>
      </w:r>
      <w:r w:rsidR="00774404" w:rsidRPr="009D1812">
        <w:rPr>
          <w:rStyle w:val="EndnoteReference"/>
          <w:lang w:val="en-GB"/>
        </w:rPr>
        <w:endnoteReference w:id="38"/>
      </w:r>
      <w:r w:rsidR="00802D60" w:rsidRPr="009D1812">
        <w:rPr>
          <w:lang w:val="en-GB"/>
        </w:rPr>
        <w:t xml:space="preserve"> </w:t>
      </w:r>
      <w:r w:rsidR="00296BF7" w:rsidRPr="009D1812">
        <w:rPr>
          <w:shd w:val="clear" w:color="auto" w:fill="FFFFFF"/>
          <w:lang w:val="en-GB"/>
        </w:rPr>
        <w:t xml:space="preserve">Ian </w:t>
      </w:r>
      <w:r w:rsidR="00296BF7" w:rsidRPr="00917D7F">
        <w:rPr>
          <w:lang w:val="en-GB"/>
        </w:rPr>
        <w:t>O’Donnell, development committee chairman of the Downtown Edmonton Community League, commented, “[The Ice District is] carving out its own personality. It’s not trying to be Whyte Avenue. It’s a bit different in a lot of ways. [We’re] starting to see downtown becoming the place to go for professionals</w:t>
      </w:r>
      <w:r w:rsidR="00296BF7" w:rsidRPr="009D1812">
        <w:rPr>
          <w:shd w:val="clear" w:color="auto" w:fill="FFFFFF"/>
          <w:lang w:val="en-GB"/>
        </w:rPr>
        <w:t xml:space="preserve"> and for a younger generation.”</w:t>
      </w:r>
      <w:r w:rsidR="00296BF7" w:rsidRPr="009D1812">
        <w:rPr>
          <w:rStyle w:val="EndnoteReference"/>
          <w:shd w:val="clear" w:color="auto" w:fill="FFFFFF"/>
          <w:lang w:val="en-GB"/>
        </w:rPr>
        <w:endnoteReference w:id="39"/>
      </w:r>
      <w:r w:rsidR="00E01570" w:rsidRPr="009D1812">
        <w:rPr>
          <w:shd w:val="clear" w:color="auto" w:fill="FFFFFF"/>
          <w:lang w:val="en-GB"/>
        </w:rPr>
        <w:t xml:space="preserve"> </w:t>
      </w:r>
    </w:p>
    <w:p w14:paraId="1796A702" w14:textId="77777777" w:rsidR="00774404" w:rsidRPr="009C7D60" w:rsidRDefault="00774404" w:rsidP="00774404">
      <w:pPr>
        <w:pStyle w:val="BodyTextMain"/>
        <w:rPr>
          <w:sz w:val="20"/>
          <w:lang w:val="en-GB"/>
        </w:rPr>
      </w:pPr>
    </w:p>
    <w:p w14:paraId="0991A9B5" w14:textId="77777777" w:rsidR="00774404" w:rsidRPr="009C7D60" w:rsidRDefault="00774404" w:rsidP="00774404">
      <w:pPr>
        <w:pStyle w:val="BodyTextMain"/>
        <w:rPr>
          <w:sz w:val="20"/>
          <w:lang w:val="en-GB"/>
        </w:rPr>
      </w:pPr>
    </w:p>
    <w:p w14:paraId="34283E26" w14:textId="77777777" w:rsidR="00774404" w:rsidRPr="009D1812" w:rsidRDefault="00774404" w:rsidP="00774404">
      <w:pPr>
        <w:pStyle w:val="Casehead1"/>
        <w:rPr>
          <w:lang w:val="en-GB"/>
        </w:rPr>
      </w:pPr>
      <w:r w:rsidRPr="009D1812">
        <w:rPr>
          <w:lang w:val="en-GB"/>
        </w:rPr>
        <w:t xml:space="preserve">GOING FORWARD </w:t>
      </w:r>
    </w:p>
    <w:p w14:paraId="06E516E4" w14:textId="77777777" w:rsidR="00774404" w:rsidRPr="009C7D60" w:rsidRDefault="00774404" w:rsidP="00774404">
      <w:pPr>
        <w:pStyle w:val="BodyTextMain"/>
        <w:rPr>
          <w:sz w:val="20"/>
          <w:lang w:val="en-GB"/>
        </w:rPr>
      </w:pPr>
    </w:p>
    <w:p w14:paraId="1DABEF90" w14:textId="7E75DFCB" w:rsidR="00774404" w:rsidRPr="009D1812" w:rsidRDefault="00774404" w:rsidP="00774404">
      <w:pPr>
        <w:pStyle w:val="BodyTextMain"/>
        <w:rPr>
          <w:lang w:val="en-GB"/>
        </w:rPr>
      </w:pPr>
      <w:r w:rsidRPr="009D1812">
        <w:rPr>
          <w:lang w:val="en-GB"/>
        </w:rPr>
        <w:t xml:space="preserve">Reflecting on the future of Earth’s General Store, </w:t>
      </w:r>
      <w:proofErr w:type="spellStart"/>
      <w:r w:rsidR="003B519A" w:rsidRPr="009D1812">
        <w:rPr>
          <w:lang w:val="en-GB"/>
        </w:rPr>
        <w:t>Kalmanovitch</w:t>
      </w:r>
      <w:proofErr w:type="spellEnd"/>
      <w:r w:rsidRPr="009D1812">
        <w:rPr>
          <w:lang w:val="en-GB"/>
        </w:rPr>
        <w:t xml:space="preserve"> was perplexed about what to do next. The business had come a long way since its inception</w:t>
      </w:r>
      <w:r w:rsidR="00EA597A" w:rsidRPr="009D1812">
        <w:rPr>
          <w:lang w:val="en-GB"/>
        </w:rPr>
        <w:t>,</w:t>
      </w:r>
      <w:r w:rsidRPr="009D1812">
        <w:rPr>
          <w:lang w:val="en-GB"/>
        </w:rPr>
        <w:t xml:space="preserve"> and the promise of </w:t>
      </w:r>
      <w:r w:rsidR="00EA597A" w:rsidRPr="009D1812">
        <w:rPr>
          <w:lang w:val="en-GB"/>
        </w:rPr>
        <w:t xml:space="preserve">a </w:t>
      </w:r>
      <w:r w:rsidRPr="009D1812">
        <w:rPr>
          <w:lang w:val="en-GB"/>
        </w:rPr>
        <w:t xml:space="preserve">lively downtown core was certainly appealing. </w:t>
      </w:r>
      <w:r w:rsidR="00B51F72" w:rsidRPr="009D1812">
        <w:rPr>
          <w:lang w:val="en-GB"/>
        </w:rPr>
        <w:t>Still, d</w:t>
      </w:r>
      <w:r w:rsidRPr="009D1812">
        <w:rPr>
          <w:lang w:val="en-GB"/>
        </w:rPr>
        <w:t xml:space="preserve">espite data showing </w:t>
      </w:r>
      <w:r w:rsidR="0047673B" w:rsidRPr="009D1812">
        <w:rPr>
          <w:lang w:val="en-GB"/>
        </w:rPr>
        <w:t xml:space="preserve">that </w:t>
      </w:r>
      <w:r w:rsidRPr="009D1812">
        <w:rPr>
          <w:lang w:val="en-GB"/>
        </w:rPr>
        <w:t>his downtown location was well</w:t>
      </w:r>
      <w:r w:rsidR="0047673B" w:rsidRPr="009D1812">
        <w:rPr>
          <w:lang w:val="en-GB"/>
        </w:rPr>
        <w:t xml:space="preserve"> </w:t>
      </w:r>
      <w:r w:rsidRPr="009D1812">
        <w:rPr>
          <w:lang w:val="en-GB"/>
        </w:rPr>
        <w:t xml:space="preserve">positioned to capitalize on the city’s future revitalization efforts, </w:t>
      </w:r>
      <w:proofErr w:type="spellStart"/>
      <w:r w:rsidR="0047673B" w:rsidRPr="009D1812">
        <w:rPr>
          <w:lang w:val="en-GB"/>
        </w:rPr>
        <w:t>Kalmanovitch</w:t>
      </w:r>
      <w:r w:rsidR="00B51F72" w:rsidRPr="009D1812">
        <w:rPr>
          <w:lang w:val="en-GB"/>
        </w:rPr>
        <w:t>’s</w:t>
      </w:r>
      <w:proofErr w:type="spellEnd"/>
      <w:r w:rsidRPr="009D1812">
        <w:rPr>
          <w:lang w:val="en-GB"/>
        </w:rPr>
        <w:t xml:space="preserve"> business continued to struggle. </w:t>
      </w:r>
      <w:r w:rsidR="0047673B" w:rsidRPr="009D1812">
        <w:rPr>
          <w:lang w:val="en-GB"/>
        </w:rPr>
        <w:t xml:space="preserve">He had </w:t>
      </w:r>
      <w:r w:rsidRPr="009D1812">
        <w:rPr>
          <w:lang w:val="en-GB"/>
        </w:rPr>
        <w:t xml:space="preserve">always </w:t>
      </w:r>
      <w:r w:rsidR="0047673B" w:rsidRPr="009D1812">
        <w:rPr>
          <w:lang w:val="en-GB"/>
        </w:rPr>
        <w:t>envisioned operating several small stores throughout</w:t>
      </w:r>
      <w:r w:rsidRPr="009D1812">
        <w:rPr>
          <w:lang w:val="en-GB"/>
        </w:rPr>
        <w:t xml:space="preserve"> Edmonton’s food desert areas</w:t>
      </w:r>
      <w:r w:rsidR="00663B51" w:rsidRPr="009D1812">
        <w:rPr>
          <w:lang w:val="en-GB"/>
        </w:rPr>
        <w:t xml:space="preserve">, </w:t>
      </w:r>
      <w:r w:rsidR="00CC3E1A" w:rsidRPr="009D1812">
        <w:rPr>
          <w:lang w:val="en-GB"/>
        </w:rPr>
        <w:t>which</w:t>
      </w:r>
      <w:r w:rsidR="00663B51" w:rsidRPr="009D1812">
        <w:rPr>
          <w:lang w:val="en-GB"/>
        </w:rPr>
        <w:t xml:space="preserve"> would allow him to </w:t>
      </w:r>
      <w:r w:rsidRPr="009D1812">
        <w:rPr>
          <w:lang w:val="en-GB"/>
        </w:rPr>
        <w:t xml:space="preserve">advocate for environmental and social sustainability by offering products </w:t>
      </w:r>
      <w:r w:rsidR="00663B51" w:rsidRPr="009D1812">
        <w:rPr>
          <w:lang w:val="en-GB"/>
        </w:rPr>
        <w:t xml:space="preserve">that </w:t>
      </w:r>
      <w:r w:rsidRPr="009D1812">
        <w:rPr>
          <w:lang w:val="en-GB"/>
        </w:rPr>
        <w:t>lessen</w:t>
      </w:r>
      <w:r w:rsidR="00CC3E1A" w:rsidRPr="009D1812">
        <w:rPr>
          <w:lang w:val="en-GB"/>
        </w:rPr>
        <w:t>ed</w:t>
      </w:r>
      <w:r w:rsidRPr="009D1812">
        <w:rPr>
          <w:lang w:val="en-GB"/>
        </w:rPr>
        <w:t xml:space="preserve"> citizens’ impact on the planet and its inhabitants. However, with the current state of the downtown store’s finances, </w:t>
      </w:r>
      <w:proofErr w:type="spellStart"/>
      <w:r w:rsidR="00663B51" w:rsidRPr="009D1812">
        <w:rPr>
          <w:lang w:val="en-GB"/>
        </w:rPr>
        <w:t>Kalmanovitch</w:t>
      </w:r>
      <w:r w:rsidR="00E01570" w:rsidRPr="009D1812">
        <w:rPr>
          <w:lang w:val="en-GB"/>
        </w:rPr>
        <w:t>’s</w:t>
      </w:r>
      <w:proofErr w:type="spellEnd"/>
      <w:r w:rsidR="00663B51" w:rsidRPr="009D1812">
        <w:rPr>
          <w:lang w:val="en-GB"/>
        </w:rPr>
        <w:t xml:space="preserve"> </w:t>
      </w:r>
      <w:r w:rsidRPr="009D1812">
        <w:rPr>
          <w:lang w:val="en-GB"/>
        </w:rPr>
        <w:t>vision</w:t>
      </w:r>
      <w:r w:rsidR="00663B51" w:rsidRPr="009D1812">
        <w:rPr>
          <w:lang w:val="en-GB"/>
        </w:rPr>
        <w:t xml:space="preserve"> </w:t>
      </w:r>
      <w:r w:rsidRPr="009D1812">
        <w:rPr>
          <w:lang w:val="en-GB"/>
        </w:rPr>
        <w:t>and the future of the original Whyte Avenue store</w:t>
      </w:r>
      <w:r w:rsidR="00663B51" w:rsidRPr="009D1812">
        <w:rPr>
          <w:lang w:val="en-GB"/>
        </w:rPr>
        <w:t xml:space="preserve"> </w:t>
      </w:r>
      <w:r w:rsidRPr="009D1812">
        <w:rPr>
          <w:lang w:val="en-GB"/>
        </w:rPr>
        <w:t xml:space="preserve">were </w:t>
      </w:r>
      <w:r w:rsidR="00CC3E1A" w:rsidRPr="009D1812">
        <w:rPr>
          <w:lang w:val="en-GB"/>
        </w:rPr>
        <w:t xml:space="preserve">both </w:t>
      </w:r>
      <w:r w:rsidRPr="009D1812">
        <w:rPr>
          <w:lang w:val="en-GB"/>
        </w:rPr>
        <w:t xml:space="preserve">in jeopardy. </w:t>
      </w:r>
    </w:p>
    <w:p w14:paraId="68122CC5" w14:textId="77777777" w:rsidR="00774404" w:rsidRPr="009C7D60" w:rsidRDefault="00774404" w:rsidP="00774404">
      <w:pPr>
        <w:pStyle w:val="BodyTextMain"/>
        <w:rPr>
          <w:sz w:val="20"/>
          <w:lang w:val="en-GB"/>
        </w:rPr>
      </w:pPr>
    </w:p>
    <w:p w14:paraId="1C4C6A05" w14:textId="77777777" w:rsidR="00774404" w:rsidRPr="009D1812" w:rsidRDefault="00663B51" w:rsidP="00774404">
      <w:pPr>
        <w:pStyle w:val="BodyTextMain"/>
        <w:rPr>
          <w:lang w:val="en-GB"/>
        </w:rPr>
      </w:pPr>
      <w:r w:rsidRPr="009D1812">
        <w:rPr>
          <w:lang w:val="en-GB"/>
        </w:rPr>
        <w:t xml:space="preserve">As </w:t>
      </w:r>
      <w:proofErr w:type="spellStart"/>
      <w:r w:rsidRPr="009D1812">
        <w:rPr>
          <w:lang w:val="en-GB"/>
        </w:rPr>
        <w:t>Kalmanovitch</w:t>
      </w:r>
      <w:proofErr w:type="spellEnd"/>
      <w:r w:rsidRPr="009D1812">
        <w:rPr>
          <w:lang w:val="en-GB"/>
        </w:rPr>
        <w:t xml:space="preserve"> remained d</w:t>
      </w:r>
      <w:r w:rsidR="00774404" w:rsidRPr="009D1812">
        <w:rPr>
          <w:lang w:val="en-GB"/>
        </w:rPr>
        <w:t>eep in thought</w:t>
      </w:r>
      <w:r w:rsidRPr="009D1812">
        <w:rPr>
          <w:lang w:val="en-GB"/>
        </w:rPr>
        <w:t xml:space="preserve"> about the fate of Earth’s General Store</w:t>
      </w:r>
      <w:r w:rsidR="00774404" w:rsidRPr="009D1812">
        <w:rPr>
          <w:lang w:val="en-GB"/>
        </w:rPr>
        <w:t xml:space="preserve">, his coffee </w:t>
      </w:r>
      <w:r w:rsidRPr="009D1812">
        <w:rPr>
          <w:lang w:val="en-GB"/>
        </w:rPr>
        <w:t>went</w:t>
      </w:r>
      <w:r w:rsidR="00774404" w:rsidRPr="009D1812">
        <w:rPr>
          <w:lang w:val="en-GB"/>
        </w:rPr>
        <w:t xml:space="preserve"> cold. </w:t>
      </w:r>
      <w:r w:rsidR="003C7590" w:rsidRPr="009D1812">
        <w:rPr>
          <w:lang w:val="en-GB"/>
        </w:rPr>
        <w:t>He needed to develop a strategy for moving forward, but w</w:t>
      </w:r>
      <w:r w:rsidR="00774404" w:rsidRPr="009D1812">
        <w:rPr>
          <w:lang w:val="en-GB"/>
        </w:rPr>
        <w:t>hat should he do?</w:t>
      </w:r>
    </w:p>
    <w:p w14:paraId="3A8BFD3C" w14:textId="77777777" w:rsidR="00BB6BB7" w:rsidRPr="009C7D60" w:rsidRDefault="00BB6BB7" w:rsidP="00774404">
      <w:pPr>
        <w:pStyle w:val="BodyTextMain"/>
        <w:rPr>
          <w:sz w:val="20"/>
          <w:lang w:val="en-GB"/>
        </w:rPr>
      </w:pPr>
    </w:p>
    <w:p w14:paraId="44ED5C2C" w14:textId="647096A9" w:rsidR="00BB6BB7" w:rsidRPr="009D1812" w:rsidRDefault="00BC428A" w:rsidP="00774404">
      <w:pPr>
        <w:pStyle w:val="BodyTextMain"/>
        <w:rPr>
          <w:lang w:val="en-GB"/>
        </w:rPr>
      </w:pPr>
      <w:r w:rsidRPr="009D1812">
        <w:rPr>
          <w:noProof/>
        </w:rPr>
        <mc:AlternateContent>
          <mc:Choice Requires="wps">
            <w:drawing>
              <wp:anchor distT="45720" distB="45720" distL="114300" distR="114300" simplePos="0" relativeHeight="251658752" behindDoc="0" locked="0" layoutInCell="1" allowOverlap="1" wp14:anchorId="79FD2C7D" wp14:editId="3B2D00D9">
                <wp:simplePos x="0" y="0"/>
                <wp:positionH relativeFrom="column">
                  <wp:posOffset>413385</wp:posOffset>
                </wp:positionH>
                <wp:positionV relativeFrom="paragraph">
                  <wp:posOffset>6350</wp:posOffset>
                </wp:positionV>
                <wp:extent cx="4945380" cy="349250"/>
                <wp:effectExtent l="0" t="0" r="2667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5380" cy="349250"/>
                        </a:xfrm>
                        <a:prstGeom prst="rect">
                          <a:avLst/>
                        </a:prstGeom>
                        <a:solidFill>
                          <a:srgbClr val="FFFFFF"/>
                        </a:solidFill>
                        <a:ln w="9525">
                          <a:solidFill>
                            <a:srgbClr val="000000"/>
                          </a:solidFill>
                          <a:miter lim="800000"/>
                          <a:headEnd/>
                          <a:tailEnd/>
                        </a:ln>
                      </wps:spPr>
                      <wps:txbx>
                        <w:txbxContent>
                          <w:p w14:paraId="67130C56" w14:textId="4FAEC858" w:rsidR="00D558C9" w:rsidRPr="00917D7F" w:rsidRDefault="00B14B2E" w:rsidP="00917D7F">
                            <w:pPr>
                              <w:pStyle w:val="Footnote"/>
                              <w:rPr>
                                <w:lang w:val="en-GB"/>
                              </w:rPr>
                            </w:pPr>
                            <w:r w:rsidRPr="002F3D7F">
                              <w:rPr>
                                <w:lang w:val="en-GB"/>
                              </w:rPr>
                              <w:t>The authors would like to</w:t>
                            </w:r>
                            <w:r w:rsidR="00D558C9" w:rsidRPr="002F3D7F">
                              <w:rPr>
                                <w:lang w:val="en-GB"/>
                              </w:rPr>
                              <w:t xml:space="preserve"> thank the Alberta School of Business Canadian Centre for Corporate Social Responsibility at the University of Alberta for helping to support the development of this case study.</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FD2C7D" id="_x0000_t202" coordsize="21600,21600" o:spt="202" path="m,l,21600r21600,l21600,xe">
                <v:stroke joinstyle="miter"/>
                <v:path gradientshapeok="t" o:connecttype="rect"/>
              </v:shapetype>
              <v:shape id="Text Box 2" o:spid="_x0000_s1026" type="#_x0000_t202" style="position:absolute;left:0;text-align:left;margin-left:32.55pt;margin-top:.5pt;width:389.4pt;height:27.5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">
                <v:textbox style="mso-fit-shape-to-text:t">
                  <w:txbxContent>
                    <w:p w14:paraId="67130C56" w14:textId="4FAEC858" w:rsidR="00D558C9" w:rsidRPr="00917D7F" w:rsidRDefault="00B14B2E" w:rsidP="00917D7F">
                      <w:pPr>
                        <w:pStyle w:val="Footnote"/>
                        <w:rPr>
                          <w:lang w:val="en-GB"/>
                        </w:rPr>
                      </w:pPr>
                      <w:r w:rsidRPr="002F3D7F">
                        <w:rPr>
                          <w:lang w:val="en-GB"/>
                        </w:rPr>
                        <w:t>The authors would like to</w:t>
                      </w:r>
                      <w:r w:rsidR="00D558C9" w:rsidRPr="002F3D7F">
                        <w:rPr>
                          <w:lang w:val="en-GB"/>
                        </w:rPr>
                        <w:t xml:space="preserve"> thank the Alberta School of Business Canadian Centre for Corporate Social Responsibility at the University of Alberta for helping to support the development of this case study.</w:t>
                      </w:r>
                      <w:bookmarkStart w:id="1" w:name="_GoBack"/>
                      <w:bookmarkEnd w:id="1"/>
                    </w:p>
                  </w:txbxContent>
                </v:textbox>
                <w10:wrap type="square"/>
              </v:shape>
            </w:pict>
          </mc:Fallback>
        </mc:AlternateContent>
      </w:r>
    </w:p>
    <w:p w14:paraId="45597CF1" w14:textId="77777777" w:rsidR="00774404" w:rsidRPr="009D1812" w:rsidRDefault="00774404">
      <w:pPr>
        <w:spacing w:after="200" w:line="276" w:lineRule="auto"/>
        <w:rPr>
          <w:sz w:val="22"/>
          <w:szCs w:val="22"/>
          <w:lang w:val="en-GB"/>
        </w:rPr>
      </w:pPr>
      <w:r w:rsidRPr="009D1812">
        <w:rPr>
          <w:lang w:val="en-GB"/>
        </w:rPr>
        <w:br w:type="page"/>
      </w:r>
    </w:p>
    <w:p w14:paraId="151B0B69" w14:textId="6556DA9B" w:rsidR="00774404" w:rsidRPr="009D1812" w:rsidRDefault="00774404" w:rsidP="00774404">
      <w:pPr>
        <w:pStyle w:val="ExhibitHeading"/>
        <w:rPr>
          <w:lang w:val="en-GB"/>
        </w:rPr>
      </w:pPr>
      <w:r w:rsidRPr="009D1812">
        <w:rPr>
          <w:lang w:val="en-GB"/>
        </w:rPr>
        <w:lastRenderedPageBreak/>
        <w:t>EXHIBIT 1: EARTH’S GENERAL STORE INCOME STATEMENT</w:t>
      </w:r>
      <w:r w:rsidR="00B14B2E">
        <w:rPr>
          <w:lang w:val="en-GB"/>
        </w:rPr>
        <w:t xml:space="preserve"> (in CA$)</w:t>
      </w:r>
    </w:p>
    <w:p w14:paraId="49917729" w14:textId="77777777" w:rsidR="00423DC6" w:rsidRPr="009D1812" w:rsidRDefault="00423DC6" w:rsidP="00774404">
      <w:pPr>
        <w:pStyle w:val="ExhibitHeading"/>
        <w:rPr>
          <w:lang w:val="en-GB"/>
        </w:rPr>
      </w:pPr>
    </w:p>
    <w:tbl>
      <w:tblPr>
        <w:tblStyle w:val="TableGrid"/>
        <w:tblW w:w="0" w:type="auto"/>
        <w:jc w:val="center"/>
        <w:tblLook w:val="04A0" w:firstRow="1" w:lastRow="0" w:firstColumn="1" w:lastColumn="0" w:noHBand="0" w:noVBand="1"/>
      </w:tblPr>
      <w:tblGrid>
        <w:gridCol w:w="3651"/>
        <w:gridCol w:w="1959"/>
        <w:gridCol w:w="2087"/>
      </w:tblGrid>
      <w:tr w:rsidR="00423DC6" w:rsidRPr="009D1812" w14:paraId="32945F72" w14:textId="77777777" w:rsidTr="00007A54">
        <w:trPr>
          <w:jc w:val="center"/>
        </w:trPr>
        <w:tc>
          <w:tcPr>
            <w:tcW w:w="3651" w:type="dxa"/>
          </w:tcPr>
          <w:p w14:paraId="6C954CB0" w14:textId="77777777" w:rsidR="00423DC6" w:rsidRPr="007817B3" w:rsidRDefault="0024006D" w:rsidP="007817B3">
            <w:pPr>
              <w:pStyle w:val="ExhibitText"/>
              <w:jc w:val="center"/>
              <w:rPr>
                <w:b/>
                <w:lang w:val="en-GB"/>
              </w:rPr>
            </w:pPr>
            <w:r w:rsidRPr="007817B3">
              <w:rPr>
                <w:b/>
                <w:lang w:val="en-GB"/>
              </w:rPr>
              <w:t>Income Statement</w:t>
            </w:r>
          </w:p>
        </w:tc>
        <w:tc>
          <w:tcPr>
            <w:tcW w:w="1959" w:type="dxa"/>
          </w:tcPr>
          <w:p w14:paraId="36ABF240" w14:textId="77777777" w:rsidR="00573242" w:rsidRPr="007817B3" w:rsidRDefault="0024006D" w:rsidP="00D558C9">
            <w:pPr>
              <w:pStyle w:val="ExhibitText"/>
              <w:jc w:val="center"/>
              <w:rPr>
                <w:b/>
                <w:lang w:val="en-GB" w:eastAsia="en-US"/>
              </w:rPr>
            </w:pPr>
            <w:r w:rsidRPr="007817B3">
              <w:rPr>
                <w:b/>
                <w:lang w:val="en-GB"/>
              </w:rPr>
              <w:t>2015</w:t>
            </w:r>
          </w:p>
        </w:tc>
        <w:tc>
          <w:tcPr>
            <w:tcW w:w="2087" w:type="dxa"/>
          </w:tcPr>
          <w:p w14:paraId="7D7953E4" w14:textId="77777777" w:rsidR="00573242" w:rsidRPr="007817B3" w:rsidRDefault="0024006D" w:rsidP="00D558C9">
            <w:pPr>
              <w:pStyle w:val="ExhibitText"/>
              <w:jc w:val="center"/>
              <w:rPr>
                <w:b/>
                <w:lang w:val="en-GB" w:eastAsia="en-US"/>
              </w:rPr>
            </w:pPr>
            <w:r w:rsidRPr="007817B3">
              <w:rPr>
                <w:b/>
                <w:lang w:val="en-GB"/>
              </w:rPr>
              <w:t>2014</w:t>
            </w:r>
          </w:p>
        </w:tc>
      </w:tr>
      <w:tr w:rsidR="00423DC6" w:rsidRPr="009D1812" w14:paraId="467BC22E" w14:textId="77777777" w:rsidTr="00007A54">
        <w:trPr>
          <w:jc w:val="center"/>
        </w:trPr>
        <w:tc>
          <w:tcPr>
            <w:tcW w:w="3651" w:type="dxa"/>
          </w:tcPr>
          <w:p w14:paraId="011E5795" w14:textId="77777777" w:rsidR="00423DC6" w:rsidRPr="009D1812" w:rsidRDefault="0024006D" w:rsidP="0024006D">
            <w:pPr>
              <w:pStyle w:val="ExhibitText"/>
              <w:rPr>
                <w:b/>
                <w:lang w:val="en-GB"/>
              </w:rPr>
            </w:pPr>
            <w:r w:rsidRPr="009D1812">
              <w:rPr>
                <w:lang w:val="en-GB"/>
              </w:rPr>
              <w:t>Sales</w:t>
            </w:r>
          </w:p>
        </w:tc>
        <w:tc>
          <w:tcPr>
            <w:tcW w:w="1959" w:type="dxa"/>
          </w:tcPr>
          <w:p w14:paraId="0412A754" w14:textId="456D3889" w:rsidR="00423DC6" w:rsidRPr="009D1812" w:rsidRDefault="0024006D" w:rsidP="0024006D">
            <w:pPr>
              <w:pStyle w:val="ExhibitText"/>
              <w:jc w:val="right"/>
              <w:rPr>
                <w:b/>
                <w:lang w:val="en-GB"/>
              </w:rPr>
            </w:pPr>
            <w:r w:rsidRPr="009D1812">
              <w:rPr>
                <w:lang w:val="en-GB"/>
              </w:rPr>
              <w:t>3,748,805</w:t>
            </w:r>
          </w:p>
        </w:tc>
        <w:tc>
          <w:tcPr>
            <w:tcW w:w="2087" w:type="dxa"/>
          </w:tcPr>
          <w:p w14:paraId="5AA9FDD5" w14:textId="2F695178" w:rsidR="00423DC6" w:rsidRPr="009D1812" w:rsidRDefault="0024006D" w:rsidP="0024006D">
            <w:pPr>
              <w:pStyle w:val="ExhibitText"/>
              <w:jc w:val="right"/>
              <w:rPr>
                <w:b/>
                <w:lang w:val="en-GB"/>
              </w:rPr>
            </w:pPr>
            <w:r w:rsidRPr="009D1812">
              <w:rPr>
                <w:lang w:val="en-GB"/>
              </w:rPr>
              <w:t>2,505,948</w:t>
            </w:r>
          </w:p>
        </w:tc>
      </w:tr>
      <w:tr w:rsidR="00423DC6" w:rsidRPr="009D1812" w14:paraId="507411DB" w14:textId="77777777" w:rsidTr="00007A54">
        <w:trPr>
          <w:jc w:val="center"/>
        </w:trPr>
        <w:tc>
          <w:tcPr>
            <w:tcW w:w="3651" w:type="dxa"/>
          </w:tcPr>
          <w:p w14:paraId="14D54B96" w14:textId="77777777" w:rsidR="00423DC6" w:rsidRPr="009D1812" w:rsidRDefault="0024006D" w:rsidP="00B91694">
            <w:pPr>
              <w:pStyle w:val="ExhibitText"/>
              <w:rPr>
                <w:lang w:val="en-GB"/>
              </w:rPr>
            </w:pPr>
            <w:r w:rsidRPr="009D1812">
              <w:rPr>
                <w:lang w:val="en-GB"/>
              </w:rPr>
              <w:t xml:space="preserve">Cost </w:t>
            </w:r>
            <w:r w:rsidR="00B91694" w:rsidRPr="009D1812">
              <w:rPr>
                <w:lang w:val="en-GB"/>
              </w:rPr>
              <w:t>o</w:t>
            </w:r>
            <w:r w:rsidRPr="009D1812">
              <w:rPr>
                <w:lang w:val="en-GB"/>
              </w:rPr>
              <w:t>f Goods Sold</w:t>
            </w:r>
          </w:p>
        </w:tc>
        <w:tc>
          <w:tcPr>
            <w:tcW w:w="1959" w:type="dxa"/>
          </w:tcPr>
          <w:p w14:paraId="55C16A0B" w14:textId="0A1EC18E" w:rsidR="00423DC6" w:rsidRPr="009D1812" w:rsidRDefault="0024006D" w:rsidP="0024006D">
            <w:pPr>
              <w:pStyle w:val="ExhibitText"/>
              <w:jc w:val="right"/>
              <w:rPr>
                <w:b/>
                <w:lang w:val="en-GB"/>
              </w:rPr>
            </w:pPr>
            <w:r w:rsidRPr="009D1812">
              <w:rPr>
                <w:lang w:val="en-GB"/>
              </w:rPr>
              <w:t>2,640,070</w:t>
            </w:r>
          </w:p>
        </w:tc>
        <w:tc>
          <w:tcPr>
            <w:tcW w:w="2087" w:type="dxa"/>
          </w:tcPr>
          <w:p w14:paraId="780E1CCE" w14:textId="76674128" w:rsidR="00423DC6" w:rsidRPr="009D1812" w:rsidRDefault="0024006D" w:rsidP="0024006D">
            <w:pPr>
              <w:pStyle w:val="ExhibitText"/>
              <w:jc w:val="right"/>
              <w:rPr>
                <w:b/>
                <w:lang w:val="en-GB"/>
              </w:rPr>
            </w:pPr>
            <w:r w:rsidRPr="009D1812">
              <w:rPr>
                <w:lang w:val="en-GB"/>
              </w:rPr>
              <w:t>1,879,488</w:t>
            </w:r>
          </w:p>
        </w:tc>
      </w:tr>
      <w:tr w:rsidR="00423DC6" w:rsidRPr="009D1812" w14:paraId="378786D9" w14:textId="77777777" w:rsidTr="00007A54">
        <w:trPr>
          <w:jc w:val="center"/>
        </w:trPr>
        <w:tc>
          <w:tcPr>
            <w:tcW w:w="3651" w:type="dxa"/>
          </w:tcPr>
          <w:p w14:paraId="0FDDE4B0" w14:textId="77777777" w:rsidR="00423DC6" w:rsidRPr="009D1812" w:rsidRDefault="0024006D" w:rsidP="0024006D">
            <w:pPr>
              <w:pStyle w:val="ExhibitText"/>
              <w:rPr>
                <w:lang w:val="en-GB"/>
              </w:rPr>
            </w:pPr>
            <w:r w:rsidRPr="009D1812">
              <w:rPr>
                <w:lang w:val="en-GB"/>
              </w:rPr>
              <w:t>Gross Profit</w:t>
            </w:r>
          </w:p>
        </w:tc>
        <w:tc>
          <w:tcPr>
            <w:tcW w:w="1959" w:type="dxa"/>
          </w:tcPr>
          <w:p w14:paraId="4E9AFD84" w14:textId="58F419A2" w:rsidR="00423DC6" w:rsidRPr="009D1812" w:rsidRDefault="0024006D" w:rsidP="0024006D">
            <w:pPr>
              <w:pStyle w:val="ExhibitText"/>
              <w:jc w:val="right"/>
              <w:rPr>
                <w:b/>
                <w:lang w:val="en-GB"/>
              </w:rPr>
            </w:pPr>
            <w:r w:rsidRPr="009D1812">
              <w:rPr>
                <w:lang w:val="en-GB"/>
              </w:rPr>
              <w:t>1,108,735</w:t>
            </w:r>
          </w:p>
        </w:tc>
        <w:tc>
          <w:tcPr>
            <w:tcW w:w="2087" w:type="dxa"/>
          </w:tcPr>
          <w:p w14:paraId="2AFC9908" w14:textId="723B9031" w:rsidR="00423DC6" w:rsidRPr="009D1812" w:rsidRDefault="0024006D" w:rsidP="0024006D">
            <w:pPr>
              <w:pStyle w:val="ExhibitText"/>
              <w:jc w:val="right"/>
              <w:rPr>
                <w:b/>
                <w:lang w:val="en-GB"/>
              </w:rPr>
            </w:pPr>
            <w:r w:rsidRPr="009D1812">
              <w:rPr>
                <w:lang w:val="en-GB"/>
              </w:rPr>
              <w:t>626,460</w:t>
            </w:r>
          </w:p>
        </w:tc>
      </w:tr>
      <w:tr w:rsidR="00423DC6" w:rsidRPr="009D1812" w14:paraId="3BF52F2A" w14:textId="77777777" w:rsidTr="00007A54">
        <w:trPr>
          <w:jc w:val="center"/>
        </w:trPr>
        <w:tc>
          <w:tcPr>
            <w:tcW w:w="3651" w:type="dxa"/>
          </w:tcPr>
          <w:p w14:paraId="654CFC7C" w14:textId="77777777" w:rsidR="00423DC6" w:rsidRPr="009D1812" w:rsidRDefault="00423DC6" w:rsidP="0024006D">
            <w:pPr>
              <w:pStyle w:val="ExhibitText"/>
              <w:rPr>
                <w:lang w:val="en-GB"/>
              </w:rPr>
            </w:pPr>
          </w:p>
        </w:tc>
        <w:tc>
          <w:tcPr>
            <w:tcW w:w="1959" w:type="dxa"/>
          </w:tcPr>
          <w:p w14:paraId="557F1017" w14:textId="77777777" w:rsidR="00423DC6" w:rsidRPr="009D1812" w:rsidRDefault="00423DC6" w:rsidP="0024006D">
            <w:pPr>
              <w:pStyle w:val="ExhibitText"/>
              <w:jc w:val="right"/>
              <w:rPr>
                <w:b/>
                <w:lang w:val="en-GB"/>
              </w:rPr>
            </w:pPr>
          </w:p>
        </w:tc>
        <w:tc>
          <w:tcPr>
            <w:tcW w:w="2087" w:type="dxa"/>
          </w:tcPr>
          <w:p w14:paraId="0699238B" w14:textId="77777777" w:rsidR="00423DC6" w:rsidRPr="009D1812" w:rsidRDefault="00423DC6" w:rsidP="0024006D">
            <w:pPr>
              <w:pStyle w:val="ExhibitText"/>
              <w:jc w:val="right"/>
              <w:rPr>
                <w:b/>
                <w:lang w:val="en-GB"/>
              </w:rPr>
            </w:pPr>
          </w:p>
        </w:tc>
      </w:tr>
      <w:tr w:rsidR="00423DC6" w:rsidRPr="009D1812" w14:paraId="7CF16432" w14:textId="77777777" w:rsidTr="00007A54">
        <w:trPr>
          <w:jc w:val="center"/>
        </w:trPr>
        <w:tc>
          <w:tcPr>
            <w:tcW w:w="3651" w:type="dxa"/>
          </w:tcPr>
          <w:p w14:paraId="481F236B" w14:textId="77777777" w:rsidR="00423DC6" w:rsidRPr="009D1812" w:rsidRDefault="0024006D" w:rsidP="0024006D">
            <w:pPr>
              <w:pStyle w:val="ExhibitText"/>
              <w:rPr>
                <w:lang w:val="en-GB"/>
              </w:rPr>
            </w:pPr>
            <w:r w:rsidRPr="009D1812">
              <w:rPr>
                <w:lang w:val="en-GB"/>
              </w:rPr>
              <w:t>Expenses</w:t>
            </w:r>
          </w:p>
        </w:tc>
        <w:tc>
          <w:tcPr>
            <w:tcW w:w="1959" w:type="dxa"/>
          </w:tcPr>
          <w:p w14:paraId="6D9E8C72" w14:textId="77777777" w:rsidR="00423DC6" w:rsidRPr="009D1812" w:rsidRDefault="00423DC6" w:rsidP="0024006D">
            <w:pPr>
              <w:pStyle w:val="ExhibitText"/>
              <w:jc w:val="right"/>
              <w:rPr>
                <w:b/>
                <w:lang w:val="en-GB"/>
              </w:rPr>
            </w:pPr>
          </w:p>
        </w:tc>
        <w:tc>
          <w:tcPr>
            <w:tcW w:w="2087" w:type="dxa"/>
          </w:tcPr>
          <w:p w14:paraId="767EE3AD" w14:textId="77777777" w:rsidR="00423DC6" w:rsidRPr="009D1812" w:rsidRDefault="00423DC6" w:rsidP="0024006D">
            <w:pPr>
              <w:pStyle w:val="ExhibitText"/>
              <w:jc w:val="right"/>
              <w:rPr>
                <w:b/>
                <w:lang w:val="en-GB"/>
              </w:rPr>
            </w:pPr>
          </w:p>
        </w:tc>
      </w:tr>
      <w:tr w:rsidR="00423DC6" w:rsidRPr="009D1812" w14:paraId="7F9CA124" w14:textId="77777777" w:rsidTr="00007A54">
        <w:trPr>
          <w:trHeight w:val="80"/>
          <w:jc w:val="center"/>
        </w:trPr>
        <w:tc>
          <w:tcPr>
            <w:tcW w:w="3651" w:type="dxa"/>
          </w:tcPr>
          <w:p w14:paraId="539DD836" w14:textId="77777777" w:rsidR="00423DC6" w:rsidRPr="009D1812" w:rsidRDefault="0024006D" w:rsidP="0024006D">
            <w:pPr>
              <w:pStyle w:val="ExhibitText"/>
              <w:ind w:left="720"/>
              <w:rPr>
                <w:lang w:val="en-GB"/>
              </w:rPr>
            </w:pPr>
            <w:r w:rsidRPr="009D1812">
              <w:rPr>
                <w:lang w:val="en-GB"/>
              </w:rPr>
              <w:t>Amortization</w:t>
            </w:r>
          </w:p>
        </w:tc>
        <w:tc>
          <w:tcPr>
            <w:tcW w:w="1959" w:type="dxa"/>
          </w:tcPr>
          <w:p w14:paraId="697C67CE" w14:textId="27884CC5" w:rsidR="00423DC6" w:rsidRPr="009D1812" w:rsidRDefault="0024006D" w:rsidP="0024006D">
            <w:pPr>
              <w:pStyle w:val="ExhibitText"/>
              <w:jc w:val="right"/>
              <w:rPr>
                <w:b/>
                <w:lang w:val="en-GB"/>
              </w:rPr>
            </w:pPr>
            <w:r w:rsidRPr="009D1812">
              <w:rPr>
                <w:lang w:val="en-GB"/>
              </w:rPr>
              <w:t>46,348</w:t>
            </w:r>
          </w:p>
        </w:tc>
        <w:tc>
          <w:tcPr>
            <w:tcW w:w="2087" w:type="dxa"/>
          </w:tcPr>
          <w:p w14:paraId="64A74205" w14:textId="7217A0F5" w:rsidR="00423DC6" w:rsidRPr="009D1812" w:rsidRDefault="0024006D" w:rsidP="0024006D">
            <w:pPr>
              <w:pStyle w:val="ExhibitText"/>
              <w:jc w:val="right"/>
              <w:rPr>
                <w:b/>
                <w:lang w:val="en-GB"/>
              </w:rPr>
            </w:pPr>
            <w:r w:rsidRPr="009D1812">
              <w:rPr>
                <w:lang w:val="en-GB"/>
              </w:rPr>
              <w:t>19,773</w:t>
            </w:r>
          </w:p>
        </w:tc>
      </w:tr>
      <w:tr w:rsidR="00423DC6" w:rsidRPr="009D1812" w14:paraId="5D35B50E" w14:textId="77777777" w:rsidTr="00007A54">
        <w:trPr>
          <w:jc w:val="center"/>
        </w:trPr>
        <w:tc>
          <w:tcPr>
            <w:tcW w:w="3651" w:type="dxa"/>
          </w:tcPr>
          <w:p w14:paraId="36DECE6D" w14:textId="77777777" w:rsidR="00423DC6" w:rsidRPr="009D1812" w:rsidRDefault="0024006D" w:rsidP="0024006D">
            <w:pPr>
              <w:pStyle w:val="ExhibitText"/>
              <w:ind w:left="720"/>
              <w:rPr>
                <w:lang w:val="en-GB"/>
              </w:rPr>
            </w:pPr>
            <w:r w:rsidRPr="009D1812">
              <w:rPr>
                <w:lang w:val="en-GB"/>
              </w:rPr>
              <w:t>Automotive</w:t>
            </w:r>
          </w:p>
        </w:tc>
        <w:tc>
          <w:tcPr>
            <w:tcW w:w="1959" w:type="dxa"/>
          </w:tcPr>
          <w:p w14:paraId="1CA1F840" w14:textId="32F5F124" w:rsidR="00423DC6" w:rsidRPr="009D1812" w:rsidRDefault="0024006D" w:rsidP="0024006D">
            <w:pPr>
              <w:pStyle w:val="ExhibitText"/>
              <w:jc w:val="right"/>
              <w:rPr>
                <w:b/>
                <w:lang w:val="en-GB"/>
              </w:rPr>
            </w:pPr>
            <w:r w:rsidRPr="009D1812">
              <w:rPr>
                <w:lang w:val="en-GB"/>
              </w:rPr>
              <w:t>2,390</w:t>
            </w:r>
          </w:p>
        </w:tc>
        <w:tc>
          <w:tcPr>
            <w:tcW w:w="2087" w:type="dxa"/>
          </w:tcPr>
          <w:p w14:paraId="0CBD8220" w14:textId="0F86CC45" w:rsidR="00423DC6" w:rsidRPr="009D1812" w:rsidRDefault="0024006D" w:rsidP="0024006D">
            <w:pPr>
              <w:pStyle w:val="ExhibitText"/>
              <w:jc w:val="right"/>
              <w:rPr>
                <w:b/>
                <w:lang w:val="en-GB"/>
              </w:rPr>
            </w:pPr>
            <w:r w:rsidRPr="009D1812">
              <w:rPr>
                <w:lang w:val="en-GB"/>
              </w:rPr>
              <w:t>1,664</w:t>
            </w:r>
          </w:p>
        </w:tc>
      </w:tr>
      <w:tr w:rsidR="00423DC6" w:rsidRPr="009D1812" w14:paraId="10FF54DF" w14:textId="77777777" w:rsidTr="00007A54">
        <w:trPr>
          <w:jc w:val="center"/>
        </w:trPr>
        <w:tc>
          <w:tcPr>
            <w:tcW w:w="3651" w:type="dxa"/>
          </w:tcPr>
          <w:p w14:paraId="706FB319" w14:textId="77777777" w:rsidR="00423DC6" w:rsidRPr="009D1812" w:rsidRDefault="0024006D" w:rsidP="0024006D">
            <w:pPr>
              <w:pStyle w:val="ExhibitText"/>
              <w:ind w:left="720"/>
              <w:rPr>
                <w:lang w:val="en-GB"/>
              </w:rPr>
            </w:pPr>
            <w:r w:rsidRPr="009D1812">
              <w:rPr>
                <w:lang w:val="en-GB"/>
              </w:rPr>
              <w:t>Business Taxes</w:t>
            </w:r>
          </w:p>
        </w:tc>
        <w:tc>
          <w:tcPr>
            <w:tcW w:w="1959" w:type="dxa"/>
          </w:tcPr>
          <w:p w14:paraId="0836BE32" w14:textId="2030C82C" w:rsidR="00423DC6" w:rsidRPr="009D1812" w:rsidRDefault="0024006D" w:rsidP="0024006D">
            <w:pPr>
              <w:pStyle w:val="ExhibitText"/>
              <w:jc w:val="right"/>
              <w:rPr>
                <w:b/>
                <w:lang w:val="en-GB"/>
              </w:rPr>
            </w:pPr>
            <w:r w:rsidRPr="009D1812">
              <w:rPr>
                <w:lang w:val="en-GB"/>
              </w:rPr>
              <w:t>2,678</w:t>
            </w:r>
          </w:p>
        </w:tc>
        <w:tc>
          <w:tcPr>
            <w:tcW w:w="2087" w:type="dxa"/>
          </w:tcPr>
          <w:p w14:paraId="372B3E3C" w14:textId="415730E2" w:rsidR="00423DC6" w:rsidRPr="009D1812" w:rsidRDefault="0024006D" w:rsidP="0024006D">
            <w:pPr>
              <w:pStyle w:val="ExhibitText"/>
              <w:jc w:val="right"/>
              <w:rPr>
                <w:b/>
                <w:lang w:val="en-GB"/>
              </w:rPr>
            </w:pPr>
            <w:r w:rsidRPr="009D1812">
              <w:rPr>
                <w:lang w:val="en-GB"/>
              </w:rPr>
              <w:t>3,130</w:t>
            </w:r>
          </w:p>
        </w:tc>
      </w:tr>
      <w:tr w:rsidR="00423DC6" w:rsidRPr="009D1812" w14:paraId="05D9E79A" w14:textId="77777777" w:rsidTr="00007A54">
        <w:trPr>
          <w:jc w:val="center"/>
        </w:trPr>
        <w:tc>
          <w:tcPr>
            <w:tcW w:w="3651" w:type="dxa"/>
          </w:tcPr>
          <w:p w14:paraId="2E67B705" w14:textId="77777777" w:rsidR="00423DC6" w:rsidRPr="009D1812" w:rsidRDefault="0024006D" w:rsidP="0024006D">
            <w:pPr>
              <w:pStyle w:val="ExhibitText"/>
              <w:ind w:left="720"/>
              <w:rPr>
                <w:lang w:val="en-GB"/>
              </w:rPr>
            </w:pPr>
            <w:r w:rsidRPr="009D1812">
              <w:rPr>
                <w:lang w:val="en-GB"/>
              </w:rPr>
              <w:t>Equipment Rental</w:t>
            </w:r>
          </w:p>
        </w:tc>
        <w:tc>
          <w:tcPr>
            <w:tcW w:w="1959" w:type="dxa"/>
          </w:tcPr>
          <w:p w14:paraId="5BE503A5" w14:textId="0A7C0E83" w:rsidR="00423DC6" w:rsidRPr="009D1812" w:rsidRDefault="0024006D" w:rsidP="0024006D">
            <w:pPr>
              <w:pStyle w:val="ExhibitText"/>
              <w:jc w:val="right"/>
              <w:rPr>
                <w:b/>
                <w:lang w:val="en-GB"/>
              </w:rPr>
            </w:pPr>
            <w:r w:rsidRPr="009D1812">
              <w:rPr>
                <w:lang w:val="en-GB"/>
              </w:rPr>
              <w:t>1,546</w:t>
            </w:r>
          </w:p>
        </w:tc>
        <w:tc>
          <w:tcPr>
            <w:tcW w:w="2087" w:type="dxa"/>
          </w:tcPr>
          <w:p w14:paraId="7BC9C00F" w14:textId="48FB2252" w:rsidR="00423DC6" w:rsidRPr="009D1812" w:rsidRDefault="0024006D" w:rsidP="0024006D">
            <w:pPr>
              <w:pStyle w:val="ExhibitText"/>
              <w:jc w:val="right"/>
              <w:rPr>
                <w:b/>
                <w:lang w:val="en-GB"/>
              </w:rPr>
            </w:pPr>
            <w:r w:rsidRPr="009D1812">
              <w:rPr>
                <w:lang w:val="en-GB"/>
              </w:rPr>
              <w:t>341</w:t>
            </w:r>
          </w:p>
        </w:tc>
      </w:tr>
      <w:tr w:rsidR="00423DC6" w:rsidRPr="009D1812" w14:paraId="4474C9FF" w14:textId="77777777" w:rsidTr="00007A54">
        <w:trPr>
          <w:jc w:val="center"/>
        </w:trPr>
        <w:tc>
          <w:tcPr>
            <w:tcW w:w="3651" w:type="dxa"/>
          </w:tcPr>
          <w:p w14:paraId="1396C502" w14:textId="77777777" w:rsidR="00423DC6" w:rsidRPr="009D1812" w:rsidRDefault="0024006D" w:rsidP="0024006D">
            <w:pPr>
              <w:pStyle w:val="ExhibitText"/>
              <w:ind w:left="720"/>
              <w:rPr>
                <w:lang w:val="en-GB"/>
              </w:rPr>
            </w:pPr>
            <w:r w:rsidRPr="009D1812">
              <w:rPr>
                <w:lang w:val="en-GB"/>
              </w:rPr>
              <w:t>Freight</w:t>
            </w:r>
          </w:p>
        </w:tc>
        <w:tc>
          <w:tcPr>
            <w:tcW w:w="1959" w:type="dxa"/>
          </w:tcPr>
          <w:p w14:paraId="1A108AD6" w14:textId="544578DA" w:rsidR="00423DC6" w:rsidRPr="009D1812" w:rsidRDefault="0024006D" w:rsidP="0024006D">
            <w:pPr>
              <w:pStyle w:val="ExhibitText"/>
              <w:jc w:val="right"/>
              <w:rPr>
                <w:b/>
                <w:lang w:val="en-GB"/>
              </w:rPr>
            </w:pPr>
            <w:r w:rsidRPr="009D1812">
              <w:rPr>
                <w:lang w:val="en-GB"/>
              </w:rPr>
              <w:t>436</w:t>
            </w:r>
          </w:p>
        </w:tc>
        <w:tc>
          <w:tcPr>
            <w:tcW w:w="2087" w:type="dxa"/>
          </w:tcPr>
          <w:p w14:paraId="07AAF48F" w14:textId="22022C02" w:rsidR="00423DC6" w:rsidRPr="009D1812" w:rsidRDefault="0024006D" w:rsidP="0024006D">
            <w:pPr>
              <w:pStyle w:val="ExhibitText"/>
              <w:jc w:val="right"/>
              <w:rPr>
                <w:b/>
                <w:lang w:val="en-GB"/>
              </w:rPr>
            </w:pPr>
            <w:r w:rsidRPr="009D1812">
              <w:rPr>
                <w:lang w:val="en-GB"/>
              </w:rPr>
              <w:t>728</w:t>
            </w:r>
          </w:p>
        </w:tc>
      </w:tr>
      <w:tr w:rsidR="00423DC6" w:rsidRPr="009D1812" w14:paraId="2F8BA945" w14:textId="77777777" w:rsidTr="00007A54">
        <w:trPr>
          <w:jc w:val="center"/>
        </w:trPr>
        <w:tc>
          <w:tcPr>
            <w:tcW w:w="3651" w:type="dxa"/>
          </w:tcPr>
          <w:p w14:paraId="4F761061" w14:textId="77777777" w:rsidR="00423DC6" w:rsidRPr="009D1812" w:rsidRDefault="0024006D" w:rsidP="0024006D">
            <w:pPr>
              <w:pStyle w:val="ExhibitText"/>
              <w:ind w:left="720"/>
              <w:rPr>
                <w:lang w:val="en-GB"/>
              </w:rPr>
            </w:pPr>
            <w:r w:rsidRPr="009D1812">
              <w:rPr>
                <w:lang w:val="en-GB"/>
              </w:rPr>
              <w:t>Insurance</w:t>
            </w:r>
          </w:p>
        </w:tc>
        <w:tc>
          <w:tcPr>
            <w:tcW w:w="1959" w:type="dxa"/>
          </w:tcPr>
          <w:p w14:paraId="7F5F43C8" w14:textId="083A250E" w:rsidR="00423DC6" w:rsidRPr="009D1812" w:rsidRDefault="0024006D" w:rsidP="0024006D">
            <w:pPr>
              <w:pStyle w:val="ExhibitText"/>
              <w:jc w:val="right"/>
              <w:rPr>
                <w:b/>
                <w:lang w:val="en-GB"/>
              </w:rPr>
            </w:pPr>
            <w:r w:rsidRPr="009D1812">
              <w:rPr>
                <w:lang w:val="en-GB"/>
              </w:rPr>
              <w:t>3,963</w:t>
            </w:r>
          </w:p>
        </w:tc>
        <w:tc>
          <w:tcPr>
            <w:tcW w:w="2087" w:type="dxa"/>
          </w:tcPr>
          <w:p w14:paraId="04B85B1A" w14:textId="1DD8D222" w:rsidR="00423DC6" w:rsidRPr="009D1812" w:rsidRDefault="0024006D" w:rsidP="0024006D">
            <w:pPr>
              <w:pStyle w:val="ExhibitText"/>
              <w:jc w:val="right"/>
              <w:rPr>
                <w:b/>
                <w:lang w:val="en-GB"/>
              </w:rPr>
            </w:pPr>
            <w:r w:rsidRPr="009D1812">
              <w:rPr>
                <w:lang w:val="en-GB"/>
              </w:rPr>
              <w:t>1,639</w:t>
            </w:r>
          </w:p>
        </w:tc>
      </w:tr>
      <w:tr w:rsidR="00423DC6" w:rsidRPr="009D1812" w14:paraId="2CB77F2A" w14:textId="77777777" w:rsidTr="00007A54">
        <w:trPr>
          <w:jc w:val="center"/>
        </w:trPr>
        <w:tc>
          <w:tcPr>
            <w:tcW w:w="3651" w:type="dxa"/>
          </w:tcPr>
          <w:p w14:paraId="1BE99815" w14:textId="77777777" w:rsidR="00423DC6" w:rsidRPr="009D1812" w:rsidRDefault="0024006D" w:rsidP="0024006D">
            <w:pPr>
              <w:pStyle w:val="ExhibitText"/>
              <w:ind w:left="720"/>
              <w:rPr>
                <w:lang w:val="en-GB"/>
              </w:rPr>
            </w:pPr>
            <w:r w:rsidRPr="009D1812">
              <w:rPr>
                <w:lang w:val="en-GB"/>
              </w:rPr>
              <w:t>Interest/Bank Fees</w:t>
            </w:r>
          </w:p>
        </w:tc>
        <w:tc>
          <w:tcPr>
            <w:tcW w:w="1959" w:type="dxa"/>
          </w:tcPr>
          <w:p w14:paraId="6B7C1333" w14:textId="39AC461B" w:rsidR="00423DC6" w:rsidRPr="009D1812" w:rsidRDefault="0024006D" w:rsidP="0024006D">
            <w:pPr>
              <w:pStyle w:val="ExhibitText"/>
              <w:jc w:val="right"/>
              <w:rPr>
                <w:b/>
                <w:lang w:val="en-GB"/>
              </w:rPr>
            </w:pPr>
            <w:r w:rsidRPr="009D1812">
              <w:rPr>
                <w:lang w:val="en-GB"/>
              </w:rPr>
              <w:t>38,390</w:t>
            </w:r>
          </w:p>
        </w:tc>
        <w:tc>
          <w:tcPr>
            <w:tcW w:w="2087" w:type="dxa"/>
          </w:tcPr>
          <w:p w14:paraId="11F986DD" w14:textId="77C6B9F5" w:rsidR="00423DC6" w:rsidRPr="009D1812" w:rsidRDefault="0024006D" w:rsidP="0024006D">
            <w:pPr>
              <w:pStyle w:val="ExhibitText"/>
              <w:jc w:val="right"/>
              <w:rPr>
                <w:b/>
                <w:lang w:val="en-GB"/>
              </w:rPr>
            </w:pPr>
            <w:r w:rsidRPr="009D1812">
              <w:rPr>
                <w:lang w:val="en-GB"/>
              </w:rPr>
              <w:t>25,487</w:t>
            </w:r>
          </w:p>
        </w:tc>
      </w:tr>
      <w:tr w:rsidR="00423DC6" w:rsidRPr="009D1812" w14:paraId="636456F1" w14:textId="77777777" w:rsidTr="009C7D60">
        <w:trPr>
          <w:jc w:val="center"/>
        </w:trPr>
        <w:tc>
          <w:tcPr>
            <w:tcW w:w="3651" w:type="dxa"/>
          </w:tcPr>
          <w:p w14:paraId="16962E8D" w14:textId="77777777" w:rsidR="00423DC6" w:rsidRPr="009D1812" w:rsidRDefault="0024006D" w:rsidP="0058303D">
            <w:pPr>
              <w:pStyle w:val="ExhibitText"/>
              <w:ind w:left="720"/>
              <w:rPr>
                <w:lang w:val="en-GB"/>
              </w:rPr>
            </w:pPr>
            <w:r w:rsidRPr="009D1812">
              <w:rPr>
                <w:lang w:val="en-GB"/>
              </w:rPr>
              <w:t xml:space="preserve">Interest </w:t>
            </w:r>
            <w:r w:rsidR="0058303D" w:rsidRPr="009D1812">
              <w:rPr>
                <w:lang w:val="en-GB"/>
              </w:rPr>
              <w:t>o</w:t>
            </w:r>
            <w:r w:rsidRPr="009D1812">
              <w:rPr>
                <w:lang w:val="en-GB"/>
              </w:rPr>
              <w:t>n L</w:t>
            </w:r>
            <w:r w:rsidR="0058303D" w:rsidRPr="009D1812">
              <w:rPr>
                <w:lang w:val="en-GB"/>
              </w:rPr>
              <w:t>ong-Term Debt</w:t>
            </w:r>
          </w:p>
        </w:tc>
        <w:tc>
          <w:tcPr>
            <w:tcW w:w="1959" w:type="dxa"/>
          </w:tcPr>
          <w:p w14:paraId="1A8484DB" w14:textId="210A403E" w:rsidR="00423DC6" w:rsidRPr="009D1812" w:rsidRDefault="0024006D" w:rsidP="0024006D">
            <w:pPr>
              <w:pStyle w:val="ExhibitText"/>
              <w:jc w:val="right"/>
              <w:rPr>
                <w:b/>
                <w:lang w:val="en-GB"/>
              </w:rPr>
            </w:pPr>
            <w:r w:rsidRPr="009D1812">
              <w:rPr>
                <w:lang w:val="en-GB"/>
              </w:rPr>
              <w:t>11,664</w:t>
            </w:r>
          </w:p>
        </w:tc>
        <w:tc>
          <w:tcPr>
            <w:tcW w:w="2087" w:type="dxa"/>
          </w:tcPr>
          <w:p w14:paraId="68E990C9" w14:textId="77777777" w:rsidR="00423DC6" w:rsidRPr="009D1812" w:rsidRDefault="00423DC6" w:rsidP="0024006D">
            <w:pPr>
              <w:pStyle w:val="ExhibitText"/>
              <w:jc w:val="right"/>
              <w:rPr>
                <w:b/>
                <w:lang w:val="en-GB"/>
              </w:rPr>
            </w:pPr>
          </w:p>
        </w:tc>
      </w:tr>
      <w:tr w:rsidR="00423DC6" w:rsidRPr="009D1812" w14:paraId="262277AE" w14:textId="77777777" w:rsidTr="00007A54">
        <w:trPr>
          <w:jc w:val="center"/>
        </w:trPr>
        <w:tc>
          <w:tcPr>
            <w:tcW w:w="3651" w:type="dxa"/>
          </w:tcPr>
          <w:p w14:paraId="1B685948" w14:textId="77777777" w:rsidR="00423DC6" w:rsidRPr="009D1812" w:rsidRDefault="0024006D" w:rsidP="0024006D">
            <w:pPr>
              <w:pStyle w:val="ExhibitText"/>
              <w:ind w:left="720"/>
              <w:rPr>
                <w:lang w:val="en-GB"/>
              </w:rPr>
            </w:pPr>
            <w:r w:rsidRPr="009D1812">
              <w:rPr>
                <w:lang w:val="en-GB"/>
              </w:rPr>
              <w:t>Marketing</w:t>
            </w:r>
          </w:p>
        </w:tc>
        <w:tc>
          <w:tcPr>
            <w:tcW w:w="1959" w:type="dxa"/>
          </w:tcPr>
          <w:p w14:paraId="0D35F10E" w14:textId="214F5A79" w:rsidR="00423DC6" w:rsidRPr="009D1812" w:rsidRDefault="0024006D" w:rsidP="0024006D">
            <w:pPr>
              <w:pStyle w:val="ExhibitText"/>
              <w:jc w:val="right"/>
              <w:rPr>
                <w:b/>
                <w:lang w:val="en-GB"/>
              </w:rPr>
            </w:pPr>
            <w:r w:rsidRPr="009D1812">
              <w:rPr>
                <w:lang w:val="en-GB"/>
              </w:rPr>
              <w:t>24,355</w:t>
            </w:r>
          </w:p>
        </w:tc>
        <w:tc>
          <w:tcPr>
            <w:tcW w:w="2087" w:type="dxa"/>
          </w:tcPr>
          <w:p w14:paraId="696D6E04" w14:textId="6875518F" w:rsidR="00423DC6" w:rsidRPr="009D1812" w:rsidRDefault="0024006D" w:rsidP="0024006D">
            <w:pPr>
              <w:pStyle w:val="ExhibitText"/>
              <w:jc w:val="right"/>
              <w:rPr>
                <w:b/>
                <w:lang w:val="en-GB"/>
              </w:rPr>
            </w:pPr>
            <w:r w:rsidRPr="009D1812">
              <w:rPr>
                <w:lang w:val="en-GB"/>
              </w:rPr>
              <w:t>13,725</w:t>
            </w:r>
          </w:p>
        </w:tc>
      </w:tr>
      <w:tr w:rsidR="00423DC6" w:rsidRPr="009D1812" w14:paraId="6A4AF8C6" w14:textId="77777777" w:rsidTr="00007A54">
        <w:trPr>
          <w:jc w:val="center"/>
        </w:trPr>
        <w:tc>
          <w:tcPr>
            <w:tcW w:w="3651" w:type="dxa"/>
          </w:tcPr>
          <w:p w14:paraId="13561B17" w14:textId="77777777" w:rsidR="00423DC6" w:rsidRPr="009D1812" w:rsidRDefault="0024006D" w:rsidP="0024006D">
            <w:pPr>
              <w:pStyle w:val="ExhibitText"/>
              <w:ind w:left="720"/>
              <w:rPr>
                <w:lang w:val="en-GB"/>
              </w:rPr>
            </w:pPr>
            <w:r w:rsidRPr="009D1812">
              <w:rPr>
                <w:lang w:val="en-GB"/>
              </w:rPr>
              <w:t>Office Supplies</w:t>
            </w:r>
          </w:p>
        </w:tc>
        <w:tc>
          <w:tcPr>
            <w:tcW w:w="1959" w:type="dxa"/>
          </w:tcPr>
          <w:p w14:paraId="695A02C4" w14:textId="7C4EA686" w:rsidR="00423DC6" w:rsidRPr="009D1812" w:rsidRDefault="0024006D" w:rsidP="0024006D">
            <w:pPr>
              <w:pStyle w:val="ExhibitText"/>
              <w:jc w:val="right"/>
              <w:rPr>
                <w:b/>
                <w:lang w:val="en-GB"/>
              </w:rPr>
            </w:pPr>
            <w:r w:rsidRPr="009D1812">
              <w:rPr>
                <w:lang w:val="en-GB"/>
              </w:rPr>
              <w:t>45,320</w:t>
            </w:r>
          </w:p>
        </w:tc>
        <w:tc>
          <w:tcPr>
            <w:tcW w:w="2087" w:type="dxa"/>
          </w:tcPr>
          <w:p w14:paraId="3D2908FF" w14:textId="1835F143" w:rsidR="00423DC6" w:rsidRPr="009D1812" w:rsidRDefault="0024006D" w:rsidP="0024006D">
            <w:pPr>
              <w:pStyle w:val="ExhibitText"/>
              <w:jc w:val="right"/>
              <w:rPr>
                <w:b/>
                <w:lang w:val="en-GB"/>
              </w:rPr>
            </w:pPr>
            <w:r w:rsidRPr="009D1812">
              <w:rPr>
                <w:lang w:val="en-GB"/>
              </w:rPr>
              <w:t>23,776</w:t>
            </w:r>
          </w:p>
        </w:tc>
      </w:tr>
      <w:tr w:rsidR="00423DC6" w:rsidRPr="009D1812" w14:paraId="68459DC6" w14:textId="77777777" w:rsidTr="00007A54">
        <w:trPr>
          <w:jc w:val="center"/>
        </w:trPr>
        <w:tc>
          <w:tcPr>
            <w:tcW w:w="3651" w:type="dxa"/>
          </w:tcPr>
          <w:p w14:paraId="5936B179" w14:textId="77777777" w:rsidR="00423DC6" w:rsidRPr="009D1812" w:rsidRDefault="0024006D" w:rsidP="0024006D">
            <w:pPr>
              <w:pStyle w:val="ExhibitText"/>
              <w:ind w:left="720"/>
              <w:rPr>
                <w:lang w:val="en-GB"/>
              </w:rPr>
            </w:pPr>
            <w:r w:rsidRPr="009D1812">
              <w:rPr>
                <w:lang w:val="en-GB"/>
              </w:rPr>
              <w:t>Professional Fees</w:t>
            </w:r>
          </w:p>
        </w:tc>
        <w:tc>
          <w:tcPr>
            <w:tcW w:w="1959" w:type="dxa"/>
          </w:tcPr>
          <w:p w14:paraId="22435E3A" w14:textId="70576953" w:rsidR="00423DC6" w:rsidRPr="009D1812" w:rsidRDefault="0024006D" w:rsidP="0024006D">
            <w:pPr>
              <w:pStyle w:val="ExhibitText"/>
              <w:jc w:val="right"/>
              <w:rPr>
                <w:b/>
                <w:lang w:val="en-GB"/>
              </w:rPr>
            </w:pPr>
            <w:r w:rsidRPr="009D1812">
              <w:rPr>
                <w:lang w:val="en-GB"/>
              </w:rPr>
              <w:t>17,579</w:t>
            </w:r>
          </w:p>
        </w:tc>
        <w:tc>
          <w:tcPr>
            <w:tcW w:w="2087" w:type="dxa"/>
          </w:tcPr>
          <w:p w14:paraId="0D82A6CC" w14:textId="5FCD2C79" w:rsidR="00423DC6" w:rsidRPr="009D1812" w:rsidRDefault="0024006D" w:rsidP="0024006D">
            <w:pPr>
              <w:pStyle w:val="ExhibitText"/>
              <w:jc w:val="right"/>
              <w:rPr>
                <w:b/>
                <w:lang w:val="en-GB"/>
              </w:rPr>
            </w:pPr>
            <w:r w:rsidRPr="009D1812">
              <w:rPr>
                <w:lang w:val="en-GB"/>
              </w:rPr>
              <w:t>17,302</w:t>
            </w:r>
          </w:p>
        </w:tc>
      </w:tr>
      <w:tr w:rsidR="00423DC6" w:rsidRPr="009D1812" w14:paraId="12B59058" w14:textId="77777777" w:rsidTr="00007A54">
        <w:trPr>
          <w:jc w:val="center"/>
        </w:trPr>
        <w:tc>
          <w:tcPr>
            <w:tcW w:w="3651" w:type="dxa"/>
          </w:tcPr>
          <w:p w14:paraId="51C2A193" w14:textId="77777777" w:rsidR="00423DC6" w:rsidRPr="009D1812" w:rsidRDefault="0024006D" w:rsidP="0024006D">
            <w:pPr>
              <w:pStyle w:val="ExhibitText"/>
              <w:ind w:left="720"/>
              <w:rPr>
                <w:lang w:val="en-GB"/>
              </w:rPr>
            </w:pPr>
            <w:r w:rsidRPr="009D1812">
              <w:rPr>
                <w:lang w:val="en-GB"/>
              </w:rPr>
              <w:t>Rent</w:t>
            </w:r>
          </w:p>
        </w:tc>
        <w:tc>
          <w:tcPr>
            <w:tcW w:w="1959" w:type="dxa"/>
          </w:tcPr>
          <w:p w14:paraId="32BD6CC7" w14:textId="64707EB9" w:rsidR="00423DC6" w:rsidRPr="009D1812" w:rsidRDefault="0024006D" w:rsidP="0024006D">
            <w:pPr>
              <w:pStyle w:val="ExhibitText"/>
              <w:jc w:val="right"/>
              <w:rPr>
                <w:b/>
                <w:lang w:val="en-GB"/>
              </w:rPr>
            </w:pPr>
            <w:r w:rsidRPr="009D1812">
              <w:rPr>
                <w:lang w:val="en-GB"/>
              </w:rPr>
              <w:t>248,854</w:t>
            </w:r>
          </w:p>
        </w:tc>
        <w:tc>
          <w:tcPr>
            <w:tcW w:w="2087" w:type="dxa"/>
          </w:tcPr>
          <w:p w14:paraId="2802E91C" w14:textId="5D30122B" w:rsidR="00423DC6" w:rsidRPr="009D1812" w:rsidRDefault="0024006D" w:rsidP="0024006D">
            <w:pPr>
              <w:pStyle w:val="ExhibitText"/>
              <w:jc w:val="right"/>
              <w:rPr>
                <w:b/>
                <w:lang w:val="en-GB"/>
              </w:rPr>
            </w:pPr>
            <w:r w:rsidRPr="009D1812">
              <w:rPr>
                <w:lang w:val="en-GB"/>
              </w:rPr>
              <w:t>92,911</w:t>
            </w:r>
          </w:p>
        </w:tc>
      </w:tr>
      <w:tr w:rsidR="00423DC6" w:rsidRPr="009D1812" w14:paraId="20D33A44" w14:textId="77777777" w:rsidTr="00007A54">
        <w:trPr>
          <w:jc w:val="center"/>
        </w:trPr>
        <w:tc>
          <w:tcPr>
            <w:tcW w:w="3651" w:type="dxa"/>
          </w:tcPr>
          <w:p w14:paraId="5A6F4A25" w14:textId="77777777" w:rsidR="00423DC6" w:rsidRPr="009D1812" w:rsidRDefault="0024006D" w:rsidP="00B91694">
            <w:pPr>
              <w:pStyle w:val="ExhibitText"/>
              <w:ind w:left="720"/>
              <w:rPr>
                <w:lang w:val="en-GB"/>
              </w:rPr>
            </w:pPr>
            <w:r w:rsidRPr="009D1812">
              <w:rPr>
                <w:lang w:val="en-GB"/>
              </w:rPr>
              <w:t xml:space="preserve">Repairs </w:t>
            </w:r>
            <w:r w:rsidR="00B91694" w:rsidRPr="009D1812">
              <w:rPr>
                <w:lang w:val="en-GB"/>
              </w:rPr>
              <w:t>a</w:t>
            </w:r>
            <w:r w:rsidRPr="009D1812">
              <w:rPr>
                <w:lang w:val="en-GB"/>
              </w:rPr>
              <w:t>nd Maint</w:t>
            </w:r>
            <w:r w:rsidR="00B91694" w:rsidRPr="009D1812">
              <w:rPr>
                <w:lang w:val="en-GB"/>
              </w:rPr>
              <w:t>enance</w:t>
            </w:r>
          </w:p>
        </w:tc>
        <w:tc>
          <w:tcPr>
            <w:tcW w:w="1959" w:type="dxa"/>
          </w:tcPr>
          <w:p w14:paraId="7A7C66E6" w14:textId="4ABA7CDD" w:rsidR="00423DC6" w:rsidRPr="009D1812" w:rsidRDefault="0024006D" w:rsidP="0024006D">
            <w:pPr>
              <w:pStyle w:val="ExhibitText"/>
              <w:jc w:val="right"/>
              <w:rPr>
                <w:b/>
                <w:lang w:val="en-GB"/>
              </w:rPr>
            </w:pPr>
            <w:r w:rsidRPr="009D1812">
              <w:rPr>
                <w:lang w:val="en-GB"/>
              </w:rPr>
              <w:t>27,196</w:t>
            </w:r>
          </w:p>
        </w:tc>
        <w:tc>
          <w:tcPr>
            <w:tcW w:w="2087" w:type="dxa"/>
          </w:tcPr>
          <w:p w14:paraId="11847041" w14:textId="4C4DCD63" w:rsidR="00423DC6" w:rsidRPr="009D1812" w:rsidRDefault="0024006D" w:rsidP="0024006D">
            <w:pPr>
              <w:pStyle w:val="ExhibitText"/>
              <w:jc w:val="right"/>
              <w:rPr>
                <w:b/>
                <w:lang w:val="en-GB"/>
              </w:rPr>
            </w:pPr>
            <w:r w:rsidRPr="009D1812">
              <w:rPr>
                <w:lang w:val="en-GB"/>
              </w:rPr>
              <w:t>3,317</w:t>
            </w:r>
          </w:p>
        </w:tc>
      </w:tr>
      <w:tr w:rsidR="00423DC6" w:rsidRPr="009D1812" w14:paraId="687D3F75" w14:textId="77777777" w:rsidTr="00007A54">
        <w:trPr>
          <w:jc w:val="center"/>
        </w:trPr>
        <w:tc>
          <w:tcPr>
            <w:tcW w:w="3651" w:type="dxa"/>
          </w:tcPr>
          <w:p w14:paraId="626F1592" w14:textId="77777777" w:rsidR="00423DC6" w:rsidRPr="009D1812" w:rsidRDefault="0024006D" w:rsidP="0024006D">
            <w:pPr>
              <w:pStyle w:val="ExhibitText"/>
              <w:ind w:left="720"/>
              <w:rPr>
                <w:lang w:val="en-GB"/>
              </w:rPr>
            </w:pPr>
            <w:r w:rsidRPr="009D1812">
              <w:rPr>
                <w:lang w:val="en-GB"/>
              </w:rPr>
              <w:t>Salaries/Benefits</w:t>
            </w:r>
          </w:p>
        </w:tc>
        <w:tc>
          <w:tcPr>
            <w:tcW w:w="1959" w:type="dxa"/>
          </w:tcPr>
          <w:p w14:paraId="5A9B7E32" w14:textId="6F54F536" w:rsidR="00423DC6" w:rsidRPr="009D1812" w:rsidRDefault="0024006D" w:rsidP="0024006D">
            <w:pPr>
              <w:pStyle w:val="ExhibitText"/>
              <w:jc w:val="right"/>
              <w:rPr>
                <w:b/>
                <w:lang w:val="en-GB"/>
              </w:rPr>
            </w:pPr>
            <w:r w:rsidRPr="009D1812">
              <w:rPr>
                <w:lang w:val="en-GB"/>
              </w:rPr>
              <w:t>787,872</w:t>
            </w:r>
          </w:p>
        </w:tc>
        <w:tc>
          <w:tcPr>
            <w:tcW w:w="2087" w:type="dxa"/>
          </w:tcPr>
          <w:p w14:paraId="1A451D2E" w14:textId="5B57A47A" w:rsidR="00423DC6" w:rsidRPr="009D1812" w:rsidRDefault="0024006D" w:rsidP="0024006D">
            <w:pPr>
              <w:pStyle w:val="ExhibitText"/>
              <w:jc w:val="right"/>
              <w:rPr>
                <w:b/>
                <w:lang w:val="en-GB"/>
              </w:rPr>
            </w:pPr>
            <w:r w:rsidRPr="009D1812">
              <w:rPr>
                <w:lang w:val="en-GB"/>
              </w:rPr>
              <w:t>430,054</w:t>
            </w:r>
          </w:p>
        </w:tc>
      </w:tr>
      <w:tr w:rsidR="00423DC6" w:rsidRPr="009D1812" w14:paraId="7AAA97F5" w14:textId="77777777" w:rsidTr="00007A54">
        <w:trPr>
          <w:jc w:val="center"/>
        </w:trPr>
        <w:tc>
          <w:tcPr>
            <w:tcW w:w="3651" w:type="dxa"/>
          </w:tcPr>
          <w:p w14:paraId="27F84BDD" w14:textId="77777777" w:rsidR="00423DC6" w:rsidRPr="009D1812" w:rsidRDefault="0024006D" w:rsidP="0024006D">
            <w:pPr>
              <w:pStyle w:val="ExhibitText"/>
              <w:ind w:left="720"/>
              <w:rPr>
                <w:lang w:val="en-GB"/>
              </w:rPr>
            </w:pPr>
            <w:r w:rsidRPr="009D1812">
              <w:rPr>
                <w:lang w:val="en-GB"/>
              </w:rPr>
              <w:t>Training</w:t>
            </w:r>
          </w:p>
        </w:tc>
        <w:tc>
          <w:tcPr>
            <w:tcW w:w="1959" w:type="dxa"/>
          </w:tcPr>
          <w:p w14:paraId="7B832763" w14:textId="29500B09" w:rsidR="00423DC6" w:rsidRPr="009D1812" w:rsidRDefault="0024006D" w:rsidP="0024006D">
            <w:pPr>
              <w:pStyle w:val="ExhibitText"/>
              <w:jc w:val="right"/>
              <w:rPr>
                <w:b/>
                <w:lang w:val="en-GB"/>
              </w:rPr>
            </w:pPr>
            <w:r w:rsidRPr="009D1812">
              <w:rPr>
                <w:lang w:val="en-GB"/>
              </w:rPr>
              <w:t>125</w:t>
            </w:r>
          </w:p>
        </w:tc>
        <w:tc>
          <w:tcPr>
            <w:tcW w:w="2087" w:type="dxa"/>
          </w:tcPr>
          <w:p w14:paraId="718AF374" w14:textId="186AFC24" w:rsidR="00423DC6" w:rsidRPr="009D1812" w:rsidRDefault="0024006D" w:rsidP="0024006D">
            <w:pPr>
              <w:pStyle w:val="ExhibitText"/>
              <w:jc w:val="right"/>
              <w:rPr>
                <w:b/>
                <w:lang w:val="en-GB"/>
              </w:rPr>
            </w:pPr>
            <w:r w:rsidRPr="009D1812">
              <w:rPr>
                <w:lang w:val="en-GB"/>
              </w:rPr>
              <w:t>5,877</w:t>
            </w:r>
          </w:p>
        </w:tc>
      </w:tr>
      <w:tr w:rsidR="00423DC6" w:rsidRPr="009D1812" w14:paraId="769D63E5" w14:textId="77777777" w:rsidTr="00007A54">
        <w:trPr>
          <w:jc w:val="center"/>
        </w:trPr>
        <w:tc>
          <w:tcPr>
            <w:tcW w:w="3651" w:type="dxa"/>
          </w:tcPr>
          <w:p w14:paraId="7D9484B7" w14:textId="77777777" w:rsidR="00423DC6" w:rsidRPr="009D1812" w:rsidRDefault="0024006D" w:rsidP="0024006D">
            <w:pPr>
              <w:pStyle w:val="ExhibitText"/>
              <w:ind w:left="720"/>
              <w:rPr>
                <w:lang w:val="en-GB"/>
              </w:rPr>
            </w:pPr>
            <w:r w:rsidRPr="009D1812">
              <w:rPr>
                <w:lang w:val="en-GB"/>
              </w:rPr>
              <w:t>Travel</w:t>
            </w:r>
          </w:p>
        </w:tc>
        <w:tc>
          <w:tcPr>
            <w:tcW w:w="1959" w:type="dxa"/>
          </w:tcPr>
          <w:p w14:paraId="45B46448" w14:textId="7EC419D4" w:rsidR="00423DC6" w:rsidRPr="009D1812" w:rsidRDefault="0024006D" w:rsidP="0024006D">
            <w:pPr>
              <w:pStyle w:val="ExhibitText"/>
              <w:jc w:val="right"/>
              <w:rPr>
                <w:b/>
                <w:lang w:val="en-GB"/>
              </w:rPr>
            </w:pPr>
            <w:r w:rsidRPr="009D1812">
              <w:rPr>
                <w:lang w:val="en-GB"/>
              </w:rPr>
              <w:t>920</w:t>
            </w:r>
          </w:p>
        </w:tc>
        <w:tc>
          <w:tcPr>
            <w:tcW w:w="2087" w:type="dxa"/>
          </w:tcPr>
          <w:p w14:paraId="3477E51D" w14:textId="5D30138D" w:rsidR="00423DC6" w:rsidRPr="009D1812" w:rsidRDefault="0024006D" w:rsidP="0024006D">
            <w:pPr>
              <w:pStyle w:val="ExhibitText"/>
              <w:jc w:val="right"/>
              <w:rPr>
                <w:b/>
                <w:lang w:val="en-GB"/>
              </w:rPr>
            </w:pPr>
            <w:r w:rsidRPr="009D1812">
              <w:rPr>
                <w:lang w:val="en-GB"/>
              </w:rPr>
              <w:t>2,187</w:t>
            </w:r>
          </w:p>
        </w:tc>
      </w:tr>
      <w:tr w:rsidR="00423DC6" w:rsidRPr="009D1812" w14:paraId="027A5D8D" w14:textId="77777777" w:rsidTr="00007A54">
        <w:trPr>
          <w:jc w:val="center"/>
        </w:trPr>
        <w:tc>
          <w:tcPr>
            <w:tcW w:w="3651" w:type="dxa"/>
          </w:tcPr>
          <w:p w14:paraId="0F0E4AA5" w14:textId="77777777" w:rsidR="00423DC6" w:rsidRPr="009D1812" w:rsidRDefault="0024006D" w:rsidP="0024006D">
            <w:pPr>
              <w:pStyle w:val="ExhibitText"/>
              <w:ind w:left="720"/>
              <w:rPr>
                <w:lang w:val="en-GB"/>
              </w:rPr>
            </w:pPr>
            <w:r w:rsidRPr="009D1812">
              <w:rPr>
                <w:lang w:val="en-GB"/>
              </w:rPr>
              <w:t>Utilities</w:t>
            </w:r>
          </w:p>
        </w:tc>
        <w:tc>
          <w:tcPr>
            <w:tcW w:w="1959" w:type="dxa"/>
          </w:tcPr>
          <w:p w14:paraId="3252588F" w14:textId="441FD7BF" w:rsidR="00423DC6" w:rsidRPr="009D1812" w:rsidRDefault="0024006D" w:rsidP="0024006D">
            <w:pPr>
              <w:pStyle w:val="ExhibitText"/>
              <w:jc w:val="right"/>
              <w:rPr>
                <w:b/>
                <w:lang w:val="en-GB"/>
              </w:rPr>
            </w:pPr>
            <w:r w:rsidRPr="009D1812">
              <w:rPr>
                <w:lang w:val="en-GB"/>
              </w:rPr>
              <w:t>36,395</w:t>
            </w:r>
          </w:p>
        </w:tc>
        <w:tc>
          <w:tcPr>
            <w:tcW w:w="2087" w:type="dxa"/>
          </w:tcPr>
          <w:p w14:paraId="1C1C3DC5" w14:textId="6F0991ED" w:rsidR="00423DC6" w:rsidRPr="009D1812" w:rsidRDefault="0024006D" w:rsidP="0024006D">
            <w:pPr>
              <w:pStyle w:val="ExhibitText"/>
              <w:jc w:val="right"/>
              <w:rPr>
                <w:b/>
                <w:lang w:val="en-GB"/>
              </w:rPr>
            </w:pPr>
            <w:r w:rsidRPr="009D1812">
              <w:rPr>
                <w:lang w:val="en-GB"/>
              </w:rPr>
              <w:t>21,139</w:t>
            </w:r>
          </w:p>
        </w:tc>
      </w:tr>
      <w:tr w:rsidR="00423DC6" w:rsidRPr="009D1812" w14:paraId="2850C4D6" w14:textId="77777777" w:rsidTr="00007A54">
        <w:trPr>
          <w:jc w:val="center"/>
        </w:trPr>
        <w:tc>
          <w:tcPr>
            <w:tcW w:w="3651" w:type="dxa"/>
          </w:tcPr>
          <w:p w14:paraId="2B63996E" w14:textId="77777777" w:rsidR="00423DC6" w:rsidRPr="009D1812" w:rsidRDefault="0024006D" w:rsidP="0024006D">
            <w:pPr>
              <w:pStyle w:val="ExhibitText"/>
              <w:rPr>
                <w:lang w:val="en-GB"/>
              </w:rPr>
            </w:pPr>
            <w:r w:rsidRPr="009D1812">
              <w:rPr>
                <w:lang w:val="en-GB"/>
              </w:rPr>
              <w:t>Total Expenses</w:t>
            </w:r>
          </w:p>
        </w:tc>
        <w:tc>
          <w:tcPr>
            <w:tcW w:w="1959" w:type="dxa"/>
          </w:tcPr>
          <w:p w14:paraId="2701D513" w14:textId="14A48C70" w:rsidR="00423DC6" w:rsidRPr="009D1812" w:rsidRDefault="0024006D" w:rsidP="0024006D">
            <w:pPr>
              <w:pStyle w:val="ExhibitText"/>
              <w:jc w:val="right"/>
              <w:rPr>
                <w:b/>
                <w:lang w:val="en-GB"/>
              </w:rPr>
            </w:pPr>
            <w:r w:rsidRPr="009D1812">
              <w:rPr>
                <w:lang w:val="en-GB"/>
              </w:rPr>
              <w:t>1,296,031</w:t>
            </w:r>
          </w:p>
        </w:tc>
        <w:tc>
          <w:tcPr>
            <w:tcW w:w="2087" w:type="dxa"/>
          </w:tcPr>
          <w:p w14:paraId="0C5808A8" w14:textId="3DCFFC29" w:rsidR="00423DC6" w:rsidRPr="009D1812" w:rsidRDefault="0024006D" w:rsidP="0024006D">
            <w:pPr>
              <w:pStyle w:val="ExhibitText"/>
              <w:jc w:val="right"/>
              <w:rPr>
                <w:b/>
                <w:lang w:val="en-GB"/>
              </w:rPr>
            </w:pPr>
            <w:r w:rsidRPr="009D1812">
              <w:rPr>
                <w:lang w:val="en-GB"/>
              </w:rPr>
              <w:t>663,050</w:t>
            </w:r>
          </w:p>
        </w:tc>
      </w:tr>
      <w:tr w:rsidR="000C0041" w:rsidRPr="009D1812" w14:paraId="476B15C0" w14:textId="77777777" w:rsidTr="00007A54">
        <w:trPr>
          <w:jc w:val="center"/>
        </w:trPr>
        <w:tc>
          <w:tcPr>
            <w:tcW w:w="3651" w:type="dxa"/>
          </w:tcPr>
          <w:p w14:paraId="3D9C1B3C" w14:textId="77777777" w:rsidR="000C0041" w:rsidRPr="009D1812" w:rsidRDefault="000C0041" w:rsidP="0024006D">
            <w:pPr>
              <w:pStyle w:val="ExhibitText"/>
              <w:rPr>
                <w:lang w:val="en-GB"/>
              </w:rPr>
            </w:pPr>
          </w:p>
        </w:tc>
        <w:tc>
          <w:tcPr>
            <w:tcW w:w="1959" w:type="dxa"/>
          </w:tcPr>
          <w:p w14:paraId="28CDB04E" w14:textId="77777777" w:rsidR="000C0041" w:rsidRPr="009D1812" w:rsidRDefault="000C0041" w:rsidP="0024006D">
            <w:pPr>
              <w:pStyle w:val="ExhibitText"/>
              <w:jc w:val="right"/>
              <w:rPr>
                <w:b/>
                <w:lang w:val="en-GB"/>
              </w:rPr>
            </w:pPr>
          </w:p>
        </w:tc>
        <w:tc>
          <w:tcPr>
            <w:tcW w:w="2087" w:type="dxa"/>
          </w:tcPr>
          <w:p w14:paraId="75F15C33" w14:textId="77777777" w:rsidR="000C0041" w:rsidRPr="009D1812" w:rsidRDefault="000C0041" w:rsidP="0024006D">
            <w:pPr>
              <w:pStyle w:val="ExhibitText"/>
              <w:jc w:val="right"/>
              <w:rPr>
                <w:b/>
                <w:lang w:val="en-GB"/>
              </w:rPr>
            </w:pPr>
          </w:p>
        </w:tc>
      </w:tr>
      <w:tr w:rsidR="00423DC6" w:rsidRPr="009D1812" w14:paraId="420EF24F" w14:textId="77777777" w:rsidTr="00007A54">
        <w:trPr>
          <w:jc w:val="center"/>
        </w:trPr>
        <w:tc>
          <w:tcPr>
            <w:tcW w:w="3651" w:type="dxa"/>
          </w:tcPr>
          <w:p w14:paraId="722E3F16" w14:textId="77777777" w:rsidR="00423DC6" w:rsidRPr="009D1812" w:rsidRDefault="0024006D" w:rsidP="0024006D">
            <w:pPr>
              <w:pStyle w:val="ExhibitText"/>
              <w:rPr>
                <w:lang w:val="en-GB"/>
              </w:rPr>
            </w:pPr>
            <w:r w:rsidRPr="009D1812">
              <w:rPr>
                <w:lang w:val="en-GB"/>
              </w:rPr>
              <w:t>Net Income (Loss) Before Tax</w:t>
            </w:r>
          </w:p>
        </w:tc>
        <w:tc>
          <w:tcPr>
            <w:tcW w:w="1959" w:type="dxa"/>
          </w:tcPr>
          <w:p w14:paraId="7337351C" w14:textId="07AC5432" w:rsidR="00423DC6" w:rsidRPr="009D1812" w:rsidRDefault="00D558C9" w:rsidP="00B14B2E">
            <w:pPr>
              <w:pStyle w:val="ExhibitText"/>
              <w:jc w:val="right"/>
              <w:rPr>
                <w:b/>
                <w:lang w:val="en-GB"/>
              </w:rPr>
            </w:pPr>
            <w:r w:rsidRPr="009D1812">
              <w:rPr>
                <w:lang w:val="en-GB"/>
              </w:rPr>
              <w:t>−</w:t>
            </w:r>
            <w:r w:rsidR="0024006D" w:rsidRPr="009D1812">
              <w:rPr>
                <w:lang w:val="en-GB"/>
              </w:rPr>
              <w:t>187,296</w:t>
            </w:r>
          </w:p>
        </w:tc>
        <w:tc>
          <w:tcPr>
            <w:tcW w:w="2087" w:type="dxa"/>
          </w:tcPr>
          <w:p w14:paraId="27FD78C5" w14:textId="220891D9" w:rsidR="00423DC6" w:rsidRPr="009D1812" w:rsidRDefault="00D558C9" w:rsidP="00B14B2E">
            <w:pPr>
              <w:pStyle w:val="ExhibitText"/>
              <w:jc w:val="right"/>
              <w:rPr>
                <w:b/>
                <w:lang w:val="en-GB"/>
              </w:rPr>
            </w:pPr>
            <w:r w:rsidRPr="009D1812">
              <w:rPr>
                <w:lang w:val="en-GB"/>
              </w:rPr>
              <w:t>−</w:t>
            </w:r>
            <w:r w:rsidR="0024006D" w:rsidRPr="009D1812">
              <w:rPr>
                <w:lang w:val="en-GB"/>
              </w:rPr>
              <w:t>36,590</w:t>
            </w:r>
          </w:p>
        </w:tc>
      </w:tr>
      <w:tr w:rsidR="00423DC6" w:rsidRPr="009D1812" w14:paraId="325DED83" w14:textId="77777777" w:rsidTr="00007A54">
        <w:trPr>
          <w:jc w:val="center"/>
        </w:trPr>
        <w:tc>
          <w:tcPr>
            <w:tcW w:w="3651" w:type="dxa"/>
          </w:tcPr>
          <w:p w14:paraId="5272AB3F" w14:textId="77777777" w:rsidR="00423DC6" w:rsidRPr="009D1812" w:rsidRDefault="0024006D" w:rsidP="0024006D">
            <w:pPr>
              <w:pStyle w:val="ExhibitText"/>
              <w:rPr>
                <w:lang w:val="en-GB"/>
              </w:rPr>
            </w:pPr>
            <w:r w:rsidRPr="009D1812">
              <w:rPr>
                <w:lang w:val="en-GB"/>
              </w:rPr>
              <w:t>Income Tax (Recovered)</w:t>
            </w:r>
          </w:p>
        </w:tc>
        <w:tc>
          <w:tcPr>
            <w:tcW w:w="1959" w:type="dxa"/>
          </w:tcPr>
          <w:p w14:paraId="142074F8" w14:textId="7926BBC8" w:rsidR="00423DC6" w:rsidRPr="009D1812" w:rsidRDefault="00D558C9" w:rsidP="00B14B2E">
            <w:pPr>
              <w:pStyle w:val="ExhibitText"/>
              <w:jc w:val="right"/>
              <w:rPr>
                <w:b/>
                <w:lang w:val="en-GB"/>
              </w:rPr>
            </w:pPr>
            <w:r w:rsidRPr="009D1812">
              <w:rPr>
                <w:lang w:val="en-GB"/>
              </w:rPr>
              <w:t>−</w:t>
            </w:r>
            <w:r w:rsidR="0024006D" w:rsidRPr="009D1812">
              <w:rPr>
                <w:lang w:val="en-GB"/>
              </w:rPr>
              <w:t>28,352</w:t>
            </w:r>
          </w:p>
        </w:tc>
        <w:tc>
          <w:tcPr>
            <w:tcW w:w="2087" w:type="dxa"/>
          </w:tcPr>
          <w:p w14:paraId="3C3402D8" w14:textId="6674986E" w:rsidR="00423DC6" w:rsidRPr="009D1812" w:rsidRDefault="00D558C9" w:rsidP="00B14B2E">
            <w:pPr>
              <w:pStyle w:val="ExhibitText"/>
              <w:jc w:val="right"/>
              <w:rPr>
                <w:b/>
                <w:lang w:val="en-GB"/>
              </w:rPr>
            </w:pPr>
            <w:r w:rsidRPr="009D1812">
              <w:rPr>
                <w:lang w:val="en-GB"/>
              </w:rPr>
              <w:t>−</w:t>
            </w:r>
            <w:r w:rsidR="0024006D" w:rsidRPr="009D1812">
              <w:rPr>
                <w:lang w:val="en-GB"/>
              </w:rPr>
              <w:t>5,359</w:t>
            </w:r>
          </w:p>
        </w:tc>
      </w:tr>
      <w:tr w:rsidR="00A25B13" w:rsidRPr="009D1812" w14:paraId="3CAF1294" w14:textId="77777777" w:rsidTr="00007A54">
        <w:trPr>
          <w:jc w:val="center"/>
        </w:trPr>
        <w:tc>
          <w:tcPr>
            <w:tcW w:w="3651" w:type="dxa"/>
          </w:tcPr>
          <w:p w14:paraId="586D9AA6" w14:textId="77777777" w:rsidR="00A25B13" w:rsidRPr="009D1812" w:rsidRDefault="0024006D" w:rsidP="0024006D">
            <w:pPr>
              <w:pStyle w:val="ExhibitText"/>
              <w:rPr>
                <w:lang w:val="en-GB"/>
              </w:rPr>
            </w:pPr>
            <w:r w:rsidRPr="009D1812">
              <w:rPr>
                <w:lang w:val="en-GB"/>
              </w:rPr>
              <w:t>Net Loss</w:t>
            </w:r>
          </w:p>
        </w:tc>
        <w:tc>
          <w:tcPr>
            <w:tcW w:w="1959" w:type="dxa"/>
          </w:tcPr>
          <w:p w14:paraId="7FD2A6E5" w14:textId="5DFEDBA5" w:rsidR="00A25B13" w:rsidRPr="009D1812" w:rsidRDefault="00D558C9" w:rsidP="00B14B2E">
            <w:pPr>
              <w:pStyle w:val="ExhibitText"/>
              <w:jc w:val="right"/>
              <w:rPr>
                <w:b/>
                <w:lang w:val="en-GB"/>
              </w:rPr>
            </w:pPr>
            <w:r w:rsidRPr="009D1812">
              <w:rPr>
                <w:lang w:val="en-GB"/>
              </w:rPr>
              <w:t>−</w:t>
            </w:r>
            <w:r w:rsidR="0024006D" w:rsidRPr="009D1812">
              <w:rPr>
                <w:lang w:val="en-GB"/>
              </w:rPr>
              <w:t>215,648</w:t>
            </w:r>
          </w:p>
        </w:tc>
        <w:tc>
          <w:tcPr>
            <w:tcW w:w="2087" w:type="dxa"/>
          </w:tcPr>
          <w:p w14:paraId="4F59A22A" w14:textId="153D29AD" w:rsidR="00A25B13" w:rsidRPr="009D1812" w:rsidRDefault="00D558C9" w:rsidP="00B14B2E">
            <w:pPr>
              <w:pStyle w:val="ExhibitText"/>
              <w:jc w:val="right"/>
              <w:rPr>
                <w:b/>
                <w:lang w:val="en-GB"/>
              </w:rPr>
            </w:pPr>
            <w:r w:rsidRPr="009D1812">
              <w:rPr>
                <w:lang w:val="en-GB"/>
              </w:rPr>
              <w:t>−</w:t>
            </w:r>
            <w:r w:rsidR="0024006D" w:rsidRPr="009D1812">
              <w:rPr>
                <w:lang w:val="en-GB"/>
              </w:rPr>
              <w:t>41,949</w:t>
            </w:r>
          </w:p>
        </w:tc>
      </w:tr>
    </w:tbl>
    <w:p w14:paraId="23689222" w14:textId="77777777" w:rsidR="00423DC6" w:rsidRPr="009D1812" w:rsidRDefault="00423DC6" w:rsidP="00774404">
      <w:pPr>
        <w:pStyle w:val="ExhibitHeading"/>
        <w:rPr>
          <w:lang w:val="en-GB"/>
        </w:rPr>
      </w:pPr>
    </w:p>
    <w:p w14:paraId="7DBAD812" w14:textId="77777777" w:rsidR="00774404" w:rsidRPr="009D1812" w:rsidRDefault="00774404" w:rsidP="00774404">
      <w:pPr>
        <w:pStyle w:val="Footnote"/>
        <w:rPr>
          <w:lang w:val="en-GB"/>
        </w:rPr>
      </w:pPr>
      <w:r w:rsidRPr="009D1812">
        <w:rPr>
          <w:lang w:val="en-GB"/>
        </w:rPr>
        <w:t xml:space="preserve">Source: Created by authors with information from company documents. </w:t>
      </w:r>
    </w:p>
    <w:p w14:paraId="040033D0" w14:textId="77777777" w:rsidR="00774404" w:rsidRPr="009D1812" w:rsidRDefault="00774404" w:rsidP="00774404">
      <w:pPr>
        <w:rPr>
          <w:rFonts w:ascii="Arial" w:hAnsi="Arial" w:cs="Arial"/>
          <w:b/>
          <w:lang w:val="en-GB"/>
        </w:rPr>
      </w:pPr>
    </w:p>
    <w:p w14:paraId="16D05D0D" w14:textId="77777777" w:rsidR="00774404" w:rsidRPr="009D1812" w:rsidRDefault="00774404" w:rsidP="00774404">
      <w:pPr>
        <w:jc w:val="center"/>
        <w:rPr>
          <w:rFonts w:ascii="Arial" w:hAnsi="Arial" w:cs="Arial"/>
          <w:b/>
          <w:lang w:val="en-GB"/>
        </w:rPr>
      </w:pPr>
    </w:p>
    <w:p w14:paraId="528E6ED3" w14:textId="77777777" w:rsidR="00774404" w:rsidRPr="009D1812" w:rsidRDefault="00774404">
      <w:pPr>
        <w:spacing w:after="200" w:line="276" w:lineRule="auto"/>
        <w:rPr>
          <w:rFonts w:ascii="Arial" w:hAnsi="Arial" w:cs="Arial"/>
          <w:b/>
          <w:lang w:val="en-GB"/>
        </w:rPr>
      </w:pPr>
      <w:r w:rsidRPr="009D1812">
        <w:rPr>
          <w:rFonts w:ascii="Arial" w:hAnsi="Arial" w:cs="Arial"/>
          <w:b/>
          <w:lang w:val="en-GB"/>
        </w:rPr>
        <w:br w:type="page"/>
      </w:r>
    </w:p>
    <w:p w14:paraId="3D3E69D9" w14:textId="77777777" w:rsidR="00423DC6" w:rsidRPr="009D1812" w:rsidRDefault="00423DC6" w:rsidP="0024006D">
      <w:pPr>
        <w:pStyle w:val="ExhibitHeading"/>
        <w:rPr>
          <w:lang w:val="en-GB"/>
        </w:rPr>
      </w:pPr>
      <w:r w:rsidRPr="009D1812">
        <w:rPr>
          <w:lang w:val="en-GB"/>
        </w:rPr>
        <w:lastRenderedPageBreak/>
        <w:t xml:space="preserve">EXHIBIT 2: EDMONTON DOWNTOWN GROCERY STORES </w:t>
      </w:r>
      <w:r w:rsidR="005F7111" w:rsidRPr="009D1812">
        <w:rPr>
          <w:lang w:val="en-GB"/>
        </w:rPr>
        <w:t>and</w:t>
      </w:r>
      <w:r w:rsidRPr="009D1812">
        <w:rPr>
          <w:lang w:val="en-GB"/>
        </w:rPr>
        <w:t xml:space="preserve"> FOOD DESERTS</w:t>
      </w:r>
    </w:p>
    <w:p w14:paraId="1E6F7177" w14:textId="77777777" w:rsidR="00423DC6" w:rsidRPr="009D1812" w:rsidRDefault="00423DC6" w:rsidP="00423DC6">
      <w:pPr>
        <w:jc w:val="center"/>
        <w:rPr>
          <w:rFonts w:ascii="Arial" w:hAnsi="Arial" w:cs="Arial"/>
          <w:b/>
          <w:lang w:val="en-GB"/>
        </w:rPr>
      </w:pPr>
    </w:p>
    <w:p w14:paraId="3460AE95" w14:textId="77777777" w:rsidR="00573242" w:rsidRPr="009D1812" w:rsidRDefault="00423DC6" w:rsidP="00493A1F">
      <w:pPr>
        <w:pStyle w:val="Casehead2"/>
        <w:jc w:val="center"/>
        <w:rPr>
          <w:lang w:val="en-GB"/>
        </w:rPr>
      </w:pPr>
      <w:r w:rsidRPr="009D1812">
        <w:rPr>
          <w:lang w:val="en-GB"/>
        </w:rPr>
        <w:t xml:space="preserve">Existing </w:t>
      </w:r>
      <w:r w:rsidR="00AC4052" w:rsidRPr="009D1812">
        <w:rPr>
          <w:lang w:val="en-GB"/>
        </w:rPr>
        <w:t>and</w:t>
      </w:r>
      <w:r w:rsidRPr="009D1812">
        <w:rPr>
          <w:lang w:val="en-GB"/>
        </w:rPr>
        <w:t xml:space="preserve"> Proposed Grocery Stores in Downtown Edmonton</w:t>
      </w:r>
    </w:p>
    <w:p w14:paraId="7C16677C" w14:textId="77777777" w:rsidR="00423DC6" w:rsidRPr="009D1812" w:rsidRDefault="00423DC6" w:rsidP="00423DC6">
      <w:pPr>
        <w:pStyle w:val="Casehead2"/>
        <w:rPr>
          <w:lang w:val="en-GB"/>
        </w:rPr>
      </w:pPr>
    </w:p>
    <w:p w14:paraId="028D0CB1" w14:textId="77777777" w:rsidR="00423DC6" w:rsidRPr="009D1812" w:rsidRDefault="00423DC6" w:rsidP="00423DC6">
      <w:pPr>
        <w:jc w:val="center"/>
        <w:rPr>
          <w:rFonts w:ascii="Arial" w:hAnsi="Arial" w:cs="Arial"/>
          <w:b/>
          <w:lang w:val="en-GB"/>
        </w:rPr>
      </w:pPr>
      <w:r w:rsidRPr="009D1812">
        <w:rPr>
          <w:rFonts w:ascii="Arial" w:hAnsi="Arial" w:cs="Arial"/>
          <w:b/>
          <w:noProof/>
        </w:rPr>
        <w:drawing>
          <wp:inline distT="0" distB="0" distL="0" distR="0" wp14:anchorId="00A0BEE2" wp14:editId="31C7A72A">
            <wp:extent cx="4452620" cy="3736975"/>
            <wp:effectExtent l="0" t="0" r="5080" b="0"/>
            <wp:docPr id="3"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Grp="1"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4452620" cy="3736975"/>
                    </a:xfrm>
                    <a:prstGeom prst="rect">
                      <a:avLst/>
                    </a:prstGeom>
                    <a:noFill/>
                    <a:ln>
                      <a:noFill/>
                    </a:ln>
                  </pic:spPr>
                </pic:pic>
              </a:graphicData>
            </a:graphic>
          </wp:inline>
        </w:drawing>
      </w:r>
    </w:p>
    <w:p w14:paraId="782C9387" w14:textId="77777777" w:rsidR="00423DC6" w:rsidRPr="009D1812" w:rsidRDefault="00423DC6" w:rsidP="00423DC6">
      <w:pPr>
        <w:tabs>
          <w:tab w:val="left" w:pos="8370"/>
        </w:tabs>
        <w:ind w:left="1530" w:right="1170" w:hanging="360"/>
        <w:jc w:val="center"/>
        <w:rPr>
          <w:rFonts w:ascii="Arial" w:hAnsi="Arial" w:cs="Arial"/>
          <w:i/>
          <w:sz w:val="18"/>
          <w:lang w:val="en-GB"/>
        </w:rPr>
      </w:pPr>
    </w:p>
    <w:p w14:paraId="612488D8" w14:textId="6DC4056C" w:rsidR="00423DC6" w:rsidRPr="009D1812" w:rsidRDefault="00423DC6" w:rsidP="00423DC6">
      <w:pPr>
        <w:pStyle w:val="Footnote"/>
        <w:rPr>
          <w:lang w:val="en-GB"/>
        </w:rPr>
      </w:pPr>
      <w:r w:rsidRPr="009D1812">
        <w:rPr>
          <w:lang w:val="en-GB"/>
        </w:rPr>
        <w:t>Note: Points label</w:t>
      </w:r>
      <w:r w:rsidR="00AC4052" w:rsidRPr="009D1812">
        <w:rPr>
          <w:lang w:val="en-GB"/>
        </w:rPr>
        <w:t>l</w:t>
      </w:r>
      <w:r w:rsidRPr="009D1812">
        <w:rPr>
          <w:lang w:val="en-GB"/>
        </w:rPr>
        <w:t>ed A</w:t>
      </w:r>
      <w:r w:rsidR="00AC4052" w:rsidRPr="009D1812">
        <w:rPr>
          <w:lang w:val="en-GB"/>
        </w:rPr>
        <w:t xml:space="preserve"> to </w:t>
      </w:r>
      <w:r w:rsidRPr="009D1812">
        <w:rPr>
          <w:lang w:val="en-GB"/>
        </w:rPr>
        <w:t>D show proposed grocery stores; unlabel</w:t>
      </w:r>
      <w:r w:rsidR="00AC4052" w:rsidRPr="009D1812">
        <w:rPr>
          <w:lang w:val="en-GB"/>
        </w:rPr>
        <w:t>l</w:t>
      </w:r>
      <w:r w:rsidRPr="009D1812">
        <w:rPr>
          <w:lang w:val="en-GB"/>
        </w:rPr>
        <w:t>ed points show existing grocery stores; areas label</w:t>
      </w:r>
      <w:r w:rsidR="00AC4052" w:rsidRPr="009D1812">
        <w:rPr>
          <w:lang w:val="en-GB"/>
        </w:rPr>
        <w:t>l</w:t>
      </w:r>
      <w:r w:rsidRPr="009D1812">
        <w:rPr>
          <w:lang w:val="en-GB"/>
        </w:rPr>
        <w:t xml:space="preserve">ed </w:t>
      </w:r>
      <w:r w:rsidR="00296BF7" w:rsidRPr="009D1812">
        <w:rPr>
          <w:lang w:val="en-GB"/>
        </w:rPr>
        <w:t>(</w:t>
      </w:r>
      <w:proofErr w:type="spellStart"/>
      <w:r w:rsidR="00296BF7" w:rsidRPr="009D1812">
        <w:rPr>
          <w:lang w:val="en-GB"/>
        </w:rPr>
        <w:t>i</w:t>
      </w:r>
      <w:proofErr w:type="spellEnd"/>
      <w:r w:rsidR="00D558C9" w:rsidRPr="009D1812">
        <w:rPr>
          <w:lang w:val="en-GB"/>
        </w:rPr>
        <w:t>)–(</w:t>
      </w:r>
      <w:r w:rsidR="00296BF7" w:rsidRPr="009D1812">
        <w:rPr>
          <w:lang w:val="en-GB"/>
        </w:rPr>
        <w:t>iv)</w:t>
      </w:r>
      <w:r w:rsidRPr="009D1812">
        <w:rPr>
          <w:lang w:val="en-GB"/>
        </w:rPr>
        <w:t xml:space="preserve"> show food deserts</w:t>
      </w:r>
      <w:r w:rsidR="00D558C9" w:rsidRPr="009D1812">
        <w:rPr>
          <w:lang w:val="en-GB"/>
        </w:rPr>
        <w:t>.</w:t>
      </w:r>
    </w:p>
    <w:p w14:paraId="1FF4519F" w14:textId="77777777" w:rsidR="006B746E" w:rsidRPr="009D1812" w:rsidRDefault="00423DC6" w:rsidP="006B746E">
      <w:pPr>
        <w:pStyle w:val="Footnote"/>
        <w:rPr>
          <w:lang w:val="en-GB"/>
        </w:rPr>
      </w:pPr>
      <w:r w:rsidRPr="009D1812">
        <w:rPr>
          <w:lang w:val="en-GB"/>
        </w:rPr>
        <w:t xml:space="preserve">Source: </w:t>
      </w:r>
      <w:r w:rsidR="006B746E" w:rsidRPr="009D1812">
        <w:rPr>
          <w:i/>
          <w:lang w:val="en-GB"/>
        </w:rPr>
        <w:t>Grocery Stores in Canadian Urban Centres</w:t>
      </w:r>
      <w:r w:rsidR="006B746E" w:rsidRPr="009D1812">
        <w:rPr>
          <w:lang w:val="en-GB"/>
        </w:rPr>
        <w:t xml:space="preserve"> (Edmonton, AB: University of Alberta School of Retailing, 2015), accessed May 1, 2017, https://static1.squarespace.com/static/529fc0c0e4b088b079c3fb6d/t/564bb92ee4b06f49e660b3ae/</w:t>
      </w:r>
    </w:p>
    <w:p w14:paraId="1359D192" w14:textId="3CD51F9D" w:rsidR="0024006D" w:rsidRPr="009D1812" w:rsidRDefault="006B746E" w:rsidP="006B746E">
      <w:pPr>
        <w:pStyle w:val="Footnote"/>
        <w:rPr>
          <w:b/>
          <w:caps/>
          <w:lang w:val="en-GB"/>
        </w:rPr>
      </w:pPr>
      <w:r w:rsidRPr="009D1812">
        <w:rPr>
          <w:lang w:val="en-GB"/>
        </w:rPr>
        <w:t>1447803351239/Grocery+Stores+in+Canadian+Urban+Centres-P.pdf.</w:t>
      </w:r>
      <w:r w:rsidR="0024006D" w:rsidRPr="009D1812">
        <w:rPr>
          <w:lang w:val="en-GB"/>
        </w:rPr>
        <w:br w:type="page"/>
      </w:r>
    </w:p>
    <w:p w14:paraId="77C9851C" w14:textId="656083EC" w:rsidR="00573242" w:rsidRPr="009D1812" w:rsidRDefault="00774404" w:rsidP="00493A1F">
      <w:pPr>
        <w:pStyle w:val="ExhibitHeading"/>
        <w:rPr>
          <w:lang w:val="en-GB"/>
        </w:rPr>
      </w:pPr>
      <w:r w:rsidRPr="009D1812">
        <w:rPr>
          <w:lang w:val="en-GB"/>
        </w:rPr>
        <w:lastRenderedPageBreak/>
        <w:t xml:space="preserve">EXHIBIT </w:t>
      </w:r>
      <w:r w:rsidR="00423DC6" w:rsidRPr="009D1812">
        <w:rPr>
          <w:lang w:val="en-GB"/>
        </w:rPr>
        <w:t>3</w:t>
      </w:r>
      <w:r w:rsidRPr="009D1812">
        <w:rPr>
          <w:lang w:val="en-GB"/>
        </w:rPr>
        <w:t xml:space="preserve">: </w:t>
      </w:r>
      <w:r w:rsidR="00B63C9C" w:rsidRPr="009D1812">
        <w:rPr>
          <w:lang w:val="en-GB"/>
        </w:rPr>
        <w:t>PRICE COMPARISONS</w:t>
      </w:r>
      <w:r w:rsidR="00D558C9" w:rsidRPr="009D1812">
        <w:rPr>
          <w:lang w:val="en-GB"/>
        </w:rPr>
        <w:t>—</w:t>
      </w:r>
      <w:r w:rsidRPr="009D1812">
        <w:rPr>
          <w:lang w:val="en-GB"/>
        </w:rPr>
        <w:t>EARTH’S GENERAL STORE V</w:t>
      </w:r>
      <w:r w:rsidR="00AA7837" w:rsidRPr="009D1812">
        <w:rPr>
          <w:lang w:val="en-GB"/>
        </w:rPr>
        <w:t>ersu</w:t>
      </w:r>
      <w:r w:rsidRPr="009D1812">
        <w:rPr>
          <w:lang w:val="en-GB"/>
        </w:rPr>
        <w:t xml:space="preserve">S SAFEWAY </w:t>
      </w:r>
      <w:r w:rsidR="00296BF7" w:rsidRPr="009D1812">
        <w:rPr>
          <w:lang w:val="en-GB"/>
        </w:rPr>
        <w:t>(price per pound; lower prices in bold font)</w:t>
      </w:r>
      <w:r w:rsidR="00B14B2E">
        <w:rPr>
          <w:lang w:val="en-GB"/>
        </w:rPr>
        <w:t xml:space="preserve"> (in CA$)</w:t>
      </w:r>
    </w:p>
    <w:p w14:paraId="0904706C" w14:textId="77777777" w:rsidR="00573242" w:rsidRPr="009D1812" w:rsidRDefault="00573242" w:rsidP="00493A1F">
      <w:pPr>
        <w:pStyle w:val="ExhibitHeading"/>
        <w:jc w:val="left"/>
        <w:rPr>
          <w:lang w:val="en-GB"/>
        </w:rPr>
      </w:pPr>
    </w:p>
    <w:tbl>
      <w:tblPr>
        <w:tblStyle w:val="TableGrid"/>
        <w:tblW w:w="5648" w:type="dxa"/>
        <w:jc w:val="center"/>
        <w:tblLook w:val="04A0" w:firstRow="1" w:lastRow="0" w:firstColumn="1" w:lastColumn="0" w:noHBand="0" w:noVBand="1"/>
      </w:tblPr>
      <w:tblGrid>
        <w:gridCol w:w="3274"/>
        <w:gridCol w:w="1170"/>
        <w:gridCol w:w="1204"/>
      </w:tblGrid>
      <w:tr w:rsidR="00774404" w:rsidRPr="009D1812" w14:paraId="6382F81F" w14:textId="77777777" w:rsidTr="00B77A11">
        <w:trPr>
          <w:trHeight w:val="348"/>
          <w:jc w:val="center"/>
        </w:trPr>
        <w:tc>
          <w:tcPr>
            <w:tcW w:w="3274" w:type="dxa"/>
            <w:noWrap/>
            <w:vAlign w:val="center"/>
            <w:hideMark/>
          </w:tcPr>
          <w:p w14:paraId="0A598C6B" w14:textId="77777777" w:rsidR="00774404" w:rsidRPr="009D1812" w:rsidRDefault="00774404" w:rsidP="00B77A11">
            <w:pPr>
              <w:rPr>
                <w:rFonts w:ascii="Arial" w:hAnsi="Arial" w:cs="Arial"/>
                <w:b/>
                <w:color w:val="000000"/>
                <w:lang w:val="en-GB"/>
              </w:rPr>
            </w:pPr>
            <w:r w:rsidRPr="009D1812">
              <w:rPr>
                <w:rFonts w:ascii="Arial" w:hAnsi="Arial" w:cs="Arial"/>
                <w:b/>
                <w:color w:val="000000"/>
                <w:lang w:val="en-GB"/>
              </w:rPr>
              <w:t>Item</w:t>
            </w:r>
          </w:p>
        </w:tc>
        <w:tc>
          <w:tcPr>
            <w:tcW w:w="1170" w:type="dxa"/>
            <w:noWrap/>
            <w:vAlign w:val="center"/>
            <w:hideMark/>
          </w:tcPr>
          <w:p w14:paraId="286CACA7" w14:textId="77777777" w:rsidR="00774404" w:rsidRPr="009D1812" w:rsidRDefault="00774404" w:rsidP="00B77A11">
            <w:pPr>
              <w:jc w:val="center"/>
              <w:rPr>
                <w:rFonts w:ascii="Arial" w:hAnsi="Arial" w:cs="Arial"/>
                <w:b/>
                <w:color w:val="000000"/>
                <w:lang w:val="en-GB"/>
              </w:rPr>
            </w:pPr>
            <w:r w:rsidRPr="009D1812">
              <w:rPr>
                <w:rFonts w:ascii="Arial" w:hAnsi="Arial" w:cs="Arial"/>
                <w:b/>
                <w:color w:val="000000"/>
                <w:lang w:val="en-GB"/>
              </w:rPr>
              <w:t>EGS</w:t>
            </w:r>
          </w:p>
        </w:tc>
        <w:tc>
          <w:tcPr>
            <w:tcW w:w="1204" w:type="dxa"/>
            <w:noWrap/>
            <w:vAlign w:val="center"/>
            <w:hideMark/>
          </w:tcPr>
          <w:p w14:paraId="6C285CF4" w14:textId="77777777" w:rsidR="00774404" w:rsidRPr="009D1812" w:rsidRDefault="00774404" w:rsidP="00B77A11">
            <w:pPr>
              <w:jc w:val="center"/>
              <w:rPr>
                <w:rFonts w:ascii="Arial" w:hAnsi="Arial" w:cs="Arial"/>
                <w:b/>
                <w:color w:val="000000"/>
                <w:lang w:val="en-GB"/>
              </w:rPr>
            </w:pPr>
            <w:r w:rsidRPr="009D1812">
              <w:rPr>
                <w:rFonts w:ascii="Arial" w:hAnsi="Arial" w:cs="Arial"/>
                <w:b/>
                <w:color w:val="000000"/>
                <w:lang w:val="en-GB"/>
              </w:rPr>
              <w:t>Safeway</w:t>
            </w:r>
          </w:p>
        </w:tc>
      </w:tr>
      <w:tr w:rsidR="00774404" w:rsidRPr="009D1812" w14:paraId="376AA2CC" w14:textId="77777777" w:rsidTr="00B77A11">
        <w:trPr>
          <w:trHeight w:val="288"/>
          <w:jc w:val="center"/>
        </w:trPr>
        <w:tc>
          <w:tcPr>
            <w:tcW w:w="3274" w:type="dxa"/>
            <w:noWrap/>
            <w:vAlign w:val="center"/>
            <w:hideMark/>
          </w:tcPr>
          <w:p w14:paraId="3275A44A" w14:textId="77777777" w:rsidR="00774404" w:rsidRPr="009D1812" w:rsidRDefault="00774404" w:rsidP="00AA7837">
            <w:pPr>
              <w:rPr>
                <w:rFonts w:ascii="Arial" w:hAnsi="Arial" w:cs="Arial"/>
                <w:color w:val="000000"/>
                <w:lang w:val="en-GB"/>
              </w:rPr>
            </w:pPr>
            <w:r w:rsidRPr="009D1812">
              <w:rPr>
                <w:rFonts w:ascii="Arial" w:hAnsi="Arial" w:cs="Arial"/>
                <w:color w:val="000000"/>
                <w:lang w:val="en-GB"/>
              </w:rPr>
              <w:t>Bananas</w:t>
            </w:r>
            <w:r w:rsidR="00AA7837" w:rsidRPr="009D1812">
              <w:rPr>
                <w:rFonts w:ascii="Arial" w:hAnsi="Arial" w:cs="Arial"/>
                <w:color w:val="000000"/>
                <w:lang w:val="en-GB"/>
              </w:rPr>
              <w:t>,</w:t>
            </w:r>
            <w:r w:rsidRPr="009D1812">
              <w:rPr>
                <w:rFonts w:ascii="Arial" w:hAnsi="Arial" w:cs="Arial"/>
                <w:color w:val="000000"/>
                <w:lang w:val="en-GB"/>
              </w:rPr>
              <w:t xml:space="preserve"> Fair</w:t>
            </w:r>
            <w:r w:rsidR="00AA7837" w:rsidRPr="009D1812">
              <w:rPr>
                <w:rFonts w:ascii="Arial" w:hAnsi="Arial" w:cs="Arial"/>
                <w:color w:val="000000"/>
                <w:lang w:val="en-GB"/>
              </w:rPr>
              <w:t xml:space="preserve"> T</w:t>
            </w:r>
            <w:r w:rsidRPr="009D1812">
              <w:rPr>
                <w:rFonts w:ascii="Arial" w:hAnsi="Arial" w:cs="Arial"/>
                <w:color w:val="000000"/>
                <w:lang w:val="en-GB"/>
              </w:rPr>
              <w:t>rade</w:t>
            </w:r>
          </w:p>
        </w:tc>
        <w:tc>
          <w:tcPr>
            <w:tcW w:w="1170" w:type="dxa"/>
            <w:noWrap/>
            <w:vAlign w:val="center"/>
            <w:hideMark/>
          </w:tcPr>
          <w:p w14:paraId="662C7B5B" w14:textId="42B1D04C" w:rsidR="00774404" w:rsidRPr="009D1812" w:rsidRDefault="00774404" w:rsidP="00B77A11">
            <w:pPr>
              <w:jc w:val="right"/>
              <w:rPr>
                <w:rFonts w:ascii="Arial" w:hAnsi="Arial" w:cs="Arial"/>
                <w:color w:val="000000"/>
                <w:lang w:val="en-GB"/>
              </w:rPr>
            </w:pPr>
            <w:r w:rsidRPr="009D1812">
              <w:rPr>
                <w:rFonts w:ascii="Arial" w:hAnsi="Arial" w:cs="Arial"/>
                <w:color w:val="000000"/>
                <w:lang w:val="en-GB"/>
              </w:rPr>
              <w:t>1.29</w:t>
            </w:r>
          </w:p>
        </w:tc>
        <w:tc>
          <w:tcPr>
            <w:tcW w:w="1204" w:type="dxa"/>
            <w:noWrap/>
            <w:vAlign w:val="center"/>
            <w:hideMark/>
          </w:tcPr>
          <w:p w14:paraId="53852F0B" w14:textId="6074EB1C" w:rsidR="00774404" w:rsidRPr="009D1812" w:rsidRDefault="00774404" w:rsidP="00B77A11">
            <w:pPr>
              <w:jc w:val="right"/>
              <w:rPr>
                <w:rFonts w:ascii="Arial" w:hAnsi="Arial" w:cs="Arial"/>
                <w:b/>
                <w:lang w:val="en-GB"/>
              </w:rPr>
            </w:pPr>
            <w:r w:rsidRPr="009D1812">
              <w:rPr>
                <w:rFonts w:ascii="Arial" w:hAnsi="Arial" w:cs="Arial"/>
                <w:b/>
                <w:lang w:val="en-GB"/>
              </w:rPr>
              <w:t>0.77</w:t>
            </w:r>
          </w:p>
        </w:tc>
      </w:tr>
      <w:tr w:rsidR="00774404" w:rsidRPr="009D1812" w14:paraId="18FD7B03" w14:textId="77777777" w:rsidTr="00B77A11">
        <w:trPr>
          <w:trHeight w:val="288"/>
          <w:jc w:val="center"/>
        </w:trPr>
        <w:tc>
          <w:tcPr>
            <w:tcW w:w="3274" w:type="dxa"/>
            <w:noWrap/>
            <w:vAlign w:val="center"/>
            <w:hideMark/>
          </w:tcPr>
          <w:p w14:paraId="10F431DF" w14:textId="33559F04" w:rsidR="00774404" w:rsidRPr="009D1812" w:rsidRDefault="00774404" w:rsidP="00B77A11">
            <w:pPr>
              <w:rPr>
                <w:rFonts w:ascii="Arial" w:hAnsi="Arial" w:cs="Arial"/>
                <w:color w:val="000000"/>
                <w:lang w:val="en-GB"/>
              </w:rPr>
            </w:pPr>
            <w:r w:rsidRPr="009D1812">
              <w:rPr>
                <w:rFonts w:ascii="Arial" w:hAnsi="Arial" w:cs="Arial"/>
                <w:color w:val="000000"/>
                <w:lang w:val="en-GB"/>
              </w:rPr>
              <w:t>Cabbage</w:t>
            </w:r>
            <w:r w:rsidR="00D558C9" w:rsidRPr="009D1812">
              <w:rPr>
                <w:rFonts w:ascii="Arial" w:hAnsi="Arial" w:cs="Arial"/>
                <w:color w:val="000000"/>
                <w:lang w:val="en-GB"/>
              </w:rPr>
              <w:t>,</w:t>
            </w:r>
            <w:r w:rsidRPr="009D1812">
              <w:rPr>
                <w:rFonts w:ascii="Arial" w:hAnsi="Arial" w:cs="Arial"/>
                <w:color w:val="000000"/>
                <w:lang w:val="en-GB"/>
              </w:rPr>
              <w:t xml:space="preserve"> Green</w:t>
            </w:r>
          </w:p>
        </w:tc>
        <w:tc>
          <w:tcPr>
            <w:tcW w:w="1170" w:type="dxa"/>
            <w:noWrap/>
            <w:vAlign w:val="center"/>
            <w:hideMark/>
          </w:tcPr>
          <w:p w14:paraId="0329EF9D" w14:textId="3A90CC1A" w:rsidR="00774404" w:rsidRPr="009D1812" w:rsidRDefault="00774404" w:rsidP="00B77A11">
            <w:pPr>
              <w:jc w:val="right"/>
              <w:rPr>
                <w:rFonts w:ascii="Arial" w:hAnsi="Arial" w:cs="Arial"/>
                <w:color w:val="000000"/>
                <w:lang w:val="en-GB"/>
              </w:rPr>
            </w:pPr>
            <w:r w:rsidRPr="009D1812">
              <w:rPr>
                <w:rFonts w:ascii="Arial" w:hAnsi="Arial" w:cs="Arial"/>
                <w:color w:val="000000"/>
                <w:lang w:val="en-GB"/>
              </w:rPr>
              <w:t>1.89</w:t>
            </w:r>
          </w:p>
        </w:tc>
        <w:tc>
          <w:tcPr>
            <w:tcW w:w="1204" w:type="dxa"/>
            <w:noWrap/>
            <w:vAlign w:val="center"/>
            <w:hideMark/>
          </w:tcPr>
          <w:p w14:paraId="7ADA04F7" w14:textId="22F3078A" w:rsidR="00774404" w:rsidRPr="009D1812" w:rsidRDefault="00774404" w:rsidP="00B77A11">
            <w:pPr>
              <w:jc w:val="right"/>
              <w:rPr>
                <w:rFonts w:ascii="Arial" w:hAnsi="Arial" w:cs="Arial"/>
                <w:b/>
                <w:lang w:val="en-GB"/>
              </w:rPr>
            </w:pPr>
            <w:r w:rsidRPr="009D1812">
              <w:rPr>
                <w:rFonts w:ascii="Arial" w:hAnsi="Arial" w:cs="Arial"/>
                <w:b/>
                <w:lang w:val="en-GB"/>
              </w:rPr>
              <w:t>1.29</w:t>
            </w:r>
          </w:p>
        </w:tc>
      </w:tr>
      <w:tr w:rsidR="00774404" w:rsidRPr="009D1812" w14:paraId="67775E66" w14:textId="77777777" w:rsidTr="00B77A11">
        <w:trPr>
          <w:trHeight w:val="288"/>
          <w:jc w:val="center"/>
        </w:trPr>
        <w:tc>
          <w:tcPr>
            <w:tcW w:w="3274" w:type="dxa"/>
            <w:noWrap/>
            <w:vAlign w:val="center"/>
            <w:hideMark/>
          </w:tcPr>
          <w:p w14:paraId="4F64CF45" w14:textId="76C22EB9" w:rsidR="00774404" w:rsidRPr="009D1812" w:rsidRDefault="00774404" w:rsidP="00B77A11">
            <w:pPr>
              <w:rPr>
                <w:rFonts w:ascii="Arial" w:hAnsi="Arial" w:cs="Arial"/>
                <w:color w:val="000000"/>
                <w:lang w:val="en-GB"/>
              </w:rPr>
            </w:pPr>
            <w:r w:rsidRPr="009D1812">
              <w:rPr>
                <w:rFonts w:ascii="Arial" w:hAnsi="Arial" w:cs="Arial"/>
                <w:color w:val="000000"/>
                <w:lang w:val="en-GB"/>
              </w:rPr>
              <w:t>Cabbage</w:t>
            </w:r>
            <w:r w:rsidR="00D558C9" w:rsidRPr="009D1812">
              <w:rPr>
                <w:rFonts w:ascii="Arial" w:hAnsi="Arial" w:cs="Arial"/>
                <w:color w:val="000000"/>
                <w:lang w:val="en-GB"/>
              </w:rPr>
              <w:t>,</w:t>
            </w:r>
            <w:r w:rsidRPr="009D1812">
              <w:rPr>
                <w:rFonts w:ascii="Arial" w:hAnsi="Arial" w:cs="Arial"/>
                <w:color w:val="000000"/>
                <w:lang w:val="en-GB"/>
              </w:rPr>
              <w:t xml:space="preserve"> Red</w:t>
            </w:r>
          </w:p>
        </w:tc>
        <w:tc>
          <w:tcPr>
            <w:tcW w:w="1170" w:type="dxa"/>
            <w:noWrap/>
            <w:vAlign w:val="center"/>
            <w:hideMark/>
          </w:tcPr>
          <w:p w14:paraId="69707835" w14:textId="5FF2C8C7" w:rsidR="00774404" w:rsidRPr="009D1812" w:rsidRDefault="00774404" w:rsidP="00B77A11">
            <w:pPr>
              <w:jc w:val="right"/>
              <w:rPr>
                <w:rFonts w:ascii="Arial" w:hAnsi="Arial" w:cs="Arial"/>
                <w:color w:val="000000"/>
                <w:lang w:val="en-GB"/>
              </w:rPr>
            </w:pPr>
            <w:r w:rsidRPr="009D1812">
              <w:rPr>
                <w:rFonts w:ascii="Arial" w:hAnsi="Arial" w:cs="Arial"/>
                <w:color w:val="000000"/>
                <w:lang w:val="en-GB"/>
              </w:rPr>
              <w:t>1.99</w:t>
            </w:r>
          </w:p>
        </w:tc>
        <w:tc>
          <w:tcPr>
            <w:tcW w:w="1204" w:type="dxa"/>
            <w:noWrap/>
            <w:vAlign w:val="center"/>
            <w:hideMark/>
          </w:tcPr>
          <w:p w14:paraId="1AC089E9" w14:textId="5DC3286F" w:rsidR="00774404" w:rsidRPr="009D1812" w:rsidRDefault="00774404" w:rsidP="00B77A11">
            <w:pPr>
              <w:jc w:val="right"/>
              <w:rPr>
                <w:rFonts w:ascii="Arial" w:hAnsi="Arial" w:cs="Arial"/>
                <w:b/>
                <w:lang w:val="en-GB"/>
              </w:rPr>
            </w:pPr>
            <w:r w:rsidRPr="009D1812">
              <w:rPr>
                <w:rFonts w:ascii="Arial" w:hAnsi="Arial" w:cs="Arial"/>
                <w:b/>
                <w:lang w:val="en-GB"/>
              </w:rPr>
              <w:t>1.49</w:t>
            </w:r>
          </w:p>
        </w:tc>
      </w:tr>
      <w:tr w:rsidR="00774404" w:rsidRPr="009D1812" w14:paraId="5B78B3C2" w14:textId="77777777" w:rsidTr="00B77A11">
        <w:trPr>
          <w:trHeight w:val="288"/>
          <w:jc w:val="center"/>
        </w:trPr>
        <w:tc>
          <w:tcPr>
            <w:tcW w:w="3274" w:type="dxa"/>
            <w:noWrap/>
            <w:vAlign w:val="center"/>
            <w:hideMark/>
          </w:tcPr>
          <w:p w14:paraId="696D5614" w14:textId="77777777" w:rsidR="00774404" w:rsidRPr="009D1812" w:rsidRDefault="00774404" w:rsidP="00AA7837">
            <w:pPr>
              <w:rPr>
                <w:rFonts w:ascii="Arial" w:hAnsi="Arial" w:cs="Arial"/>
                <w:color w:val="000000"/>
                <w:lang w:val="en-GB"/>
              </w:rPr>
            </w:pPr>
            <w:r w:rsidRPr="009D1812">
              <w:rPr>
                <w:rFonts w:ascii="Arial" w:hAnsi="Arial" w:cs="Arial"/>
                <w:color w:val="000000"/>
                <w:lang w:val="en-GB"/>
              </w:rPr>
              <w:t>Ginger</w:t>
            </w:r>
            <w:r w:rsidR="00AA7837" w:rsidRPr="009D1812">
              <w:rPr>
                <w:rFonts w:ascii="Arial" w:hAnsi="Arial" w:cs="Arial"/>
                <w:color w:val="000000"/>
                <w:lang w:val="en-GB"/>
              </w:rPr>
              <w:t>,</w:t>
            </w:r>
            <w:r w:rsidRPr="009D1812">
              <w:rPr>
                <w:rFonts w:ascii="Arial" w:hAnsi="Arial" w:cs="Arial"/>
                <w:color w:val="000000"/>
                <w:lang w:val="en-GB"/>
              </w:rPr>
              <w:t xml:space="preserve"> Fair</w:t>
            </w:r>
            <w:r w:rsidR="00AA7837" w:rsidRPr="009D1812">
              <w:rPr>
                <w:rFonts w:ascii="Arial" w:hAnsi="Arial" w:cs="Arial"/>
                <w:color w:val="000000"/>
                <w:lang w:val="en-GB"/>
              </w:rPr>
              <w:t xml:space="preserve"> T</w:t>
            </w:r>
            <w:r w:rsidRPr="009D1812">
              <w:rPr>
                <w:rFonts w:ascii="Arial" w:hAnsi="Arial" w:cs="Arial"/>
                <w:color w:val="000000"/>
                <w:lang w:val="en-GB"/>
              </w:rPr>
              <w:t xml:space="preserve">rade </w:t>
            </w:r>
          </w:p>
        </w:tc>
        <w:tc>
          <w:tcPr>
            <w:tcW w:w="1170" w:type="dxa"/>
            <w:noWrap/>
            <w:vAlign w:val="center"/>
            <w:hideMark/>
          </w:tcPr>
          <w:p w14:paraId="228C341B" w14:textId="000D5124" w:rsidR="00774404" w:rsidRPr="009D1812" w:rsidRDefault="00774404" w:rsidP="00B77A11">
            <w:pPr>
              <w:jc w:val="right"/>
              <w:rPr>
                <w:rFonts w:ascii="Arial" w:hAnsi="Arial" w:cs="Arial"/>
                <w:color w:val="000000"/>
                <w:lang w:val="en-GB"/>
              </w:rPr>
            </w:pPr>
            <w:r w:rsidRPr="009D1812">
              <w:rPr>
                <w:rFonts w:ascii="Arial" w:hAnsi="Arial" w:cs="Arial"/>
                <w:color w:val="000000"/>
                <w:lang w:val="en-GB"/>
              </w:rPr>
              <w:t>4.99</w:t>
            </w:r>
          </w:p>
        </w:tc>
        <w:tc>
          <w:tcPr>
            <w:tcW w:w="1204" w:type="dxa"/>
            <w:noWrap/>
            <w:vAlign w:val="center"/>
            <w:hideMark/>
          </w:tcPr>
          <w:p w14:paraId="77B7A66E" w14:textId="3D255F3B" w:rsidR="00774404" w:rsidRPr="009D1812" w:rsidRDefault="00774404" w:rsidP="00B77A11">
            <w:pPr>
              <w:jc w:val="right"/>
              <w:rPr>
                <w:rFonts w:ascii="Arial" w:hAnsi="Arial" w:cs="Arial"/>
                <w:lang w:val="en-GB"/>
              </w:rPr>
            </w:pPr>
            <w:r w:rsidRPr="009D1812">
              <w:rPr>
                <w:rFonts w:ascii="Arial" w:hAnsi="Arial" w:cs="Arial"/>
                <w:lang w:val="en-GB"/>
              </w:rPr>
              <w:t>4.99</w:t>
            </w:r>
          </w:p>
        </w:tc>
      </w:tr>
      <w:tr w:rsidR="00774404" w:rsidRPr="009D1812" w14:paraId="73ACB5A8" w14:textId="77777777" w:rsidTr="00B77A11">
        <w:trPr>
          <w:trHeight w:val="288"/>
          <w:jc w:val="center"/>
        </w:trPr>
        <w:tc>
          <w:tcPr>
            <w:tcW w:w="3274" w:type="dxa"/>
            <w:noWrap/>
            <w:vAlign w:val="center"/>
            <w:hideMark/>
          </w:tcPr>
          <w:p w14:paraId="40950599" w14:textId="77777777" w:rsidR="00774404" w:rsidRPr="009D1812" w:rsidRDefault="00774404" w:rsidP="00B77A11">
            <w:pPr>
              <w:rPr>
                <w:rFonts w:ascii="Arial" w:hAnsi="Arial" w:cs="Arial"/>
                <w:color w:val="000000"/>
                <w:lang w:val="en-GB"/>
              </w:rPr>
            </w:pPr>
            <w:r w:rsidRPr="009D1812">
              <w:rPr>
                <w:rFonts w:ascii="Arial" w:hAnsi="Arial" w:cs="Arial"/>
                <w:color w:val="000000"/>
                <w:lang w:val="en-GB"/>
              </w:rPr>
              <w:t>Oranges/Citrus</w:t>
            </w:r>
            <w:r w:rsidR="00AA7837" w:rsidRPr="009D1812">
              <w:rPr>
                <w:rFonts w:ascii="Arial" w:hAnsi="Arial" w:cs="Arial"/>
                <w:color w:val="000000"/>
                <w:lang w:val="en-GB"/>
              </w:rPr>
              <w:t>,</w:t>
            </w:r>
            <w:r w:rsidRPr="009D1812">
              <w:rPr>
                <w:rFonts w:ascii="Arial" w:hAnsi="Arial" w:cs="Arial"/>
                <w:color w:val="000000"/>
                <w:lang w:val="en-GB"/>
              </w:rPr>
              <w:t xml:space="preserve"> Navel</w:t>
            </w:r>
          </w:p>
        </w:tc>
        <w:tc>
          <w:tcPr>
            <w:tcW w:w="1170" w:type="dxa"/>
            <w:noWrap/>
            <w:vAlign w:val="center"/>
            <w:hideMark/>
          </w:tcPr>
          <w:p w14:paraId="30049C8B" w14:textId="19EE7333" w:rsidR="00774404" w:rsidRPr="009D1812" w:rsidRDefault="00774404" w:rsidP="00B77A11">
            <w:pPr>
              <w:jc w:val="right"/>
              <w:rPr>
                <w:rFonts w:ascii="Arial" w:hAnsi="Arial" w:cs="Arial"/>
                <w:color w:val="000000"/>
                <w:lang w:val="en-GB"/>
              </w:rPr>
            </w:pPr>
            <w:r w:rsidRPr="009D1812">
              <w:rPr>
                <w:rFonts w:ascii="Arial" w:hAnsi="Arial" w:cs="Arial"/>
                <w:color w:val="000000"/>
                <w:lang w:val="en-GB"/>
              </w:rPr>
              <w:t>2.49</w:t>
            </w:r>
          </w:p>
        </w:tc>
        <w:tc>
          <w:tcPr>
            <w:tcW w:w="1204" w:type="dxa"/>
            <w:noWrap/>
            <w:vAlign w:val="center"/>
            <w:hideMark/>
          </w:tcPr>
          <w:p w14:paraId="3BF651CB" w14:textId="3A7BDEF6" w:rsidR="00774404" w:rsidRPr="009D1812" w:rsidRDefault="00774404" w:rsidP="00B77A11">
            <w:pPr>
              <w:jc w:val="right"/>
              <w:rPr>
                <w:rFonts w:ascii="Arial" w:hAnsi="Arial" w:cs="Arial"/>
                <w:b/>
                <w:color w:val="000000"/>
                <w:lang w:val="en-GB"/>
              </w:rPr>
            </w:pPr>
            <w:r w:rsidRPr="009D1812">
              <w:rPr>
                <w:rFonts w:ascii="Arial" w:hAnsi="Arial" w:cs="Arial"/>
                <w:b/>
                <w:color w:val="000000"/>
                <w:lang w:val="en-GB"/>
              </w:rPr>
              <w:t>1.99</w:t>
            </w:r>
          </w:p>
        </w:tc>
      </w:tr>
      <w:tr w:rsidR="00774404" w:rsidRPr="009D1812" w14:paraId="37F55D54" w14:textId="77777777" w:rsidTr="00B77A11">
        <w:trPr>
          <w:trHeight w:val="288"/>
          <w:jc w:val="center"/>
        </w:trPr>
        <w:tc>
          <w:tcPr>
            <w:tcW w:w="3274" w:type="dxa"/>
            <w:noWrap/>
            <w:vAlign w:val="center"/>
            <w:hideMark/>
          </w:tcPr>
          <w:p w14:paraId="43C1D0DD" w14:textId="77777777" w:rsidR="00774404" w:rsidRPr="009D1812" w:rsidRDefault="00774404" w:rsidP="00B77A11">
            <w:pPr>
              <w:rPr>
                <w:rFonts w:ascii="Arial" w:hAnsi="Arial" w:cs="Arial"/>
                <w:color w:val="000000"/>
                <w:lang w:val="en-GB"/>
              </w:rPr>
            </w:pPr>
            <w:r w:rsidRPr="009D1812">
              <w:rPr>
                <w:rFonts w:ascii="Arial" w:hAnsi="Arial" w:cs="Arial"/>
                <w:color w:val="000000"/>
                <w:lang w:val="en-GB"/>
              </w:rPr>
              <w:t>Squash</w:t>
            </w:r>
            <w:r w:rsidR="00AA7837" w:rsidRPr="009D1812">
              <w:rPr>
                <w:rFonts w:ascii="Arial" w:hAnsi="Arial" w:cs="Arial"/>
                <w:color w:val="000000"/>
                <w:lang w:val="en-GB"/>
              </w:rPr>
              <w:t>,</w:t>
            </w:r>
            <w:r w:rsidRPr="009D1812">
              <w:rPr>
                <w:rFonts w:ascii="Arial" w:hAnsi="Arial" w:cs="Arial"/>
                <w:color w:val="000000"/>
                <w:lang w:val="en-GB"/>
              </w:rPr>
              <w:t xml:space="preserve"> Summer Zucc</w:t>
            </w:r>
            <w:r w:rsidR="00C337E2" w:rsidRPr="009D1812">
              <w:rPr>
                <w:rFonts w:ascii="Arial" w:hAnsi="Arial" w:cs="Arial"/>
                <w:color w:val="000000"/>
                <w:lang w:val="en-GB"/>
              </w:rPr>
              <w:t>h</w:t>
            </w:r>
            <w:r w:rsidRPr="009D1812">
              <w:rPr>
                <w:rFonts w:ascii="Arial" w:hAnsi="Arial" w:cs="Arial"/>
                <w:color w:val="000000"/>
                <w:lang w:val="en-GB"/>
              </w:rPr>
              <w:t>ini</w:t>
            </w:r>
          </w:p>
        </w:tc>
        <w:tc>
          <w:tcPr>
            <w:tcW w:w="1170" w:type="dxa"/>
            <w:noWrap/>
            <w:vAlign w:val="center"/>
            <w:hideMark/>
          </w:tcPr>
          <w:p w14:paraId="7D76783C" w14:textId="6BC629F1" w:rsidR="00774404" w:rsidRPr="009D1812" w:rsidRDefault="00774404" w:rsidP="00B77A11">
            <w:pPr>
              <w:jc w:val="right"/>
              <w:rPr>
                <w:rFonts w:ascii="Arial" w:hAnsi="Arial" w:cs="Arial"/>
                <w:b/>
                <w:color w:val="000000"/>
                <w:lang w:val="en-GB"/>
              </w:rPr>
            </w:pPr>
            <w:r w:rsidRPr="009D1812">
              <w:rPr>
                <w:rFonts w:ascii="Arial" w:hAnsi="Arial" w:cs="Arial"/>
                <w:b/>
                <w:color w:val="000000"/>
                <w:lang w:val="en-GB"/>
              </w:rPr>
              <w:t>1.99</w:t>
            </w:r>
          </w:p>
        </w:tc>
        <w:tc>
          <w:tcPr>
            <w:tcW w:w="1204" w:type="dxa"/>
            <w:noWrap/>
            <w:vAlign w:val="center"/>
            <w:hideMark/>
          </w:tcPr>
          <w:p w14:paraId="44EFA0B7" w14:textId="2832A8A1" w:rsidR="00774404" w:rsidRPr="009D1812" w:rsidRDefault="00774404" w:rsidP="00B77A11">
            <w:pPr>
              <w:jc w:val="right"/>
              <w:rPr>
                <w:rFonts w:ascii="Arial" w:hAnsi="Arial" w:cs="Arial"/>
                <w:color w:val="000000"/>
                <w:lang w:val="en-GB"/>
              </w:rPr>
            </w:pPr>
            <w:r w:rsidRPr="009D1812">
              <w:rPr>
                <w:rFonts w:ascii="Arial" w:hAnsi="Arial" w:cs="Arial"/>
                <w:color w:val="000000"/>
                <w:lang w:val="en-GB"/>
              </w:rPr>
              <w:t>2.99</w:t>
            </w:r>
          </w:p>
        </w:tc>
      </w:tr>
      <w:tr w:rsidR="00774404" w:rsidRPr="009D1812" w14:paraId="13B2E15E" w14:textId="77777777" w:rsidTr="00B77A11">
        <w:trPr>
          <w:trHeight w:val="288"/>
          <w:jc w:val="center"/>
        </w:trPr>
        <w:tc>
          <w:tcPr>
            <w:tcW w:w="3274" w:type="dxa"/>
            <w:noWrap/>
            <w:vAlign w:val="center"/>
            <w:hideMark/>
          </w:tcPr>
          <w:p w14:paraId="5B0A38FB" w14:textId="77777777" w:rsidR="00774404" w:rsidRPr="009D1812" w:rsidRDefault="00774404" w:rsidP="00AA7837">
            <w:pPr>
              <w:rPr>
                <w:rFonts w:ascii="Arial" w:hAnsi="Arial" w:cs="Arial"/>
                <w:color w:val="000000"/>
                <w:lang w:val="en-GB"/>
              </w:rPr>
            </w:pPr>
            <w:r w:rsidRPr="009D1812">
              <w:rPr>
                <w:rFonts w:ascii="Arial" w:hAnsi="Arial" w:cs="Arial"/>
                <w:color w:val="000000"/>
                <w:lang w:val="en-GB"/>
              </w:rPr>
              <w:t>Avocado</w:t>
            </w:r>
            <w:r w:rsidR="00AA7837" w:rsidRPr="009D1812">
              <w:rPr>
                <w:rFonts w:ascii="Arial" w:hAnsi="Arial" w:cs="Arial"/>
                <w:color w:val="000000"/>
                <w:lang w:val="en-GB"/>
              </w:rPr>
              <w:t>,</w:t>
            </w:r>
            <w:r w:rsidRPr="009D1812">
              <w:rPr>
                <w:rFonts w:ascii="Arial" w:hAnsi="Arial" w:cs="Arial"/>
                <w:color w:val="000000"/>
                <w:lang w:val="en-GB"/>
              </w:rPr>
              <w:t xml:space="preserve"> Fair</w:t>
            </w:r>
            <w:r w:rsidR="00AA7837" w:rsidRPr="009D1812">
              <w:rPr>
                <w:rFonts w:ascii="Arial" w:hAnsi="Arial" w:cs="Arial"/>
                <w:color w:val="000000"/>
                <w:lang w:val="en-GB"/>
              </w:rPr>
              <w:t xml:space="preserve"> T</w:t>
            </w:r>
            <w:r w:rsidRPr="009D1812">
              <w:rPr>
                <w:rFonts w:ascii="Arial" w:hAnsi="Arial" w:cs="Arial"/>
                <w:color w:val="000000"/>
                <w:lang w:val="en-GB"/>
              </w:rPr>
              <w:t xml:space="preserve">rade </w:t>
            </w:r>
            <w:r w:rsidR="00C337E2" w:rsidRPr="009D1812">
              <w:rPr>
                <w:rFonts w:ascii="Arial" w:hAnsi="Arial" w:cs="Arial"/>
                <w:color w:val="000000"/>
                <w:lang w:val="en-GB"/>
              </w:rPr>
              <w:t>(</w:t>
            </w:r>
            <w:r w:rsidRPr="009D1812">
              <w:rPr>
                <w:rFonts w:ascii="Arial" w:hAnsi="Arial" w:cs="Arial"/>
                <w:color w:val="000000"/>
                <w:lang w:val="en-GB"/>
              </w:rPr>
              <w:t>Hass</w:t>
            </w:r>
            <w:r w:rsidR="00C337E2" w:rsidRPr="009D1812">
              <w:rPr>
                <w:rFonts w:ascii="Arial" w:hAnsi="Arial" w:cs="Arial"/>
                <w:color w:val="000000"/>
                <w:lang w:val="en-GB"/>
              </w:rPr>
              <w:t>)</w:t>
            </w:r>
          </w:p>
        </w:tc>
        <w:tc>
          <w:tcPr>
            <w:tcW w:w="1170" w:type="dxa"/>
            <w:noWrap/>
            <w:vAlign w:val="center"/>
            <w:hideMark/>
          </w:tcPr>
          <w:p w14:paraId="3238CA61" w14:textId="2C43F5D0" w:rsidR="00774404" w:rsidRPr="009D1812" w:rsidRDefault="00774404" w:rsidP="00B77A11">
            <w:pPr>
              <w:jc w:val="right"/>
              <w:rPr>
                <w:rFonts w:ascii="Arial" w:hAnsi="Arial" w:cs="Arial"/>
                <w:color w:val="000000"/>
                <w:lang w:val="en-GB"/>
              </w:rPr>
            </w:pPr>
            <w:r w:rsidRPr="009D1812">
              <w:rPr>
                <w:rFonts w:ascii="Arial" w:hAnsi="Arial" w:cs="Arial"/>
                <w:color w:val="000000"/>
                <w:lang w:val="en-GB"/>
              </w:rPr>
              <w:t>1.99</w:t>
            </w:r>
          </w:p>
        </w:tc>
        <w:tc>
          <w:tcPr>
            <w:tcW w:w="1204" w:type="dxa"/>
            <w:noWrap/>
            <w:vAlign w:val="center"/>
            <w:hideMark/>
          </w:tcPr>
          <w:p w14:paraId="47B8B2DF" w14:textId="19C4A675" w:rsidR="00774404" w:rsidRPr="009D1812" w:rsidRDefault="00774404" w:rsidP="00B77A11">
            <w:pPr>
              <w:jc w:val="right"/>
              <w:rPr>
                <w:rFonts w:ascii="Arial" w:hAnsi="Arial" w:cs="Arial"/>
                <w:b/>
                <w:color w:val="000000"/>
                <w:lang w:val="en-GB"/>
              </w:rPr>
            </w:pPr>
            <w:r w:rsidRPr="009D1812">
              <w:rPr>
                <w:rFonts w:ascii="Arial" w:hAnsi="Arial" w:cs="Arial"/>
                <w:b/>
                <w:color w:val="000000"/>
                <w:lang w:val="en-GB"/>
              </w:rPr>
              <w:t>1.79</w:t>
            </w:r>
          </w:p>
        </w:tc>
      </w:tr>
      <w:tr w:rsidR="00774404" w:rsidRPr="009D1812" w14:paraId="42AB9641" w14:textId="77777777" w:rsidTr="00B77A11">
        <w:trPr>
          <w:trHeight w:val="288"/>
          <w:jc w:val="center"/>
        </w:trPr>
        <w:tc>
          <w:tcPr>
            <w:tcW w:w="3274" w:type="dxa"/>
            <w:noWrap/>
            <w:vAlign w:val="center"/>
            <w:hideMark/>
          </w:tcPr>
          <w:p w14:paraId="507C8A25" w14:textId="77777777" w:rsidR="00774404" w:rsidRPr="009D1812" w:rsidRDefault="00774404" w:rsidP="00B77A11">
            <w:pPr>
              <w:rPr>
                <w:rFonts w:ascii="Arial" w:hAnsi="Arial" w:cs="Arial"/>
                <w:color w:val="000000"/>
                <w:lang w:val="en-GB"/>
              </w:rPr>
            </w:pPr>
            <w:r w:rsidRPr="009D1812">
              <w:rPr>
                <w:rFonts w:ascii="Arial" w:hAnsi="Arial" w:cs="Arial"/>
                <w:color w:val="000000"/>
                <w:lang w:val="en-GB"/>
              </w:rPr>
              <w:t>Cilantro</w:t>
            </w:r>
            <w:r w:rsidR="00AA7837" w:rsidRPr="009D1812">
              <w:rPr>
                <w:rFonts w:ascii="Arial" w:hAnsi="Arial" w:cs="Arial"/>
                <w:color w:val="000000"/>
                <w:lang w:val="en-GB"/>
              </w:rPr>
              <w:t>,</w:t>
            </w:r>
            <w:r w:rsidRPr="009D1812">
              <w:rPr>
                <w:rFonts w:ascii="Arial" w:hAnsi="Arial" w:cs="Arial"/>
                <w:color w:val="000000"/>
                <w:lang w:val="en-GB"/>
              </w:rPr>
              <w:t xml:space="preserve"> Bunch</w:t>
            </w:r>
          </w:p>
        </w:tc>
        <w:tc>
          <w:tcPr>
            <w:tcW w:w="1170" w:type="dxa"/>
            <w:noWrap/>
            <w:vAlign w:val="center"/>
            <w:hideMark/>
          </w:tcPr>
          <w:p w14:paraId="54CC93B8" w14:textId="4639E62F" w:rsidR="00774404" w:rsidRPr="009D1812" w:rsidRDefault="00774404" w:rsidP="00B77A11">
            <w:pPr>
              <w:jc w:val="right"/>
              <w:rPr>
                <w:rFonts w:ascii="Arial" w:hAnsi="Arial" w:cs="Arial"/>
                <w:color w:val="000000"/>
                <w:lang w:val="en-GB"/>
              </w:rPr>
            </w:pPr>
            <w:r w:rsidRPr="009D1812">
              <w:rPr>
                <w:rFonts w:ascii="Arial" w:hAnsi="Arial" w:cs="Arial"/>
                <w:color w:val="000000"/>
                <w:lang w:val="en-GB"/>
              </w:rPr>
              <w:t>2.09</w:t>
            </w:r>
          </w:p>
        </w:tc>
        <w:tc>
          <w:tcPr>
            <w:tcW w:w="1204" w:type="dxa"/>
            <w:noWrap/>
            <w:vAlign w:val="center"/>
            <w:hideMark/>
          </w:tcPr>
          <w:p w14:paraId="474BD15C" w14:textId="5564DED0" w:rsidR="00774404" w:rsidRPr="009D1812" w:rsidRDefault="00774404" w:rsidP="00B77A11">
            <w:pPr>
              <w:jc w:val="right"/>
              <w:rPr>
                <w:rFonts w:ascii="Arial" w:hAnsi="Arial" w:cs="Arial"/>
                <w:b/>
                <w:lang w:val="en-GB"/>
              </w:rPr>
            </w:pPr>
            <w:r w:rsidRPr="009D1812">
              <w:rPr>
                <w:rFonts w:ascii="Arial" w:hAnsi="Arial" w:cs="Arial"/>
                <w:b/>
                <w:lang w:val="en-GB"/>
              </w:rPr>
              <w:t>1.49</w:t>
            </w:r>
          </w:p>
        </w:tc>
      </w:tr>
      <w:tr w:rsidR="00774404" w:rsidRPr="009D1812" w14:paraId="199357EB" w14:textId="77777777" w:rsidTr="00B77A11">
        <w:trPr>
          <w:trHeight w:val="288"/>
          <w:jc w:val="center"/>
        </w:trPr>
        <w:tc>
          <w:tcPr>
            <w:tcW w:w="3274" w:type="dxa"/>
            <w:noWrap/>
            <w:vAlign w:val="center"/>
            <w:hideMark/>
          </w:tcPr>
          <w:p w14:paraId="4BB021AA" w14:textId="77777777" w:rsidR="00774404" w:rsidRPr="009D1812" w:rsidRDefault="00774404" w:rsidP="00B77A11">
            <w:pPr>
              <w:rPr>
                <w:rFonts w:ascii="Arial" w:hAnsi="Arial" w:cs="Arial"/>
                <w:color w:val="000000"/>
                <w:lang w:val="en-GB"/>
              </w:rPr>
            </w:pPr>
            <w:r w:rsidRPr="009D1812">
              <w:rPr>
                <w:rFonts w:ascii="Arial" w:hAnsi="Arial" w:cs="Arial"/>
                <w:color w:val="000000"/>
                <w:lang w:val="en-GB"/>
              </w:rPr>
              <w:t>Kale</w:t>
            </w:r>
            <w:r w:rsidR="00AA7837" w:rsidRPr="009D1812">
              <w:rPr>
                <w:rFonts w:ascii="Arial" w:hAnsi="Arial" w:cs="Arial"/>
                <w:color w:val="000000"/>
                <w:lang w:val="en-GB"/>
              </w:rPr>
              <w:t>,</w:t>
            </w:r>
            <w:r w:rsidRPr="009D1812">
              <w:rPr>
                <w:rFonts w:ascii="Arial" w:hAnsi="Arial" w:cs="Arial"/>
                <w:color w:val="000000"/>
                <w:lang w:val="en-GB"/>
              </w:rPr>
              <w:t xml:space="preserve"> Green Curly</w:t>
            </w:r>
          </w:p>
        </w:tc>
        <w:tc>
          <w:tcPr>
            <w:tcW w:w="1170" w:type="dxa"/>
            <w:noWrap/>
            <w:vAlign w:val="center"/>
            <w:hideMark/>
          </w:tcPr>
          <w:p w14:paraId="3F085FBC" w14:textId="364066B3" w:rsidR="00774404" w:rsidRPr="009D1812" w:rsidRDefault="00774404" w:rsidP="00B77A11">
            <w:pPr>
              <w:jc w:val="right"/>
              <w:rPr>
                <w:rFonts w:ascii="Arial" w:hAnsi="Arial" w:cs="Arial"/>
                <w:color w:val="000000"/>
                <w:lang w:val="en-GB"/>
              </w:rPr>
            </w:pPr>
            <w:r w:rsidRPr="009D1812">
              <w:rPr>
                <w:rFonts w:ascii="Arial" w:hAnsi="Arial" w:cs="Arial"/>
                <w:color w:val="000000"/>
                <w:lang w:val="en-GB"/>
              </w:rPr>
              <w:t>2.49</w:t>
            </w:r>
          </w:p>
        </w:tc>
        <w:tc>
          <w:tcPr>
            <w:tcW w:w="1204" w:type="dxa"/>
            <w:noWrap/>
            <w:vAlign w:val="center"/>
            <w:hideMark/>
          </w:tcPr>
          <w:p w14:paraId="3F4D7521" w14:textId="546C2F71" w:rsidR="00774404" w:rsidRPr="009D1812" w:rsidRDefault="00774404" w:rsidP="00B77A11">
            <w:pPr>
              <w:jc w:val="right"/>
              <w:rPr>
                <w:rFonts w:ascii="Arial" w:hAnsi="Arial" w:cs="Arial"/>
                <w:lang w:val="en-GB"/>
              </w:rPr>
            </w:pPr>
            <w:r w:rsidRPr="009D1812">
              <w:rPr>
                <w:rFonts w:ascii="Arial" w:hAnsi="Arial" w:cs="Arial"/>
                <w:lang w:val="en-GB"/>
              </w:rPr>
              <w:t>2.49</w:t>
            </w:r>
          </w:p>
        </w:tc>
      </w:tr>
      <w:tr w:rsidR="00774404" w:rsidRPr="009D1812" w14:paraId="7EFBD662" w14:textId="77777777" w:rsidTr="00B77A11">
        <w:trPr>
          <w:trHeight w:val="288"/>
          <w:jc w:val="center"/>
        </w:trPr>
        <w:tc>
          <w:tcPr>
            <w:tcW w:w="3274" w:type="dxa"/>
            <w:noWrap/>
            <w:vAlign w:val="center"/>
            <w:hideMark/>
          </w:tcPr>
          <w:p w14:paraId="44A09F8C" w14:textId="77777777" w:rsidR="00774404" w:rsidRPr="009D1812" w:rsidRDefault="00774404" w:rsidP="00B77A11">
            <w:pPr>
              <w:rPr>
                <w:rFonts w:ascii="Arial" w:hAnsi="Arial" w:cs="Arial"/>
                <w:color w:val="000000"/>
                <w:lang w:val="en-GB"/>
              </w:rPr>
            </w:pPr>
            <w:r w:rsidRPr="009D1812">
              <w:rPr>
                <w:rFonts w:ascii="Arial" w:hAnsi="Arial" w:cs="Arial"/>
                <w:color w:val="000000"/>
                <w:lang w:val="en-GB"/>
              </w:rPr>
              <w:t>Lemons</w:t>
            </w:r>
            <w:r w:rsidR="00AA7837" w:rsidRPr="009D1812">
              <w:rPr>
                <w:rFonts w:ascii="Arial" w:hAnsi="Arial" w:cs="Arial"/>
                <w:color w:val="000000"/>
                <w:lang w:val="en-GB"/>
              </w:rPr>
              <w:t>,</w:t>
            </w:r>
            <w:r w:rsidRPr="009D1812">
              <w:rPr>
                <w:rFonts w:ascii="Arial" w:hAnsi="Arial" w:cs="Arial"/>
                <w:color w:val="000000"/>
                <w:lang w:val="en-GB"/>
              </w:rPr>
              <w:t xml:space="preserve"> Fancy</w:t>
            </w:r>
          </w:p>
        </w:tc>
        <w:tc>
          <w:tcPr>
            <w:tcW w:w="1170" w:type="dxa"/>
            <w:noWrap/>
            <w:vAlign w:val="center"/>
            <w:hideMark/>
          </w:tcPr>
          <w:p w14:paraId="61159B25" w14:textId="5FB0C1C2" w:rsidR="00774404" w:rsidRPr="009D1812" w:rsidRDefault="00774404" w:rsidP="00B77A11">
            <w:pPr>
              <w:jc w:val="right"/>
              <w:rPr>
                <w:rFonts w:ascii="Arial" w:hAnsi="Arial" w:cs="Arial"/>
                <w:b/>
                <w:color w:val="000000"/>
                <w:lang w:val="en-GB"/>
              </w:rPr>
            </w:pPr>
            <w:r w:rsidRPr="009D1812">
              <w:rPr>
                <w:rFonts w:ascii="Arial" w:hAnsi="Arial" w:cs="Arial"/>
                <w:b/>
                <w:color w:val="000000"/>
                <w:lang w:val="en-GB"/>
              </w:rPr>
              <w:t>0.89</w:t>
            </w:r>
          </w:p>
        </w:tc>
        <w:tc>
          <w:tcPr>
            <w:tcW w:w="1204" w:type="dxa"/>
            <w:noWrap/>
            <w:vAlign w:val="center"/>
            <w:hideMark/>
          </w:tcPr>
          <w:p w14:paraId="14EDB9C1" w14:textId="33BC288B" w:rsidR="00774404" w:rsidRPr="009D1812" w:rsidRDefault="00774404" w:rsidP="00B77A11">
            <w:pPr>
              <w:jc w:val="right"/>
              <w:rPr>
                <w:rFonts w:ascii="Arial" w:hAnsi="Arial" w:cs="Arial"/>
                <w:lang w:val="en-GB"/>
              </w:rPr>
            </w:pPr>
            <w:r w:rsidRPr="009D1812">
              <w:rPr>
                <w:rFonts w:ascii="Arial" w:hAnsi="Arial" w:cs="Arial"/>
                <w:lang w:val="en-GB"/>
              </w:rPr>
              <w:t>1.29</w:t>
            </w:r>
          </w:p>
        </w:tc>
      </w:tr>
      <w:tr w:rsidR="00774404" w:rsidRPr="009D1812" w14:paraId="2076A39D" w14:textId="77777777" w:rsidTr="00B77A11">
        <w:trPr>
          <w:trHeight w:val="288"/>
          <w:jc w:val="center"/>
        </w:trPr>
        <w:tc>
          <w:tcPr>
            <w:tcW w:w="3274" w:type="dxa"/>
            <w:noWrap/>
            <w:vAlign w:val="center"/>
            <w:hideMark/>
          </w:tcPr>
          <w:p w14:paraId="1E5C736D" w14:textId="77777777" w:rsidR="00774404" w:rsidRPr="009D1812" w:rsidRDefault="00774404" w:rsidP="00B77A11">
            <w:pPr>
              <w:rPr>
                <w:rFonts w:ascii="Arial" w:hAnsi="Arial" w:cs="Arial"/>
                <w:color w:val="000000"/>
                <w:lang w:val="en-GB"/>
              </w:rPr>
            </w:pPr>
            <w:r w:rsidRPr="009D1812">
              <w:rPr>
                <w:rFonts w:ascii="Arial" w:hAnsi="Arial" w:cs="Arial"/>
                <w:color w:val="000000"/>
                <w:lang w:val="en-GB"/>
              </w:rPr>
              <w:t>Lettuce</w:t>
            </w:r>
            <w:r w:rsidR="00AA7837" w:rsidRPr="009D1812">
              <w:rPr>
                <w:rFonts w:ascii="Arial" w:hAnsi="Arial" w:cs="Arial"/>
                <w:color w:val="000000"/>
                <w:lang w:val="en-GB"/>
              </w:rPr>
              <w:t>,</w:t>
            </w:r>
            <w:r w:rsidRPr="009D1812">
              <w:rPr>
                <w:rFonts w:ascii="Arial" w:hAnsi="Arial" w:cs="Arial"/>
                <w:color w:val="000000"/>
                <w:lang w:val="en-GB"/>
              </w:rPr>
              <w:t xml:space="preserve"> Romaine</w:t>
            </w:r>
          </w:p>
        </w:tc>
        <w:tc>
          <w:tcPr>
            <w:tcW w:w="1170" w:type="dxa"/>
            <w:noWrap/>
            <w:vAlign w:val="center"/>
            <w:hideMark/>
          </w:tcPr>
          <w:p w14:paraId="5BC4DFF5" w14:textId="1B061C6D" w:rsidR="00774404" w:rsidRPr="009D1812" w:rsidRDefault="00774404" w:rsidP="00B77A11">
            <w:pPr>
              <w:jc w:val="right"/>
              <w:rPr>
                <w:rFonts w:ascii="Arial" w:hAnsi="Arial" w:cs="Arial"/>
                <w:color w:val="000000"/>
                <w:lang w:val="en-GB"/>
              </w:rPr>
            </w:pPr>
            <w:r w:rsidRPr="009D1812">
              <w:rPr>
                <w:rFonts w:ascii="Arial" w:hAnsi="Arial" w:cs="Arial"/>
                <w:color w:val="000000"/>
                <w:lang w:val="en-GB"/>
              </w:rPr>
              <w:t>2.79</w:t>
            </w:r>
          </w:p>
        </w:tc>
        <w:tc>
          <w:tcPr>
            <w:tcW w:w="1204" w:type="dxa"/>
            <w:noWrap/>
            <w:vAlign w:val="center"/>
            <w:hideMark/>
          </w:tcPr>
          <w:p w14:paraId="2AD09F29" w14:textId="54B4B622" w:rsidR="00774404" w:rsidRPr="009D1812" w:rsidRDefault="00774404" w:rsidP="00B77A11">
            <w:pPr>
              <w:jc w:val="right"/>
              <w:rPr>
                <w:rFonts w:ascii="Arial" w:hAnsi="Arial" w:cs="Arial"/>
                <w:b/>
                <w:lang w:val="en-GB"/>
              </w:rPr>
            </w:pPr>
            <w:r w:rsidRPr="009D1812">
              <w:rPr>
                <w:rFonts w:ascii="Arial" w:hAnsi="Arial" w:cs="Arial"/>
                <w:b/>
                <w:lang w:val="en-GB"/>
              </w:rPr>
              <w:t>1.29</w:t>
            </w:r>
          </w:p>
        </w:tc>
      </w:tr>
      <w:tr w:rsidR="00774404" w:rsidRPr="009D1812" w14:paraId="362901D7" w14:textId="77777777" w:rsidTr="00B77A11">
        <w:trPr>
          <w:trHeight w:val="288"/>
          <w:jc w:val="center"/>
        </w:trPr>
        <w:tc>
          <w:tcPr>
            <w:tcW w:w="3274" w:type="dxa"/>
            <w:noWrap/>
            <w:vAlign w:val="center"/>
            <w:hideMark/>
          </w:tcPr>
          <w:p w14:paraId="026F8EF6" w14:textId="77777777" w:rsidR="00774404" w:rsidRPr="009D1812" w:rsidRDefault="00774404" w:rsidP="00B77A11">
            <w:pPr>
              <w:rPr>
                <w:rFonts w:ascii="Arial" w:hAnsi="Arial" w:cs="Arial"/>
                <w:color w:val="000000"/>
                <w:lang w:val="en-GB"/>
              </w:rPr>
            </w:pPr>
            <w:r w:rsidRPr="009D1812">
              <w:rPr>
                <w:rFonts w:ascii="Arial" w:hAnsi="Arial" w:cs="Arial"/>
                <w:color w:val="000000"/>
                <w:lang w:val="en-GB"/>
              </w:rPr>
              <w:t>Parsley</w:t>
            </w:r>
            <w:r w:rsidR="00AA7837" w:rsidRPr="009D1812">
              <w:rPr>
                <w:rFonts w:ascii="Arial" w:hAnsi="Arial" w:cs="Arial"/>
                <w:color w:val="000000"/>
                <w:lang w:val="en-GB"/>
              </w:rPr>
              <w:t>,</w:t>
            </w:r>
            <w:r w:rsidRPr="009D1812">
              <w:rPr>
                <w:rFonts w:ascii="Arial" w:hAnsi="Arial" w:cs="Arial"/>
                <w:color w:val="000000"/>
                <w:lang w:val="en-GB"/>
              </w:rPr>
              <w:t xml:space="preserve"> Curly</w:t>
            </w:r>
          </w:p>
        </w:tc>
        <w:tc>
          <w:tcPr>
            <w:tcW w:w="1170" w:type="dxa"/>
            <w:noWrap/>
            <w:vAlign w:val="center"/>
            <w:hideMark/>
          </w:tcPr>
          <w:p w14:paraId="0CCC2D71" w14:textId="547D391E" w:rsidR="00774404" w:rsidRPr="009D1812" w:rsidRDefault="00774404" w:rsidP="00B77A11">
            <w:pPr>
              <w:jc w:val="right"/>
              <w:rPr>
                <w:rFonts w:ascii="Arial" w:hAnsi="Arial" w:cs="Arial"/>
                <w:color w:val="000000"/>
                <w:lang w:val="en-GB"/>
              </w:rPr>
            </w:pPr>
            <w:r w:rsidRPr="009D1812">
              <w:rPr>
                <w:rFonts w:ascii="Arial" w:hAnsi="Arial" w:cs="Arial"/>
                <w:color w:val="000000"/>
                <w:lang w:val="en-GB"/>
              </w:rPr>
              <w:t>1.69</w:t>
            </w:r>
          </w:p>
        </w:tc>
        <w:tc>
          <w:tcPr>
            <w:tcW w:w="1204" w:type="dxa"/>
            <w:noWrap/>
            <w:vAlign w:val="center"/>
            <w:hideMark/>
          </w:tcPr>
          <w:p w14:paraId="0FF7F2C4" w14:textId="22D807EC" w:rsidR="00774404" w:rsidRPr="009D1812" w:rsidRDefault="00774404" w:rsidP="00B77A11">
            <w:pPr>
              <w:jc w:val="right"/>
              <w:rPr>
                <w:rFonts w:ascii="Arial" w:hAnsi="Arial" w:cs="Arial"/>
                <w:color w:val="000000"/>
                <w:lang w:val="en-GB"/>
              </w:rPr>
            </w:pPr>
            <w:r w:rsidRPr="009D1812">
              <w:rPr>
                <w:rFonts w:ascii="Arial" w:hAnsi="Arial" w:cs="Arial"/>
                <w:color w:val="000000"/>
                <w:lang w:val="en-GB"/>
              </w:rPr>
              <w:t>1.69</w:t>
            </w:r>
          </w:p>
        </w:tc>
      </w:tr>
      <w:tr w:rsidR="00DE62E4" w:rsidRPr="009D1812" w14:paraId="1400E160" w14:textId="77777777" w:rsidTr="00B77A11">
        <w:trPr>
          <w:trHeight w:val="288"/>
          <w:jc w:val="center"/>
        </w:trPr>
        <w:tc>
          <w:tcPr>
            <w:tcW w:w="3274" w:type="dxa"/>
            <w:noWrap/>
            <w:vAlign w:val="center"/>
          </w:tcPr>
          <w:p w14:paraId="5E386BFC" w14:textId="77777777" w:rsidR="00DE62E4" w:rsidRPr="009D1812" w:rsidRDefault="00DE62E4" w:rsidP="00B77A11">
            <w:pPr>
              <w:rPr>
                <w:rFonts w:ascii="Arial" w:hAnsi="Arial" w:cs="Arial"/>
                <w:b/>
                <w:color w:val="000000"/>
                <w:lang w:val="en-GB"/>
              </w:rPr>
            </w:pPr>
            <w:r w:rsidRPr="009D1812">
              <w:rPr>
                <w:rFonts w:ascii="Arial" w:hAnsi="Arial" w:cs="Arial"/>
                <w:b/>
                <w:color w:val="000000"/>
                <w:lang w:val="en-GB"/>
              </w:rPr>
              <w:t>TOTAL</w:t>
            </w:r>
          </w:p>
        </w:tc>
        <w:tc>
          <w:tcPr>
            <w:tcW w:w="1170" w:type="dxa"/>
            <w:noWrap/>
            <w:vAlign w:val="center"/>
          </w:tcPr>
          <w:p w14:paraId="359380A8" w14:textId="63052497" w:rsidR="00DE62E4" w:rsidRPr="009D1812" w:rsidRDefault="00DE62E4" w:rsidP="00B77A11">
            <w:pPr>
              <w:jc w:val="right"/>
              <w:rPr>
                <w:rFonts w:ascii="Arial" w:hAnsi="Arial" w:cs="Arial"/>
                <w:b/>
                <w:color w:val="000000"/>
                <w:lang w:val="en-GB"/>
              </w:rPr>
            </w:pPr>
            <w:r w:rsidRPr="009D1812">
              <w:rPr>
                <w:rFonts w:ascii="Arial" w:hAnsi="Arial" w:cs="Arial"/>
                <w:b/>
                <w:color w:val="000000"/>
                <w:lang w:val="en-GB"/>
              </w:rPr>
              <w:t>26.58</w:t>
            </w:r>
          </w:p>
        </w:tc>
        <w:tc>
          <w:tcPr>
            <w:tcW w:w="1204" w:type="dxa"/>
            <w:noWrap/>
            <w:vAlign w:val="center"/>
          </w:tcPr>
          <w:p w14:paraId="76BB8C43" w14:textId="575995E3" w:rsidR="00DE62E4" w:rsidRPr="009D1812" w:rsidRDefault="00DE62E4" w:rsidP="00B77A11">
            <w:pPr>
              <w:jc w:val="right"/>
              <w:rPr>
                <w:rFonts w:ascii="Arial" w:hAnsi="Arial" w:cs="Arial"/>
                <w:b/>
                <w:color w:val="000000"/>
                <w:lang w:val="en-GB"/>
              </w:rPr>
            </w:pPr>
            <w:r w:rsidRPr="009D1812">
              <w:rPr>
                <w:rFonts w:ascii="Arial" w:hAnsi="Arial" w:cs="Arial"/>
                <w:b/>
                <w:color w:val="000000"/>
                <w:lang w:val="en-GB"/>
              </w:rPr>
              <w:t>23.56</w:t>
            </w:r>
          </w:p>
        </w:tc>
      </w:tr>
    </w:tbl>
    <w:p w14:paraId="00D2DD3F" w14:textId="77777777" w:rsidR="00774404" w:rsidRPr="009D1812" w:rsidRDefault="00774404" w:rsidP="00774404">
      <w:pPr>
        <w:rPr>
          <w:sz w:val="16"/>
          <w:szCs w:val="16"/>
          <w:lang w:val="en-GB"/>
        </w:rPr>
      </w:pPr>
    </w:p>
    <w:p w14:paraId="3D0E6455" w14:textId="276299F5" w:rsidR="00FA2849" w:rsidRPr="009D1812" w:rsidRDefault="00FA2849" w:rsidP="00B77A11">
      <w:pPr>
        <w:pStyle w:val="Footnote"/>
        <w:rPr>
          <w:lang w:val="en-GB"/>
        </w:rPr>
      </w:pPr>
      <w:r w:rsidRPr="009D1812">
        <w:rPr>
          <w:lang w:val="en-GB"/>
        </w:rPr>
        <w:t xml:space="preserve">Note: 1 pound is equivalent to </w:t>
      </w:r>
      <w:r w:rsidR="00D558C9" w:rsidRPr="009D1812">
        <w:rPr>
          <w:lang w:val="en-GB"/>
        </w:rPr>
        <w:t>0</w:t>
      </w:r>
      <w:r w:rsidRPr="009D1812">
        <w:rPr>
          <w:lang w:val="en-GB"/>
        </w:rPr>
        <w:t>.45 kilograms.</w:t>
      </w:r>
    </w:p>
    <w:p w14:paraId="6FDA8A1B" w14:textId="693F71F8" w:rsidR="00774404" w:rsidRPr="009D1812" w:rsidRDefault="00B77A11" w:rsidP="00CB455A">
      <w:pPr>
        <w:pStyle w:val="Footnote"/>
        <w:rPr>
          <w:b/>
          <w:lang w:val="en-GB"/>
        </w:rPr>
      </w:pPr>
      <w:r w:rsidRPr="009D1812">
        <w:rPr>
          <w:lang w:val="en-GB"/>
        </w:rPr>
        <w:t xml:space="preserve">Source: </w:t>
      </w:r>
      <w:r w:rsidR="001C475F" w:rsidRPr="009D1812">
        <w:rPr>
          <w:lang w:val="en-GB"/>
        </w:rPr>
        <w:t>“</w:t>
      </w:r>
      <w:r w:rsidRPr="009D1812">
        <w:rPr>
          <w:iCs/>
          <w:lang w:val="en-GB"/>
        </w:rPr>
        <w:t>Food Prices</w:t>
      </w:r>
      <w:r w:rsidR="001C475F" w:rsidRPr="009D1812">
        <w:rPr>
          <w:iCs/>
          <w:lang w:val="en-GB"/>
        </w:rPr>
        <w:t xml:space="preserve">,” Earth’s General Store, </w:t>
      </w:r>
      <w:r w:rsidR="00213B25" w:rsidRPr="009D1812">
        <w:rPr>
          <w:iCs/>
          <w:lang w:val="en-GB"/>
        </w:rPr>
        <w:t xml:space="preserve">February 2016, </w:t>
      </w:r>
      <w:r w:rsidR="001C475F" w:rsidRPr="009D1812">
        <w:rPr>
          <w:lang w:val="en-GB"/>
        </w:rPr>
        <w:t>a</w:t>
      </w:r>
      <w:r w:rsidRPr="009D1812">
        <w:rPr>
          <w:lang w:val="en-GB"/>
        </w:rPr>
        <w:t>ccessed March 27, 2016, http://earthsgeneralstore.ca/food-prices/</w:t>
      </w:r>
      <w:r w:rsidR="00EF199E" w:rsidRPr="009D1812">
        <w:rPr>
          <w:lang w:val="en-GB"/>
        </w:rPr>
        <w:t>.</w:t>
      </w:r>
    </w:p>
    <w:p w14:paraId="2DF112A0" w14:textId="77777777" w:rsidR="00774404" w:rsidRPr="009D1812" w:rsidRDefault="00774404" w:rsidP="00774404">
      <w:pPr>
        <w:jc w:val="center"/>
        <w:rPr>
          <w:rFonts w:ascii="Arial" w:hAnsi="Arial" w:cs="Arial"/>
          <w:b/>
          <w:lang w:val="en-GB"/>
        </w:rPr>
      </w:pPr>
    </w:p>
    <w:p w14:paraId="14645A12" w14:textId="77777777" w:rsidR="00774404" w:rsidRPr="009D1812" w:rsidRDefault="00774404">
      <w:pPr>
        <w:spacing w:after="200" w:line="276" w:lineRule="auto"/>
        <w:rPr>
          <w:sz w:val="22"/>
          <w:szCs w:val="22"/>
          <w:lang w:val="en-GB"/>
        </w:rPr>
      </w:pPr>
      <w:r w:rsidRPr="009D1812">
        <w:rPr>
          <w:lang w:val="en-GB"/>
        </w:rPr>
        <w:br w:type="page"/>
      </w:r>
    </w:p>
    <w:p w14:paraId="68E02520" w14:textId="77777777" w:rsidR="00774404" w:rsidRPr="009D1812" w:rsidRDefault="00774404" w:rsidP="00774404">
      <w:pPr>
        <w:pStyle w:val="Casehead1"/>
        <w:rPr>
          <w:lang w:val="en-GB"/>
        </w:rPr>
      </w:pPr>
      <w:r w:rsidRPr="009D1812">
        <w:rPr>
          <w:lang w:val="en-GB"/>
        </w:rPr>
        <w:lastRenderedPageBreak/>
        <w:t>Endnotes</w:t>
      </w:r>
    </w:p>
    <w:sectPr w:rsidR="00774404" w:rsidRPr="009D1812"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CC7D7" w14:textId="77777777" w:rsidR="00D558C9" w:rsidRDefault="00D558C9" w:rsidP="00D75295">
      <w:r>
        <w:separator/>
      </w:r>
    </w:p>
  </w:endnote>
  <w:endnote w:type="continuationSeparator" w:id="0">
    <w:p w14:paraId="234B6EDA" w14:textId="77777777" w:rsidR="00D558C9" w:rsidRDefault="00D558C9" w:rsidP="00D75295">
      <w:r>
        <w:continuationSeparator/>
      </w:r>
    </w:p>
  </w:endnote>
  <w:endnote w:id="1">
    <w:p w14:paraId="02849831" w14:textId="3B510D8C" w:rsidR="00D558C9" w:rsidRPr="007A4763" w:rsidRDefault="00D558C9" w:rsidP="00774404">
      <w:pPr>
        <w:pStyle w:val="Footnote"/>
        <w:rPr>
          <w:noProof/>
        </w:rPr>
      </w:pPr>
      <w:r w:rsidRPr="007A4763">
        <w:rPr>
          <w:rStyle w:val="EndnoteReference"/>
          <w:color w:val="000000"/>
          <w:sz w:val="16"/>
          <w:szCs w:val="16"/>
        </w:rPr>
        <w:endnoteRef/>
      </w:r>
      <w:r w:rsidRPr="007A4763">
        <w:t xml:space="preserve"> </w:t>
      </w:r>
      <w:r w:rsidRPr="007A4763">
        <w:rPr>
          <w:noProof/>
        </w:rPr>
        <w:t xml:space="preserve">“NASA, NOAA Analyses Reveal Record-Shattering Global Warm Temperatures in 2015,” </w:t>
      </w:r>
      <w:r w:rsidRPr="00D558C9">
        <w:rPr>
          <w:noProof/>
        </w:rPr>
        <w:t>National Aeronautics and Space Administration</w:t>
      </w:r>
      <w:r w:rsidRPr="007A4763">
        <w:rPr>
          <w:noProof/>
        </w:rPr>
        <w:t>, January 20, 2016, accessed March 4, 2016, www.nasa.gov/press-release/nasa-noaa-analyses-reveal-record-shattering-global-warm-temperatures-in-2015.</w:t>
      </w:r>
    </w:p>
  </w:endnote>
  <w:endnote w:id="2">
    <w:p w14:paraId="33CF43BA" w14:textId="15C19940" w:rsidR="00D558C9" w:rsidRPr="007A4763" w:rsidRDefault="00D558C9" w:rsidP="00774404">
      <w:pPr>
        <w:pStyle w:val="Footnote"/>
        <w:rPr>
          <w:noProof/>
        </w:rPr>
      </w:pPr>
      <w:r w:rsidRPr="007A4763">
        <w:rPr>
          <w:rStyle w:val="EndnoteReference"/>
          <w:color w:val="000000"/>
          <w:sz w:val="16"/>
          <w:szCs w:val="16"/>
        </w:rPr>
        <w:endnoteRef/>
      </w:r>
      <w:r w:rsidRPr="007A4763">
        <w:t xml:space="preserve"> B</w:t>
      </w:r>
      <w:r w:rsidR="006C2E08">
        <w:t>eth</w:t>
      </w:r>
      <w:r w:rsidR="006C2E08" w:rsidRPr="007A4763">
        <w:t xml:space="preserve"> </w:t>
      </w:r>
      <w:r w:rsidRPr="007A4763">
        <w:rPr>
          <w:noProof/>
        </w:rPr>
        <w:t>Harding, “Earth</w:t>
      </w:r>
      <w:r w:rsidR="006C2E08">
        <w:rPr>
          <w:noProof/>
        </w:rPr>
        <w:t>’</w:t>
      </w:r>
      <w:r w:rsidRPr="007A4763">
        <w:rPr>
          <w:noProof/>
        </w:rPr>
        <w:t xml:space="preserve">s General Store Stocks Local Goods and Local Solutions,” </w:t>
      </w:r>
      <w:r w:rsidRPr="009C7D60">
        <w:rPr>
          <w:noProof/>
        </w:rPr>
        <w:t>The Local Good</w:t>
      </w:r>
      <w:r w:rsidRPr="006C2E08">
        <w:rPr>
          <w:noProof/>
        </w:rPr>
        <w:t>,</w:t>
      </w:r>
      <w:r w:rsidRPr="007A4763">
        <w:rPr>
          <w:noProof/>
        </w:rPr>
        <w:t xml:space="preserve"> May 30, 2014, accessed March 4, 2016, www.thelocalgood.ca/earth-general-store-local-products/.</w:t>
      </w:r>
    </w:p>
  </w:endnote>
  <w:endnote w:id="3">
    <w:p w14:paraId="31660BB1" w14:textId="77777777" w:rsidR="00D558C9" w:rsidRPr="007A4763" w:rsidRDefault="00D558C9" w:rsidP="00774404">
      <w:pPr>
        <w:pStyle w:val="Footnote"/>
      </w:pPr>
      <w:r w:rsidRPr="007A4763">
        <w:rPr>
          <w:rStyle w:val="EndnoteReference"/>
          <w:color w:val="000000"/>
          <w:sz w:val="16"/>
          <w:szCs w:val="16"/>
        </w:rPr>
        <w:endnoteRef/>
      </w:r>
      <w:r w:rsidRPr="007A4763">
        <w:t xml:space="preserve"> Ibid. </w:t>
      </w:r>
    </w:p>
  </w:endnote>
  <w:endnote w:id="4">
    <w:p w14:paraId="32DB5CF8" w14:textId="6A731CE8" w:rsidR="00D558C9" w:rsidRPr="007A4763" w:rsidRDefault="00D558C9" w:rsidP="00774404">
      <w:pPr>
        <w:pStyle w:val="Footnote"/>
        <w:rPr>
          <w:noProof/>
        </w:rPr>
      </w:pPr>
      <w:r w:rsidRPr="007A4763">
        <w:rPr>
          <w:rStyle w:val="EndnoteReference"/>
          <w:color w:val="000000"/>
          <w:sz w:val="16"/>
          <w:szCs w:val="16"/>
        </w:rPr>
        <w:endnoteRef/>
      </w:r>
      <w:r w:rsidRPr="007A4763">
        <w:t xml:space="preserve"> S</w:t>
      </w:r>
      <w:r w:rsidR="006C2E08">
        <w:t>tephanie</w:t>
      </w:r>
      <w:r w:rsidR="006C2E08" w:rsidRPr="007A4763">
        <w:t xml:space="preserve"> </w:t>
      </w:r>
      <w:r w:rsidRPr="007A4763">
        <w:rPr>
          <w:noProof/>
        </w:rPr>
        <w:t>Dubois, “Earth</w:t>
      </w:r>
      <w:r>
        <w:rPr>
          <w:noProof/>
        </w:rPr>
        <w:t>’</w:t>
      </w:r>
      <w:r w:rsidRPr="007A4763">
        <w:rPr>
          <w:noProof/>
        </w:rPr>
        <w:t xml:space="preserve">s General Store in Jeopardy, Owner Turns to Online Survey for Survival,” </w:t>
      </w:r>
      <w:r w:rsidRPr="007A4763">
        <w:rPr>
          <w:i/>
          <w:noProof/>
        </w:rPr>
        <w:t>Toronto Metro</w:t>
      </w:r>
      <w:r w:rsidRPr="007A4763">
        <w:rPr>
          <w:noProof/>
        </w:rPr>
        <w:t>, November 19, 2014, accessed March 4, 2016, www.metronews.ca/news/edmonton/2014/11/19/earths-general-store-in-jeopardy-owner-turning-to-online-survey-for-survival.html.</w:t>
      </w:r>
    </w:p>
  </w:endnote>
  <w:endnote w:id="5">
    <w:p w14:paraId="248A5D81" w14:textId="38A5A30F" w:rsidR="00D558C9" w:rsidRPr="007A4763" w:rsidRDefault="00D558C9" w:rsidP="007B4A05">
      <w:pPr>
        <w:pStyle w:val="Footnote"/>
      </w:pPr>
      <w:r w:rsidRPr="007A4763">
        <w:rPr>
          <w:rStyle w:val="EndnoteReference"/>
        </w:rPr>
        <w:endnoteRef/>
      </w:r>
      <w:r w:rsidRPr="007A4763">
        <w:t xml:space="preserve"> A</w:t>
      </w:r>
      <w:proofErr w:type="spellStart"/>
      <w:r w:rsidRPr="007A4763">
        <w:rPr>
          <w:rFonts w:eastAsiaTheme="minorEastAsia"/>
          <w:lang w:val="en-GB"/>
        </w:rPr>
        <w:t>ll</w:t>
      </w:r>
      <w:proofErr w:type="spellEnd"/>
      <w:r w:rsidRPr="007A4763">
        <w:rPr>
          <w:rFonts w:eastAsiaTheme="minorEastAsia"/>
          <w:lang w:val="en-GB"/>
        </w:rPr>
        <w:t xml:space="preserve"> currency amounts are in </w:t>
      </w:r>
      <w:r w:rsidR="00B14B2E">
        <w:rPr>
          <w:rFonts w:eastAsiaTheme="minorEastAsia"/>
          <w:lang w:val="en-GB"/>
        </w:rPr>
        <w:t>CA$</w:t>
      </w:r>
      <w:r w:rsidRPr="007A4763">
        <w:rPr>
          <w:rFonts w:eastAsiaTheme="minorEastAsia"/>
          <w:lang w:val="en-GB"/>
        </w:rPr>
        <w:t xml:space="preserve"> unless otherwise specified.</w:t>
      </w:r>
    </w:p>
  </w:endnote>
  <w:endnote w:id="6">
    <w:p w14:paraId="6B31D54F" w14:textId="01EFECA7" w:rsidR="00D558C9" w:rsidRPr="007A4763" w:rsidRDefault="00D558C9" w:rsidP="00774404">
      <w:pPr>
        <w:pStyle w:val="Footnote"/>
        <w:rPr>
          <w:noProof/>
        </w:rPr>
      </w:pPr>
      <w:r w:rsidRPr="007A4763">
        <w:rPr>
          <w:rStyle w:val="EndnoteReference"/>
          <w:color w:val="000000"/>
          <w:sz w:val="16"/>
          <w:szCs w:val="16"/>
        </w:rPr>
        <w:endnoteRef/>
      </w:r>
      <w:r w:rsidRPr="007A4763">
        <w:t xml:space="preserve"> “About </w:t>
      </w:r>
      <w:r w:rsidRPr="007A4763">
        <w:rPr>
          <w:noProof/>
        </w:rPr>
        <w:t>Earth</w:t>
      </w:r>
      <w:r>
        <w:rPr>
          <w:noProof/>
        </w:rPr>
        <w:t>’</w:t>
      </w:r>
      <w:r w:rsidRPr="007A4763">
        <w:rPr>
          <w:noProof/>
        </w:rPr>
        <w:t>s General Store,” Earth</w:t>
      </w:r>
      <w:r>
        <w:rPr>
          <w:noProof/>
        </w:rPr>
        <w:t>’</w:t>
      </w:r>
      <w:r w:rsidRPr="007A4763">
        <w:rPr>
          <w:noProof/>
        </w:rPr>
        <w:t>s General Store, accessed March 5, 2016, http://earthsgeneralstore.ca/</w:t>
      </w:r>
      <w:r>
        <w:rPr>
          <w:noProof/>
        </w:rPr>
        <w:t>about/</w:t>
      </w:r>
      <w:r w:rsidRPr="007A4763">
        <w:rPr>
          <w:noProof/>
        </w:rPr>
        <w:t>.</w:t>
      </w:r>
    </w:p>
  </w:endnote>
  <w:endnote w:id="7">
    <w:p w14:paraId="71D1216C" w14:textId="60D40428" w:rsidR="00D558C9" w:rsidRPr="007A4763" w:rsidRDefault="00D558C9" w:rsidP="007B4A05">
      <w:pPr>
        <w:pStyle w:val="Footnote"/>
      </w:pPr>
      <w:r w:rsidRPr="007A4763">
        <w:rPr>
          <w:rStyle w:val="EndnoteReference"/>
          <w:color w:val="000000"/>
          <w:sz w:val="16"/>
          <w:szCs w:val="16"/>
        </w:rPr>
        <w:endnoteRef/>
      </w:r>
      <w:r w:rsidRPr="007A4763">
        <w:t xml:space="preserve"> </w:t>
      </w:r>
      <w:proofErr w:type="spellStart"/>
      <w:r>
        <w:t>Miroslava</w:t>
      </w:r>
      <w:proofErr w:type="spellEnd"/>
      <w:r>
        <w:t xml:space="preserve">, </w:t>
      </w:r>
      <w:r w:rsidRPr="007A4763">
        <w:t>“</w:t>
      </w:r>
      <w:r w:rsidRPr="007A4763">
        <w:rPr>
          <w:noProof/>
        </w:rPr>
        <w:t xml:space="preserve">Struggling Downtown Retailer Turns to Macewan Business Students for Ideas,” </w:t>
      </w:r>
      <w:r w:rsidR="00F67C96" w:rsidRPr="009C7D60">
        <w:rPr>
          <w:i/>
          <w:noProof/>
        </w:rPr>
        <w:t>Edmonton Journal</w:t>
      </w:r>
      <w:r w:rsidR="00F67C96">
        <w:rPr>
          <w:noProof/>
        </w:rPr>
        <w:t xml:space="preserve">, </w:t>
      </w:r>
      <w:r w:rsidRPr="007A4763">
        <w:rPr>
          <w:noProof/>
        </w:rPr>
        <w:t>January 29, 2015, accessed March 6, 2016, http://edmontonjournal.com/news/local-news/struggling-downtown-retailer-turns-to-macewan-business-students-for-ideas.</w:t>
      </w:r>
    </w:p>
  </w:endnote>
  <w:endnote w:id="8">
    <w:p w14:paraId="7EFC1176" w14:textId="5336DA82" w:rsidR="00D558C9" w:rsidRPr="007A4763" w:rsidRDefault="00D558C9" w:rsidP="007B4A05">
      <w:pPr>
        <w:pStyle w:val="Footnote"/>
      </w:pPr>
      <w:r w:rsidRPr="007A4763">
        <w:rPr>
          <w:rStyle w:val="EndnoteReference"/>
          <w:color w:val="000000"/>
          <w:sz w:val="16"/>
          <w:szCs w:val="16"/>
        </w:rPr>
        <w:endnoteRef/>
      </w:r>
      <w:r w:rsidRPr="007A4763">
        <w:t xml:space="preserve"> Ibid.</w:t>
      </w:r>
    </w:p>
  </w:endnote>
  <w:endnote w:id="9">
    <w:p w14:paraId="2736C4FE" w14:textId="77777777" w:rsidR="00D558C9" w:rsidRPr="007A4763" w:rsidRDefault="00D558C9" w:rsidP="00774404">
      <w:pPr>
        <w:pStyle w:val="Footnote"/>
      </w:pPr>
      <w:r w:rsidRPr="007A4763">
        <w:rPr>
          <w:rStyle w:val="EndnoteReference"/>
          <w:color w:val="000000"/>
          <w:sz w:val="16"/>
          <w:szCs w:val="16"/>
        </w:rPr>
        <w:endnoteRef/>
      </w:r>
      <w:r w:rsidRPr="007A4763">
        <w:t xml:space="preserve"> Ibid. </w:t>
      </w:r>
    </w:p>
  </w:endnote>
  <w:endnote w:id="10">
    <w:p w14:paraId="7B30181D" w14:textId="4903CE10" w:rsidR="00D558C9" w:rsidRPr="007A4763" w:rsidRDefault="00D558C9" w:rsidP="00774404">
      <w:pPr>
        <w:pStyle w:val="Footnote"/>
        <w:rPr>
          <w:noProof/>
        </w:rPr>
      </w:pPr>
      <w:r w:rsidRPr="007A4763">
        <w:rPr>
          <w:rStyle w:val="EndnoteReference"/>
          <w:color w:val="000000"/>
          <w:sz w:val="16"/>
          <w:szCs w:val="16"/>
        </w:rPr>
        <w:endnoteRef/>
      </w:r>
      <w:r w:rsidRPr="007A4763">
        <w:t xml:space="preserve"> T</w:t>
      </w:r>
      <w:r w:rsidR="006C2E08">
        <w:t>im</w:t>
      </w:r>
      <w:r w:rsidR="006C2E08" w:rsidRPr="007A4763">
        <w:t xml:space="preserve"> </w:t>
      </w:r>
      <w:r w:rsidRPr="007A4763">
        <w:rPr>
          <w:noProof/>
        </w:rPr>
        <w:t>Querengesser, “Why Edmonton</w:t>
      </w:r>
      <w:r w:rsidR="006C2E08">
        <w:rPr>
          <w:noProof/>
        </w:rPr>
        <w:t>’</w:t>
      </w:r>
      <w:r w:rsidRPr="007A4763">
        <w:rPr>
          <w:noProof/>
        </w:rPr>
        <w:t>s 104 Street Is Not a Retailer</w:t>
      </w:r>
      <w:r w:rsidR="006C2E08">
        <w:rPr>
          <w:noProof/>
        </w:rPr>
        <w:t>’</w:t>
      </w:r>
      <w:r w:rsidRPr="007A4763">
        <w:rPr>
          <w:noProof/>
        </w:rPr>
        <w:t xml:space="preserve">s Dream,” </w:t>
      </w:r>
      <w:r w:rsidRPr="007A4763">
        <w:rPr>
          <w:i/>
          <w:noProof/>
        </w:rPr>
        <w:t>Alberta Venture</w:t>
      </w:r>
      <w:r w:rsidRPr="007A4763">
        <w:rPr>
          <w:noProof/>
        </w:rPr>
        <w:t>, November 25, 2014, accessed March 4, 2016, http://albertaventure.com/2014/11/edmontons-104-street-not-retailers-dream/.</w:t>
      </w:r>
    </w:p>
  </w:endnote>
  <w:endnote w:id="11">
    <w:p w14:paraId="2779838B" w14:textId="0A474062" w:rsidR="00D558C9" w:rsidRPr="007A4763" w:rsidRDefault="00D558C9" w:rsidP="00774404">
      <w:pPr>
        <w:pStyle w:val="Footnote"/>
        <w:rPr>
          <w:noProof/>
        </w:rPr>
      </w:pPr>
      <w:r w:rsidRPr="007A4763">
        <w:rPr>
          <w:rStyle w:val="EndnoteReference"/>
          <w:color w:val="000000"/>
          <w:sz w:val="16"/>
          <w:szCs w:val="16"/>
        </w:rPr>
        <w:endnoteRef/>
      </w:r>
      <w:r w:rsidRPr="007A4763">
        <w:t xml:space="preserve"> L</w:t>
      </w:r>
      <w:r w:rsidR="006C2E08">
        <w:t>iane</w:t>
      </w:r>
      <w:r w:rsidR="006C2E08" w:rsidRPr="007A4763">
        <w:t xml:space="preserve"> </w:t>
      </w:r>
      <w:r w:rsidRPr="007A4763">
        <w:rPr>
          <w:noProof/>
        </w:rPr>
        <w:t>Faulder, “Delicious Deli at the New Location of Earth</w:t>
      </w:r>
      <w:r w:rsidR="00F67C96">
        <w:rPr>
          <w:noProof/>
        </w:rPr>
        <w:t>’</w:t>
      </w:r>
      <w:r w:rsidRPr="007A4763">
        <w:rPr>
          <w:noProof/>
        </w:rPr>
        <w:t xml:space="preserve">s General Store,” </w:t>
      </w:r>
      <w:r w:rsidRPr="007A4763">
        <w:rPr>
          <w:i/>
          <w:noProof/>
        </w:rPr>
        <w:t>Edmonton Journal</w:t>
      </w:r>
      <w:r w:rsidRPr="007A4763">
        <w:rPr>
          <w:noProof/>
        </w:rPr>
        <w:t>, September 4, 2014, accessed March 4, 2016, http://edmontonjournal.com/life/food/delicious-deli-at-the-new-location-of-earths-general-store.</w:t>
      </w:r>
    </w:p>
  </w:endnote>
  <w:endnote w:id="12">
    <w:p w14:paraId="7BB829C2" w14:textId="5B35398B" w:rsidR="00D558C9" w:rsidRPr="007A4763" w:rsidRDefault="00D558C9" w:rsidP="00774404">
      <w:pPr>
        <w:pStyle w:val="Footnote"/>
        <w:rPr>
          <w:noProof/>
        </w:rPr>
      </w:pPr>
      <w:r w:rsidRPr="007A4763">
        <w:rPr>
          <w:rStyle w:val="EndnoteReference"/>
          <w:color w:val="000000"/>
          <w:sz w:val="16"/>
          <w:szCs w:val="16"/>
        </w:rPr>
        <w:endnoteRef/>
      </w:r>
      <w:r w:rsidRPr="007A4763">
        <w:t xml:space="preserve"> M</w:t>
      </w:r>
      <w:r w:rsidR="006C2E08">
        <w:t>ichael</w:t>
      </w:r>
      <w:r w:rsidR="006C2E08" w:rsidRPr="007A4763">
        <w:t xml:space="preserve"> </w:t>
      </w:r>
      <w:r w:rsidRPr="007A4763">
        <w:rPr>
          <w:noProof/>
        </w:rPr>
        <w:t xml:space="preserve">Kubish, “Future Up in the Air </w:t>
      </w:r>
      <w:r w:rsidR="00B14B2E">
        <w:rPr>
          <w:noProof/>
        </w:rPr>
        <w:t>a</w:t>
      </w:r>
      <w:r w:rsidRPr="007A4763">
        <w:rPr>
          <w:noProof/>
        </w:rPr>
        <w:t xml:space="preserve">fter Sobeys Shuts Downtown Edmonton Location,” </w:t>
      </w:r>
      <w:r w:rsidRPr="009C7D60">
        <w:rPr>
          <w:noProof/>
        </w:rPr>
        <w:t>Global News</w:t>
      </w:r>
      <w:r w:rsidRPr="007A4763">
        <w:rPr>
          <w:noProof/>
        </w:rPr>
        <w:t>, August 1, 2014, accessed March 4, 2016, http://globalnews.ca/news/1488010/future-up-in-the-air-after-sobeys-shuts-downtown-edmonton-location/.</w:t>
      </w:r>
    </w:p>
  </w:endnote>
  <w:endnote w:id="13">
    <w:p w14:paraId="6326F581" w14:textId="725E96FE" w:rsidR="00D558C9" w:rsidRPr="007A4763" w:rsidRDefault="00D558C9" w:rsidP="00774404">
      <w:pPr>
        <w:pStyle w:val="Footnote"/>
        <w:rPr>
          <w:noProof/>
        </w:rPr>
      </w:pPr>
      <w:r w:rsidRPr="007A4763">
        <w:rPr>
          <w:rStyle w:val="EndnoteReference"/>
          <w:color w:val="000000"/>
          <w:sz w:val="16"/>
          <w:szCs w:val="16"/>
        </w:rPr>
        <w:endnoteRef/>
      </w:r>
      <w:r w:rsidRPr="007A4763">
        <w:t xml:space="preserve"> </w:t>
      </w:r>
      <w:r w:rsidRPr="007A4763">
        <w:rPr>
          <w:noProof/>
        </w:rPr>
        <w:t>“Earth</w:t>
      </w:r>
      <w:r w:rsidR="00F67C96">
        <w:rPr>
          <w:noProof/>
        </w:rPr>
        <w:t>’</w:t>
      </w:r>
      <w:r w:rsidRPr="007A4763">
        <w:rPr>
          <w:noProof/>
        </w:rPr>
        <w:t xml:space="preserve">s General Store Struggles at Downtown Location,” </w:t>
      </w:r>
      <w:r w:rsidRPr="009C7D60">
        <w:rPr>
          <w:noProof/>
        </w:rPr>
        <w:t>CBC News: Edmonton</w:t>
      </w:r>
      <w:r w:rsidRPr="007A4763">
        <w:rPr>
          <w:noProof/>
        </w:rPr>
        <w:t>, November 21, 2014, accessed March 4, 2016, www.cbc.ca/news/canada/edmonton/earth-s-general-store-struggles-at-downtown-location-1.2844827.</w:t>
      </w:r>
    </w:p>
  </w:endnote>
  <w:endnote w:id="14">
    <w:p w14:paraId="68A543C8" w14:textId="31D38B41" w:rsidR="00D558C9" w:rsidRPr="007A4763" w:rsidRDefault="00D558C9" w:rsidP="00774404">
      <w:pPr>
        <w:pStyle w:val="Footnote"/>
        <w:rPr>
          <w:noProof/>
        </w:rPr>
      </w:pPr>
      <w:r w:rsidRPr="007A4763">
        <w:rPr>
          <w:rStyle w:val="EndnoteReference"/>
          <w:color w:val="000000"/>
          <w:sz w:val="16"/>
          <w:szCs w:val="16"/>
        </w:rPr>
        <w:endnoteRef/>
      </w:r>
      <w:r w:rsidRPr="007A4763">
        <w:t xml:space="preserve"> </w:t>
      </w:r>
      <w:r w:rsidR="00F67C96">
        <w:rPr>
          <w:noProof/>
        </w:rPr>
        <w:t>Miroslava,</w:t>
      </w:r>
      <w:r w:rsidRPr="007A4763">
        <w:rPr>
          <w:noProof/>
        </w:rPr>
        <w:t xml:space="preserve"> op. cit.</w:t>
      </w:r>
    </w:p>
  </w:endnote>
  <w:endnote w:id="15">
    <w:p w14:paraId="27263B68" w14:textId="4E51B35D" w:rsidR="00D558C9" w:rsidRPr="007A4763" w:rsidRDefault="00D558C9" w:rsidP="00774404">
      <w:pPr>
        <w:pStyle w:val="Footnote"/>
        <w:rPr>
          <w:noProof/>
        </w:rPr>
      </w:pPr>
      <w:r w:rsidRPr="007A4763">
        <w:rPr>
          <w:rStyle w:val="EndnoteReference"/>
          <w:color w:val="000000"/>
          <w:sz w:val="16"/>
          <w:szCs w:val="16"/>
        </w:rPr>
        <w:endnoteRef/>
      </w:r>
      <w:r w:rsidRPr="007A4763">
        <w:t xml:space="preserve"> L</w:t>
      </w:r>
      <w:r w:rsidR="006C2E08">
        <w:t>iane</w:t>
      </w:r>
      <w:r w:rsidR="006C2E08" w:rsidRPr="007A4763">
        <w:t xml:space="preserve"> </w:t>
      </w:r>
      <w:r w:rsidRPr="007A4763">
        <w:rPr>
          <w:noProof/>
        </w:rPr>
        <w:t>Faulder, “Earth</w:t>
      </w:r>
      <w:r w:rsidR="00F67C96">
        <w:rPr>
          <w:noProof/>
        </w:rPr>
        <w:t>’</w:t>
      </w:r>
      <w:r w:rsidRPr="007A4763">
        <w:rPr>
          <w:noProof/>
        </w:rPr>
        <w:t xml:space="preserve">s General Store Downtown Begins Delivering Groceries via Bicycle,” </w:t>
      </w:r>
      <w:r w:rsidRPr="007A4763">
        <w:rPr>
          <w:i/>
          <w:noProof/>
        </w:rPr>
        <w:t>Edmonton Journal</w:t>
      </w:r>
      <w:r w:rsidRPr="007A4763">
        <w:rPr>
          <w:noProof/>
        </w:rPr>
        <w:t>, January 19, 2016, accessed March 5, 2016, http://edmontonjournal.com/life/food/earths-general-store-downtown-begins-delivering-groceries-via-bicycle.</w:t>
      </w:r>
    </w:p>
  </w:endnote>
  <w:endnote w:id="16">
    <w:p w14:paraId="2643238B" w14:textId="2F5ADB44" w:rsidR="00D558C9" w:rsidRPr="007A4763" w:rsidRDefault="00D558C9" w:rsidP="00774404">
      <w:pPr>
        <w:pStyle w:val="Footnote"/>
        <w:rPr>
          <w:noProof/>
        </w:rPr>
      </w:pPr>
      <w:r w:rsidRPr="007A4763">
        <w:rPr>
          <w:rStyle w:val="EndnoteReference"/>
          <w:color w:val="000000"/>
          <w:sz w:val="16"/>
          <w:szCs w:val="16"/>
        </w:rPr>
        <w:endnoteRef/>
      </w:r>
      <w:r w:rsidRPr="007A4763">
        <w:rPr>
          <w:noProof/>
        </w:rPr>
        <w:t xml:space="preserve"> </w:t>
      </w:r>
      <w:r w:rsidR="00F67C96" w:rsidRPr="007A4763">
        <w:rPr>
          <w:noProof/>
        </w:rPr>
        <w:t xml:space="preserve">FiBL: Research Institute of Organic Agriculture, </w:t>
      </w:r>
      <w:r w:rsidRPr="007A4763">
        <w:rPr>
          <w:noProof/>
        </w:rPr>
        <w:t xml:space="preserve">“Growth Continues: Global Organic Market at 72 Billion US Dollars with 43 Million Hectares of Organic Agricultural Land Worldwide,” </w:t>
      </w:r>
      <w:r w:rsidR="00F67C96">
        <w:rPr>
          <w:noProof/>
        </w:rPr>
        <w:t xml:space="preserve">media release, </w:t>
      </w:r>
      <w:r w:rsidRPr="007A4763">
        <w:rPr>
          <w:noProof/>
        </w:rPr>
        <w:t>Feburary 10, 2015, accessed March 9, 2016, www.fibl.org/en/media/media-archive/media-release/article/growth-continues-global-organic-market-at-72-billion-us-dollars-with-43-million-hectares-of-organic.html.</w:t>
      </w:r>
    </w:p>
  </w:endnote>
  <w:endnote w:id="17">
    <w:p w14:paraId="78B76512" w14:textId="4B9A896F" w:rsidR="00D558C9" w:rsidRPr="007A4763" w:rsidRDefault="00D558C9" w:rsidP="00774404">
      <w:pPr>
        <w:pStyle w:val="Footnote"/>
        <w:rPr>
          <w:noProof/>
        </w:rPr>
      </w:pPr>
      <w:r w:rsidRPr="007A4763">
        <w:rPr>
          <w:rStyle w:val="EndnoteReference"/>
          <w:color w:val="000000"/>
          <w:sz w:val="16"/>
          <w:szCs w:val="16"/>
        </w:rPr>
        <w:endnoteRef/>
      </w:r>
      <w:r w:rsidRPr="007A4763">
        <w:t xml:space="preserve"> </w:t>
      </w:r>
      <w:r w:rsidR="00F67C96" w:rsidRPr="007A4763">
        <w:rPr>
          <w:noProof/>
        </w:rPr>
        <w:t xml:space="preserve">PRNewswire, </w:t>
      </w:r>
      <w:r w:rsidRPr="007A4763">
        <w:rPr>
          <w:noProof/>
        </w:rPr>
        <w:t xml:space="preserve">“Global Organic Food Market to Grow at Over 16% by 2020, Concludes TechSci Research,” </w:t>
      </w:r>
      <w:r w:rsidR="00F67C96">
        <w:rPr>
          <w:noProof/>
        </w:rPr>
        <w:t xml:space="preserve">news release, </w:t>
      </w:r>
      <w:r w:rsidRPr="007A4763">
        <w:rPr>
          <w:noProof/>
        </w:rPr>
        <w:t>August 27, 2015, accessed March 9, 2016, www.prnewswire.com/news-releases/global-organic-food-market-to-grow-at-over-16-by-2020-concludes-techsci-research-523104261.html.</w:t>
      </w:r>
    </w:p>
  </w:endnote>
  <w:endnote w:id="18">
    <w:p w14:paraId="4AD728E4" w14:textId="32BAC763" w:rsidR="00D558C9" w:rsidRPr="007A4763" w:rsidRDefault="00D558C9" w:rsidP="00B150A6">
      <w:pPr>
        <w:pStyle w:val="Footnote"/>
        <w:rPr>
          <w:noProof/>
        </w:rPr>
      </w:pPr>
      <w:r w:rsidRPr="007A4763">
        <w:rPr>
          <w:rStyle w:val="EndnoteReference"/>
          <w:color w:val="000000"/>
          <w:sz w:val="16"/>
          <w:szCs w:val="16"/>
        </w:rPr>
        <w:endnoteRef/>
      </w:r>
      <w:r w:rsidRPr="007A4763">
        <w:rPr>
          <w:noProof/>
        </w:rPr>
        <w:t xml:space="preserve"> “State of the Industry: 2004–2014,” Organic Trade Association, accessed March 9, 2016, http://ota.com/sites/default/files/indexed_files/StateOfOrganicIndustry_0.pdf.</w:t>
      </w:r>
    </w:p>
  </w:endnote>
  <w:endnote w:id="19">
    <w:p w14:paraId="3B489D60" w14:textId="67EB7624" w:rsidR="00D558C9" w:rsidRPr="007A4763" w:rsidRDefault="00D558C9" w:rsidP="00774404">
      <w:pPr>
        <w:pStyle w:val="Footnote"/>
        <w:rPr>
          <w:noProof/>
        </w:rPr>
      </w:pPr>
      <w:r w:rsidRPr="007A4763">
        <w:rPr>
          <w:rStyle w:val="EndnoteReference"/>
          <w:color w:val="000000"/>
          <w:sz w:val="16"/>
          <w:szCs w:val="16"/>
        </w:rPr>
        <w:endnoteRef/>
      </w:r>
      <w:r w:rsidRPr="007A4763">
        <w:t xml:space="preserve"> N</w:t>
      </w:r>
      <w:r w:rsidR="006C2E08">
        <w:t>iall</w:t>
      </w:r>
      <w:r w:rsidR="006C2E08" w:rsidRPr="007A4763">
        <w:t xml:space="preserve"> </w:t>
      </w:r>
      <w:r w:rsidRPr="007A4763">
        <w:rPr>
          <w:noProof/>
        </w:rPr>
        <w:t>McCarthy, “The World</w:t>
      </w:r>
      <w:r w:rsidR="006C2E08">
        <w:rPr>
          <w:noProof/>
        </w:rPr>
        <w:t>’</w:t>
      </w:r>
      <w:r w:rsidRPr="007A4763">
        <w:rPr>
          <w:noProof/>
        </w:rPr>
        <w:t xml:space="preserve">s Largest Markets </w:t>
      </w:r>
      <w:r w:rsidR="00B14B2E">
        <w:rPr>
          <w:noProof/>
        </w:rPr>
        <w:t>f</w:t>
      </w:r>
      <w:r w:rsidRPr="007A4763">
        <w:rPr>
          <w:noProof/>
        </w:rPr>
        <w:t>or Organic Products,” Statista, July 30, 2015, accessed March 9, 2016, www.statista.com/chart/3681/organic-retail-sales-value-by-country/.</w:t>
      </w:r>
    </w:p>
  </w:endnote>
  <w:endnote w:id="20">
    <w:p w14:paraId="6BCA50F3" w14:textId="594C4731" w:rsidR="00D558C9" w:rsidRPr="007A4763" w:rsidRDefault="00D558C9" w:rsidP="00774404">
      <w:pPr>
        <w:pStyle w:val="Footnote"/>
        <w:rPr>
          <w:noProof/>
        </w:rPr>
      </w:pPr>
      <w:r w:rsidRPr="007A4763">
        <w:rPr>
          <w:rStyle w:val="EndnoteReference"/>
          <w:color w:val="000000"/>
          <w:sz w:val="16"/>
          <w:szCs w:val="16"/>
        </w:rPr>
        <w:endnoteRef/>
      </w:r>
      <w:r w:rsidRPr="007A4763">
        <w:t xml:space="preserve"> Brenda Frick, “Farm Numbers Dip but Organic Farms Up: Statistics Canada,” The Western Producer accessed May 1, 2017, www.producer.com/2012/06/farm-numbers-dip-but-organic-farms-up-statistics-canada/.</w:t>
      </w:r>
    </w:p>
  </w:endnote>
  <w:endnote w:id="21">
    <w:p w14:paraId="4A801307" w14:textId="65300594" w:rsidR="00D558C9" w:rsidRPr="007A4763" w:rsidRDefault="00D558C9" w:rsidP="00B150A6">
      <w:pPr>
        <w:pStyle w:val="Footnote"/>
      </w:pPr>
      <w:r w:rsidRPr="007A4763">
        <w:rPr>
          <w:rStyle w:val="EndnoteReference"/>
        </w:rPr>
        <w:endnoteRef/>
      </w:r>
      <w:r w:rsidRPr="007A4763">
        <w:t xml:space="preserve"> Shauna MacKinnon, </w:t>
      </w:r>
      <w:r w:rsidRPr="007A4763">
        <w:rPr>
          <w:i/>
        </w:rPr>
        <w:t xml:space="preserve">Canada’s Organic Market: National Highlights, 2013 </w:t>
      </w:r>
      <w:r w:rsidRPr="007A4763">
        <w:t>(Ottawa, ON: Canada Organic Trade Association, 2003)</w:t>
      </w:r>
      <w:r w:rsidR="006C2E08">
        <w:t xml:space="preserve">, accessed May 15, 2017, </w:t>
      </w:r>
      <w:r w:rsidR="006C2E08" w:rsidRPr="006C2E08">
        <w:t>www.filierebio.qc.ca/Filierebio/Documents/Canada_s%20Organic%20Market_%202013.pdf</w:t>
      </w:r>
      <w:r w:rsidRPr="007A4763">
        <w:t>.</w:t>
      </w:r>
    </w:p>
  </w:endnote>
  <w:endnote w:id="22">
    <w:p w14:paraId="4B907BC1" w14:textId="64A077B8" w:rsidR="00D558C9" w:rsidRPr="007A4763" w:rsidRDefault="00D558C9" w:rsidP="00774404">
      <w:pPr>
        <w:pStyle w:val="Footnote"/>
        <w:rPr>
          <w:noProof/>
        </w:rPr>
      </w:pPr>
      <w:r w:rsidRPr="007A4763">
        <w:rPr>
          <w:rStyle w:val="EndnoteReference"/>
          <w:color w:val="000000"/>
          <w:sz w:val="16"/>
          <w:szCs w:val="16"/>
        </w:rPr>
        <w:endnoteRef/>
      </w:r>
      <w:r w:rsidRPr="007A4763">
        <w:t xml:space="preserve"> </w:t>
      </w:r>
      <w:r w:rsidR="006C2E08">
        <w:rPr>
          <w:noProof/>
        </w:rPr>
        <w:t>PRNewswire,</w:t>
      </w:r>
      <w:r w:rsidRPr="007A4763">
        <w:rPr>
          <w:noProof/>
        </w:rPr>
        <w:t xml:space="preserve"> op. cit.</w:t>
      </w:r>
    </w:p>
  </w:endnote>
  <w:endnote w:id="23">
    <w:p w14:paraId="00E87029" w14:textId="77C97F6E" w:rsidR="00D558C9" w:rsidRPr="007A4763" w:rsidRDefault="00D558C9" w:rsidP="00774404">
      <w:pPr>
        <w:pStyle w:val="Footnote"/>
        <w:rPr>
          <w:noProof/>
        </w:rPr>
      </w:pPr>
      <w:r w:rsidRPr="007A4763">
        <w:rPr>
          <w:rStyle w:val="EndnoteReference"/>
          <w:color w:val="000000"/>
          <w:sz w:val="16"/>
          <w:szCs w:val="16"/>
        </w:rPr>
        <w:endnoteRef/>
      </w:r>
      <w:r w:rsidRPr="007A4763">
        <w:t xml:space="preserve"> S</w:t>
      </w:r>
      <w:r w:rsidR="006C2E08">
        <w:t>imon</w:t>
      </w:r>
      <w:r w:rsidR="006C2E08" w:rsidRPr="007A4763">
        <w:t xml:space="preserve"> </w:t>
      </w:r>
      <w:r w:rsidRPr="007A4763">
        <w:rPr>
          <w:noProof/>
        </w:rPr>
        <w:t>Weseen, E</w:t>
      </w:r>
      <w:r w:rsidR="006C2E08">
        <w:rPr>
          <w:noProof/>
        </w:rPr>
        <w:t>rin</w:t>
      </w:r>
      <w:r w:rsidR="006C2E08" w:rsidRPr="007A4763">
        <w:rPr>
          <w:noProof/>
        </w:rPr>
        <w:t xml:space="preserve"> </w:t>
      </w:r>
      <w:r w:rsidRPr="007A4763">
        <w:rPr>
          <w:noProof/>
        </w:rPr>
        <w:t>Sawyer, and S</w:t>
      </w:r>
      <w:r w:rsidR="006C2E08">
        <w:rPr>
          <w:noProof/>
        </w:rPr>
        <w:t>hon</w:t>
      </w:r>
      <w:r w:rsidR="006C2E08" w:rsidRPr="007A4763">
        <w:rPr>
          <w:noProof/>
        </w:rPr>
        <w:t xml:space="preserve"> </w:t>
      </w:r>
      <w:r w:rsidRPr="007A4763">
        <w:rPr>
          <w:noProof/>
        </w:rPr>
        <w:t xml:space="preserve">Ferguson, “The Demographics of Organic Consumers in Canada, the United States and the European Union,” </w:t>
      </w:r>
      <w:r w:rsidR="006C2E08">
        <w:rPr>
          <w:noProof/>
        </w:rPr>
        <w:t xml:space="preserve">in Department of Agricultural Economics </w:t>
      </w:r>
      <w:r w:rsidRPr="007A4763">
        <w:rPr>
          <w:i/>
          <w:noProof/>
        </w:rPr>
        <w:t>Project on Organic Agriculture</w:t>
      </w:r>
      <w:r w:rsidR="006C2E08">
        <w:rPr>
          <w:noProof/>
        </w:rPr>
        <w:t xml:space="preserve"> 8,</w:t>
      </w:r>
      <w:r w:rsidR="006C2E08" w:rsidRPr="007A4763">
        <w:rPr>
          <w:noProof/>
        </w:rPr>
        <w:t xml:space="preserve"> </w:t>
      </w:r>
      <w:r w:rsidRPr="007A4763">
        <w:rPr>
          <w:noProof/>
        </w:rPr>
        <w:t xml:space="preserve">University of Saskatchewan </w:t>
      </w:r>
      <w:r w:rsidR="006C2E08">
        <w:rPr>
          <w:noProof/>
        </w:rPr>
        <w:t>(</w:t>
      </w:r>
      <w:r w:rsidRPr="007A4763">
        <w:rPr>
          <w:noProof/>
        </w:rPr>
        <w:t>December 2004</w:t>
      </w:r>
      <w:r w:rsidR="006C2E08">
        <w:rPr>
          <w:noProof/>
        </w:rPr>
        <w:t>)</w:t>
      </w:r>
      <w:r w:rsidRPr="007A4763">
        <w:rPr>
          <w:noProof/>
        </w:rPr>
        <w:t>, accessed March 9, 2016, http://organic.usask.ca/reports/Standardization%20Certification%20Papers/The%20Demographics%20of%20Organic%20Consumers%20in%20Canada,%20the%20US,%20and%20EU%20-%20Web.pdf.</w:t>
      </w:r>
    </w:p>
  </w:endnote>
  <w:endnote w:id="24">
    <w:p w14:paraId="70238E96" w14:textId="1EFF29AA" w:rsidR="00D558C9" w:rsidRPr="007A4763" w:rsidRDefault="00D558C9" w:rsidP="00774404">
      <w:pPr>
        <w:pStyle w:val="Footnote"/>
        <w:rPr>
          <w:noProof/>
        </w:rPr>
      </w:pPr>
      <w:r w:rsidRPr="007A4763">
        <w:rPr>
          <w:rStyle w:val="EndnoteReference"/>
          <w:color w:val="000000"/>
          <w:sz w:val="16"/>
          <w:szCs w:val="16"/>
        </w:rPr>
        <w:endnoteRef/>
      </w:r>
      <w:r w:rsidRPr="007A4763">
        <w:t xml:space="preserve"> L</w:t>
      </w:r>
      <w:r w:rsidR="006C2E08">
        <w:t>eila</w:t>
      </w:r>
      <w:r w:rsidR="006C2E08" w:rsidRPr="007A4763">
        <w:t xml:space="preserve"> </w:t>
      </w:r>
      <w:r w:rsidRPr="007A4763">
        <w:rPr>
          <w:noProof/>
        </w:rPr>
        <w:t>Hamzaoui-Essoussi and M</w:t>
      </w:r>
      <w:r w:rsidR="006C2E08">
        <w:rPr>
          <w:noProof/>
        </w:rPr>
        <w:t>ehdi</w:t>
      </w:r>
      <w:r w:rsidR="006C2E08" w:rsidRPr="007A4763">
        <w:rPr>
          <w:noProof/>
        </w:rPr>
        <w:t xml:space="preserve"> </w:t>
      </w:r>
      <w:r w:rsidRPr="007A4763">
        <w:rPr>
          <w:noProof/>
        </w:rPr>
        <w:t xml:space="preserve">Zahaf, “The Organic Food Market: Opportunities and Challenges,” in </w:t>
      </w:r>
      <w:hyperlink r:id="rId1" w:history="1">
        <w:r w:rsidRPr="007A4763">
          <w:rPr>
            <w:rStyle w:val="Hyperlink"/>
            <w:i/>
            <w:color w:val="auto"/>
            <w:u w:val="none"/>
          </w:rPr>
          <w:t>Organic Food and Agriculture</w:t>
        </w:r>
        <w:r w:rsidR="006C2E08">
          <w:rPr>
            <w:rStyle w:val="Hyperlink"/>
            <w:i/>
            <w:color w:val="auto"/>
            <w:u w:val="none"/>
          </w:rPr>
          <w:t>—</w:t>
        </w:r>
        <w:r w:rsidRPr="007A4763">
          <w:rPr>
            <w:rStyle w:val="Hyperlink"/>
            <w:i/>
            <w:color w:val="auto"/>
            <w:u w:val="none"/>
          </w:rPr>
          <w:t>New Trends and Developments in the Social Sciences,</w:t>
        </w:r>
      </w:hyperlink>
      <w:r w:rsidRPr="007A4763">
        <w:t xml:space="preserve"> ed. Matthew Reed (Ottawa: </w:t>
      </w:r>
      <w:r w:rsidRPr="007A4763">
        <w:rPr>
          <w:noProof/>
        </w:rPr>
        <w:t xml:space="preserve">University of Ottawa, Tefler School of Management, 2012): 63–88. </w:t>
      </w:r>
    </w:p>
  </w:endnote>
  <w:endnote w:id="25">
    <w:p w14:paraId="1F220B74" w14:textId="18B0ACDA" w:rsidR="00D558C9" w:rsidRPr="007A4763" w:rsidRDefault="00D558C9" w:rsidP="00774404">
      <w:pPr>
        <w:pStyle w:val="Footnote"/>
        <w:rPr>
          <w:noProof/>
        </w:rPr>
      </w:pPr>
      <w:r w:rsidRPr="007A4763">
        <w:rPr>
          <w:rStyle w:val="EndnoteReference"/>
          <w:color w:val="000000"/>
          <w:sz w:val="16"/>
          <w:szCs w:val="16"/>
        </w:rPr>
        <w:endnoteRef/>
      </w:r>
      <w:r w:rsidRPr="007A4763">
        <w:t xml:space="preserve"> MacKinnon, op. cit.</w:t>
      </w:r>
    </w:p>
  </w:endnote>
  <w:endnote w:id="26">
    <w:p w14:paraId="781E2300" w14:textId="4CE3F412" w:rsidR="00D558C9" w:rsidRPr="007A4763" w:rsidRDefault="00D558C9" w:rsidP="00774404">
      <w:pPr>
        <w:pStyle w:val="Footnote"/>
        <w:rPr>
          <w:noProof/>
        </w:rPr>
      </w:pPr>
      <w:r w:rsidRPr="007A4763">
        <w:rPr>
          <w:rStyle w:val="EndnoteReference"/>
          <w:color w:val="000000"/>
          <w:sz w:val="16"/>
          <w:szCs w:val="16"/>
        </w:rPr>
        <w:endnoteRef/>
      </w:r>
      <w:r w:rsidRPr="007A4763">
        <w:rPr>
          <w:noProof/>
          <w:lang w:val="en-CA"/>
        </w:rPr>
        <w:t xml:space="preserve"> “Grocery Retailers in Canada,” Euromonitor International, accessed May 1, 2017.</w:t>
      </w:r>
    </w:p>
  </w:endnote>
  <w:endnote w:id="27">
    <w:p w14:paraId="6372DE10" w14:textId="45A6EFBF" w:rsidR="00D558C9" w:rsidRPr="007A4763" w:rsidRDefault="00D558C9" w:rsidP="00774404">
      <w:pPr>
        <w:pStyle w:val="Footnote"/>
        <w:rPr>
          <w:noProof/>
        </w:rPr>
      </w:pPr>
      <w:r w:rsidRPr="007A4763">
        <w:rPr>
          <w:rStyle w:val="EndnoteReference"/>
          <w:color w:val="000000"/>
          <w:sz w:val="16"/>
          <w:szCs w:val="16"/>
        </w:rPr>
        <w:endnoteRef/>
      </w:r>
      <w:r w:rsidRPr="007A4763">
        <w:t xml:space="preserve"> </w:t>
      </w:r>
      <w:r w:rsidRPr="007A4763">
        <w:rPr>
          <w:i/>
          <w:noProof/>
        </w:rPr>
        <w:t>Grocery Stores in Canadian Urban Centres</w:t>
      </w:r>
      <w:r w:rsidRPr="007A4763">
        <w:rPr>
          <w:noProof/>
        </w:rPr>
        <w:t xml:space="preserve"> (Edmonton, AB: University of Alberta School of Retailing, 2015), accessed May 1, 2017, https://static1.squarespace.com/static/529fc0c0e4b088b079c3fb6d/t/564bb92ee4b06f49e660b3ae/</w:t>
      </w:r>
    </w:p>
    <w:p w14:paraId="075CCE17" w14:textId="128A4244" w:rsidR="00D558C9" w:rsidRPr="007A4763" w:rsidRDefault="00D558C9" w:rsidP="00774404">
      <w:pPr>
        <w:pStyle w:val="Footnote"/>
        <w:rPr>
          <w:noProof/>
        </w:rPr>
      </w:pPr>
      <w:r w:rsidRPr="007A4763">
        <w:rPr>
          <w:noProof/>
        </w:rPr>
        <w:t>1447803351239/Grocery+Stores+in+Canadian+Urban+Centres-P.pdf.</w:t>
      </w:r>
    </w:p>
  </w:endnote>
  <w:endnote w:id="28">
    <w:p w14:paraId="0E5AF95D" w14:textId="77777777" w:rsidR="00D558C9" w:rsidRPr="007A4763" w:rsidRDefault="00D558C9" w:rsidP="00774404">
      <w:pPr>
        <w:pStyle w:val="Footnote"/>
      </w:pPr>
      <w:r w:rsidRPr="007A4763">
        <w:rPr>
          <w:rStyle w:val="EndnoteReference"/>
          <w:color w:val="000000"/>
          <w:sz w:val="16"/>
          <w:szCs w:val="16"/>
        </w:rPr>
        <w:endnoteRef/>
      </w:r>
      <w:r w:rsidRPr="007A4763">
        <w:t xml:space="preserve"> Ibid. </w:t>
      </w:r>
    </w:p>
  </w:endnote>
  <w:endnote w:id="29">
    <w:p w14:paraId="531D1051" w14:textId="77777777" w:rsidR="00D558C9" w:rsidRPr="003F1200" w:rsidRDefault="00D558C9" w:rsidP="00774404">
      <w:pPr>
        <w:pStyle w:val="Footnote"/>
        <w:rPr>
          <w:noProof/>
        </w:rPr>
      </w:pPr>
      <w:r w:rsidRPr="007A4763">
        <w:rPr>
          <w:rStyle w:val="EndnoteReference"/>
          <w:color w:val="000000"/>
          <w:sz w:val="16"/>
          <w:szCs w:val="16"/>
        </w:rPr>
        <w:endnoteRef/>
      </w:r>
      <w:r w:rsidRPr="007A4763">
        <w:t xml:space="preserve"> </w:t>
      </w:r>
      <w:r w:rsidRPr="007A4763">
        <w:rPr>
          <w:noProof/>
        </w:rPr>
        <w:t>“List of Grocery Stores to Open in Canada’s Urban Cores,” Retail Insider, April 14, 2015, accessed March 27, 2016, www.retail-insider.com/retail-insider/2015/4/downtown-grocery-stores.</w:t>
      </w:r>
    </w:p>
  </w:endnote>
  <w:endnote w:id="30">
    <w:p w14:paraId="1D07E1B9" w14:textId="60173E50" w:rsidR="00D558C9" w:rsidRPr="003F1200" w:rsidRDefault="00D558C9" w:rsidP="00774404">
      <w:pPr>
        <w:pStyle w:val="Footnote"/>
        <w:rPr>
          <w:noProof/>
        </w:rPr>
      </w:pPr>
      <w:r w:rsidRPr="003F1200">
        <w:rPr>
          <w:rStyle w:val="EndnoteReference"/>
          <w:color w:val="000000"/>
          <w:sz w:val="16"/>
          <w:szCs w:val="16"/>
        </w:rPr>
        <w:endnoteRef/>
      </w:r>
      <w:r w:rsidRPr="003F1200">
        <w:t xml:space="preserve"> </w:t>
      </w:r>
      <w:r>
        <w:t>C</w:t>
      </w:r>
      <w:r w:rsidR="006C2E08">
        <w:t xml:space="preserve">aley </w:t>
      </w:r>
      <w:r w:rsidRPr="003F1200">
        <w:rPr>
          <w:noProof/>
        </w:rPr>
        <w:t>Ramsay,</w:t>
      </w:r>
      <w:r>
        <w:rPr>
          <w:noProof/>
        </w:rPr>
        <w:t xml:space="preserve"> “</w:t>
      </w:r>
      <w:r w:rsidRPr="003F1200">
        <w:rPr>
          <w:noProof/>
        </w:rPr>
        <w:t xml:space="preserve">City Market Downtown </w:t>
      </w:r>
      <w:r>
        <w:rPr>
          <w:noProof/>
        </w:rPr>
        <w:t>W</w:t>
      </w:r>
      <w:r w:rsidRPr="003F1200">
        <w:rPr>
          <w:noProof/>
        </w:rPr>
        <w:t xml:space="preserve">orld’s </w:t>
      </w:r>
      <w:r>
        <w:rPr>
          <w:noProof/>
        </w:rPr>
        <w:t>B</w:t>
      </w:r>
      <w:r w:rsidRPr="003F1200">
        <w:rPr>
          <w:noProof/>
        </w:rPr>
        <w:t xml:space="preserve">est </w:t>
      </w:r>
      <w:r>
        <w:rPr>
          <w:noProof/>
        </w:rPr>
        <w:t>F</w:t>
      </w:r>
      <w:r w:rsidRPr="003F1200">
        <w:rPr>
          <w:noProof/>
        </w:rPr>
        <w:t xml:space="preserve">armers’ </w:t>
      </w:r>
      <w:r>
        <w:rPr>
          <w:noProof/>
        </w:rPr>
        <w:t>M</w:t>
      </w:r>
      <w:r w:rsidRPr="003F1200">
        <w:rPr>
          <w:noProof/>
        </w:rPr>
        <w:t>arket</w:t>
      </w:r>
      <w:r>
        <w:rPr>
          <w:noProof/>
        </w:rPr>
        <w:t xml:space="preserve">: </w:t>
      </w:r>
      <w:r w:rsidRPr="003F1200">
        <w:rPr>
          <w:noProof/>
        </w:rPr>
        <w:t xml:space="preserve">National Geographic </w:t>
      </w:r>
      <w:r>
        <w:rPr>
          <w:noProof/>
        </w:rPr>
        <w:t>B</w:t>
      </w:r>
      <w:r w:rsidRPr="003F1200">
        <w:rPr>
          <w:noProof/>
        </w:rPr>
        <w:t>logger</w:t>
      </w:r>
      <w:r>
        <w:rPr>
          <w:noProof/>
        </w:rPr>
        <w:t>,”</w:t>
      </w:r>
      <w:r w:rsidRPr="003F1200">
        <w:rPr>
          <w:noProof/>
        </w:rPr>
        <w:t xml:space="preserve"> </w:t>
      </w:r>
      <w:r w:rsidRPr="009C7D60">
        <w:rPr>
          <w:noProof/>
        </w:rPr>
        <w:t>Global News</w:t>
      </w:r>
      <w:r w:rsidRPr="006C2E08">
        <w:rPr>
          <w:noProof/>
        </w:rPr>
        <w:t>,</w:t>
      </w:r>
      <w:r>
        <w:rPr>
          <w:noProof/>
        </w:rPr>
        <w:t xml:space="preserve"> January 5, 2014, accessed</w:t>
      </w:r>
      <w:r w:rsidRPr="003F1200">
        <w:rPr>
          <w:noProof/>
        </w:rPr>
        <w:t xml:space="preserve"> March 27, 2016, http://globalnews.ca/news/1062858/city-market-downtown-worlds-best-farmers-market-national-geographic-blogger/</w:t>
      </w:r>
      <w:r>
        <w:rPr>
          <w:noProof/>
        </w:rPr>
        <w:t>.</w:t>
      </w:r>
    </w:p>
  </w:endnote>
  <w:endnote w:id="31">
    <w:p w14:paraId="526B3811" w14:textId="77777777" w:rsidR="00D558C9" w:rsidRPr="003F1200" w:rsidRDefault="00D558C9" w:rsidP="00774404">
      <w:pPr>
        <w:pStyle w:val="Footnote"/>
        <w:rPr>
          <w:noProof/>
        </w:rPr>
      </w:pPr>
      <w:r w:rsidRPr="003F1200">
        <w:rPr>
          <w:rStyle w:val="EndnoteReference"/>
          <w:color w:val="000000"/>
          <w:sz w:val="16"/>
          <w:szCs w:val="16"/>
        </w:rPr>
        <w:endnoteRef/>
      </w:r>
      <w:r>
        <w:rPr>
          <w:noProof/>
        </w:rPr>
        <w:t xml:space="preserve"> “</w:t>
      </w:r>
      <w:r w:rsidRPr="003F1200">
        <w:rPr>
          <w:noProof/>
        </w:rPr>
        <w:t>Population Forecasts</w:t>
      </w:r>
      <w:r>
        <w:rPr>
          <w:noProof/>
        </w:rPr>
        <w:t>,” City of Edmonton, 2015, a</w:t>
      </w:r>
      <w:r w:rsidRPr="003F1200">
        <w:rPr>
          <w:noProof/>
        </w:rPr>
        <w:t>ccessed March 9, 2016, www.edmonton.ca/business_economy/demographics_profiles/population-forecasts.aspx</w:t>
      </w:r>
      <w:r>
        <w:rPr>
          <w:noProof/>
        </w:rPr>
        <w:t>.</w:t>
      </w:r>
    </w:p>
  </w:endnote>
  <w:endnote w:id="32">
    <w:p w14:paraId="7652D76A" w14:textId="76BE72DA" w:rsidR="00D558C9" w:rsidRPr="003F1200" w:rsidRDefault="00D558C9" w:rsidP="00774404">
      <w:pPr>
        <w:pStyle w:val="Footnote"/>
        <w:rPr>
          <w:noProof/>
        </w:rPr>
      </w:pPr>
      <w:r w:rsidRPr="003F1200">
        <w:rPr>
          <w:rStyle w:val="EndnoteReference"/>
          <w:color w:val="000000"/>
          <w:sz w:val="16"/>
          <w:szCs w:val="16"/>
        </w:rPr>
        <w:endnoteRef/>
      </w:r>
      <w:r w:rsidRPr="003F1200">
        <w:t xml:space="preserve"> </w:t>
      </w:r>
      <w:r>
        <w:t>K</w:t>
      </w:r>
      <w:r w:rsidR="006C2E08">
        <w:t xml:space="preserve">evin </w:t>
      </w:r>
      <w:r w:rsidRPr="003F1200">
        <w:rPr>
          <w:noProof/>
        </w:rPr>
        <w:t xml:space="preserve">Maimann, </w:t>
      </w:r>
      <w:r>
        <w:rPr>
          <w:noProof/>
        </w:rPr>
        <w:t>“</w:t>
      </w:r>
      <w:r w:rsidRPr="003F1200">
        <w:rPr>
          <w:noProof/>
        </w:rPr>
        <w:t xml:space="preserve">Edmonton </w:t>
      </w:r>
      <w:r>
        <w:rPr>
          <w:noProof/>
        </w:rPr>
        <w:t>S</w:t>
      </w:r>
      <w:r w:rsidRPr="003F1200">
        <w:rPr>
          <w:noProof/>
        </w:rPr>
        <w:t xml:space="preserve">econd </w:t>
      </w:r>
      <w:r>
        <w:rPr>
          <w:noProof/>
        </w:rPr>
        <w:t>F</w:t>
      </w:r>
      <w:r w:rsidRPr="003F1200">
        <w:rPr>
          <w:noProof/>
        </w:rPr>
        <w:t xml:space="preserve">astest </w:t>
      </w:r>
      <w:r>
        <w:rPr>
          <w:noProof/>
        </w:rPr>
        <w:t>G</w:t>
      </w:r>
      <w:r w:rsidRPr="003F1200">
        <w:rPr>
          <w:noProof/>
        </w:rPr>
        <w:t xml:space="preserve">rowing </w:t>
      </w:r>
      <w:r>
        <w:rPr>
          <w:noProof/>
        </w:rPr>
        <w:t>C</w:t>
      </w:r>
      <w:r w:rsidRPr="003F1200">
        <w:rPr>
          <w:noProof/>
        </w:rPr>
        <w:t>ity in Canada</w:t>
      </w:r>
      <w:r>
        <w:rPr>
          <w:noProof/>
        </w:rPr>
        <w:t>,”</w:t>
      </w:r>
      <w:r w:rsidRPr="003F1200">
        <w:rPr>
          <w:noProof/>
        </w:rPr>
        <w:t xml:space="preserve"> </w:t>
      </w:r>
      <w:r w:rsidRPr="00BC428A">
        <w:rPr>
          <w:i/>
          <w:noProof/>
        </w:rPr>
        <w:t>Edmonton Sun</w:t>
      </w:r>
      <w:r>
        <w:rPr>
          <w:noProof/>
        </w:rPr>
        <w:t>, February 11, 2015, a</w:t>
      </w:r>
      <w:r w:rsidRPr="003F1200">
        <w:rPr>
          <w:noProof/>
        </w:rPr>
        <w:t>ccessed March 9, 2016, www.edmontonsun.com/2015/02/11/edmonton-second-fastest-growing-city-in-canada</w:t>
      </w:r>
      <w:r>
        <w:rPr>
          <w:noProof/>
        </w:rPr>
        <w:t>.</w:t>
      </w:r>
    </w:p>
  </w:endnote>
  <w:endnote w:id="33">
    <w:p w14:paraId="631EE548" w14:textId="77777777" w:rsidR="00D558C9" w:rsidRPr="00DA6ED6" w:rsidRDefault="00D558C9" w:rsidP="00774404">
      <w:pPr>
        <w:pStyle w:val="Footnote"/>
        <w:rPr>
          <w:noProof/>
        </w:rPr>
      </w:pPr>
      <w:r w:rsidRPr="003F1200">
        <w:rPr>
          <w:rStyle w:val="EndnoteReference"/>
          <w:color w:val="000000"/>
          <w:sz w:val="16"/>
          <w:szCs w:val="16"/>
        </w:rPr>
        <w:endnoteRef/>
      </w:r>
      <w:r w:rsidRPr="003F1200">
        <w:t xml:space="preserve"> </w:t>
      </w:r>
      <w:r>
        <w:rPr>
          <w:noProof/>
        </w:rPr>
        <w:t>“</w:t>
      </w:r>
      <w:r w:rsidRPr="00DA6ED6">
        <w:rPr>
          <w:noProof/>
        </w:rPr>
        <w:t xml:space="preserve">Median </w:t>
      </w:r>
      <w:r>
        <w:rPr>
          <w:noProof/>
        </w:rPr>
        <w:t>T</w:t>
      </w:r>
      <w:r w:rsidRPr="00DA6ED6">
        <w:rPr>
          <w:noProof/>
        </w:rPr>
        <w:t xml:space="preserve">otal </w:t>
      </w:r>
      <w:r>
        <w:rPr>
          <w:noProof/>
        </w:rPr>
        <w:t>I</w:t>
      </w:r>
      <w:r w:rsidRPr="00DA6ED6">
        <w:rPr>
          <w:noProof/>
        </w:rPr>
        <w:t xml:space="preserve">ncome, by </w:t>
      </w:r>
      <w:r>
        <w:rPr>
          <w:noProof/>
        </w:rPr>
        <w:t>F</w:t>
      </w:r>
      <w:r w:rsidRPr="00DA6ED6">
        <w:rPr>
          <w:noProof/>
        </w:rPr>
        <w:t xml:space="preserve">amily </w:t>
      </w:r>
      <w:r>
        <w:rPr>
          <w:noProof/>
        </w:rPr>
        <w:t>T</w:t>
      </w:r>
      <w:r w:rsidRPr="00DA6ED6">
        <w:rPr>
          <w:noProof/>
        </w:rPr>
        <w:t xml:space="preserve">ype, by </w:t>
      </w:r>
      <w:r>
        <w:rPr>
          <w:noProof/>
        </w:rPr>
        <w:t>C</w:t>
      </w:r>
      <w:r w:rsidRPr="00DA6ED6">
        <w:rPr>
          <w:noProof/>
        </w:rPr>
        <w:t xml:space="preserve">ensus </w:t>
      </w:r>
      <w:r>
        <w:rPr>
          <w:noProof/>
        </w:rPr>
        <w:t>M</w:t>
      </w:r>
      <w:r w:rsidRPr="00DA6ED6">
        <w:rPr>
          <w:noProof/>
        </w:rPr>
        <w:t xml:space="preserve">etropolitan </w:t>
      </w:r>
      <w:r>
        <w:rPr>
          <w:noProof/>
        </w:rPr>
        <w:t>A</w:t>
      </w:r>
      <w:r w:rsidRPr="00DA6ED6">
        <w:rPr>
          <w:noProof/>
        </w:rPr>
        <w:t xml:space="preserve">rea (All </w:t>
      </w:r>
      <w:r>
        <w:rPr>
          <w:noProof/>
        </w:rPr>
        <w:t>C</w:t>
      </w:r>
      <w:r w:rsidRPr="00DA6ED6">
        <w:rPr>
          <w:noProof/>
        </w:rPr>
        <w:t xml:space="preserve">ensus </w:t>
      </w:r>
      <w:r>
        <w:rPr>
          <w:noProof/>
        </w:rPr>
        <w:t>F</w:t>
      </w:r>
      <w:r w:rsidRPr="00DA6ED6">
        <w:rPr>
          <w:noProof/>
        </w:rPr>
        <w:t>amilies)</w:t>
      </w:r>
      <w:r>
        <w:rPr>
          <w:noProof/>
        </w:rPr>
        <w:t>,”</w:t>
      </w:r>
      <w:r w:rsidRPr="00DA6ED6">
        <w:rPr>
          <w:noProof/>
        </w:rPr>
        <w:t xml:space="preserve"> Statistics Canada</w:t>
      </w:r>
      <w:r>
        <w:rPr>
          <w:noProof/>
        </w:rPr>
        <w:t>, June 26, 2015, accessed</w:t>
      </w:r>
      <w:r w:rsidRPr="00DA6ED6">
        <w:rPr>
          <w:noProof/>
        </w:rPr>
        <w:t xml:space="preserve"> March 9, 2016, www.statcan.gc.ca/tables-tableaux/sum-som/l01/cst01/famil107a-eng.htm</w:t>
      </w:r>
      <w:r>
        <w:rPr>
          <w:noProof/>
        </w:rPr>
        <w:t>.</w:t>
      </w:r>
    </w:p>
  </w:endnote>
  <w:endnote w:id="34">
    <w:p w14:paraId="334EEB06" w14:textId="24E6EEAE" w:rsidR="00D558C9" w:rsidRPr="003F1200" w:rsidRDefault="00D558C9" w:rsidP="00774404">
      <w:pPr>
        <w:pStyle w:val="Footnote"/>
        <w:rPr>
          <w:noProof/>
        </w:rPr>
      </w:pPr>
      <w:r w:rsidRPr="003F1200">
        <w:rPr>
          <w:rStyle w:val="EndnoteReference"/>
          <w:color w:val="000000"/>
          <w:sz w:val="16"/>
          <w:szCs w:val="16"/>
        </w:rPr>
        <w:endnoteRef/>
      </w:r>
      <w:r w:rsidRPr="003F1200">
        <w:t xml:space="preserve"> </w:t>
      </w:r>
      <w:r>
        <w:rPr>
          <w:noProof/>
        </w:rPr>
        <w:t>“</w:t>
      </w:r>
      <w:r w:rsidRPr="003F1200">
        <w:rPr>
          <w:noProof/>
        </w:rPr>
        <w:t xml:space="preserve">Proportion of </w:t>
      </w:r>
      <w:r>
        <w:rPr>
          <w:noProof/>
        </w:rPr>
        <w:t>W</w:t>
      </w:r>
      <w:r w:rsidRPr="003F1200">
        <w:rPr>
          <w:noProof/>
        </w:rPr>
        <w:t xml:space="preserve">orkers </w:t>
      </w:r>
      <w:r>
        <w:rPr>
          <w:noProof/>
        </w:rPr>
        <w:t>T</w:t>
      </w:r>
      <w:r w:rsidRPr="003F1200">
        <w:rPr>
          <w:noProof/>
        </w:rPr>
        <w:t xml:space="preserve">aking </w:t>
      </w:r>
      <w:r>
        <w:rPr>
          <w:noProof/>
        </w:rPr>
        <w:t>P</w:t>
      </w:r>
      <w:r w:rsidRPr="003F1200">
        <w:rPr>
          <w:noProof/>
        </w:rPr>
        <w:t xml:space="preserve">ublic </w:t>
      </w:r>
      <w:r>
        <w:rPr>
          <w:noProof/>
        </w:rPr>
        <w:t>T</w:t>
      </w:r>
      <w:r w:rsidRPr="003F1200">
        <w:rPr>
          <w:noProof/>
        </w:rPr>
        <w:t xml:space="preserve">ransit to </w:t>
      </w:r>
      <w:r>
        <w:rPr>
          <w:noProof/>
        </w:rPr>
        <w:t>W</w:t>
      </w:r>
      <w:r w:rsidRPr="003F1200">
        <w:rPr>
          <w:noProof/>
        </w:rPr>
        <w:t xml:space="preserve">ork, by </w:t>
      </w:r>
      <w:r>
        <w:rPr>
          <w:noProof/>
        </w:rPr>
        <w:t>C</w:t>
      </w:r>
      <w:r w:rsidRPr="003F1200">
        <w:rPr>
          <w:noProof/>
        </w:rPr>
        <w:t xml:space="preserve">ensus </w:t>
      </w:r>
      <w:r>
        <w:rPr>
          <w:noProof/>
        </w:rPr>
        <w:t>M</w:t>
      </w:r>
      <w:r w:rsidRPr="003F1200">
        <w:rPr>
          <w:noProof/>
        </w:rPr>
        <w:t xml:space="preserve">etropolitan </w:t>
      </w:r>
      <w:r>
        <w:rPr>
          <w:noProof/>
        </w:rPr>
        <w:t>A</w:t>
      </w:r>
      <w:r w:rsidRPr="003F1200">
        <w:rPr>
          <w:noProof/>
        </w:rPr>
        <w:t xml:space="preserve">rea and </w:t>
      </w:r>
      <w:r>
        <w:rPr>
          <w:noProof/>
        </w:rPr>
        <w:t>T</w:t>
      </w:r>
      <w:r w:rsidRPr="003F1200">
        <w:rPr>
          <w:noProof/>
        </w:rPr>
        <w:t xml:space="preserve">ype of </w:t>
      </w:r>
      <w:r>
        <w:rPr>
          <w:noProof/>
        </w:rPr>
        <w:t>P</w:t>
      </w:r>
      <w:r w:rsidRPr="003F1200">
        <w:rPr>
          <w:noProof/>
        </w:rPr>
        <w:t xml:space="preserve">ublic </w:t>
      </w:r>
      <w:r>
        <w:rPr>
          <w:noProof/>
        </w:rPr>
        <w:t>T</w:t>
      </w:r>
      <w:r w:rsidRPr="003F1200">
        <w:rPr>
          <w:noProof/>
        </w:rPr>
        <w:t>ransit,</w:t>
      </w:r>
      <w:r>
        <w:rPr>
          <w:noProof/>
        </w:rPr>
        <w:t>”</w:t>
      </w:r>
      <w:r w:rsidRPr="003F1200">
        <w:rPr>
          <w:noProof/>
        </w:rPr>
        <w:t xml:space="preserve"> </w:t>
      </w:r>
      <w:r>
        <w:rPr>
          <w:noProof/>
        </w:rPr>
        <w:t>Statistics Canada, 2011, a</w:t>
      </w:r>
      <w:r w:rsidRPr="003F1200">
        <w:rPr>
          <w:noProof/>
        </w:rPr>
        <w:t>ccessed March 15, 2016, www12.statcan.gc.ca/nhs-enm/2011/as-sa/99-012-x/2011003/c-g/c-g01-eng.cfm</w:t>
      </w:r>
      <w:r w:rsidR="006C2E08">
        <w:rPr>
          <w:noProof/>
        </w:rPr>
        <w:t>.</w:t>
      </w:r>
    </w:p>
  </w:endnote>
  <w:endnote w:id="35">
    <w:p w14:paraId="759B2649" w14:textId="77777777" w:rsidR="00D558C9" w:rsidRPr="003F1200" w:rsidRDefault="00D558C9" w:rsidP="00774404">
      <w:pPr>
        <w:pStyle w:val="Footnote"/>
        <w:rPr>
          <w:noProof/>
        </w:rPr>
      </w:pPr>
      <w:r w:rsidRPr="003F1200">
        <w:rPr>
          <w:rStyle w:val="EndnoteReference"/>
          <w:color w:val="000000"/>
          <w:sz w:val="16"/>
          <w:szCs w:val="16"/>
        </w:rPr>
        <w:endnoteRef/>
      </w:r>
      <w:r w:rsidRPr="003F1200">
        <w:t xml:space="preserve"> </w:t>
      </w:r>
      <w:r>
        <w:rPr>
          <w:noProof/>
        </w:rPr>
        <w:t>“</w:t>
      </w:r>
      <w:r w:rsidRPr="003F1200">
        <w:rPr>
          <w:noProof/>
        </w:rPr>
        <w:t>Living in Edmonton</w:t>
      </w:r>
      <w:r>
        <w:rPr>
          <w:noProof/>
        </w:rPr>
        <w:t>,”</w:t>
      </w:r>
      <w:r w:rsidRPr="003F1200">
        <w:rPr>
          <w:noProof/>
        </w:rPr>
        <w:t xml:space="preserve"> </w:t>
      </w:r>
      <w:r>
        <w:rPr>
          <w:noProof/>
        </w:rPr>
        <w:t>Walk Score, 2016, a</w:t>
      </w:r>
      <w:r w:rsidRPr="003F1200">
        <w:rPr>
          <w:noProof/>
        </w:rPr>
        <w:t>ccessed March 15, 2016, www.walkscore.com/CA-AB/Edmonton</w:t>
      </w:r>
      <w:r>
        <w:rPr>
          <w:noProof/>
        </w:rPr>
        <w:t>.</w:t>
      </w:r>
    </w:p>
  </w:endnote>
  <w:endnote w:id="36">
    <w:p w14:paraId="5C18A7F1" w14:textId="034915B4" w:rsidR="00D558C9" w:rsidRPr="003F1200" w:rsidRDefault="00D558C9" w:rsidP="00774404">
      <w:pPr>
        <w:pStyle w:val="Footnote"/>
        <w:rPr>
          <w:noProof/>
        </w:rPr>
      </w:pPr>
      <w:r w:rsidRPr="003F1200">
        <w:rPr>
          <w:rStyle w:val="EndnoteReference"/>
          <w:color w:val="000000"/>
          <w:sz w:val="16"/>
          <w:szCs w:val="16"/>
        </w:rPr>
        <w:endnoteRef/>
      </w:r>
      <w:r w:rsidRPr="003F1200">
        <w:t xml:space="preserve"> </w:t>
      </w:r>
      <w:proofErr w:type="spellStart"/>
      <w:r>
        <w:t>A</w:t>
      </w:r>
      <w:r w:rsidR="006C2E08">
        <w:t>lix</w:t>
      </w:r>
      <w:proofErr w:type="spellEnd"/>
      <w:r w:rsidR="006C2E08">
        <w:t xml:space="preserve"> </w:t>
      </w:r>
      <w:r w:rsidRPr="003F1200">
        <w:rPr>
          <w:noProof/>
        </w:rPr>
        <w:t>Kemp,</w:t>
      </w:r>
      <w:r>
        <w:rPr>
          <w:noProof/>
        </w:rPr>
        <w:t xml:space="preserve"> “</w:t>
      </w:r>
      <w:r w:rsidRPr="003F1200">
        <w:rPr>
          <w:noProof/>
        </w:rPr>
        <w:t xml:space="preserve">Critical Mass: Edmonton’s </w:t>
      </w:r>
      <w:r>
        <w:rPr>
          <w:noProof/>
        </w:rPr>
        <w:t>P</w:t>
      </w:r>
      <w:r w:rsidRPr="003F1200">
        <w:rPr>
          <w:noProof/>
        </w:rPr>
        <w:t>re-</w:t>
      </w:r>
      <w:r>
        <w:rPr>
          <w:noProof/>
        </w:rPr>
        <w:t>A</w:t>
      </w:r>
      <w:r w:rsidRPr="003F1200">
        <w:rPr>
          <w:noProof/>
        </w:rPr>
        <w:t xml:space="preserve">rena </w:t>
      </w:r>
      <w:r>
        <w:rPr>
          <w:noProof/>
        </w:rPr>
        <w:t>D</w:t>
      </w:r>
      <w:r w:rsidRPr="003F1200">
        <w:rPr>
          <w:noProof/>
        </w:rPr>
        <w:t xml:space="preserve">owntown </w:t>
      </w:r>
      <w:r>
        <w:rPr>
          <w:noProof/>
        </w:rPr>
        <w:t>R</w:t>
      </w:r>
      <w:r w:rsidRPr="003F1200">
        <w:rPr>
          <w:noProof/>
        </w:rPr>
        <w:t>evitalization</w:t>
      </w:r>
      <w:r>
        <w:rPr>
          <w:noProof/>
        </w:rPr>
        <w:t xml:space="preserve">,” </w:t>
      </w:r>
      <w:r w:rsidRPr="00BC428A">
        <w:rPr>
          <w:i/>
          <w:noProof/>
        </w:rPr>
        <w:t>Alberta Venture</w:t>
      </w:r>
      <w:r>
        <w:rPr>
          <w:noProof/>
        </w:rPr>
        <w:t>, June 11, 2014, accessed</w:t>
      </w:r>
      <w:r w:rsidRPr="003F1200">
        <w:rPr>
          <w:noProof/>
        </w:rPr>
        <w:t xml:space="preserve"> March 9, 2016, http://albertaventure.com/2014/06/critical-mass-downtown-edmonton-revitalization/</w:t>
      </w:r>
      <w:r>
        <w:rPr>
          <w:noProof/>
        </w:rPr>
        <w:t>.</w:t>
      </w:r>
    </w:p>
  </w:endnote>
  <w:endnote w:id="37">
    <w:p w14:paraId="5F7D023C" w14:textId="3C5A19DA" w:rsidR="00D558C9" w:rsidRPr="003F1200" w:rsidRDefault="00D558C9" w:rsidP="00774404">
      <w:pPr>
        <w:pStyle w:val="Footnote"/>
        <w:rPr>
          <w:noProof/>
        </w:rPr>
      </w:pPr>
      <w:r w:rsidRPr="003F1200">
        <w:rPr>
          <w:rStyle w:val="EndnoteReference"/>
          <w:color w:val="000000"/>
          <w:sz w:val="16"/>
          <w:szCs w:val="16"/>
        </w:rPr>
        <w:endnoteRef/>
      </w:r>
      <w:r w:rsidRPr="003F1200">
        <w:t xml:space="preserve"> </w:t>
      </w:r>
      <w:r>
        <w:t>Ibid</w:t>
      </w:r>
      <w:r>
        <w:rPr>
          <w:noProof/>
        </w:rPr>
        <w:t>.</w:t>
      </w:r>
    </w:p>
  </w:endnote>
  <w:endnote w:id="38">
    <w:p w14:paraId="59CBA976" w14:textId="77777777" w:rsidR="00D558C9" w:rsidRPr="003F1200" w:rsidRDefault="00D558C9" w:rsidP="00774404">
      <w:pPr>
        <w:pStyle w:val="Footnote"/>
        <w:rPr>
          <w:noProof/>
        </w:rPr>
      </w:pPr>
      <w:r w:rsidRPr="003F1200">
        <w:rPr>
          <w:rStyle w:val="EndnoteReference"/>
          <w:color w:val="000000"/>
          <w:sz w:val="16"/>
          <w:szCs w:val="16"/>
        </w:rPr>
        <w:endnoteRef/>
      </w:r>
      <w:r>
        <w:rPr>
          <w:noProof/>
        </w:rPr>
        <w:t xml:space="preserve"> “</w:t>
      </w:r>
      <w:r w:rsidRPr="003F1200">
        <w:rPr>
          <w:noProof/>
        </w:rPr>
        <w:t>Ice District</w:t>
      </w:r>
      <w:r>
        <w:rPr>
          <w:noProof/>
        </w:rPr>
        <w:t xml:space="preserve">,” </w:t>
      </w:r>
      <w:r w:rsidRPr="003F1200">
        <w:rPr>
          <w:noProof/>
        </w:rPr>
        <w:t>Ice District Properties</w:t>
      </w:r>
      <w:r>
        <w:rPr>
          <w:noProof/>
        </w:rPr>
        <w:t>, a</w:t>
      </w:r>
      <w:r w:rsidRPr="003F1200">
        <w:rPr>
          <w:noProof/>
        </w:rPr>
        <w:t>ccessed March 15, 2016, http://icedistrictproperties.com/</w:t>
      </w:r>
      <w:r>
        <w:rPr>
          <w:noProof/>
        </w:rPr>
        <w:t>.</w:t>
      </w:r>
    </w:p>
  </w:endnote>
  <w:endnote w:id="39">
    <w:p w14:paraId="753102C2" w14:textId="25D23B49" w:rsidR="00D558C9" w:rsidRPr="003F1200" w:rsidRDefault="00D558C9" w:rsidP="00774404">
      <w:pPr>
        <w:pStyle w:val="Footnote"/>
        <w:rPr>
          <w:color w:val="000000"/>
          <w:sz w:val="16"/>
          <w:szCs w:val="16"/>
        </w:rPr>
      </w:pPr>
      <w:r w:rsidRPr="003F1200">
        <w:rPr>
          <w:rStyle w:val="EndnoteReference"/>
          <w:color w:val="000000"/>
          <w:sz w:val="16"/>
          <w:szCs w:val="16"/>
        </w:rPr>
        <w:endnoteRef/>
      </w:r>
      <w:r w:rsidRPr="003F1200">
        <w:t xml:space="preserve"> </w:t>
      </w:r>
      <w:r w:rsidRPr="003F1200">
        <w:rPr>
          <w:noProof/>
        </w:rPr>
        <w:t>Kemp,</w:t>
      </w:r>
      <w:r>
        <w:rPr>
          <w:noProof/>
        </w:rPr>
        <w:t xml:space="preserve">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C023A" w14:textId="77777777" w:rsidR="00D558C9" w:rsidRDefault="00D558C9" w:rsidP="00D75295">
      <w:r>
        <w:separator/>
      </w:r>
    </w:p>
  </w:footnote>
  <w:footnote w:type="continuationSeparator" w:id="0">
    <w:p w14:paraId="5860D1AE" w14:textId="77777777" w:rsidR="00D558C9" w:rsidRDefault="00D558C9"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3755C" w14:textId="6D3B9F32" w:rsidR="00D558C9" w:rsidRDefault="00D558C9"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F3D7F">
      <w:rPr>
        <w:rFonts w:ascii="Arial" w:hAnsi="Arial"/>
        <w:b/>
        <w:noProof/>
      </w:rPr>
      <w:t>12</w:t>
    </w:r>
    <w:r>
      <w:rPr>
        <w:rFonts w:ascii="Arial" w:hAnsi="Arial"/>
        <w:b/>
      </w:rPr>
      <w:fldChar w:fldCharType="end"/>
    </w:r>
    <w:r>
      <w:rPr>
        <w:rFonts w:ascii="Arial" w:hAnsi="Arial"/>
        <w:b/>
      </w:rPr>
      <w:tab/>
    </w:r>
    <w:r w:rsidR="00347D70">
      <w:rPr>
        <w:rFonts w:ascii="Arial" w:hAnsi="Arial"/>
        <w:b/>
      </w:rPr>
      <w:t>9B17M099</w:t>
    </w:r>
  </w:p>
  <w:p w14:paraId="2C9A1B1F" w14:textId="77777777" w:rsidR="00D558C9" w:rsidRPr="00C92CC4" w:rsidRDefault="00D558C9">
    <w:pPr>
      <w:pStyle w:val="Header"/>
      <w:rPr>
        <w:sz w:val="18"/>
        <w:szCs w:val="18"/>
      </w:rPr>
    </w:pPr>
  </w:p>
  <w:p w14:paraId="2F0F3FCA" w14:textId="77777777" w:rsidR="00D558C9" w:rsidRPr="00C92CC4" w:rsidRDefault="00D558C9">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58C2512"/>
    <w:multiLevelType w:val="hybridMultilevel"/>
    <w:tmpl w:val="02A4A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4"/>
  </w:num>
  <w:num w:numId="22">
    <w:abstractNumId w:val="17"/>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228"/>
    <w:rsid w:val="00003027"/>
    <w:rsid w:val="0000472F"/>
    <w:rsid w:val="00007A54"/>
    <w:rsid w:val="00010698"/>
    <w:rsid w:val="00011792"/>
    <w:rsid w:val="00013360"/>
    <w:rsid w:val="00016C8E"/>
    <w:rsid w:val="000204B6"/>
    <w:rsid w:val="000216CE"/>
    <w:rsid w:val="000223BE"/>
    <w:rsid w:val="00025DC7"/>
    <w:rsid w:val="00026486"/>
    <w:rsid w:val="00026AC0"/>
    <w:rsid w:val="00027C2C"/>
    <w:rsid w:val="00030DC5"/>
    <w:rsid w:val="00041CA8"/>
    <w:rsid w:val="00044ECC"/>
    <w:rsid w:val="000457F7"/>
    <w:rsid w:val="0004668E"/>
    <w:rsid w:val="000531D3"/>
    <w:rsid w:val="0005646B"/>
    <w:rsid w:val="00063E84"/>
    <w:rsid w:val="00065881"/>
    <w:rsid w:val="00076EE5"/>
    <w:rsid w:val="0008102D"/>
    <w:rsid w:val="00094C0E"/>
    <w:rsid w:val="000B029B"/>
    <w:rsid w:val="000B067E"/>
    <w:rsid w:val="000B4D4F"/>
    <w:rsid w:val="000C0041"/>
    <w:rsid w:val="000D3BE4"/>
    <w:rsid w:val="000D3C92"/>
    <w:rsid w:val="000D5DF6"/>
    <w:rsid w:val="000E110E"/>
    <w:rsid w:val="000F0C22"/>
    <w:rsid w:val="000F3B02"/>
    <w:rsid w:val="000F44FD"/>
    <w:rsid w:val="000F6B09"/>
    <w:rsid w:val="000F6FDC"/>
    <w:rsid w:val="00103CD0"/>
    <w:rsid w:val="00104567"/>
    <w:rsid w:val="00110086"/>
    <w:rsid w:val="00111035"/>
    <w:rsid w:val="0011196F"/>
    <w:rsid w:val="00124B6F"/>
    <w:rsid w:val="00124F4F"/>
    <w:rsid w:val="0012732D"/>
    <w:rsid w:val="001415C6"/>
    <w:rsid w:val="00146C61"/>
    <w:rsid w:val="00154FC9"/>
    <w:rsid w:val="00156800"/>
    <w:rsid w:val="00157CDA"/>
    <w:rsid w:val="00163D19"/>
    <w:rsid w:val="0017074A"/>
    <w:rsid w:val="00172C98"/>
    <w:rsid w:val="00174FB7"/>
    <w:rsid w:val="00177247"/>
    <w:rsid w:val="00183AF1"/>
    <w:rsid w:val="00190875"/>
    <w:rsid w:val="0019241A"/>
    <w:rsid w:val="001A5335"/>
    <w:rsid w:val="001A752D"/>
    <w:rsid w:val="001B0CDF"/>
    <w:rsid w:val="001B68A8"/>
    <w:rsid w:val="001C156A"/>
    <w:rsid w:val="001C475F"/>
    <w:rsid w:val="001C4901"/>
    <w:rsid w:val="001C729A"/>
    <w:rsid w:val="001D34EB"/>
    <w:rsid w:val="001F19CB"/>
    <w:rsid w:val="001F3B31"/>
    <w:rsid w:val="001F4B44"/>
    <w:rsid w:val="0020045D"/>
    <w:rsid w:val="00203AA1"/>
    <w:rsid w:val="00207318"/>
    <w:rsid w:val="0021375B"/>
    <w:rsid w:val="00213B25"/>
    <w:rsid w:val="00213E98"/>
    <w:rsid w:val="00216198"/>
    <w:rsid w:val="00217C1E"/>
    <w:rsid w:val="002225FD"/>
    <w:rsid w:val="002369BC"/>
    <w:rsid w:val="002372E9"/>
    <w:rsid w:val="0024006D"/>
    <w:rsid w:val="00243DCF"/>
    <w:rsid w:val="00244E19"/>
    <w:rsid w:val="00244F02"/>
    <w:rsid w:val="0024798D"/>
    <w:rsid w:val="00253C96"/>
    <w:rsid w:val="00264930"/>
    <w:rsid w:val="00280F4B"/>
    <w:rsid w:val="00284407"/>
    <w:rsid w:val="00287AD6"/>
    <w:rsid w:val="00296BF7"/>
    <w:rsid w:val="002A16CB"/>
    <w:rsid w:val="002A3CDE"/>
    <w:rsid w:val="002B1E5E"/>
    <w:rsid w:val="002C3392"/>
    <w:rsid w:val="002C7736"/>
    <w:rsid w:val="002D0EF2"/>
    <w:rsid w:val="002D2C00"/>
    <w:rsid w:val="002E233A"/>
    <w:rsid w:val="002E32F0"/>
    <w:rsid w:val="002E3DB4"/>
    <w:rsid w:val="002E63C3"/>
    <w:rsid w:val="002F3D7F"/>
    <w:rsid w:val="002F460C"/>
    <w:rsid w:val="002F48D6"/>
    <w:rsid w:val="0030477B"/>
    <w:rsid w:val="00305C5E"/>
    <w:rsid w:val="0031309E"/>
    <w:rsid w:val="003230D9"/>
    <w:rsid w:val="0034018F"/>
    <w:rsid w:val="003409FC"/>
    <w:rsid w:val="00343565"/>
    <w:rsid w:val="00344A0E"/>
    <w:rsid w:val="00347D70"/>
    <w:rsid w:val="00353E99"/>
    <w:rsid w:val="00354899"/>
    <w:rsid w:val="00355FD6"/>
    <w:rsid w:val="00361C8E"/>
    <w:rsid w:val="00364A5C"/>
    <w:rsid w:val="00373FB1"/>
    <w:rsid w:val="00377E5F"/>
    <w:rsid w:val="00381CE1"/>
    <w:rsid w:val="00381F42"/>
    <w:rsid w:val="0039255E"/>
    <w:rsid w:val="00396600"/>
    <w:rsid w:val="00397259"/>
    <w:rsid w:val="003A2394"/>
    <w:rsid w:val="003A4BE7"/>
    <w:rsid w:val="003A579E"/>
    <w:rsid w:val="003B1C2C"/>
    <w:rsid w:val="003B30D8"/>
    <w:rsid w:val="003B519A"/>
    <w:rsid w:val="003B7EF2"/>
    <w:rsid w:val="003C3FA4"/>
    <w:rsid w:val="003C4E07"/>
    <w:rsid w:val="003C7590"/>
    <w:rsid w:val="003D2D87"/>
    <w:rsid w:val="003F2B0C"/>
    <w:rsid w:val="00401E67"/>
    <w:rsid w:val="004067AF"/>
    <w:rsid w:val="0040742A"/>
    <w:rsid w:val="00407FFB"/>
    <w:rsid w:val="00414C28"/>
    <w:rsid w:val="00417E81"/>
    <w:rsid w:val="004213C2"/>
    <w:rsid w:val="004221E4"/>
    <w:rsid w:val="00423DC6"/>
    <w:rsid w:val="00424BA8"/>
    <w:rsid w:val="004303A3"/>
    <w:rsid w:val="0043656E"/>
    <w:rsid w:val="00450DE2"/>
    <w:rsid w:val="00455EEC"/>
    <w:rsid w:val="0046129C"/>
    <w:rsid w:val="004672F2"/>
    <w:rsid w:val="00471088"/>
    <w:rsid w:val="00471E21"/>
    <w:rsid w:val="0047673B"/>
    <w:rsid w:val="00483AF9"/>
    <w:rsid w:val="004870CB"/>
    <w:rsid w:val="00491892"/>
    <w:rsid w:val="00493A1F"/>
    <w:rsid w:val="004A5CD4"/>
    <w:rsid w:val="004B1CCB"/>
    <w:rsid w:val="004C72B5"/>
    <w:rsid w:val="004D73A5"/>
    <w:rsid w:val="00504FB2"/>
    <w:rsid w:val="00505DDA"/>
    <w:rsid w:val="00507CEA"/>
    <w:rsid w:val="00532CF5"/>
    <w:rsid w:val="00533714"/>
    <w:rsid w:val="00541050"/>
    <w:rsid w:val="00544C81"/>
    <w:rsid w:val="005528CB"/>
    <w:rsid w:val="0055568C"/>
    <w:rsid w:val="005567BB"/>
    <w:rsid w:val="005626CE"/>
    <w:rsid w:val="00566771"/>
    <w:rsid w:val="005670A9"/>
    <w:rsid w:val="005706E4"/>
    <w:rsid w:val="00570DE1"/>
    <w:rsid w:val="00571627"/>
    <w:rsid w:val="00573242"/>
    <w:rsid w:val="0057569E"/>
    <w:rsid w:val="005778B9"/>
    <w:rsid w:val="00581E2E"/>
    <w:rsid w:val="0058303D"/>
    <w:rsid w:val="00584F15"/>
    <w:rsid w:val="0059233B"/>
    <w:rsid w:val="005A18F1"/>
    <w:rsid w:val="005A285A"/>
    <w:rsid w:val="005D0061"/>
    <w:rsid w:val="005D70E3"/>
    <w:rsid w:val="005E0EC7"/>
    <w:rsid w:val="005E6AE6"/>
    <w:rsid w:val="005F04AD"/>
    <w:rsid w:val="005F5407"/>
    <w:rsid w:val="005F7111"/>
    <w:rsid w:val="005F776D"/>
    <w:rsid w:val="00615387"/>
    <w:rsid w:val="006163F7"/>
    <w:rsid w:val="006201F9"/>
    <w:rsid w:val="00634706"/>
    <w:rsid w:val="00635DFD"/>
    <w:rsid w:val="006417BD"/>
    <w:rsid w:val="00645A6A"/>
    <w:rsid w:val="00645F0D"/>
    <w:rsid w:val="00650408"/>
    <w:rsid w:val="00652606"/>
    <w:rsid w:val="006532A5"/>
    <w:rsid w:val="00663B51"/>
    <w:rsid w:val="00665CE6"/>
    <w:rsid w:val="006724DA"/>
    <w:rsid w:val="00682754"/>
    <w:rsid w:val="00682CBC"/>
    <w:rsid w:val="006833E7"/>
    <w:rsid w:val="00692876"/>
    <w:rsid w:val="006A58A9"/>
    <w:rsid w:val="006A606D"/>
    <w:rsid w:val="006A606E"/>
    <w:rsid w:val="006A675E"/>
    <w:rsid w:val="006B746E"/>
    <w:rsid w:val="006B7F7A"/>
    <w:rsid w:val="006C0371"/>
    <w:rsid w:val="006C08B6"/>
    <w:rsid w:val="006C0B1A"/>
    <w:rsid w:val="006C22CE"/>
    <w:rsid w:val="006C2E08"/>
    <w:rsid w:val="006C3FC5"/>
    <w:rsid w:val="006C4384"/>
    <w:rsid w:val="006C6065"/>
    <w:rsid w:val="006C7F9F"/>
    <w:rsid w:val="006D1A8A"/>
    <w:rsid w:val="006E2F6D"/>
    <w:rsid w:val="006E31CE"/>
    <w:rsid w:val="006E58F6"/>
    <w:rsid w:val="006E77E1"/>
    <w:rsid w:val="006F131D"/>
    <w:rsid w:val="007010AC"/>
    <w:rsid w:val="00712DB5"/>
    <w:rsid w:val="0072386D"/>
    <w:rsid w:val="00723B4E"/>
    <w:rsid w:val="00726392"/>
    <w:rsid w:val="00726B1C"/>
    <w:rsid w:val="00732663"/>
    <w:rsid w:val="00733DB3"/>
    <w:rsid w:val="00736FC3"/>
    <w:rsid w:val="00737ED5"/>
    <w:rsid w:val="0074379F"/>
    <w:rsid w:val="00743B21"/>
    <w:rsid w:val="00752BCD"/>
    <w:rsid w:val="007536E7"/>
    <w:rsid w:val="00763804"/>
    <w:rsid w:val="007645AC"/>
    <w:rsid w:val="00766DA1"/>
    <w:rsid w:val="00770D52"/>
    <w:rsid w:val="00774404"/>
    <w:rsid w:val="00775D68"/>
    <w:rsid w:val="00776AD1"/>
    <w:rsid w:val="007817B3"/>
    <w:rsid w:val="00783999"/>
    <w:rsid w:val="007866A6"/>
    <w:rsid w:val="007975F8"/>
    <w:rsid w:val="007A130D"/>
    <w:rsid w:val="007A1A64"/>
    <w:rsid w:val="007A2BC4"/>
    <w:rsid w:val="007A4763"/>
    <w:rsid w:val="007B3106"/>
    <w:rsid w:val="007B4A05"/>
    <w:rsid w:val="007B5843"/>
    <w:rsid w:val="007C469B"/>
    <w:rsid w:val="007D4102"/>
    <w:rsid w:val="007E5921"/>
    <w:rsid w:val="007F51FC"/>
    <w:rsid w:val="007F7240"/>
    <w:rsid w:val="00802D60"/>
    <w:rsid w:val="00807CDF"/>
    <w:rsid w:val="008105BA"/>
    <w:rsid w:val="008132AF"/>
    <w:rsid w:val="0081627D"/>
    <w:rsid w:val="00821834"/>
    <w:rsid w:val="00821FFC"/>
    <w:rsid w:val="00822704"/>
    <w:rsid w:val="008271CA"/>
    <w:rsid w:val="008467D5"/>
    <w:rsid w:val="008472FE"/>
    <w:rsid w:val="00856D9F"/>
    <w:rsid w:val="008575B3"/>
    <w:rsid w:val="00866F6D"/>
    <w:rsid w:val="00886773"/>
    <w:rsid w:val="00887D1D"/>
    <w:rsid w:val="00895139"/>
    <w:rsid w:val="00896EC8"/>
    <w:rsid w:val="008A4DC4"/>
    <w:rsid w:val="008C1337"/>
    <w:rsid w:val="008C5C9B"/>
    <w:rsid w:val="008D206C"/>
    <w:rsid w:val="008F35D3"/>
    <w:rsid w:val="008F394B"/>
    <w:rsid w:val="00904C1A"/>
    <w:rsid w:val="009067A4"/>
    <w:rsid w:val="0090722E"/>
    <w:rsid w:val="0091385D"/>
    <w:rsid w:val="00914660"/>
    <w:rsid w:val="00917D7F"/>
    <w:rsid w:val="009241D9"/>
    <w:rsid w:val="009340DB"/>
    <w:rsid w:val="00942BA5"/>
    <w:rsid w:val="00943DF8"/>
    <w:rsid w:val="0094788A"/>
    <w:rsid w:val="00950A1C"/>
    <w:rsid w:val="009566B6"/>
    <w:rsid w:val="00956EB4"/>
    <w:rsid w:val="00972498"/>
    <w:rsid w:val="0097298D"/>
    <w:rsid w:val="00974CC6"/>
    <w:rsid w:val="00976AD4"/>
    <w:rsid w:val="00987190"/>
    <w:rsid w:val="009A103E"/>
    <w:rsid w:val="009A198E"/>
    <w:rsid w:val="009A312F"/>
    <w:rsid w:val="009A5348"/>
    <w:rsid w:val="009A64B7"/>
    <w:rsid w:val="009A67BB"/>
    <w:rsid w:val="009C423B"/>
    <w:rsid w:val="009C456D"/>
    <w:rsid w:val="009C75DC"/>
    <w:rsid w:val="009C76D5"/>
    <w:rsid w:val="009C7D60"/>
    <w:rsid w:val="009D0245"/>
    <w:rsid w:val="009D1812"/>
    <w:rsid w:val="009D26C2"/>
    <w:rsid w:val="009E25DA"/>
    <w:rsid w:val="009F2F0D"/>
    <w:rsid w:val="009F7AA4"/>
    <w:rsid w:val="00A0583E"/>
    <w:rsid w:val="00A16941"/>
    <w:rsid w:val="00A20BE1"/>
    <w:rsid w:val="00A22E72"/>
    <w:rsid w:val="00A23D7C"/>
    <w:rsid w:val="00A25B13"/>
    <w:rsid w:val="00A25FD0"/>
    <w:rsid w:val="00A41556"/>
    <w:rsid w:val="00A42CC9"/>
    <w:rsid w:val="00A46854"/>
    <w:rsid w:val="00A51446"/>
    <w:rsid w:val="00A559DB"/>
    <w:rsid w:val="00A654B7"/>
    <w:rsid w:val="00A7319F"/>
    <w:rsid w:val="00A740B0"/>
    <w:rsid w:val="00A7715D"/>
    <w:rsid w:val="00A836C3"/>
    <w:rsid w:val="00A859FE"/>
    <w:rsid w:val="00A87336"/>
    <w:rsid w:val="00A90345"/>
    <w:rsid w:val="00A94A22"/>
    <w:rsid w:val="00AA054A"/>
    <w:rsid w:val="00AA7837"/>
    <w:rsid w:val="00AB215F"/>
    <w:rsid w:val="00AB3462"/>
    <w:rsid w:val="00AB4E26"/>
    <w:rsid w:val="00AC2BA4"/>
    <w:rsid w:val="00AC4052"/>
    <w:rsid w:val="00AC7D25"/>
    <w:rsid w:val="00AD3945"/>
    <w:rsid w:val="00AE4227"/>
    <w:rsid w:val="00AE4F09"/>
    <w:rsid w:val="00AF0FBA"/>
    <w:rsid w:val="00AF35FC"/>
    <w:rsid w:val="00AF6EE9"/>
    <w:rsid w:val="00B03639"/>
    <w:rsid w:val="00B04C37"/>
    <w:rsid w:val="00B055F1"/>
    <w:rsid w:val="00B05D7B"/>
    <w:rsid w:val="00B0652A"/>
    <w:rsid w:val="00B101FB"/>
    <w:rsid w:val="00B14831"/>
    <w:rsid w:val="00B14B2E"/>
    <w:rsid w:val="00B150A6"/>
    <w:rsid w:val="00B27805"/>
    <w:rsid w:val="00B3093C"/>
    <w:rsid w:val="00B318AF"/>
    <w:rsid w:val="00B32B97"/>
    <w:rsid w:val="00B336D4"/>
    <w:rsid w:val="00B3757D"/>
    <w:rsid w:val="00B40937"/>
    <w:rsid w:val="00B423EF"/>
    <w:rsid w:val="00B453DE"/>
    <w:rsid w:val="00B4742F"/>
    <w:rsid w:val="00B51F72"/>
    <w:rsid w:val="00B63C9C"/>
    <w:rsid w:val="00B64E3F"/>
    <w:rsid w:val="00B77A11"/>
    <w:rsid w:val="00B80591"/>
    <w:rsid w:val="00B819D7"/>
    <w:rsid w:val="00B82959"/>
    <w:rsid w:val="00B83175"/>
    <w:rsid w:val="00B84B99"/>
    <w:rsid w:val="00B8643E"/>
    <w:rsid w:val="00B901F9"/>
    <w:rsid w:val="00B91694"/>
    <w:rsid w:val="00B91D4B"/>
    <w:rsid w:val="00BB011D"/>
    <w:rsid w:val="00BB0E96"/>
    <w:rsid w:val="00BB6BB7"/>
    <w:rsid w:val="00BC1BAB"/>
    <w:rsid w:val="00BC428A"/>
    <w:rsid w:val="00BD6EFB"/>
    <w:rsid w:val="00BD7756"/>
    <w:rsid w:val="00BE271A"/>
    <w:rsid w:val="00BE314D"/>
    <w:rsid w:val="00BF3DA6"/>
    <w:rsid w:val="00BF749F"/>
    <w:rsid w:val="00C027B5"/>
    <w:rsid w:val="00C15BE2"/>
    <w:rsid w:val="00C22219"/>
    <w:rsid w:val="00C337E2"/>
    <w:rsid w:val="00C3447F"/>
    <w:rsid w:val="00C36F64"/>
    <w:rsid w:val="00C3758F"/>
    <w:rsid w:val="00C428C2"/>
    <w:rsid w:val="00C45607"/>
    <w:rsid w:val="00C525D0"/>
    <w:rsid w:val="00C540E7"/>
    <w:rsid w:val="00C54799"/>
    <w:rsid w:val="00C557EE"/>
    <w:rsid w:val="00C60062"/>
    <w:rsid w:val="00C71F74"/>
    <w:rsid w:val="00C81491"/>
    <w:rsid w:val="00C81676"/>
    <w:rsid w:val="00C82096"/>
    <w:rsid w:val="00C84024"/>
    <w:rsid w:val="00C92CC4"/>
    <w:rsid w:val="00CA0AFB"/>
    <w:rsid w:val="00CA1F12"/>
    <w:rsid w:val="00CA2CE1"/>
    <w:rsid w:val="00CA3976"/>
    <w:rsid w:val="00CA757B"/>
    <w:rsid w:val="00CB455A"/>
    <w:rsid w:val="00CB6732"/>
    <w:rsid w:val="00CB72F2"/>
    <w:rsid w:val="00CC1787"/>
    <w:rsid w:val="00CC182C"/>
    <w:rsid w:val="00CC3E1A"/>
    <w:rsid w:val="00CD0824"/>
    <w:rsid w:val="00CD2908"/>
    <w:rsid w:val="00CE0862"/>
    <w:rsid w:val="00D03A82"/>
    <w:rsid w:val="00D15344"/>
    <w:rsid w:val="00D16037"/>
    <w:rsid w:val="00D16ACD"/>
    <w:rsid w:val="00D17A69"/>
    <w:rsid w:val="00D2431C"/>
    <w:rsid w:val="00D2556C"/>
    <w:rsid w:val="00D27E03"/>
    <w:rsid w:val="00D31BEC"/>
    <w:rsid w:val="00D40450"/>
    <w:rsid w:val="00D558C9"/>
    <w:rsid w:val="00D60FB3"/>
    <w:rsid w:val="00D63150"/>
    <w:rsid w:val="00D64A32"/>
    <w:rsid w:val="00D64EFC"/>
    <w:rsid w:val="00D651DF"/>
    <w:rsid w:val="00D70BA9"/>
    <w:rsid w:val="00D71C27"/>
    <w:rsid w:val="00D73389"/>
    <w:rsid w:val="00D75295"/>
    <w:rsid w:val="00D76CE9"/>
    <w:rsid w:val="00D779DB"/>
    <w:rsid w:val="00D80348"/>
    <w:rsid w:val="00D933CB"/>
    <w:rsid w:val="00D97F12"/>
    <w:rsid w:val="00DA4F89"/>
    <w:rsid w:val="00DB42E7"/>
    <w:rsid w:val="00DB4F5D"/>
    <w:rsid w:val="00DC0BFD"/>
    <w:rsid w:val="00DC5C6B"/>
    <w:rsid w:val="00DD2CC2"/>
    <w:rsid w:val="00DD4161"/>
    <w:rsid w:val="00DD5E21"/>
    <w:rsid w:val="00DE0623"/>
    <w:rsid w:val="00DE3397"/>
    <w:rsid w:val="00DE62E4"/>
    <w:rsid w:val="00DF32C2"/>
    <w:rsid w:val="00E01570"/>
    <w:rsid w:val="00E016FF"/>
    <w:rsid w:val="00E1187D"/>
    <w:rsid w:val="00E12DB2"/>
    <w:rsid w:val="00E22EFC"/>
    <w:rsid w:val="00E2514A"/>
    <w:rsid w:val="00E25F80"/>
    <w:rsid w:val="00E277BB"/>
    <w:rsid w:val="00E33960"/>
    <w:rsid w:val="00E471A7"/>
    <w:rsid w:val="00E47658"/>
    <w:rsid w:val="00E63129"/>
    <w:rsid w:val="00E635AB"/>
    <w:rsid w:val="00E635CF"/>
    <w:rsid w:val="00E7299F"/>
    <w:rsid w:val="00E815F4"/>
    <w:rsid w:val="00EA53C1"/>
    <w:rsid w:val="00EA597A"/>
    <w:rsid w:val="00EB5410"/>
    <w:rsid w:val="00EC03F3"/>
    <w:rsid w:val="00EC2744"/>
    <w:rsid w:val="00EC6E0A"/>
    <w:rsid w:val="00ED4E18"/>
    <w:rsid w:val="00EE0B07"/>
    <w:rsid w:val="00EE1F37"/>
    <w:rsid w:val="00EE2548"/>
    <w:rsid w:val="00EE5627"/>
    <w:rsid w:val="00EF1387"/>
    <w:rsid w:val="00EF199E"/>
    <w:rsid w:val="00F0080C"/>
    <w:rsid w:val="00F0159C"/>
    <w:rsid w:val="00F017E5"/>
    <w:rsid w:val="00F105B7"/>
    <w:rsid w:val="00F13F6D"/>
    <w:rsid w:val="00F1670E"/>
    <w:rsid w:val="00F17A21"/>
    <w:rsid w:val="00F219E6"/>
    <w:rsid w:val="00F30016"/>
    <w:rsid w:val="00F43285"/>
    <w:rsid w:val="00F445CF"/>
    <w:rsid w:val="00F50E91"/>
    <w:rsid w:val="00F555A6"/>
    <w:rsid w:val="00F57D29"/>
    <w:rsid w:val="00F658AC"/>
    <w:rsid w:val="00F67C96"/>
    <w:rsid w:val="00F75FDB"/>
    <w:rsid w:val="00F8564C"/>
    <w:rsid w:val="00F86AF1"/>
    <w:rsid w:val="00F87659"/>
    <w:rsid w:val="00F92A99"/>
    <w:rsid w:val="00F931CF"/>
    <w:rsid w:val="00F96201"/>
    <w:rsid w:val="00FA2849"/>
    <w:rsid w:val="00FA4473"/>
    <w:rsid w:val="00FB319C"/>
    <w:rsid w:val="00FB4460"/>
    <w:rsid w:val="00FC30E9"/>
    <w:rsid w:val="00FC581A"/>
    <w:rsid w:val="00FC62D2"/>
    <w:rsid w:val="00FD0B18"/>
    <w:rsid w:val="00FD0D2C"/>
    <w:rsid w:val="00FD0F82"/>
    <w:rsid w:val="00FE1C92"/>
    <w:rsid w:val="00FE714F"/>
    <w:rsid w:val="00FF6D7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1C22C187"/>
  <w15:docId w15:val="{2A4C4DEE-9FE5-4DD6-B230-DB87DADD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styleId="FollowedHyperlink">
    <w:name w:val="FollowedHyperlink"/>
    <w:uiPriority w:val="99"/>
    <w:semiHidden/>
    <w:unhideWhenUsed/>
    <w:rsid w:val="00774404"/>
    <w:rPr>
      <w:color w:val="954F72"/>
      <w:u w:val="single"/>
    </w:rPr>
  </w:style>
  <w:style w:type="paragraph" w:customStyle="1" w:styleId="Default">
    <w:name w:val="Default"/>
    <w:rsid w:val="00774404"/>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intechopen.com/books/organic-food-and-agriculture-new-trends-and-developments-in-the-social-sci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C5AF4-8101-40B6-A995-BF89FB357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3908</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5</cp:revision>
  <cp:lastPrinted>2017-06-28T18:04:00Z</cp:lastPrinted>
  <dcterms:created xsi:type="dcterms:W3CDTF">2017-06-27T14:35:00Z</dcterms:created>
  <dcterms:modified xsi:type="dcterms:W3CDTF">2017-06-28T18:11:00Z</dcterms:modified>
</cp:coreProperties>
</file>